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2B2" w:rsidRPr="00AE2C8A" w:rsidRDefault="007472B2" w:rsidP="00AE2C8A">
      <w:pPr>
        <w:pStyle w:val="BodyTextIndent3"/>
        <w:tabs>
          <w:tab w:val="clear" w:pos="360"/>
        </w:tabs>
        <w:spacing w:after="240"/>
        <w:ind w:left="0"/>
        <w:rPr>
          <w:rFonts w:ascii="Times New Roman" w:hAnsi="Times New Roman"/>
          <w:b/>
          <w:sz w:val="24"/>
          <w:szCs w:val="24"/>
        </w:rPr>
      </w:pPr>
      <w:r w:rsidRPr="00AE2C8A">
        <w:rPr>
          <w:rFonts w:ascii="Times New Roman" w:hAnsi="Times New Roman"/>
          <w:b/>
          <w:sz w:val="24"/>
          <w:szCs w:val="24"/>
        </w:rPr>
        <w:t>B.</w:t>
      </w:r>
      <w:r w:rsidRPr="00AE2C8A">
        <w:rPr>
          <w:rFonts w:ascii="Times New Roman" w:hAnsi="Times New Roman"/>
          <w:b/>
          <w:sz w:val="24"/>
          <w:szCs w:val="24"/>
        </w:rPr>
        <w:tab/>
        <w:t>STATISTICAL METHODS</w:t>
      </w:r>
    </w:p>
    <w:p w:rsidR="00DD1BE9" w:rsidRDefault="007472B2" w:rsidP="00DD1BE9">
      <w:pPr>
        <w:pStyle w:val="ListParagraph"/>
        <w:numPr>
          <w:ilvl w:val="0"/>
          <w:numId w:val="1"/>
        </w:numPr>
        <w:spacing w:after="240" w:line="240" w:lineRule="auto"/>
        <w:rPr>
          <w:rFonts w:ascii="Times New Roman" w:hAnsi="Times New Roman"/>
          <w:b/>
          <w:sz w:val="24"/>
          <w:szCs w:val="24"/>
        </w:rPr>
      </w:pPr>
      <w:r w:rsidRPr="00AE2C8A">
        <w:rPr>
          <w:rFonts w:ascii="Times New Roman" w:hAnsi="Times New Roman"/>
          <w:b/>
          <w:sz w:val="24"/>
          <w:szCs w:val="24"/>
        </w:rPr>
        <w:t xml:space="preserve">Universe and Respondent </w:t>
      </w:r>
      <w:r>
        <w:rPr>
          <w:rFonts w:ascii="Times New Roman" w:hAnsi="Times New Roman"/>
          <w:b/>
          <w:sz w:val="24"/>
          <w:szCs w:val="24"/>
        </w:rPr>
        <w:t>Selection</w:t>
      </w:r>
    </w:p>
    <w:p w:rsidR="009C6B46" w:rsidRPr="006E2D13" w:rsidRDefault="000F2B04" w:rsidP="006E2D13">
      <w:pPr>
        <w:pStyle w:val="ListParagraph"/>
        <w:spacing w:after="240" w:line="240" w:lineRule="auto"/>
        <w:ind w:left="360"/>
        <w:rPr>
          <w:rFonts w:ascii="Times New Roman" w:hAnsi="Times New Roman"/>
          <w:sz w:val="24"/>
          <w:szCs w:val="24"/>
        </w:rPr>
      </w:pPr>
      <w:r w:rsidRPr="006E2D13">
        <w:rPr>
          <w:rFonts w:ascii="Times New Roman" w:hAnsi="Times New Roman"/>
          <w:sz w:val="24"/>
          <w:szCs w:val="24"/>
        </w:rPr>
        <w:t xml:space="preserve">The study </w:t>
      </w:r>
      <w:r w:rsidR="00BA4B91">
        <w:rPr>
          <w:rFonts w:ascii="Times New Roman" w:hAnsi="Times New Roman"/>
          <w:sz w:val="24"/>
          <w:szCs w:val="24"/>
        </w:rPr>
        <w:t xml:space="preserve">is comprised </w:t>
      </w:r>
      <w:proofErr w:type="gramStart"/>
      <w:r w:rsidR="00BA4B91">
        <w:rPr>
          <w:rFonts w:ascii="Times New Roman" w:hAnsi="Times New Roman"/>
          <w:sz w:val="24"/>
          <w:szCs w:val="24"/>
        </w:rPr>
        <w:t xml:space="preserve">of </w:t>
      </w:r>
      <w:r w:rsidRPr="006E2D13">
        <w:rPr>
          <w:rFonts w:ascii="Times New Roman" w:hAnsi="Times New Roman"/>
          <w:sz w:val="24"/>
          <w:szCs w:val="24"/>
        </w:rPr>
        <w:t xml:space="preserve"> two</w:t>
      </w:r>
      <w:proofErr w:type="gramEnd"/>
      <w:r w:rsidRPr="006E2D13">
        <w:rPr>
          <w:rFonts w:ascii="Times New Roman" w:hAnsi="Times New Roman"/>
          <w:sz w:val="24"/>
          <w:szCs w:val="24"/>
        </w:rPr>
        <w:t xml:space="preserve"> phases</w:t>
      </w:r>
      <w:r w:rsidR="006E2D13">
        <w:rPr>
          <w:rFonts w:ascii="Times New Roman" w:hAnsi="Times New Roman"/>
          <w:sz w:val="24"/>
          <w:szCs w:val="24"/>
        </w:rPr>
        <w:t xml:space="preserve">: </w:t>
      </w:r>
      <w:r w:rsidRPr="006E2D13">
        <w:rPr>
          <w:rFonts w:ascii="Times New Roman" w:hAnsi="Times New Roman"/>
          <w:sz w:val="24"/>
          <w:szCs w:val="24"/>
        </w:rPr>
        <w:t>phase 1</w:t>
      </w:r>
      <w:r w:rsidR="00BA4B91">
        <w:rPr>
          <w:rFonts w:ascii="Times New Roman" w:hAnsi="Times New Roman"/>
          <w:sz w:val="24"/>
          <w:szCs w:val="24"/>
        </w:rPr>
        <w:t xml:space="preserve">, which is completed and is here for reference, </w:t>
      </w:r>
      <w:r w:rsidRPr="006E2D13">
        <w:rPr>
          <w:rFonts w:ascii="Times New Roman" w:hAnsi="Times New Roman"/>
          <w:sz w:val="24"/>
          <w:szCs w:val="24"/>
        </w:rPr>
        <w:t xml:space="preserve"> collect</w:t>
      </w:r>
      <w:r w:rsidR="00BA4B91">
        <w:rPr>
          <w:rFonts w:ascii="Times New Roman" w:hAnsi="Times New Roman"/>
          <w:sz w:val="24"/>
          <w:szCs w:val="24"/>
        </w:rPr>
        <w:t>ed</w:t>
      </w:r>
      <w:r w:rsidRPr="006E2D13">
        <w:rPr>
          <w:rFonts w:ascii="Times New Roman" w:hAnsi="Times New Roman"/>
          <w:sz w:val="24"/>
          <w:szCs w:val="24"/>
        </w:rPr>
        <w:t xml:space="preserve"> information from homeowners </w:t>
      </w:r>
      <w:r w:rsidR="00DD1BE9" w:rsidRPr="00DD1BE9">
        <w:rPr>
          <w:rFonts w:ascii="Times New Roman" w:hAnsi="Times New Roman"/>
          <w:sz w:val="24"/>
          <w:szCs w:val="24"/>
        </w:rPr>
        <w:t>who</w:t>
      </w:r>
      <w:r w:rsidRPr="006E2D13">
        <w:rPr>
          <w:rFonts w:ascii="Times New Roman" w:hAnsi="Times New Roman"/>
          <w:sz w:val="24"/>
          <w:szCs w:val="24"/>
        </w:rPr>
        <w:t xml:space="preserve"> have re-defaulted after receiving a HAMP modification, and phase 2 </w:t>
      </w:r>
      <w:r w:rsidR="00BA4B91">
        <w:rPr>
          <w:rFonts w:ascii="Times New Roman" w:hAnsi="Times New Roman"/>
          <w:sz w:val="24"/>
          <w:szCs w:val="24"/>
        </w:rPr>
        <w:t xml:space="preserve">which </w:t>
      </w:r>
      <w:r w:rsidRPr="006E2D13">
        <w:rPr>
          <w:rFonts w:ascii="Times New Roman" w:hAnsi="Times New Roman"/>
          <w:sz w:val="24"/>
          <w:szCs w:val="24"/>
        </w:rPr>
        <w:t xml:space="preserve">will collect information from homeowners that are still </w:t>
      </w:r>
      <w:r w:rsidR="00A605CC">
        <w:rPr>
          <w:rFonts w:ascii="Times New Roman" w:hAnsi="Times New Roman"/>
          <w:sz w:val="24"/>
          <w:szCs w:val="24"/>
        </w:rPr>
        <w:t>in good standing (or “</w:t>
      </w:r>
      <w:r w:rsidRPr="006E2D13">
        <w:rPr>
          <w:rFonts w:ascii="Times New Roman" w:hAnsi="Times New Roman"/>
          <w:sz w:val="24"/>
          <w:szCs w:val="24"/>
        </w:rPr>
        <w:t>active</w:t>
      </w:r>
      <w:r w:rsidR="00A605CC">
        <w:rPr>
          <w:rFonts w:ascii="Times New Roman" w:hAnsi="Times New Roman"/>
          <w:sz w:val="24"/>
          <w:szCs w:val="24"/>
        </w:rPr>
        <w:t>”)</w:t>
      </w:r>
      <w:r w:rsidRPr="006E2D13">
        <w:rPr>
          <w:rFonts w:ascii="Times New Roman" w:hAnsi="Times New Roman"/>
          <w:sz w:val="24"/>
          <w:szCs w:val="24"/>
        </w:rPr>
        <w:t xml:space="preserve"> </w:t>
      </w:r>
      <w:r w:rsidR="00A605CC">
        <w:rPr>
          <w:rFonts w:ascii="Times New Roman" w:hAnsi="Times New Roman"/>
          <w:sz w:val="24"/>
          <w:szCs w:val="24"/>
        </w:rPr>
        <w:t>under</w:t>
      </w:r>
      <w:r w:rsidR="00A605CC" w:rsidRPr="006E2D13">
        <w:rPr>
          <w:rFonts w:ascii="Times New Roman" w:hAnsi="Times New Roman"/>
          <w:sz w:val="24"/>
          <w:szCs w:val="24"/>
        </w:rPr>
        <w:t xml:space="preserve"> </w:t>
      </w:r>
      <w:r w:rsidRPr="006E2D13">
        <w:rPr>
          <w:rFonts w:ascii="Times New Roman" w:hAnsi="Times New Roman"/>
          <w:sz w:val="24"/>
          <w:szCs w:val="24"/>
        </w:rPr>
        <w:t xml:space="preserve">their </w:t>
      </w:r>
      <w:r w:rsidR="00A605CC">
        <w:rPr>
          <w:rFonts w:ascii="Times New Roman" w:hAnsi="Times New Roman"/>
          <w:sz w:val="24"/>
          <w:szCs w:val="24"/>
        </w:rPr>
        <w:t xml:space="preserve">permanent </w:t>
      </w:r>
      <w:r w:rsidRPr="006E2D13">
        <w:rPr>
          <w:rFonts w:ascii="Times New Roman" w:hAnsi="Times New Roman"/>
          <w:sz w:val="24"/>
          <w:szCs w:val="24"/>
        </w:rPr>
        <w:t>HAMP modification and are pending a</w:t>
      </w:r>
      <w:r w:rsidR="006E2D13">
        <w:rPr>
          <w:rFonts w:ascii="Times New Roman" w:hAnsi="Times New Roman"/>
          <w:sz w:val="24"/>
          <w:szCs w:val="24"/>
        </w:rPr>
        <w:t>n interest</w:t>
      </w:r>
      <w:r w:rsidRPr="006E2D13">
        <w:rPr>
          <w:rFonts w:ascii="Times New Roman" w:hAnsi="Times New Roman"/>
          <w:sz w:val="24"/>
          <w:szCs w:val="24"/>
        </w:rPr>
        <w:t xml:space="preserve"> rate reset</w:t>
      </w:r>
      <w:r w:rsidR="004B2755">
        <w:rPr>
          <w:rStyle w:val="FootnoteReference"/>
          <w:rFonts w:ascii="Times New Roman" w:hAnsi="Times New Roman"/>
          <w:sz w:val="24"/>
          <w:szCs w:val="24"/>
        </w:rPr>
        <w:footnoteReference w:id="2"/>
      </w:r>
      <w:r w:rsidRPr="006E2D13">
        <w:rPr>
          <w:rFonts w:ascii="Times New Roman" w:hAnsi="Times New Roman"/>
          <w:sz w:val="24"/>
          <w:szCs w:val="24"/>
        </w:rPr>
        <w:t>.</w:t>
      </w:r>
    </w:p>
    <w:p w:rsidR="009C6B46" w:rsidRDefault="009C6B46" w:rsidP="006E2D13">
      <w:pPr>
        <w:pStyle w:val="ListParagraph"/>
        <w:spacing w:after="240" w:line="240" w:lineRule="auto"/>
        <w:ind w:left="360"/>
        <w:rPr>
          <w:rFonts w:ascii="Times New Roman" w:hAnsi="Times New Roman"/>
          <w:b/>
          <w:sz w:val="24"/>
          <w:szCs w:val="24"/>
        </w:rPr>
      </w:pPr>
    </w:p>
    <w:p w:rsidR="009C6B46" w:rsidRPr="006E2D13" w:rsidRDefault="000F2B04" w:rsidP="006E2D13">
      <w:pPr>
        <w:pStyle w:val="ListParagraph"/>
        <w:numPr>
          <w:ilvl w:val="0"/>
          <w:numId w:val="45"/>
        </w:numPr>
        <w:spacing w:after="240" w:line="240" w:lineRule="auto"/>
        <w:ind w:left="450" w:hanging="90"/>
        <w:rPr>
          <w:rFonts w:ascii="Times New Roman" w:hAnsi="Times New Roman"/>
          <w:b/>
          <w:sz w:val="24"/>
          <w:szCs w:val="24"/>
          <w:u w:val="single"/>
        </w:rPr>
      </w:pPr>
      <w:r w:rsidRPr="006E2D13">
        <w:rPr>
          <w:rFonts w:ascii="Times New Roman" w:hAnsi="Times New Roman"/>
          <w:b/>
          <w:sz w:val="24"/>
          <w:szCs w:val="24"/>
          <w:u w:val="single"/>
        </w:rPr>
        <w:t>Phase 1</w:t>
      </w:r>
    </w:p>
    <w:p w:rsidR="007472B2" w:rsidRDefault="007472B2" w:rsidP="00A2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A</w:t>
      </w:r>
      <w:r w:rsidRPr="004C04B1">
        <w:rPr>
          <w:rFonts w:ascii="Times New Roman" w:hAnsi="Times New Roman"/>
          <w:sz w:val="24"/>
          <w:szCs w:val="24"/>
        </w:rPr>
        <w:t xml:space="preserve">s of July 31, 2013 there have been 1,236,682 permanent </w:t>
      </w:r>
      <w:r>
        <w:rPr>
          <w:rFonts w:ascii="Times New Roman" w:hAnsi="Times New Roman"/>
          <w:sz w:val="24"/>
          <w:szCs w:val="24"/>
        </w:rPr>
        <w:t>m</w:t>
      </w:r>
      <w:r w:rsidRPr="004C04B1">
        <w:rPr>
          <w:rFonts w:ascii="Times New Roman" w:hAnsi="Times New Roman"/>
          <w:sz w:val="24"/>
          <w:szCs w:val="24"/>
        </w:rPr>
        <w:t>odifications</w:t>
      </w:r>
      <w:r>
        <w:rPr>
          <w:rFonts w:ascii="Times New Roman" w:hAnsi="Times New Roman"/>
          <w:sz w:val="24"/>
          <w:szCs w:val="24"/>
        </w:rPr>
        <w:t xml:space="preserve"> under HAMP</w:t>
      </w:r>
      <w:r w:rsidRPr="004C04B1">
        <w:rPr>
          <w:rFonts w:ascii="Times New Roman" w:hAnsi="Times New Roman"/>
          <w:sz w:val="24"/>
          <w:szCs w:val="24"/>
        </w:rPr>
        <w:t xml:space="preserve">. </w:t>
      </w:r>
      <w:r>
        <w:rPr>
          <w:rFonts w:ascii="Times New Roman" w:hAnsi="Times New Roman"/>
          <w:sz w:val="24"/>
          <w:szCs w:val="24"/>
        </w:rPr>
        <w:t xml:space="preserve"> </w:t>
      </w:r>
      <w:r w:rsidRPr="004C04B1">
        <w:rPr>
          <w:rFonts w:ascii="Times New Roman" w:hAnsi="Times New Roman"/>
          <w:sz w:val="24"/>
          <w:szCs w:val="24"/>
        </w:rPr>
        <w:t xml:space="preserve">Of those, 325,491 (or roughly 26%) have </w:t>
      </w:r>
      <w:r>
        <w:rPr>
          <w:rFonts w:ascii="Times New Roman" w:hAnsi="Times New Roman"/>
          <w:sz w:val="24"/>
          <w:szCs w:val="24"/>
        </w:rPr>
        <w:t>re-defaulted. As demonstrated in Table 1 below, this population is comprised of loans which are owned or guaranteed by Fannie Mae or Freddie Mac (“GSE Loans”), and</w:t>
      </w:r>
      <w:r w:rsidRPr="00297BA2">
        <w:rPr>
          <w:rFonts w:ascii="Times New Roman" w:hAnsi="Times New Roman"/>
          <w:sz w:val="24"/>
          <w:szCs w:val="24"/>
        </w:rPr>
        <w:t xml:space="preserve"> </w:t>
      </w:r>
      <w:r>
        <w:rPr>
          <w:rFonts w:ascii="Times New Roman" w:hAnsi="Times New Roman"/>
          <w:sz w:val="24"/>
          <w:szCs w:val="24"/>
        </w:rPr>
        <w:t>loans which are privately held (“Non-GSE Loans”).</w:t>
      </w:r>
    </w:p>
    <w:p w:rsidR="007472B2" w:rsidRPr="00E73974" w:rsidRDefault="007472B2" w:rsidP="00E73974">
      <w:pPr>
        <w:pStyle w:val="ListParagraph"/>
        <w:autoSpaceDE w:val="0"/>
        <w:autoSpaceDN w:val="0"/>
        <w:adjustRightInd w:val="0"/>
        <w:spacing w:after="0"/>
        <w:ind w:left="1350" w:firstLine="540"/>
        <w:rPr>
          <w:rFonts w:ascii="Times New Roman" w:hAnsi="Times New Roman"/>
          <w:sz w:val="24"/>
          <w:szCs w:val="24"/>
        </w:rPr>
      </w:pPr>
      <w:r w:rsidRPr="00E73974">
        <w:rPr>
          <w:rFonts w:ascii="Times New Roman" w:hAnsi="Times New Roman"/>
          <w:bCs/>
          <w:sz w:val="24"/>
          <w:szCs w:val="24"/>
        </w:rPr>
        <w:t>Table 1: HAMP Re-Defaults As of July 31, 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9"/>
        <w:gridCol w:w="2829"/>
        <w:gridCol w:w="1886"/>
      </w:tblGrid>
      <w:tr w:rsidR="007472B2" w:rsidRPr="00E73974" w:rsidTr="00E73974">
        <w:trPr>
          <w:trHeight w:val="323"/>
          <w:jc w:val="center"/>
        </w:trPr>
        <w:tc>
          <w:tcPr>
            <w:tcW w:w="1989" w:type="dxa"/>
          </w:tcPr>
          <w:p w:rsidR="007472B2" w:rsidRPr="00E73974" w:rsidRDefault="007472B2"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2829" w:type="dxa"/>
          </w:tcPr>
          <w:p w:rsidR="007472B2" w:rsidRDefault="007472B2"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73974">
              <w:rPr>
                <w:rFonts w:ascii="Times New Roman" w:hAnsi="Times New Roman"/>
                <w:b/>
                <w:sz w:val="24"/>
                <w:szCs w:val="24"/>
              </w:rPr>
              <w:t xml:space="preserve">No. of Permanent </w:t>
            </w:r>
          </w:p>
          <w:p w:rsidR="007472B2" w:rsidRPr="00E73974" w:rsidRDefault="007472B2"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73974">
              <w:rPr>
                <w:rFonts w:ascii="Times New Roman" w:hAnsi="Times New Roman"/>
                <w:b/>
                <w:sz w:val="24"/>
                <w:szCs w:val="24"/>
              </w:rPr>
              <w:t>HAMP Modifications</w:t>
            </w:r>
          </w:p>
        </w:tc>
        <w:tc>
          <w:tcPr>
            <w:tcW w:w="1886" w:type="dxa"/>
          </w:tcPr>
          <w:p w:rsidR="007472B2" w:rsidRDefault="007472B2"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73974">
              <w:rPr>
                <w:rFonts w:ascii="Times New Roman" w:hAnsi="Times New Roman"/>
                <w:b/>
                <w:sz w:val="24"/>
                <w:szCs w:val="24"/>
              </w:rPr>
              <w:t xml:space="preserve">No. of </w:t>
            </w:r>
          </w:p>
          <w:p w:rsidR="007472B2" w:rsidRPr="00E73974" w:rsidRDefault="007472B2"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73974">
              <w:rPr>
                <w:rFonts w:ascii="Times New Roman" w:hAnsi="Times New Roman"/>
                <w:b/>
                <w:sz w:val="24"/>
                <w:szCs w:val="24"/>
              </w:rPr>
              <w:t>Re-Defaults</w:t>
            </w:r>
          </w:p>
        </w:tc>
      </w:tr>
      <w:tr w:rsidR="007472B2" w:rsidRPr="00E73974" w:rsidTr="00E73974">
        <w:trPr>
          <w:jc w:val="center"/>
        </w:trPr>
        <w:tc>
          <w:tcPr>
            <w:tcW w:w="1989" w:type="dxa"/>
          </w:tcPr>
          <w:p w:rsidR="007472B2" w:rsidRPr="00E73974" w:rsidRDefault="007472B2"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73974">
              <w:rPr>
                <w:rFonts w:ascii="Times New Roman" w:hAnsi="Times New Roman"/>
                <w:sz w:val="24"/>
                <w:szCs w:val="24"/>
              </w:rPr>
              <w:t>Non-GSE Loans</w:t>
            </w:r>
          </w:p>
        </w:tc>
        <w:tc>
          <w:tcPr>
            <w:tcW w:w="2829" w:type="dxa"/>
          </w:tcPr>
          <w:p w:rsidR="007472B2" w:rsidRPr="00E73974" w:rsidRDefault="007472B2"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E73974">
              <w:rPr>
                <w:rFonts w:ascii="Times New Roman" w:hAnsi="Times New Roman"/>
                <w:sz w:val="24"/>
                <w:szCs w:val="24"/>
              </w:rPr>
              <w:t>639,878</w:t>
            </w:r>
          </w:p>
        </w:tc>
        <w:tc>
          <w:tcPr>
            <w:tcW w:w="1886" w:type="dxa"/>
          </w:tcPr>
          <w:p w:rsidR="007472B2" w:rsidRPr="00E73974" w:rsidRDefault="007472B2"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E73974">
              <w:rPr>
                <w:rFonts w:ascii="Times New Roman" w:hAnsi="Times New Roman"/>
                <w:sz w:val="24"/>
                <w:szCs w:val="24"/>
              </w:rPr>
              <w:t>175,708</w:t>
            </w:r>
          </w:p>
        </w:tc>
      </w:tr>
      <w:tr w:rsidR="007472B2" w:rsidRPr="00E73974" w:rsidTr="00E73974">
        <w:trPr>
          <w:jc w:val="center"/>
        </w:trPr>
        <w:tc>
          <w:tcPr>
            <w:tcW w:w="1989" w:type="dxa"/>
          </w:tcPr>
          <w:p w:rsidR="007472B2" w:rsidRPr="00E73974" w:rsidRDefault="007472B2"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73974">
              <w:rPr>
                <w:rFonts w:ascii="Times New Roman" w:hAnsi="Times New Roman"/>
                <w:sz w:val="24"/>
                <w:szCs w:val="24"/>
              </w:rPr>
              <w:t>GSE Loans</w:t>
            </w:r>
          </w:p>
        </w:tc>
        <w:tc>
          <w:tcPr>
            <w:tcW w:w="2829" w:type="dxa"/>
          </w:tcPr>
          <w:p w:rsidR="007472B2" w:rsidRPr="00E73974" w:rsidRDefault="007472B2"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E73974">
              <w:rPr>
                <w:rFonts w:ascii="Times New Roman" w:hAnsi="Times New Roman"/>
                <w:sz w:val="24"/>
                <w:szCs w:val="24"/>
              </w:rPr>
              <w:t>596,804</w:t>
            </w:r>
          </w:p>
        </w:tc>
        <w:tc>
          <w:tcPr>
            <w:tcW w:w="1886" w:type="dxa"/>
          </w:tcPr>
          <w:p w:rsidR="007472B2" w:rsidRPr="00E73974" w:rsidRDefault="007472B2"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E73974">
              <w:rPr>
                <w:rFonts w:ascii="Times New Roman" w:hAnsi="Times New Roman"/>
                <w:sz w:val="24"/>
                <w:szCs w:val="24"/>
              </w:rPr>
              <w:t>149,783</w:t>
            </w:r>
          </w:p>
        </w:tc>
      </w:tr>
      <w:tr w:rsidR="007472B2" w:rsidRPr="00E73974" w:rsidTr="00E73974">
        <w:trPr>
          <w:jc w:val="center"/>
        </w:trPr>
        <w:tc>
          <w:tcPr>
            <w:tcW w:w="1989" w:type="dxa"/>
          </w:tcPr>
          <w:p w:rsidR="007472B2" w:rsidRPr="00E73974" w:rsidRDefault="007472B2"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sz w:val="24"/>
                <w:szCs w:val="24"/>
              </w:rPr>
            </w:pPr>
            <w:r w:rsidRPr="00E73974">
              <w:rPr>
                <w:rFonts w:ascii="Times New Roman" w:hAnsi="Times New Roman"/>
                <w:sz w:val="24"/>
                <w:szCs w:val="24"/>
              </w:rPr>
              <w:t>Total</w:t>
            </w:r>
          </w:p>
        </w:tc>
        <w:tc>
          <w:tcPr>
            <w:tcW w:w="2829" w:type="dxa"/>
          </w:tcPr>
          <w:p w:rsidR="007472B2" w:rsidRPr="00E73974" w:rsidRDefault="007472B2"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E73974">
              <w:rPr>
                <w:rFonts w:ascii="Times New Roman" w:hAnsi="Times New Roman"/>
                <w:sz w:val="24"/>
                <w:szCs w:val="24"/>
              </w:rPr>
              <w:t>1,236,682</w:t>
            </w:r>
          </w:p>
        </w:tc>
        <w:tc>
          <w:tcPr>
            <w:tcW w:w="1886" w:type="dxa"/>
          </w:tcPr>
          <w:p w:rsidR="007472B2" w:rsidRPr="00E73974" w:rsidRDefault="007472B2" w:rsidP="00E140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E73974">
              <w:rPr>
                <w:rFonts w:ascii="Times New Roman" w:hAnsi="Times New Roman"/>
                <w:sz w:val="24"/>
                <w:szCs w:val="24"/>
              </w:rPr>
              <w:t>325,491</w:t>
            </w:r>
          </w:p>
        </w:tc>
      </w:tr>
    </w:tbl>
    <w:p w:rsidR="007472B2" w:rsidRDefault="007472B2" w:rsidP="00A2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p>
    <w:p w:rsidR="007472B2" w:rsidRDefault="007472B2" w:rsidP="00A2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While the Administration considers HAMP to be a single, comprehensive program</w:t>
      </w:r>
      <w:r w:rsidRPr="003C5B6E">
        <w:rPr>
          <w:rFonts w:ascii="Times New Roman" w:hAnsi="Times New Roman"/>
          <w:sz w:val="24"/>
          <w:szCs w:val="24"/>
        </w:rPr>
        <w:t xml:space="preserve">, </w:t>
      </w:r>
      <w:r>
        <w:rPr>
          <w:rFonts w:ascii="Times New Roman" w:hAnsi="Times New Roman"/>
          <w:sz w:val="24"/>
          <w:szCs w:val="24"/>
        </w:rPr>
        <w:t xml:space="preserve">the management occurs </w:t>
      </w:r>
      <w:r w:rsidRPr="003C5B6E">
        <w:rPr>
          <w:rFonts w:ascii="Times New Roman" w:hAnsi="Times New Roman"/>
          <w:sz w:val="24"/>
          <w:szCs w:val="24"/>
        </w:rPr>
        <w:t>separately</w:t>
      </w:r>
      <w:r>
        <w:rPr>
          <w:rFonts w:ascii="Times New Roman" w:hAnsi="Times New Roman"/>
          <w:sz w:val="24"/>
          <w:szCs w:val="24"/>
        </w:rPr>
        <w:t xml:space="preserve"> for Non-GSE Loans and GSE Loans</w:t>
      </w:r>
      <w:r w:rsidRPr="003C5B6E">
        <w:rPr>
          <w:rFonts w:ascii="Times New Roman" w:hAnsi="Times New Roman"/>
          <w:sz w:val="24"/>
          <w:szCs w:val="24"/>
        </w:rPr>
        <w:t xml:space="preserve">. </w:t>
      </w:r>
      <w:r>
        <w:rPr>
          <w:rFonts w:ascii="Times New Roman" w:hAnsi="Times New Roman"/>
          <w:sz w:val="24"/>
          <w:szCs w:val="24"/>
        </w:rPr>
        <w:t xml:space="preserve"> Treasury sets program requirements for modifications of Non-GSE Loans, whereas Fannie Mae and Freddie Mac set program requirements for modifications of GSE Loans. </w:t>
      </w:r>
    </w:p>
    <w:p w:rsidR="007472B2" w:rsidRDefault="007472B2" w:rsidP="00FE0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 xml:space="preserve">The target population for Treasury’s study </w:t>
      </w:r>
      <w:r w:rsidR="00C17DF3">
        <w:rPr>
          <w:rFonts w:ascii="Times New Roman" w:hAnsi="Times New Roman"/>
          <w:sz w:val="24"/>
          <w:szCs w:val="24"/>
        </w:rPr>
        <w:t>was</w:t>
      </w:r>
      <w:r>
        <w:rPr>
          <w:rFonts w:ascii="Times New Roman" w:hAnsi="Times New Roman"/>
          <w:sz w:val="24"/>
          <w:szCs w:val="24"/>
        </w:rPr>
        <w:t xml:space="preserve"> </w:t>
      </w:r>
      <w:r w:rsidRPr="000312AD">
        <w:rPr>
          <w:rFonts w:ascii="Times New Roman" w:hAnsi="Times New Roman"/>
          <w:sz w:val="24"/>
          <w:szCs w:val="24"/>
        </w:rPr>
        <w:t xml:space="preserve">homeowners </w:t>
      </w:r>
      <w:r>
        <w:rPr>
          <w:rFonts w:ascii="Times New Roman" w:hAnsi="Times New Roman"/>
          <w:sz w:val="24"/>
          <w:szCs w:val="24"/>
        </w:rPr>
        <w:t xml:space="preserve">with Non-GSE Loans </w:t>
      </w:r>
      <w:r w:rsidRPr="000312AD">
        <w:rPr>
          <w:rFonts w:ascii="Times New Roman" w:hAnsi="Times New Roman"/>
          <w:sz w:val="24"/>
          <w:szCs w:val="24"/>
        </w:rPr>
        <w:t xml:space="preserve">who received </w:t>
      </w:r>
      <w:r>
        <w:rPr>
          <w:rFonts w:ascii="Times New Roman" w:hAnsi="Times New Roman"/>
          <w:sz w:val="24"/>
          <w:szCs w:val="24"/>
        </w:rPr>
        <w:t xml:space="preserve">permanent </w:t>
      </w:r>
      <w:r w:rsidRPr="000312AD">
        <w:rPr>
          <w:rFonts w:ascii="Times New Roman" w:hAnsi="Times New Roman"/>
          <w:sz w:val="24"/>
          <w:szCs w:val="24"/>
        </w:rPr>
        <w:t>mortgage modifications under HAMP and subsequently missed three consecutive payments</w:t>
      </w:r>
      <w:r>
        <w:rPr>
          <w:rFonts w:ascii="Times New Roman" w:hAnsi="Times New Roman"/>
          <w:sz w:val="24"/>
          <w:szCs w:val="24"/>
        </w:rPr>
        <w:t xml:space="preserve"> (“re-defaulted”).  In order to have a large enough sample of homeowners to survey who have </w:t>
      </w:r>
      <w:r w:rsidR="001B7482">
        <w:rPr>
          <w:rFonts w:ascii="Times New Roman" w:hAnsi="Times New Roman"/>
          <w:sz w:val="24"/>
          <w:szCs w:val="24"/>
        </w:rPr>
        <w:t xml:space="preserve">had </w:t>
      </w:r>
      <w:r>
        <w:rPr>
          <w:rFonts w:ascii="Times New Roman" w:hAnsi="Times New Roman"/>
          <w:sz w:val="24"/>
          <w:szCs w:val="24"/>
        </w:rPr>
        <w:t xml:space="preserve">recent experience with the issue, the universe of potential respondents </w:t>
      </w:r>
      <w:r w:rsidR="006E2D13">
        <w:rPr>
          <w:rFonts w:ascii="Times New Roman" w:hAnsi="Times New Roman"/>
          <w:sz w:val="24"/>
          <w:szCs w:val="24"/>
        </w:rPr>
        <w:t>consist</w:t>
      </w:r>
      <w:r w:rsidR="00C17DF3">
        <w:rPr>
          <w:rFonts w:ascii="Times New Roman" w:hAnsi="Times New Roman"/>
          <w:sz w:val="24"/>
          <w:szCs w:val="24"/>
        </w:rPr>
        <w:t>ed</w:t>
      </w:r>
      <w:r w:rsidR="006E2D13">
        <w:rPr>
          <w:rFonts w:ascii="Times New Roman" w:hAnsi="Times New Roman"/>
          <w:sz w:val="24"/>
          <w:szCs w:val="24"/>
        </w:rPr>
        <w:t xml:space="preserve"> of</w:t>
      </w:r>
      <w:r>
        <w:rPr>
          <w:rFonts w:ascii="Times New Roman" w:hAnsi="Times New Roman"/>
          <w:sz w:val="24"/>
          <w:szCs w:val="24"/>
        </w:rPr>
        <w:t xml:space="preserve"> those who missed their third consecutive payment on or after August 1, 2011.  </w:t>
      </w:r>
    </w:p>
    <w:p w:rsidR="007472B2" w:rsidRDefault="007472B2" w:rsidP="00FE0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 xml:space="preserve">The sample for phase 1 of the study </w:t>
      </w:r>
      <w:r w:rsidR="00C17DF3">
        <w:rPr>
          <w:rFonts w:ascii="Times New Roman" w:hAnsi="Times New Roman"/>
          <w:sz w:val="24"/>
          <w:szCs w:val="24"/>
        </w:rPr>
        <w:t>was</w:t>
      </w:r>
      <w:r>
        <w:rPr>
          <w:rFonts w:ascii="Times New Roman" w:hAnsi="Times New Roman"/>
          <w:sz w:val="24"/>
          <w:szCs w:val="24"/>
        </w:rPr>
        <w:t xml:space="preserve"> stratified by two criteria: 1) Homeowner’s change in payment between their pre-modification payment and modified payment as a percentage (P&amp;I Change), and 2) Homeowner’s delinquency status </w:t>
      </w:r>
      <w:r w:rsidRPr="00A25972">
        <w:rPr>
          <w:rFonts w:ascii="Times New Roman" w:hAnsi="Times New Roman"/>
          <w:sz w:val="24"/>
          <w:szCs w:val="24"/>
          <w:u w:val="single"/>
        </w:rPr>
        <w:t>at the start</w:t>
      </w:r>
      <w:r>
        <w:rPr>
          <w:rFonts w:ascii="Times New Roman" w:hAnsi="Times New Roman"/>
          <w:sz w:val="24"/>
          <w:szCs w:val="24"/>
        </w:rPr>
        <w:t xml:space="preserve"> of the HAMP modification’s trial period (Delinquency at Trial).  Prior research has shown that these two </w:t>
      </w:r>
      <w:r>
        <w:rPr>
          <w:rFonts w:ascii="Times New Roman" w:hAnsi="Times New Roman"/>
          <w:sz w:val="24"/>
          <w:szCs w:val="24"/>
        </w:rPr>
        <w:lastRenderedPageBreak/>
        <w:t xml:space="preserve">variables significantly relate to subsequent HAMP performance.  These criteria </w:t>
      </w:r>
      <w:r w:rsidR="00C17DF3">
        <w:rPr>
          <w:rFonts w:ascii="Times New Roman" w:hAnsi="Times New Roman"/>
          <w:sz w:val="24"/>
          <w:szCs w:val="24"/>
        </w:rPr>
        <w:t xml:space="preserve">were </w:t>
      </w:r>
      <w:r>
        <w:rPr>
          <w:rFonts w:ascii="Times New Roman" w:hAnsi="Times New Roman"/>
          <w:sz w:val="24"/>
          <w:szCs w:val="24"/>
        </w:rPr>
        <w:t>further broken down into six groups as described in the example provided in Table 2:</w:t>
      </w:r>
      <w:r w:rsidRPr="000249A4">
        <w:rPr>
          <w:rFonts w:ascii="Times New Roman" w:hAnsi="Times New Roman"/>
          <w:bCs/>
          <w:sz w:val="24"/>
          <w:szCs w:val="24"/>
        </w:rPr>
        <w:t xml:space="preserve"> </w:t>
      </w:r>
      <w:r w:rsidRPr="00E10E85">
        <w:rPr>
          <w:rFonts w:ascii="Times New Roman" w:hAnsi="Times New Roman"/>
          <w:bCs/>
          <w:sz w:val="24"/>
          <w:szCs w:val="24"/>
        </w:rPr>
        <w:t xml:space="preserve">Desired Response Broken Down by Re-Default Target </w:t>
      </w:r>
      <w:r>
        <w:rPr>
          <w:rFonts w:ascii="Times New Roman" w:hAnsi="Times New Roman"/>
          <w:bCs/>
          <w:sz w:val="24"/>
          <w:szCs w:val="24"/>
        </w:rPr>
        <w:t>Homeowners</w:t>
      </w:r>
      <w:r w:rsidRPr="00E10E85">
        <w:rPr>
          <w:rFonts w:ascii="Times New Roman" w:hAnsi="Times New Roman"/>
          <w:bCs/>
          <w:sz w:val="24"/>
          <w:szCs w:val="24"/>
        </w:rPr>
        <w:t xml:space="preserve"> Sampling Categories</w:t>
      </w:r>
      <w:r>
        <w:rPr>
          <w:rFonts w:ascii="Times New Roman" w:hAnsi="Times New Roman"/>
          <w:sz w:val="24"/>
          <w:szCs w:val="24"/>
        </w:rPr>
        <w:t xml:space="preserve">.  </w:t>
      </w:r>
    </w:p>
    <w:p w:rsidR="007472B2" w:rsidRDefault="007472B2" w:rsidP="00010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 xml:space="preserve">Treasury’s goal for phase 1 </w:t>
      </w:r>
      <w:r w:rsidR="00C17DF3">
        <w:rPr>
          <w:rFonts w:ascii="Times New Roman" w:hAnsi="Times New Roman"/>
          <w:sz w:val="24"/>
          <w:szCs w:val="24"/>
        </w:rPr>
        <w:t xml:space="preserve">was </w:t>
      </w:r>
      <w:r>
        <w:rPr>
          <w:rFonts w:ascii="Times New Roman" w:hAnsi="Times New Roman"/>
          <w:sz w:val="24"/>
          <w:szCs w:val="24"/>
        </w:rPr>
        <w:t xml:space="preserve">to collect a total of 2400 survey responses, with 400 responses in each group.  </w:t>
      </w:r>
    </w:p>
    <w:p w:rsidR="007472B2" w:rsidRDefault="007472B2" w:rsidP="0001094E">
      <w:pPr>
        <w:pStyle w:val="ListParagraph"/>
        <w:autoSpaceDE w:val="0"/>
        <w:autoSpaceDN w:val="0"/>
        <w:adjustRightInd w:val="0"/>
        <w:spacing w:after="0"/>
        <w:ind w:left="1080"/>
        <w:rPr>
          <w:rFonts w:ascii="Times New Roman" w:hAnsi="Times New Roman"/>
          <w:bCs/>
          <w:sz w:val="24"/>
          <w:szCs w:val="24"/>
        </w:rPr>
      </w:pPr>
      <w:r w:rsidRPr="00E10E85">
        <w:rPr>
          <w:rFonts w:ascii="Times New Roman" w:hAnsi="Times New Roman"/>
          <w:bCs/>
          <w:sz w:val="24"/>
          <w:szCs w:val="24"/>
        </w:rPr>
        <w:t xml:space="preserve">Table </w:t>
      </w:r>
      <w:r>
        <w:rPr>
          <w:rFonts w:ascii="Times New Roman" w:hAnsi="Times New Roman"/>
          <w:bCs/>
          <w:sz w:val="24"/>
          <w:szCs w:val="24"/>
        </w:rPr>
        <w:t>2</w:t>
      </w:r>
      <w:r w:rsidRPr="00E10E85">
        <w:rPr>
          <w:rFonts w:ascii="Times New Roman" w:hAnsi="Times New Roman"/>
          <w:bCs/>
          <w:sz w:val="24"/>
          <w:szCs w:val="24"/>
        </w:rPr>
        <w:t xml:space="preserve">: Desired Response Broken Down by Re-Default Target </w:t>
      </w:r>
      <w:r>
        <w:rPr>
          <w:rFonts w:ascii="Times New Roman" w:hAnsi="Times New Roman"/>
          <w:bCs/>
          <w:sz w:val="24"/>
          <w:szCs w:val="24"/>
        </w:rPr>
        <w:t>Homeowners</w:t>
      </w:r>
      <w:r w:rsidRPr="00E10E85">
        <w:rPr>
          <w:rFonts w:ascii="Times New Roman" w:hAnsi="Times New Roman"/>
          <w:bCs/>
          <w:sz w:val="24"/>
          <w:szCs w:val="24"/>
        </w:rPr>
        <w:t xml:space="preserve"> Sampling Categories</w:t>
      </w:r>
    </w:p>
    <w:p w:rsidR="007472B2" w:rsidRDefault="007472B2" w:rsidP="0001094E">
      <w:pPr>
        <w:spacing w:after="0" w:line="240" w:lineRule="auto"/>
        <w:ind w:left="360"/>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260"/>
        <w:gridCol w:w="2007"/>
        <w:gridCol w:w="1080"/>
        <w:gridCol w:w="1440"/>
      </w:tblGrid>
      <w:tr w:rsidR="007472B2" w:rsidRPr="00E10E85" w:rsidTr="00E73974">
        <w:trPr>
          <w:trHeight w:val="530"/>
          <w:jc w:val="center"/>
        </w:trPr>
        <w:tc>
          <w:tcPr>
            <w:tcW w:w="2520" w:type="dxa"/>
            <w:vAlign w:val="center"/>
          </w:tcPr>
          <w:p w:rsidR="007472B2" w:rsidRPr="00F8786D" w:rsidRDefault="007472B2" w:rsidP="00E73974">
            <w:pPr>
              <w:spacing w:after="0"/>
              <w:jc w:val="center"/>
              <w:rPr>
                <w:rFonts w:ascii="Times New Roman" w:hAnsi="Times New Roman"/>
                <w:b/>
                <w:sz w:val="24"/>
                <w:szCs w:val="24"/>
              </w:rPr>
            </w:pPr>
          </w:p>
        </w:tc>
        <w:tc>
          <w:tcPr>
            <w:tcW w:w="5787" w:type="dxa"/>
            <w:gridSpan w:val="4"/>
            <w:vAlign w:val="center"/>
          </w:tcPr>
          <w:p w:rsidR="007472B2" w:rsidRPr="00F8786D" w:rsidRDefault="007472B2" w:rsidP="00E73974">
            <w:pPr>
              <w:spacing w:after="0"/>
              <w:jc w:val="center"/>
              <w:rPr>
                <w:rFonts w:ascii="Times New Roman" w:hAnsi="Times New Roman"/>
                <w:b/>
                <w:sz w:val="24"/>
                <w:szCs w:val="24"/>
              </w:rPr>
            </w:pPr>
            <w:r w:rsidRPr="00F8786D">
              <w:rPr>
                <w:rFonts w:ascii="Times New Roman" w:hAnsi="Times New Roman"/>
                <w:b/>
                <w:sz w:val="24"/>
                <w:szCs w:val="24"/>
              </w:rPr>
              <w:t>P&amp;I Change</w:t>
            </w:r>
          </w:p>
        </w:tc>
      </w:tr>
      <w:tr w:rsidR="007472B2" w:rsidRPr="00E10E85" w:rsidTr="00E73974">
        <w:trPr>
          <w:trHeight w:val="530"/>
          <w:jc w:val="center"/>
        </w:trPr>
        <w:tc>
          <w:tcPr>
            <w:tcW w:w="2520" w:type="dxa"/>
            <w:vAlign w:val="center"/>
          </w:tcPr>
          <w:p w:rsidR="007472B2" w:rsidRPr="00F8786D" w:rsidRDefault="007472B2" w:rsidP="00E73974">
            <w:pPr>
              <w:spacing w:after="0"/>
              <w:jc w:val="center"/>
              <w:rPr>
                <w:rFonts w:ascii="Times New Roman" w:hAnsi="Times New Roman"/>
                <w:b/>
                <w:sz w:val="24"/>
                <w:szCs w:val="24"/>
              </w:rPr>
            </w:pPr>
            <w:r w:rsidRPr="00F8786D">
              <w:rPr>
                <w:rFonts w:ascii="Times New Roman" w:hAnsi="Times New Roman"/>
                <w:b/>
                <w:sz w:val="24"/>
                <w:szCs w:val="24"/>
              </w:rPr>
              <w:t xml:space="preserve">Delinquency at </w:t>
            </w:r>
            <w:r>
              <w:rPr>
                <w:rFonts w:ascii="Times New Roman" w:hAnsi="Times New Roman"/>
                <w:b/>
                <w:sz w:val="24"/>
                <w:szCs w:val="24"/>
              </w:rPr>
              <w:t xml:space="preserve"> </w:t>
            </w:r>
            <w:r w:rsidRPr="00F8786D">
              <w:rPr>
                <w:rFonts w:ascii="Times New Roman" w:hAnsi="Times New Roman"/>
                <w:b/>
                <w:sz w:val="24"/>
                <w:szCs w:val="24"/>
              </w:rPr>
              <w:t>Trial</w:t>
            </w:r>
          </w:p>
        </w:tc>
        <w:tc>
          <w:tcPr>
            <w:tcW w:w="1260" w:type="dxa"/>
            <w:vAlign w:val="center"/>
          </w:tcPr>
          <w:p w:rsidR="007472B2" w:rsidRPr="00F8786D" w:rsidRDefault="007472B2" w:rsidP="00E73974">
            <w:pPr>
              <w:spacing w:after="0"/>
              <w:jc w:val="center"/>
              <w:rPr>
                <w:rFonts w:ascii="Times New Roman" w:hAnsi="Times New Roman"/>
                <w:b/>
                <w:sz w:val="24"/>
                <w:szCs w:val="24"/>
              </w:rPr>
            </w:pPr>
            <w:r w:rsidRPr="00F8786D">
              <w:rPr>
                <w:rFonts w:ascii="Times New Roman" w:hAnsi="Times New Roman"/>
                <w:b/>
                <w:sz w:val="24"/>
                <w:szCs w:val="24"/>
              </w:rPr>
              <w:t>&lt;=24%</w:t>
            </w:r>
          </w:p>
        </w:tc>
        <w:tc>
          <w:tcPr>
            <w:tcW w:w="2007" w:type="dxa"/>
            <w:vAlign w:val="center"/>
          </w:tcPr>
          <w:p w:rsidR="007472B2" w:rsidRPr="00F8786D" w:rsidRDefault="007472B2" w:rsidP="00E73974">
            <w:pPr>
              <w:spacing w:after="0"/>
              <w:jc w:val="center"/>
              <w:rPr>
                <w:rFonts w:ascii="Times New Roman" w:hAnsi="Times New Roman"/>
                <w:b/>
                <w:sz w:val="24"/>
                <w:szCs w:val="24"/>
              </w:rPr>
            </w:pPr>
            <w:r>
              <w:rPr>
                <w:rFonts w:ascii="Times New Roman" w:hAnsi="Times New Roman"/>
                <w:b/>
                <w:sz w:val="24"/>
                <w:szCs w:val="24"/>
              </w:rPr>
              <w:t>&gt;</w:t>
            </w:r>
            <w:r w:rsidRPr="00F8786D">
              <w:rPr>
                <w:rFonts w:ascii="Times New Roman" w:hAnsi="Times New Roman"/>
                <w:b/>
                <w:sz w:val="24"/>
                <w:szCs w:val="24"/>
              </w:rPr>
              <w:t xml:space="preserve">24% - </w:t>
            </w:r>
            <w:r>
              <w:rPr>
                <w:rFonts w:ascii="Times New Roman" w:hAnsi="Times New Roman"/>
                <w:b/>
                <w:sz w:val="24"/>
                <w:szCs w:val="24"/>
              </w:rPr>
              <w:t>&lt;=</w:t>
            </w:r>
            <w:r w:rsidRPr="00F8786D">
              <w:rPr>
                <w:rFonts w:ascii="Times New Roman" w:hAnsi="Times New Roman"/>
                <w:b/>
                <w:sz w:val="24"/>
                <w:szCs w:val="24"/>
              </w:rPr>
              <w:t>42%</w:t>
            </w:r>
          </w:p>
        </w:tc>
        <w:tc>
          <w:tcPr>
            <w:tcW w:w="1080" w:type="dxa"/>
            <w:vAlign w:val="center"/>
          </w:tcPr>
          <w:p w:rsidR="007472B2" w:rsidRPr="00F8786D" w:rsidRDefault="007472B2" w:rsidP="00E73974">
            <w:pPr>
              <w:spacing w:after="0"/>
              <w:jc w:val="center"/>
              <w:rPr>
                <w:rFonts w:ascii="Times New Roman" w:hAnsi="Times New Roman"/>
                <w:b/>
                <w:sz w:val="24"/>
                <w:szCs w:val="24"/>
              </w:rPr>
            </w:pPr>
            <w:r w:rsidRPr="00F8786D">
              <w:rPr>
                <w:rFonts w:ascii="Times New Roman" w:hAnsi="Times New Roman"/>
                <w:b/>
                <w:sz w:val="24"/>
                <w:szCs w:val="24"/>
              </w:rPr>
              <w:t>&gt;42%</w:t>
            </w:r>
          </w:p>
        </w:tc>
        <w:tc>
          <w:tcPr>
            <w:tcW w:w="1440" w:type="dxa"/>
            <w:vAlign w:val="center"/>
          </w:tcPr>
          <w:p w:rsidR="007472B2" w:rsidRPr="00F8786D" w:rsidRDefault="007472B2" w:rsidP="00E73974">
            <w:pPr>
              <w:spacing w:after="0"/>
              <w:jc w:val="center"/>
              <w:rPr>
                <w:rFonts w:ascii="Times New Roman" w:hAnsi="Times New Roman"/>
                <w:b/>
                <w:sz w:val="24"/>
                <w:szCs w:val="24"/>
              </w:rPr>
            </w:pPr>
            <w:r>
              <w:rPr>
                <w:rFonts w:ascii="Times New Roman" w:hAnsi="Times New Roman"/>
                <w:b/>
                <w:sz w:val="24"/>
                <w:szCs w:val="24"/>
              </w:rPr>
              <w:t>Total</w:t>
            </w:r>
          </w:p>
        </w:tc>
      </w:tr>
      <w:tr w:rsidR="007472B2" w:rsidRPr="00E10E85" w:rsidTr="00E73974">
        <w:trPr>
          <w:trHeight w:val="530"/>
          <w:jc w:val="center"/>
        </w:trPr>
        <w:tc>
          <w:tcPr>
            <w:tcW w:w="2520" w:type="dxa"/>
            <w:vAlign w:val="center"/>
          </w:tcPr>
          <w:p w:rsidR="007472B2" w:rsidRPr="00F8786D" w:rsidRDefault="007472B2" w:rsidP="00E73974">
            <w:pPr>
              <w:spacing w:after="0"/>
              <w:jc w:val="center"/>
              <w:rPr>
                <w:rFonts w:ascii="Times New Roman" w:hAnsi="Times New Roman"/>
                <w:b/>
                <w:sz w:val="24"/>
                <w:szCs w:val="24"/>
              </w:rPr>
            </w:pPr>
            <w:r w:rsidRPr="00F8786D">
              <w:rPr>
                <w:rFonts w:ascii="Times New Roman" w:hAnsi="Times New Roman"/>
                <w:b/>
                <w:sz w:val="24"/>
                <w:szCs w:val="24"/>
              </w:rPr>
              <w:t>&lt;= 6 months</w:t>
            </w:r>
          </w:p>
        </w:tc>
        <w:tc>
          <w:tcPr>
            <w:tcW w:w="1260" w:type="dxa"/>
            <w:vAlign w:val="center"/>
          </w:tcPr>
          <w:p w:rsidR="007472B2" w:rsidRPr="00E10E85" w:rsidRDefault="007472B2" w:rsidP="00E73974">
            <w:pPr>
              <w:spacing w:after="0"/>
              <w:jc w:val="center"/>
              <w:rPr>
                <w:rFonts w:ascii="Times New Roman" w:hAnsi="Times New Roman"/>
                <w:sz w:val="24"/>
                <w:szCs w:val="24"/>
              </w:rPr>
            </w:pPr>
            <w:r w:rsidRPr="00E10E85">
              <w:rPr>
                <w:rFonts w:ascii="Times New Roman" w:hAnsi="Times New Roman"/>
                <w:sz w:val="24"/>
                <w:szCs w:val="24"/>
              </w:rPr>
              <w:t>400</w:t>
            </w:r>
          </w:p>
        </w:tc>
        <w:tc>
          <w:tcPr>
            <w:tcW w:w="2007" w:type="dxa"/>
            <w:vAlign w:val="center"/>
          </w:tcPr>
          <w:p w:rsidR="007472B2" w:rsidRPr="00E10E85" w:rsidRDefault="007472B2" w:rsidP="00E73974">
            <w:pPr>
              <w:spacing w:after="0"/>
              <w:jc w:val="center"/>
              <w:rPr>
                <w:rFonts w:ascii="Times New Roman" w:hAnsi="Times New Roman"/>
                <w:sz w:val="24"/>
                <w:szCs w:val="24"/>
              </w:rPr>
            </w:pPr>
            <w:r w:rsidRPr="00E10E85">
              <w:rPr>
                <w:rFonts w:ascii="Times New Roman" w:hAnsi="Times New Roman"/>
                <w:sz w:val="24"/>
                <w:szCs w:val="24"/>
              </w:rPr>
              <w:t>400</w:t>
            </w:r>
          </w:p>
        </w:tc>
        <w:tc>
          <w:tcPr>
            <w:tcW w:w="1080" w:type="dxa"/>
            <w:vAlign w:val="center"/>
          </w:tcPr>
          <w:p w:rsidR="007472B2" w:rsidRPr="00E10E85" w:rsidRDefault="007472B2" w:rsidP="00E73974">
            <w:pPr>
              <w:spacing w:after="0"/>
              <w:jc w:val="center"/>
              <w:rPr>
                <w:rFonts w:ascii="Times New Roman" w:hAnsi="Times New Roman"/>
                <w:sz w:val="24"/>
                <w:szCs w:val="24"/>
              </w:rPr>
            </w:pPr>
            <w:r w:rsidRPr="00E10E85">
              <w:rPr>
                <w:rFonts w:ascii="Times New Roman" w:hAnsi="Times New Roman"/>
                <w:sz w:val="24"/>
                <w:szCs w:val="24"/>
              </w:rPr>
              <w:t>400</w:t>
            </w:r>
          </w:p>
        </w:tc>
        <w:tc>
          <w:tcPr>
            <w:tcW w:w="1440" w:type="dxa"/>
            <w:vAlign w:val="center"/>
          </w:tcPr>
          <w:p w:rsidR="007472B2" w:rsidRPr="00E10E85" w:rsidRDefault="007472B2" w:rsidP="00E73974">
            <w:pPr>
              <w:spacing w:after="0"/>
              <w:jc w:val="center"/>
              <w:rPr>
                <w:rFonts w:ascii="Times New Roman" w:hAnsi="Times New Roman"/>
                <w:sz w:val="24"/>
                <w:szCs w:val="24"/>
              </w:rPr>
            </w:pPr>
            <w:r>
              <w:rPr>
                <w:rFonts w:ascii="Times New Roman" w:hAnsi="Times New Roman"/>
                <w:sz w:val="24"/>
                <w:szCs w:val="24"/>
              </w:rPr>
              <w:t>12</w:t>
            </w:r>
            <w:r w:rsidRPr="00E10E85">
              <w:rPr>
                <w:rFonts w:ascii="Times New Roman" w:hAnsi="Times New Roman"/>
                <w:sz w:val="24"/>
                <w:szCs w:val="24"/>
              </w:rPr>
              <w:t>00</w:t>
            </w:r>
          </w:p>
        </w:tc>
      </w:tr>
      <w:tr w:rsidR="007472B2" w:rsidRPr="00E10E85" w:rsidTr="00E73974">
        <w:trPr>
          <w:trHeight w:val="593"/>
          <w:jc w:val="center"/>
        </w:trPr>
        <w:tc>
          <w:tcPr>
            <w:tcW w:w="2520" w:type="dxa"/>
            <w:vAlign w:val="center"/>
          </w:tcPr>
          <w:p w:rsidR="007472B2" w:rsidRPr="00F8786D" w:rsidRDefault="007472B2" w:rsidP="00E73974">
            <w:pPr>
              <w:spacing w:after="0"/>
              <w:jc w:val="center"/>
              <w:rPr>
                <w:rFonts w:ascii="Times New Roman" w:hAnsi="Times New Roman"/>
                <w:b/>
                <w:sz w:val="24"/>
                <w:szCs w:val="24"/>
              </w:rPr>
            </w:pPr>
            <w:r w:rsidRPr="00F8786D">
              <w:rPr>
                <w:rFonts w:ascii="Times New Roman" w:hAnsi="Times New Roman"/>
                <w:b/>
                <w:sz w:val="24"/>
                <w:szCs w:val="24"/>
              </w:rPr>
              <w:t>&gt; 6 months</w:t>
            </w:r>
          </w:p>
        </w:tc>
        <w:tc>
          <w:tcPr>
            <w:tcW w:w="1260" w:type="dxa"/>
            <w:vAlign w:val="center"/>
          </w:tcPr>
          <w:p w:rsidR="007472B2" w:rsidRPr="00E10E85" w:rsidRDefault="007472B2" w:rsidP="00E73974">
            <w:pPr>
              <w:spacing w:after="0"/>
              <w:jc w:val="center"/>
              <w:rPr>
                <w:rFonts w:ascii="Times New Roman" w:hAnsi="Times New Roman"/>
                <w:sz w:val="24"/>
                <w:szCs w:val="24"/>
              </w:rPr>
            </w:pPr>
            <w:r w:rsidRPr="00E10E85">
              <w:rPr>
                <w:rFonts w:ascii="Times New Roman" w:hAnsi="Times New Roman"/>
                <w:sz w:val="24"/>
                <w:szCs w:val="24"/>
              </w:rPr>
              <w:t>400</w:t>
            </w:r>
          </w:p>
        </w:tc>
        <w:tc>
          <w:tcPr>
            <w:tcW w:w="2007" w:type="dxa"/>
            <w:vAlign w:val="center"/>
          </w:tcPr>
          <w:p w:rsidR="007472B2" w:rsidRPr="00E10E85" w:rsidRDefault="007472B2" w:rsidP="00E73974">
            <w:pPr>
              <w:spacing w:after="0"/>
              <w:jc w:val="center"/>
              <w:rPr>
                <w:rFonts w:ascii="Times New Roman" w:hAnsi="Times New Roman"/>
                <w:sz w:val="24"/>
                <w:szCs w:val="24"/>
              </w:rPr>
            </w:pPr>
            <w:r w:rsidRPr="00E10E85">
              <w:rPr>
                <w:rFonts w:ascii="Times New Roman" w:hAnsi="Times New Roman"/>
                <w:sz w:val="24"/>
                <w:szCs w:val="24"/>
              </w:rPr>
              <w:t>400</w:t>
            </w:r>
          </w:p>
        </w:tc>
        <w:tc>
          <w:tcPr>
            <w:tcW w:w="1080" w:type="dxa"/>
            <w:vAlign w:val="center"/>
          </w:tcPr>
          <w:p w:rsidR="007472B2" w:rsidRPr="00E10E85" w:rsidRDefault="007472B2" w:rsidP="00E73974">
            <w:pPr>
              <w:spacing w:after="0"/>
              <w:jc w:val="center"/>
              <w:rPr>
                <w:rFonts w:ascii="Times New Roman" w:hAnsi="Times New Roman"/>
                <w:sz w:val="24"/>
                <w:szCs w:val="24"/>
              </w:rPr>
            </w:pPr>
            <w:r w:rsidRPr="00E10E85">
              <w:rPr>
                <w:rFonts w:ascii="Times New Roman" w:hAnsi="Times New Roman"/>
                <w:sz w:val="24"/>
                <w:szCs w:val="24"/>
              </w:rPr>
              <w:t>400</w:t>
            </w:r>
          </w:p>
        </w:tc>
        <w:tc>
          <w:tcPr>
            <w:tcW w:w="1440" w:type="dxa"/>
            <w:vAlign w:val="center"/>
          </w:tcPr>
          <w:p w:rsidR="007472B2" w:rsidRPr="00E10E85" w:rsidRDefault="007472B2" w:rsidP="00E73974">
            <w:pPr>
              <w:spacing w:after="0"/>
              <w:jc w:val="center"/>
              <w:rPr>
                <w:rFonts w:ascii="Times New Roman" w:hAnsi="Times New Roman"/>
                <w:sz w:val="24"/>
                <w:szCs w:val="24"/>
              </w:rPr>
            </w:pPr>
            <w:r>
              <w:rPr>
                <w:rFonts w:ascii="Times New Roman" w:hAnsi="Times New Roman"/>
                <w:sz w:val="24"/>
                <w:szCs w:val="24"/>
              </w:rPr>
              <w:t>12</w:t>
            </w:r>
            <w:r w:rsidRPr="00E10E85">
              <w:rPr>
                <w:rFonts w:ascii="Times New Roman" w:hAnsi="Times New Roman"/>
                <w:sz w:val="24"/>
                <w:szCs w:val="24"/>
              </w:rPr>
              <w:t>00</w:t>
            </w:r>
          </w:p>
        </w:tc>
      </w:tr>
      <w:tr w:rsidR="007472B2" w:rsidRPr="00E10E85" w:rsidTr="00E73974">
        <w:trPr>
          <w:trHeight w:val="593"/>
          <w:jc w:val="center"/>
        </w:trPr>
        <w:tc>
          <w:tcPr>
            <w:tcW w:w="2520" w:type="dxa"/>
            <w:vAlign w:val="center"/>
          </w:tcPr>
          <w:p w:rsidR="007472B2" w:rsidRPr="00F8786D" w:rsidRDefault="007472B2" w:rsidP="00E73974">
            <w:pPr>
              <w:spacing w:after="0"/>
              <w:jc w:val="center"/>
              <w:rPr>
                <w:rFonts w:ascii="Times New Roman" w:hAnsi="Times New Roman"/>
                <w:b/>
                <w:sz w:val="24"/>
                <w:szCs w:val="24"/>
              </w:rPr>
            </w:pPr>
            <w:r>
              <w:rPr>
                <w:rFonts w:ascii="Times New Roman" w:hAnsi="Times New Roman"/>
                <w:b/>
                <w:sz w:val="24"/>
                <w:szCs w:val="24"/>
              </w:rPr>
              <w:t>Total</w:t>
            </w:r>
          </w:p>
        </w:tc>
        <w:tc>
          <w:tcPr>
            <w:tcW w:w="1260" w:type="dxa"/>
            <w:vAlign w:val="center"/>
          </w:tcPr>
          <w:p w:rsidR="007472B2" w:rsidRPr="00E10E85" w:rsidRDefault="007472B2" w:rsidP="00E73974">
            <w:pPr>
              <w:spacing w:after="0"/>
              <w:jc w:val="center"/>
              <w:rPr>
                <w:rFonts w:ascii="Times New Roman" w:hAnsi="Times New Roman"/>
                <w:sz w:val="24"/>
                <w:szCs w:val="24"/>
              </w:rPr>
            </w:pPr>
            <w:r>
              <w:rPr>
                <w:rFonts w:ascii="Times New Roman" w:hAnsi="Times New Roman"/>
                <w:sz w:val="24"/>
                <w:szCs w:val="24"/>
              </w:rPr>
              <w:t>800</w:t>
            </w:r>
          </w:p>
        </w:tc>
        <w:tc>
          <w:tcPr>
            <w:tcW w:w="2007" w:type="dxa"/>
            <w:vAlign w:val="center"/>
          </w:tcPr>
          <w:p w:rsidR="007472B2" w:rsidRPr="00E10E85" w:rsidRDefault="007472B2" w:rsidP="00E73974">
            <w:pPr>
              <w:spacing w:after="0"/>
              <w:jc w:val="center"/>
              <w:rPr>
                <w:rFonts w:ascii="Times New Roman" w:hAnsi="Times New Roman"/>
                <w:sz w:val="24"/>
                <w:szCs w:val="24"/>
              </w:rPr>
            </w:pPr>
            <w:r>
              <w:rPr>
                <w:rFonts w:ascii="Times New Roman" w:hAnsi="Times New Roman"/>
                <w:sz w:val="24"/>
                <w:szCs w:val="24"/>
              </w:rPr>
              <w:t>800</w:t>
            </w:r>
          </w:p>
        </w:tc>
        <w:tc>
          <w:tcPr>
            <w:tcW w:w="1080" w:type="dxa"/>
            <w:vAlign w:val="center"/>
          </w:tcPr>
          <w:p w:rsidR="007472B2" w:rsidRPr="00E10E85" w:rsidRDefault="007472B2" w:rsidP="00E73974">
            <w:pPr>
              <w:spacing w:after="0"/>
              <w:jc w:val="center"/>
              <w:rPr>
                <w:rFonts w:ascii="Times New Roman" w:hAnsi="Times New Roman"/>
                <w:sz w:val="24"/>
                <w:szCs w:val="24"/>
              </w:rPr>
            </w:pPr>
            <w:r>
              <w:rPr>
                <w:rFonts w:ascii="Times New Roman" w:hAnsi="Times New Roman"/>
                <w:sz w:val="24"/>
                <w:szCs w:val="24"/>
              </w:rPr>
              <w:t>800</w:t>
            </w:r>
          </w:p>
        </w:tc>
        <w:tc>
          <w:tcPr>
            <w:tcW w:w="1440" w:type="dxa"/>
            <w:vAlign w:val="center"/>
          </w:tcPr>
          <w:p w:rsidR="007472B2" w:rsidRPr="00E10E85" w:rsidRDefault="007472B2" w:rsidP="00E73974">
            <w:pPr>
              <w:spacing w:after="0"/>
              <w:jc w:val="center"/>
              <w:rPr>
                <w:rFonts w:ascii="Times New Roman" w:hAnsi="Times New Roman"/>
                <w:sz w:val="24"/>
                <w:szCs w:val="24"/>
              </w:rPr>
            </w:pPr>
            <w:r>
              <w:rPr>
                <w:rFonts w:ascii="Times New Roman" w:hAnsi="Times New Roman"/>
                <w:sz w:val="24"/>
                <w:szCs w:val="24"/>
              </w:rPr>
              <w:t>2</w:t>
            </w:r>
            <w:r w:rsidRPr="00E10E85">
              <w:rPr>
                <w:rFonts w:ascii="Times New Roman" w:hAnsi="Times New Roman"/>
                <w:sz w:val="24"/>
                <w:szCs w:val="24"/>
              </w:rPr>
              <w:t>400</w:t>
            </w:r>
          </w:p>
        </w:tc>
      </w:tr>
    </w:tbl>
    <w:p w:rsidR="007472B2" w:rsidRDefault="007472B2" w:rsidP="0001094E">
      <w:pPr>
        <w:spacing w:after="0" w:line="240" w:lineRule="auto"/>
        <w:ind w:left="360"/>
        <w:rPr>
          <w:rFonts w:ascii="Times New Roman" w:hAnsi="Times New Roman"/>
          <w:bCs/>
          <w:sz w:val="24"/>
          <w:szCs w:val="24"/>
        </w:rPr>
      </w:pPr>
    </w:p>
    <w:p w:rsidR="007472B2" w:rsidRDefault="007472B2" w:rsidP="0001094E">
      <w:pPr>
        <w:spacing w:after="0" w:line="240" w:lineRule="auto"/>
        <w:ind w:left="360"/>
        <w:rPr>
          <w:rFonts w:ascii="Times New Roman" w:hAnsi="Times New Roman"/>
          <w:bCs/>
          <w:sz w:val="24"/>
          <w:szCs w:val="24"/>
        </w:rPr>
      </w:pPr>
      <w:r>
        <w:rPr>
          <w:rFonts w:ascii="Times New Roman" w:hAnsi="Times New Roman"/>
          <w:bCs/>
          <w:sz w:val="24"/>
          <w:szCs w:val="24"/>
        </w:rPr>
        <w:t xml:space="preserve">The above subgroups </w:t>
      </w:r>
      <w:r w:rsidR="00C17DF3">
        <w:rPr>
          <w:rFonts w:ascii="Times New Roman" w:hAnsi="Times New Roman"/>
          <w:bCs/>
          <w:sz w:val="24"/>
          <w:szCs w:val="24"/>
        </w:rPr>
        <w:t xml:space="preserve">were </w:t>
      </w:r>
      <w:r>
        <w:rPr>
          <w:rFonts w:ascii="Times New Roman" w:hAnsi="Times New Roman"/>
          <w:bCs/>
          <w:sz w:val="24"/>
          <w:szCs w:val="24"/>
        </w:rPr>
        <w:t>defined to mirror the total HAMP re-default population.  For example, the ‘6-month” cut-off point will approximately evenly split the HAMP re-default population.  This sampling stratification strategy help</w:t>
      </w:r>
      <w:r w:rsidR="00C17DF3">
        <w:rPr>
          <w:rFonts w:ascii="Times New Roman" w:hAnsi="Times New Roman"/>
          <w:bCs/>
          <w:sz w:val="24"/>
          <w:szCs w:val="24"/>
        </w:rPr>
        <w:t>ed</w:t>
      </w:r>
      <w:r>
        <w:rPr>
          <w:rFonts w:ascii="Times New Roman" w:hAnsi="Times New Roman"/>
          <w:bCs/>
          <w:sz w:val="24"/>
          <w:szCs w:val="24"/>
        </w:rPr>
        <w:t xml:space="preserve"> ensure that the completed survey sample well represents the universe population with more precision.  This also help</w:t>
      </w:r>
      <w:r w:rsidR="00C17DF3">
        <w:rPr>
          <w:rFonts w:ascii="Times New Roman" w:hAnsi="Times New Roman"/>
          <w:bCs/>
          <w:sz w:val="24"/>
          <w:szCs w:val="24"/>
        </w:rPr>
        <w:t>ed</w:t>
      </w:r>
      <w:r>
        <w:rPr>
          <w:rFonts w:ascii="Times New Roman" w:hAnsi="Times New Roman"/>
          <w:bCs/>
          <w:sz w:val="24"/>
          <w:szCs w:val="24"/>
        </w:rPr>
        <w:t xml:space="preserve"> reduce sampling biases as certain subgroups might be less or more likely to respond to the survey than other subgroups.</w:t>
      </w:r>
    </w:p>
    <w:p w:rsidR="007472B2" w:rsidRPr="00E10E85" w:rsidRDefault="007472B2" w:rsidP="0001094E">
      <w:pPr>
        <w:spacing w:after="0" w:line="240" w:lineRule="auto"/>
        <w:ind w:left="360"/>
        <w:rPr>
          <w:rFonts w:ascii="Times New Roman" w:hAnsi="Times New Roman"/>
          <w:bCs/>
          <w:sz w:val="24"/>
          <w:szCs w:val="24"/>
        </w:rPr>
      </w:pPr>
    </w:p>
    <w:p w:rsidR="007472B2" w:rsidRDefault="007472B2" w:rsidP="00EE3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 xml:space="preserve">In terms of sampling, the universe of potential respondents </w:t>
      </w:r>
      <w:r w:rsidR="00C17DF3">
        <w:rPr>
          <w:rFonts w:ascii="Times New Roman" w:hAnsi="Times New Roman"/>
          <w:sz w:val="24"/>
          <w:szCs w:val="24"/>
        </w:rPr>
        <w:t xml:space="preserve">was </w:t>
      </w:r>
      <w:r>
        <w:rPr>
          <w:rFonts w:ascii="Times New Roman" w:hAnsi="Times New Roman"/>
          <w:sz w:val="24"/>
          <w:szCs w:val="24"/>
        </w:rPr>
        <w:t xml:space="preserve">classified into the six groups and then, via random sampling, survey participants </w:t>
      </w:r>
      <w:r w:rsidR="00C17DF3">
        <w:rPr>
          <w:rFonts w:ascii="Times New Roman" w:hAnsi="Times New Roman"/>
          <w:sz w:val="24"/>
          <w:szCs w:val="24"/>
        </w:rPr>
        <w:t xml:space="preserve">were </w:t>
      </w:r>
      <w:r>
        <w:rPr>
          <w:rFonts w:ascii="Times New Roman" w:hAnsi="Times New Roman"/>
          <w:sz w:val="24"/>
          <w:szCs w:val="24"/>
        </w:rPr>
        <w:t>selected for each group to receive the survey.</w:t>
      </w:r>
    </w:p>
    <w:p w:rsidR="007472B2" w:rsidRDefault="007472B2" w:rsidP="00EE3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 xml:space="preserve">The population of homeowners with Non-GSE Loans who re-defaulted on their HAMP modifications on or after August 1, 2011 is approximately 100,000 homeowners.  Among these, about 40,000 homeowners re-defaulted over the past 12 months. In order to focus on homeowners with recent experiences the survey samples </w:t>
      </w:r>
      <w:r w:rsidR="001B7482">
        <w:rPr>
          <w:rFonts w:ascii="Times New Roman" w:hAnsi="Times New Roman"/>
          <w:sz w:val="24"/>
          <w:szCs w:val="24"/>
        </w:rPr>
        <w:t xml:space="preserve">were </w:t>
      </w:r>
      <w:r>
        <w:rPr>
          <w:rFonts w:ascii="Times New Roman" w:hAnsi="Times New Roman"/>
          <w:sz w:val="24"/>
          <w:szCs w:val="24"/>
        </w:rPr>
        <w:t xml:space="preserve">first drawn from the more recent re-default population.  </w:t>
      </w:r>
    </w:p>
    <w:p w:rsidR="007472B2" w:rsidRDefault="007472B2" w:rsidP="00810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 xml:space="preserve">At the 95% confidence level the margin of error is 1.94% and 1.98% respectively, when the total of 2400 completed sample is drawn from the most recent re-default population of 40,000 homeowners and the total universe of 100,000 homeowners, respectively.  </w:t>
      </w:r>
    </w:p>
    <w:p w:rsidR="007472B2" w:rsidRPr="00E73974" w:rsidRDefault="007472B2" w:rsidP="00EE3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u w:val="single"/>
        </w:rPr>
      </w:pPr>
      <w:r>
        <w:rPr>
          <w:rFonts w:ascii="Times New Roman" w:hAnsi="Times New Roman"/>
          <w:sz w:val="24"/>
          <w:szCs w:val="24"/>
          <w:u w:val="single"/>
        </w:rPr>
        <w:t>Power Analysis</w:t>
      </w:r>
    </w:p>
    <w:p w:rsidR="007472B2" w:rsidRDefault="007472B2" w:rsidP="00E73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eastAsia="MS Mincho" w:hAnsi="Times New Roman"/>
          <w:color w:val="000000"/>
          <w:sz w:val="24"/>
          <w:szCs w:val="24"/>
          <w:lang w:eastAsia="ja-JP"/>
        </w:rPr>
        <w:t>Assuming an effect size of 0.1 (or 10 percentage points difference on proportional data such as testing the difference between 50% saying Yes from Group A and 60% saying Yes from Group B), a s</w:t>
      </w:r>
      <w:r>
        <w:rPr>
          <w:rFonts w:ascii="Times New Roman" w:hAnsi="Times New Roman"/>
          <w:sz w:val="24"/>
          <w:szCs w:val="24"/>
        </w:rPr>
        <w:t xml:space="preserve">ample size of 400 per group will allow us to statistically test this 0.1 difference </w:t>
      </w:r>
      <w:r>
        <w:rPr>
          <w:rFonts w:ascii="Times New Roman" w:hAnsi="Times New Roman"/>
          <w:sz w:val="24"/>
          <w:szCs w:val="24"/>
        </w:rPr>
        <w:lastRenderedPageBreak/>
        <w:t>(two-tailed test) at the 95% confidence level (alpha = 0.05), yielding a statistical power of 0.81.  In addition, the statistical power will increase to nearly 100%, if we examine differences at the higher group level such as comparing the [&lt;=6 months delinquency at trial] and [&gt;6 months delinquency at trial] groups, with 1200 sample size per group.</w:t>
      </w:r>
    </w:p>
    <w:p w:rsidR="007472B2" w:rsidRPr="002A133D" w:rsidRDefault="007472B2" w:rsidP="00152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u w:val="single"/>
        </w:rPr>
      </w:pPr>
      <w:r>
        <w:rPr>
          <w:rFonts w:ascii="Times New Roman" w:hAnsi="Times New Roman"/>
          <w:sz w:val="24"/>
          <w:szCs w:val="24"/>
          <w:u w:val="single"/>
        </w:rPr>
        <w:t>Non-Response Bias</w:t>
      </w:r>
    </w:p>
    <w:p w:rsidR="007472B2" w:rsidRDefault="007472B2" w:rsidP="00EE3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This study pursue</w:t>
      </w:r>
      <w:r w:rsidR="0026118A">
        <w:rPr>
          <w:rFonts w:ascii="Times New Roman" w:hAnsi="Times New Roman"/>
          <w:sz w:val="24"/>
          <w:szCs w:val="24"/>
        </w:rPr>
        <w:t>d</w:t>
      </w:r>
      <w:r>
        <w:rPr>
          <w:rFonts w:ascii="Times New Roman" w:hAnsi="Times New Roman"/>
          <w:sz w:val="24"/>
          <w:szCs w:val="24"/>
        </w:rPr>
        <w:t xml:space="preserve"> the following methods in reducing non-response biases:</w:t>
      </w:r>
    </w:p>
    <w:p w:rsidR="007472B2" w:rsidRDefault="007472B2" w:rsidP="00152CAE">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sz w:val="24"/>
          <w:szCs w:val="24"/>
        </w:rPr>
      </w:pPr>
      <w:r>
        <w:rPr>
          <w:rFonts w:ascii="Times New Roman" w:hAnsi="Times New Roman"/>
          <w:sz w:val="24"/>
          <w:szCs w:val="24"/>
        </w:rPr>
        <w:t>We compare</w:t>
      </w:r>
      <w:r w:rsidR="0026118A">
        <w:rPr>
          <w:rFonts w:ascii="Times New Roman" w:hAnsi="Times New Roman"/>
          <w:sz w:val="24"/>
          <w:szCs w:val="24"/>
        </w:rPr>
        <w:t>d</w:t>
      </w:r>
      <w:r>
        <w:rPr>
          <w:rFonts w:ascii="Times New Roman" w:hAnsi="Times New Roman"/>
          <w:sz w:val="24"/>
          <w:szCs w:val="24"/>
        </w:rPr>
        <w:t xml:space="preserve"> the responses group and non-responses group on selected data from the HAMP system of record such as Loan-to- Value (LTV) ratio pre-modification and post-modification, Debt-to-Income (DTI) ratio pre-modification and post-modification, and credit score at modification to assess if borrowers with certain observable characteristics are more or less likely to respond.</w:t>
      </w:r>
    </w:p>
    <w:p w:rsidR="00124CE6" w:rsidRPr="00124CE6" w:rsidRDefault="0026118A" w:rsidP="00124CE6">
      <w:pPr>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sz w:val="24"/>
          <w:szCs w:val="24"/>
        </w:rPr>
      </w:pPr>
      <w:r>
        <w:rPr>
          <w:rFonts w:ascii="Times New Roman" w:hAnsi="Times New Roman"/>
          <w:sz w:val="24"/>
          <w:szCs w:val="24"/>
        </w:rPr>
        <w:t xml:space="preserve">If </w:t>
      </w:r>
      <w:r w:rsidR="007472B2">
        <w:rPr>
          <w:rFonts w:ascii="Times New Roman" w:hAnsi="Times New Roman"/>
          <w:sz w:val="24"/>
          <w:szCs w:val="24"/>
        </w:rPr>
        <w:t xml:space="preserve">significant differences </w:t>
      </w:r>
      <w:r>
        <w:rPr>
          <w:rFonts w:ascii="Times New Roman" w:hAnsi="Times New Roman"/>
          <w:sz w:val="24"/>
          <w:szCs w:val="24"/>
        </w:rPr>
        <w:t xml:space="preserve">were </w:t>
      </w:r>
      <w:r w:rsidR="007472B2">
        <w:rPr>
          <w:rFonts w:ascii="Times New Roman" w:hAnsi="Times New Roman"/>
          <w:sz w:val="24"/>
          <w:szCs w:val="24"/>
        </w:rPr>
        <w:t xml:space="preserve">observed, we </w:t>
      </w:r>
      <w:r>
        <w:rPr>
          <w:rFonts w:ascii="Times New Roman" w:hAnsi="Times New Roman"/>
          <w:sz w:val="24"/>
          <w:szCs w:val="24"/>
        </w:rPr>
        <w:t xml:space="preserve">would have </w:t>
      </w:r>
      <w:r w:rsidR="007472B2">
        <w:rPr>
          <w:rFonts w:ascii="Times New Roman" w:hAnsi="Times New Roman"/>
          <w:sz w:val="24"/>
          <w:szCs w:val="24"/>
        </w:rPr>
        <w:t>create</w:t>
      </w:r>
      <w:r>
        <w:rPr>
          <w:rFonts w:ascii="Times New Roman" w:hAnsi="Times New Roman"/>
          <w:sz w:val="24"/>
          <w:szCs w:val="24"/>
        </w:rPr>
        <w:t>d</w:t>
      </w:r>
      <w:r w:rsidR="007472B2">
        <w:rPr>
          <w:rFonts w:ascii="Times New Roman" w:hAnsi="Times New Roman"/>
          <w:sz w:val="24"/>
          <w:szCs w:val="24"/>
        </w:rPr>
        <w:t xml:space="preserve"> non-response adjustment weights and apply the weight to each bucket of “similar” loans, in order for the completed survey sample to represent the target universe.</w:t>
      </w:r>
    </w:p>
    <w:p w:rsidR="0096727D" w:rsidRPr="00922528" w:rsidRDefault="00124CE6" w:rsidP="00922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 xml:space="preserve">The non-response bias analysis following phase I showed when </w:t>
      </w:r>
      <w:r w:rsidR="0096727D" w:rsidRPr="00922528">
        <w:rPr>
          <w:rFonts w:ascii="Times New Roman" w:hAnsi="Times New Roman"/>
          <w:sz w:val="24"/>
          <w:szCs w:val="24"/>
        </w:rPr>
        <w:t>comparing the sampl</w:t>
      </w:r>
      <w:r>
        <w:rPr>
          <w:rFonts w:ascii="Times New Roman" w:hAnsi="Times New Roman"/>
          <w:sz w:val="24"/>
          <w:szCs w:val="24"/>
        </w:rPr>
        <w:t xml:space="preserve">e and population distributions as well as </w:t>
      </w:r>
      <w:r w:rsidR="0096727D" w:rsidRPr="00922528">
        <w:rPr>
          <w:rFonts w:ascii="Times New Roman" w:hAnsi="Times New Roman"/>
          <w:sz w:val="24"/>
          <w:szCs w:val="24"/>
        </w:rPr>
        <w:t xml:space="preserve">comparing Responders vs. Non-Responders on 17 key variables from the IR2 database (for example, Loan to Value ratio before and after modification, P&amp;I amount before and after modification, front-end and back-end DTI before and after modification, etc.). The analysis indicated that the Responders’ profile closely matched the Non-Responders’ profile on all the 17 variables. Therefore, there </w:t>
      </w:r>
      <w:r w:rsidR="0026118A">
        <w:rPr>
          <w:rFonts w:ascii="Times New Roman" w:hAnsi="Times New Roman"/>
          <w:sz w:val="24"/>
          <w:szCs w:val="24"/>
        </w:rPr>
        <w:t>was</w:t>
      </w:r>
      <w:r w:rsidR="0096727D" w:rsidRPr="00922528">
        <w:rPr>
          <w:rFonts w:ascii="Times New Roman" w:hAnsi="Times New Roman"/>
          <w:sz w:val="24"/>
          <w:szCs w:val="24"/>
        </w:rPr>
        <w:t xml:space="preserve"> no concern with the non-response bias that will jeopardize the survey results.</w:t>
      </w:r>
    </w:p>
    <w:p w:rsidR="0096727D" w:rsidRDefault="0096727D" w:rsidP="00922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pPr>
    </w:p>
    <w:p w:rsidR="009C6B46" w:rsidRPr="003E03DC" w:rsidRDefault="000F2B04" w:rsidP="003E03DC">
      <w:pPr>
        <w:numPr>
          <w:ilvl w:val="0"/>
          <w:numId w:val="45"/>
        </w:numPr>
        <w:tabs>
          <w:tab w:val="left" w:pos="81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firstLine="0"/>
        <w:rPr>
          <w:rFonts w:ascii="Times New Roman" w:hAnsi="Times New Roman"/>
          <w:b/>
          <w:sz w:val="24"/>
          <w:szCs w:val="24"/>
          <w:u w:val="single"/>
        </w:rPr>
      </w:pPr>
      <w:r w:rsidRPr="003E03DC">
        <w:rPr>
          <w:rFonts w:ascii="Times New Roman" w:hAnsi="Times New Roman"/>
          <w:b/>
          <w:sz w:val="24"/>
          <w:szCs w:val="24"/>
          <w:u w:val="single"/>
        </w:rPr>
        <w:t>Phase 2</w:t>
      </w:r>
    </w:p>
    <w:p w:rsidR="007472B2" w:rsidRDefault="007472B2" w:rsidP="00B6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360"/>
        <w:rPr>
          <w:rFonts w:ascii="Times New Roman" w:hAnsi="Times New Roman"/>
          <w:sz w:val="24"/>
          <w:szCs w:val="24"/>
        </w:rPr>
      </w:pPr>
      <w:r>
        <w:rPr>
          <w:rFonts w:ascii="Times New Roman" w:hAnsi="Times New Roman"/>
          <w:sz w:val="24"/>
          <w:szCs w:val="24"/>
        </w:rPr>
        <w:t>A</w:t>
      </w:r>
      <w:r w:rsidRPr="004C04B1">
        <w:rPr>
          <w:rFonts w:ascii="Times New Roman" w:hAnsi="Times New Roman"/>
          <w:sz w:val="24"/>
          <w:szCs w:val="24"/>
        </w:rPr>
        <w:t xml:space="preserve">s of </w:t>
      </w:r>
      <w:r>
        <w:rPr>
          <w:rFonts w:ascii="Times New Roman" w:hAnsi="Times New Roman"/>
          <w:sz w:val="24"/>
          <w:szCs w:val="24"/>
        </w:rPr>
        <w:t>November</w:t>
      </w:r>
      <w:r w:rsidRPr="004C04B1">
        <w:rPr>
          <w:rFonts w:ascii="Times New Roman" w:hAnsi="Times New Roman"/>
          <w:sz w:val="24"/>
          <w:szCs w:val="24"/>
        </w:rPr>
        <w:t xml:space="preserve">, 2013 there have been </w:t>
      </w:r>
      <w:r w:rsidRPr="002A21D3">
        <w:rPr>
          <w:rFonts w:ascii="Times New Roman" w:hAnsi="Times New Roman"/>
          <w:sz w:val="24"/>
          <w:szCs w:val="24"/>
        </w:rPr>
        <w:t>1,298,014</w:t>
      </w:r>
      <w:r>
        <w:rPr>
          <w:rFonts w:ascii="Times New Roman" w:hAnsi="Times New Roman"/>
          <w:sz w:val="24"/>
          <w:szCs w:val="24"/>
        </w:rPr>
        <w:t xml:space="preserve"> </w:t>
      </w:r>
      <w:r w:rsidRPr="004C04B1">
        <w:rPr>
          <w:rFonts w:ascii="Times New Roman" w:hAnsi="Times New Roman"/>
          <w:sz w:val="24"/>
          <w:szCs w:val="24"/>
        </w:rPr>
        <w:t xml:space="preserve">permanent </w:t>
      </w:r>
      <w:r>
        <w:rPr>
          <w:rFonts w:ascii="Times New Roman" w:hAnsi="Times New Roman"/>
          <w:sz w:val="24"/>
          <w:szCs w:val="24"/>
        </w:rPr>
        <w:t>m</w:t>
      </w:r>
      <w:r w:rsidRPr="004C04B1">
        <w:rPr>
          <w:rFonts w:ascii="Times New Roman" w:hAnsi="Times New Roman"/>
          <w:sz w:val="24"/>
          <w:szCs w:val="24"/>
        </w:rPr>
        <w:t>odifications</w:t>
      </w:r>
      <w:r>
        <w:rPr>
          <w:rFonts w:ascii="Times New Roman" w:hAnsi="Times New Roman"/>
          <w:sz w:val="24"/>
          <w:szCs w:val="24"/>
        </w:rPr>
        <w:t xml:space="preserve"> under HAMP</w:t>
      </w:r>
      <w:r w:rsidRPr="004C04B1">
        <w:rPr>
          <w:rFonts w:ascii="Times New Roman" w:hAnsi="Times New Roman"/>
          <w:sz w:val="24"/>
          <w:szCs w:val="24"/>
        </w:rPr>
        <w:t xml:space="preserve">. </w:t>
      </w:r>
      <w:r>
        <w:rPr>
          <w:rFonts w:ascii="Times New Roman" w:hAnsi="Times New Roman"/>
          <w:sz w:val="24"/>
          <w:szCs w:val="24"/>
        </w:rPr>
        <w:t xml:space="preserve"> </w:t>
      </w:r>
      <w:r w:rsidRPr="004C04B1">
        <w:rPr>
          <w:rFonts w:ascii="Times New Roman" w:hAnsi="Times New Roman"/>
          <w:sz w:val="24"/>
          <w:szCs w:val="24"/>
        </w:rPr>
        <w:t xml:space="preserve">Of those, </w:t>
      </w:r>
      <w:r>
        <w:rPr>
          <w:rFonts w:ascii="Times New Roman" w:hAnsi="Times New Roman"/>
          <w:sz w:val="24"/>
          <w:szCs w:val="24"/>
        </w:rPr>
        <w:t xml:space="preserve">980,318 </w:t>
      </w:r>
      <w:r w:rsidRPr="004C04B1">
        <w:rPr>
          <w:rFonts w:ascii="Times New Roman" w:hAnsi="Times New Roman"/>
          <w:sz w:val="24"/>
          <w:szCs w:val="24"/>
        </w:rPr>
        <w:t xml:space="preserve">(or roughly </w:t>
      </w:r>
      <w:r>
        <w:rPr>
          <w:rFonts w:ascii="Times New Roman" w:hAnsi="Times New Roman"/>
          <w:sz w:val="24"/>
          <w:szCs w:val="24"/>
        </w:rPr>
        <w:t>75%</w:t>
      </w:r>
      <w:r w:rsidRPr="004C04B1">
        <w:rPr>
          <w:rFonts w:ascii="Times New Roman" w:hAnsi="Times New Roman"/>
          <w:sz w:val="24"/>
          <w:szCs w:val="24"/>
        </w:rPr>
        <w:t xml:space="preserve">) </w:t>
      </w:r>
      <w:r>
        <w:rPr>
          <w:rFonts w:ascii="Times New Roman" w:hAnsi="Times New Roman"/>
          <w:sz w:val="24"/>
          <w:szCs w:val="24"/>
        </w:rPr>
        <w:t xml:space="preserve">are still active. As demonstrated in Table 3 below, this population is comprised of </w:t>
      </w:r>
      <w:r w:rsidR="003E03DC">
        <w:rPr>
          <w:rFonts w:ascii="Times New Roman" w:hAnsi="Times New Roman"/>
          <w:sz w:val="24"/>
          <w:szCs w:val="24"/>
        </w:rPr>
        <w:t xml:space="preserve">GSE Loans and Non-GSE Loans. </w:t>
      </w:r>
      <w:r>
        <w:rPr>
          <w:rFonts w:ascii="Times New Roman" w:hAnsi="Times New Roman"/>
          <w:sz w:val="24"/>
          <w:szCs w:val="24"/>
        </w:rPr>
        <w:t>.</w:t>
      </w:r>
    </w:p>
    <w:p w:rsidR="007472B2" w:rsidRPr="00E73974" w:rsidRDefault="007472B2" w:rsidP="00B66287">
      <w:pPr>
        <w:pStyle w:val="ListParagraph"/>
        <w:autoSpaceDE w:val="0"/>
        <w:autoSpaceDN w:val="0"/>
        <w:adjustRightInd w:val="0"/>
        <w:spacing w:after="0"/>
        <w:ind w:left="1350" w:firstLine="540"/>
        <w:rPr>
          <w:rFonts w:ascii="Times New Roman" w:hAnsi="Times New Roman"/>
          <w:sz w:val="24"/>
          <w:szCs w:val="24"/>
        </w:rPr>
      </w:pPr>
      <w:r>
        <w:rPr>
          <w:rFonts w:ascii="Times New Roman" w:hAnsi="Times New Roman"/>
          <w:bCs/>
          <w:sz w:val="24"/>
          <w:szCs w:val="24"/>
        </w:rPr>
        <w:t>Table 3</w:t>
      </w:r>
      <w:r w:rsidRPr="00E73974">
        <w:rPr>
          <w:rFonts w:ascii="Times New Roman" w:hAnsi="Times New Roman"/>
          <w:bCs/>
          <w:sz w:val="24"/>
          <w:szCs w:val="24"/>
        </w:rPr>
        <w:t xml:space="preserve">: </w:t>
      </w:r>
      <w:r>
        <w:rPr>
          <w:rFonts w:ascii="Times New Roman" w:hAnsi="Times New Roman"/>
          <w:bCs/>
          <w:sz w:val="24"/>
          <w:szCs w:val="24"/>
        </w:rPr>
        <w:t xml:space="preserve">Active </w:t>
      </w:r>
      <w:r w:rsidRPr="00E73974">
        <w:rPr>
          <w:rFonts w:ascii="Times New Roman" w:hAnsi="Times New Roman"/>
          <w:bCs/>
          <w:sz w:val="24"/>
          <w:szCs w:val="24"/>
        </w:rPr>
        <w:t>HAMP</w:t>
      </w:r>
      <w:r>
        <w:rPr>
          <w:rFonts w:ascii="Times New Roman" w:hAnsi="Times New Roman"/>
          <w:bCs/>
          <w:sz w:val="24"/>
          <w:szCs w:val="24"/>
        </w:rPr>
        <w:t xml:space="preserve"> Permanent Modifications</w:t>
      </w:r>
      <w:r w:rsidRPr="00E73974">
        <w:rPr>
          <w:rFonts w:ascii="Times New Roman" w:hAnsi="Times New Roman"/>
          <w:bCs/>
          <w:sz w:val="24"/>
          <w:szCs w:val="24"/>
        </w:rPr>
        <w:t xml:space="preserve"> </w:t>
      </w:r>
      <w:r>
        <w:rPr>
          <w:rFonts w:ascii="Times New Roman" w:hAnsi="Times New Roman"/>
          <w:bCs/>
          <w:sz w:val="24"/>
          <w:szCs w:val="24"/>
        </w:rPr>
        <w:t>A</w:t>
      </w:r>
      <w:r w:rsidRPr="00E73974">
        <w:rPr>
          <w:rFonts w:ascii="Times New Roman" w:hAnsi="Times New Roman"/>
          <w:bCs/>
          <w:sz w:val="24"/>
          <w:szCs w:val="24"/>
        </w:rPr>
        <w:t xml:space="preserve">s of </w:t>
      </w:r>
      <w:r>
        <w:rPr>
          <w:rFonts w:ascii="Times New Roman" w:hAnsi="Times New Roman"/>
          <w:bCs/>
          <w:sz w:val="24"/>
          <w:szCs w:val="24"/>
        </w:rPr>
        <w:t>November</w:t>
      </w:r>
      <w:r w:rsidRPr="00E73974">
        <w:rPr>
          <w:rFonts w:ascii="Times New Roman" w:hAnsi="Times New Roman"/>
          <w:bCs/>
          <w:sz w:val="24"/>
          <w:szCs w:val="24"/>
        </w:rPr>
        <w:t>, 2013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9"/>
        <w:gridCol w:w="2829"/>
      </w:tblGrid>
      <w:tr w:rsidR="007472B2" w:rsidRPr="00E73974" w:rsidTr="00CC5E9B">
        <w:trPr>
          <w:trHeight w:val="323"/>
          <w:jc w:val="center"/>
        </w:trPr>
        <w:tc>
          <w:tcPr>
            <w:tcW w:w="1989" w:type="dxa"/>
          </w:tcPr>
          <w:p w:rsidR="007472B2" w:rsidRPr="00E73974" w:rsidRDefault="007472B2" w:rsidP="00CC5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tc>
        <w:tc>
          <w:tcPr>
            <w:tcW w:w="2829" w:type="dxa"/>
          </w:tcPr>
          <w:p w:rsidR="007472B2" w:rsidRDefault="007472B2" w:rsidP="00CC5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73974">
              <w:rPr>
                <w:rFonts w:ascii="Times New Roman" w:hAnsi="Times New Roman"/>
                <w:b/>
                <w:sz w:val="24"/>
                <w:szCs w:val="24"/>
              </w:rPr>
              <w:t xml:space="preserve">No. of </w:t>
            </w:r>
            <w:r>
              <w:rPr>
                <w:rFonts w:ascii="Times New Roman" w:hAnsi="Times New Roman"/>
                <w:b/>
                <w:sz w:val="24"/>
                <w:szCs w:val="24"/>
              </w:rPr>
              <w:t xml:space="preserve">Active </w:t>
            </w:r>
            <w:r w:rsidRPr="00E73974">
              <w:rPr>
                <w:rFonts w:ascii="Times New Roman" w:hAnsi="Times New Roman"/>
                <w:b/>
                <w:sz w:val="24"/>
                <w:szCs w:val="24"/>
              </w:rPr>
              <w:t xml:space="preserve">Permanent </w:t>
            </w:r>
          </w:p>
          <w:p w:rsidR="007472B2" w:rsidRPr="00E73974" w:rsidRDefault="007472B2" w:rsidP="00CC5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E73974">
              <w:rPr>
                <w:rFonts w:ascii="Times New Roman" w:hAnsi="Times New Roman"/>
                <w:b/>
                <w:sz w:val="24"/>
                <w:szCs w:val="24"/>
              </w:rPr>
              <w:t>HAMP Modifications</w:t>
            </w:r>
          </w:p>
        </w:tc>
      </w:tr>
      <w:tr w:rsidR="007472B2" w:rsidRPr="00E73974" w:rsidTr="00CC5E9B">
        <w:trPr>
          <w:jc w:val="center"/>
        </w:trPr>
        <w:tc>
          <w:tcPr>
            <w:tcW w:w="1989" w:type="dxa"/>
          </w:tcPr>
          <w:p w:rsidR="007472B2" w:rsidRPr="00E73974" w:rsidRDefault="007472B2" w:rsidP="00CC5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73974">
              <w:rPr>
                <w:rFonts w:ascii="Times New Roman" w:hAnsi="Times New Roman"/>
                <w:sz w:val="24"/>
                <w:szCs w:val="24"/>
              </w:rPr>
              <w:t>Non-GSE Loans</w:t>
            </w:r>
          </w:p>
        </w:tc>
        <w:tc>
          <w:tcPr>
            <w:tcW w:w="2829" w:type="dxa"/>
          </w:tcPr>
          <w:p w:rsidR="007472B2" w:rsidRPr="00E73974" w:rsidRDefault="007472B2" w:rsidP="00CC5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 xml:space="preserve"> </w:t>
            </w:r>
            <w:r w:rsidRPr="00153E04">
              <w:rPr>
                <w:rFonts w:ascii="Times New Roman" w:hAnsi="Times New Roman"/>
                <w:sz w:val="24"/>
                <w:szCs w:val="24"/>
              </w:rPr>
              <w:t>534</w:t>
            </w:r>
            <w:r>
              <w:rPr>
                <w:rFonts w:ascii="Times New Roman" w:hAnsi="Times New Roman"/>
                <w:sz w:val="24"/>
                <w:szCs w:val="24"/>
              </w:rPr>
              <w:t>,</w:t>
            </w:r>
            <w:r w:rsidRPr="00153E04">
              <w:rPr>
                <w:rFonts w:ascii="Times New Roman" w:hAnsi="Times New Roman"/>
                <w:sz w:val="24"/>
                <w:szCs w:val="24"/>
              </w:rPr>
              <w:t>443</w:t>
            </w:r>
          </w:p>
        </w:tc>
      </w:tr>
      <w:tr w:rsidR="007472B2" w:rsidRPr="00E73974" w:rsidTr="00CC5E9B">
        <w:trPr>
          <w:jc w:val="center"/>
        </w:trPr>
        <w:tc>
          <w:tcPr>
            <w:tcW w:w="1989" w:type="dxa"/>
          </w:tcPr>
          <w:p w:rsidR="007472B2" w:rsidRPr="00E73974" w:rsidRDefault="007472B2" w:rsidP="00CC5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E73974">
              <w:rPr>
                <w:rFonts w:ascii="Times New Roman" w:hAnsi="Times New Roman"/>
                <w:sz w:val="24"/>
                <w:szCs w:val="24"/>
              </w:rPr>
              <w:t>GSE Loans</w:t>
            </w:r>
          </w:p>
        </w:tc>
        <w:tc>
          <w:tcPr>
            <w:tcW w:w="2829" w:type="dxa"/>
          </w:tcPr>
          <w:p w:rsidR="007472B2" w:rsidRPr="00E73974" w:rsidRDefault="007472B2" w:rsidP="00CC5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 xml:space="preserve"> 445,875</w:t>
            </w:r>
          </w:p>
        </w:tc>
      </w:tr>
      <w:tr w:rsidR="007472B2" w:rsidRPr="00E73974" w:rsidTr="00CC5E9B">
        <w:trPr>
          <w:jc w:val="center"/>
        </w:trPr>
        <w:tc>
          <w:tcPr>
            <w:tcW w:w="1989" w:type="dxa"/>
          </w:tcPr>
          <w:p w:rsidR="007472B2" w:rsidRPr="00E73974" w:rsidRDefault="007472B2" w:rsidP="00CC5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rPr>
                <w:rFonts w:ascii="Times New Roman" w:hAnsi="Times New Roman"/>
                <w:sz w:val="24"/>
                <w:szCs w:val="24"/>
              </w:rPr>
            </w:pPr>
            <w:r w:rsidRPr="00E73974">
              <w:rPr>
                <w:rFonts w:ascii="Times New Roman" w:hAnsi="Times New Roman"/>
                <w:sz w:val="24"/>
                <w:szCs w:val="24"/>
              </w:rPr>
              <w:t>Total</w:t>
            </w:r>
          </w:p>
        </w:tc>
        <w:tc>
          <w:tcPr>
            <w:tcW w:w="2829" w:type="dxa"/>
          </w:tcPr>
          <w:p w:rsidR="007472B2" w:rsidRPr="00E73974" w:rsidRDefault="007472B2" w:rsidP="00CC5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Pr>
                <w:rFonts w:ascii="Times New Roman" w:hAnsi="Times New Roman"/>
                <w:sz w:val="24"/>
                <w:szCs w:val="24"/>
              </w:rPr>
              <w:t xml:space="preserve"> 980,318</w:t>
            </w:r>
          </w:p>
        </w:tc>
      </w:tr>
    </w:tbl>
    <w:p w:rsidR="007472B2" w:rsidRDefault="007472B2" w:rsidP="00B6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p>
    <w:p w:rsidR="007472B2" w:rsidRDefault="007472B2" w:rsidP="00B6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While the Administration considers HAMP to be a single, comprehensive program</w:t>
      </w:r>
      <w:r w:rsidRPr="003C5B6E">
        <w:rPr>
          <w:rFonts w:ascii="Times New Roman" w:hAnsi="Times New Roman"/>
          <w:sz w:val="24"/>
          <w:szCs w:val="24"/>
        </w:rPr>
        <w:t xml:space="preserve">, </w:t>
      </w:r>
      <w:r>
        <w:rPr>
          <w:rFonts w:ascii="Times New Roman" w:hAnsi="Times New Roman"/>
          <w:sz w:val="24"/>
          <w:szCs w:val="24"/>
        </w:rPr>
        <w:t xml:space="preserve">the </w:t>
      </w:r>
      <w:r w:rsidR="003E03DC">
        <w:rPr>
          <w:rFonts w:ascii="Times New Roman" w:hAnsi="Times New Roman"/>
          <w:sz w:val="24"/>
          <w:szCs w:val="24"/>
        </w:rPr>
        <w:t>management</w:t>
      </w:r>
      <w:r w:rsidRPr="003C5B6E">
        <w:rPr>
          <w:rFonts w:ascii="Times New Roman" w:hAnsi="Times New Roman"/>
          <w:sz w:val="24"/>
          <w:szCs w:val="24"/>
        </w:rPr>
        <w:t xml:space="preserve"> </w:t>
      </w:r>
      <w:r>
        <w:rPr>
          <w:rFonts w:ascii="Times New Roman" w:hAnsi="Times New Roman"/>
          <w:sz w:val="24"/>
          <w:szCs w:val="24"/>
        </w:rPr>
        <w:t>occur</w:t>
      </w:r>
      <w:r w:rsidR="003E03DC">
        <w:rPr>
          <w:rFonts w:ascii="Times New Roman" w:hAnsi="Times New Roman"/>
          <w:sz w:val="24"/>
          <w:szCs w:val="24"/>
        </w:rPr>
        <w:t>s</w:t>
      </w:r>
      <w:r>
        <w:rPr>
          <w:rFonts w:ascii="Times New Roman" w:hAnsi="Times New Roman"/>
          <w:sz w:val="24"/>
          <w:szCs w:val="24"/>
        </w:rPr>
        <w:t xml:space="preserve"> </w:t>
      </w:r>
      <w:r w:rsidRPr="003C5B6E">
        <w:rPr>
          <w:rFonts w:ascii="Times New Roman" w:hAnsi="Times New Roman"/>
          <w:sz w:val="24"/>
          <w:szCs w:val="24"/>
        </w:rPr>
        <w:t>separately</w:t>
      </w:r>
      <w:r>
        <w:rPr>
          <w:rFonts w:ascii="Times New Roman" w:hAnsi="Times New Roman"/>
          <w:sz w:val="24"/>
          <w:szCs w:val="24"/>
        </w:rPr>
        <w:t xml:space="preserve"> for Non-GSE Loans and GSE Loans</w:t>
      </w:r>
      <w:r w:rsidRPr="003C5B6E">
        <w:rPr>
          <w:rFonts w:ascii="Times New Roman" w:hAnsi="Times New Roman"/>
          <w:sz w:val="24"/>
          <w:szCs w:val="24"/>
        </w:rPr>
        <w:t xml:space="preserve">. </w:t>
      </w:r>
      <w:r>
        <w:rPr>
          <w:rFonts w:ascii="Times New Roman" w:hAnsi="Times New Roman"/>
          <w:sz w:val="24"/>
          <w:szCs w:val="24"/>
        </w:rPr>
        <w:t xml:space="preserve"> Treasury sets program requirements for modifications of Non-GSE Loans, whereas Fannie Mae and Freddie Mac set program requirements for modifications of GSE Loans. </w:t>
      </w:r>
    </w:p>
    <w:p w:rsidR="007472B2" w:rsidRDefault="007472B2" w:rsidP="00B6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lastRenderedPageBreak/>
        <w:t xml:space="preserve">The target population for </w:t>
      </w:r>
      <w:r w:rsidR="00DD1BE9">
        <w:rPr>
          <w:rFonts w:ascii="Times New Roman" w:hAnsi="Times New Roman"/>
          <w:sz w:val="24"/>
          <w:szCs w:val="24"/>
        </w:rPr>
        <w:t xml:space="preserve">phase 2 of </w:t>
      </w:r>
      <w:r>
        <w:rPr>
          <w:rFonts w:ascii="Times New Roman" w:hAnsi="Times New Roman"/>
          <w:sz w:val="24"/>
          <w:szCs w:val="24"/>
        </w:rPr>
        <w:t xml:space="preserve">Treasury’s study is </w:t>
      </w:r>
      <w:r w:rsidRPr="000312AD">
        <w:rPr>
          <w:rFonts w:ascii="Times New Roman" w:hAnsi="Times New Roman"/>
          <w:sz w:val="24"/>
          <w:szCs w:val="24"/>
        </w:rPr>
        <w:t xml:space="preserve">homeowners </w:t>
      </w:r>
      <w:r>
        <w:rPr>
          <w:rFonts w:ascii="Times New Roman" w:hAnsi="Times New Roman"/>
          <w:sz w:val="24"/>
          <w:szCs w:val="24"/>
        </w:rPr>
        <w:t xml:space="preserve">with Non-GSE Loans </w:t>
      </w:r>
      <w:r w:rsidRPr="000312AD">
        <w:rPr>
          <w:rFonts w:ascii="Times New Roman" w:hAnsi="Times New Roman"/>
          <w:sz w:val="24"/>
          <w:szCs w:val="24"/>
        </w:rPr>
        <w:t xml:space="preserve">who </w:t>
      </w:r>
      <w:r>
        <w:rPr>
          <w:rFonts w:ascii="Times New Roman" w:hAnsi="Times New Roman"/>
          <w:sz w:val="24"/>
          <w:szCs w:val="24"/>
        </w:rPr>
        <w:t xml:space="preserve">have a HAMP permanent modification in good standing with a pending </w:t>
      </w:r>
      <w:r w:rsidR="004B2755">
        <w:rPr>
          <w:rFonts w:ascii="Times New Roman" w:hAnsi="Times New Roman"/>
          <w:sz w:val="24"/>
          <w:szCs w:val="24"/>
        </w:rPr>
        <w:t xml:space="preserve">interest </w:t>
      </w:r>
      <w:r>
        <w:rPr>
          <w:rFonts w:ascii="Times New Roman" w:hAnsi="Times New Roman"/>
          <w:sz w:val="24"/>
          <w:szCs w:val="24"/>
        </w:rPr>
        <w:t>rate reset.</w:t>
      </w:r>
    </w:p>
    <w:p w:rsidR="007472B2" w:rsidRDefault="007472B2" w:rsidP="00B6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 xml:space="preserve">The sample for phase 2 of the study will be stratified by two criteria: 1) Homeowner’s with estimated Mark to Market Loan to Value (MTM LTV) ratios greater than 100% and less than or equal to 100% as of November 2013, and 2) Homeowner’s estimated change in monthly Principal &amp; Interest (P&amp;I) payments between the monthly P&amp;I </w:t>
      </w:r>
      <w:r w:rsidRPr="00A25972">
        <w:rPr>
          <w:rFonts w:ascii="Times New Roman" w:hAnsi="Times New Roman"/>
          <w:sz w:val="24"/>
          <w:szCs w:val="24"/>
          <w:u w:val="single"/>
        </w:rPr>
        <w:t>at the start</w:t>
      </w:r>
      <w:r>
        <w:rPr>
          <w:rFonts w:ascii="Times New Roman" w:hAnsi="Times New Roman"/>
          <w:sz w:val="24"/>
          <w:szCs w:val="24"/>
        </w:rPr>
        <w:t xml:space="preserve"> of the HAMP modification and the estimated monthly P&amp;I payment at the final </w:t>
      </w:r>
      <w:r w:rsidR="00987B43">
        <w:rPr>
          <w:rFonts w:ascii="Times New Roman" w:hAnsi="Times New Roman"/>
          <w:sz w:val="24"/>
          <w:szCs w:val="24"/>
        </w:rPr>
        <w:t xml:space="preserve">interest </w:t>
      </w:r>
      <w:r>
        <w:rPr>
          <w:rFonts w:ascii="Times New Roman" w:hAnsi="Times New Roman"/>
          <w:sz w:val="24"/>
          <w:szCs w:val="24"/>
        </w:rPr>
        <w:t>rate reset.  These criteria will be further broken down into six groups as described in the example provided in Table 4:</w:t>
      </w:r>
      <w:r w:rsidRPr="000249A4">
        <w:rPr>
          <w:rFonts w:ascii="Times New Roman" w:hAnsi="Times New Roman"/>
          <w:bCs/>
          <w:sz w:val="24"/>
          <w:szCs w:val="24"/>
        </w:rPr>
        <w:t xml:space="preserve"> </w:t>
      </w:r>
      <w:r w:rsidRPr="00E10E85">
        <w:rPr>
          <w:rFonts w:ascii="Times New Roman" w:hAnsi="Times New Roman"/>
          <w:bCs/>
          <w:sz w:val="24"/>
          <w:szCs w:val="24"/>
        </w:rPr>
        <w:t xml:space="preserve">Desired Response Broken Down by </w:t>
      </w:r>
      <w:r w:rsidR="00987B43">
        <w:rPr>
          <w:rFonts w:ascii="Times New Roman" w:hAnsi="Times New Roman"/>
          <w:bCs/>
          <w:sz w:val="24"/>
          <w:szCs w:val="24"/>
        </w:rPr>
        <w:t xml:space="preserve">Interest </w:t>
      </w:r>
      <w:r>
        <w:rPr>
          <w:rFonts w:ascii="Times New Roman" w:hAnsi="Times New Roman"/>
          <w:bCs/>
          <w:sz w:val="24"/>
          <w:szCs w:val="24"/>
        </w:rPr>
        <w:t xml:space="preserve">Rate Reset </w:t>
      </w:r>
      <w:r w:rsidRPr="00E10E85">
        <w:rPr>
          <w:rFonts w:ascii="Times New Roman" w:hAnsi="Times New Roman"/>
          <w:bCs/>
          <w:sz w:val="24"/>
          <w:szCs w:val="24"/>
        </w:rPr>
        <w:t xml:space="preserve">Target </w:t>
      </w:r>
      <w:r>
        <w:rPr>
          <w:rFonts w:ascii="Times New Roman" w:hAnsi="Times New Roman"/>
          <w:bCs/>
          <w:sz w:val="24"/>
          <w:szCs w:val="24"/>
        </w:rPr>
        <w:t>Homeowners</w:t>
      </w:r>
      <w:r w:rsidRPr="00E10E85">
        <w:rPr>
          <w:rFonts w:ascii="Times New Roman" w:hAnsi="Times New Roman"/>
          <w:bCs/>
          <w:sz w:val="24"/>
          <w:szCs w:val="24"/>
        </w:rPr>
        <w:t xml:space="preserve"> Sampling Categories</w:t>
      </w:r>
      <w:r>
        <w:rPr>
          <w:rFonts w:ascii="Times New Roman" w:hAnsi="Times New Roman"/>
          <w:sz w:val="24"/>
          <w:szCs w:val="24"/>
        </w:rPr>
        <w:t xml:space="preserve">.  </w:t>
      </w:r>
    </w:p>
    <w:p w:rsidR="007472B2" w:rsidRDefault="007472B2" w:rsidP="004B27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 xml:space="preserve">Treasury’s goal for phase 2 is to collect a total of 2400 survey responses, with 400 responses in each group.  </w:t>
      </w:r>
    </w:p>
    <w:p w:rsidR="007472B2" w:rsidRDefault="007472B2" w:rsidP="004B2755">
      <w:pPr>
        <w:pStyle w:val="ListParagraph"/>
        <w:widowControl w:val="0"/>
        <w:autoSpaceDE w:val="0"/>
        <w:autoSpaceDN w:val="0"/>
        <w:adjustRightInd w:val="0"/>
        <w:spacing w:after="0"/>
        <w:ind w:left="1080"/>
        <w:rPr>
          <w:rFonts w:ascii="Times New Roman" w:hAnsi="Times New Roman"/>
          <w:bCs/>
          <w:sz w:val="24"/>
          <w:szCs w:val="24"/>
        </w:rPr>
      </w:pPr>
      <w:r w:rsidRPr="00E10E85">
        <w:rPr>
          <w:rFonts w:ascii="Times New Roman" w:hAnsi="Times New Roman"/>
          <w:bCs/>
          <w:sz w:val="24"/>
          <w:szCs w:val="24"/>
        </w:rPr>
        <w:t xml:space="preserve">Table </w:t>
      </w:r>
      <w:r>
        <w:rPr>
          <w:rFonts w:ascii="Times New Roman" w:hAnsi="Times New Roman"/>
          <w:bCs/>
          <w:sz w:val="24"/>
          <w:szCs w:val="24"/>
        </w:rPr>
        <w:t>4</w:t>
      </w:r>
      <w:r w:rsidRPr="00E10E85">
        <w:rPr>
          <w:rFonts w:ascii="Times New Roman" w:hAnsi="Times New Roman"/>
          <w:bCs/>
          <w:sz w:val="24"/>
          <w:szCs w:val="24"/>
        </w:rPr>
        <w:t xml:space="preserve">: Desired Response Broken Down by </w:t>
      </w:r>
      <w:r w:rsidR="00987B43">
        <w:rPr>
          <w:rFonts w:ascii="Times New Roman" w:hAnsi="Times New Roman"/>
          <w:bCs/>
          <w:sz w:val="24"/>
          <w:szCs w:val="24"/>
        </w:rPr>
        <w:t xml:space="preserve">Interest </w:t>
      </w:r>
      <w:r>
        <w:rPr>
          <w:rFonts w:ascii="Times New Roman" w:hAnsi="Times New Roman"/>
          <w:bCs/>
          <w:sz w:val="24"/>
          <w:szCs w:val="24"/>
        </w:rPr>
        <w:t xml:space="preserve">Rate Reset </w:t>
      </w:r>
      <w:r w:rsidRPr="00E10E85">
        <w:rPr>
          <w:rFonts w:ascii="Times New Roman" w:hAnsi="Times New Roman"/>
          <w:bCs/>
          <w:sz w:val="24"/>
          <w:szCs w:val="24"/>
        </w:rPr>
        <w:t xml:space="preserve">Target </w:t>
      </w:r>
      <w:r>
        <w:rPr>
          <w:rFonts w:ascii="Times New Roman" w:hAnsi="Times New Roman"/>
          <w:bCs/>
          <w:sz w:val="24"/>
          <w:szCs w:val="24"/>
        </w:rPr>
        <w:t>Homeowners</w:t>
      </w:r>
      <w:r w:rsidRPr="00E10E85">
        <w:rPr>
          <w:rFonts w:ascii="Times New Roman" w:hAnsi="Times New Roman"/>
          <w:bCs/>
          <w:sz w:val="24"/>
          <w:szCs w:val="24"/>
        </w:rPr>
        <w:t xml:space="preserve"> Sampling Categories</w:t>
      </w:r>
    </w:p>
    <w:p w:rsidR="007472B2" w:rsidRDefault="007472B2" w:rsidP="004B2755">
      <w:pPr>
        <w:widowControl w:val="0"/>
        <w:spacing w:after="0" w:line="240" w:lineRule="auto"/>
        <w:ind w:left="360"/>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260"/>
        <w:gridCol w:w="2084"/>
        <w:gridCol w:w="1003"/>
        <w:gridCol w:w="1440"/>
      </w:tblGrid>
      <w:tr w:rsidR="007472B2" w:rsidRPr="00E10E85" w:rsidTr="00CC5E9B">
        <w:trPr>
          <w:trHeight w:val="530"/>
          <w:jc w:val="center"/>
        </w:trPr>
        <w:tc>
          <w:tcPr>
            <w:tcW w:w="2520" w:type="dxa"/>
            <w:vAlign w:val="center"/>
          </w:tcPr>
          <w:p w:rsidR="007472B2" w:rsidRPr="00F8786D" w:rsidRDefault="007472B2" w:rsidP="004B2755">
            <w:pPr>
              <w:widowControl w:val="0"/>
              <w:spacing w:after="0"/>
              <w:jc w:val="center"/>
              <w:rPr>
                <w:rFonts w:ascii="Times New Roman" w:hAnsi="Times New Roman"/>
                <w:b/>
                <w:sz w:val="24"/>
                <w:szCs w:val="24"/>
              </w:rPr>
            </w:pPr>
          </w:p>
        </w:tc>
        <w:tc>
          <w:tcPr>
            <w:tcW w:w="5787" w:type="dxa"/>
            <w:gridSpan w:val="4"/>
            <w:vAlign w:val="center"/>
          </w:tcPr>
          <w:p w:rsidR="007472B2" w:rsidRPr="00F8786D" w:rsidRDefault="007472B2" w:rsidP="004B2755">
            <w:pPr>
              <w:widowControl w:val="0"/>
              <w:spacing w:after="0"/>
              <w:jc w:val="center"/>
              <w:rPr>
                <w:rFonts w:ascii="Times New Roman" w:hAnsi="Times New Roman"/>
                <w:b/>
                <w:sz w:val="24"/>
                <w:szCs w:val="24"/>
              </w:rPr>
            </w:pPr>
            <w:r w:rsidRPr="00F8786D">
              <w:rPr>
                <w:rFonts w:ascii="Times New Roman" w:hAnsi="Times New Roman"/>
                <w:b/>
                <w:sz w:val="24"/>
                <w:szCs w:val="24"/>
              </w:rPr>
              <w:t>P&amp;I Change</w:t>
            </w:r>
          </w:p>
        </w:tc>
      </w:tr>
      <w:tr w:rsidR="007472B2" w:rsidRPr="00E10E85" w:rsidTr="000C6D1A">
        <w:trPr>
          <w:trHeight w:val="530"/>
          <w:jc w:val="center"/>
        </w:trPr>
        <w:tc>
          <w:tcPr>
            <w:tcW w:w="2520" w:type="dxa"/>
            <w:vAlign w:val="center"/>
          </w:tcPr>
          <w:p w:rsidR="007472B2" w:rsidRPr="00F8786D" w:rsidRDefault="007472B2" w:rsidP="004B2755">
            <w:pPr>
              <w:widowControl w:val="0"/>
              <w:spacing w:after="0"/>
              <w:jc w:val="center"/>
              <w:rPr>
                <w:rFonts w:ascii="Times New Roman" w:hAnsi="Times New Roman"/>
                <w:b/>
                <w:sz w:val="24"/>
                <w:szCs w:val="24"/>
              </w:rPr>
            </w:pPr>
            <w:r>
              <w:rPr>
                <w:rFonts w:ascii="Times New Roman" w:hAnsi="Times New Roman"/>
                <w:b/>
                <w:sz w:val="24"/>
                <w:szCs w:val="24"/>
              </w:rPr>
              <w:t>Estimated MTM LTV</w:t>
            </w:r>
          </w:p>
        </w:tc>
        <w:tc>
          <w:tcPr>
            <w:tcW w:w="1260" w:type="dxa"/>
            <w:vAlign w:val="center"/>
          </w:tcPr>
          <w:p w:rsidR="007472B2" w:rsidRPr="00F8786D" w:rsidRDefault="007472B2" w:rsidP="004B2755">
            <w:pPr>
              <w:widowControl w:val="0"/>
              <w:spacing w:after="0"/>
              <w:jc w:val="center"/>
              <w:rPr>
                <w:rFonts w:ascii="Times New Roman" w:hAnsi="Times New Roman"/>
                <w:b/>
                <w:sz w:val="24"/>
                <w:szCs w:val="24"/>
              </w:rPr>
            </w:pPr>
            <w:r w:rsidRPr="00F8786D">
              <w:rPr>
                <w:rFonts w:ascii="Times New Roman" w:hAnsi="Times New Roman"/>
                <w:b/>
                <w:sz w:val="24"/>
                <w:szCs w:val="24"/>
              </w:rPr>
              <w:t>&lt;=</w:t>
            </w:r>
            <w:r>
              <w:rPr>
                <w:rFonts w:ascii="Times New Roman" w:hAnsi="Times New Roman"/>
                <w:b/>
                <w:sz w:val="24"/>
                <w:szCs w:val="24"/>
              </w:rPr>
              <w:t>$140</w:t>
            </w:r>
          </w:p>
        </w:tc>
        <w:tc>
          <w:tcPr>
            <w:tcW w:w="2084" w:type="dxa"/>
            <w:vAlign w:val="center"/>
          </w:tcPr>
          <w:p w:rsidR="007472B2" w:rsidRPr="00F8786D" w:rsidRDefault="007472B2" w:rsidP="00545499">
            <w:pPr>
              <w:widowControl w:val="0"/>
              <w:spacing w:after="0"/>
              <w:jc w:val="center"/>
              <w:rPr>
                <w:rFonts w:ascii="Times New Roman" w:hAnsi="Times New Roman"/>
                <w:b/>
                <w:sz w:val="24"/>
                <w:szCs w:val="24"/>
              </w:rPr>
            </w:pPr>
            <w:r>
              <w:rPr>
                <w:rFonts w:ascii="Times New Roman" w:hAnsi="Times New Roman"/>
                <w:b/>
                <w:sz w:val="24"/>
                <w:szCs w:val="24"/>
              </w:rPr>
              <w:t>&gt;$140</w:t>
            </w:r>
            <w:r w:rsidRPr="00F8786D">
              <w:rPr>
                <w:rFonts w:ascii="Times New Roman" w:hAnsi="Times New Roman"/>
                <w:b/>
                <w:sz w:val="24"/>
                <w:szCs w:val="24"/>
              </w:rPr>
              <w:t xml:space="preserve"> - </w:t>
            </w:r>
            <w:r>
              <w:rPr>
                <w:rFonts w:ascii="Times New Roman" w:hAnsi="Times New Roman"/>
                <w:b/>
                <w:sz w:val="24"/>
                <w:szCs w:val="24"/>
              </w:rPr>
              <w:t>&lt;=$300</w:t>
            </w:r>
          </w:p>
        </w:tc>
        <w:tc>
          <w:tcPr>
            <w:tcW w:w="1003" w:type="dxa"/>
            <w:vAlign w:val="center"/>
          </w:tcPr>
          <w:p w:rsidR="007472B2" w:rsidRPr="00F8786D" w:rsidRDefault="007472B2" w:rsidP="004B2755">
            <w:pPr>
              <w:widowControl w:val="0"/>
              <w:spacing w:after="0"/>
              <w:jc w:val="center"/>
              <w:rPr>
                <w:rFonts w:ascii="Times New Roman" w:hAnsi="Times New Roman"/>
                <w:b/>
                <w:sz w:val="24"/>
                <w:szCs w:val="24"/>
              </w:rPr>
            </w:pPr>
            <w:r w:rsidRPr="00F8786D">
              <w:rPr>
                <w:rFonts w:ascii="Times New Roman" w:hAnsi="Times New Roman"/>
                <w:b/>
                <w:sz w:val="24"/>
                <w:szCs w:val="24"/>
              </w:rPr>
              <w:t>&gt;</w:t>
            </w:r>
            <w:r>
              <w:rPr>
                <w:rFonts w:ascii="Times New Roman" w:hAnsi="Times New Roman"/>
                <w:b/>
                <w:sz w:val="24"/>
                <w:szCs w:val="24"/>
              </w:rPr>
              <w:t>$300</w:t>
            </w:r>
          </w:p>
        </w:tc>
        <w:tc>
          <w:tcPr>
            <w:tcW w:w="1440" w:type="dxa"/>
            <w:vAlign w:val="center"/>
          </w:tcPr>
          <w:p w:rsidR="007472B2" w:rsidRPr="00F8786D" w:rsidRDefault="007472B2" w:rsidP="004B2755">
            <w:pPr>
              <w:widowControl w:val="0"/>
              <w:spacing w:after="0"/>
              <w:jc w:val="center"/>
              <w:rPr>
                <w:rFonts w:ascii="Times New Roman" w:hAnsi="Times New Roman"/>
                <w:b/>
                <w:sz w:val="24"/>
                <w:szCs w:val="24"/>
              </w:rPr>
            </w:pPr>
            <w:r>
              <w:rPr>
                <w:rFonts w:ascii="Times New Roman" w:hAnsi="Times New Roman"/>
                <w:b/>
                <w:sz w:val="24"/>
                <w:szCs w:val="24"/>
              </w:rPr>
              <w:t>Total</w:t>
            </w:r>
          </w:p>
        </w:tc>
      </w:tr>
      <w:tr w:rsidR="007472B2" w:rsidRPr="00E10E85" w:rsidTr="000C6D1A">
        <w:trPr>
          <w:trHeight w:val="530"/>
          <w:jc w:val="center"/>
        </w:trPr>
        <w:tc>
          <w:tcPr>
            <w:tcW w:w="2520" w:type="dxa"/>
            <w:vAlign w:val="center"/>
          </w:tcPr>
          <w:p w:rsidR="007472B2" w:rsidRPr="00F8786D" w:rsidRDefault="007472B2" w:rsidP="004B2755">
            <w:pPr>
              <w:widowControl w:val="0"/>
              <w:spacing w:after="0"/>
              <w:jc w:val="center"/>
              <w:rPr>
                <w:rFonts w:ascii="Times New Roman" w:hAnsi="Times New Roman"/>
                <w:b/>
                <w:sz w:val="24"/>
                <w:szCs w:val="24"/>
              </w:rPr>
            </w:pPr>
            <w:r w:rsidRPr="00F8786D">
              <w:rPr>
                <w:rFonts w:ascii="Times New Roman" w:hAnsi="Times New Roman"/>
                <w:b/>
                <w:sz w:val="24"/>
                <w:szCs w:val="24"/>
              </w:rPr>
              <w:t xml:space="preserve">&lt;= </w:t>
            </w:r>
            <w:r>
              <w:rPr>
                <w:rFonts w:ascii="Times New Roman" w:hAnsi="Times New Roman"/>
                <w:b/>
                <w:sz w:val="24"/>
                <w:szCs w:val="24"/>
              </w:rPr>
              <w:t>100%</w:t>
            </w:r>
          </w:p>
        </w:tc>
        <w:tc>
          <w:tcPr>
            <w:tcW w:w="1260" w:type="dxa"/>
            <w:vAlign w:val="center"/>
          </w:tcPr>
          <w:p w:rsidR="007472B2" w:rsidRPr="00E10E85" w:rsidRDefault="007472B2" w:rsidP="004B2755">
            <w:pPr>
              <w:widowControl w:val="0"/>
              <w:spacing w:after="0"/>
              <w:jc w:val="center"/>
              <w:rPr>
                <w:rFonts w:ascii="Times New Roman" w:hAnsi="Times New Roman"/>
                <w:sz w:val="24"/>
                <w:szCs w:val="24"/>
              </w:rPr>
            </w:pPr>
            <w:r w:rsidRPr="00E10E85">
              <w:rPr>
                <w:rFonts w:ascii="Times New Roman" w:hAnsi="Times New Roman"/>
                <w:sz w:val="24"/>
                <w:szCs w:val="24"/>
              </w:rPr>
              <w:t>400</w:t>
            </w:r>
          </w:p>
        </w:tc>
        <w:tc>
          <w:tcPr>
            <w:tcW w:w="2084" w:type="dxa"/>
            <w:vAlign w:val="center"/>
          </w:tcPr>
          <w:p w:rsidR="007472B2" w:rsidRPr="00E10E85" w:rsidRDefault="007472B2" w:rsidP="004B2755">
            <w:pPr>
              <w:widowControl w:val="0"/>
              <w:spacing w:after="0"/>
              <w:jc w:val="center"/>
              <w:rPr>
                <w:rFonts w:ascii="Times New Roman" w:hAnsi="Times New Roman"/>
                <w:sz w:val="24"/>
                <w:szCs w:val="24"/>
              </w:rPr>
            </w:pPr>
            <w:r w:rsidRPr="00E10E85">
              <w:rPr>
                <w:rFonts w:ascii="Times New Roman" w:hAnsi="Times New Roman"/>
                <w:sz w:val="24"/>
                <w:szCs w:val="24"/>
              </w:rPr>
              <w:t>400</w:t>
            </w:r>
          </w:p>
        </w:tc>
        <w:tc>
          <w:tcPr>
            <w:tcW w:w="1003" w:type="dxa"/>
            <w:vAlign w:val="center"/>
          </w:tcPr>
          <w:p w:rsidR="007472B2" w:rsidRPr="00E10E85" w:rsidRDefault="007472B2" w:rsidP="004B2755">
            <w:pPr>
              <w:widowControl w:val="0"/>
              <w:spacing w:after="0"/>
              <w:jc w:val="center"/>
              <w:rPr>
                <w:rFonts w:ascii="Times New Roman" w:hAnsi="Times New Roman"/>
                <w:sz w:val="24"/>
                <w:szCs w:val="24"/>
              </w:rPr>
            </w:pPr>
            <w:r w:rsidRPr="00E10E85">
              <w:rPr>
                <w:rFonts w:ascii="Times New Roman" w:hAnsi="Times New Roman"/>
                <w:sz w:val="24"/>
                <w:szCs w:val="24"/>
              </w:rPr>
              <w:t>400</w:t>
            </w:r>
          </w:p>
        </w:tc>
        <w:tc>
          <w:tcPr>
            <w:tcW w:w="1440" w:type="dxa"/>
            <w:vAlign w:val="center"/>
          </w:tcPr>
          <w:p w:rsidR="007472B2" w:rsidRPr="00E10E85" w:rsidRDefault="007472B2" w:rsidP="004B2755">
            <w:pPr>
              <w:widowControl w:val="0"/>
              <w:spacing w:after="0"/>
              <w:jc w:val="center"/>
              <w:rPr>
                <w:rFonts w:ascii="Times New Roman" w:hAnsi="Times New Roman"/>
                <w:sz w:val="24"/>
                <w:szCs w:val="24"/>
              </w:rPr>
            </w:pPr>
            <w:r>
              <w:rPr>
                <w:rFonts w:ascii="Times New Roman" w:hAnsi="Times New Roman"/>
                <w:sz w:val="24"/>
                <w:szCs w:val="24"/>
              </w:rPr>
              <w:t>12</w:t>
            </w:r>
            <w:r w:rsidRPr="00E10E85">
              <w:rPr>
                <w:rFonts w:ascii="Times New Roman" w:hAnsi="Times New Roman"/>
                <w:sz w:val="24"/>
                <w:szCs w:val="24"/>
              </w:rPr>
              <w:t>00</w:t>
            </w:r>
          </w:p>
        </w:tc>
      </w:tr>
      <w:tr w:rsidR="007472B2" w:rsidRPr="00E10E85" w:rsidTr="000C6D1A">
        <w:trPr>
          <w:trHeight w:val="593"/>
          <w:jc w:val="center"/>
        </w:trPr>
        <w:tc>
          <w:tcPr>
            <w:tcW w:w="2520" w:type="dxa"/>
            <w:vAlign w:val="center"/>
          </w:tcPr>
          <w:p w:rsidR="007472B2" w:rsidRPr="00F8786D" w:rsidRDefault="007472B2" w:rsidP="004B2755">
            <w:pPr>
              <w:widowControl w:val="0"/>
              <w:spacing w:after="0"/>
              <w:jc w:val="center"/>
              <w:rPr>
                <w:rFonts w:ascii="Times New Roman" w:hAnsi="Times New Roman"/>
                <w:b/>
                <w:sz w:val="24"/>
                <w:szCs w:val="24"/>
              </w:rPr>
            </w:pPr>
            <w:r w:rsidRPr="00F8786D">
              <w:rPr>
                <w:rFonts w:ascii="Times New Roman" w:hAnsi="Times New Roman"/>
                <w:b/>
                <w:sz w:val="24"/>
                <w:szCs w:val="24"/>
              </w:rPr>
              <w:t xml:space="preserve">&gt; </w:t>
            </w:r>
            <w:r>
              <w:rPr>
                <w:rFonts w:ascii="Times New Roman" w:hAnsi="Times New Roman"/>
                <w:b/>
                <w:sz w:val="24"/>
                <w:szCs w:val="24"/>
              </w:rPr>
              <w:t>100%</w:t>
            </w:r>
          </w:p>
        </w:tc>
        <w:tc>
          <w:tcPr>
            <w:tcW w:w="1260" w:type="dxa"/>
            <w:vAlign w:val="center"/>
          </w:tcPr>
          <w:p w:rsidR="007472B2" w:rsidRPr="00E10E85" w:rsidRDefault="007472B2" w:rsidP="004B2755">
            <w:pPr>
              <w:widowControl w:val="0"/>
              <w:spacing w:after="0"/>
              <w:jc w:val="center"/>
              <w:rPr>
                <w:rFonts w:ascii="Times New Roman" w:hAnsi="Times New Roman"/>
                <w:sz w:val="24"/>
                <w:szCs w:val="24"/>
              </w:rPr>
            </w:pPr>
            <w:r w:rsidRPr="00E10E85">
              <w:rPr>
                <w:rFonts w:ascii="Times New Roman" w:hAnsi="Times New Roman"/>
                <w:sz w:val="24"/>
                <w:szCs w:val="24"/>
              </w:rPr>
              <w:t>400</w:t>
            </w:r>
          </w:p>
        </w:tc>
        <w:tc>
          <w:tcPr>
            <w:tcW w:w="2084" w:type="dxa"/>
            <w:vAlign w:val="center"/>
          </w:tcPr>
          <w:p w:rsidR="007472B2" w:rsidRPr="00E10E85" w:rsidRDefault="007472B2" w:rsidP="004B2755">
            <w:pPr>
              <w:widowControl w:val="0"/>
              <w:spacing w:after="0"/>
              <w:jc w:val="center"/>
              <w:rPr>
                <w:rFonts w:ascii="Times New Roman" w:hAnsi="Times New Roman"/>
                <w:sz w:val="24"/>
                <w:szCs w:val="24"/>
              </w:rPr>
            </w:pPr>
            <w:r w:rsidRPr="00E10E85">
              <w:rPr>
                <w:rFonts w:ascii="Times New Roman" w:hAnsi="Times New Roman"/>
                <w:sz w:val="24"/>
                <w:szCs w:val="24"/>
              </w:rPr>
              <w:t>400</w:t>
            </w:r>
          </w:p>
        </w:tc>
        <w:tc>
          <w:tcPr>
            <w:tcW w:w="1003" w:type="dxa"/>
            <w:vAlign w:val="center"/>
          </w:tcPr>
          <w:p w:rsidR="007472B2" w:rsidRPr="00E10E85" w:rsidRDefault="007472B2" w:rsidP="004B2755">
            <w:pPr>
              <w:widowControl w:val="0"/>
              <w:spacing w:after="0"/>
              <w:jc w:val="center"/>
              <w:rPr>
                <w:rFonts w:ascii="Times New Roman" w:hAnsi="Times New Roman"/>
                <w:sz w:val="24"/>
                <w:szCs w:val="24"/>
              </w:rPr>
            </w:pPr>
            <w:r w:rsidRPr="00E10E85">
              <w:rPr>
                <w:rFonts w:ascii="Times New Roman" w:hAnsi="Times New Roman"/>
                <w:sz w:val="24"/>
                <w:szCs w:val="24"/>
              </w:rPr>
              <w:t>400</w:t>
            </w:r>
          </w:p>
        </w:tc>
        <w:tc>
          <w:tcPr>
            <w:tcW w:w="1440" w:type="dxa"/>
            <w:vAlign w:val="center"/>
          </w:tcPr>
          <w:p w:rsidR="007472B2" w:rsidRPr="00E10E85" w:rsidRDefault="007472B2" w:rsidP="004B2755">
            <w:pPr>
              <w:widowControl w:val="0"/>
              <w:spacing w:after="0"/>
              <w:jc w:val="center"/>
              <w:rPr>
                <w:rFonts w:ascii="Times New Roman" w:hAnsi="Times New Roman"/>
                <w:sz w:val="24"/>
                <w:szCs w:val="24"/>
              </w:rPr>
            </w:pPr>
            <w:r>
              <w:rPr>
                <w:rFonts w:ascii="Times New Roman" w:hAnsi="Times New Roman"/>
                <w:sz w:val="24"/>
                <w:szCs w:val="24"/>
              </w:rPr>
              <w:t>12</w:t>
            </w:r>
            <w:r w:rsidRPr="00E10E85">
              <w:rPr>
                <w:rFonts w:ascii="Times New Roman" w:hAnsi="Times New Roman"/>
                <w:sz w:val="24"/>
                <w:szCs w:val="24"/>
              </w:rPr>
              <w:t>00</w:t>
            </w:r>
          </w:p>
        </w:tc>
      </w:tr>
      <w:tr w:rsidR="007472B2" w:rsidRPr="00E10E85" w:rsidTr="000C6D1A">
        <w:trPr>
          <w:trHeight w:val="593"/>
          <w:jc w:val="center"/>
        </w:trPr>
        <w:tc>
          <w:tcPr>
            <w:tcW w:w="2520" w:type="dxa"/>
            <w:vAlign w:val="center"/>
          </w:tcPr>
          <w:p w:rsidR="007472B2" w:rsidRPr="00F8786D" w:rsidRDefault="007472B2" w:rsidP="004B2755">
            <w:pPr>
              <w:widowControl w:val="0"/>
              <w:spacing w:after="0"/>
              <w:jc w:val="center"/>
              <w:rPr>
                <w:rFonts w:ascii="Times New Roman" w:hAnsi="Times New Roman"/>
                <w:b/>
                <w:sz w:val="24"/>
                <w:szCs w:val="24"/>
              </w:rPr>
            </w:pPr>
            <w:r>
              <w:rPr>
                <w:rFonts w:ascii="Times New Roman" w:hAnsi="Times New Roman"/>
                <w:b/>
                <w:sz w:val="24"/>
                <w:szCs w:val="24"/>
              </w:rPr>
              <w:t>Total</w:t>
            </w:r>
          </w:p>
        </w:tc>
        <w:tc>
          <w:tcPr>
            <w:tcW w:w="1260" w:type="dxa"/>
            <w:vAlign w:val="center"/>
          </w:tcPr>
          <w:p w:rsidR="007472B2" w:rsidRPr="00E10E85" w:rsidRDefault="007472B2" w:rsidP="004B2755">
            <w:pPr>
              <w:widowControl w:val="0"/>
              <w:spacing w:after="0"/>
              <w:jc w:val="center"/>
              <w:rPr>
                <w:rFonts w:ascii="Times New Roman" w:hAnsi="Times New Roman"/>
                <w:sz w:val="24"/>
                <w:szCs w:val="24"/>
              </w:rPr>
            </w:pPr>
            <w:r>
              <w:rPr>
                <w:rFonts w:ascii="Times New Roman" w:hAnsi="Times New Roman"/>
                <w:sz w:val="24"/>
                <w:szCs w:val="24"/>
              </w:rPr>
              <w:t>800</w:t>
            </w:r>
          </w:p>
        </w:tc>
        <w:tc>
          <w:tcPr>
            <w:tcW w:w="2084" w:type="dxa"/>
            <w:vAlign w:val="center"/>
          </w:tcPr>
          <w:p w:rsidR="007472B2" w:rsidRPr="00E10E85" w:rsidRDefault="007472B2" w:rsidP="004B2755">
            <w:pPr>
              <w:widowControl w:val="0"/>
              <w:spacing w:after="0"/>
              <w:jc w:val="center"/>
              <w:rPr>
                <w:rFonts w:ascii="Times New Roman" w:hAnsi="Times New Roman"/>
                <w:sz w:val="24"/>
                <w:szCs w:val="24"/>
              </w:rPr>
            </w:pPr>
            <w:r>
              <w:rPr>
                <w:rFonts w:ascii="Times New Roman" w:hAnsi="Times New Roman"/>
                <w:sz w:val="24"/>
                <w:szCs w:val="24"/>
              </w:rPr>
              <w:t>800</w:t>
            </w:r>
          </w:p>
        </w:tc>
        <w:tc>
          <w:tcPr>
            <w:tcW w:w="1003" w:type="dxa"/>
            <w:vAlign w:val="center"/>
          </w:tcPr>
          <w:p w:rsidR="007472B2" w:rsidRPr="00E10E85" w:rsidRDefault="007472B2" w:rsidP="004B2755">
            <w:pPr>
              <w:widowControl w:val="0"/>
              <w:spacing w:after="0"/>
              <w:jc w:val="center"/>
              <w:rPr>
                <w:rFonts w:ascii="Times New Roman" w:hAnsi="Times New Roman"/>
                <w:sz w:val="24"/>
                <w:szCs w:val="24"/>
              </w:rPr>
            </w:pPr>
            <w:r>
              <w:rPr>
                <w:rFonts w:ascii="Times New Roman" w:hAnsi="Times New Roman"/>
                <w:sz w:val="24"/>
                <w:szCs w:val="24"/>
              </w:rPr>
              <w:t>800</w:t>
            </w:r>
          </w:p>
        </w:tc>
        <w:tc>
          <w:tcPr>
            <w:tcW w:w="1440" w:type="dxa"/>
            <w:vAlign w:val="center"/>
          </w:tcPr>
          <w:p w:rsidR="007472B2" w:rsidRPr="00E10E85" w:rsidRDefault="007472B2" w:rsidP="004B2755">
            <w:pPr>
              <w:widowControl w:val="0"/>
              <w:spacing w:after="0"/>
              <w:jc w:val="center"/>
              <w:rPr>
                <w:rFonts w:ascii="Times New Roman" w:hAnsi="Times New Roman"/>
                <w:sz w:val="24"/>
                <w:szCs w:val="24"/>
              </w:rPr>
            </w:pPr>
            <w:r>
              <w:rPr>
                <w:rFonts w:ascii="Times New Roman" w:hAnsi="Times New Roman"/>
                <w:sz w:val="24"/>
                <w:szCs w:val="24"/>
              </w:rPr>
              <w:t>2</w:t>
            </w:r>
            <w:r w:rsidRPr="00E10E85">
              <w:rPr>
                <w:rFonts w:ascii="Times New Roman" w:hAnsi="Times New Roman"/>
                <w:sz w:val="24"/>
                <w:szCs w:val="24"/>
              </w:rPr>
              <w:t>400</w:t>
            </w:r>
          </w:p>
        </w:tc>
      </w:tr>
    </w:tbl>
    <w:p w:rsidR="007472B2" w:rsidRDefault="007472B2" w:rsidP="004B2755">
      <w:pPr>
        <w:widowControl w:val="0"/>
        <w:spacing w:after="0" w:line="240" w:lineRule="auto"/>
        <w:ind w:left="360"/>
        <w:rPr>
          <w:rFonts w:ascii="Times New Roman" w:hAnsi="Times New Roman"/>
          <w:bCs/>
          <w:sz w:val="24"/>
          <w:szCs w:val="24"/>
        </w:rPr>
      </w:pPr>
    </w:p>
    <w:p w:rsidR="00545499" w:rsidRDefault="007472B2" w:rsidP="00545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bCs/>
          <w:sz w:val="24"/>
          <w:szCs w:val="24"/>
        </w:rPr>
        <w:t xml:space="preserve">The above subgroups are defined to mirror the </w:t>
      </w:r>
      <w:r w:rsidR="00545499">
        <w:rPr>
          <w:rFonts w:ascii="Times New Roman" w:hAnsi="Times New Roman"/>
          <w:sz w:val="24"/>
          <w:szCs w:val="24"/>
        </w:rPr>
        <w:t>HAMP permanent modification in good standing with a pending interest rate reset.</w:t>
      </w:r>
    </w:p>
    <w:p w:rsidR="007472B2" w:rsidRDefault="007472B2" w:rsidP="004B2755">
      <w:pPr>
        <w:widowControl w:val="0"/>
        <w:spacing w:after="0" w:line="240" w:lineRule="auto"/>
        <w:ind w:left="360"/>
        <w:rPr>
          <w:rFonts w:ascii="Times New Roman" w:hAnsi="Times New Roman"/>
          <w:bCs/>
          <w:sz w:val="24"/>
          <w:szCs w:val="24"/>
        </w:rPr>
      </w:pPr>
      <w:r>
        <w:rPr>
          <w:rFonts w:ascii="Times New Roman" w:hAnsi="Times New Roman"/>
          <w:bCs/>
          <w:sz w:val="24"/>
          <w:szCs w:val="24"/>
        </w:rPr>
        <w:t xml:space="preserve">    This sampling stratification strategy will help ensure that the completed survey sample well represents the universe population with more precision.  This will also help reduce sampling biases as certain subgroups might be less or more likely to respond to the survey than other subgroups.</w:t>
      </w:r>
    </w:p>
    <w:p w:rsidR="007472B2" w:rsidRPr="00E10E85" w:rsidRDefault="007472B2" w:rsidP="004B2755">
      <w:pPr>
        <w:widowControl w:val="0"/>
        <w:spacing w:after="0" w:line="240" w:lineRule="auto"/>
        <w:ind w:left="360"/>
        <w:rPr>
          <w:rFonts w:ascii="Times New Roman" w:hAnsi="Times New Roman"/>
          <w:bCs/>
          <w:sz w:val="24"/>
          <w:szCs w:val="24"/>
        </w:rPr>
      </w:pPr>
    </w:p>
    <w:p w:rsidR="007472B2" w:rsidRDefault="007472B2" w:rsidP="004B27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In terms of sampling, the universe of potential respondents will be classified into the six groups and then, via random sampling, survey participants will be selected for each group to receive the survey.</w:t>
      </w:r>
    </w:p>
    <w:p w:rsidR="007472B2" w:rsidRDefault="007472B2" w:rsidP="004B27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 xml:space="preserve">The population of homeowners with active Non-GSE permanent modifications with a pending </w:t>
      </w:r>
      <w:r w:rsidR="00987B43">
        <w:rPr>
          <w:rFonts w:ascii="Times New Roman" w:hAnsi="Times New Roman"/>
          <w:sz w:val="24"/>
          <w:szCs w:val="24"/>
        </w:rPr>
        <w:t xml:space="preserve">interest </w:t>
      </w:r>
      <w:r>
        <w:rPr>
          <w:rFonts w:ascii="Times New Roman" w:hAnsi="Times New Roman"/>
          <w:sz w:val="24"/>
          <w:szCs w:val="24"/>
        </w:rPr>
        <w:t>rate reset as of November 2013 is approximately 375,000 homeowners.  Homeowners will be sampled across all vintages.   The sampling error will be 2% at the 95% confidence level.</w:t>
      </w:r>
    </w:p>
    <w:p w:rsidR="007472B2" w:rsidRPr="00E73974" w:rsidRDefault="007472B2" w:rsidP="004B27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u w:val="single"/>
        </w:rPr>
      </w:pPr>
      <w:r>
        <w:rPr>
          <w:rFonts w:ascii="Times New Roman" w:hAnsi="Times New Roman"/>
          <w:sz w:val="24"/>
          <w:szCs w:val="24"/>
          <w:u w:val="single"/>
        </w:rPr>
        <w:t>Power Analysis</w:t>
      </w:r>
    </w:p>
    <w:p w:rsidR="007472B2" w:rsidRDefault="007472B2" w:rsidP="004B27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eastAsia="MS Mincho" w:hAnsi="Times New Roman"/>
          <w:color w:val="000000"/>
          <w:sz w:val="24"/>
          <w:szCs w:val="24"/>
          <w:lang w:eastAsia="ja-JP"/>
        </w:rPr>
        <w:t>Assuming an effect size of 0.1 (or 10 percentage points difference on proportional data such as testing the difference between 50% saying Yes from Group A and 60% saying Yes from Group B), a s</w:t>
      </w:r>
      <w:r>
        <w:rPr>
          <w:rFonts w:ascii="Times New Roman" w:hAnsi="Times New Roman"/>
          <w:sz w:val="24"/>
          <w:szCs w:val="24"/>
        </w:rPr>
        <w:t>ample size of 400 per group will allow us to statistically test this 0.1 difference (two-tailed test) at the 95% confidence level (alpha = 0.05), yielding a statistical power of 0.81.  In addition, the statistical power will increase to nearly 100%, if we examine differences at the higher group level such as comparing the [MTMLTV &lt; = 100%] and [MTMLTV &gt; 100%] groups, with 1200 sample size per group.</w:t>
      </w:r>
    </w:p>
    <w:p w:rsidR="007472B2" w:rsidRPr="002A133D" w:rsidRDefault="007472B2" w:rsidP="004B27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u w:val="single"/>
        </w:rPr>
      </w:pPr>
      <w:r>
        <w:rPr>
          <w:rFonts w:ascii="Times New Roman" w:hAnsi="Times New Roman"/>
          <w:sz w:val="24"/>
          <w:szCs w:val="24"/>
          <w:u w:val="single"/>
        </w:rPr>
        <w:t>Non-Response Bias</w:t>
      </w:r>
    </w:p>
    <w:p w:rsidR="007472B2" w:rsidRDefault="007472B2" w:rsidP="004B27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This study will pursue the following methods in reducing non-response biases:</w:t>
      </w:r>
    </w:p>
    <w:p w:rsidR="00A37C97" w:rsidRDefault="007472B2" w:rsidP="000C6D1A">
      <w:pPr>
        <w:widowControl w:val="0"/>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sz w:val="24"/>
          <w:szCs w:val="24"/>
        </w:rPr>
      </w:pPr>
      <w:r>
        <w:rPr>
          <w:rFonts w:ascii="Times New Roman" w:hAnsi="Times New Roman"/>
          <w:sz w:val="24"/>
          <w:szCs w:val="24"/>
        </w:rPr>
        <w:t>We will compare the responses group and non-responses group on selected data from the HAMP system of record such as estimated Loan-to-Value (LTV) ratio, Debt-to-Income (DTI) ratio pre-modification and post-modification, and credit score at modification to assess if borrowers with certain observable characteristics are more or less likely to respond.</w:t>
      </w:r>
    </w:p>
    <w:p w:rsidR="00A37C97" w:rsidRDefault="007472B2" w:rsidP="000C6D1A">
      <w:pPr>
        <w:widowControl w:val="0"/>
        <w:numPr>
          <w:ilvl w:val="0"/>
          <w:numId w:val="4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rFonts w:ascii="Times New Roman" w:hAnsi="Times New Roman"/>
          <w:sz w:val="24"/>
          <w:szCs w:val="24"/>
        </w:rPr>
      </w:pPr>
      <w:r w:rsidRPr="00987B43">
        <w:rPr>
          <w:rFonts w:ascii="Times New Roman" w:hAnsi="Times New Roman"/>
          <w:sz w:val="24"/>
          <w:szCs w:val="24"/>
        </w:rPr>
        <w:t>Should significant differences be observed, we will create non-response adjustment weights and apply the weight to each bucket of “similar” loans, in order for the completed survey sample to represent the target universe.</w:t>
      </w:r>
    </w:p>
    <w:p w:rsidR="000F2B04" w:rsidRDefault="000F2B04" w:rsidP="004B27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720"/>
        <w:rPr>
          <w:rFonts w:ascii="Times New Roman" w:hAnsi="Times New Roman"/>
          <w:sz w:val="24"/>
          <w:szCs w:val="24"/>
        </w:rPr>
      </w:pPr>
    </w:p>
    <w:p w:rsidR="007472B2" w:rsidRPr="00AE2C8A" w:rsidRDefault="007472B2" w:rsidP="004B2755">
      <w:pPr>
        <w:pStyle w:val="ListParagraph"/>
        <w:widowControl w:val="0"/>
        <w:numPr>
          <w:ilvl w:val="0"/>
          <w:numId w:val="1"/>
        </w:numPr>
        <w:spacing w:after="240" w:line="240" w:lineRule="auto"/>
        <w:rPr>
          <w:rFonts w:ascii="Times New Roman" w:hAnsi="Times New Roman"/>
          <w:b/>
          <w:sz w:val="24"/>
          <w:szCs w:val="24"/>
        </w:rPr>
      </w:pPr>
      <w:r w:rsidRPr="00AE2C8A">
        <w:rPr>
          <w:rFonts w:ascii="Times New Roman" w:hAnsi="Times New Roman"/>
          <w:b/>
          <w:sz w:val="24"/>
          <w:szCs w:val="24"/>
        </w:rPr>
        <w:t>Procedures for Collecting Information</w:t>
      </w:r>
    </w:p>
    <w:p w:rsidR="007472B2" w:rsidRPr="002A133D" w:rsidRDefault="007472B2" w:rsidP="004B27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u w:val="single"/>
        </w:rPr>
      </w:pPr>
      <w:r w:rsidRPr="002A133D">
        <w:rPr>
          <w:rFonts w:ascii="Times New Roman" w:hAnsi="Times New Roman"/>
          <w:sz w:val="24"/>
          <w:szCs w:val="24"/>
          <w:u w:val="single"/>
        </w:rPr>
        <w:t>Research Method</w:t>
      </w:r>
    </w:p>
    <w:p w:rsidR="007472B2" w:rsidRDefault="007472B2" w:rsidP="004B27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 xml:space="preserve">Names and addresses of homeowners who have received a HAMP modification are the only contact information we have available within the HAMP system of record.  As a result, to optimize the response rate, </w:t>
      </w:r>
      <w:r w:rsidR="00DD1BE9">
        <w:rPr>
          <w:rFonts w:ascii="Times New Roman" w:hAnsi="Times New Roman"/>
          <w:sz w:val="24"/>
          <w:szCs w:val="24"/>
        </w:rPr>
        <w:t xml:space="preserve">for both phase 1 and phase 2 </w:t>
      </w:r>
      <w:r>
        <w:rPr>
          <w:rFonts w:ascii="Times New Roman" w:hAnsi="Times New Roman"/>
          <w:sz w:val="24"/>
          <w:szCs w:val="24"/>
        </w:rPr>
        <w:t>a paper survey will be mailed to the target homeowners who have been randomly selected from the groups noted in Table 2 and Table 4</w:t>
      </w:r>
      <w:r w:rsidR="00DD1BE9">
        <w:rPr>
          <w:rFonts w:ascii="Times New Roman" w:hAnsi="Times New Roman"/>
          <w:sz w:val="24"/>
          <w:szCs w:val="24"/>
        </w:rPr>
        <w:t xml:space="preserve"> respectively</w:t>
      </w:r>
      <w:r>
        <w:rPr>
          <w:rFonts w:ascii="Times New Roman" w:hAnsi="Times New Roman"/>
          <w:sz w:val="24"/>
          <w:szCs w:val="24"/>
        </w:rPr>
        <w:t xml:space="preserve">, above.  </w:t>
      </w:r>
      <w:r w:rsidR="00C17DF3">
        <w:rPr>
          <w:rFonts w:ascii="Times New Roman" w:hAnsi="Times New Roman"/>
          <w:sz w:val="24"/>
          <w:szCs w:val="24"/>
        </w:rPr>
        <w:t xml:space="preserve">Due to the differences in target populations a homeowner can only be selected to take part in one of the surveys.  </w:t>
      </w:r>
      <w:r>
        <w:rPr>
          <w:rFonts w:ascii="Times New Roman" w:hAnsi="Times New Roman"/>
          <w:sz w:val="24"/>
          <w:szCs w:val="24"/>
        </w:rPr>
        <w:t>Each survey will be mailed with a pre-paid return envelope and a cover letter inviting borrowers to participate.  Each survey is estimated to take approximately 15</w:t>
      </w:r>
      <w:r w:rsidR="00987B43">
        <w:rPr>
          <w:rFonts w:ascii="Times New Roman" w:hAnsi="Times New Roman"/>
          <w:sz w:val="24"/>
          <w:szCs w:val="24"/>
        </w:rPr>
        <w:t>-20</w:t>
      </w:r>
      <w:r>
        <w:rPr>
          <w:rFonts w:ascii="Times New Roman" w:hAnsi="Times New Roman"/>
          <w:sz w:val="24"/>
          <w:szCs w:val="24"/>
        </w:rPr>
        <w:t xml:space="preserve"> minutes to complete.  The cover letter will also provide a unique web address for an online version of the surveys to allow respondents the option of completing the survey online instead of on paper.  In order to lessen the likelihood of respondents completing multiple survey responses, each survey recipient will be assigned a unique identifying number which will be printed on the paper survey they return.  If they elect instead to complete their response online, the interface will require them to enter their unique number in order to gain access.  Checking the identifying numbers on responses received against the list of survey recipients will allow Treasury to identify and exclude any duplicate responses.</w:t>
      </w:r>
    </w:p>
    <w:p w:rsidR="007472B2" w:rsidRDefault="007472B2" w:rsidP="004B27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sidRPr="00E533EB">
        <w:rPr>
          <w:rFonts w:ascii="Times New Roman" w:hAnsi="Times New Roman"/>
          <w:sz w:val="24"/>
          <w:szCs w:val="24"/>
        </w:rPr>
        <w:t xml:space="preserve">Survey participation will be completely voluntary.  </w:t>
      </w:r>
      <w:r>
        <w:rPr>
          <w:rFonts w:ascii="Times New Roman" w:hAnsi="Times New Roman"/>
          <w:sz w:val="24"/>
          <w:szCs w:val="24"/>
        </w:rPr>
        <w:t xml:space="preserve">Respondents </w:t>
      </w:r>
      <w:r w:rsidRPr="00E533EB">
        <w:rPr>
          <w:rFonts w:ascii="Times New Roman" w:hAnsi="Times New Roman"/>
          <w:sz w:val="24"/>
          <w:szCs w:val="24"/>
        </w:rPr>
        <w:t xml:space="preserve">will not be asked for any </w:t>
      </w:r>
      <w:r>
        <w:rPr>
          <w:rFonts w:ascii="Times New Roman" w:hAnsi="Times New Roman"/>
          <w:sz w:val="24"/>
          <w:szCs w:val="24"/>
        </w:rPr>
        <w:t xml:space="preserve">personally </w:t>
      </w:r>
      <w:r w:rsidRPr="00E533EB">
        <w:rPr>
          <w:rFonts w:ascii="Times New Roman" w:hAnsi="Times New Roman"/>
          <w:sz w:val="24"/>
          <w:szCs w:val="24"/>
        </w:rPr>
        <w:t>identifying information</w:t>
      </w:r>
      <w:r>
        <w:rPr>
          <w:rFonts w:ascii="Times New Roman" w:hAnsi="Times New Roman"/>
          <w:sz w:val="24"/>
          <w:szCs w:val="24"/>
        </w:rPr>
        <w:t>, and will be instructed not to provide any extraneous text or responses on the survey form other than to select one of the multiple choice options present following each survey question</w:t>
      </w:r>
      <w:r w:rsidRPr="00E533EB">
        <w:rPr>
          <w:rFonts w:ascii="Times New Roman" w:hAnsi="Times New Roman"/>
          <w:sz w:val="24"/>
          <w:szCs w:val="24"/>
        </w:rPr>
        <w:t xml:space="preserve">.   </w:t>
      </w:r>
      <w:r>
        <w:rPr>
          <w:rFonts w:ascii="Times New Roman" w:hAnsi="Times New Roman"/>
          <w:sz w:val="24"/>
          <w:szCs w:val="24"/>
        </w:rPr>
        <w:t>Analysis and reporting will be conducted at the aggregate level, with no personal information identified or reported.</w:t>
      </w:r>
    </w:p>
    <w:p w:rsidR="007472B2" w:rsidRPr="00A05164" w:rsidRDefault="007472B2" w:rsidP="004B2755">
      <w:pPr>
        <w:widowControl w:val="0"/>
        <w:tabs>
          <w:tab w:val="left" w:pos="916"/>
          <w:tab w:val="num"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Arial" w:hAnsi="Arial" w:cs="Arial"/>
          <w:bCs/>
        </w:rPr>
      </w:pPr>
      <w:r>
        <w:rPr>
          <w:rFonts w:ascii="Times New Roman" w:hAnsi="Times New Roman"/>
          <w:sz w:val="24"/>
          <w:szCs w:val="24"/>
        </w:rPr>
        <w:t xml:space="preserve">The surveys will be designed and constructed to meet the  research objectives of obtaining an understanding of the following: 1) </w:t>
      </w:r>
      <w:r>
        <w:rPr>
          <w:rFonts w:ascii="Times New Roman" w:hAnsi="Times New Roman"/>
          <w:bCs/>
          <w:sz w:val="24"/>
          <w:szCs w:val="24"/>
        </w:rPr>
        <w:t>Homeowner’s i</w:t>
      </w:r>
      <w:r w:rsidRPr="00A05164">
        <w:rPr>
          <w:rFonts w:ascii="Times New Roman" w:hAnsi="Times New Roman"/>
          <w:bCs/>
          <w:sz w:val="24"/>
          <w:szCs w:val="24"/>
        </w:rPr>
        <w:t xml:space="preserve">nitial </w:t>
      </w:r>
      <w:r>
        <w:rPr>
          <w:rFonts w:ascii="Times New Roman" w:hAnsi="Times New Roman"/>
          <w:bCs/>
          <w:sz w:val="24"/>
          <w:szCs w:val="24"/>
        </w:rPr>
        <w:t>u</w:t>
      </w:r>
      <w:r w:rsidRPr="00A05164">
        <w:rPr>
          <w:rFonts w:ascii="Times New Roman" w:hAnsi="Times New Roman"/>
          <w:bCs/>
          <w:sz w:val="24"/>
          <w:szCs w:val="24"/>
        </w:rPr>
        <w:t xml:space="preserve">nderstanding </w:t>
      </w:r>
      <w:r>
        <w:rPr>
          <w:rFonts w:ascii="Times New Roman" w:hAnsi="Times New Roman"/>
          <w:bCs/>
          <w:sz w:val="24"/>
          <w:szCs w:val="24"/>
        </w:rPr>
        <w:t xml:space="preserve">of their modification </w:t>
      </w:r>
      <w:r w:rsidRPr="00A05164">
        <w:rPr>
          <w:rFonts w:ascii="Times New Roman" w:hAnsi="Times New Roman"/>
          <w:bCs/>
          <w:sz w:val="24"/>
          <w:szCs w:val="24"/>
        </w:rPr>
        <w:t xml:space="preserve">and </w:t>
      </w:r>
      <w:r>
        <w:rPr>
          <w:rFonts w:ascii="Times New Roman" w:hAnsi="Times New Roman"/>
          <w:bCs/>
          <w:sz w:val="24"/>
          <w:szCs w:val="24"/>
        </w:rPr>
        <w:t xml:space="preserve">ability </w:t>
      </w:r>
      <w:r w:rsidRPr="00A05164">
        <w:rPr>
          <w:rFonts w:ascii="Times New Roman" w:hAnsi="Times New Roman"/>
          <w:bCs/>
          <w:sz w:val="24"/>
          <w:szCs w:val="24"/>
        </w:rPr>
        <w:t xml:space="preserve">to </w:t>
      </w:r>
      <w:r>
        <w:rPr>
          <w:rFonts w:ascii="Times New Roman" w:hAnsi="Times New Roman"/>
          <w:bCs/>
          <w:sz w:val="24"/>
          <w:szCs w:val="24"/>
        </w:rPr>
        <w:t>pay the modified payments,</w:t>
      </w:r>
      <w:r w:rsidRPr="00A05164">
        <w:rPr>
          <w:rFonts w:ascii="Times New Roman" w:hAnsi="Times New Roman"/>
          <w:bCs/>
          <w:sz w:val="24"/>
          <w:szCs w:val="24"/>
        </w:rPr>
        <w:t xml:space="preserve"> </w:t>
      </w:r>
      <w:r>
        <w:rPr>
          <w:rFonts w:ascii="Times New Roman" w:hAnsi="Times New Roman"/>
          <w:bCs/>
          <w:sz w:val="24"/>
          <w:szCs w:val="24"/>
        </w:rPr>
        <w:t xml:space="preserve">2) </w:t>
      </w:r>
      <w:r w:rsidRPr="00A05164">
        <w:rPr>
          <w:rFonts w:ascii="Times New Roman" w:hAnsi="Times New Roman"/>
          <w:bCs/>
          <w:sz w:val="24"/>
          <w:szCs w:val="24"/>
        </w:rPr>
        <w:t xml:space="preserve">Homeowner’s </w:t>
      </w:r>
      <w:r>
        <w:rPr>
          <w:rFonts w:ascii="Times New Roman" w:hAnsi="Times New Roman"/>
          <w:bCs/>
          <w:sz w:val="24"/>
          <w:szCs w:val="24"/>
        </w:rPr>
        <w:t xml:space="preserve">change in circumstances (positively or negatively) impacting their ability to pay the modified amount, and 3) </w:t>
      </w:r>
      <w:r w:rsidRPr="00A05164">
        <w:rPr>
          <w:rFonts w:ascii="Times New Roman" w:hAnsi="Times New Roman"/>
          <w:bCs/>
          <w:sz w:val="24"/>
          <w:szCs w:val="24"/>
        </w:rPr>
        <w:t>Homeowner’</w:t>
      </w:r>
      <w:r>
        <w:rPr>
          <w:rFonts w:ascii="Times New Roman" w:hAnsi="Times New Roman"/>
          <w:bCs/>
          <w:sz w:val="24"/>
          <w:szCs w:val="24"/>
        </w:rPr>
        <w:t>s perceptions of the MHA Program, process and</w:t>
      </w:r>
      <w:r w:rsidRPr="00A05164">
        <w:rPr>
          <w:rFonts w:ascii="Times New Roman" w:hAnsi="Times New Roman"/>
          <w:bCs/>
          <w:sz w:val="24"/>
          <w:szCs w:val="24"/>
        </w:rPr>
        <w:t xml:space="preserve"> </w:t>
      </w:r>
      <w:r>
        <w:rPr>
          <w:rFonts w:ascii="Times New Roman" w:hAnsi="Times New Roman"/>
          <w:bCs/>
          <w:sz w:val="24"/>
          <w:szCs w:val="24"/>
        </w:rPr>
        <w:t>o</w:t>
      </w:r>
      <w:r w:rsidRPr="00A05164">
        <w:rPr>
          <w:rFonts w:ascii="Times New Roman" w:hAnsi="Times New Roman"/>
          <w:bCs/>
          <w:sz w:val="24"/>
          <w:szCs w:val="24"/>
        </w:rPr>
        <w:t>utcomes</w:t>
      </w:r>
      <w:r>
        <w:rPr>
          <w:rFonts w:ascii="Times New Roman" w:hAnsi="Times New Roman"/>
          <w:bCs/>
          <w:sz w:val="24"/>
          <w:szCs w:val="24"/>
        </w:rPr>
        <w:t xml:space="preserve">. </w:t>
      </w:r>
    </w:p>
    <w:p w:rsidR="007472B2" w:rsidRPr="00A05164" w:rsidRDefault="007472B2" w:rsidP="004B2755">
      <w:pPr>
        <w:widowControl w:val="0"/>
        <w:autoSpaceDE w:val="0"/>
        <w:autoSpaceDN w:val="0"/>
        <w:adjustRightInd w:val="0"/>
        <w:spacing w:after="0" w:line="240" w:lineRule="auto"/>
        <w:ind w:left="360"/>
        <w:rPr>
          <w:rFonts w:ascii="Arial" w:hAnsi="Arial" w:cs="Arial"/>
          <w:bCs/>
        </w:rPr>
      </w:pPr>
    </w:p>
    <w:p w:rsidR="007472B2" w:rsidRPr="002A133D" w:rsidRDefault="007472B2" w:rsidP="004B27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u w:val="single"/>
        </w:rPr>
      </w:pPr>
      <w:r w:rsidRPr="002A133D">
        <w:rPr>
          <w:rFonts w:ascii="Times New Roman" w:hAnsi="Times New Roman"/>
          <w:sz w:val="24"/>
          <w:szCs w:val="24"/>
          <w:u w:val="single"/>
        </w:rPr>
        <w:t>Test Run</w:t>
      </w:r>
      <w:r>
        <w:rPr>
          <w:rFonts w:ascii="Times New Roman" w:hAnsi="Times New Roman"/>
          <w:sz w:val="24"/>
          <w:szCs w:val="24"/>
          <w:u w:val="single"/>
        </w:rPr>
        <w:t xml:space="preserve"> followed by the Principal Mailing</w:t>
      </w:r>
    </w:p>
    <w:p w:rsidR="007472B2" w:rsidRPr="002A133D" w:rsidRDefault="007472B2" w:rsidP="004B27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rPr>
      </w:pPr>
      <w:r>
        <w:rPr>
          <w:rFonts w:ascii="Times New Roman" w:hAnsi="Times New Roman"/>
          <w:sz w:val="24"/>
          <w:szCs w:val="24"/>
        </w:rPr>
        <w:t>In order to decrease the burden and minimize the number of homeowners that will need to be solicited</w:t>
      </w:r>
      <w:r w:rsidR="00987B43">
        <w:rPr>
          <w:rFonts w:ascii="Times New Roman" w:hAnsi="Times New Roman"/>
          <w:sz w:val="24"/>
          <w:szCs w:val="24"/>
        </w:rPr>
        <w:t>,</w:t>
      </w:r>
      <w:r>
        <w:rPr>
          <w:rFonts w:ascii="Times New Roman" w:hAnsi="Times New Roman"/>
          <w:sz w:val="24"/>
          <w:szCs w:val="24"/>
        </w:rPr>
        <w:t xml:space="preserve"> the data collection for each phase will be conducted in two parts: 1) Test Run and 2) Principal Mailing. </w:t>
      </w:r>
    </w:p>
    <w:p w:rsidR="007472B2" w:rsidRPr="002A133D" w:rsidRDefault="007472B2" w:rsidP="004B2755">
      <w:pPr>
        <w:widowControl w:val="0"/>
        <w:autoSpaceDE w:val="0"/>
        <w:autoSpaceDN w:val="0"/>
        <w:adjustRightInd w:val="0"/>
        <w:spacing w:after="0" w:line="240" w:lineRule="auto"/>
        <w:ind w:left="360"/>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A Test Run will be conducted for each phase to assess the likely homeowner response rate, and therefore inform the number of additional mailings needed for the Principal Mailing to achieve the target of 2,400  responses</w:t>
      </w:r>
      <w:r w:rsidR="00ED6D08">
        <w:rPr>
          <w:rFonts w:ascii="Times New Roman" w:eastAsia="MS Mincho" w:hAnsi="Times New Roman"/>
          <w:color w:val="000000"/>
          <w:sz w:val="24"/>
          <w:szCs w:val="24"/>
          <w:lang w:eastAsia="ja-JP"/>
        </w:rPr>
        <w:t xml:space="preserve"> </w:t>
      </w:r>
      <w:r>
        <w:rPr>
          <w:rFonts w:ascii="Times New Roman" w:eastAsia="MS Mincho" w:hAnsi="Times New Roman"/>
          <w:color w:val="000000"/>
          <w:sz w:val="24"/>
          <w:szCs w:val="24"/>
          <w:lang w:eastAsia="ja-JP"/>
        </w:rPr>
        <w:t>for each phase</w:t>
      </w:r>
      <w:r w:rsidR="00ED6D08">
        <w:rPr>
          <w:rFonts w:ascii="Times New Roman" w:eastAsia="MS Mincho" w:hAnsi="Times New Roman"/>
          <w:color w:val="000000"/>
          <w:sz w:val="24"/>
          <w:szCs w:val="24"/>
          <w:lang w:eastAsia="ja-JP"/>
        </w:rPr>
        <w:t xml:space="preserve"> (4,800 total responses)</w:t>
      </w:r>
      <w:r>
        <w:rPr>
          <w:rFonts w:ascii="Times New Roman" w:eastAsia="MS Mincho" w:hAnsi="Times New Roman"/>
          <w:color w:val="000000"/>
          <w:sz w:val="24"/>
          <w:szCs w:val="24"/>
          <w:lang w:eastAsia="ja-JP"/>
        </w:rPr>
        <w:t xml:space="preserve">.  Each Test Run will </w:t>
      </w:r>
      <w:r w:rsidRPr="002A133D">
        <w:rPr>
          <w:rFonts w:ascii="Times New Roman" w:eastAsia="MS Mincho" w:hAnsi="Times New Roman"/>
          <w:color w:val="000000"/>
          <w:sz w:val="24"/>
          <w:szCs w:val="24"/>
          <w:lang w:eastAsia="ja-JP"/>
        </w:rPr>
        <w:t>consist</w:t>
      </w:r>
      <w:r>
        <w:rPr>
          <w:rFonts w:ascii="Times New Roman" w:eastAsia="MS Mincho" w:hAnsi="Times New Roman"/>
          <w:color w:val="000000"/>
          <w:sz w:val="24"/>
          <w:szCs w:val="24"/>
          <w:lang w:eastAsia="ja-JP"/>
        </w:rPr>
        <w:t xml:space="preserve"> of mailing to 2,000 homeowners selected at random, a</w:t>
      </w:r>
      <w:r w:rsidRPr="002A133D">
        <w:rPr>
          <w:rFonts w:ascii="Times New Roman" w:eastAsia="MS Mincho" w:hAnsi="Times New Roman"/>
          <w:color w:val="000000"/>
          <w:sz w:val="24"/>
          <w:szCs w:val="24"/>
          <w:lang w:eastAsia="ja-JP"/>
        </w:rPr>
        <w:t xml:space="preserve"> </w:t>
      </w:r>
      <w:r>
        <w:rPr>
          <w:rFonts w:ascii="Times New Roman" w:eastAsia="MS Mincho" w:hAnsi="Times New Roman"/>
          <w:color w:val="000000"/>
          <w:sz w:val="24"/>
          <w:szCs w:val="24"/>
          <w:lang w:eastAsia="ja-JP"/>
        </w:rPr>
        <w:t>survey, a pre-paid return envelope, and a cover letter inviting them to</w:t>
      </w:r>
      <w:r w:rsidRPr="002A133D">
        <w:rPr>
          <w:rFonts w:ascii="Times New Roman" w:eastAsia="MS Mincho" w:hAnsi="Times New Roman"/>
          <w:color w:val="000000"/>
          <w:sz w:val="24"/>
          <w:szCs w:val="24"/>
          <w:lang w:eastAsia="ja-JP"/>
        </w:rPr>
        <w:t xml:space="preserve"> complete and return the </w:t>
      </w:r>
      <w:r>
        <w:rPr>
          <w:rFonts w:ascii="Times New Roman" w:eastAsia="MS Mincho" w:hAnsi="Times New Roman"/>
          <w:color w:val="000000"/>
          <w:sz w:val="24"/>
          <w:szCs w:val="24"/>
          <w:lang w:eastAsia="ja-JP"/>
        </w:rPr>
        <w:t>survey via paper response or use the provided web link to complete the survey online</w:t>
      </w:r>
      <w:r w:rsidRPr="002A133D">
        <w:rPr>
          <w:rFonts w:ascii="Times New Roman" w:eastAsia="MS Mincho" w:hAnsi="Times New Roman"/>
          <w:color w:val="000000"/>
          <w:sz w:val="24"/>
          <w:szCs w:val="24"/>
          <w:lang w:eastAsia="ja-JP"/>
        </w:rPr>
        <w:t xml:space="preserve">. </w:t>
      </w:r>
      <w:r>
        <w:rPr>
          <w:rFonts w:ascii="Times New Roman" w:eastAsia="MS Mincho" w:hAnsi="Times New Roman"/>
          <w:color w:val="000000"/>
          <w:sz w:val="24"/>
          <w:szCs w:val="24"/>
          <w:lang w:eastAsia="ja-JP"/>
        </w:rPr>
        <w:t xml:space="preserve">  </w:t>
      </w:r>
    </w:p>
    <w:p w:rsidR="007472B2" w:rsidRPr="002A133D" w:rsidRDefault="007472B2" w:rsidP="004B2755">
      <w:pPr>
        <w:widowControl w:val="0"/>
        <w:autoSpaceDE w:val="0"/>
        <w:autoSpaceDN w:val="0"/>
        <w:adjustRightInd w:val="0"/>
        <w:spacing w:after="53" w:line="240" w:lineRule="auto"/>
        <w:ind w:left="360"/>
        <w:rPr>
          <w:rFonts w:ascii="Times New Roman" w:eastAsia="MS Mincho" w:hAnsi="Times New Roman"/>
          <w:color w:val="000000"/>
          <w:sz w:val="24"/>
          <w:szCs w:val="24"/>
          <w:lang w:eastAsia="ja-JP"/>
        </w:rPr>
      </w:pPr>
    </w:p>
    <w:p w:rsidR="007472B2" w:rsidRDefault="007472B2" w:rsidP="004B2755">
      <w:pPr>
        <w:widowControl w:val="0"/>
        <w:autoSpaceDE w:val="0"/>
        <w:autoSpaceDN w:val="0"/>
        <w:adjustRightInd w:val="0"/>
        <w:spacing w:after="0" w:line="240" w:lineRule="auto"/>
        <w:ind w:left="360"/>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The results of each Test Run will be analyzed to determine the effectiveness of the survey materials to solicit a homeowner response, and to estimate the potential response rate that will result from the Principal Mailing.  Based on this analysis, appropriate updates to the survey materials will be incorporated and approvals obtained, and a sample size of t</w:t>
      </w:r>
      <w:r w:rsidRPr="002A133D">
        <w:rPr>
          <w:rFonts w:ascii="Times New Roman" w:eastAsia="MS Mincho" w:hAnsi="Times New Roman"/>
          <w:color w:val="000000"/>
          <w:sz w:val="24"/>
          <w:szCs w:val="24"/>
          <w:lang w:eastAsia="ja-JP"/>
        </w:rPr>
        <w:t xml:space="preserve">arget </w:t>
      </w:r>
      <w:r>
        <w:rPr>
          <w:rFonts w:ascii="Times New Roman" w:eastAsia="MS Mincho" w:hAnsi="Times New Roman"/>
          <w:color w:val="000000"/>
          <w:sz w:val="24"/>
          <w:szCs w:val="24"/>
          <w:lang w:eastAsia="ja-JP"/>
        </w:rPr>
        <w:t>homeowners to which the survey will be mailed for</w:t>
      </w:r>
      <w:r w:rsidRPr="002A133D">
        <w:rPr>
          <w:rFonts w:ascii="Times New Roman" w:eastAsia="MS Mincho" w:hAnsi="Times New Roman"/>
          <w:color w:val="000000"/>
          <w:sz w:val="24"/>
          <w:szCs w:val="24"/>
          <w:lang w:eastAsia="ja-JP"/>
        </w:rPr>
        <w:t xml:space="preserve"> each </w:t>
      </w:r>
      <w:r>
        <w:rPr>
          <w:rFonts w:ascii="Times New Roman" w:eastAsia="MS Mincho" w:hAnsi="Times New Roman"/>
          <w:color w:val="000000"/>
          <w:sz w:val="24"/>
          <w:szCs w:val="24"/>
          <w:lang w:eastAsia="ja-JP"/>
        </w:rPr>
        <w:t xml:space="preserve">of the six groups described in Table 2 and Table 4 will be established.  This will </w:t>
      </w:r>
      <w:r w:rsidRPr="002A133D">
        <w:rPr>
          <w:rFonts w:ascii="Times New Roman" w:eastAsia="MS Mincho" w:hAnsi="Times New Roman"/>
          <w:color w:val="000000"/>
          <w:sz w:val="24"/>
          <w:szCs w:val="24"/>
          <w:lang w:eastAsia="ja-JP"/>
        </w:rPr>
        <w:t xml:space="preserve">maximize the likelihood of receiving </w:t>
      </w:r>
      <w:r>
        <w:rPr>
          <w:rFonts w:ascii="Times New Roman" w:eastAsia="MS Mincho" w:hAnsi="Times New Roman"/>
          <w:color w:val="000000"/>
          <w:sz w:val="24"/>
          <w:szCs w:val="24"/>
          <w:lang w:eastAsia="ja-JP"/>
        </w:rPr>
        <w:t xml:space="preserve">the target </w:t>
      </w:r>
      <w:r w:rsidRPr="002A133D">
        <w:rPr>
          <w:rFonts w:ascii="Times New Roman" w:eastAsia="MS Mincho" w:hAnsi="Times New Roman"/>
          <w:color w:val="000000"/>
          <w:sz w:val="24"/>
          <w:szCs w:val="24"/>
          <w:lang w:eastAsia="ja-JP"/>
        </w:rPr>
        <w:t xml:space="preserve">400 completed responses in </w:t>
      </w:r>
      <w:r>
        <w:rPr>
          <w:rFonts w:ascii="Times New Roman" w:eastAsia="MS Mincho" w:hAnsi="Times New Roman"/>
          <w:color w:val="000000"/>
          <w:sz w:val="24"/>
          <w:szCs w:val="24"/>
          <w:lang w:eastAsia="ja-JP"/>
        </w:rPr>
        <w:t>each group, while minimizing the cost of the Principal Mailings.</w:t>
      </w:r>
      <w:r w:rsidR="001B7482">
        <w:rPr>
          <w:rFonts w:ascii="Times New Roman" w:eastAsia="MS Mincho" w:hAnsi="Times New Roman"/>
          <w:color w:val="000000"/>
          <w:sz w:val="24"/>
          <w:szCs w:val="24"/>
          <w:lang w:eastAsia="ja-JP"/>
        </w:rPr>
        <w:t xml:space="preserve">  Responses received as part of the test run will be counted as part of the targeted 2,400 responses for each phase and will be included in the overall </w:t>
      </w:r>
      <w:r w:rsidR="008D0639">
        <w:rPr>
          <w:rFonts w:ascii="Times New Roman" w:eastAsia="MS Mincho" w:hAnsi="Times New Roman"/>
          <w:color w:val="000000"/>
          <w:sz w:val="24"/>
          <w:szCs w:val="24"/>
          <w:lang w:eastAsia="ja-JP"/>
        </w:rPr>
        <w:t>analysis;</w:t>
      </w:r>
      <w:r w:rsidR="001B7482">
        <w:rPr>
          <w:rFonts w:ascii="Times New Roman" w:eastAsia="MS Mincho" w:hAnsi="Times New Roman"/>
          <w:color w:val="000000"/>
          <w:sz w:val="24"/>
          <w:szCs w:val="24"/>
          <w:lang w:eastAsia="ja-JP"/>
        </w:rPr>
        <w:t xml:space="preserve"> </w:t>
      </w:r>
      <w:r w:rsidR="008D0639">
        <w:rPr>
          <w:rFonts w:ascii="Times New Roman" w:eastAsia="MS Mincho" w:hAnsi="Times New Roman"/>
          <w:color w:val="000000"/>
          <w:sz w:val="24"/>
          <w:szCs w:val="24"/>
          <w:lang w:eastAsia="ja-JP"/>
        </w:rPr>
        <w:t>therefore any homeowner</w:t>
      </w:r>
      <w:r w:rsidR="001B7482">
        <w:rPr>
          <w:rFonts w:ascii="Times New Roman" w:eastAsia="MS Mincho" w:hAnsi="Times New Roman"/>
          <w:color w:val="000000"/>
          <w:sz w:val="24"/>
          <w:szCs w:val="24"/>
          <w:lang w:eastAsia="ja-JP"/>
        </w:rPr>
        <w:t xml:space="preserve"> solicited as part of the Test Run will not be part of the Principal Mailing.</w:t>
      </w:r>
    </w:p>
    <w:p w:rsidR="007472B2" w:rsidRDefault="007472B2" w:rsidP="004B27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eastAsia="MS Mincho" w:hAnsi="Times New Roman"/>
          <w:color w:val="000000"/>
          <w:sz w:val="24"/>
          <w:szCs w:val="24"/>
          <w:u w:val="single"/>
          <w:lang w:eastAsia="ja-JP"/>
        </w:rPr>
      </w:pPr>
    </w:p>
    <w:p w:rsidR="007472B2" w:rsidRPr="00A32F2E" w:rsidRDefault="007472B2" w:rsidP="004B27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u w:val="single"/>
        </w:rPr>
      </w:pPr>
      <w:r w:rsidRPr="00A32F2E">
        <w:rPr>
          <w:rFonts w:ascii="Times New Roman" w:eastAsia="MS Mincho" w:hAnsi="Times New Roman"/>
          <w:color w:val="000000"/>
          <w:sz w:val="24"/>
          <w:szCs w:val="24"/>
          <w:u w:val="single"/>
          <w:lang w:eastAsia="ja-JP"/>
        </w:rPr>
        <w:t>Data Analysis</w:t>
      </w:r>
      <w:r>
        <w:rPr>
          <w:rFonts w:ascii="Times New Roman" w:eastAsia="MS Mincho" w:hAnsi="Times New Roman"/>
          <w:color w:val="000000"/>
          <w:sz w:val="24"/>
          <w:szCs w:val="24"/>
          <w:u w:val="single"/>
          <w:lang w:eastAsia="ja-JP"/>
        </w:rPr>
        <w:t>/Reporting</w:t>
      </w:r>
    </w:p>
    <w:p w:rsidR="007472B2" w:rsidRDefault="007472B2" w:rsidP="004B2755">
      <w:pPr>
        <w:widowControl w:val="0"/>
        <w:autoSpaceDE w:val="0"/>
        <w:autoSpaceDN w:val="0"/>
        <w:adjustRightInd w:val="0"/>
        <w:spacing w:after="0" w:line="240" w:lineRule="auto"/>
        <w:ind w:left="360"/>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 xml:space="preserve">In order to provide robust insights, data collected from the survey responses will be augmented with data points from the HAMP system of record.  In addition to data points used from the HAMP system of record such as delinquency at trial and P&amp;I change used to determine sampling categories, data points such as Loan-to-Value (LTV) pre-modification, LTV post-modification, Debt-to-Income (DTI) pre-modification, DTI post-modification, credit score, amortization term after modification, amount of principal forgiveness and/or forbearance may be used. </w:t>
      </w:r>
      <w:r w:rsidR="00E45503">
        <w:rPr>
          <w:rFonts w:ascii="Times New Roman" w:eastAsia="MS Mincho" w:hAnsi="Times New Roman"/>
          <w:color w:val="000000"/>
          <w:sz w:val="24"/>
          <w:szCs w:val="24"/>
          <w:lang w:eastAsia="ja-JP"/>
        </w:rPr>
        <w:t xml:space="preserve">Prior to the analysis any information used to combine survey responses with HAMP system of record data will be removed to ensure each record is anonymous.  </w:t>
      </w:r>
      <w:r>
        <w:rPr>
          <w:rFonts w:ascii="Times New Roman" w:eastAsia="MS Mincho" w:hAnsi="Times New Roman"/>
          <w:color w:val="000000"/>
          <w:sz w:val="24"/>
          <w:szCs w:val="24"/>
          <w:lang w:eastAsia="ja-JP"/>
        </w:rPr>
        <w:t xml:space="preserve"> None of the raw survey data, data points from the HAMP system of record, the analysis, or the report will contain personally identifiable information.</w:t>
      </w:r>
      <w:r w:rsidR="00E45503">
        <w:rPr>
          <w:rFonts w:ascii="Times New Roman" w:eastAsia="MS Mincho" w:hAnsi="Times New Roman"/>
          <w:color w:val="000000"/>
          <w:sz w:val="24"/>
          <w:szCs w:val="24"/>
          <w:lang w:eastAsia="ja-JP"/>
        </w:rPr>
        <w:t xml:space="preserve"> </w:t>
      </w:r>
    </w:p>
    <w:p w:rsidR="007472B2" w:rsidRDefault="007472B2" w:rsidP="004B2755">
      <w:pPr>
        <w:widowControl w:val="0"/>
        <w:autoSpaceDE w:val="0"/>
        <w:autoSpaceDN w:val="0"/>
        <w:adjustRightInd w:val="0"/>
        <w:spacing w:after="0" w:line="240" w:lineRule="auto"/>
        <w:ind w:left="360"/>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I</w:t>
      </w:r>
      <w:r w:rsidRPr="00A32F2E">
        <w:rPr>
          <w:rFonts w:ascii="Times New Roman" w:eastAsia="MS Mincho" w:hAnsi="Times New Roman"/>
          <w:color w:val="000000"/>
          <w:sz w:val="24"/>
          <w:szCs w:val="24"/>
          <w:lang w:eastAsia="ja-JP"/>
        </w:rPr>
        <w:t xml:space="preserve">f the volume of responses received appears unlikely, in </w:t>
      </w:r>
      <w:r>
        <w:rPr>
          <w:rFonts w:ascii="Times New Roman" w:eastAsia="MS Mincho" w:hAnsi="Times New Roman"/>
          <w:color w:val="000000"/>
          <w:sz w:val="24"/>
          <w:szCs w:val="24"/>
          <w:lang w:eastAsia="ja-JP"/>
        </w:rPr>
        <w:t>the Department’s</w:t>
      </w:r>
      <w:r w:rsidRPr="00A32F2E">
        <w:rPr>
          <w:rFonts w:ascii="Times New Roman" w:eastAsia="MS Mincho" w:hAnsi="Times New Roman"/>
          <w:color w:val="000000"/>
          <w:sz w:val="24"/>
          <w:szCs w:val="24"/>
          <w:lang w:eastAsia="ja-JP"/>
        </w:rPr>
        <w:t xml:space="preserve"> judgment, to reach the desired 2</w:t>
      </w:r>
      <w:r>
        <w:rPr>
          <w:rFonts w:ascii="Times New Roman" w:eastAsia="MS Mincho" w:hAnsi="Times New Roman"/>
          <w:color w:val="000000"/>
          <w:sz w:val="24"/>
          <w:szCs w:val="24"/>
          <w:lang w:eastAsia="ja-JP"/>
        </w:rPr>
        <w:t>,</w:t>
      </w:r>
      <w:r w:rsidRPr="00A32F2E">
        <w:rPr>
          <w:rFonts w:ascii="Times New Roman" w:eastAsia="MS Mincho" w:hAnsi="Times New Roman"/>
          <w:color w:val="000000"/>
          <w:sz w:val="24"/>
          <w:szCs w:val="24"/>
          <w:lang w:eastAsia="ja-JP"/>
        </w:rPr>
        <w:t xml:space="preserve">400 responses </w:t>
      </w:r>
      <w:r>
        <w:rPr>
          <w:rFonts w:ascii="Times New Roman" w:eastAsia="MS Mincho" w:hAnsi="Times New Roman"/>
          <w:color w:val="000000"/>
          <w:sz w:val="24"/>
          <w:szCs w:val="24"/>
          <w:lang w:eastAsia="ja-JP"/>
        </w:rPr>
        <w:t xml:space="preserve">for each phase </w:t>
      </w:r>
      <w:r w:rsidRPr="00A32F2E">
        <w:rPr>
          <w:rFonts w:ascii="Times New Roman" w:eastAsia="MS Mincho" w:hAnsi="Times New Roman"/>
          <w:color w:val="000000"/>
          <w:sz w:val="24"/>
          <w:szCs w:val="24"/>
          <w:lang w:eastAsia="ja-JP"/>
        </w:rPr>
        <w:t xml:space="preserve">divided among the </w:t>
      </w:r>
      <w:r>
        <w:rPr>
          <w:rFonts w:ascii="Times New Roman" w:eastAsia="MS Mincho" w:hAnsi="Times New Roman"/>
          <w:color w:val="000000"/>
          <w:sz w:val="24"/>
          <w:szCs w:val="24"/>
          <w:lang w:eastAsia="ja-JP"/>
        </w:rPr>
        <w:t xml:space="preserve">groups </w:t>
      </w:r>
      <w:r w:rsidRPr="00A32F2E">
        <w:rPr>
          <w:rFonts w:ascii="Times New Roman" w:eastAsia="MS Mincho" w:hAnsi="Times New Roman"/>
          <w:color w:val="000000"/>
          <w:sz w:val="24"/>
          <w:szCs w:val="24"/>
          <w:lang w:eastAsia="ja-JP"/>
        </w:rPr>
        <w:t xml:space="preserve">listed in </w:t>
      </w:r>
      <w:r>
        <w:rPr>
          <w:rFonts w:ascii="Times New Roman" w:eastAsia="MS Mincho" w:hAnsi="Times New Roman"/>
          <w:color w:val="000000"/>
          <w:sz w:val="24"/>
          <w:szCs w:val="24"/>
          <w:lang w:eastAsia="ja-JP"/>
        </w:rPr>
        <w:t xml:space="preserve">Table 2 and Table 4 </w:t>
      </w:r>
      <w:r w:rsidRPr="00A32F2E">
        <w:rPr>
          <w:rFonts w:ascii="Times New Roman" w:eastAsia="MS Mincho" w:hAnsi="Times New Roman"/>
          <w:color w:val="000000"/>
          <w:sz w:val="24"/>
          <w:szCs w:val="24"/>
          <w:lang w:eastAsia="ja-JP"/>
        </w:rPr>
        <w:t xml:space="preserve">within a reasonable time, </w:t>
      </w:r>
      <w:r>
        <w:rPr>
          <w:rFonts w:ascii="Times New Roman" w:eastAsia="MS Mincho" w:hAnsi="Times New Roman"/>
          <w:color w:val="000000"/>
          <w:sz w:val="24"/>
          <w:szCs w:val="24"/>
          <w:lang w:eastAsia="ja-JP"/>
        </w:rPr>
        <w:t>the Department</w:t>
      </w:r>
      <w:r w:rsidRPr="00A32F2E">
        <w:rPr>
          <w:rFonts w:ascii="Times New Roman" w:eastAsia="MS Mincho" w:hAnsi="Times New Roman"/>
          <w:color w:val="000000"/>
          <w:sz w:val="24"/>
          <w:szCs w:val="24"/>
          <w:lang w:eastAsia="ja-JP"/>
        </w:rPr>
        <w:t xml:space="preserve"> </w:t>
      </w:r>
      <w:r>
        <w:rPr>
          <w:rFonts w:ascii="Times New Roman" w:eastAsia="MS Mincho" w:hAnsi="Times New Roman"/>
          <w:color w:val="000000"/>
          <w:sz w:val="24"/>
          <w:szCs w:val="24"/>
          <w:lang w:eastAsia="ja-JP"/>
        </w:rPr>
        <w:t>may</w:t>
      </w:r>
      <w:r w:rsidRPr="00A32F2E">
        <w:rPr>
          <w:rFonts w:ascii="Times New Roman" w:eastAsia="MS Mincho" w:hAnsi="Times New Roman"/>
          <w:color w:val="000000"/>
          <w:sz w:val="24"/>
          <w:szCs w:val="24"/>
          <w:lang w:eastAsia="ja-JP"/>
        </w:rPr>
        <w:t xml:space="preserve"> </w:t>
      </w:r>
      <w:r>
        <w:rPr>
          <w:rFonts w:ascii="Times New Roman" w:eastAsia="MS Mincho" w:hAnsi="Times New Roman"/>
          <w:color w:val="000000"/>
          <w:sz w:val="24"/>
          <w:szCs w:val="24"/>
          <w:lang w:eastAsia="ja-JP"/>
        </w:rPr>
        <w:t xml:space="preserve">consider restructuring </w:t>
      </w:r>
      <w:r w:rsidRPr="00A32F2E">
        <w:rPr>
          <w:rFonts w:ascii="Times New Roman" w:eastAsia="MS Mincho" w:hAnsi="Times New Roman"/>
          <w:color w:val="000000"/>
          <w:sz w:val="24"/>
          <w:szCs w:val="24"/>
          <w:lang w:eastAsia="ja-JP"/>
        </w:rPr>
        <w:t xml:space="preserve">the analysis based on the </w:t>
      </w:r>
      <w:r>
        <w:rPr>
          <w:rFonts w:ascii="Times New Roman" w:eastAsia="MS Mincho" w:hAnsi="Times New Roman"/>
          <w:color w:val="000000"/>
          <w:sz w:val="24"/>
          <w:szCs w:val="24"/>
          <w:lang w:eastAsia="ja-JP"/>
        </w:rPr>
        <w:t xml:space="preserve">actual </w:t>
      </w:r>
      <w:r w:rsidRPr="00A32F2E">
        <w:rPr>
          <w:rFonts w:ascii="Times New Roman" w:eastAsia="MS Mincho" w:hAnsi="Times New Roman"/>
          <w:color w:val="000000"/>
          <w:sz w:val="24"/>
          <w:szCs w:val="24"/>
          <w:lang w:eastAsia="ja-JP"/>
        </w:rPr>
        <w:t xml:space="preserve">number of responses received. </w:t>
      </w:r>
    </w:p>
    <w:p w:rsidR="007472B2" w:rsidRDefault="007472B2" w:rsidP="004B2755">
      <w:pPr>
        <w:widowControl w:val="0"/>
        <w:autoSpaceDE w:val="0"/>
        <w:autoSpaceDN w:val="0"/>
        <w:adjustRightInd w:val="0"/>
        <w:spacing w:after="0" w:line="240" w:lineRule="auto"/>
        <w:ind w:left="360"/>
        <w:rPr>
          <w:rFonts w:ascii="Times New Roman" w:eastAsia="MS Mincho" w:hAnsi="Times New Roman"/>
          <w:color w:val="000000"/>
          <w:sz w:val="24"/>
          <w:szCs w:val="24"/>
          <w:lang w:eastAsia="ja-JP"/>
        </w:rPr>
      </w:pPr>
    </w:p>
    <w:p w:rsidR="007472B2" w:rsidRDefault="007472B2" w:rsidP="00432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u w:val="single"/>
        </w:rPr>
      </w:pPr>
      <w:r w:rsidRPr="00606EED">
        <w:rPr>
          <w:rFonts w:ascii="Times New Roman" w:hAnsi="Times New Roman"/>
          <w:sz w:val="24"/>
          <w:szCs w:val="24"/>
          <w:u w:val="single"/>
        </w:rPr>
        <w:t>Research Ethics</w:t>
      </w:r>
    </w:p>
    <w:p w:rsidR="007472B2" w:rsidRDefault="007472B2" w:rsidP="004328D6">
      <w:pPr>
        <w:widowControl w:val="0"/>
        <w:autoSpaceDE w:val="0"/>
        <w:autoSpaceDN w:val="0"/>
        <w:adjustRightInd w:val="0"/>
        <w:spacing w:after="0" w:line="240" w:lineRule="auto"/>
        <w:ind w:left="360"/>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Data collection and research protocols will be based on the CASRO Code of Standards and Ethics for Survey Research (</w:t>
      </w:r>
      <w:hyperlink r:id="rId9" w:history="1">
        <w:r w:rsidRPr="00C218ED">
          <w:rPr>
            <w:rStyle w:val="Hyperlink"/>
            <w:rFonts w:ascii="Times New Roman" w:hAnsi="Times New Roman"/>
          </w:rPr>
          <w:t>http://www.casro.org/?page=TheCASROCode</w:t>
        </w:r>
      </w:hyperlink>
      <w:r>
        <w:rPr>
          <w:rFonts w:ascii="Times New Roman" w:hAnsi="Times New Roman"/>
        </w:rPr>
        <w:t>),</w:t>
      </w:r>
      <w:r>
        <w:rPr>
          <w:rFonts w:ascii="Times New Roman" w:eastAsia="MS Mincho" w:hAnsi="Times New Roman"/>
          <w:color w:val="000000"/>
          <w:sz w:val="24"/>
          <w:szCs w:val="24"/>
          <w:lang w:eastAsia="ja-JP"/>
        </w:rPr>
        <w:t xml:space="preserve"> developed by the Council for Survey and Research Organization (CASRO), which has long been the benchmark of the industry and provides a consistent, industry-accepted standard for implementing similar studies.</w:t>
      </w:r>
    </w:p>
    <w:p w:rsidR="007472B2" w:rsidRPr="00E73974" w:rsidRDefault="007472B2" w:rsidP="004328D6">
      <w:pPr>
        <w:widowControl w:val="0"/>
        <w:autoSpaceDE w:val="0"/>
        <w:autoSpaceDN w:val="0"/>
        <w:adjustRightInd w:val="0"/>
        <w:spacing w:after="0" w:line="240" w:lineRule="auto"/>
        <w:ind w:left="360"/>
        <w:rPr>
          <w:rFonts w:ascii="Times New Roman" w:eastAsia="MS Mincho" w:hAnsi="Times New Roman"/>
          <w:sz w:val="24"/>
        </w:rPr>
      </w:pPr>
    </w:p>
    <w:p w:rsidR="007472B2" w:rsidRPr="00A32F2E" w:rsidRDefault="007472B2" w:rsidP="004328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rPr>
          <w:rFonts w:ascii="Times New Roman" w:hAnsi="Times New Roman"/>
          <w:sz w:val="24"/>
          <w:szCs w:val="24"/>
          <w:u w:val="single"/>
        </w:rPr>
      </w:pPr>
      <w:r>
        <w:rPr>
          <w:rFonts w:ascii="Times New Roman" w:eastAsia="MS Mincho" w:hAnsi="Times New Roman"/>
          <w:color w:val="000000"/>
          <w:sz w:val="24"/>
          <w:szCs w:val="24"/>
          <w:u w:val="single"/>
          <w:lang w:eastAsia="ja-JP"/>
        </w:rPr>
        <w:br w:type="page"/>
        <w:t>Research Timeline</w:t>
      </w:r>
    </w:p>
    <w:tbl>
      <w:tblPr>
        <w:tblW w:w="5776" w:type="dxa"/>
        <w:tblInd w:w="720"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4302"/>
        <w:gridCol w:w="1474"/>
      </w:tblGrid>
      <w:tr w:rsidR="007472B2" w:rsidTr="00A15285">
        <w:trPr>
          <w:trHeight w:val="139"/>
        </w:trPr>
        <w:tc>
          <w:tcPr>
            <w:tcW w:w="4302" w:type="dxa"/>
            <w:tcBorders>
              <w:top w:val="single" w:sz="8" w:space="0" w:color="000000"/>
              <w:left w:val="single" w:sz="8" w:space="0" w:color="000000"/>
              <w:bottom w:val="single" w:sz="8" w:space="0" w:color="000000"/>
              <w:right w:val="single" w:sz="8" w:space="0" w:color="000000"/>
            </w:tcBorders>
            <w:shd w:val="clear" w:color="auto" w:fill="B3B3B3"/>
          </w:tcPr>
          <w:p w:rsidR="007472B2" w:rsidRDefault="007472B2" w:rsidP="004328D6">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b/>
                <w:bCs/>
                <w:color w:val="000000"/>
                <w:sz w:val="21"/>
                <w:szCs w:val="21"/>
                <w:lang w:eastAsia="ja-JP"/>
              </w:rPr>
              <w:t xml:space="preserve">Event </w:t>
            </w:r>
          </w:p>
        </w:tc>
        <w:tc>
          <w:tcPr>
            <w:tcW w:w="1474" w:type="dxa"/>
            <w:tcBorders>
              <w:top w:val="single" w:sz="8" w:space="0" w:color="000000"/>
              <w:left w:val="single" w:sz="8" w:space="0" w:color="000000"/>
              <w:bottom w:val="single" w:sz="8" w:space="0" w:color="000000"/>
              <w:right w:val="single" w:sz="8" w:space="0" w:color="000000"/>
            </w:tcBorders>
            <w:shd w:val="clear" w:color="auto" w:fill="B3B3B3"/>
          </w:tcPr>
          <w:p w:rsidR="007472B2" w:rsidRDefault="007472B2" w:rsidP="004328D6">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b/>
                <w:bCs/>
                <w:color w:val="000000"/>
                <w:sz w:val="21"/>
                <w:szCs w:val="21"/>
                <w:lang w:eastAsia="ja-JP"/>
              </w:rPr>
              <w:t>Target Dates</w:t>
            </w:r>
          </w:p>
        </w:tc>
      </w:tr>
      <w:tr w:rsidR="007472B2" w:rsidTr="00A15285">
        <w:trPr>
          <w:trHeight w:val="139"/>
        </w:trPr>
        <w:tc>
          <w:tcPr>
            <w:tcW w:w="5776" w:type="dxa"/>
            <w:gridSpan w:val="2"/>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i/>
                <w:iCs/>
                <w:color w:val="000000"/>
                <w:sz w:val="21"/>
                <w:szCs w:val="21"/>
                <w:lang w:eastAsia="ja-JP"/>
              </w:rPr>
              <w:t>Study of MHA Program Performance – Phase 1</w:t>
            </w:r>
          </w:p>
        </w:tc>
      </w:tr>
      <w:tr w:rsidR="007472B2" w:rsidTr="00A15285">
        <w:trPr>
          <w:trHeight w:val="379"/>
        </w:trPr>
        <w:tc>
          <w:tcPr>
            <w:tcW w:w="4302"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Complete development of survey materials (cover letter, survey questionnaire , FAQs)</w:t>
            </w:r>
          </w:p>
        </w:tc>
        <w:tc>
          <w:tcPr>
            <w:tcW w:w="1474"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Sept 20</w:t>
            </w:r>
            <w:r w:rsidRPr="001B1C7A">
              <w:rPr>
                <w:rFonts w:ascii="Times New Roman" w:eastAsia="MS Mincho" w:hAnsi="Times New Roman"/>
                <w:color w:val="000000"/>
                <w:sz w:val="21"/>
                <w:szCs w:val="21"/>
                <w:vertAlign w:val="superscript"/>
                <w:lang w:eastAsia="ja-JP"/>
              </w:rPr>
              <w:t>th</w:t>
            </w:r>
            <w:r>
              <w:rPr>
                <w:rFonts w:ascii="Times New Roman" w:eastAsia="MS Mincho" w:hAnsi="Times New Roman"/>
                <w:color w:val="000000"/>
                <w:sz w:val="21"/>
                <w:szCs w:val="21"/>
                <w:lang w:eastAsia="ja-JP"/>
              </w:rPr>
              <w:t xml:space="preserve"> </w:t>
            </w:r>
          </w:p>
        </w:tc>
      </w:tr>
      <w:tr w:rsidR="007472B2" w:rsidTr="00A15285">
        <w:trPr>
          <w:trHeight w:val="258"/>
        </w:trPr>
        <w:tc>
          <w:tcPr>
            <w:tcW w:w="4302"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Receive Approval of survey materials and OMB Control Number</w:t>
            </w:r>
          </w:p>
        </w:tc>
        <w:tc>
          <w:tcPr>
            <w:tcW w:w="1474"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Sept 27</w:t>
            </w:r>
            <w:r>
              <w:rPr>
                <w:rFonts w:ascii="Times New Roman" w:eastAsia="MS Mincho" w:hAnsi="Times New Roman"/>
                <w:color w:val="000000"/>
                <w:sz w:val="21"/>
                <w:szCs w:val="21"/>
                <w:vertAlign w:val="superscript"/>
                <w:lang w:eastAsia="ja-JP"/>
              </w:rPr>
              <w:t>th</w:t>
            </w:r>
          </w:p>
        </w:tc>
      </w:tr>
      <w:tr w:rsidR="007472B2" w:rsidTr="00A15285">
        <w:trPr>
          <w:trHeight w:val="258"/>
        </w:trPr>
        <w:tc>
          <w:tcPr>
            <w:tcW w:w="4302"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Print survey materials for Test Run</w:t>
            </w:r>
          </w:p>
        </w:tc>
        <w:tc>
          <w:tcPr>
            <w:tcW w:w="1474"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Sept 30</w:t>
            </w:r>
            <w:r w:rsidRPr="001B1C7A">
              <w:rPr>
                <w:rFonts w:ascii="Times New Roman" w:eastAsia="MS Mincho" w:hAnsi="Times New Roman"/>
                <w:color w:val="000000"/>
                <w:sz w:val="21"/>
                <w:szCs w:val="21"/>
                <w:vertAlign w:val="superscript"/>
                <w:lang w:eastAsia="ja-JP"/>
              </w:rPr>
              <w:t>th</w:t>
            </w:r>
          </w:p>
        </w:tc>
      </w:tr>
      <w:tr w:rsidR="007472B2" w:rsidTr="00A15285">
        <w:trPr>
          <w:trHeight w:val="258"/>
        </w:trPr>
        <w:tc>
          <w:tcPr>
            <w:tcW w:w="4302"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 xml:space="preserve">Mail the Test Run </w:t>
            </w:r>
          </w:p>
        </w:tc>
        <w:tc>
          <w:tcPr>
            <w:tcW w:w="1474"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Oct 4</w:t>
            </w:r>
            <w:r w:rsidRPr="001B1C7A">
              <w:rPr>
                <w:rFonts w:ascii="Times New Roman" w:eastAsia="MS Mincho" w:hAnsi="Times New Roman"/>
                <w:color w:val="000000"/>
                <w:sz w:val="21"/>
                <w:szCs w:val="21"/>
                <w:vertAlign w:val="superscript"/>
                <w:lang w:eastAsia="ja-JP"/>
              </w:rPr>
              <w:t>th</w:t>
            </w:r>
            <w:r>
              <w:rPr>
                <w:rFonts w:ascii="Times New Roman" w:eastAsia="MS Mincho" w:hAnsi="Times New Roman"/>
                <w:color w:val="000000"/>
                <w:sz w:val="21"/>
                <w:szCs w:val="21"/>
                <w:lang w:eastAsia="ja-JP"/>
              </w:rPr>
              <w:t xml:space="preserve"> </w:t>
            </w:r>
          </w:p>
        </w:tc>
      </w:tr>
      <w:tr w:rsidR="007472B2" w:rsidTr="00A15285">
        <w:trPr>
          <w:trHeight w:val="138"/>
        </w:trPr>
        <w:tc>
          <w:tcPr>
            <w:tcW w:w="4302"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Review responses and print documents for Principal Mailing</w:t>
            </w:r>
          </w:p>
        </w:tc>
        <w:tc>
          <w:tcPr>
            <w:tcW w:w="1474"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Oct 21</w:t>
            </w:r>
            <w:r>
              <w:rPr>
                <w:rFonts w:ascii="Times New Roman" w:eastAsia="MS Mincho" w:hAnsi="Times New Roman"/>
                <w:color w:val="000000"/>
                <w:sz w:val="21"/>
                <w:szCs w:val="21"/>
                <w:vertAlign w:val="superscript"/>
                <w:lang w:eastAsia="ja-JP"/>
              </w:rPr>
              <w:t>st</w:t>
            </w:r>
          </w:p>
        </w:tc>
      </w:tr>
      <w:tr w:rsidR="007472B2" w:rsidTr="00A15285">
        <w:trPr>
          <w:trHeight w:val="138"/>
        </w:trPr>
        <w:tc>
          <w:tcPr>
            <w:tcW w:w="4302"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 xml:space="preserve">Mail the Principal Mailing </w:t>
            </w:r>
          </w:p>
        </w:tc>
        <w:tc>
          <w:tcPr>
            <w:tcW w:w="1474"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Nov 1</w:t>
            </w:r>
            <w:r>
              <w:rPr>
                <w:rFonts w:ascii="Times New Roman" w:eastAsia="MS Mincho" w:hAnsi="Times New Roman"/>
                <w:color w:val="000000"/>
                <w:sz w:val="21"/>
                <w:szCs w:val="21"/>
                <w:vertAlign w:val="superscript"/>
                <w:lang w:eastAsia="ja-JP"/>
              </w:rPr>
              <w:t>st</w:t>
            </w:r>
          </w:p>
        </w:tc>
      </w:tr>
      <w:tr w:rsidR="007472B2" w:rsidTr="00A15285">
        <w:trPr>
          <w:trHeight w:val="258"/>
        </w:trPr>
        <w:tc>
          <w:tcPr>
            <w:tcW w:w="4302"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Begin tabulation of responses</w:t>
            </w:r>
          </w:p>
        </w:tc>
        <w:tc>
          <w:tcPr>
            <w:tcW w:w="1474"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Dec18</w:t>
            </w:r>
            <w:r w:rsidRPr="001B1C7A">
              <w:rPr>
                <w:rFonts w:ascii="Times New Roman" w:eastAsia="MS Mincho" w:hAnsi="Times New Roman"/>
                <w:color w:val="000000"/>
                <w:sz w:val="21"/>
                <w:szCs w:val="21"/>
                <w:vertAlign w:val="superscript"/>
                <w:lang w:eastAsia="ja-JP"/>
              </w:rPr>
              <w:t>th</w:t>
            </w:r>
          </w:p>
        </w:tc>
      </w:tr>
      <w:tr w:rsidR="007472B2" w:rsidTr="00A15285">
        <w:trPr>
          <w:trHeight w:val="258"/>
        </w:trPr>
        <w:tc>
          <w:tcPr>
            <w:tcW w:w="4302" w:type="dxa"/>
            <w:tcBorders>
              <w:top w:val="single" w:sz="8" w:space="0" w:color="000000"/>
              <w:left w:val="single" w:sz="8" w:space="0" w:color="000000"/>
              <w:bottom w:val="single" w:sz="8" w:space="0" w:color="000000"/>
              <w:right w:val="single" w:sz="8" w:space="0" w:color="000000"/>
            </w:tcBorders>
          </w:tcPr>
          <w:p w:rsidR="007472B2" w:rsidRDefault="00C62515" w:rsidP="00C62515">
            <w:pPr>
              <w:widowControl w:val="0"/>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Conclude analysis of results</w:t>
            </w:r>
          </w:p>
        </w:tc>
        <w:tc>
          <w:tcPr>
            <w:tcW w:w="1474"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 xml:space="preserve">Feb </w:t>
            </w:r>
            <w:r w:rsidR="00760602">
              <w:rPr>
                <w:rFonts w:ascii="Times New Roman" w:eastAsia="MS Mincho" w:hAnsi="Times New Roman"/>
                <w:color w:val="000000"/>
                <w:sz w:val="21"/>
                <w:szCs w:val="21"/>
                <w:lang w:eastAsia="ja-JP"/>
              </w:rPr>
              <w:t>13</w:t>
            </w:r>
            <w:r w:rsidRPr="004328D6">
              <w:rPr>
                <w:rFonts w:ascii="Times New Roman" w:eastAsia="MS Mincho" w:hAnsi="Times New Roman"/>
                <w:color w:val="000000"/>
                <w:sz w:val="21"/>
                <w:szCs w:val="21"/>
                <w:vertAlign w:val="superscript"/>
                <w:lang w:eastAsia="ja-JP"/>
              </w:rPr>
              <w:t>th</w:t>
            </w:r>
          </w:p>
        </w:tc>
      </w:tr>
    </w:tbl>
    <w:p w:rsidR="007472B2" w:rsidRDefault="007472B2" w:rsidP="004328D6">
      <w:pPr>
        <w:widowControl w:val="0"/>
        <w:spacing w:after="100" w:afterAutospacing="1" w:line="240" w:lineRule="auto"/>
        <w:contextualSpacing/>
        <w:rPr>
          <w:rFonts w:ascii="Times New Roman" w:eastAsia="MS Mincho" w:hAnsi="Times New Roman"/>
          <w:color w:val="000000"/>
          <w:sz w:val="20"/>
          <w:szCs w:val="20"/>
          <w:lang w:eastAsia="ja-JP"/>
        </w:rPr>
      </w:pPr>
    </w:p>
    <w:p w:rsidR="007472B2" w:rsidRDefault="007472B2" w:rsidP="004328D6">
      <w:pPr>
        <w:widowControl w:val="0"/>
        <w:spacing w:after="240" w:line="240" w:lineRule="auto"/>
        <w:ind w:left="360"/>
        <w:rPr>
          <w:rFonts w:ascii="Times New Roman" w:hAnsi="Times New Roman"/>
          <w:sz w:val="24"/>
          <w:szCs w:val="24"/>
        </w:rPr>
      </w:pPr>
    </w:p>
    <w:tbl>
      <w:tblPr>
        <w:tblW w:w="5776" w:type="dxa"/>
        <w:tblInd w:w="720" w:type="dxa"/>
        <w:tblBorders>
          <w:top w:val="single" w:sz="6" w:space="0" w:color="000000"/>
          <w:left w:val="single" w:sz="6" w:space="0" w:color="000000"/>
          <w:bottom w:val="single" w:sz="6" w:space="0" w:color="000000"/>
          <w:right w:val="single" w:sz="6" w:space="0" w:color="000000"/>
        </w:tblBorders>
        <w:tblLayout w:type="fixed"/>
        <w:tblLook w:val="00A0" w:firstRow="1" w:lastRow="0" w:firstColumn="1" w:lastColumn="0" w:noHBand="0" w:noVBand="0"/>
      </w:tblPr>
      <w:tblGrid>
        <w:gridCol w:w="4302"/>
        <w:gridCol w:w="1474"/>
      </w:tblGrid>
      <w:tr w:rsidR="007472B2" w:rsidTr="00CC5E9B">
        <w:trPr>
          <w:trHeight w:val="139"/>
        </w:trPr>
        <w:tc>
          <w:tcPr>
            <w:tcW w:w="4302" w:type="dxa"/>
            <w:tcBorders>
              <w:top w:val="single" w:sz="8" w:space="0" w:color="000000"/>
              <w:left w:val="single" w:sz="8" w:space="0" w:color="000000"/>
              <w:bottom w:val="single" w:sz="8" w:space="0" w:color="000000"/>
              <w:right w:val="single" w:sz="8" w:space="0" w:color="000000"/>
            </w:tcBorders>
            <w:shd w:val="clear" w:color="auto" w:fill="B3B3B3"/>
          </w:tcPr>
          <w:p w:rsidR="007472B2" w:rsidRDefault="007472B2" w:rsidP="004328D6">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b/>
                <w:bCs/>
                <w:color w:val="000000"/>
                <w:sz w:val="21"/>
                <w:szCs w:val="21"/>
                <w:lang w:eastAsia="ja-JP"/>
              </w:rPr>
              <w:t xml:space="preserve">Event </w:t>
            </w:r>
          </w:p>
        </w:tc>
        <w:tc>
          <w:tcPr>
            <w:tcW w:w="1474" w:type="dxa"/>
            <w:tcBorders>
              <w:top w:val="single" w:sz="8" w:space="0" w:color="000000"/>
              <w:left w:val="single" w:sz="8" w:space="0" w:color="000000"/>
              <w:bottom w:val="single" w:sz="8" w:space="0" w:color="000000"/>
              <w:right w:val="single" w:sz="8" w:space="0" w:color="000000"/>
            </w:tcBorders>
            <w:shd w:val="clear" w:color="auto" w:fill="B3B3B3"/>
          </w:tcPr>
          <w:p w:rsidR="007472B2" w:rsidRDefault="007472B2" w:rsidP="004328D6">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b/>
                <w:bCs/>
                <w:color w:val="000000"/>
                <w:sz w:val="21"/>
                <w:szCs w:val="21"/>
                <w:lang w:eastAsia="ja-JP"/>
              </w:rPr>
              <w:t>Target Dates</w:t>
            </w:r>
          </w:p>
        </w:tc>
      </w:tr>
      <w:tr w:rsidR="007472B2" w:rsidTr="00CC5E9B">
        <w:trPr>
          <w:trHeight w:val="139"/>
        </w:trPr>
        <w:tc>
          <w:tcPr>
            <w:tcW w:w="5776" w:type="dxa"/>
            <w:gridSpan w:val="2"/>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i/>
                <w:iCs/>
                <w:color w:val="000000"/>
                <w:sz w:val="21"/>
                <w:szCs w:val="21"/>
                <w:lang w:eastAsia="ja-JP"/>
              </w:rPr>
              <w:t>Study of MHA Program Performance – Phase 2</w:t>
            </w:r>
          </w:p>
        </w:tc>
      </w:tr>
      <w:tr w:rsidR="007472B2" w:rsidTr="00CC5E9B">
        <w:trPr>
          <w:trHeight w:val="379"/>
        </w:trPr>
        <w:tc>
          <w:tcPr>
            <w:tcW w:w="4302"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Complete development of survey materials (cover letter, survey questionnaire , FAQs)</w:t>
            </w:r>
          </w:p>
        </w:tc>
        <w:tc>
          <w:tcPr>
            <w:tcW w:w="1474" w:type="dxa"/>
            <w:tcBorders>
              <w:top w:val="single" w:sz="8" w:space="0" w:color="000000"/>
              <w:left w:val="single" w:sz="8" w:space="0" w:color="000000"/>
              <w:bottom w:val="single" w:sz="8" w:space="0" w:color="000000"/>
              <w:right w:val="single" w:sz="8" w:space="0" w:color="000000"/>
            </w:tcBorders>
          </w:tcPr>
          <w:p w:rsidR="007472B2" w:rsidRDefault="001A55F9" w:rsidP="00C62515">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Apr 6th</w:t>
            </w:r>
            <w:r w:rsidR="00C62515">
              <w:rPr>
                <w:rFonts w:ascii="Times New Roman" w:eastAsia="MS Mincho" w:hAnsi="Times New Roman"/>
                <w:color w:val="000000"/>
                <w:sz w:val="21"/>
                <w:szCs w:val="21"/>
                <w:lang w:eastAsia="ja-JP"/>
              </w:rPr>
              <w:t xml:space="preserve"> </w:t>
            </w:r>
          </w:p>
        </w:tc>
      </w:tr>
      <w:tr w:rsidR="007472B2" w:rsidTr="00CC5E9B">
        <w:trPr>
          <w:trHeight w:val="258"/>
        </w:trPr>
        <w:tc>
          <w:tcPr>
            <w:tcW w:w="4302"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 xml:space="preserve">Receive Approval of survey materials </w:t>
            </w:r>
            <w:r w:rsidR="004328D6">
              <w:rPr>
                <w:rFonts w:ascii="Times New Roman" w:eastAsia="MS Mincho" w:hAnsi="Times New Roman"/>
                <w:color w:val="000000"/>
                <w:sz w:val="21"/>
                <w:szCs w:val="21"/>
                <w:lang w:eastAsia="ja-JP"/>
              </w:rPr>
              <w:t xml:space="preserve">from </w:t>
            </w:r>
            <w:r>
              <w:rPr>
                <w:rFonts w:ascii="Times New Roman" w:eastAsia="MS Mincho" w:hAnsi="Times New Roman"/>
                <w:color w:val="000000"/>
                <w:sz w:val="21"/>
                <w:szCs w:val="21"/>
                <w:lang w:eastAsia="ja-JP"/>
              </w:rPr>
              <w:t>OMB</w:t>
            </w:r>
          </w:p>
        </w:tc>
        <w:tc>
          <w:tcPr>
            <w:tcW w:w="1474" w:type="dxa"/>
            <w:tcBorders>
              <w:top w:val="single" w:sz="8" w:space="0" w:color="000000"/>
              <w:left w:val="single" w:sz="8" w:space="0" w:color="000000"/>
              <w:bottom w:val="single" w:sz="8" w:space="0" w:color="000000"/>
              <w:right w:val="single" w:sz="8" w:space="0" w:color="000000"/>
            </w:tcBorders>
          </w:tcPr>
          <w:p w:rsidR="007472B2" w:rsidRDefault="00E45503" w:rsidP="00E45503">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Apr 5</w:t>
            </w:r>
            <w:r w:rsidR="0096727D" w:rsidRPr="00922528">
              <w:rPr>
                <w:rFonts w:ascii="Times New Roman" w:eastAsia="MS Mincho" w:hAnsi="Times New Roman"/>
                <w:color w:val="000000"/>
                <w:sz w:val="21"/>
                <w:szCs w:val="21"/>
                <w:vertAlign w:val="superscript"/>
                <w:lang w:eastAsia="ja-JP"/>
              </w:rPr>
              <w:t>th</w:t>
            </w:r>
            <w:r>
              <w:rPr>
                <w:rFonts w:ascii="Times New Roman" w:eastAsia="MS Mincho" w:hAnsi="Times New Roman"/>
                <w:color w:val="000000"/>
                <w:sz w:val="21"/>
                <w:szCs w:val="21"/>
                <w:vertAlign w:val="superscript"/>
                <w:lang w:eastAsia="ja-JP"/>
              </w:rPr>
              <w:t xml:space="preserve"> </w:t>
            </w:r>
          </w:p>
        </w:tc>
      </w:tr>
      <w:tr w:rsidR="007472B2" w:rsidTr="00CC5E9B">
        <w:trPr>
          <w:trHeight w:val="258"/>
        </w:trPr>
        <w:tc>
          <w:tcPr>
            <w:tcW w:w="4302" w:type="dxa"/>
            <w:tcBorders>
              <w:top w:val="single" w:sz="8" w:space="0" w:color="000000"/>
              <w:left w:val="single" w:sz="8" w:space="0" w:color="000000"/>
              <w:bottom w:val="single" w:sz="8" w:space="0" w:color="000000"/>
              <w:right w:val="single" w:sz="8" w:space="0" w:color="000000"/>
            </w:tcBorders>
          </w:tcPr>
          <w:p w:rsidR="007472B2" w:rsidRDefault="001A55F9" w:rsidP="004328D6">
            <w:pPr>
              <w:widowControl w:val="0"/>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 xml:space="preserve">Prepare and </w:t>
            </w:r>
            <w:r w:rsidR="007472B2">
              <w:rPr>
                <w:rFonts w:ascii="Times New Roman" w:eastAsia="MS Mincho" w:hAnsi="Times New Roman"/>
                <w:color w:val="000000"/>
                <w:sz w:val="21"/>
                <w:szCs w:val="21"/>
                <w:lang w:eastAsia="ja-JP"/>
              </w:rPr>
              <w:t>Print survey materials for Test Run</w:t>
            </w:r>
          </w:p>
        </w:tc>
        <w:tc>
          <w:tcPr>
            <w:tcW w:w="1474" w:type="dxa"/>
            <w:tcBorders>
              <w:top w:val="single" w:sz="8" w:space="0" w:color="000000"/>
              <w:left w:val="single" w:sz="8" w:space="0" w:color="000000"/>
              <w:bottom w:val="single" w:sz="8" w:space="0" w:color="000000"/>
              <w:right w:val="single" w:sz="8" w:space="0" w:color="000000"/>
            </w:tcBorders>
          </w:tcPr>
          <w:p w:rsidR="001A55F9" w:rsidRDefault="003C2090" w:rsidP="001A55F9">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 xml:space="preserve">Apr </w:t>
            </w:r>
            <w:r w:rsidR="001A55F9">
              <w:rPr>
                <w:rFonts w:ascii="Times New Roman" w:eastAsia="MS Mincho" w:hAnsi="Times New Roman"/>
                <w:color w:val="000000"/>
                <w:sz w:val="21"/>
                <w:szCs w:val="21"/>
                <w:lang w:eastAsia="ja-JP"/>
              </w:rPr>
              <w:t>9</w:t>
            </w:r>
            <w:r w:rsidR="0096727D" w:rsidRPr="00922528">
              <w:rPr>
                <w:rFonts w:ascii="Times New Roman" w:eastAsia="MS Mincho" w:hAnsi="Times New Roman"/>
                <w:color w:val="000000"/>
                <w:sz w:val="21"/>
                <w:szCs w:val="21"/>
                <w:vertAlign w:val="superscript"/>
                <w:lang w:eastAsia="ja-JP"/>
              </w:rPr>
              <w:t>th</w:t>
            </w:r>
          </w:p>
          <w:p w:rsidR="007472B2" w:rsidRDefault="003C2090" w:rsidP="001A55F9">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 xml:space="preserve"> </w:t>
            </w:r>
          </w:p>
        </w:tc>
      </w:tr>
      <w:tr w:rsidR="007472B2" w:rsidTr="00CC5E9B">
        <w:trPr>
          <w:trHeight w:val="258"/>
        </w:trPr>
        <w:tc>
          <w:tcPr>
            <w:tcW w:w="4302"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 xml:space="preserve">Mail the Test Run </w:t>
            </w:r>
          </w:p>
        </w:tc>
        <w:tc>
          <w:tcPr>
            <w:tcW w:w="1474" w:type="dxa"/>
            <w:tcBorders>
              <w:top w:val="single" w:sz="8" w:space="0" w:color="000000"/>
              <w:left w:val="single" w:sz="8" w:space="0" w:color="000000"/>
              <w:bottom w:val="single" w:sz="8" w:space="0" w:color="000000"/>
              <w:right w:val="single" w:sz="8" w:space="0" w:color="000000"/>
            </w:tcBorders>
          </w:tcPr>
          <w:p w:rsidR="007472B2" w:rsidRDefault="003C2090" w:rsidP="004328D6">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Apr 22</w:t>
            </w:r>
            <w:r w:rsidR="0096727D" w:rsidRPr="00922528">
              <w:rPr>
                <w:rFonts w:ascii="Times New Roman" w:eastAsia="MS Mincho" w:hAnsi="Times New Roman"/>
                <w:color w:val="000000"/>
                <w:sz w:val="21"/>
                <w:szCs w:val="21"/>
                <w:vertAlign w:val="superscript"/>
                <w:lang w:eastAsia="ja-JP"/>
              </w:rPr>
              <w:t>nd</w:t>
            </w:r>
          </w:p>
        </w:tc>
      </w:tr>
      <w:tr w:rsidR="007472B2" w:rsidTr="00CC5E9B">
        <w:trPr>
          <w:trHeight w:val="138"/>
        </w:trPr>
        <w:tc>
          <w:tcPr>
            <w:tcW w:w="4302"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Review responses and print documents for Principal Mailing</w:t>
            </w:r>
          </w:p>
        </w:tc>
        <w:tc>
          <w:tcPr>
            <w:tcW w:w="1474" w:type="dxa"/>
            <w:tcBorders>
              <w:top w:val="single" w:sz="8" w:space="0" w:color="000000"/>
              <w:left w:val="single" w:sz="8" w:space="0" w:color="000000"/>
              <w:bottom w:val="single" w:sz="8" w:space="0" w:color="000000"/>
              <w:right w:val="single" w:sz="8" w:space="0" w:color="000000"/>
            </w:tcBorders>
          </w:tcPr>
          <w:p w:rsidR="007472B2" w:rsidRDefault="001A55F9" w:rsidP="004328D6">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May 8</w:t>
            </w:r>
            <w:r w:rsidR="0096727D" w:rsidRPr="00922528">
              <w:rPr>
                <w:rFonts w:ascii="Times New Roman" w:eastAsia="MS Mincho" w:hAnsi="Times New Roman"/>
                <w:color w:val="000000"/>
                <w:sz w:val="21"/>
                <w:szCs w:val="21"/>
                <w:vertAlign w:val="superscript"/>
                <w:lang w:eastAsia="ja-JP"/>
              </w:rPr>
              <w:t>th</w:t>
            </w:r>
          </w:p>
        </w:tc>
      </w:tr>
      <w:tr w:rsidR="007472B2" w:rsidTr="00CC5E9B">
        <w:trPr>
          <w:trHeight w:val="138"/>
        </w:trPr>
        <w:tc>
          <w:tcPr>
            <w:tcW w:w="4302"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 xml:space="preserve">Mail the Principal Mailing </w:t>
            </w:r>
          </w:p>
        </w:tc>
        <w:tc>
          <w:tcPr>
            <w:tcW w:w="1474" w:type="dxa"/>
            <w:tcBorders>
              <w:top w:val="single" w:sz="8" w:space="0" w:color="000000"/>
              <w:left w:val="single" w:sz="8" w:space="0" w:color="000000"/>
              <w:bottom w:val="single" w:sz="8" w:space="0" w:color="000000"/>
              <w:right w:val="single" w:sz="8" w:space="0" w:color="000000"/>
            </w:tcBorders>
          </w:tcPr>
          <w:p w:rsidR="007472B2" w:rsidRDefault="001A55F9" w:rsidP="00610990">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May 27</w:t>
            </w:r>
            <w:r w:rsidR="0096727D" w:rsidRPr="00922528">
              <w:rPr>
                <w:rFonts w:ascii="Times New Roman" w:eastAsia="MS Mincho" w:hAnsi="Times New Roman"/>
                <w:color w:val="000000"/>
                <w:sz w:val="21"/>
                <w:szCs w:val="21"/>
                <w:vertAlign w:val="superscript"/>
                <w:lang w:eastAsia="ja-JP"/>
              </w:rPr>
              <w:t>th</w:t>
            </w:r>
          </w:p>
        </w:tc>
      </w:tr>
      <w:tr w:rsidR="007472B2" w:rsidTr="00CC5E9B">
        <w:trPr>
          <w:trHeight w:val="258"/>
        </w:trPr>
        <w:tc>
          <w:tcPr>
            <w:tcW w:w="4302" w:type="dxa"/>
            <w:tcBorders>
              <w:top w:val="single" w:sz="8" w:space="0" w:color="000000"/>
              <w:left w:val="single" w:sz="8" w:space="0" w:color="000000"/>
              <w:bottom w:val="single" w:sz="8" w:space="0" w:color="000000"/>
              <w:right w:val="single" w:sz="8" w:space="0" w:color="000000"/>
            </w:tcBorders>
          </w:tcPr>
          <w:p w:rsidR="007472B2" w:rsidRDefault="007472B2" w:rsidP="004328D6">
            <w:pPr>
              <w:widowControl w:val="0"/>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Begin tabulation of responses</w:t>
            </w:r>
          </w:p>
        </w:tc>
        <w:tc>
          <w:tcPr>
            <w:tcW w:w="1474" w:type="dxa"/>
            <w:tcBorders>
              <w:top w:val="single" w:sz="8" w:space="0" w:color="000000"/>
              <w:left w:val="single" w:sz="8" w:space="0" w:color="000000"/>
              <w:bottom w:val="single" w:sz="8" w:space="0" w:color="000000"/>
              <w:right w:val="single" w:sz="8" w:space="0" w:color="000000"/>
            </w:tcBorders>
          </w:tcPr>
          <w:p w:rsidR="007472B2" w:rsidRDefault="001A55F9" w:rsidP="001A55F9">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June 18th</w:t>
            </w:r>
          </w:p>
        </w:tc>
      </w:tr>
      <w:tr w:rsidR="007472B2" w:rsidTr="00CC5E9B">
        <w:trPr>
          <w:trHeight w:val="258"/>
        </w:trPr>
        <w:tc>
          <w:tcPr>
            <w:tcW w:w="4302" w:type="dxa"/>
            <w:tcBorders>
              <w:top w:val="single" w:sz="8" w:space="0" w:color="000000"/>
              <w:left w:val="single" w:sz="8" w:space="0" w:color="000000"/>
              <w:bottom w:val="single" w:sz="8" w:space="0" w:color="000000"/>
              <w:right w:val="single" w:sz="8" w:space="0" w:color="000000"/>
            </w:tcBorders>
          </w:tcPr>
          <w:p w:rsidR="007472B2" w:rsidRDefault="00C62515" w:rsidP="004328D6">
            <w:pPr>
              <w:widowControl w:val="0"/>
              <w:autoSpaceDE w:val="0"/>
              <w:autoSpaceDN w:val="0"/>
              <w:adjustRightInd w:val="0"/>
              <w:spacing w:after="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Conclude analysis of results</w:t>
            </w:r>
          </w:p>
        </w:tc>
        <w:tc>
          <w:tcPr>
            <w:tcW w:w="1474" w:type="dxa"/>
            <w:tcBorders>
              <w:top w:val="single" w:sz="8" w:space="0" w:color="000000"/>
              <w:left w:val="single" w:sz="8" w:space="0" w:color="000000"/>
              <w:bottom w:val="single" w:sz="8" w:space="0" w:color="000000"/>
              <w:right w:val="single" w:sz="8" w:space="0" w:color="000000"/>
            </w:tcBorders>
          </w:tcPr>
          <w:p w:rsidR="007472B2" w:rsidRDefault="001A55F9" w:rsidP="004328D6">
            <w:pPr>
              <w:widowControl w:val="0"/>
              <w:autoSpaceDE w:val="0"/>
              <w:autoSpaceDN w:val="0"/>
              <w:adjustRightInd w:val="0"/>
              <w:spacing w:before="20" w:after="20" w:line="240" w:lineRule="auto"/>
              <w:rPr>
                <w:rFonts w:ascii="Times New Roman" w:eastAsia="MS Mincho" w:hAnsi="Times New Roman"/>
                <w:color w:val="000000"/>
                <w:sz w:val="21"/>
                <w:szCs w:val="21"/>
                <w:lang w:eastAsia="ja-JP"/>
              </w:rPr>
            </w:pPr>
            <w:r>
              <w:rPr>
                <w:rFonts w:ascii="Times New Roman" w:eastAsia="MS Mincho" w:hAnsi="Times New Roman"/>
                <w:color w:val="000000"/>
                <w:sz w:val="21"/>
                <w:szCs w:val="21"/>
                <w:lang w:eastAsia="ja-JP"/>
              </w:rPr>
              <w:t>July 23</w:t>
            </w:r>
            <w:r w:rsidR="0096727D" w:rsidRPr="00922528">
              <w:rPr>
                <w:rFonts w:ascii="Times New Roman" w:eastAsia="MS Mincho" w:hAnsi="Times New Roman"/>
                <w:color w:val="000000"/>
                <w:sz w:val="21"/>
                <w:szCs w:val="21"/>
                <w:vertAlign w:val="superscript"/>
                <w:lang w:eastAsia="ja-JP"/>
              </w:rPr>
              <w:t>rd</w:t>
            </w:r>
          </w:p>
        </w:tc>
      </w:tr>
    </w:tbl>
    <w:p w:rsidR="007472B2" w:rsidRDefault="007472B2" w:rsidP="004328D6">
      <w:pPr>
        <w:widowControl w:val="0"/>
        <w:spacing w:after="240" w:line="240" w:lineRule="auto"/>
        <w:ind w:left="360"/>
        <w:rPr>
          <w:rFonts w:ascii="Times New Roman" w:hAnsi="Times New Roman"/>
          <w:sz w:val="24"/>
          <w:szCs w:val="24"/>
        </w:rPr>
      </w:pPr>
    </w:p>
    <w:p w:rsidR="007472B2" w:rsidRPr="00A15285" w:rsidRDefault="007472B2" w:rsidP="004328D6">
      <w:pPr>
        <w:widowControl w:val="0"/>
        <w:spacing w:after="240" w:line="240" w:lineRule="auto"/>
        <w:ind w:left="360"/>
        <w:rPr>
          <w:rFonts w:ascii="Times New Roman" w:hAnsi="Times New Roman"/>
          <w:sz w:val="24"/>
          <w:szCs w:val="24"/>
        </w:rPr>
      </w:pPr>
      <w:r>
        <w:rPr>
          <w:rFonts w:ascii="Times New Roman" w:hAnsi="Times New Roman"/>
          <w:sz w:val="24"/>
          <w:szCs w:val="24"/>
        </w:rPr>
        <w:t>Note that the foregoing timeline</w:t>
      </w:r>
      <w:r w:rsidR="004328D6">
        <w:rPr>
          <w:rFonts w:ascii="Times New Roman" w:hAnsi="Times New Roman"/>
          <w:sz w:val="24"/>
          <w:szCs w:val="24"/>
        </w:rPr>
        <w:t>s</w:t>
      </w:r>
      <w:r>
        <w:rPr>
          <w:rFonts w:ascii="Times New Roman" w:hAnsi="Times New Roman"/>
          <w:sz w:val="24"/>
          <w:szCs w:val="24"/>
        </w:rPr>
        <w:t xml:space="preserve"> reflect a “best case” scenario. For example, if we cannot commence the Test Run on-time or must revise the survey materials based on the r</w:t>
      </w:r>
      <w:r w:rsidRPr="00A15285">
        <w:rPr>
          <w:rFonts w:ascii="Times New Roman" w:hAnsi="Times New Roman"/>
          <w:sz w:val="24"/>
          <w:szCs w:val="24"/>
        </w:rPr>
        <w:t xml:space="preserve">esults of </w:t>
      </w:r>
      <w:r>
        <w:rPr>
          <w:rFonts w:ascii="Times New Roman" w:hAnsi="Times New Roman"/>
          <w:sz w:val="24"/>
          <w:szCs w:val="24"/>
        </w:rPr>
        <w:t xml:space="preserve">the </w:t>
      </w:r>
      <w:r w:rsidRPr="00A15285">
        <w:rPr>
          <w:rFonts w:ascii="Times New Roman" w:hAnsi="Times New Roman"/>
          <w:sz w:val="24"/>
          <w:szCs w:val="24"/>
        </w:rPr>
        <w:t>Test Run</w:t>
      </w:r>
      <w:r>
        <w:rPr>
          <w:rFonts w:ascii="Times New Roman" w:hAnsi="Times New Roman"/>
          <w:sz w:val="24"/>
          <w:szCs w:val="24"/>
        </w:rPr>
        <w:t>, the Principal Mailing may be delayed.</w:t>
      </w:r>
    </w:p>
    <w:p w:rsidR="007472B2" w:rsidRPr="00AE2C8A" w:rsidRDefault="007472B2" w:rsidP="004328D6">
      <w:pPr>
        <w:pStyle w:val="ListParagraph"/>
        <w:widowControl w:val="0"/>
        <w:numPr>
          <w:ilvl w:val="0"/>
          <w:numId w:val="1"/>
        </w:numPr>
        <w:spacing w:after="240" w:line="240" w:lineRule="auto"/>
        <w:rPr>
          <w:rFonts w:ascii="Times New Roman" w:hAnsi="Times New Roman"/>
          <w:b/>
          <w:sz w:val="24"/>
          <w:szCs w:val="24"/>
        </w:rPr>
      </w:pPr>
      <w:r w:rsidRPr="00AE2C8A">
        <w:rPr>
          <w:rFonts w:ascii="Times New Roman" w:hAnsi="Times New Roman"/>
          <w:b/>
          <w:sz w:val="24"/>
          <w:szCs w:val="24"/>
        </w:rPr>
        <w:t>Methods to Maximize Response</w:t>
      </w:r>
    </w:p>
    <w:p w:rsidR="007472B2" w:rsidRDefault="007472B2" w:rsidP="004328D6">
      <w:pPr>
        <w:widowControl w:val="0"/>
        <w:spacing w:after="240" w:line="240" w:lineRule="auto"/>
        <w:ind w:left="360"/>
        <w:rPr>
          <w:rFonts w:ascii="Times New Roman" w:hAnsi="Times New Roman"/>
          <w:sz w:val="24"/>
          <w:szCs w:val="24"/>
        </w:rPr>
      </w:pPr>
      <w:r w:rsidRPr="00FD46C1">
        <w:rPr>
          <w:rFonts w:ascii="Times New Roman" w:hAnsi="Times New Roman"/>
          <w:sz w:val="24"/>
          <w:szCs w:val="24"/>
        </w:rPr>
        <w:t xml:space="preserve">In order to achieve </w:t>
      </w:r>
      <w:r>
        <w:rPr>
          <w:rFonts w:ascii="Times New Roman" w:hAnsi="Times New Roman"/>
          <w:sz w:val="24"/>
          <w:szCs w:val="24"/>
        </w:rPr>
        <w:t>the</w:t>
      </w:r>
      <w:r w:rsidRPr="00FD46C1">
        <w:rPr>
          <w:rFonts w:ascii="Times New Roman" w:hAnsi="Times New Roman"/>
          <w:sz w:val="24"/>
          <w:szCs w:val="24"/>
        </w:rPr>
        <w:t xml:space="preserve"> desired </w:t>
      </w:r>
      <w:r>
        <w:rPr>
          <w:rFonts w:ascii="Times New Roman" w:hAnsi="Times New Roman"/>
          <w:sz w:val="24"/>
          <w:szCs w:val="24"/>
        </w:rPr>
        <w:t>target of 2,400</w:t>
      </w:r>
      <w:r w:rsidR="00ED6D08">
        <w:rPr>
          <w:rFonts w:ascii="Times New Roman" w:hAnsi="Times New Roman"/>
          <w:sz w:val="24"/>
          <w:szCs w:val="24"/>
        </w:rPr>
        <w:t xml:space="preserve"> respondents</w:t>
      </w:r>
      <w:r>
        <w:rPr>
          <w:rFonts w:ascii="Times New Roman" w:hAnsi="Times New Roman"/>
          <w:sz w:val="24"/>
          <w:szCs w:val="24"/>
        </w:rPr>
        <w:t xml:space="preserve"> in each phase</w:t>
      </w:r>
      <w:r w:rsidR="00ED6D08">
        <w:rPr>
          <w:rFonts w:ascii="Times New Roman" w:hAnsi="Times New Roman"/>
          <w:sz w:val="24"/>
          <w:szCs w:val="24"/>
        </w:rPr>
        <w:t xml:space="preserve"> (4,800 total respondents)</w:t>
      </w:r>
      <w:r w:rsidRPr="00FD46C1">
        <w:rPr>
          <w:rFonts w:ascii="Times New Roman" w:hAnsi="Times New Roman"/>
          <w:sz w:val="24"/>
          <w:szCs w:val="24"/>
        </w:rPr>
        <w:t xml:space="preserve">, </w:t>
      </w:r>
      <w:r>
        <w:rPr>
          <w:rFonts w:ascii="Times New Roman" w:hAnsi="Times New Roman"/>
          <w:sz w:val="24"/>
          <w:szCs w:val="24"/>
        </w:rPr>
        <w:t>the following methods will be used to maximize response rates:</w:t>
      </w:r>
    </w:p>
    <w:p w:rsidR="007472B2" w:rsidRDefault="007472B2" w:rsidP="004328D6">
      <w:pPr>
        <w:pStyle w:val="ListParagraph"/>
        <w:widowControl w:val="0"/>
        <w:numPr>
          <w:ilvl w:val="0"/>
          <w:numId w:val="39"/>
        </w:numPr>
        <w:tabs>
          <w:tab w:val="clear" w:pos="720"/>
          <w:tab w:val="num" w:pos="1080"/>
        </w:tabs>
        <w:spacing w:after="240" w:line="240" w:lineRule="auto"/>
        <w:ind w:left="1080"/>
        <w:rPr>
          <w:rFonts w:ascii="Times New Roman" w:hAnsi="Times New Roman"/>
          <w:sz w:val="24"/>
          <w:szCs w:val="24"/>
        </w:rPr>
      </w:pPr>
      <w:r>
        <w:rPr>
          <w:rFonts w:ascii="Times New Roman" w:hAnsi="Times New Roman"/>
          <w:sz w:val="24"/>
          <w:szCs w:val="24"/>
        </w:rPr>
        <w:t>The</w:t>
      </w:r>
      <w:r w:rsidRPr="00C9733C">
        <w:rPr>
          <w:rFonts w:ascii="Times New Roman" w:hAnsi="Times New Roman"/>
          <w:sz w:val="24"/>
          <w:szCs w:val="24"/>
        </w:rPr>
        <w:t xml:space="preserve"> </w:t>
      </w:r>
      <w:r>
        <w:rPr>
          <w:rFonts w:ascii="Times New Roman" w:hAnsi="Times New Roman"/>
          <w:sz w:val="24"/>
          <w:szCs w:val="24"/>
        </w:rPr>
        <w:t>cover letters</w:t>
      </w:r>
      <w:r w:rsidRPr="00C9733C">
        <w:rPr>
          <w:rFonts w:ascii="Times New Roman" w:hAnsi="Times New Roman"/>
          <w:sz w:val="24"/>
          <w:szCs w:val="24"/>
        </w:rPr>
        <w:t xml:space="preserve"> and </w:t>
      </w:r>
      <w:r>
        <w:rPr>
          <w:rFonts w:ascii="Times New Roman" w:hAnsi="Times New Roman"/>
          <w:sz w:val="24"/>
          <w:szCs w:val="24"/>
        </w:rPr>
        <w:t>surveys</w:t>
      </w:r>
      <w:r w:rsidRPr="00C9733C">
        <w:rPr>
          <w:rFonts w:ascii="Times New Roman" w:hAnsi="Times New Roman"/>
          <w:sz w:val="24"/>
          <w:szCs w:val="24"/>
        </w:rPr>
        <w:t xml:space="preserve"> will be printed on </w:t>
      </w:r>
      <w:r>
        <w:rPr>
          <w:rFonts w:ascii="Times New Roman" w:hAnsi="Times New Roman"/>
          <w:sz w:val="24"/>
          <w:szCs w:val="24"/>
        </w:rPr>
        <w:t>Treasury</w:t>
      </w:r>
      <w:r w:rsidRPr="00C9733C">
        <w:rPr>
          <w:rFonts w:ascii="Times New Roman" w:hAnsi="Times New Roman"/>
          <w:sz w:val="24"/>
          <w:szCs w:val="24"/>
        </w:rPr>
        <w:t xml:space="preserve"> letterhead, signed by a </w:t>
      </w:r>
      <w:r>
        <w:rPr>
          <w:rFonts w:ascii="Times New Roman" w:hAnsi="Times New Roman"/>
          <w:sz w:val="24"/>
          <w:szCs w:val="24"/>
        </w:rPr>
        <w:t xml:space="preserve">Treasury </w:t>
      </w:r>
      <w:r w:rsidRPr="00C9733C">
        <w:rPr>
          <w:rFonts w:ascii="Times New Roman" w:hAnsi="Times New Roman"/>
          <w:sz w:val="24"/>
          <w:szCs w:val="24"/>
        </w:rPr>
        <w:t xml:space="preserve"> official, and sent in an envelope marked with the </w:t>
      </w:r>
      <w:r>
        <w:rPr>
          <w:rFonts w:ascii="Times New Roman" w:hAnsi="Times New Roman"/>
          <w:sz w:val="24"/>
          <w:szCs w:val="24"/>
        </w:rPr>
        <w:t xml:space="preserve">Treasury </w:t>
      </w:r>
      <w:r w:rsidRPr="00C9733C">
        <w:rPr>
          <w:rFonts w:ascii="Times New Roman" w:hAnsi="Times New Roman"/>
          <w:sz w:val="24"/>
          <w:szCs w:val="24"/>
        </w:rPr>
        <w:t>logo.</w:t>
      </w:r>
    </w:p>
    <w:p w:rsidR="007472B2" w:rsidRDefault="007472B2" w:rsidP="004328D6">
      <w:pPr>
        <w:pStyle w:val="ListParagraph"/>
        <w:widowControl w:val="0"/>
        <w:numPr>
          <w:ilvl w:val="0"/>
          <w:numId w:val="39"/>
        </w:numPr>
        <w:tabs>
          <w:tab w:val="clear" w:pos="720"/>
          <w:tab w:val="num" w:pos="1080"/>
        </w:tabs>
        <w:spacing w:after="240" w:line="240" w:lineRule="auto"/>
        <w:ind w:left="1080"/>
        <w:rPr>
          <w:rFonts w:ascii="Times New Roman" w:hAnsi="Times New Roman"/>
          <w:sz w:val="24"/>
          <w:szCs w:val="24"/>
        </w:rPr>
      </w:pPr>
      <w:r>
        <w:rPr>
          <w:rFonts w:ascii="Times New Roman" w:hAnsi="Times New Roman"/>
          <w:sz w:val="24"/>
          <w:szCs w:val="24"/>
        </w:rPr>
        <w:t>The cover letters will be drafted in an engaging way that focuses on understanding the consumer mortgage process to help provide better assistance to all struggling homeowners.</w:t>
      </w:r>
    </w:p>
    <w:p w:rsidR="007472B2" w:rsidRDefault="007472B2" w:rsidP="004328D6">
      <w:pPr>
        <w:pStyle w:val="ListParagraph"/>
        <w:widowControl w:val="0"/>
        <w:numPr>
          <w:ilvl w:val="0"/>
          <w:numId w:val="39"/>
        </w:numPr>
        <w:tabs>
          <w:tab w:val="clear" w:pos="720"/>
          <w:tab w:val="num" w:pos="1080"/>
        </w:tabs>
        <w:spacing w:after="240" w:line="240" w:lineRule="auto"/>
        <w:ind w:left="1080"/>
        <w:rPr>
          <w:rFonts w:ascii="Times New Roman" w:hAnsi="Times New Roman"/>
          <w:sz w:val="24"/>
          <w:szCs w:val="24"/>
        </w:rPr>
      </w:pPr>
      <w:r>
        <w:rPr>
          <w:rFonts w:ascii="Times New Roman" w:hAnsi="Times New Roman"/>
          <w:sz w:val="24"/>
          <w:szCs w:val="24"/>
        </w:rPr>
        <w:t>The surveys</w:t>
      </w:r>
      <w:r w:rsidRPr="00C9733C">
        <w:rPr>
          <w:rFonts w:ascii="Times New Roman" w:hAnsi="Times New Roman"/>
          <w:sz w:val="24"/>
          <w:szCs w:val="24"/>
        </w:rPr>
        <w:t xml:space="preserve"> will be drafted to minimize the likelihood of even inadvertent disclosure of personally-identifiable information</w:t>
      </w:r>
      <w:r>
        <w:rPr>
          <w:rFonts w:ascii="Times New Roman" w:hAnsi="Times New Roman"/>
          <w:sz w:val="24"/>
          <w:szCs w:val="24"/>
        </w:rPr>
        <w:t>.</w:t>
      </w:r>
      <w:r w:rsidRPr="00C9733C">
        <w:rPr>
          <w:rFonts w:ascii="Times New Roman" w:hAnsi="Times New Roman"/>
          <w:sz w:val="24"/>
          <w:szCs w:val="24"/>
        </w:rPr>
        <w:t xml:space="preserve"> </w:t>
      </w:r>
    </w:p>
    <w:p w:rsidR="007472B2" w:rsidRPr="00C9733C" w:rsidRDefault="0078557B" w:rsidP="004328D6">
      <w:pPr>
        <w:pStyle w:val="ListParagraph"/>
        <w:widowControl w:val="0"/>
        <w:numPr>
          <w:ilvl w:val="0"/>
          <w:numId w:val="39"/>
        </w:numPr>
        <w:tabs>
          <w:tab w:val="clear" w:pos="720"/>
          <w:tab w:val="num" w:pos="1080"/>
        </w:tabs>
        <w:spacing w:after="240" w:line="240" w:lineRule="auto"/>
        <w:ind w:left="1080"/>
        <w:rPr>
          <w:rFonts w:ascii="Times New Roman" w:hAnsi="Times New Roman"/>
          <w:b/>
          <w:sz w:val="24"/>
          <w:szCs w:val="24"/>
        </w:rPr>
      </w:pPr>
      <w:r>
        <w:rPr>
          <w:rFonts w:ascii="Times New Roman" w:hAnsi="Times New Roman"/>
          <w:sz w:val="24"/>
          <w:szCs w:val="24"/>
        </w:rPr>
        <w:t>The</w:t>
      </w:r>
      <w:r w:rsidRPr="00C9733C">
        <w:rPr>
          <w:rFonts w:ascii="Times New Roman" w:hAnsi="Times New Roman"/>
          <w:sz w:val="24"/>
          <w:szCs w:val="24"/>
        </w:rPr>
        <w:t xml:space="preserve"> </w:t>
      </w:r>
      <w:r w:rsidR="007472B2" w:rsidRPr="00C9733C">
        <w:rPr>
          <w:rFonts w:ascii="Times New Roman" w:hAnsi="Times New Roman"/>
          <w:sz w:val="24"/>
          <w:szCs w:val="24"/>
        </w:rPr>
        <w:t xml:space="preserve">official </w:t>
      </w:r>
      <w:r>
        <w:rPr>
          <w:rFonts w:ascii="Times New Roman" w:hAnsi="Times New Roman"/>
          <w:sz w:val="24"/>
          <w:szCs w:val="24"/>
        </w:rPr>
        <w:t xml:space="preserve">MHA </w:t>
      </w:r>
      <w:r w:rsidR="007472B2" w:rsidRPr="00C9733C">
        <w:rPr>
          <w:rFonts w:ascii="Times New Roman" w:hAnsi="Times New Roman"/>
          <w:sz w:val="24"/>
          <w:szCs w:val="24"/>
        </w:rPr>
        <w:t xml:space="preserve">website will refer to the ongoing survey activity so participants can confirm its legitimacy. </w:t>
      </w:r>
    </w:p>
    <w:p w:rsidR="007472B2" w:rsidRDefault="007472B2" w:rsidP="004328D6">
      <w:pPr>
        <w:pStyle w:val="ListParagraph"/>
        <w:widowControl w:val="0"/>
        <w:spacing w:after="240" w:line="240" w:lineRule="auto"/>
        <w:rPr>
          <w:rFonts w:ascii="Times New Roman" w:hAnsi="Times New Roman"/>
          <w:sz w:val="24"/>
          <w:szCs w:val="24"/>
        </w:rPr>
      </w:pPr>
    </w:p>
    <w:p w:rsidR="007472B2" w:rsidRPr="00C9733C" w:rsidRDefault="007472B2" w:rsidP="004328D6">
      <w:pPr>
        <w:pStyle w:val="ListParagraph"/>
        <w:widowControl w:val="0"/>
        <w:numPr>
          <w:ilvl w:val="0"/>
          <w:numId w:val="1"/>
        </w:numPr>
        <w:spacing w:after="240" w:line="240" w:lineRule="auto"/>
        <w:rPr>
          <w:rFonts w:ascii="Times New Roman" w:hAnsi="Times New Roman"/>
          <w:b/>
          <w:sz w:val="24"/>
          <w:szCs w:val="24"/>
        </w:rPr>
      </w:pPr>
      <w:r w:rsidRPr="00C9733C">
        <w:rPr>
          <w:rFonts w:ascii="Times New Roman" w:hAnsi="Times New Roman"/>
          <w:b/>
          <w:sz w:val="24"/>
          <w:szCs w:val="24"/>
        </w:rPr>
        <w:t>Testing of Procedures</w:t>
      </w:r>
    </w:p>
    <w:p w:rsidR="007472B2" w:rsidRPr="00AE2C8A" w:rsidRDefault="007472B2" w:rsidP="004328D6">
      <w:pPr>
        <w:pStyle w:val="ListParagraph"/>
        <w:widowControl w:val="0"/>
        <w:spacing w:after="240" w:line="240" w:lineRule="auto"/>
        <w:ind w:left="360"/>
        <w:rPr>
          <w:rFonts w:ascii="Times New Roman" w:hAnsi="Times New Roman"/>
          <w:b/>
          <w:sz w:val="24"/>
          <w:szCs w:val="24"/>
        </w:rPr>
      </w:pPr>
      <w:r w:rsidRPr="00AE2C8A">
        <w:rPr>
          <w:rFonts w:ascii="Times New Roman" w:hAnsi="Times New Roman"/>
          <w:b/>
          <w:sz w:val="24"/>
          <w:szCs w:val="24"/>
        </w:rPr>
        <w:t xml:space="preserve"> </w:t>
      </w:r>
    </w:p>
    <w:p w:rsidR="007472B2" w:rsidRDefault="007472B2" w:rsidP="004328D6">
      <w:pPr>
        <w:pStyle w:val="ListParagraph"/>
        <w:widowControl w:val="0"/>
        <w:spacing w:after="240" w:line="240" w:lineRule="auto"/>
        <w:ind w:left="360"/>
        <w:rPr>
          <w:rFonts w:ascii="Times New Roman" w:hAnsi="Times New Roman"/>
          <w:sz w:val="24"/>
          <w:szCs w:val="24"/>
        </w:rPr>
      </w:pPr>
      <w:r>
        <w:rPr>
          <w:rFonts w:ascii="Times New Roman" w:hAnsi="Times New Roman"/>
          <w:sz w:val="24"/>
          <w:szCs w:val="24"/>
        </w:rPr>
        <w:t xml:space="preserve">For each phase a Test Run will be administered to 2,000 potential respondents before launching the Principal Mailing to a larger target homeowner population.  This Test Run will allow the Treasury to get a better sense of the response rate, to inform the number of mailings needed to achieve the desired sample size.  In addition, after each Test Run, the Treasury will review the results and have an opportunity to revise the cover letter and/or the survey for clarity, accuracy, appearance, and tone, in order to minimize cost and achieve success with the Principal Mailings. </w:t>
      </w:r>
    </w:p>
    <w:p w:rsidR="0026118A" w:rsidRDefault="0026118A" w:rsidP="0026118A">
      <w:pPr>
        <w:widowControl w:val="0"/>
        <w:autoSpaceDE w:val="0"/>
        <w:autoSpaceDN w:val="0"/>
        <w:adjustRightInd w:val="0"/>
        <w:spacing w:after="0" w:line="240" w:lineRule="auto"/>
        <w:ind w:left="360"/>
        <w:rPr>
          <w:rFonts w:ascii="Times New Roman" w:eastAsia="MS Mincho" w:hAnsi="Times New Roman"/>
          <w:color w:val="000000"/>
          <w:sz w:val="24"/>
          <w:szCs w:val="24"/>
          <w:lang w:eastAsia="ja-JP"/>
        </w:rPr>
      </w:pPr>
      <w:r>
        <w:rPr>
          <w:rFonts w:ascii="Times New Roman" w:eastAsia="MS Mincho" w:hAnsi="Times New Roman"/>
          <w:color w:val="000000"/>
          <w:sz w:val="24"/>
          <w:szCs w:val="24"/>
          <w:lang w:eastAsia="ja-JP"/>
        </w:rPr>
        <w:t>Based on the test run for phase 1 yielding a 4.9 % response rate, the Principal Mailing was conducted based on a 4.5% response rate assumption.  As a result the phase 1 survey had a   5.2% return (2,753 total re</w:t>
      </w:r>
      <w:r w:rsidR="007A04C1">
        <w:rPr>
          <w:rFonts w:ascii="Times New Roman" w:eastAsia="MS Mincho" w:hAnsi="Times New Roman"/>
          <w:color w:val="000000"/>
          <w:sz w:val="24"/>
          <w:szCs w:val="24"/>
          <w:lang w:eastAsia="ja-JP"/>
        </w:rPr>
        <w:t>s</w:t>
      </w:r>
      <w:r>
        <w:rPr>
          <w:rFonts w:ascii="Times New Roman" w:eastAsia="MS Mincho" w:hAnsi="Times New Roman"/>
          <w:color w:val="000000"/>
          <w:sz w:val="24"/>
          <w:szCs w:val="24"/>
          <w:lang w:eastAsia="ja-JP"/>
        </w:rPr>
        <w:t xml:space="preserve">ponses) surpassing our target of 2,400 for phase 1. </w:t>
      </w:r>
    </w:p>
    <w:p w:rsidR="0026118A" w:rsidRPr="00B171AF" w:rsidRDefault="0026118A" w:rsidP="004328D6">
      <w:pPr>
        <w:pStyle w:val="ListParagraph"/>
        <w:widowControl w:val="0"/>
        <w:spacing w:after="240" w:line="240" w:lineRule="auto"/>
        <w:ind w:left="360"/>
        <w:rPr>
          <w:rFonts w:ascii="Times New Roman" w:hAnsi="Times New Roman"/>
          <w:sz w:val="24"/>
          <w:szCs w:val="24"/>
        </w:rPr>
      </w:pPr>
    </w:p>
    <w:p w:rsidR="007472B2" w:rsidRDefault="007472B2" w:rsidP="004328D6">
      <w:pPr>
        <w:pStyle w:val="ListParagraph"/>
        <w:widowControl w:val="0"/>
        <w:spacing w:after="240" w:line="240" w:lineRule="auto"/>
        <w:ind w:left="360"/>
        <w:rPr>
          <w:rFonts w:ascii="Times New Roman" w:hAnsi="Times New Roman"/>
          <w:sz w:val="24"/>
          <w:szCs w:val="24"/>
        </w:rPr>
      </w:pPr>
    </w:p>
    <w:p w:rsidR="007472B2" w:rsidRPr="009F6632" w:rsidRDefault="007472B2" w:rsidP="004328D6">
      <w:pPr>
        <w:pStyle w:val="ListParagraph"/>
        <w:widowControl w:val="0"/>
        <w:numPr>
          <w:ilvl w:val="0"/>
          <w:numId w:val="1"/>
        </w:numPr>
        <w:spacing w:after="240" w:line="240" w:lineRule="auto"/>
        <w:rPr>
          <w:rFonts w:ascii="Times New Roman" w:hAnsi="Times New Roman"/>
          <w:b/>
          <w:sz w:val="24"/>
          <w:szCs w:val="24"/>
        </w:rPr>
      </w:pPr>
      <w:r>
        <w:rPr>
          <w:rFonts w:ascii="Times New Roman" w:hAnsi="Times New Roman"/>
          <w:b/>
          <w:sz w:val="24"/>
          <w:szCs w:val="24"/>
        </w:rPr>
        <w:t xml:space="preserve">Contacts </w:t>
      </w:r>
      <w:r w:rsidRPr="00AE2C8A">
        <w:rPr>
          <w:rFonts w:ascii="Times New Roman" w:hAnsi="Times New Roman"/>
          <w:b/>
          <w:sz w:val="24"/>
          <w:szCs w:val="24"/>
        </w:rPr>
        <w:t>for Statistical Aspects and Data</w:t>
      </w:r>
      <w:r>
        <w:rPr>
          <w:rFonts w:ascii="Times New Roman" w:hAnsi="Times New Roman"/>
          <w:b/>
          <w:sz w:val="24"/>
          <w:szCs w:val="24"/>
        </w:rPr>
        <w:t xml:space="preserve"> Collection</w:t>
      </w:r>
    </w:p>
    <w:p w:rsidR="007472B2" w:rsidRPr="00FA6B3A" w:rsidRDefault="007472B2" w:rsidP="004328D6">
      <w:pPr>
        <w:pStyle w:val="ListParagraph"/>
        <w:widowControl w:val="0"/>
        <w:spacing w:after="240" w:line="240" w:lineRule="auto"/>
        <w:ind w:left="0"/>
        <w:rPr>
          <w:rFonts w:ascii="Times New Roman" w:hAnsi="Times New Roman"/>
          <w:b/>
          <w:color w:val="FF0000"/>
          <w:sz w:val="24"/>
          <w:szCs w:val="24"/>
        </w:rPr>
      </w:pPr>
    </w:p>
    <w:p w:rsidR="007472B2" w:rsidRPr="00A00BA7" w:rsidRDefault="007472B2" w:rsidP="004328D6">
      <w:pPr>
        <w:pStyle w:val="ListParagraph"/>
        <w:widowControl w:val="0"/>
        <w:numPr>
          <w:ilvl w:val="0"/>
          <w:numId w:val="41"/>
        </w:numPr>
        <w:spacing w:after="240" w:line="240" w:lineRule="auto"/>
        <w:rPr>
          <w:rFonts w:ascii="Times New Roman" w:hAnsi="Times New Roman"/>
          <w:sz w:val="24"/>
          <w:szCs w:val="24"/>
        </w:rPr>
      </w:pPr>
      <w:r>
        <w:rPr>
          <w:rFonts w:ascii="Times New Roman" w:hAnsi="Times New Roman"/>
          <w:sz w:val="24"/>
          <w:szCs w:val="24"/>
        </w:rPr>
        <w:t>Emily.Haeckel@treasury.gov</w:t>
      </w:r>
    </w:p>
    <w:p w:rsidR="007472B2" w:rsidRPr="00B171AF" w:rsidRDefault="007472B2" w:rsidP="004328D6">
      <w:pPr>
        <w:pStyle w:val="ListParagraph"/>
        <w:widowControl w:val="0"/>
        <w:spacing w:after="240" w:line="240" w:lineRule="auto"/>
        <w:ind w:left="1080"/>
        <w:rPr>
          <w:rFonts w:ascii="Times New Roman" w:hAnsi="Times New Roman"/>
          <w:sz w:val="24"/>
          <w:szCs w:val="24"/>
        </w:rPr>
      </w:pPr>
    </w:p>
    <w:sectPr w:rsidR="007472B2" w:rsidRPr="00B171AF" w:rsidSect="003E7E4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5AF" w:rsidRDefault="00C415AF" w:rsidP="00AC53F1">
      <w:pPr>
        <w:spacing w:after="0" w:line="240" w:lineRule="auto"/>
      </w:pPr>
      <w:r>
        <w:separator/>
      </w:r>
    </w:p>
  </w:endnote>
  <w:endnote w:type="continuationSeparator" w:id="0">
    <w:p w:rsidR="00C415AF" w:rsidRDefault="00C415AF" w:rsidP="00AC53F1">
      <w:pPr>
        <w:spacing w:after="0" w:line="240" w:lineRule="auto"/>
      </w:pPr>
      <w:r>
        <w:continuationSeparator/>
      </w:r>
    </w:p>
  </w:endnote>
  <w:endnote w:type="continuationNotice" w:id="1">
    <w:p w:rsidR="00C415AF" w:rsidRDefault="00C415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BA" w:rsidRDefault="008E20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BA" w:rsidRDefault="008E20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BA" w:rsidRDefault="008E2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5AF" w:rsidRDefault="00C415AF" w:rsidP="00AC53F1">
      <w:pPr>
        <w:spacing w:after="0" w:line="240" w:lineRule="auto"/>
      </w:pPr>
      <w:r>
        <w:separator/>
      </w:r>
    </w:p>
  </w:footnote>
  <w:footnote w:type="continuationSeparator" w:id="0">
    <w:p w:rsidR="00C415AF" w:rsidRDefault="00C415AF" w:rsidP="00AC53F1">
      <w:pPr>
        <w:spacing w:after="0" w:line="240" w:lineRule="auto"/>
      </w:pPr>
      <w:r>
        <w:continuationSeparator/>
      </w:r>
    </w:p>
  </w:footnote>
  <w:footnote w:type="continuationNotice" w:id="1">
    <w:p w:rsidR="00C415AF" w:rsidRDefault="00C415AF">
      <w:pPr>
        <w:spacing w:after="0" w:line="240" w:lineRule="auto"/>
      </w:pPr>
    </w:p>
  </w:footnote>
  <w:footnote w:id="2">
    <w:p w:rsidR="004B2755" w:rsidRDefault="004B2755">
      <w:pPr>
        <w:pStyle w:val="FootnoteText"/>
      </w:pPr>
      <w:r>
        <w:rPr>
          <w:rStyle w:val="FootnoteReference"/>
        </w:rPr>
        <w:footnoteRef/>
      </w:r>
      <w:r>
        <w:t xml:space="preserve"> Under HAMP, a homeowner’s interest rate is reduced to as low as 2% for a period of five years. After such time, the interest rate will increase by up to one percentage point per year, until it reaches the </w:t>
      </w:r>
      <w:r w:rsidR="00A605CC">
        <w:t>prevailing market</w:t>
      </w:r>
      <w:r>
        <w:t xml:space="preserve"> </w:t>
      </w:r>
      <w:r w:rsidR="00A605CC">
        <w:t xml:space="preserve">interest </w:t>
      </w:r>
      <w:r>
        <w:t>rate at the time of the original HAMP modification. Accordingly, homeowners facing an interest rate reset will experience an increase in their monthly mortgage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BA" w:rsidRDefault="008E20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2D13" w:rsidRPr="008E20BA" w:rsidRDefault="006E2D13" w:rsidP="008E20BA">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0BA" w:rsidRDefault="008E20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1854"/>
    <w:multiLevelType w:val="hybridMultilevel"/>
    <w:tmpl w:val="E304CF9A"/>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hint="default"/>
      </w:rPr>
    </w:lvl>
    <w:lvl w:ilvl="8" w:tplc="04090005">
      <w:start w:val="1"/>
      <w:numFmt w:val="bullet"/>
      <w:lvlText w:val=""/>
      <w:lvlJc w:val="left"/>
      <w:pPr>
        <w:ind w:left="6222" w:hanging="360"/>
      </w:pPr>
      <w:rPr>
        <w:rFonts w:ascii="Wingdings" w:hAnsi="Wingdings" w:hint="default"/>
      </w:rPr>
    </w:lvl>
  </w:abstractNum>
  <w:abstractNum w:abstractNumId="1">
    <w:nsid w:val="0339543D"/>
    <w:multiLevelType w:val="hybridMultilevel"/>
    <w:tmpl w:val="E4984732"/>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hint="default"/>
      </w:rPr>
    </w:lvl>
    <w:lvl w:ilvl="8" w:tplc="04090005">
      <w:start w:val="1"/>
      <w:numFmt w:val="bullet"/>
      <w:lvlText w:val=""/>
      <w:lvlJc w:val="left"/>
      <w:pPr>
        <w:ind w:left="6222" w:hanging="360"/>
      </w:pPr>
      <w:rPr>
        <w:rFonts w:ascii="Wingdings" w:hAnsi="Wingdings" w:hint="default"/>
      </w:rPr>
    </w:lvl>
  </w:abstractNum>
  <w:abstractNum w:abstractNumId="2">
    <w:nsid w:val="05AD67DC"/>
    <w:multiLevelType w:val="hybridMultilevel"/>
    <w:tmpl w:val="782806A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BFE8E360" w:tentative="1">
      <w:start w:val="1"/>
      <w:numFmt w:val="bullet"/>
      <w:lvlText w:val=""/>
      <w:lvlJc w:val="left"/>
      <w:pPr>
        <w:tabs>
          <w:tab w:val="num" w:pos="1800"/>
        </w:tabs>
        <w:ind w:left="1800" w:hanging="360"/>
      </w:pPr>
      <w:rPr>
        <w:rFonts w:ascii="Wingdings" w:hAnsi="Wingdings" w:hint="default"/>
      </w:rPr>
    </w:lvl>
    <w:lvl w:ilvl="3" w:tplc="630AFF16" w:tentative="1">
      <w:start w:val="1"/>
      <w:numFmt w:val="bullet"/>
      <w:lvlText w:val=""/>
      <w:lvlJc w:val="left"/>
      <w:pPr>
        <w:tabs>
          <w:tab w:val="num" w:pos="2520"/>
        </w:tabs>
        <w:ind w:left="2520" w:hanging="360"/>
      </w:pPr>
      <w:rPr>
        <w:rFonts w:ascii="Wingdings" w:hAnsi="Wingdings" w:hint="default"/>
      </w:rPr>
    </w:lvl>
    <w:lvl w:ilvl="4" w:tplc="BCDCC55E" w:tentative="1">
      <w:start w:val="1"/>
      <w:numFmt w:val="bullet"/>
      <w:lvlText w:val=""/>
      <w:lvlJc w:val="left"/>
      <w:pPr>
        <w:tabs>
          <w:tab w:val="num" w:pos="3240"/>
        </w:tabs>
        <w:ind w:left="3240" w:hanging="360"/>
      </w:pPr>
      <w:rPr>
        <w:rFonts w:ascii="Wingdings" w:hAnsi="Wingdings" w:hint="default"/>
      </w:rPr>
    </w:lvl>
    <w:lvl w:ilvl="5" w:tplc="1F1CDBCA" w:tentative="1">
      <w:start w:val="1"/>
      <w:numFmt w:val="bullet"/>
      <w:lvlText w:val=""/>
      <w:lvlJc w:val="left"/>
      <w:pPr>
        <w:tabs>
          <w:tab w:val="num" w:pos="3960"/>
        </w:tabs>
        <w:ind w:left="3960" w:hanging="360"/>
      </w:pPr>
      <w:rPr>
        <w:rFonts w:ascii="Wingdings" w:hAnsi="Wingdings" w:hint="default"/>
      </w:rPr>
    </w:lvl>
    <w:lvl w:ilvl="6" w:tplc="57A60D2A" w:tentative="1">
      <w:start w:val="1"/>
      <w:numFmt w:val="bullet"/>
      <w:lvlText w:val=""/>
      <w:lvlJc w:val="left"/>
      <w:pPr>
        <w:tabs>
          <w:tab w:val="num" w:pos="4680"/>
        </w:tabs>
        <w:ind w:left="4680" w:hanging="360"/>
      </w:pPr>
      <w:rPr>
        <w:rFonts w:ascii="Wingdings" w:hAnsi="Wingdings" w:hint="default"/>
      </w:rPr>
    </w:lvl>
    <w:lvl w:ilvl="7" w:tplc="4EEADD32" w:tentative="1">
      <w:start w:val="1"/>
      <w:numFmt w:val="bullet"/>
      <w:lvlText w:val=""/>
      <w:lvlJc w:val="left"/>
      <w:pPr>
        <w:tabs>
          <w:tab w:val="num" w:pos="5400"/>
        </w:tabs>
        <w:ind w:left="5400" w:hanging="360"/>
      </w:pPr>
      <w:rPr>
        <w:rFonts w:ascii="Wingdings" w:hAnsi="Wingdings" w:hint="default"/>
      </w:rPr>
    </w:lvl>
    <w:lvl w:ilvl="8" w:tplc="5984756C" w:tentative="1">
      <w:start w:val="1"/>
      <w:numFmt w:val="bullet"/>
      <w:lvlText w:val=""/>
      <w:lvlJc w:val="left"/>
      <w:pPr>
        <w:tabs>
          <w:tab w:val="num" w:pos="6120"/>
        </w:tabs>
        <w:ind w:left="6120" w:hanging="360"/>
      </w:pPr>
      <w:rPr>
        <w:rFonts w:ascii="Wingdings" w:hAnsi="Wingdings" w:hint="default"/>
      </w:rPr>
    </w:lvl>
  </w:abstractNum>
  <w:abstractNum w:abstractNumId="3">
    <w:nsid w:val="093C61E0"/>
    <w:multiLevelType w:val="hybridMultilevel"/>
    <w:tmpl w:val="AA5AC818"/>
    <w:lvl w:ilvl="0" w:tplc="69E4C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A45A4"/>
    <w:multiLevelType w:val="hybridMultilevel"/>
    <w:tmpl w:val="398E6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16649F"/>
    <w:multiLevelType w:val="hybridMultilevel"/>
    <w:tmpl w:val="D1A4F774"/>
    <w:lvl w:ilvl="0" w:tplc="EA764B80">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0D6792B"/>
    <w:multiLevelType w:val="hybridMultilevel"/>
    <w:tmpl w:val="178EF850"/>
    <w:lvl w:ilvl="0" w:tplc="C812EE88">
      <w:start w:val="1"/>
      <w:numFmt w:val="decimal"/>
      <w:lvlText w:val="(%1)"/>
      <w:lvlJc w:val="left"/>
      <w:pPr>
        <w:tabs>
          <w:tab w:val="num" w:pos="720"/>
        </w:tabs>
        <w:ind w:left="720" w:hanging="360"/>
      </w:pPr>
      <w:rPr>
        <w:rFonts w:cs="Times New Roman" w:hint="default"/>
        <w:color w:val="FF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1591103"/>
    <w:multiLevelType w:val="hybridMultilevel"/>
    <w:tmpl w:val="B3DEDE48"/>
    <w:lvl w:ilvl="0" w:tplc="0409000F">
      <w:start w:val="1"/>
      <w:numFmt w:val="decimal"/>
      <w:lvlText w:val="%1."/>
      <w:lvlJc w:val="left"/>
      <w:pPr>
        <w:tabs>
          <w:tab w:val="num" w:pos="360"/>
        </w:tabs>
        <w:ind w:left="360" w:hanging="360"/>
      </w:pPr>
      <w:rPr>
        <w:rFonts w:cs="Times New Roman"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15C7D88"/>
    <w:multiLevelType w:val="hybridMultilevel"/>
    <w:tmpl w:val="3F94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EC05BC"/>
    <w:multiLevelType w:val="hybridMultilevel"/>
    <w:tmpl w:val="6FB62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7E66998"/>
    <w:multiLevelType w:val="hybridMultilevel"/>
    <w:tmpl w:val="D9C60556"/>
    <w:lvl w:ilvl="0" w:tplc="04090001">
      <w:start w:val="1"/>
      <w:numFmt w:val="bullet"/>
      <w:lvlText w:val=""/>
      <w:lvlJc w:val="left"/>
      <w:pPr>
        <w:ind w:left="360" w:hanging="360"/>
      </w:pPr>
      <w:rPr>
        <w:rFonts w:ascii="Symbol" w:hAnsi="Symbol" w:hint="default"/>
      </w:rPr>
    </w:lvl>
    <w:lvl w:ilvl="1" w:tplc="1E0CF5C8">
      <w:numFmt w:val="bullet"/>
      <w:lvlText w:val="•"/>
      <w:lvlJc w:val="left"/>
      <w:pPr>
        <w:ind w:left="1080" w:hanging="360"/>
      </w:pPr>
      <w:rPr>
        <w:rFonts w:ascii="Calibri" w:eastAsia="Times New Roman" w:hAnsi="Calibri" w:hint="default"/>
        <w:w w:val="13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94E577F"/>
    <w:multiLevelType w:val="hybridMultilevel"/>
    <w:tmpl w:val="D220C9D2"/>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hint="default"/>
      </w:rPr>
    </w:lvl>
    <w:lvl w:ilvl="8" w:tplc="04090005">
      <w:start w:val="1"/>
      <w:numFmt w:val="bullet"/>
      <w:lvlText w:val=""/>
      <w:lvlJc w:val="left"/>
      <w:pPr>
        <w:ind w:left="6222" w:hanging="360"/>
      </w:pPr>
      <w:rPr>
        <w:rFonts w:ascii="Wingdings" w:hAnsi="Wingdings" w:hint="default"/>
      </w:rPr>
    </w:lvl>
  </w:abstractNum>
  <w:abstractNum w:abstractNumId="12">
    <w:nsid w:val="2A6365FC"/>
    <w:multiLevelType w:val="hybridMultilevel"/>
    <w:tmpl w:val="9B8A8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C04635A"/>
    <w:multiLevelType w:val="hybridMultilevel"/>
    <w:tmpl w:val="EDF69604"/>
    <w:lvl w:ilvl="0" w:tplc="5C72D910">
      <w:start w:val="1"/>
      <w:numFmt w:val="upperLetter"/>
      <w:lvlText w:val="%1."/>
      <w:lvlJc w:val="left"/>
      <w:pPr>
        <w:ind w:left="360" w:hanging="360"/>
      </w:pPr>
      <w:rPr>
        <w:rFonts w:ascii="Times New Roman" w:hAnsi="Times New Roman" w:cs="Times New Roman" w:hint="default"/>
        <w:sz w:val="24"/>
        <w:u w:val="single"/>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2C6F5C11"/>
    <w:multiLevelType w:val="hybridMultilevel"/>
    <w:tmpl w:val="6B7AB364"/>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hint="default"/>
      </w:rPr>
    </w:lvl>
    <w:lvl w:ilvl="8" w:tplc="04090005">
      <w:start w:val="1"/>
      <w:numFmt w:val="bullet"/>
      <w:lvlText w:val=""/>
      <w:lvlJc w:val="left"/>
      <w:pPr>
        <w:ind w:left="6222" w:hanging="360"/>
      </w:pPr>
      <w:rPr>
        <w:rFonts w:ascii="Wingdings" w:hAnsi="Wingdings" w:hint="default"/>
      </w:rPr>
    </w:lvl>
  </w:abstractNum>
  <w:abstractNum w:abstractNumId="15">
    <w:nsid w:val="353B5A19"/>
    <w:multiLevelType w:val="hybridMultilevel"/>
    <w:tmpl w:val="66DC8D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EF5013"/>
    <w:multiLevelType w:val="hybridMultilevel"/>
    <w:tmpl w:val="52E0D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B7F37B9"/>
    <w:multiLevelType w:val="hybridMultilevel"/>
    <w:tmpl w:val="E5D48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B66432"/>
    <w:multiLevelType w:val="hybridMultilevel"/>
    <w:tmpl w:val="3718E41A"/>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hint="default"/>
      </w:rPr>
    </w:lvl>
    <w:lvl w:ilvl="8" w:tplc="04090005">
      <w:start w:val="1"/>
      <w:numFmt w:val="bullet"/>
      <w:lvlText w:val=""/>
      <w:lvlJc w:val="left"/>
      <w:pPr>
        <w:ind w:left="6222" w:hanging="360"/>
      </w:pPr>
      <w:rPr>
        <w:rFonts w:ascii="Wingdings" w:hAnsi="Wingdings" w:hint="default"/>
      </w:rPr>
    </w:lvl>
  </w:abstractNum>
  <w:abstractNum w:abstractNumId="19">
    <w:nsid w:val="45F17ABF"/>
    <w:multiLevelType w:val="hybridMultilevel"/>
    <w:tmpl w:val="846A8064"/>
    <w:lvl w:ilvl="0" w:tplc="E5BCDB0A">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126269"/>
    <w:multiLevelType w:val="hybridMultilevel"/>
    <w:tmpl w:val="655C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B04B3F"/>
    <w:multiLevelType w:val="hybridMultilevel"/>
    <w:tmpl w:val="CD560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CE775D2"/>
    <w:multiLevelType w:val="hybridMultilevel"/>
    <w:tmpl w:val="C0C4B10C"/>
    <w:lvl w:ilvl="0" w:tplc="E5BCDB0A">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D44505"/>
    <w:multiLevelType w:val="hybridMultilevel"/>
    <w:tmpl w:val="2976F0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80343BC"/>
    <w:multiLevelType w:val="hybridMultilevel"/>
    <w:tmpl w:val="CE529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8225D03"/>
    <w:multiLevelType w:val="hybridMultilevel"/>
    <w:tmpl w:val="2CE4B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E4E3116"/>
    <w:multiLevelType w:val="hybridMultilevel"/>
    <w:tmpl w:val="EA9A9888"/>
    <w:lvl w:ilvl="0" w:tplc="1C82FE0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FEF22B4"/>
    <w:multiLevelType w:val="hybridMultilevel"/>
    <w:tmpl w:val="F58E0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3B145CD"/>
    <w:multiLevelType w:val="hybridMultilevel"/>
    <w:tmpl w:val="34BC91F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645C5694"/>
    <w:multiLevelType w:val="hybridMultilevel"/>
    <w:tmpl w:val="50649342"/>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hint="default"/>
      </w:rPr>
    </w:lvl>
    <w:lvl w:ilvl="8" w:tplc="04090005">
      <w:start w:val="1"/>
      <w:numFmt w:val="bullet"/>
      <w:lvlText w:val=""/>
      <w:lvlJc w:val="left"/>
      <w:pPr>
        <w:ind w:left="6222" w:hanging="360"/>
      </w:pPr>
      <w:rPr>
        <w:rFonts w:ascii="Wingdings" w:hAnsi="Wingdings" w:hint="default"/>
      </w:rPr>
    </w:lvl>
  </w:abstractNum>
  <w:abstractNum w:abstractNumId="30">
    <w:nsid w:val="64B11F47"/>
    <w:multiLevelType w:val="hybridMultilevel"/>
    <w:tmpl w:val="47DE6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4E26ECA"/>
    <w:multiLevelType w:val="hybridMultilevel"/>
    <w:tmpl w:val="2272F5D8"/>
    <w:lvl w:ilvl="0" w:tplc="04090001">
      <w:start w:val="1"/>
      <w:numFmt w:val="bullet"/>
      <w:lvlText w:val=""/>
      <w:lvlJc w:val="left"/>
      <w:pPr>
        <w:ind w:left="462" w:hanging="360"/>
      </w:pPr>
      <w:rPr>
        <w:rFonts w:ascii="Symbol" w:hAnsi="Symbol" w:hint="default"/>
      </w:rPr>
    </w:lvl>
    <w:lvl w:ilvl="1" w:tplc="04090003">
      <w:start w:val="1"/>
      <w:numFmt w:val="bullet"/>
      <w:lvlText w:val="o"/>
      <w:lvlJc w:val="left"/>
      <w:pPr>
        <w:ind w:left="1182" w:hanging="360"/>
      </w:pPr>
      <w:rPr>
        <w:rFonts w:ascii="Courier New" w:hAnsi="Courier New" w:hint="default"/>
      </w:rPr>
    </w:lvl>
    <w:lvl w:ilvl="2" w:tplc="04090005">
      <w:start w:val="1"/>
      <w:numFmt w:val="bullet"/>
      <w:lvlText w:val=""/>
      <w:lvlJc w:val="left"/>
      <w:pPr>
        <w:ind w:left="1902" w:hanging="360"/>
      </w:pPr>
      <w:rPr>
        <w:rFonts w:ascii="Wingdings" w:hAnsi="Wingdings" w:hint="default"/>
      </w:rPr>
    </w:lvl>
    <w:lvl w:ilvl="3" w:tplc="04090001">
      <w:start w:val="1"/>
      <w:numFmt w:val="bullet"/>
      <w:lvlText w:val=""/>
      <w:lvlJc w:val="left"/>
      <w:pPr>
        <w:ind w:left="2622" w:hanging="360"/>
      </w:pPr>
      <w:rPr>
        <w:rFonts w:ascii="Symbol" w:hAnsi="Symbol" w:hint="default"/>
      </w:rPr>
    </w:lvl>
    <w:lvl w:ilvl="4" w:tplc="04090003">
      <w:start w:val="1"/>
      <w:numFmt w:val="bullet"/>
      <w:lvlText w:val="o"/>
      <w:lvlJc w:val="left"/>
      <w:pPr>
        <w:ind w:left="3342" w:hanging="360"/>
      </w:pPr>
      <w:rPr>
        <w:rFonts w:ascii="Courier New" w:hAnsi="Courier New" w:hint="default"/>
      </w:rPr>
    </w:lvl>
    <w:lvl w:ilvl="5" w:tplc="04090005">
      <w:start w:val="1"/>
      <w:numFmt w:val="bullet"/>
      <w:lvlText w:val=""/>
      <w:lvlJc w:val="left"/>
      <w:pPr>
        <w:ind w:left="4062" w:hanging="360"/>
      </w:pPr>
      <w:rPr>
        <w:rFonts w:ascii="Wingdings" w:hAnsi="Wingdings" w:hint="default"/>
      </w:rPr>
    </w:lvl>
    <w:lvl w:ilvl="6" w:tplc="04090001">
      <w:start w:val="1"/>
      <w:numFmt w:val="bullet"/>
      <w:lvlText w:val=""/>
      <w:lvlJc w:val="left"/>
      <w:pPr>
        <w:ind w:left="4782" w:hanging="360"/>
      </w:pPr>
      <w:rPr>
        <w:rFonts w:ascii="Symbol" w:hAnsi="Symbol" w:hint="default"/>
      </w:rPr>
    </w:lvl>
    <w:lvl w:ilvl="7" w:tplc="04090003">
      <w:start w:val="1"/>
      <w:numFmt w:val="bullet"/>
      <w:lvlText w:val="o"/>
      <w:lvlJc w:val="left"/>
      <w:pPr>
        <w:ind w:left="5502" w:hanging="360"/>
      </w:pPr>
      <w:rPr>
        <w:rFonts w:ascii="Courier New" w:hAnsi="Courier New" w:hint="default"/>
      </w:rPr>
    </w:lvl>
    <w:lvl w:ilvl="8" w:tplc="04090005">
      <w:start w:val="1"/>
      <w:numFmt w:val="bullet"/>
      <w:lvlText w:val=""/>
      <w:lvlJc w:val="left"/>
      <w:pPr>
        <w:ind w:left="6222" w:hanging="360"/>
      </w:pPr>
      <w:rPr>
        <w:rFonts w:ascii="Wingdings" w:hAnsi="Wingdings" w:hint="default"/>
      </w:rPr>
    </w:lvl>
  </w:abstractNum>
  <w:abstractNum w:abstractNumId="32">
    <w:nsid w:val="65A40A4F"/>
    <w:multiLevelType w:val="hybridMultilevel"/>
    <w:tmpl w:val="4C7CB828"/>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hint="default"/>
      </w:rPr>
    </w:lvl>
    <w:lvl w:ilvl="2" w:tplc="BFE8E360" w:tentative="1">
      <w:start w:val="1"/>
      <w:numFmt w:val="bullet"/>
      <w:lvlText w:val=""/>
      <w:lvlJc w:val="left"/>
      <w:pPr>
        <w:tabs>
          <w:tab w:val="num" w:pos="2160"/>
        </w:tabs>
        <w:ind w:left="2160" w:hanging="360"/>
      </w:pPr>
      <w:rPr>
        <w:rFonts w:ascii="Wingdings" w:hAnsi="Wingdings" w:hint="default"/>
      </w:rPr>
    </w:lvl>
    <w:lvl w:ilvl="3" w:tplc="630AFF16" w:tentative="1">
      <w:start w:val="1"/>
      <w:numFmt w:val="bullet"/>
      <w:lvlText w:val=""/>
      <w:lvlJc w:val="left"/>
      <w:pPr>
        <w:tabs>
          <w:tab w:val="num" w:pos="2880"/>
        </w:tabs>
        <w:ind w:left="2880" w:hanging="360"/>
      </w:pPr>
      <w:rPr>
        <w:rFonts w:ascii="Wingdings" w:hAnsi="Wingdings" w:hint="default"/>
      </w:rPr>
    </w:lvl>
    <w:lvl w:ilvl="4" w:tplc="BCDCC55E" w:tentative="1">
      <w:start w:val="1"/>
      <w:numFmt w:val="bullet"/>
      <w:lvlText w:val=""/>
      <w:lvlJc w:val="left"/>
      <w:pPr>
        <w:tabs>
          <w:tab w:val="num" w:pos="3600"/>
        </w:tabs>
        <w:ind w:left="3600" w:hanging="360"/>
      </w:pPr>
      <w:rPr>
        <w:rFonts w:ascii="Wingdings" w:hAnsi="Wingdings" w:hint="default"/>
      </w:rPr>
    </w:lvl>
    <w:lvl w:ilvl="5" w:tplc="1F1CDBCA" w:tentative="1">
      <w:start w:val="1"/>
      <w:numFmt w:val="bullet"/>
      <w:lvlText w:val=""/>
      <w:lvlJc w:val="left"/>
      <w:pPr>
        <w:tabs>
          <w:tab w:val="num" w:pos="4320"/>
        </w:tabs>
        <w:ind w:left="4320" w:hanging="360"/>
      </w:pPr>
      <w:rPr>
        <w:rFonts w:ascii="Wingdings" w:hAnsi="Wingdings" w:hint="default"/>
      </w:rPr>
    </w:lvl>
    <w:lvl w:ilvl="6" w:tplc="57A60D2A" w:tentative="1">
      <w:start w:val="1"/>
      <w:numFmt w:val="bullet"/>
      <w:lvlText w:val=""/>
      <w:lvlJc w:val="left"/>
      <w:pPr>
        <w:tabs>
          <w:tab w:val="num" w:pos="5040"/>
        </w:tabs>
        <w:ind w:left="5040" w:hanging="360"/>
      </w:pPr>
      <w:rPr>
        <w:rFonts w:ascii="Wingdings" w:hAnsi="Wingdings" w:hint="default"/>
      </w:rPr>
    </w:lvl>
    <w:lvl w:ilvl="7" w:tplc="4EEADD32" w:tentative="1">
      <w:start w:val="1"/>
      <w:numFmt w:val="bullet"/>
      <w:lvlText w:val=""/>
      <w:lvlJc w:val="left"/>
      <w:pPr>
        <w:tabs>
          <w:tab w:val="num" w:pos="5760"/>
        </w:tabs>
        <w:ind w:left="5760" w:hanging="360"/>
      </w:pPr>
      <w:rPr>
        <w:rFonts w:ascii="Wingdings" w:hAnsi="Wingdings" w:hint="default"/>
      </w:rPr>
    </w:lvl>
    <w:lvl w:ilvl="8" w:tplc="5984756C" w:tentative="1">
      <w:start w:val="1"/>
      <w:numFmt w:val="bullet"/>
      <w:lvlText w:val=""/>
      <w:lvlJc w:val="left"/>
      <w:pPr>
        <w:tabs>
          <w:tab w:val="num" w:pos="6480"/>
        </w:tabs>
        <w:ind w:left="6480" w:hanging="360"/>
      </w:pPr>
      <w:rPr>
        <w:rFonts w:ascii="Wingdings" w:hAnsi="Wingdings" w:hint="default"/>
      </w:rPr>
    </w:lvl>
  </w:abstractNum>
  <w:abstractNum w:abstractNumId="33">
    <w:nsid w:val="67FF6FCC"/>
    <w:multiLevelType w:val="hybridMultilevel"/>
    <w:tmpl w:val="8952A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6C2C2389"/>
    <w:multiLevelType w:val="hybridMultilevel"/>
    <w:tmpl w:val="03565BF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72EC24FB"/>
    <w:multiLevelType w:val="hybridMultilevel"/>
    <w:tmpl w:val="D14E1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53D6BFD"/>
    <w:multiLevelType w:val="hybridMultilevel"/>
    <w:tmpl w:val="68422AC8"/>
    <w:lvl w:ilvl="0" w:tplc="8070B2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B9B4EBB"/>
    <w:multiLevelType w:val="hybridMultilevel"/>
    <w:tmpl w:val="57362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BF54190"/>
    <w:multiLevelType w:val="hybridMultilevel"/>
    <w:tmpl w:val="C496511C"/>
    <w:lvl w:ilvl="0" w:tplc="E5BCDB0A">
      <w:numFmt w:val="bullet"/>
      <w:lvlText w:val="•"/>
      <w:lvlJc w:val="left"/>
      <w:pPr>
        <w:ind w:left="1080" w:hanging="72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5C61A4"/>
    <w:multiLevelType w:val="hybridMultilevel"/>
    <w:tmpl w:val="27323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ED21CBD"/>
    <w:multiLevelType w:val="hybridMultilevel"/>
    <w:tmpl w:val="664A82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7"/>
  </w:num>
  <w:num w:numId="2">
    <w:abstractNumId w:val="13"/>
  </w:num>
  <w:num w:numId="3">
    <w:abstractNumId w:val="8"/>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7"/>
  </w:num>
  <w:num w:numId="8">
    <w:abstractNumId w:val="21"/>
  </w:num>
  <w:num w:numId="9">
    <w:abstractNumId w:val="24"/>
  </w:num>
  <w:num w:numId="10">
    <w:abstractNumId w:val="39"/>
  </w:num>
  <w:num w:numId="11">
    <w:abstractNumId w:val="30"/>
  </w:num>
  <w:num w:numId="12">
    <w:abstractNumId w:val="33"/>
  </w:num>
  <w:num w:numId="13">
    <w:abstractNumId w:val="9"/>
  </w:num>
  <w:num w:numId="14">
    <w:abstractNumId w:val="16"/>
  </w:num>
  <w:num w:numId="15">
    <w:abstractNumId w:val="18"/>
  </w:num>
  <w:num w:numId="16">
    <w:abstractNumId w:val="1"/>
  </w:num>
  <w:num w:numId="17">
    <w:abstractNumId w:val="11"/>
  </w:num>
  <w:num w:numId="18">
    <w:abstractNumId w:val="29"/>
  </w:num>
  <w:num w:numId="19">
    <w:abstractNumId w:val="0"/>
  </w:num>
  <w:num w:numId="20">
    <w:abstractNumId w:val="31"/>
  </w:num>
  <w:num w:numId="21">
    <w:abstractNumId w:val="14"/>
  </w:num>
  <w:num w:numId="22">
    <w:abstractNumId w:val="12"/>
  </w:num>
  <w:num w:numId="23">
    <w:abstractNumId w:val="35"/>
  </w:num>
  <w:num w:numId="24">
    <w:abstractNumId w:val="40"/>
  </w:num>
  <w:num w:numId="25">
    <w:abstractNumId w:val="24"/>
  </w:num>
  <w:num w:numId="26">
    <w:abstractNumId w:val="33"/>
  </w:num>
  <w:num w:numId="27">
    <w:abstractNumId w:val="20"/>
  </w:num>
  <w:num w:numId="28">
    <w:abstractNumId w:val="39"/>
  </w:num>
  <w:num w:numId="29">
    <w:abstractNumId w:val="9"/>
  </w:num>
  <w:num w:numId="30">
    <w:abstractNumId w:val="16"/>
  </w:num>
  <w:num w:numId="31">
    <w:abstractNumId w:val="4"/>
  </w:num>
  <w:num w:numId="32">
    <w:abstractNumId w:val="17"/>
  </w:num>
  <w:num w:numId="33">
    <w:abstractNumId w:val="22"/>
  </w:num>
  <w:num w:numId="34">
    <w:abstractNumId w:val="38"/>
  </w:num>
  <w:num w:numId="35">
    <w:abstractNumId w:val="19"/>
  </w:num>
  <w:num w:numId="36">
    <w:abstractNumId w:val="25"/>
  </w:num>
  <w:num w:numId="37">
    <w:abstractNumId w:val="2"/>
  </w:num>
  <w:num w:numId="38">
    <w:abstractNumId w:val="32"/>
  </w:num>
  <w:num w:numId="39">
    <w:abstractNumId w:val="37"/>
  </w:num>
  <w:num w:numId="40">
    <w:abstractNumId w:val="15"/>
  </w:num>
  <w:num w:numId="41">
    <w:abstractNumId w:val="23"/>
  </w:num>
  <w:num w:numId="42">
    <w:abstractNumId w:val="6"/>
  </w:num>
  <w:num w:numId="43">
    <w:abstractNumId w:val="26"/>
  </w:num>
  <w:num w:numId="44">
    <w:abstractNumId w:val="5"/>
  </w:num>
  <w:num w:numId="45">
    <w:abstractNumId w:val="36"/>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BA"/>
    <w:rsid w:val="0001094E"/>
    <w:rsid w:val="00012FA2"/>
    <w:rsid w:val="00014BC6"/>
    <w:rsid w:val="000249A4"/>
    <w:rsid w:val="000312AD"/>
    <w:rsid w:val="0003348E"/>
    <w:rsid w:val="00037ACC"/>
    <w:rsid w:val="0004026C"/>
    <w:rsid w:val="00060384"/>
    <w:rsid w:val="00061253"/>
    <w:rsid w:val="000640EA"/>
    <w:rsid w:val="00064D0D"/>
    <w:rsid w:val="00077F1E"/>
    <w:rsid w:val="000A25CA"/>
    <w:rsid w:val="000A5DCD"/>
    <w:rsid w:val="000B04A1"/>
    <w:rsid w:val="000B2C11"/>
    <w:rsid w:val="000C0AF6"/>
    <w:rsid w:val="000C6D1A"/>
    <w:rsid w:val="000C7F37"/>
    <w:rsid w:val="000D521A"/>
    <w:rsid w:val="000E63CE"/>
    <w:rsid w:val="000E71D8"/>
    <w:rsid w:val="000F0FE3"/>
    <w:rsid w:val="000F2B04"/>
    <w:rsid w:val="000F6C75"/>
    <w:rsid w:val="00100260"/>
    <w:rsid w:val="0010446E"/>
    <w:rsid w:val="00106022"/>
    <w:rsid w:val="00110A68"/>
    <w:rsid w:val="00117224"/>
    <w:rsid w:val="00124CE6"/>
    <w:rsid w:val="00137BCF"/>
    <w:rsid w:val="00142797"/>
    <w:rsid w:val="00152CAE"/>
    <w:rsid w:val="00153E04"/>
    <w:rsid w:val="001567CF"/>
    <w:rsid w:val="00163DB1"/>
    <w:rsid w:val="0016634D"/>
    <w:rsid w:val="00167B4A"/>
    <w:rsid w:val="001743B0"/>
    <w:rsid w:val="001829E3"/>
    <w:rsid w:val="00193641"/>
    <w:rsid w:val="00195F69"/>
    <w:rsid w:val="00197FCB"/>
    <w:rsid w:val="001A004B"/>
    <w:rsid w:val="001A1C9F"/>
    <w:rsid w:val="001A55F9"/>
    <w:rsid w:val="001A5D12"/>
    <w:rsid w:val="001A7CC8"/>
    <w:rsid w:val="001B10AB"/>
    <w:rsid w:val="001B10D2"/>
    <w:rsid w:val="001B1C7A"/>
    <w:rsid w:val="001B1F56"/>
    <w:rsid w:val="001B2902"/>
    <w:rsid w:val="001B7482"/>
    <w:rsid w:val="001C2BAC"/>
    <w:rsid w:val="001C35EC"/>
    <w:rsid w:val="001D2DEF"/>
    <w:rsid w:val="001E1829"/>
    <w:rsid w:val="001F0A23"/>
    <w:rsid w:val="001F425A"/>
    <w:rsid w:val="001F7043"/>
    <w:rsid w:val="00205018"/>
    <w:rsid w:val="00210607"/>
    <w:rsid w:val="00210DCE"/>
    <w:rsid w:val="00211D50"/>
    <w:rsid w:val="002125DC"/>
    <w:rsid w:val="00216B7F"/>
    <w:rsid w:val="002207D5"/>
    <w:rsid w:val="00222893"/>
    <w:rsid w:val="0024073D"/>
    <w:rsid w:val="002408BC"/>
    <w:rsid w:val="002450D0"/>
    <w:rsid w:val="002471A2"/>
    <w:rsid w:val="002551EB"/>
    <w:rsid w:val="0026118A"/>
    <w:rsid w:val="00261F74"/>
    <w:rsid w:val="002740FD"/>
    <w:rsid w:val="00277611"/>
    <w:rsid w:val="002923A3"/>
    <w:rsid w:val="00297BA2"/>
    <w:rsid w:val="002A133D"/>
    <w:rsid w:val="002A21D3"/>
    <w:rsid w:val="002A257D"/>
    <w:rsid w:val="002A7FE3"/>
    <w:rsid w:val="002B3B44"/>
    <w:rsid w:val="002B68EB"/>
    <w:rsid w:val="002C63DB"/>
    <w:rsid w:val="002D6DEB"/>
    <w:rsid w:val="002E2500"/>
    <w:rsid w:val="002F03EC"/>
    <w:rsid w:val="002F6BFA"/>
    <w:rsid w:val="00302289"/>
    <w:rsid w:val="003024E8"/>
    <w:rsid w:val="0030573D"/>
    <w:rsid w:val="00313C52"/>
    <w:rsid w:val="00323B3F"/>
    <w:rsid w:val="00325F9B"/>
    <w:rsid w:val="00331591"/>
    <w:rsid w:val="00331E07"/>
    <w:rsid w:val="00362DAD"/>
    <w:rsid w:val="003639AB"/>
    <w:rsid w:val="00370151"/>
    <w:rsid w:val="00383663"/>
    <w:rsid w:val="00385A84"/>
    <w:rsid w:val="0039421C"/>
    <w:rsid w:val="003B43D9"/>
    <w:rsid w:val="003C2090"/>
    <w:rsid w:val="003C421A"/>
    <w:rsid w:val="003C5B6E"/>
    <w:rsid w:val="003D4C15"/>
    <w:rsid w:val="003E03DC"/>
    <w:rsid w:val="003E270C"/>
    <w:rsid w:val="003E7174"/>
    <w:rsid w:val="003E7191"/>
    <w:rsid w:val="003E7E4F"/>
    <w:rsid w:val="004043E8"/>
    <w:rsid w:val="0041355B"/>
    <w:rsid w:val="004140E5"/>
    <w:rsid w:val="00423A23"/>
    <w:rsid w:val="004268F4"/>
    <w:rsid w:val="004328D6"/>
    <w:rsid w:val="00435882"/>
    <w:rsid w:val="004413FF"/>
    <w:rsid w:val="00442AC7"/>
    <w:rsid w:val="00444EAC"/>
    <w:rsid w:val="00445196"/>
    <w:rsid w:val="004453AF"/>
    <w:rsid w:val="00456968"/>
    <w:rsid w:val="004602DB"/>
    <w:rsid w:val="004637BD"/>
    <w:rsid w:val="00464043"/>
    <w:rsid w:val="004733BA"/>
    <w:rsid w:val="004756E1"/>
    <w:rsid w:val="00484119"/>
    <w:rsid w:val="004B067A"/>
    <w:rsid w:val="004B2755"/>
    <w:rsid w:val="004B317F"/>
    <w:rsid w:val="004B3CF2"/>
    <w:rsid w:val="004C04B1"/>
    <w:rsid w:val="004D1D72"/>
    <w:rsid w:val="004D5011"/>
    <w:rsid w:val="004D51F7"/>
    <w:rsid w:val="004E25BA"/>
    <w:rsid w:val="004E665D"/>
    <w:rsid w:val="004F46B3"/>
    <w:rsid w:val="00502787"/>
    <w:rsid w:val="00504E22"/>
    <w:rsid w:val="00512DB6"/>
    <w:rsid w:val="0051427A"/>
    <w:rsid w:val="00522973"/>
    <w:rsid w:val="005233F1"/>
    <w:rsid w:val="00525AFD"/>
    <w:rsid w:val="00532B38"/>
    <w:rsid w:val="0053645F"/>
    <w:rsid w:val="00545499"/>
    <w:rsid w:val="0054592B"/>
    <w:rsid w:val="00557A2B"/>
    <w:rsid w:val="00592F93"/>
    <w:rsid w:val="0059782D"/>
    <w:rsid w:val="005A7CE2"/>
    <w:rsid w:val="005C2D6A"/>
    <w:rsid w:val="005C512D"/>
    <w:rsid w:val="005E40DC"/>
    <w:rsid w:val="005E4D5C"/>
    <w:rsid w:val="006000B6"/>
    <w:rsid w:val="00606EED"/>
    <w:rsid w:val="00610990"/>
    <w:rsid w:val="00611B84"/>
    <w:rsid w:val="0061587A"/>
    <w:rsid w:val="006343EC"/>
    <w:rsid w:val="00645172"/>
    <w:rsid w:val="006479C7"/>
    <w:rsid w:val="00662E8B"/>
    <w:rsid w:val="00663808"/>
    <w:rsid w:val="00673C0F"/>
    <w:rsid w:val="00682AB5"/>
    <w:rsid w:val="006A1764"/>
    <w:rsid w:val="006A266D"/>
    <w:rsid w:val="006B3051"/>
    <w:rsid w:val="006B5671"/>
    <w:rsid w:val="006B6C64"/>
    <w:rsid w:val="006B766D"/>
    <w:rsid w:val="006C7A8E"/>
    <w:rsid w:val="006D61FF"/>
    <w:rsid w:val="006E22B3"/>
    <w:rsid w:val="006E2D13"/>
    <w:rsid w:val="00700E57"/>
    <w:rsid w:val="0070350C"/>
    <w:rsid w:val="00705D14"/>
    <w:rsid w:val="00707685"/>
    <w:rsid w:val="007107CD"/>
    <w:rsid w:val="00717954"/>
    <w:rsid w:val="00721B12"/>
    <w:rsid w:val="00722B6E"/>
    <w:rsid w:val="007304E8"/>
    <w:rsid w:val="00740DB5"/>
    <w:rsid w:val="00743A7A"/>
    <w:rsid w:val="00745F3D"/>
    <w:rsid w:val="007472B2"/>
    <w:rsid w:val="007475A8"/>
    <w:rsid w:val="00750F17"/>
    <w:rsid w:val="007558BC"/>
    <w:rsid w:val="00756962"/>
    <w:rsid w:val="00760602"/>
    <w:rsid w:val="0076287E"/>
    <w:rsid w:val="00763171"/>
    <w:rsid w:val="0076674E"/>
    <w:rsid w:val="00770747"/>
    <w:rsid w:val="00771FBB"/>
    <w:rsid w:val="00772903"/>
    <w:rsid w:val="0078557B"/>
    <w:rsid w:val="00793DD1"/>
    <w:rsid w:val="00793F00"/>
    <w:rsid w:val="00794332"/>
    <w:rsid w:val="007944AC"/>
    <w:rsid w:val="007A04C1"/>
    <w:rsid w:val="007B56B4"/>
    <w:rsid w:val="007B7A59"/>
    <w:rsid w:val="007C16A9"/>
    <w:rsid w:val="007D0783"/>
    <w:rsid w:val="007D1FAA"/>
    <w:rsid w:val="007D219F"/>
    <w:rsid w:val="007F0688"/>
    <w:rsid w:val="007F5984"/>
    <w:rsid w:val="0080336C"/>
    <w:rsid w:val="0081061B"/>
    <w:rsid w:val="008142E4"/>
    <w:rsid w:val="008211FE"/>
    <w:rsid w:val="00836EFC"/>
    <w:rsid w:val="00837166"/>
    <w:rsid w:val="008476AC"/>
    <w:rsid w:val="00847896"/>
    <w:rsid w:val="008504A2"/>
    <w:rsid w:val="00851DBD"/>
    <w:rsid w:val="00856260"/>
    <w:rsid w:val="008649B8"/>
    <w:rsid w:val="00865FBC"/>
    <w:rsid w:val="008725C3"/>
    <w:rsid w:val="0088061E"/>
    <w:rsid w:val="008872DD"/>
    <w:rsid w:val="008A063C"/>
    <w:rsid w:val="008A2114"/>
    <w:rsid w:val="008A6DF6"/>
    <w:rsid w:val="008A7879"/>
    <w:rsid w:val="008B16FC"/>
    <w:rsid w:val="008B3978"/>
    <w:rsid w:val="008C5A7D"/>
    <w:rsid w:val="008D0639"/>
    <w:rsid w:val="008D0ADE"/>
    <w:rsid w:val="008D0CEF"/>
    <w:rsid w:val="008D25A2"/>
    <w:rsid w:val="008D441B"/>
    <w:rsid w:val="008D7DD9"/>
    <w:rsid w:val="008E1AA5"/>
    <w:rsid w:val="008E20BA"/>
    <w:rsid w:val="008E7215"/>
    <w:rsid w:val="00910D65"/>
    <w:rsid w:val="00915698"/>
    <w:rsid w:val="00917C42"/>
    <w:rsid w:val="00922528"/>
    <w:rsid w:val="00942EDF"/>
    <w:rsid w:val="00957E83"/>
    <w:rsid w:val="00960E50"/>
    <w:rsid w:val="00961E9F"/>
    <w:rsid w:val="00965AC4"/>
    <w:rsid w:val="0096727D"/>
    <w:rsid w:val="00977B6A"/>
    <w:rsid w:val="009808EF"/>
    <w:rsid w:val="00984AE0"/>
    <w:rsid w:val="00987B43"/>
    <w:rsid w:val="009A4698"/>
    <w:rsid w:val="009B13F7"/>
    <w:rsid w:val="009C0DCD"/>
    <w:rsid w:val="009C2904"/>
    <w:rsid w:val="009C6434"/>
    <w:rsid w:val="009C6B46"/>
    <w:rsid w:val="009D1FD2"/>
    <w:rsid w:val="009D64F4"/>
    <w:rsid w:val="009E2A74"/>
    <w:rsid w:val="009E632C"/>
    <w:rsid w:val="009F6632"/>
    <w:rsid w:val="00A00BA7"/>
    <w:rsid w:val="00A05164"/>
    <w:rsid w:val="00A12D14"/>
    <w:rsid w:val="00A14049"/>
    <w:rsid w:val="00A15285"/>
    <w:rsid w:val="00A172B2"/>
    <w:rsid w:val="00A23A91"/>
    <w:rsid w:val="00A25972"/>
    <w:rsid w:val="00A32F2E"/>
    <w:rsid w:val="00A35041"/>
    <w:rsid w:val="00A35847"/>
    <w:rsid w:val="00A35C10"/>
    <w:rsid w:val="00A35FE9"/>
    <w:rsid w:val="00A36392"/>
    <w:rsid w:val="00A37C97"/>
    <w:rsid w:val="00A42C60"/>
    <w:rsid w:val="00A44204"/>
    <w:rsid w:val="00A45188"/>
    <w:rsid w:val="00A50AE2"/>
    <w:rsid w:val="00A53FF5"/>
    <w:rsid w:val="00A605CC"/>
    <w:rsid w:val="00A61B42"/>
    <w:rsid w:val="00A71D42"/>
    <w:rsid w:val="00A72A19"/>
    <w:rsid w:val="00AA1CEE"/>
    <w:rsid w:val="00AA1CF9"/>
    <w:rsid w:val="00AC037C"/>
    <w:rsid w:val="00AC05E4"/>
    <w:rsid w:val="00AC53F1"/>
    <w:rsid w:val="00AD0F33"/>
    <w:rsid w:val="00AD30D3"/>
    <w:rsid w:val="00AD6C51"/>
    <w:rsid w:val="00AE22DB"/>
    <w:rsid w:val="00AE2C8A"/>
    <w:rsid w:val="00AE2F2F"/>
    <w:rsid w:val="00AE6855"/>
    <w:rsid w:val="00AF7EA8"/>
    <w:rsid w:val="00B0202C"/>
    <w:rsid w:val="00B05066"/>
    <w:rsid w:val="00B06C99"/>
    <w:rsid w:val="00B13BF1"/>
    <w:rsid w:val="00B16E9B"/>
    <w:rsid w:val="00B171AF"/>
    <w:rsid w:val="00B27388"/>
    <w:rsid w:val="00B370E8"/>
    <w:rsid w:val="00B45292"/>
    <w:rsid w:val="00B66287"/>
    <w:rsid w:val="00B6657B"/>
    <w:rsid w:val="00B766C6"/>
    <w:rsid w:val="00B803D2"/>
    <w:rsid w:val="00BA4B91"/>
    <w:rsid w:val="00BB34AA"/>
    <w:rsid w:val="00BB519E"/>
    <w:rsid w:val="00BC5A1B"/>
    <w:rsid w:val="00BC789B"/>
    <w:rsid w:val="00BD6A5E"/>
    <w:rsid w:val="00BD7503"/>
    <w:rsid w:val="00BE59BA"/>
    <w:rsid w:val="00BF78A0"/>
    <w:rsid w:val="00C02E3C"/>
    <w:rsid w:val="00C059F1"/>
    <w:rsid w:val="00C10F48"/>
    <w:rsid w:val="00C14EE8"/>
    <w:rsid w:val="00C17DF3"/>
    <w:rsid w:val="00C218ED"/>
    <w:rsid w:val="00C415AF"/>
    <w:rsid w:val="00C541AD"/>
    <w:rsid w:val="00C62515"/>
    <w:rsid w:val="00C62CB9"/>
    <w:rsid w:val="00C65542"/>
    <w:rsid w:val="00C74538"/>
    <w:rsid w:val="00C76C65"/>
    <w:rsid w:val="00C811D9"/>
    <w:rsid w:val="00C82461"/>
    <w:rsid w:val="00C84822"/>
    <w:rsid w:val="00C90062"/>
    <w:rsid w:val="00C9633A"/>
    <w:rsid w:val="00C9733C"/>
    <w:rsid w:val="00CA79F6"/>
    <w:rsid w:val="00CC5E9B"/>
    <w:rsid w:val="00CD23CA"/>
    <w:rsid w:val="00CE35CE"/>
    <w:rsid w:val="00CF0AC3"/>
    <w:rsid w:val="00CF7F15"/>
    <w:rsid w:val="00D01C77"/>
    <w:rsid w:val="00D05C03"/>
    <w:rsid w:val="00D073AD"/>
    <w:rsid w:val="00D11035"/>
    <w:rsid w:val="00D13CFA"/>
    <w:rsid w:val="00D20DA9"/>
    <w:rsid w:val="00D218F1"/>
    <w:rsid w:val="00D320B2"/>
    <w:rsid w:val="00D35EF8"/>
    <w:rsid w:val="00D43F18"/>
    <w:rsid w:val="00D470FD"/>
    <w:rsid w:val="00D6065E"/>
    <w:rsid w:val="00D607C2"/>
    <w:rsid w:val="00D656E9"/>
    <w:rsid w:val="00D710CF"/>
    <w:rsid w:val="00D7251C"/>
    <w:rsid w:val="00D97761"/>
    <w:rsid w:val="00DA17F6"/>
    <w:rsid w:val="00DA28F2"/>
    <w:rsid w:val="00DA5B7C"/>
    <w:rsid w:val="00DB396B"/>
    <w:rsid w:val="00DC626C"/>
    <w:rsid w:val="00DD0D82"/>
    <w:rsid w:val="00DD1BE9"/>
    <w:rsid w:val="00DD7596"/>
    <w:rsid w:val="00DE0CD2"/>
    <w:rsid w:val="00DE611C"/>
    <w:rsid w:val="00DE73E1"/>
    <w:rsid w:val="00E01A9F"/>
    <w:rsid w:val="00E04E13"/>
    <w:rsid w:val="00E10E85"/>
    <w:rsid w:val="00E13B25"/>
    <w:rsid w:val="00E14099"/>
    <w:rsid w:val="00E147CC"/>
    <w:rsid w:val="00E2798A"/>
    <w:rsid w:val="00E33B58"/>
    <w:rsid w:val="00E4022A"/>
    <w:rsid w:val="00E45503"/>
    <w:rsid w:val="00E533EB"/>
    <w:rsid w:val="00E67FB4"/>
    <w:rsid w:val="00E71C82"/>
    <w:rsid w:val="00E73974"/>
    <w:rsid w:val="00E80049"/>
    <w:rsid w:val="00E8038D"/>
    <w:rsid w:val="00E850C4"/>
    <w:rsid w:val="00E85D64"/>
    <w:rsid w:val="00E918AD"/>
    <w:rsid w:val="00EA04B8"/>
    <w:rsid w:val="00EA6746"/>
    <w:rsid w:val="00EB13E0"/>
    <w:rsid w:val="00EB378F"/>
    <w:rsid w:val="00ED3EC2"/>
    <w:rsid w:val="00ED6D08"/>
    <w:rsid w:val="00EE046D"/>
    <w:rsid w:val="00EE3D48"/>
    <w:rsid w:val="00EE3EAA"/>
    <w:rsid w:val="00EF64C2"/>
    <w:rsid w:val="00F07E41"/>
    <w:rsid w:val="00F123E9"/>
    <w:rsid w:val="00F2108E"/>
    <w:rsid w:val="00F218BC"/>
    <w:rsid w:val="00F237A5"/>
    <w:rsid w:val="00F30C08"/>
    <w:rsid w:val="00F3246F"/>
    <w:rsid w:val="00F33B23"/>
    <w:rsid w:val="00F414B8"/>
    <w:rsid w:val="00F45E8A"/>
    <w:rsid w:val="00F4662E"/>
    <w:rsid w:val="00F473F7"/>
    <w:rsid w:val="00F501E3"/>
    <w:rsid w:val="00F516EC"/>
    <w:rsid w:val="00F531C2"/>
    <w:rsid w:val="00F54046"/>
    <w:rsid w:val="00F730A9"/>
    <w:rsid w:val="00F74C7F"/>
    <w:rsid w:val="00F762B6"/>
    <w:rsid w:val="00F82C7D"/>
    <w:rsid w:val="00F840F7"/>
    <w:rsid w:val="00F858A5"/>
    <w:rsid w:val="00F8786D"/>
    <w:rsid w:val="00F97CCE"/>
    <w:rsid w:val="00FA6B3A"/>
    <w:rsid w:val="00FC5C30"/>
    <w:rsid w:val="00FD4243"/>
    <w:rsid w:val="00FD46C1"/>
    <w:rsid w:val="00FD619A"/>
    <w:rsid w:val="00FE03D9"/>
    <w:rsid w:val="00FF3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Calibri" w:eastAsia="Times New Roman" w:hAnsi="Calibri"/>
      <w:sz w:val="22"/>
      <w:szCs w:val="22"/>
    </w:rPr>
  </w:style>
  <w:style w:type="paragraph" w:styleId="Heading1">
    <w:name w:val="heading 1"/>
    <w:basedOn w:val="Normal"/>
    <w:next w:val="Normal"/>
    <w:link w:val="Heading1Char"/>
    <w:uiPriority w:val="99"/>
    <w:qFormat/>
    <w:locked/>
    <w:rsid w:val="00CA79F6"/>
    <w:pPr>
      <w:keepNext/>
      <w:spacing w:before="240" w:after="60"/>
      <w:outlineLvl w:val="0"/>
    </w:pPr>
    <w:rPr>
      <w:rFonts w:ascii="Cambria" w:eastAsia="Calibri" w:hAnsi="Cambria"/>
      <w:b/>
      <w:kern w:val="32"/>
      <w:sz w:val="32"/>
      <w:szCs w:val="20"/>
      <w:lang w:eastAsia="ja-JP"/>
    </w:rPr>
  </w:style>
  <w:style w:type="paragraph" w:styleId="Heading2">
    <w:name w:val="heading 2"/>
    <w:basedOn w:val="Normal"/>
    <w:next w:val="Normal"/>
    <w:link w:val="Heading2Char"/>
    <w:uiPriority w:val="99"/>
    <w:qFormat/>
    <w:rsid w:val="00A35C10"/>
    <w:pPr>
      <w:spacing w:before="240" w:after="80"/>
      <w:outlineLvl w:val="1"/>
    </w:pPr>
    <w:rPr>
      <w:rFonts w:eastAsia="Calibri"/>
      <w:smallCaps/>
      <w:spacing w:val="5"/>
      <w:sz w:val="28"/>
      <w:szCs w:val="20"/>
      <w:lang w:eastAsia="ja-JP"/>
    </w:rPr>
  </w:style>
  <w:style w:type="paragraph" w:styleId="Heading3">
    <w:name w:val="heading 3"/>
    <w:basedOn w:val="Normal"/>
    <w:next w:val="Normal"/>
    <w:link w:val="Heading3Char"/>
    <w:uiPriority w:val="99"/>
    <w:qFormat/>
    <w:rsid w:val="00A35C10"/>
    <w:pPr>
      <w:spacing w:after="0"/>
      <w:outlineLvl w:val="2"/>
    </w:pPr>
    <w:rPr>
      <w:rFonts w:eastAsia="Calibri"/>
      <w:smallCap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063C"/>
    <w:rPr>
      <w:rFonts w:ascii="Cambria" w:hAnsi="Cambria"/>
      <w:b/>
      <w:kern w:val="32"/>
      <w:sz w:val="32"/>
    </w:rPr>
  </w:style>
  <w:style w:type="character" w:customStyle="1" w:styleId="Heading2Char">
    <w:name w:val="Heading 2 Char"/>
    <w:basedOn w:val="DefaultParagraphFont"/>
    <w:link w:val="Heading2"/>
    <w:uiPriority w:val="99"/>
    <w:locked/>
    <w:rsid w:val="00A35C10"/>
    <w:rPr>
      <w:rFonts w:ascii="Calibri" w:hAnsi="Calibri"/>
      <w:smallCaps/>
      <w:spacing w:val="5"/>
      <w:sz w:val="28"/>
    </w:rPr>
  </w:style>
  <w:style w:type="character" w:customStyle="1" w:styleId="Heading3Char">
    <w:name w:val="Heading 3 Char"/>
    <w:basedOn w:val="DefaultParagraphFont"/>
    <w:link w:val="Heading3"/>
    <w:uiPriority w:val="99"/>
    <w:locked/>
    <w:rsid w:val="00A35C10"/>
    <w:rPr>
      <w:rFonts w:ascii="Calibri" w:hAnsi="Calibri"/>
      <w:smallCaps/>
      <w:spacing w:val="5"/>
    </w:rPr>
  </w:style>
  <w:style w:type="paragraph" w:styleId="BalloonText">
    <w:name w:val="Balloon Text"/>
    <w:basedOn w:val="Normal"/>
    <w:link w:val="BalloonTextChar"/>
    <w:uiPriority w:val="99"/>
    <w:semiHidden/>
    <w:rsid w:val="00F840F7"/>
    <w:pPr>
      <w:spacing w:after="0" w:line="240" w:lineRule="auto"/>
    </w:pPr>
    <w:rPr>
      <w:rFonts w:ascii="Tahoma" w:eastAsia="Calibri" w:hAnsi="Tahoma"/>
      <w:sz w:val="16"/>
      <w:szCs w:val="20"/>
      <w:lang w:eastAsia="ja-JP"/>
    </w:rPr>
  </w:style>
  <w:style w:type="character" w:customStyle="1" w:styleId="BalloonTextChar">
    <w:name w:val="Balloon Text Char"/>
    <w:basedOn w:val="DefaultParagraphFont"/>
    <w:link w:val="BalloonText"/>
    <w:uiPriority w:val="99"/>
    <w:semiHidden/>
    <w:locked/>
    <w:rsid w:val="00F840F7"/>
    <w:rPr>
      <w:rFonts w:ascii="Tahoma" w:hAnsi="Tahoma"/>
      <w:sz w:val="16"/>
    </w:rPr>
  </w:style>
  <w:style w:type="paragraph" w:styleId="ListParagraph">
    <w:name w:val="List Paragraph"/>
    <w:basedOn w:val="Normal"/>
    <w:uiPriority w:val="99"/>
    <w:qFormat/>
    <w:rsid w:val="004733BA"/>
    <w:pPr>
      <w:ind w:left="720"/>
      <w:contextualSpacing/>
    </w:pPr>
  </w:style>
  <w:style w:type="paragraph" w:styleId="Header">
    <w:name w:val="header"/>
    <w:basedOn w:val="Normal"/>
    <w:link w:val="HeaderChar"/>
    <w:uiPriority w:val="99"/>
    <w:semiHidden/>
    <w:rsid w:val="004733BA"/>
    <w:pPr>
      <w:tabs>
        <w:tab w:val="center" w:pos="4680"/>
        <w:tab w:val="right" w:pos="9360"/>
      </w:tabs>
      <w:spacing w:after="0" w:line="240" w:lineRule="auto"/>
    </w:pPr>
    <w:rPr>
      <w:rFonts w:eastAsia="Calibri"/>
      <w:szCs w:val="20"/>
      <w:lang w:eastAsia="ja-JP"/>
    </w:rPr>
  </w:style>
  <w:style w:type="character" w:customStyle="1" w:styleId="HeaderChar">
    <w:name w:val="Header Char"/>
    <w:basedOn w:val="DefaultParagraphFont"/>
    <w:link w:val="Header"/>
    <w:uiPriority w:val="99"/>
    <w:semiHidden/>
    <w:locked/>
    <w:rsid w:val="004733BA"/>
    <w:rPr>
      <w:rFonts w:ascii="Calibri" w:hAnsi="Calibri"/>
      <w:sz w:val="22"/>
    </w:rPr>
  </w:style>
  <w:style w:type="paragraph" w:styleId="BodyTextIndent3">
    <w:name w:val="Body Text Indent 3"/>
    <w:basedOn w:val="Normal"/>
    <w:link w:val="BodyTextIndent3Char"/>
    <w:uiPriority w:val="99"/>
    <w:semiHidden/>
    <w:rsid w:val="004733BA"/>
    <w:pPr>
      <w:tabs>
        <w:tab w:val="left" w:pos="360"/>
      </w:tabs>
      <w:spacing w:after="0" w:line="240" w:lineRule="auto"/>
      <w:ind w:left="360" w:hanging="360"/>
    </w:pPr>
    <w:rPr>
      <w:rFonts w:ascii="Tahoma" w:eastAsia="Calibri" w:hAnsi="Tahoma"/>
      <w:sz w:val="20"/>
      <w:szCs w:val="20"/>
      <w:lang w:eastAsia="ja-JP"/>
    </w:rPr>
  </w:style>
  <w:style w:type="character" w:customStyle="1" w:styleId="BodyTextIndent3Char">
    <w:name w:val="Body Text Indent 3 Char"/>
    <w:basedOn w:val="DefaultParagraphFont"/>
    <w:link w:val="BodyTextIndent3"/>
    <w:uiPriority w:val="99"/>
    <w:semiHidden/>
    <w:locked/>
    <w:rsid w:val="004733BA"/>
    <w:rPr>
      <w:rFonts w:ascii="Tahoma" w:hAnsi="Tahoma"/>
      <w:sz w:val="20"/>
    </w:rPr>
  </w:style>
  <w:style w:type="paragraph" w:styleId="FootnoteText">
    <w:name w:val="footnote text"/>
    <w:basedOn w:val="Normal"/>
    <w:link w:val="FootnoteTextChar"/>
    <w:uiPriority w:val="99"/>
    <w:rsid w:val="00A35C10"/>
    <w:pPr>
      <w:jc w:val="both"/>
    </w:pPr>
    <w:rPr>
      <w:rFonts w:eastAsia="Calibri"/>
      <w:sz w:val="20"/>
      <w:szCs w:val="20"/>
      <w:lang w:eastAsia="ja-JP"/>
    </w:rPr>
  </w:style>
  <w:style w:type="character" w:customStyle="1" w:styleId="FootnoteTextChar">
    <w:name w:val="Footnote Text Char"/>
    <w:basedOn w:val="DefaultParagraphFont"/>
    <w:link w:val="FootnoteText"/>
    <w:uiPriority w:val="99"/>
    <w:locked/>
    <w:rsid w:val="00A35C10"/>
    <w:rPr>
      <w:rFonts w:ascii="Calibri" w:hAnsi="Calibri"/>
      <w:sz w:val="20"/>
    </w:rPr>
  </w:style>
  <w:style w:type="character" w:styleId="FootnoteReference">
    <w:name w:val="footnote reference"/>
    <w:basedOn w:val="DefaultParagraphFont"/>
    <w:uiPriority w:val="99"/>
    <w:rsid w:val="00A35C10"/>
    <w:rPr>
      <w:rFonts w:cs="Times New Roman"/>
      <w:vertAlign w:val="superscript"/>
    </w:rPr>
  </w:style>
  <w:style w:type="character" w:styleId="Hyperlink">
    <w:name w:val="Hyperlink"/>
    <w:basedOn w:val="DefaultParagraphFont"/>
    <w:uiPriority w:val="99"/>
    <w:rsid w:val="00F840F7"/>
    <w:rPr>
      <w:rFonts w:cs="Times New Roman"/>
      <w:color w:val="0000FF"/>
      <w:u w:val="single"/>
    </w:rPr>
  </w:style>
  <w:style w:type="character" w:styleId="SubtleEmphasis">
    <w:name w:val="Subtle Emphasis"/>
    <w:basedOn w:val="DefaultParagraphFont"/>
    <w:uiPriority w:val="99"/>
    <w:qFormat/>
    <w:rsid w:val="00F840F7"/>
    <w:rPr>
      <w:i/>
    </w:rPr>
  </w:style>
  <w:style w:type="character" w:customStyle="1" w:styleId="value">
    <w:name w:val="value"/>
    <w:uiPriority w:val="99"/>
    <w:rsid w:val="00F840F7"/>
  </w:style>
  <w:style w:type="character" w:styleId="CommentReference">
    <w:name w:val="annotation reference"/>
    <w:basedOn w:val="DefaultParagraphFont"/>
    <w:uiPriority w:val="99"/>
    <w:semiHidden/>
    <w:rsid w:val="00960E50"/>
    <w:rPr>
      <w:rFonts w:cs="Times New Roman"/>
      <w:sz w:val="16"/>
    </w:rPr>
  </w:style>
  <w:style w:type="paragraph" w:styleId="CommentText">
    <w:name w:val="annotation text"/>
    <w:basedOn w:val="Normal"/>
    <w:link w:val="CommentTextChar"/>
    <w:uiPriority w:val="99"/>
    <w:semiHidden/>
    <w:rsid w:val="00960E50"/>
    <w:pPr>
      <w:spacing w:line="240" w:lineRule="auto"/>
    </w:pPr>
    <w:rPr>
      <w:rFonts w:eastAsia="Calibri"/>
      <w:sz w:val="20"/>
      <w:szCs w:val="20"/>
      <w:lang w:eastAsia="ja-JP"/>
    </w:rPr>
  </w:style>
  <w:style w:type="character" w:customStyle="1" w:styleId="CommentTextChar">
    <w:name w:val="Comment Text Char"/>
    <w:basedOn w:val="DefaultParagraphFont"/>
    <w:link w:val="CommentText"/>
    <w:uiPriority w:val="99"/>
    <w:semiHidden/>
    <w:locked/>
    <w:rsid w:val="00960E50"/>
    <w:rPr>
      <w:rFonts w:ascii="Calibri" w:hAnsi="Calibri"/>
      <w:sz w:val="20"/>
    </w:rPr>
  </w:style>
  <w:style w:type="paragraph" w:styleId="CommentSubject">
    <w:name w:val="annotation subject"/>
    <w:basedOn w:val="CommentText"/>
    <w:next w:val="CommentText"/>
    <w:link w:val="CommentSubjectChar"/>
    <w:uiPriority w:val="99"/>
    <w:semiHidden/>
    <w:rsid w:val="00960E50"/>
    <w:rPr>
      <w:b/>
    </w:rPr>
  </w:style>
  <w:style w:type="character" w:customStyle="1" w:styleId="CommentSubjectChar">
    <w:name w:val="Comment Subject Char"/>
    <w:basedOn w:val="CommentTextChar"/>
    <w:link w:val="CommentSubject"/>
    <w:uiPriority w:val="99"/>
    <w:semiHidden/>
    <w:locked/>
    <w:rsid w:val="00960E50"/>
    <w:rPr>
      <w:rFonts w:ascii="Calibri" w:hAnsi="Calibri"/>
      <w:b/>
      <w:sz w:val="20"/>
    </w:rPr>
  </w:style>
  <w:style w:type="paragraph" w:customStyle="1" w:styleId="Default">
    <w:name w:val="Default"/>
    <w:rsid w:val="00A36392"/>
    <w:pPr>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rsid w:val="00C74538"/>
    <w:pPr>
      <w:tabs>
        <w:tab w:val="center" w:pos="4680"/>
        <w:tab w:val="right" w:pos="9360"/>
      </w:tabs>
      <w:spacing w:after="0" w:line="240" w:lineRule="auto"/>
    </w:pPr>
    <w:rPr>
      <w:rFonts w:eastAsia="Calibri"/>
      <w:sz w:val="20"/>
      <w:szCs w:val="20"/>
      <w:lang w:eastAsia="ja-JP"/>
    </w:rPr>
  </w:style>
  <w:style w:type="character" w:customStyle="1" w:styleId="FooterChar">
    <w:name w:val="Footer Char"/>
    <w:basedOn w:val="DefaultParagraphFont"/>
    <w:link w:val="Footer"/>
    <w:uiPriority w:val="99"/>
    <w:locked/>
    <w:rsid w:val="00C74538"/>
    <w:rPr>
      <w:rFonts w:ascii="Calibri" w:hAnsi="Calibri"/>
    </w:rPr>
  </w:style>
  <w:style w:type="paragraph" w:styleId="NormalWeb">
    <w:name w:val="Normal (Web)"/>
    <w:basedOn w:val="Normal"/>
    <w:uiPriority w:val="99"/>
    <w:rsid w:val="00743A7A"/>
    <w:pPr>
      <w:spacing w:before="100" w:beforeAutospacing="1" w:after="100" w:afterAutospacing="1" w:line="240" w:lineRule="auto"/>
    </w:pPr>
    <w:rPr>
      <w:rFonts w:ascii="Times New Roman" w:eastAsia="MS Mincho" w:hAnsi="Times New Roman"/>
      <w:color w:val="000000"/>
      <w:sz w:val="24"/>
      <w:szCs w:val="24"/>
      <w:lang w:eastAsia="ja-JP"/>
    </w:rPr>
  </w:style>
  <w:style w:type="table" w:styleId="TableGrid">
    <w:name w:val="Table Grid"/>
    <w:basedOn w:val="TableNormal"/>
    <w:uiPriority w:val="99"/>
    <w:locked/>
    <w:rsid w:val="00A25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Calibri" w:eastAsia="Times New Roman" w:hAnsi="Calibri"/>
      <w:sz w:val="22"/>
      <w:szCs w:val="22"/>
    </w:rPr>
  </w:style>
  <w:style w:type="paragraph" w:styleId="Heading1">
    <w:name w:val="heading 1"/>
    <w:basedOn w:val="Normal"/>
    <w:next w:val="Normal"/>
    <w:link w:val="Heading1Char"/>
    <w:uiPriority w:val="99"/>
    <w:qFormat/>
    <w:locked/>
    <w:rsid w:val="00CA79F6"/>
    <w:pPr>
      <w:keepNext/>
      <w:spacing w:before="240" w:after="60"/>
      <w:outlineLvl w:val="0"/>
    </w:pPr>
    <w:rPr>
      <w:rFonts w:ascii="Cambria" w:eastAsia="Calibri" w:hAnsi="Cambria"/>
      <w:b/>
      <w:kern w:val="32"/>
      <w:sz w:val="32"/>
      <w:szCs w:val="20"/>
      <w:lang w:eastAsia="ja-JP"/>
    </w:rPr>
  </w:style>
  <w:style w:type="paragraph" w:styleId="Heading2">
    <w:name w:val="heading 2"/>
    <w:basedOn w:val="Normal"/>
    <w:next w:val="Normal"/>
    <w:link w:val="Heading2Char"/>
    <w:uiPriority w:val="99"/>
    <w:qFormat/>
    <w:rsid w:val="00A35C10"/>
    <w:pPr>
      <w:spacing w:before="240" w:after="80"/>
      <w:outlineLvl w:val="1"/>
    </w:pPr>
    <w:rPr>
      <w:rFonts w:eastAsia="Calibri"/>
      <w:smallCaps/>
      <w:spacing w:val="5"/>
      <w:sz w:val="28"/>
      <w:szCs w:val="20"/>
      <w:lang w:eastAsia="ja-JP"/>
    </w:rPr>
  </w:style>
  <w:style w:type="paragraph" w:styleId="Heading3">
    <w:name w:val="heading 3"/>
    <w:basedOn w:val="Normal"/>
    <w:next w:val="Normal"/>
    <w:link w:val="Heading3Char"/>
    <w:uiPriority w:val="99"/>
    <w:qFormat/>
    <w:rsid w:val="00A35C10"/>
    <w:pPr>
      <w:spacing w:after="0"/>
      <w:outlineLvl w:val="2"/>
    </w:pPr>
    <w:rPr>
      <w:rFonts w:eastAsia="Calibri"/>
      <w:smallCaps/>
      <w:spacing w:val="5"/>
      <w:sz w:val="20"/>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063C"/>
    <w:rPr>
      <w:rFonts w:ascii="Cambria" w:hAnsi="Cambria"/>
      <w:b/>
      <w:kern w:val="32"/>
      <w:sz w:val="32"/>
    </w:rPr>
  </w:style>
  <w:style w:type="character" w:customStyle="1" w:styleId="Heading2Char">
    <w:name w:val="Heading 2 Char"/>
    <w:basedOn w:val="DefaultParagraphFont"/>
    <w:link w:val="Heading2"/>
    <w:uiPriority w:val="99"/>
    <w:locked/>
    <w:rsid w:val="00A35C10"/>
    <w:rPr>
      <w:rFonts w:ascii="Calibri" w:hAnsi="Calibri"/>
      <w:smallCaps/>
      <w:spacing w:val="5"/>
      <w:sz w:val="28"/>
    </w:rPr>
  </w:style>
  <w:style w:type="character" w:customStyle="1" w:styleId="Heading3Char">
    <w:name w:val="Heading 3 Char"/>
    <w:basedOn w:val="DefaultParagraphFont"/>
    <w:link w:val="Heading3"/>
    <w:uiPriority w:val="99"/>
    <w:locked/>
    <w:rsid w:val="00A35C10"/>
    <w:rPr>
      <w:rFonts w:ascii="Calibri" w:hAnsi="Calibri"/>
      <w:smallCaps/>
      <w:spacing w:val="5"/>
    </w:rPr>
  </w:style>
  <w:style w:type="paragraph" w:styleId="BalloonText">
    <w:name w:val="Balloon Text"/>
    <w:basedOn w:val="Normal"/>
    <w:link w:val="BalloonTextChar"/>
    <w:uiPriority w:val="99"/>
    <w:semiHidden/>
    <w:rsid w:val="00F840F7"/>
    <w:pPr>
      <w:spacing w:after="0" w:line="240" w:lineRule="auto"/>
    </w:pPr>
    <w:rPr>
      <w:rFonts w:ascii="Tahoma" w:eastAsia="Calibri" w:hAnsi="Tahoma"/>
      <w:sz w:val="16"/>
      <w:szCs w:val="20"/>
      <w:lang w:eastAsia="ja-JP"/>
    </w:rPr>
  </w:style>
  <w:style w:type="character" w:customStyle="1" w:styleId="BalloonTextChar">
    <w:name w:val="Balloon Text Char"/>
    <w:basedOn w:val="DefaultParagraphFont"/>
    <w:link w:val="BalloonText"/>
    <w:uiPriority w:val="99"/>
    <w:semiHidden/>
    <w:locked/>
    <w:rsid w:val="00F840F7"/>
    <w:rPr>
      <w:rFonts w:ascii="Tahoma" w:hAnsi="Tahoma"/>
      <w:sz w:val="16"/>
    </w:rPr>
  </w:style>
  <w:style w:type="paragraph" w:styleId="ListParagraph">
    <w:name w:val="List Paragraph"/>
    <w:basedOn w:val="Normal"/>
    <w:uiPriority w:val="99"/>
    <w:qFormat/>
    <w:rsid w:val="004733BA"/>
    <w:pPr>
      <w:ind w:left="720"/>
      <w:contextualSpacing/>
    </w:pPr>
  </w:style>
  <w:style w:type="paragraph" w:styleId="Header">
    <w:name w:val="header"/>
    <w:basedOn w:val="Normal"/>
    <w:link w:val="HeaderChar"/>
    <w:uiPriority w:val="99"/>
    <w:semiHidden/>
    <w:rsid w:val="004733BA"/>
    <w:pPr>
      <w:tabs>
        <w:tab w:val="center" w:pos="4680"/>
        <w:tab w:val="right" w:pos="9360"/>
      </w:tabs>
      <w:spacing w:after="0" w:line="240" w:lineRule="auto"/>
    </w:pPr>
    <w:rPr>
      <w:rFonts w:eastAsia="Calibri"/>
      <w:szCs w:val="20"/>
      <w:lang w:eastAsia="ja-JP"/>
    </w:rPr>
  </w:style>
  <w:style w:type="character" w:customStyle="1" w:styleId="HeaderChar">
    <w:name w:val="Header Char"/>
    <w:basedOn w:val="DefaultParagraphFont"/>
    <w:link w:val="Header"/>
    <w:uiPriority w:val="99"/>
    <w:semiHidden/>
    <w:locked/>
    <w:rsid w:val="004733BA"/>
    <w:rPr>
      <w:rFonts w:ascii="Calibri" w:hAnsi="Calibri"/>
      <w:sz w:val="22"/>
    </w:rPr>
  </w:style>
  <w:style w:type="paragraph" w:styleId="BodyTextIndent3">
    <w:name w:val="Body Text Indent 3"/>
    <w:basedOn w:val="Normal"/>
    <w:link w:val="BodyTextIndent3Char"/>
    <w:uiPriority w:val="99"/>
    <w:semiHidden/>
    <w:rsid w:val="004733BA"/>
    <w:pPr>
      <w:tabs>
        <w:tab w:val="left" w:pos="360"/>
      </w:tabs>
      <w:spacing w:after="0" w:line="240" w:lineRule="auto"/>
      <w:ind w:left="360" w:hanging="360"/>
    </w:pPr>
    <w:rPr>
      <w:rFonts w:ascii="Tahoma" w:eastAsia="Calibri" w:hAnsi="Tahoma"/>
      <w:sz w:val="20"/>
      <w:szCs w:val="20"/>
      <w:lang w:eastAsia="ja-JP"/>
    </w:rPr>
  </w:style>
  <w:style w:type="character" w:customStyle="1" w:styleId="BodyTextIndent3Char">
    <w:name w:val="Body Text Indent 3 Char"/>
    <w:basedOn w:val="DefaultParagraphFont"/>
    <w:link w:val="BodyTextIndent3"/>
    <w:uiPriority w:val="99"/>
    <w:semiHidden/>
    <w:locked/>
    <w:rsid w:val="004733BA"/>
    <w:rPr>
      <w:rFonts w:ascii="Tahoma" w:hAnsi="Tahoma"/>
      <w:sz w:val="20"/>
    </w:rPr>
  </w:style>
  <w:style w:type="paragraph" w:styleId="FootnoteText">
    <w:name w:val="footnote text"/>
    <w:basedOn w:val="Normal"/>
    <w:link w:val="FootnoteTextChar"/>
    <w:uiPriority w:val="99"/>
    <w:rsid w:val="00A35C10"/>
    <w:pPr>
      <w:jc w:val="both"/>
    </w:pPr>
    <w:rPr>
      <w:rFonts w:eastAsia="Calibri"/>
      <w:sz w:val="20"/>
      <w:szCs w:val="20"/>
      <w:lang w:eastAsia="ja-JP"/>
    </w:rPr>
  </w:style>
  <w:style w:type="character" w:customStyle="1" w:styleId="FootnoteTextChar">
    <w:name w:val="Footnote Text Char"/>
    <w:basedOn w:val="DefaultParagraphFont"/>
    <w:link w:val="FootnoteText"/>
    <w:uiPriority w:val="99"/>
    <w:locked/>
    <w:rsid w:val="00A35C10"/>
    <w:rPr>
      <w:rFonts w:ascii="Calibri" w:hAnsi="Calibri"/>
      <w:sz w:val="20"/>
    </w:rPr>
  </w:style>
  <w:style w:type="character" w:styleId="FootnoteReference">
    <w:name w:val="footnote reference"/>
    <w:basedOn w:val="DefaultParagraphFont"/>
    <w:uiPriority w:val="99"/>
    <w:rsid w:val="00A35C10"/>
    <w:rPr>
      <w:rFonts w:cs="Times New Roman"/>
      <w:vertAlign w:val="superscript"/>
    </w:rPr>
  </w:style>
  <w:style w:type="character" w:styleId="Hyperlink">
    <w:name w:val="Hyperlink"/>
    <w:basedOn w:val="DefaultParagraphFont"/>
    <w:uiPriority w:val="99"/>
    <w:rsid w:val="00F840F7"/>
    <w:rPr>
      <w:rFonts w:cs="Times New Roman"/>
      <w:color w:val="0000FF"/>
      <w:u w:val="single"/>
    </w:rPr>
  </w:style>
  <w:style w:type="character" w:styleId="SubtleEmphasis">
    <w:name w:val="Subtle Emphasis"/>
    <w:basedOn w:val="DefaultParagraphFont"/>
    <w:uiPriority w:val="99"/>
    <w:qFormat/>
    <w:rsid w:val="00F840F7"/>
    <w:rPr>
      <w:i/>
    </w:rPr>
  </w:style>
  <w:style w:type="character" w:customStyle="1" w:styleId="value">
    <w:name w:val="value"/>
    <w:uiPriority w:val="99"/>
    <w:rsid w:val="00F840F7"/>
  </w:style>
  <w:style w:type="character" w:styleId="CommentReference">
    <w:name w:val="annotation reference"/>
    <w:basedOn w:val="DefaultParagraphFont"/>
    <w:uiPriority w:val="99"/>
    <w:semiHidden/>
    <w:rsid w:val="00960E50"/>
    <w:rPr>
      <w:rFonts w:cs="Times New Roman"/>
      <w:sz w:val="16"/>
    </w:rPr>
  </w:style>
  <w:style w:type="paragraph" w:styleId="CommentText">
    <w:name w:val="annotation text"/>
    <w:basedOn w:val="Normal"/>
    <w:link w:val="CommentTextChar"/>
    <w:uiPriority w:val="99"/>
    <w:semiHidden/>
    <w:rsid w:val="00960E50"/>
    <w:pPr>
      <w:spacing w:line="240" w:lineRule="auto"/>
    </w:pPr>
    <w:rPr>
      <w:rFonts w:eastAsia="Calibri"/>
      <w:sz w:val="20"/>
      <w:szCs w:val="20"/>
      <w:lang w:eastAsia="ja-JP"/>
    </w:rPr>
  </w:style>
  <w:style w:type="character" w:customStyle="1" w:styleId="CommentTextChar">
    <w:name w:val="Comment Text Char"/>
    <w:basedOn w:val="DefaultParagraphFont"/>
    <w:link w:val="CommentText"/>
    <w:uiPriority w:val="99"/>
    <w:semiHidden/>
    <w:locked/>
    <w:rsid w:val="00960E50"/>
    <w:rPr>
      <w:rFonts w:ascii="Calibri" w:hAnsi="Calibri"/>
      <w:sz w:val="20"/>
    </w:rPr>
  </w:style>
  <w:style w:type="paragraph" w:styleId="CommentSubject">
    <w:name w:val="annotation subject"/>
    <w:basedOn w:val="CommentText"/>
    <w:next w:val="CommentText"/>
    <w:link w:val="CommentSubjectChar"/>
    <w:uiPriority w:val="99"/>
    <w:semiHidden/>
    <w:rsid w:val="00960E50"/>
    <w:rPr>
      <w:b/>
    </w:rPr>
  </w:style>
  <w:style w:type="character" w:customStyle="1" w:styleId="CommentSubjectChar">
    <w:name w:val="Comment Subject Char"/>
    <w:basedOn w:val="CommentTextChar"/>
    <w:link w:val="CommentSubject"/>
    <w:uiPriority w:val="99"/>
    <w:semiHidden/>
    <w:locked/>
    <w:rsid w:val="00960E50"/>
    <w:rPr>
      <w:rFonts w:ascii="Calibri" w:hAnsi="Calibri"/>
      <w:b/>
      <w:sz w:val="20"/>
    </w:rPr>
  </w:style>
  <w:style w:type="paragraph" w:customStyle="1" w:styleId="Default">
    <w:name w:val="Default"/>
    <w:rsid w:val="00A36392"/>
    <w:pPr>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rsid w:val="00C74538"/>
    <w:pPr>
      <w:tabs>
        <w:tab w:val="center" w:pos="4680"/>
        <w:tab w:val="right" w:pos="9360"/>
      </w:tabs>
      <w:spacing w:after="0" w:line="240" w:lineRule="auto"/>
    </w:pPr>
    <w:rPr>
      <w:rFonts w:eastAsia="Calibri"/>
      <w:sz w:val="20"/>
      <w:szCs w:val="20"/>
      <w:lang w:eastAsia="ja-JP"/>
    </w:rPr>
  </w:style>
  <w:style w:type="character" w:customStyle="1" w:styleId="FooterChar">
    <w:name w:val="Footer Char"/>
    <w:basedOn w:val="DefaultParagraphFont"/>
    <w:link w:val="Footer"/>
    <w:uiPriority w:val="99"/>
    <w:locked/>
    <w:rsid w:val="00C74538"/>
    <w:rPr>
      <w:rFonts w:ascii="Calibri" w:hAnsi="Calibri"/>
    </w:rPr>
  </w:style>
  <w:style w:type="paragraph" w:styleId="NormalWeb">
    <w:name w:val="Normal (Web)"/>
    <w:basedOn w:val="Normal"/>
    <w:uiPriority w:val="99"/>
    <w:rsid w:val="00743A7A"/>
    <w:pPr>
      <w:spacing w:before="100" w:beforeAutospacing="1" w:after="100" w:afterAutospacing="1" w:line="240" w:lineRule="auto"/>
    </w:pPr>
    <w:rPr>
      <w:rFonts w:ascii="Times New Roman" w:eastAsia="MS Mincho" w:hAnsi="Times New Roman"/>
      <w:color w:val="000000"/>
      <w:sz w:val="24"/>
      <w:szCs w:val="24"/>
      <w:lang w:eastAsia="ja-JP"/>
    </w:rPr>
  </w:style>
  <w:style w:type="table" w:styleId="TableGrid">
    <w:name w:val="Table Grid"/>
    <w:basedOn w:val="TableNormal"/>
    <w:uiPriority w:val="99"/>
    <w:locked/>
    <w:rsid w:val="00A25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197856">
      <w:marLeft w:val="0"/>
      <w:marRight w:val="0"/>
      <w:marTop w:val="0"/>
      <w:marBottom w:val="0"/>
      <w:divBdr>
        <w:top w:val="none" w:sz="0" w:space="0" w:color="auto"/>
        <w:left w:val="none" w:sz="0" w:space="0" w:color="auto"/>
        <w:bottom w:val="none" w:sz="0" w:space="0" w:color="auto"/>
        <w:right w:val="none" w:sz="0" w:space="0" w:color="auto"/>
      </w:divBdr>
    </w:div>
    <w:div w:id="1505197858">
      <w:marLeft w:val="0"/>
      <w:marRight w:val="0"/>
      <w:marTop w:val="0"/>
      <w:marBottom w:val="0"/>
      <w:divBdr>
        <w:top w:val="none" w:sz="0" w:space="0" w:color="auto"/>
        <w:left w:val="none" w:sz="0" w:space="0" w:color="auto"/>
        <w:bottom w:val="none" w:sz="0" w:space="0" w:color="auto"/>
        <w:right w:val="none" w:sz="0" w:space="0" w:color="auto"/>
      </w:divBdr>
      <w:divsChild>
        <w:div w:id="1505197860">
          <w:marLeft w:val="0"/>
          <w:marRight w:val="0"/>
          <w:marTop w:val="0"/>
          <w:marBottom w:val="0"/>
          <w:divBdr>
            <w:top w:val="none" w:sz="0" w:space="0" w:color="auto"/>
            <w:left w:val="none" w:sz="0" w:space="0" w:color="auto"/>
            <w:bottom w:val="none" w:sz="0" w:space="0" w:color="auto"/>
            <w:right w:val="none" w:sz="0" w:space="0" w:color="auto"/>
          </w:divBdr>
          <w:divsChild>
            <w:div w:id="1505197861">
              <w:marLeft w:val="0"/>
              <w:marRight w:val="0"/>
              <w:marTop w:val="0"/>
              <w:marBottom w:val="0"/>
              <w:divBdr>
                <w:top w:val="none" w:sz="0" w:space="0" w:color="auto"/>
                <w:left w:val="none" w:sz="0" w:space="0" w:color="auto"/>
                <w:bottom w:val="none" w:sz="0" w:space="0" w:color="auto"/>
                <w:right w:val="none" w:sz="0" w:space="0" w:color="auto"/>
              </w:divBdr>
              <w:divsChild>
                <w:div w:id="1505197859">
                  <w:marLeft w:val="0"/>
                  <w:marRight w:val="0"/>
                  <w:marTop w:val="0"/>
                  <w:marBottom w:val="0"/>
                  <w:divBdr>
                    <w:top w:val="none" w:sz="0" w:space="0" w:color="auto"/>
                    <w:left w:val="none" w:sz="0" w:space="0" w:color="auto"/>
                    <w:bottom w:val="none" w:sz="0" w:space="0" w:color="auto"/>
                    <w:right w:val="none" w:sz="0" w:space="0" w:color="auto"/>
                  </w:divBdr>
                  <w:divsChild>
                    <w:div w:id="1505197857">
                      <w:marLeft w:val="30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 w:id="1505197862">
      <w:marLeft w:val="0"/>
      <w:marRight w:val="0"/>
      <w:marTop w:val="0"/>
      <w:marBottom w:val="0"/>
      <w:divBdr>
        <w:top w:val="none" w:sz="0" w:space="0" w:color="auto"/>
        <w:left w:val="none" w:sz="0" w:space="0" w:color="auto"/>
        <w:bottom w:val="none" w:sz="0" w:space="0" w:color="auto"/>
        <w:right w:val="none" w:sz="0" w:space="0" w:color="auto"/>
      </w:divBdr>
    </w:div>
    <w:div w:id="15051978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asro.org/?page=TheCASROCod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09158-89E6-4454-ABCA-E24F760B1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2888</Words>
  <Characters>15689</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B</vt:lpstr>
    </vt:vector>
  </TitlesOfParts>
  <Company>The U.S. Department of the Treasury</Company>
  <LinksUpToDate>false</LinksUpToDate>
  <CharactersWithSpaces>18540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Reference</dc:creator>
  <cp:lastModifiedBy>Wolfgang, Dawn</cp:lastModifiedBy>
  <cp:revision>3</cp:revision>
  <cp:lastPrinted>2013-08-22T13:16:00Z</cp:lastPrinted>
  <dcterms:created xsi:type="dcterms:W3CDTF">2014-04-02T20:55:00Z</dcterms:created>
  <dcterms:modified xsi:type="dcterms:W3CDTF">2014-04-02T20:55:00Z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gFAACRwgU2+mnxlZIDtFXzSZnFawprC6/jEVO3cMbg3+nE43fyFSZlZc476cPS0hLppDGPgi1DPg1ZwN
wxElsOEkp3qdcpp1P6ghzi/cDEcV2SgA6Lqq7liWRnNQz5Mk1s4EoULsmXhKRpFmxuVr6kr77hqQ
EzKUtT90YEXAPEIVM/CsYRHzEtDGXXioDi6Agz3yXvZWvfRt2z2YN3k1SfUtueVxmfCJSP/9O+3W
yBbRiHypVeMtvT5DA</vt:lpwstr>
  </property>
  <property fmtid="{D5CDD505-2E9C-101B-9397-08002B2CF9AE}" pid="4" name="MAIL_MSG_ID2">
    <vt:lpwstr>2qlgH0hiuzAUjOSlXQ7Mv6bB2txvOkfbVT1F+IjMaolqvb8XFjg3p1k7pcV
tnzfQhNEFab2td3lmg6HTUWj9btKzS7KrVqzuw==</vt:lpwstr>
  </property>
  <property fmtid="{D5CDD505-2E9C-101B-9397-08002B2CF9AE}" pid="5" name="RESPONSE_SENDER_NAME">
    <vt:lpwstr>4AAA4Lxe55UJ0C8Hvx0kghZIhKQJfPGmLQvrkENFLJmjCjp2K/o+dAg6jg==</vt:lpwstr>
  </property>
  <property fmtid="{D5CDD505-2E9C-101B-9397-08002B2CF9AE}" pid="6" name="EMAIL_OWNER_ADDRESS">
    <vt:lpwstr>ABAAv4tRYjpfjUuDB+fg5ofkN2S2bw3VgcAd5cx3VChNfIsNCPAkZAt3w3ztO5Rd80Lp</vt:lpwstr>
  </property>
</Properties>
</file>