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18B" w:rsidRPr="00124EC2" w:rsidRDefault="00124EC2" w:rsidP="00920488">
      <w:pPr>
        <w:pStyle w:val="NormalSS"/>
        <w:spacing w:after="0"/>
        <w:ind w:firstLine="0"/>
        <w:jc w:val="center"/>
        <w:rPr>
          <w:rFonts w:ascii="Calibri" w:hAnsi="Calibri"/>
          <w:b/>
        </w:rPr>
      </w:pPr>
      <w:bookmarkStart w:id="0" w:name="_GoBack"/>
      <w:bookmarkEnd w:id="0"/>
      <w:r w:rsidRPr="00124EC2">
        <w:rPr>
          <w:b/>
        </w:rPr>
        <w:t>Pre-Test of Instruments of Psychosocial Care for the Treatment of Adults with PTSD</w:t>
      </w:r>
    </w:p>
    <w:p w:rsidR="00CA275C" w:rsidRPr="00CA275C" w:rsidRDefault="00CA275C" w:rsidP="00920488">
      <w:pPr>
        <w:pStyle w:val="NormalSS"/>
        <w:spacing w:after="0"/>
        <w:ind w:firstLine="0"/>
        <w:jc w:val="center"/>
        <w:rPr>
          <w:b/>
        </w:rPr>
      </w:pPr>
      <w:r w:rsidRPr="00CA275C">
        <w:rPr>
          <w:b/>
        </w:rPr>
        <w:t>O</w:t>
      </w:r>
      <w:r w:rsidR="0003689D">
        <w:rPr>
          <w:b/>
        </w:rPr>
        <w:t xml:space="preserve">ffice of </w:t>
      </w:r>
      <w:r w:rsidRPr="00CA275C">
        <w:rPr>
          <w:b/>
        </w:rPr>
        <w:t>M</w:t>
      </w:r>
      <w:r w:rsidR="0003689D">
        <w:rPr>
          <w:b/>
        </w:rPr>
        <w:t xml:space="preserve">anagement and </w:t>
      </w:r>
      <w:r w:rsidRPr="00CA275C">
        <w:rPr>
          <w:b/>
        </w:rPr>
        <w:t>B</w:t>
      </w:r>
      <w:r w:rsidR="0003689D">
        <w:rPr>
          <w:b/>
        </w:rPr>
        <w:t>udget</w:t>
      </w:r>
      <w:r w:rsidRPr="00CA275C">
        <w:rPr>
          <w:b/>
        </w:rPr>
        <w:t xml:space="preserve"> Supporting Statement</w:t>
      </w:r>
    </w:p>
    <w:p w:rsidR="00CA275C" w:rsidRPr="00CA275C" w:rsidRDefault="00CA275C" w:rsidP="00920488">
      <w:pPr>
        <w:pStyle w:val="NormalSS"/>
        <w:spacing w:after="0"/>
        <w:ind w:firstLine="0"/>
        <w:jc w:val="center"/>
      </w:pPr>
    </w:p>
    <w:p w:rsidR="00CA275C" w:rsidRPr="00CA275C" w:rsidRDefault="00CA275C" w:rsidP="00920488">
      <w:pPr>
        <w:pStyle w:val="NormalSS"/>
        <w:spacing w:after="0"/>
        <w:ind w:firstLine="0"/>
        <w:jc w:val="center"/>
      </w:pPr>
      <w:r w:rsidRPr="00CA275C">
        <w:t>Part A: Justification</w:t>
      </w:r>
    </w:p>
    <w:p w:rsidR="00CA275C" w:rsidRPr="00CA275C" w:rsidRDefault="0003689D" w:rsidP="00920488">
      <w:pPr>
        <w:pStyle w:val="NormalSS"/>
        <w:spacing w:after="0"/>
        <w:ind w:firstLine="0"/>
        <w:jc w:val="center"/>
      </w:pPr>
      <w:r>
        <w:t>October 29</w:t>
      </w:r>
      <w:r w:rsidR="00CA275C" w:rsidRPr="00CA275C">
        <w:t>, 201</w:t>
      </w:r>
      <w:r w:rsidR="00CA275C">
        <w:t>3</w:t>
      </w:r>
    </w:p>
    <w:p w:rsidR="00CA275C" w:rsidRPr="00CA275C" w:rsidRDefault="00CA275C" w:rsidP="00920488">
      <w:pPr>
        <w:pStyle w:val="NormalSS"/>
        <w:spacing w:after="0"/>
        <w:ind w:firstLine="0"/>
        <w:jc w:val="center"/>
      </w:pPr>
    </w:p>
    <w:p w:rsidR="001755E7" w:rsidRDefault="00CA275C" w:rsidP="001755E7">
      <w:pPr>
        <w:pStyle w:val="NormalSS"/>
        <w:ind w:firstLine="0"/>
        <w:jc w:val="center"/>
      </w:pPr>
      <w:r w:rsidRPr="00CA275C">
        <w:rPr>
          <w:rFonts w:cs="Arial"/>
        </w:rPr>
        <w:t xml:space="preserve">Submitted </w:t>
      </w:r>
      <w:r w:rsidR="00665311">
        <w:rPr>
          <w:rFonts w:cs="Arial"/>
        </w:rPr>
        <w:t>b</w:t>
      </w:r>
      <w:r w:rsidRPr="00CA275C">
        <w:rPr>
          <w:rFonts w:cs="Arial"/>
        </w:rPr>
        <w:t>y:</w:t>
      </w:r>
      <w:r w:rsidR="001755E7" w:rsidRPr="001755E7">
        <w:t xml:space="preserve"> </w:t>
      </w:r>
    </w:p>
    <w:p w:rsidR="00644B9C" w:rsidRDefault="001755E7">
      <w:pPr>
        <w:pStyle w:val="NormalSS"/>
        <w:spacing w:after="0"/>
        <w:ind w:firstLine="0"/>
        <w:jc w:val="center"/>
      </w:pPr>
      <w:r>
        <w:t xml:space="preserve">Office of the Assistant Secretary for Planning and Evaluation </w:t>
      </w:r>
    </w:p>
    <w:p w:rsidR="00F94CC1" w:rsidRDefault="001755E7" w:rsidP="001755E7">
      <w:pPr>
        <w:pStyle w:val="NormalSS"/>
        <w:spacing w:after="0"/>
        <w:ind w:firstLine="0"/>
        <w:jc w:val="center"/>
        <w:rPr>
          <w:rFonts w:cs="Arial"/>
        </w:rPr>
      </w:pPr>
      <w:r>
        <w:rPr>
          <w:rFonts w:cs="Arial"/>
        </w:rPr>
        <w:t xml:space="preserve">Office of </w:t>
      </w:r>
      <w:r w:rsidRPr="001755E7">
        <w:rPr>
          <w:rFonts w:cs="Arial"/>
        </w:rPr>
        <w:t>Disability, Aging and Long</w:t>
      </w:r>
      <w:r w:rsidR="00665311">
        <w:rPr>
          <w:rFonts w:cs="Arial"/>
        </w:rPr>
        <w:t>-</w:t>
      </w:r>
      <w:r w:rsidRPr="001755E7">
        <w:rPr>
          <w:rFonts w:cs="Arial"/>
        </w:rPr>
        <w:t>Term Care Policy</w:t>
      </w:r>
    </w:p>
    <w:p w:rsidR="00F94CC1" w:rsidRDefault="00F94CC1" w:rsidP="001755E7">
      <w:pPr>
        <w:pStyle w:val="NormalSS"/>
        <w:spacing w:after="0"/>
        <w:ind w:firstLine="0"/>
        <w:jc w:val="center"/>
        <w:rPr>
          <w:rFonts w:cs="Arial"/>
        </w:rPr>
      </w:pPr>
    </w:p>
    <w:p w:rsidR="00CA275C" w:rsidRPr="00CA275C" w:rsidRDefault="00CA275C" w:rsidP="001755E7">
      <w:pPr>
        <w:pStyle w:val="NormalSS"/>
        <w:spacing w:after="0"/>
        <w:ind w:firstLine="0"/>
        <w:jc w:val="center"/>
        <w:rPr>
          <w:rFonts w:cs="Arial"/>
        </w:rPr>
      </w:pPr>
      <w:r w:rsidRPr="00CA275C">
        <w:rPr>
          <w:rFonts w:cs="Arial"/>
        </w:rPr>
        <w:t>U.S. Department of Health and Human Services</w:t>
      </w:r>
    </w:p>
    <w:p w:rsidR="00CA275C" w:rsidRPr="00CA275C" w:rsidRDefault="00CA275C" w:rsidP="001755E7">
      <w:pPr>
        <w:pStyle w:val="NormalSS"/>
        <w:spacing w:after="0"/>
        <w:ind w:firstLine="0"/>
        <w:jc w:val="center"/>
        <w:rPr>
          <w:rFonts w:cs="Arial"/>
        </w:rPr>
      </w:pPr>
    </w:p>
    <w:p w:rsidR="001755E7" w:rsidRPr="001755E7" w:rsidRDefault="001755E7" w:rsidP="001755E7">
      <w:pPr>
        <w:pStyle w:val="NormalSS"/>
        <w:spacing w:after="0"/>
        <w:ind w:firstLine="0"/>
        <w:jc w:val="center"/>
        <w:rPr>
          <w:rFonts w:cs="Arial"/>
        </w:rPr>
      </w:pPr>
      <w:r w:rsidRPr="001755E7">
        <w:rPr>
          <w:rFonts w:cs="Arial"/>
        </w:rPr>
        <w:t xml:space="preserve">Hubert H. Humphrey Building, </w:t>
      </w:r>
      <w:r w:rsidR="00665311">
        <w:rPr>
          <w:rFonts w:cs="Arial"/>
        </w:rPr>
        <w:t xml:space="preserve">Room </w:t>
      </w:r>
      <w:r>
        <w:rPr>
          <w:rFonts w:cs="Arial"/>
        </w:rPr>
        <w:t>4E</w:t>
      </w:r>
    </w:p>
    <w:p w:rsidR="00CA275C" w:rsidRPr="00CA275C" w:rsidRDefault="001755E7" w:rsidP="001755E7">
      <w:pPr>
        <w:pStyle w:val="NormalSS"/>
        <w:spacing w:after="0"/>
        <w:ind w:firstLine="0"/>
        <w:jc w:val="center"/>
        <w:rPr>
          <w:rFonts w:cs="Arial"/>
        </w:rPr>
      </w:pPr>
      <w:r w:rsidRPr="001755E7">
        <w:rPr>
          <w:rFonts w:cs="Arial"/>
        </w:rPr>
        <w:t xml:space="preserve">200 Independence Ave, </w:t>
      </w:r>
      <w:r w:rsidR="00CA275C" w:rsidRPr="00CA275C">
        <w:rPr>
          <w:rFonts w:cs="Arial"/>
        </w:rPr>
        <w:t>SW</w:t>
      </w:r>
    </w:p>
    <w:p w:rsidR="00CA275C" w:rsidRPr="00CA275C" w:rsidRDefault="00CA275C" w:rsidP="001755E7">
      <w:pPr>
        <w:pStyle w:val="NormalSS"/>
        <w:spacing w:after="0"/>
        <w:ind w:firstLine="0"/>
        <w:jc w:val="center"/>
        <w:rPr>
          <w:rFonts w:cs="Arial"/>
        </w:rPr>
      </w:pPr>
      <w:r w:rsidRPr="00CA275C">
        <w:rPr>
          <w:rFonts w:cs="Arial"/>
        </w:rPr>
        <w:t>Washington, DC 20</w:t>
      </w:r>
      <w:r w:rsidR="001755E7">
        <w:rPr>
          <w:rFonts w:cs="Arial"/>
        </w:rPr>
        <w:t>201</w:t>
      </w:r>
    </w:p>
    <w:p w:rsidR="00CA275C" w:rsidRPr="00CA275C" w:rsidRDefault="00CA275C" w:rsidP="00920488">
      <w:pPr>
        <w:pStyle w:val="NormalSS"/>
        <w:spacing w:after="0"/>
        <w:ind w:firstLine="0"/>
        <w:jc w:val="center"/>
        <w:rPr>
          <w:rFonts w:cs="Arial"/>
        </w:rPr>
      </w:pPr>
    </w:p>
    <w:p w:rsidR="00CA275C" w:rsidRPr="00CA275C" w:rsidRDefault="00CA275C" w:rsidP="00920488">
      <w:pPr>
        <w:pStyle w:val="NormalSS"/>
        <w:spacing w:after="0"/>
        <w:ind w:firstLine="0"/>
        <w:jc w:val="center"/>
        <w:rPr>
          <w:rFonts w:cs="Arial"/>
        </w:rPr>
      </w:pPr>
      <w:r w:rsidRPr="00CA275C">
        <w:rPr>
          <w:rFonts w:cs="Arial"/>
        </w:rPr>
        <w:t>Project Officer:</w:t>
      </w:r>
    </w:p>
    <w:p w:rsidR="00EC76A0" w:rsidRPr="00CA275C" w:rsidRDefault="00CA275C" w:rsidP="00920488">
      <w:pPr>
        <w:pStyle w:val="NormalSS"/>
        <w:spacing w:after="0"/>
        <w:ind w:firstLine="0"/>
        <w:jc w:val="center"/>
        <w:rPr>
          <w:rFonts w:cs="Arial"/>
        </w:rPr>
      </w:pPr>
      <w:r>
        <w:rPr>
          <w:rFonts w:cs="Arial"/>
        </w:rPr>
        <w:t>Kirsten Beronio</w:t>
      </w:r>
    </w:p>
    <w:p w:rsidR="002877C5" w:rsidRDefault="002877C5" w:rsidP="00D012D8">
      <w:pPr>
        <w:spacing w:line="240" w:lineRule="auto"/>
        <w:ind w:firstLine="0"/>
        <w:rPr>
          <w:rFonts w:ascii="Calibri" w:hAnsi="Calibri"/>
        </w:rPr>
      </w:pPr>
    </w:p>
    <w:p w:rsidR="00757304" w:rsidRDefault="00757304" w:rsidP="00D012D8">
      <w:pPr>
        <w:spacing w:line="240" w:lineRule="auto"/>
        <w:ind w:firstLine="0"/>
        <w:rPr>
          <w:rFonts w:ascii="Calibri" w:hAnsi="Calibri"/>
        </w:rPr>
      </w:pPr>
    </w:p>
    <w:p w:rsidR="002877C5" w:rsidRDefault="002877C5" w:rsidP="00D012D8">
      <w:pPr>
        <w:spacing w:line="240" w:lineRule="auto"/>
        <w:ind w:firstLine="0"/>
        <w:rPr>
          <w:rFonts w:ascii="Calibri" w:hAnsi="Calibri"/>
        </w:rPr>
      </w:pPr>
    </w:p>
    <w:p w:rsidR="004A3B03" w:rsidRDefault="004A3B03" w:rsidP="00D012D8">
      <w:pPr>
        <w:spacing w:line="240" w:lineRule="auto"/>
        <w:ind w:firstLine="0"/>
        <w:rPr>
          <w:rFonts w:ascii="Calibri" w:hAnsi="Calibri"/>
        </w:rPr>
      </w:pPr>
    </w:p>
    <w:p w:rsidR="00EF4E3C" w:rsidRDefault="00EF4E3C" w:rsidP="00D012D8">
      <w:pPr>
        <w:spacing w:line="240" w:lineRule="auto"/>
        <w:ind w:firstLine="0"/>
        <w:rPr>
          <w:rFonts w:ascii="Calibri" w:hAnsi="Calibri"/>
        </w:rPr>
      </w:pPr>
    </w:p>
    <w:p w:rsidR="00920488" w:rsidRDefault="00920488" w:rsidP="003423D3">
      <w:pPr>
        <w:rPr>
          <w:b/>
          <w:bCs/>
        </w:rPr>
        <w:sectPr w:rsidR="00920488" w:rsidSect="00D012D8">
          <w:footerReference w:type="default" r:id="rId12"/>
          <w:endnotePr>
            <w:numFmt w:val="decimal"/>
          </w:endnotePr>
          <w:type w:val="continuous"/>
          <w:pgSz w:w="12240" w:h="15840" w:code="1"/>
          <w:pgMar w:top="1440" w:right="1440" w:bottom="576" w:left="1440" w:header="720" w:footer="576" w:gutter="0"/>
          <w:cols w:space="720"/>
          <w:noEndnote/>
        </w:sectPr>
      </w:pPr>
    </w:p>
    <w:p w:rsidR="00920488" w:rsidRDefault="00920488" w:rsidP="00920488">
      <w:pPr>
        <w:spacing w:after="480" w:line="240" w:lineRule="auto"/>
        <w:ind w:firstLine="0"/>
        <w:jc w:val="center"/>
        <w:rPr>
          <w:rFonts w:ascii="Arial" w:hAnsi="Arial" w:cs="Arial"/>
          <w:b/>
        </w:rPr>
      </w:pPr>
      <w:r>
        <w:rPr>
          <w:rFonts w:ascii="Arial" w:hAnsi="Arial" w:cs="Arial"/>
          <w:b/>
        </w:rPr>
        <w:lastRenderedPageBreak/>
        <w:t>CONTENTS</w:t>
      </w:r>
    </w:p>
    <w:p w:rsidR="0008078C" w:rsidRDefault="00CC181A">
      <w:pPr>
        <w:pStyle w:val="TOC1"/>
        <w:rPr>
          <w:rFonts w:asciiTheme="minorHAnsi" w:eastAsiaTheme="minorEastAsia" w:hAnsiTheme="minorHAnsi" w:cstheme="minorBidi"/>
          <w:caps w:val="0"/>
          <w:noProof/>
          <w:sz w:val="22"/>
          <w:szCs w:val="22"/>
        </w:rPr>
      </w:pPr>
      <w:r>
        <w:fldChar w:fldCharType="begin"/>
      </w:r>
      <w:r w:rsidR="00920488">
        <w:instrText xml:space="preserve"> TOC \o "1-3" \z \t "Heading 1_Black,1,Heading 1_Red,1,Heading 1_Blue,1,Heading 2_Black,2,Heading 2_Red,2,Heading 2_Blue,2,Mark for Appendix Heading_Black,8,Mark for Appendix Heading_Blue,8,Mark for Appendix Heading_Red,8" </w:instrText>
      </w:r>
      <w:r>
        <w:fldChar w:fldCharType="separate"/>
      </w:r>
      <w:r w:rsidR="0008078C">
        <w:rPr>
          <w:noProof/>
        </w:rPr>
        <w:t>A.</w:t>
      </w:r>
      <w:r w:rsidR="0008078C">
        <w:rPr>
          <w:rFonts w:asciiTheme="minorHAnsi" w:eastAsiaTheme="minorEastAsia" w:hAnsiTheme="minorHAnsi" w:cstheme="minorBidi"/>
          <w:caps w:val="0"/>
          <w:noProof/>
          <w:sz w:val="22"/>
          <w:szCs w:val="22"/>
        </w:rPr>
        <w:tab/>
      </w:r>
      <w:r w:rsidR="0008078C">
        <w:rPr>
          <w:noProof/>
        </w:rPr>
        <w:t>Justification</w:t>
      </w:r>
      <w:r w:rsidR="0008078C">
        <w:rPr>
          <w:noProof/>
          <w:webHidden/>
        </w:rPr>
        <w:tab/>
      </w:r>
      <w:r>
        <w:rPr>
          <w:noProof/>
          <w:webHidden/>
        </w:rPr>
        <w:fldChar w:fldCharType="begin"/>
      </w:r>
      <w:r w:rsidR="0008078C">
        <w:rPr>
          <w:noProof/>
          <w:webHidden/>
        </w:rPr>
        <w:instrText xml:space="preserve"> PAGEREF _Toc361303702 \h </w:instrText>
      </w:r>
      <w:r>
        <w:rPr>
          <w:noProof/>
          <w:webHidden/>
        </w:rPr>
      </w:r>
      <w:r>
        <w:rPr>
          <w:noProof/>
          <w:webHidden/>
        </w:rPr>
        <w:fldChar w:fldCharType="separate"/>
      </w:r>
      <w:r w:rsidR="001719CA">
        <w:rPr>
          <w:noProof/>
          <w:webHidden/>
        </w:rPr>
        <w:t>3</w:t>
      </w:r>
      <w:r>
        <w:rPr>
          <w:noProof/>
          <w:webHidden/>
        </w:rPr>
        <w:fldChar w:fldCharType="end"/>
      </w:r>
    </w:p>
    <w:p w:rsidR="0008078C" w:rsidRDefault="0008078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Circumstances Making the Collection of Information Necessary</w:t>
      </w:r>
      <w:r>
        <w:rPr>
          <w:noProof/>
          <w:webHidden/>
        </w:rPr>
        <w:tab/>
      </w:r>
      <w:r w:rsidR="00CC181A">
        <w:rPr>
          <w:noProof/>
          <w:webHidden/>
        </w:rPr>
        <w:fldChar w:fldCharType="begin"/>
      </w:r>
      <w:r>
        <w:rPr>
          <w:noProof/>
          <w:webHidden/>
        </w:rPr>
        <w:instrText xml:space="preserve"> PAGEREF _Toc361303703 \h </w:instrText>
      </w:r>
      <w:r w:rsidR="00CC181A">
        <w:rPr>
          <w:noProof/>
          <w:webHidden/>
        </w:rPr>
      </w:r>
      <w:r w:rsidR="00CC181A">
        <w:rPr>
          <w:noProof/>
          <w:webHidden/>
        </w:rPr>
        <w:fldChar w:fldCharType="separate"/>
      </w:r>
      <w:r w:rsidR="001719CA">
        <w:rPr>
          <w:noProof/>
          <w:webHidden/>
        </w:rPr>
        <w:t>3</w:t>
      </w:r>
      <w:r w:rsidR="00CC181A">
        <w:rPr>
          <w:noProof/>
          <w:webHidden/>
        </w:rPr>
        <w:fldChar w:fldCharType="end"/>
      </w:r>
    </w:p>
    <w:p w:rsidR="0008078C" w:rsidRDefault="0008078C">
      <w:pPr>
        <w:pStyle w:val="TOC3"/>
        <w:rPr>
          <w:noProof/>
          <w:webHidden/>
        </w:rPr>
      </w:pPr>
      <w:r>
        <w:rPr>
          <w:noProof/>
        </w:rPr>
        <w:t>2.</w:t>
      </w:r>
      <w:r>
        <w:rPr>
          <w:rFonts w:asciiTheme="minorHAnsi" w:eastAsiaTheme="minorEastAsia" w:hAnsiTheme="minorHAnsi" w:cstheme="minorBidi"/>
          <w:noProof/>
          <w:sz w:val="22"/>
          <w:szCs w:val="22"/>
        </w:rPr>
        <w:tab/>
      </w:r>
      <w:r>
        <w:rPr>
          <w:noProof/>
        </w:rPr>
        <w:t>Purpose and Use of Information Collection</w:t>
      </w:r>
      <w:r>
        <w:rPr>
          <w:noProof/>
          <w:webHidden/>
        </w:rPr>
        <w:tab/>
      </w:r>
      <w:r w:rsidR="00A64F09">
        <w:rPr>
          <w:noProof/>
          <w:webHidden/>
        </w:rPr>
        <w:t>7</w:t>
      </w:r>
    </w:p>
    <w:p w:rsidR="0008078C" w:rsidRDefault="0008078C">
      <w:pPr>
        <w:pStyle w:val="TOC3"/>
        <w:rPr>
          <w:rFonts w:asciiTheme="minorHAnsi" w:eastAsiaTheme="minorEastAsia" w:hAnsiTheme="minorHAnsi" w:cstheme="minorBidi"/>
          <w:noProof/>
          <w:sz w:val="22"/>
          <w:szCs w:val="22"/>
        </w:rPr>
      </w:pPr>
      <w:r>
        <w:rPr>
          <w:noProof/>
          <w:webHidden/>
        </w:rPr>
        <w:tab/>
      </w:r>
    </w:p>
    <w:p w:rsidR="0008078C" w:rsidRDefault="00292069">
      <w:pPr>
        <w:pStyle w:val="TOC3"/>
        <w:rPr>
          <w:rFonts w:asciiTheme="minorHAnsi" w:eastAsiaTheme="minorEastAsia" w:hAnsiTheme="minorHAnsi" w:cstheme="minorBidi"/>
          <w:noProof/>
          <w:sz w:val="22"/>
          <w:szCs w:val="22"/>
        </w:rPr>
      </w:pPr>
      <w:r>
        <w:rPr>
          <w:noProof/>
        </w:rPr>
        <w:t>3.</w:t>
      </w:r>
      <w:r w:rsidR="0008078C">
        <w:rPr>
          <w:rFonts w:asciiTheme="minorHAnsi" w:eastAsiaTheme="minorEastAsia" w:hAnsiTheme="minorHAnsi" w:cstheme="minorBidi"/>
          <w:noProof/>
          <w:sz w:val="22"/>
          <w:szCs w:val="22"/>
        </w:rPr>
        <w:tab/>
      </w:r>
      <w:r w:rsidR="0008078C">
        <w:rPr>
          <w:noProof/>
        </w:rPr>
        <w:t>Use of Improved Information Technology and Burden Reduction</w:t>
      </w:r>
      <w:r w:rsidR="0008078C">
        <w:rPr>
          <w:noProof/>
          <w:webHidden/>
        </w:rPr>
        <w:tab/>
      </w:r>
      <w:r w:rsidR="00A64F09">
        <w:rPr>
          <w:noProof/>
          <w:webHidden/>
        </w:rPr>
        <w:t>7</w:t>
      </w:r>
    </w:p>
    <w:p w:rsidR="0008078C" w:rsidRDefault="00FB766F">
      <w:pPr>
        <w:pStyle w:val="TOC3"/>
        <w:rPr>
          <w:rFonts w:asciiTheme="minorHAnsi" w:eastAsiaTheme="minorEastAsia" w:hAnsiTheme="minorHAnsi" w:cstheme="minorBidi"/>
          <w:noProof/>
          <w:sz w:val="22"/>
          <w:szCs w:val="22"/>
        </w:rPr>
      </w:pPr>
      <w:r>
        <w:rPr>
          <w:noProof/>
        </w:rPr>
        <w:t>4</w:t>
      </w:r>
      <w:r w:rsidR="0008078C">
        <w:rPr>
          <w:noProof/>
        </w:rPr>
        <w:t>.</w:t>
      </w:r>
      <w:r w:rsidR="0008078C">
        <w:rPr>
          <w:rFonts w:asciiTheme="minorHAnsi" w:eastAsiaTheme="minorEastAsia" w:hAnsiTheme="minorHAnsi" w:cstheme="minorBidi"/>
          <w:noProof/>
          <w:sz w:val="22"/>
          <w:szCs w:val="22"/>
        </w:rPr>
        <w:tab/>
      </w:r>
      <w:r w:rsidR="0008078C">
        <w:rPr>
          <w:noProof/>
        </w:rPr>
        <w:t>Efforts to Identify Duplication and Use of Similar Information</w:t>
      </w:r>
      <w:r w:rsidR="0008078C">
        <w:rPr>
          <w:noProof/>
          <w:webHidden/>
        </w:rPr>
        <w:tab/>
      </w:r>
      <w:r w:rsidR="00A64F09">
        <w:rPr>
          <w:noProof/>
          <w:webHidden/>
        </w:rPr>
        <w:t>8</w:t>
      </w:r>
    </w:p>
    <w:p w:rsidR="0008078C" w:rsidRDefault="009C7B74">
      <w:pPr>
        <w:pStyle w:val="TOC3"/>
        <w:rPr>
          <w:rFonts w:asciiTheme="minorHAnsi" w:eastAsiaTheme="minorEastAsia" w:hAnsiTheme="minorHAnsi" w:cstheme="minorBidi"/>
          <w:noProof/>
          <w:sz w:val="22"/>
          <w:szCs w:val="22"/>
        </w:rPr>
      </w:pPr>
      <w:r>
        <w:rPr>
          <w:noProof/>
        </w:rPr>
        <w:t>5</w:t>
      </w:r>
      <w:r w:rsidR="00FB766F">
        <w:rPr>
          <w:noProof/>
        </w:rPr>
        <w:t>.</w:t>
      </w:r>
      <w:r w:rsidR="0008078C">
        <w:rPr>
          <w:rFonts w:asciiTheme="minorHAnsi" w:eastAsiaTheme="minorEastAsia" w:hAnsiTheme="minorHAnsi" w:cstheme="minorBidi"/>
          <w:noProof/>
          <w:sz w:val="22"/>
          <w:szCs w:val="22"/>
        </w:rPr>
        <w:tab/>
      </w:r>
      <w:r w:rsidR="0008078C">
        <w:rPr>
          <w:noProof/>
        </w:rPr>
        <w:t>Impact on Small Businesses or Other Small Entities</w:t>
      </w:r>
      <w:r w:rsidR="0008078C">
        <w:rPr>
          <w:noProof/>
          <w:webHidden/>
        </w:rPr>
        <w:tab/>
      </w:r>
      <w:r w:rsidR="00A64F09">
        <w:rPr>
          <w:noProof/>
          <w:webHidden/>
        </w:rPr>
        <w:t>8</w:t>
      </w:r>
    </w:p>
    <w:p w:rsidR="0008078C" w:rsidRDefault="00FB766F">
      <w:pPr>
        <w:pStyle w:val="TOC3"/>
        <w:rPr>
          <w:rFonts w:asciiTheme="minorHAnsi" w:eastAsiaTheme="minorEastAsia" w:hAnsiTheme="minorHAnsi" w:cstheme="minorBidi"/>
          <w:noProof/>
          <w:sz w:val="22"/>
          <w:szCs w:val="22"/>
        </w:rPr>
      </w:pPr>
      <w:r>
        <w:rPr>
          <w:noProof/>
        </w:rPr>
        <w:t>6</w:t>
      </w:r>
      <w:r w:rsidR="0008078C">
        <w:rPr>
          <w:noProof/>
        </w:rPr>
        <w:t>.</w:t>
      </w:r>
      <w:r w:rsidR="0008078C">
        <w:rPr>
          <w:rFonts w:asciiTheme="minorHAnsi" w:eastAsiaTheme="minorEastAsia" w:hAnsiTheme="minorHAnsi" w:cstheme="minorBidi"/>
          <w:noProof/>
          <w:sz w:val="22"/>
          <w:szCs w:val="22"/>
        </w:rPr>
        <w:tab/>
      </w:r>
      <w:r w:rsidR="0008078C">
        <w:rPr>
          <w:noProof/>
        </w:rPr>
        <w:t>Consequences of Collecting the Information Less Frequent</w:t>
      </w:r>
      <w:r>
        <w:rPr>
          <w:noProof/>
        </w:rPr>
        <w:t>ly</w:t>
      </w:r>
      <w:r w:rsidR="0008078C">
        <w:rPr>
          <w:noProof/>
          <w:webHidden/>
        </w:rPr>
        <w:tab/>
      </w:r>
      <w:r w:rsidR="00A64F09">
        <w:rPr>
          <w:noProof/>
          <w:webHidden/>
        </w:rPr>
        <w:t>8</w:t>
      </w:r>
    </w:p>
    <w:p w:rsidR="0008078C" w:rsidRDefault="00FB766F">
      <w:pPr>
        <w:pStyle w:val="TOC3"/>
        <w:rPr>
          <w:rFonts w:asciiTheme="minorHAnsi" w:eastAsiaTheme="minorEastAsia" w:hAnsiTheme="minorHAnsi" w:cstheme="minorBidi"/>
          <w:noProof/>
          <w:sz w:val="22"/>
          <w:szCs w:val="22"/>
        </w:rPr>
      </w:pPr>
      <w:r>
        <w:rPr>
          <w:noProof/>
        </w:rPr>
        <w:t>7</w:t>
      </w:r>
      <w:r w:rsidR="0008078C">
        <w:rPr>
          <w:noProof/>
        </w:rPr>
        <w:t>.</w:t>
      </w:r>
      <w:r w:rsidR="0008078C">
        <w:rPr>
          <w:rFonts w:asciiTheme="minorHAnsi" w:eastAsiaTheme="minorEastAsia" w:hAnsiTheme="minorHAnsi" w:cstheme="minorBidi"/>
          <w:noProof/>
          <w:sz w:val="22"/>
          <w:szCs w:val="22"/>
        </w:rPr>
        <w:tab/>
      </w:r>
      <w:r w:rsidR="0008078C">
        <w:rPr>
          <w:noProof/>
        </w:rPr>
        <w:t>Special Circumstances Relating to the Guidelines of 5 CFR 1320.5</w:t>
      </w:r>
      <w:r w:rsidR="0008078C">
        <w:rPr>
          <w:noProof/>
          <w:webHidden/>
        </w:rPr>
        <w:tab/>
      </w:r>
      <w:r w:rsidR="00A64F09">
        <w:rPr>
          <w:noProof/>
          <w:webHidden/>
        </w:rPr>
        <w:t>9</w:t>
      </w:r>
    </w:p>
    <w:p w:rsidR="0008078C" w:rsidRDefault="00FB766F">
      <w:pPr>
        <w:pStyle w:val="TOC3"/>
        <w:rPr>
          <w:rFonts w:asciiTheme="minorHAnsi" w:eastAsiaTheme="minorEastAsia" w:hAnsiTheme="minorHAnsi" w:cstheme="minorBidi"/>
          <w:noProof/>
          <w:sz w:val="22"/>
          <w:szCs w:val="22"/>
        </w:rPr>
      </w:pPr>
      <w:r>
        <w:rPr>
          <w:noProof/>
        </w:rPr>
        <w:t>8</w:t>
      </w:r>
      <w:r w:rsidR="0008078C">
        <w:rPr>
          <w:noProof/>
        </w:rPr>
        <w:t>.</w:t>
      </w:r>
      <w:r w:rsidR="0008078C">
        <w:rPr>
          <w:rFonts w:asciiTheme="minorHAnsi" w:eastAsiaTheme="minorEastAsia" w:hAnsiTheme="minorHAnsi" w:cstheme="minorBidi"/>
          <w:noProof/>
          <w:sz w:val="22"/>
          <w:szCs w:val="22"/>
        </w:rPr>
        <w:tab/>
      </w:r>
      <w:r w:rsidR="0008078C">
        <w:rPr>
          <w:noProof/>
        </w:rPr>
        <w:t>Comments in Response to the Federal Register Notice</w:t>
      </w:r>
      <w:r w:rsidRPr="00FB766F">
        <w:t xml:space="preserve"> </w:t>
      </w:r>
      <w:r>
        <w:t>and Efforts to Consult Outside the Agency</w:t>
      </w:r>
      <w:r w:rsidR="0008078C">
        <w:rPr>
          <w:noProof/>
          <w:webHidden/>
        </w:rPr>
        <w:tab/>
      </w:r>
      <w:r w:rsidR="00A64F09">
        <w:rPr>
          <w:noProof/>
          <w:webHidden/>
        </w:rPr>
        <w:t>9</w:t>
      </w:r>
    </w:p>
    <w:p w:rsidR="0008078C" w:rsidRDefault="009C7B74">
      <w:pPr>
        <w:pStyle w:val="TOC3"/>
        <w:rPr>
          <w:rFonts w:asciiTheme="minorHAnsi" w:eastAsiaTheme="minorEastAsia" w:hAnsiTheme="minorHAnsi" w:cstheme="minorBidi"/>
          <w:noProof/>
          <w:sz w:val="22"/>
          <w:szCs w:val="22"/>
        </w:rPr>
      </w:pPr>
      <w:r>
        <w:rPr>
          <w:noProof/>
        </w:rPr>
        <w:t>9</w:t>
      </w:r>
      <w:r w:rsidR="0008078C">
        <w:rPr>
          <w:noProof/>
        </w:rPr>
        <w:t>.</w:t>
      </w:r>
      <w:r w:rsidR="0008078C">
        <w:rPr>
          <w:rFonts w:asciiTheme="minorHAnsi" w:eastAsiaTheme="minorEastAsia" w:hAnsiTheme="minorHAnsi" w:cstheme="minorBidi"/>
          <w:noProof/>
          <w:sz w:val="22"/>
          <w:szCs w:val="22"/>
        </w:rPr>
        <w:tab/>
      </w:r>
      <w:r>
        <w:t>Explanation of Any Payment or Gift to Respondents</w:t>
      </w:r>
      <w:r w:rsidR="0008078C">
        <w:rPr>
          <w:noProof/>
          <w:webHidden/>
        </w:rPr>
        <w:tab/>
      </w:r>
      <w:r w:rsidR="00A64F09">
        <w:rPr>
          <w:noProof/>
          <w:webHidden/>
        </w:rPr>
        <w:t>10</w:t>
      </w:r>
    </w:p>
    <w:p w:rsidR="0008078C" w:rsidRDefault="009C7B74">
      <w:pPr>
        <w:pStyle w:val="TOC3"/>
        <w:rPr>
          <w:rFonts w:asciiTheme="minorHAnsi" w:eastAsiaTheme="minorEastAsia" w:hAnsiTheme="minorHAnsi" w:cstheme="minorBidi"/>
          <w:noProof/>
          <w:sz w:val="22"/>
          <w:szCs w:val="22"/>
        </w:rPr>
      </w:pPr>
      <w:r>
        <w:rPr>
          <w:noProof/>
        </w:rPr>
        <w:t>10</w:t>
      </w:r>
      <w:r w:rsidR="0008078C">
        <w:rPr>
          <w:noProof/>
        </w:rPr>
        <w:t>.</w:t>
      </w:r>
      <w:r w:rsidR="0008078C">
        <w:rPr>
          <w:rFonts w:asciiTheme="minorHAnsi" w:eastAsiaTheme="minorEastAsia" w:hAnsiTheme="minorHAnsi" w:cstheme="minorBidi"/>
          <w:noProof/>
          <w:sz w:val="22"/>
          <w:szCs w:val="22"/>
        </w:rPr>
        <w:tab/>
      </w:r>
      <w:r w:rsidR="0008078C">
        <w:rPr>
          <w:noProof/>
        </w:rPr>
        <w:t>Assurance of Confidentiality Provided to Respondents</w:t>
      </w:r>
      <w:r w:rsidR="0008078C">
        <w:rPr>
          <w:noProof/>
          <w:webHidden/>
        </w:rPr>
        <w:tab/>
      </w:r>
      <w:r w:rsidR="00A64F09">
        <w:rPr>
          <w:noProof/>
          <w:webHidden/>
        </w:rPr>
        <w:t>10</w:t>
      </w:r>
    </w:p>
    <w:p w:rsidR="0008078C" w:rsidRDefault="009C7B74">
      <w:pPr>
        <w:pStyle w:val="TOC3"/>
        <w:rPr>
          <w:rFonts w:asciiTheme="minorHAnsi" w:eastAsiaTheme="minorEastAsia" w:hAnsiTheme="minorHAnsi" w:cstheme="minorBidi"/>
          <w:noProof/>
          <w:sz w:val="22"/>
          <w:szCs w:val="22"/>
        </w:rPr>
      </w:pPr>
      <w:r>
        <w:rPr>
          <w:noProof/>
        </w:rPr>
        <w:t>11</w:t>
      </w:r>
      <w:r w:rsidR="0008078C">
        <w:rPr>
          <w:noProof/>
        </w:rPr>
        <w:t>.</w:t>
      </w:r>
      <w:r w:rsidR="0008078C">
        <w:rPr>
          <w:rFonts w:asciiTheme="minorHAnsi" w:eastAsiaTheme="minorEastAsia" w:hAnsiTheme="minorHAnsi" w:cstheme="minorBidi"/>
          <w:noProof/>
          <w:sz w:val="22"/>
          <w:szCs w:val="22"/>
        </w:rPr>
        <w:tab/>
      </w:r>
      <w:r w:rsidR="0008078C">
        <w:rPr>
          <w:noProof/>
        </w:rPr>
        <w:t>Justification for Sensitive Questions</w:t>
      </w:r>
      <w:r w:rsidR="0008078C">
        <w:rPr>
          <w:noProof/>
          <w:webHidden/>
        </w:rPr>
        <w:tab/>
      </w:r>
      <w:r w:rsidR="00A64F09">
        <w:rPr>
          <w:noProof/>
          <w:webHidden/>
        </w:rPr>
        <w:t>11</w:t>
      </w:r>
    </w:p>
    <w:p w:rsidR="0008078C" w:rsidRDefault="009C7B74">
      <w:pPr>
        <w:pStyle w:val="TOC3"/>
        <w:rPr>
          <w:rFonts w:asciiTheme="minorHAnsi" w:eastAsiaTheme="minorEastAsia" w:hAnsiTheme="minorHAnsi" w:cstheme="minorBidi"/>
          <w:noProof/>
          <w:sz w:val="22"/>
          <w:szCs w:val="22"/>
        </w:rPr>
      </w:pPr>
      <w:r>
        <w:rPr>
          <w:noProof/>
        </w:rPr>
        <w:t>12</w:t>
      </w:r>
      <w:r w:rsidR="0008078C">
        <w:rPr>
          <w:noProof/>
        </w:rPr>
        <w:t>.</w:t>
      </w:r>
      <w:r w:rsidR="0008078C">
        <w:rPr>
          <w:rFonts w:asciiTheme="minorHAnsi" w:eastAsiaTheme="minorEastAsia" w:hAnsiTheme="minorHAnsi" w:cstheme="minorBidi"/>
          <w:noProof/>
          <w:sz w:val="22"/>
          <w:szCs w:val="22"/>
        </w:rPr>
        <w:tab/>
      </w:r>
      <w:r w:rsidR="0008078C">
        <w:rPr>
          <w:noProof/>
        </w:rPr>
        <w:t>Estimates of Annualized Hour</w:t>
      </w:r>
      <w:r>
        <w:rPr>
          <w:noProof/>
        </w:rPr>
        <w:t>s</w:t>
      </w:r>
      <w:r w:rsidR="0008078C">
        <w:rPr>
          <w:noProof/>
        </w:rPr>
        <w:t xml:space="preserve"> and Cost</w:t>
      </w:r>
      <w:r>
        <w:rPr>
          <w:noProof/>
        </w:rPr>
        <w:t>s</w:t>
      </w:r>
      <w:r w:rsidR="0008078C">
        <w:rPr>
          <w:noProof/>
          <w:webHidden/>
        </w:rPr>
        <w:tab/>
      </w:r>
      <w:r w:rsidR="00A64F09">
        <w:rPr>
          <w:noProof/>
          <w:webHidden/>
        </w:rPr>
        <w:t>11</w:t>
      </w:r>
    </w:p>
    <w:p w:rsidR="0008078C" w:rsidRDefault="009C7B74">
      <w:pPr>
        <w:pStyle w:val="TOC3"/>
        <w:rPr>
          <w:rFonts w:asciiTheme="minorHAnsi" w:eastAsiaTheme="minorEastAsia" w:hAnsiTheme="minorHAnsi" w:cstheme="minorBidi"/>
          <w:noProof/>
          <w:sz w:val="22"/>
          <w:szCs w:val="22"/>
        </w:rPr>
      </w:pPr>
      <w:r>
        <w:rPr>
          <w:noProof/>
        </w:rPr>
        <w:t>13</w:t>
      </w:r>
      <w:r w:rsidR="0008078C">
        <w:rPr>
          <w:noProof/>
        </w:rPr>
        <w:t>.</w:t>
      </w:r>
      <w:r w:rsidR="0008078C">
        <w:rPr>
          <w:rFonts w:asciiTheme="minorHAnsi" w:eastAsiaTheme="minorEastAsia" w:hAnsiTheme="minorHAnsi" w:cstheme="minorBidi"/>
          <w:noProof/>
          <w:sz w:val="22"/>
          <w:szCs w:val="22"/>
        </w:rPr>
        <w:tab/>
      </w:r>
      <w:r>
        <w:t>Estimates of Other Total Annual Costs</w:t>
      </w:r>
      <w:r w:rsidR="0008078C">
        <w:rPr>
          <w:noProof/>
          <w:webHidden/>
        </w:rPr>
        <w:tab/>
      </w:r>
      <w:r w:rsidR="00CC181A">
        <w:rPr>
          <w:noProof/>
          <w:webHidden/>
        </w:rPr>
        <w:fldChar w:fldCharType="begin"/>
      </w:r>
      <w:r w:rsidR="0008078C">
        <w:rPr>
          <w:noProof/>
          <w:webHidden/>
        </w:rPr>
        <w:instrText xml:space="preserve"> PAGEREF _Toc361303717 \h </w:instrText>
      </w:r>
      <w:r w:rsidR="00CC181A">
        <w:rPr>
          <w:noProof/>
          <w:webHidden/>
        </w:rPr>
      </w:r>
      <w:r w:rsidR="00CC181A">
        <w:rPr>
          <w:noProof/>
          <w:webHidden/>
        </w:rPr>
        <w:fldChar w:fldCharType="separate"/>
      </w:r>
      <w:r w:rsidR="001719CA">
        <w:rPr>
          <w:noProof/>
          <w:webHidden/>
        </w:rPr>
        <w:t>13</w:t>
      </w:r>
      <w:r w:rsidR="00CC181A">
        <w:rPr>
          <w:noProof/>
          <w:webHidden/>
        </w:rPr>
        <w:fldChar w:fldCharType="end"/>
      </w:r>
    </w:p>
    <w:p w:rsidR="0008078C" w:rsidRDefault="0008078C">
      <w:pPr>
        <w:pStyle w:val="TOC3"/>
        <w:rPr>
          <w:rFonts w:asciiTheme="minorHAnsi" w:eastAsiaTheme="minorEastAsia" w:hAnsiTheme="minorHAnsi" w:cstheme="minorBidi"/>
          <w:noProof/>
          <w:sz w:val="22"/>
          <w:szCs w:val="22"/>
        </w:rPr>
      </w:pPr>
      <w:r>
        <w:rPr>
          <w:noProof/>
        </w:rPr>
        <w:t>1</w:t>
      </w:r>
      <w:r w:rsidR="009C7B74">
        <w:rPr>
          <w:noProof/>
        </w:rPr>
        <w:t>4</w:t>
      </w:r>
      <w:r>
        <w:rPr>
          <w:noProof/>
        </w:rPr>
        <w:t>.</w:t>
      </w:r>
      <w:r>
        <w:rPr>
          <w:rFonts w:asciiTheme="minorHAnsi" w:eastAsiaTheme="minorEastAsia" w:hAnsiTheme="minorHAnsi" w:cstheme="minorBidi"/>
          <w:noProof/>
          <w:sz w:val="22"/>
          <w:szCs w:val="22"/>
        </w:rPr>
        <w:tab/>
      </w:r>
      <w:r>
        <w:rPr>
          <w:noProof/>
        </w:rPr>
        <w:t>Annualized Cost to Federal Government</w:t>
      </w:r>
      <w:r>
        <w:rPr>
          <w:noProof/>
          <w:webHidden/>
        </w:rPr>
        <w:tab/>
      </w:r>
      <w:r w:rsidR="00CC181A">
        <w:rPr>
          <w:noProof/>
          <w:webHidden/>
        </w:rPr>
        <w:fldChar w:fldCharType="begin"/>
      </w:r>
      <w:r>
        <w:rPr>
          <w:noProof/>
          <w:webHidden/>
        </w:rPr>
        <w:instrText xml:space="preserve"> PAGEREF _Toc361303718 \h </w:instrText>
      </w:r>
      <w:r w:rsidR="00CC181A">
        <w:rPr>
          <w:noProof/>
          <w:webHidden/>
        </w:rPr>
      </w:r>
      <w:r w:rsidR="00CC181A">
        <w:rPr>
          <w:noProof/>
          <w:webHidden/>
        </w:rPr>
        <w:fldChar w:fldCharType="separate"/>
      </w:r>
      <w:r w:rsidR="001719CA">
        <w:rPr>
          <w:noProof/>
          <w:webHidden/>
        </w:rPr>
        <w:t>13</w:t>
      </w:r>
      <w:r w:rsidR="00CC181A">
        <w:rPr>
          <w:noProof/>
          <w:webHidden/>
        </w:rPr>
        <w:fldChar w:fldCharType="end"/>
      </w:r>
    </w:p>
    <w:p w:rsidR="0008078C" w:rsidRDefault="009C7B74">
      <w:pPr>
        <w:pStyle w:val="TOC3"/>
        <w:rPr>
          <w:rFonts w:asciiTheme="minorHAnsi" w:eastAsiaTheme="minorEastAsia" w:hAnsiTheme="minorHAnsi" w:cstheme="minorBidi"/>
          <w:noProof/>
          <w:sz w:val="22"/>
          <w:szCs w:val="22"/>
        </w:rPr>
      </w:pPr>
      <w:r>
        <w:rPr>
          <w:noProof/>
        </w:rPr>
        <w:t>15</w:t>
      </w:r>
      <w:r w:rsidR="0008078C">
        <w:rPr>
          <w:noProof/>
        </w:rPr>
        <w:t>.</w:t>
      </w:r>
      <w:r w:rsidR="0008078C">
        <w:rPr>
          <w:rFonts w:asciiTheme="minorHAnsi" w:eastAsiaTheme="minorEastAsia" w:hAnsiTheme="minorHAnsi" w:cstheme="minorBidi"/>
          <w:noProof/>
          <w:sz w:val="22"/>
          <w:szCs w:val="22"/>
        </w:rPr>
        <w:tab/>
      </w:r>
      <w:r w:rsidR="0008078C">
        <w:rPr>
          <w:noProof/>
        </w:rPr>
        <w:t>Explanation for Program Changes or Adjustments</w:t>
      </w:r>
      <w:r w:rsidR="0008078C">
        <w:rPr>
          <w:noProof/>
          <w:webHidden/>
        </w:rPr>
        <w:tab/>
      </w:r>
      <w:r w:rsidR="00CC181A">
        <w:rPr>
          <w:noProof/>
          <w:webHidden/>
        </w:rPr>
        <w:fldChar w:fldCharType="begin"/>
      </w:r>
      <w:r w:rsidR="0008078C">
        <w:rPr>
          <w:noProof/>
          <w:webHidden/>
        </w:rPr>
        <w:instrText xml:space="preserve"> PAGEREF _Toc361303719 \h </w:instrText>
      </w:r>
      <w:r w:rsidR="00CC181A">
        <w:rPr>
          <w:noProof/>
          <w:webHidden/>
        </w:rPr>
      </w:r>
      <w:r w:rsidR="00CC181A">
        <w:rPr>
          <w:noProof/>
          <w:webHidden/>
        </w:rPr>
        <w:fldChar w:fldCharType="separate"/>
      </w:r>
      <w:r w:rsidR="001719CA">
        <w:rPr>
          <w:noProof/>
          <w:webHidden/>
        </w:rPr>
        <w:t>13</w:t>
      </w:r>
      <w:r w:rsidR="00CC181A">
        <w:rPr>
          <w:noProof/>
          <w:webHidden/>
        </w:rPr>
        <w:fldChar w:fldCharType="end"/>
      </w:r>
    </w:p>
    <w:p w:rsidR="0008078C" w:rsidRDefault="009C7B74">
      <w:pPr>
        <w:pStyle w:val="TOC3"/>
        <w:rPr>
          <w:rFonts w:asciiTheme="minorHAnsi" w:eastAsiaTheme="minorEastAsia" w:hAnsiTheme="minorHAnsi" w:cstheme="minorBidi"/>
          <w:noProof/>
          <w:sz w:val="22"/>
          <w:szCs w:val="22"/>
        </w:rPr>
      </w:pPr>
      <w:r>
        <w:rPr>
          <w:noProof/>
        </w:rPr>
        <w:t>16</w:t>
      </w:r>
      <w:r w:rsidR="0008078C">
        <w:rPr>
          <w:noProof/>
        </w:rPr>
        <w:t>.</w:t>
      </w:r>
      <w:r w:rsidR="0008078C">
        <w:rPr>
          <w:rFonts w:asciiTheme="minorHAnsi" w:eastAsiaTheme="minorEastAsia" w:hAnsiTheme="minorHAnsi" w:cstheme="minorBidi"/>
          <w:noProof/>
          <w:sz w:val="22"/>
          <w:szCs w:val="22"/>
        </w:rPr>
        <w:tab/>
      </w:r>
      <w:r w:rsidR="0008078C">
        <w:rPr>
          <w:noProof/>
        </w:rPr>
        <w:t>Plans for Tabulation and Publication and Project Time Schedule</w:t>
      </w:r>
      <w:r w:rsidR="0008078C">
        <w:rPr>
          <w:noProof/>
          <w:webHidden/>
        </w:rPr>
        <w:tab/>
      </w:r>
      <w:r w:rsidR="00CC181A">
        <w:rPr>
          <w:noProof/>
          <w:webHidden/>
        </w:rPr>
        <w:fldChar w:fldCharType="begin"/>
      </w:r>
      <w:r w:rsidR="0008078C">
        <w:rPr>
          <w:noProof/>
          <w:webHidden/>
        </w:rPr>
        <w:instrText xml:space="preserve"> PAGEREF _Toc361303720 \h </w:instrText>
      </w:r>
      <w:r w:rsidR="00CC181A">
        <w:rPr>
          <w:noProof/>
          <w:webHidden/>
        </w:rPr>
      </w:r>
      <w:r w:rsidR="00CC181A">
        <w:rPr>
          <w:noProof/>
          <w:webHidden/>
        </w:rPr>
        <w:fldChar w:fldCharType="separate"/>
      </w:r>
      <w:r w:rsidR="001719CA">
        <w:rPr>
          <w:noProof/>
          <w:webHidden/>
        </w:rPr>
        <w:t>13</w:t>
      </w:r>
      <w:r w:rsidR="00CC181A">
        <w:rPr>
          <w:noProof/>
          <w:webHidden/>
        </w:rPr>
        <w:fldChar w:fldCharType="end"/>
      </w:r>
    </w:p>
    <w:p w:rsidR="0008078C" w:rsidRDefault="009C7B74">
      <w:pPr>
        <w:pStyle w:val="TOC3"/>
        <w:rPr>
          <w:rFonts w:asciiTheme="minorHAnsi" w:eastAsiaTheme="minorEastAsia" w:hAnsiTheme="minorHAnsi" w:cstheme="minorBidi"/>
          <w:noProof/>
          <w:sz w:val="22"/>
          <w:szCs w:val="22"/>
        </w:rPr>
      </w:pPr>
      <w:r>
        <w:rPr>
          <w:noProof/>
        </w:rPr>
        <w:t>17</w:t>
      </w:r>
      <w:r w:rsidR="0008078C">
        <w:rPr>
          <w:noProof/>
        </w:rPr>
        <w:t>.</w:t>
      </w:r>
      <w:r w:rsidR="0008078C">
        <w:rPr>
          <w:rFonts w:asciiTheme="minorHAnsi" w:eastAsiaTheme="minorEastAsia" w:hAnsiTheme="minorHAnsi" w:cstheme="minorBidi"/>
          <w:noProof/>
          <w:sz w:val="22"/>
          <w:szCs w:val="22"/>
        </w:rPr>
        <w:tab/>
      </w:r>
      <w:r w:rsidR="0008078C">
        <w:rPr>
          <w:noProof/>
        </w:rPr>
        <w:t>Reason(s) Display of OMB Expiration Date is Inappropriate</w:t>
      </w:r>
      <w:r w:rsidR="0008078C">
        <w:rPr>
          <w:noProof/>
          <w:webHidden/>
        </w:rPr>
        <w:tab/>
      </w:r>
      <w:r w:rsidR="00CC181A">
        <w:rPr>
          <w:noProof/>
          <w:webHidden/>
        </w:rPr>
        <w:fldChar w:fldCharType="begin"/>
      </w:r>
      <w:r w:rsidR="0008078C">
        <w:rPr>
          <w:noProof/>
          <w:webHidden/>
        </w:rPr>
        <w:instrText xml:space="preserve"> PAGEREF _Toc361303721 \h </w:instrText>
      </w:r>
      <w:r w:rsidR="00CC181A">
        <w:rPr>
          <w:noProof/>
          <w:webHidden/>
        </w:rPr>
      </w:r>
      <w:r w:rsidR="00CC181A">
        <w:rPr>
          <w:noProof/>
          <w:webHidden/>
        </w:rPr>
        <w:fldChar w:fldCharType="separate"/>
      </w:r>
      <w:r w:rsidR="001719CA">
        <w:rPr>
          <w:noProof/>
          <w:webHidden/>
        </w:rPr>
        <w:t>14</w:t>
      </w:r>
      <w:r w:rsidR="00CC181A">
        <w:rPr>
          <w:noProof/>
          <w:webHidden/>
        </w:rPr>
        <w:fldChar w:fldCharType="end"/>
      </w:r>
    </w:p>
    <w:p w:rsidR="0008078C" w:rsidRDefault="00292069">
      <w:pPr>
        <w:pStyle w:val="TOC3"/>
        <w:rPr>
          <w:rFonts w:asciiTheme="minorHAnsi" w:eastAsiaTheme="minorEastAsia" w:hAnsiTheme="minorHAnsi" w:cstheme="minorBidi"/>
          <w:noProof/>
          <w:sz w:val="22"/>
          <w:szCs w:val="22"/>
        </w:rPr>
      </w:pPr>
      <w:r>
        <w:rPr>
          <w:noProof/>
        </w:rPr>
        <w:t>18.</w:t>
      </w:r>
      <w:r w:rsidR="0008078C">
        <w:rPr>
          <w:rFonts w:asciiTheme="minorHAnsi" w:eastAsiaTheme="minorEastAsia" w:hAnsiTheme="minorHAnsi" w:cstheme="minorBidi"/>
          <w:noProof/>
          <w:sz w:val="22"/>
          <w:szCs w:val="22"/>
        </w:rPr>
        <w:tab/>
      </w:r>
      <w:r w:rsidR="0008078C">
        <w:rPr>
          <w:noProof/>
        </w:rPr>
        <w:t>Exceptions to Certification for Paperwork Reduction Act Submissions</w:t>
      </w:r>
      <w:r w:rsidR="0008078C">
        <w:rPr>
          <w:noProof/>
          <w:webHidden/>
        </w:rPr>
        <w:tab/>
      </w:r>
      <w:r w:rsidR="00CC181A">
        <w:rPr>
          <w:noProof/>
          <w:webHidden/>
        </w:rPr>
        <w:fldChar w:fldCharType="begin"/>
      </w:r>
      <w:r w:rsidR="0008078C">
        <w:rPr>
          <w:noProof/>
          <w:webHidden/>
        </w:rPr>
        <w:instrText xml:space="preserve"> PAGEREF _Toc361303722 \h </w:instrText>
      </w:r>
      <w:r w:rsidR="00CC181A">
        <w:rPr>
          <w:noProof/>
          <w:webHidden/>
        </w:rPr>
      </w:r>
      <w:r w:rsidR="00CC181A">
        <w:rPr>
          <w:noProof/>
          <w:webHidden/>
        </w:rPr>
        <w:fldChar w:fldCharType="separate"/>
      </w:r>
      <w:r w:rsidR="001719CA">
        <w:rPr>
          <w:noProof/>
          <w:webHidden/>
        </w:rPr>
        <w:t>14</w:t>
      </w:r>
      <w:r w:rsidR="00CC181A">
        <w:rPr>
          <w:noProof/>
          <w:webHidden/>
        </w:rPr>
        <w:fldChar w:fldCharType="end"/>
      </w:r>
    </w:p>
    <w:p w:rsidR="00CA275C" w:rsidRPr="00920488" w:rsidRDefault="00CC181A" w:rsidP="00920488">
      <w:pPr>
        <w:spacing w:after="480" w:line="240" w:lineRule="auto"/>
        <w:ind w:firstLine="0"/>
        <w:jc w:val="center"/>
        <w:rPr>
          <w:rFonts w:ascii="Arial" w:hAnsi="Arial" w:cs="Arial"/>
          <w:b/>
        </w:rPr>
      </w:pPr>
      <w:r>
        <w:rPr>
          <w:rFonts w:ascii="Arial" w:hAnsi="Arial" w:cs="Arial"/>
          <w:b/>
        </w:rPr>
        <w:fldChar w:fldCharType="end"/>
      </w:r>
    </w:p>
    <w:p w:rsidR="00920488" w:rsidRDefault="00920488" w:rsidP="00D012D8">
      <w:pPr>
        <w:pStyle w:val="Heading2Black"/>
        <w:sectPr w:rsidR="00920488" w:rsidSect="00920488">
          <w:footerReference w:type="default" r:id="rId13"/>
          <w:endnotePr>
            <w:numFmt w:val="decimal"/>
          </w:endnotePr>
          <w:pgSz w:w="12240" w:h="15840" w:code="1"/>
          <w:pgMar w:top="1440" w:right="1440" w:bottom="576" w:left="1440" w:header="720" w:footer="576" w:gutter="0"/>
          <w:cols w:space="720"/>
          <w:noEndnote/>
        </w:sectPr>
      </w:pPr>
    </w:p>
    <w:p w:rsidR="00BF6F52" w:rsidRPr="00414BD4" w:rsidRDefault="00BF6F52" w:rsidP="0008078C">
      <w:pPr>
        <w:pStyle w:val="Heading1Black"/>
      </w:pPr>
      <w:bookmarkStart w:id="1" w:name="_Toc361303702"/>
      <w:r w:rsidRPr="00414BD4">
        <w:lastRenderedPageBreak/>
        <w:t>A.</w:t>
      </w:r>
      <w:r w:rsidRPr="00414BD4">
        <w:tab/>
        <w:t>Justification</w:t>
      </w:r>
      <w:bookmarkEnd w:id="1"/>
    </w:p>
    <w:p w:rsidR="00BF6F52" w:rsidRPr="00414BD4" w:rsidRDefault="00885000" w:rsidP="00D012D8">
      <w:pPr>
        <w:pStyle w:val="Heading3"/>
      </w:pPr>
      <w:bookmarkStart w:id="2" w:name="_Toc361303703"/>
      <w:r>
        <w:t>A</w:t>
      </w:r>
      <w:r w:rsidR="00D737E8" w:rsidRPr="00414BD4">
        <w:t>1</w:t>
      </w:r>
      <w:r w:rsidR="00D012D8">
        <w:t>.</w:t>
      </w:r>
      <w:r w:rsidR="00D012D8">
        <w:tab/>
      </w:r>
      <w:r w:rsidR="00BF6F52" w:rsidRPr="00414BD4">
        <w:t>Circumstances Making the Collection of Information Necessary</w:t>
      </w:r>
      <w:bookmarkEnd w:id="2"/>
    </w:p>
    <w:p w:rsidR="00CA275C" w:rsidRPr="00414BD4" w:rsidRDefault="00CA275C" w:rsidP="00D012D8">
      <w:pPr>
        <w:pStyle w:val="NormalSS"/>
      </w:pPr>
      <w:r w:rsidRPr="00414BD4">
        <w:t xml:space="preserve">The Office of the Assistant Secretary for Planning and Evaluation (ASPE) requests a clearance from the Office of Management and Budget (OMB) under the Paperwork Reduction Act of 1995 to </w:t>
      </w:r>
      <w:r w:rsidR="003570EC">
        <w:t>pre</w:t>
      </w:r>
      <w:r w:rsidR="006746CC">
        <w:t>-</w:t>
      </w:r>
      <w:r w:rsidR="003570EC">
        <w:t>test</w:t>
      </w:r>
      <w:r w:rsidR="00BA7BA9">
        <w:t xml:space="preserve"> </w:t>
      </w:r>
      <w:r w:rsidR="003570EC">
        <w:t>a survey</w:t>
      </w:r>
      <w:r w:rsidR="00292069">
        <w:t xml:space="preserve"> </w:t>
      </w:r>
      <w:r w:rsidR="00094CC4">
        <w:t xml:space="preserve">that measures </w:t>
      </w:r>
      <w:r w:rsidR="00047449">
        <w:t>the quality of</w:t>
      </w:r>
      <w:r w:rsidRPr="00414BD4">
        <w:t xml:space="preserve"> </w:t>
      </w:r>
      <w:r w:rsidR="00094CC4">
        <w:t>psycho</w:t>
      </w:r>
      <w:r w:rsidR="00094CC4" w:rsidRPr="00414BD4">
        <w:t>therap</w:t>
      </w:r>
      <w:r w:rsidR="00094CC4">
        <w:t>y</w:t>
      </w:r>
      <w:r w:rsidR="00094CC4" w:rsidRPr="00414BD4">
        <w:t xml:space="preserve"> </w:t>
      </w:r>
      <w:r w:rsidR="00047449">
        <w:t>for</w:t>
      </w:r>
      <w:r w:rsidRPr="00414BD4">
        <w:t xml:space="preserve"> adults with </w:t>
      </w:r>
      <w:r w:rsidR="00665311">
        <w:t>p</w:t>
      </w:r>
      <w:r w:rsidRPr="00414BD4">
        <w:t>ost</w:t>
      </w:r>
      <w:r w:rsidR="00665311">
        <w:t>-t</w:t>
      </w:r>
      <w:r w:rsidRPr="00414BD4">
        <w:t xml:space="preserve">raumatic </w:t>
      </w:r>
      <w:r w:rsidR="00665311">
        <w:t>s</w:t>
      </w:r>
      <w:r w:rsidRPr="00414BD4">
        <w:t xml:space="preserve">tress </w:t>
      </w:r>
      <w:r w:rsidR="00665311">
        <w:t>d</w:t>
      </w:r>
      <w:r w:rsidRPr="00414BD4">
        <w:t>isorder (PTSD)</w:t>
      </w:r>
      <w:r w:rsidR="00B4662C">
        <w:t>, defined in terms of the concordance with evidence-based strategies,</w:t>
      </w:r>
      <w:r w:rsidR="002A3A0F">
        <w:t xml:space="preserve"> in </w:t>
      </w:r>
      <w:r w:rsidR="007F1B07">
        <w:t>outpatient</w:t>
      </w:r>
      <w:r w:rsidR="002A3A0F">
        <w:t xml:space="preserve"> treatment settings</w:t>
      </w:r>
      <w:r w:rsidRPr="00414BD4">
        <w:t xml:space="preserve">. </w:t>
      </w:r>
      <w:r w:rsidR="00292069">
        <w:t>ASPE is undertaking this effort in partnership with t</w:t>
      </w:r>
      <w:r w:rsidR="00292069" w:rsidRPr="00292069">
        <w:t>he National Institute of Mental Health (NIMH)</w:t>
      </w:r>
      <w:r w:rsidR="004A78DC">
        <w:t xml:space="preserve">, </w:t>
      </w:r>
      <w:r w:rsidR="00292069" w:rsidRPr="00292069">
        <w:t>National Institutes of Health</w:t>
      </w:r>
      <w:r w:rsidR="00292069">
        <w:t xml:space="preserve">. ASPE and NIMH are </w:t>
      </w:r>
      <w:r w:rsidR="00292069" w:rsidRPr="00292069">
        <w:t>component</w:t>
      </w:r>
      <w:r w:rsidR="00292069">
        <w:t>s</w:t>
      </w:r>
      <w:r w:rsidR="00292069" w:rsidRPr="00292069">
        <w:t xml:space="preserve"> of the U.S. Department of Health and Human Services</w:t>
      </w:r>
      <w:r w:rsidR="00C67725">
        <w:t xml:space="preserve"> (HHS)</w:t>
      </w:r>
      <w:r w:rsidR="00292069" w:rsidRPr="00292069">
        <w:t xml:space="preserve">. </w:t>
      </w:r>
      <w:r w:rsidR="00292069">
        <w:t xml:space="preserve"> </w:t>
      </w:r>
    </w:p>
    <w:p w:rsidR="002A3A0F" w:rsidRPr="008E39A8" w:rsidRDefault="00E85F10" w:rsidP="002A3A0F">
      <w:pPr>
        <w:pStyle w:val="NormalSS"/>
      </w:pPr>
      <w:r w:rsidRPr="008E39A8">
        <w:t xml:space="preserve">This work </w:t>
      </w:r>
      <w:r w:rsidR="00094CC4" w:rsidRPr="008E39A8">
        <w:t>aligns with</w:t>
      </w:r>
      <w:r w:rsidR="0076468E" w:rsidRPr="008E39A8">
        <w:t xml:space="preserve"> the mission and strategic planning</w:t>
      </w:r>
      <w:r w:rsidRPr="008E39A8">
        <w:t xml:space="preserve"> priorities of ASPE and NIMH</w:t>
      </w:r>
      <w:r w:rsidR="0076468E" w:rsidRPr="008E39A8">
        <w:t xml:space="preserve">. </w:t>
      </w:r>
      <w:r w:rsidR="00E43A7C" w:rsidRPr="008E39A8">
        <w:t xml:space="preserve">ASPE supports </w:t>
      </w:r>
      <w:r w:rsidR="00AA6473" w:rsidRPr="008E39A8">
        <w:t>HHS</w:t>
      </w:r>
      <w:r w:rsidR="006746CC">
        <w:t xml:space="preserve"> in its effort </w:t>
      </w:r>
      <w:r w:rsidR="0076468E" w:rsidRPr="008E39A8">
        <w:t>“to enhance the health and well-being of Americans by providing for effective health and human services and by fostering sound, sustained advances in the sciences underlying medicine, public health, and social services</w:t>
      </w:r>
      <w:r w:rsidR="00C67CCD" w:rsidRPr="008E39A8">
        <w:t>.</w:t>
      </w:r>
      <w:r w:rsidR="0076468E" w:rsidRPr="008E39A8">
        <w:t>”</w:t>
      </w:r>
      <w:r w:rsidR="00C67CCD" w:rsidRPr="008E39A8">
        <w:rPr>
          <w:rStyle w:val="FootnoteReference"/>
        </w:rPr>
        <w:footnoteReference w:id="1"/>
      </w:r>
      <w:r w:rsidR="0076468E" w:rsidRPr="008E39A8">
        <w:t xml:space="preserve"> </w:t>
      </w:r>
      <w:r w:rsidR="00C67CCD" w:rsidRPr="008E39A8">
        <w:t>Th</w:t>
      </w:r>
      <w:r w:rsidR="00304B9D">
        <w:t xml:space="preserve">ese advances </w:t>
      </w:r>
      <w:r w:rsidR="00C67CCD" w:rsidRPr="008E39A8">
        <w:t xml:space="preserve">include </w:t>
      </w:r>
      <w:r w:rsidR="004D4C71" w:rsidRPr="008E39A8">
        <w:t>treatments for behavioral health conditions</w:t>
      </w:r>
      <w:r w:rsidR="00346865" w:rsidRPr="008E39A8">
        <w:t>.</w:t>
      </w:r>
      <w:r w:rsidR="004D4C71" w:rsidRPr="008E39A8">
        <w:t xml:space="preserve"> </w:t>
      </w:r>
      <w:r w:rsidR="009E7B3E" w:rsidRPr="008E39A8">
        <w:t xml:space="preserve">In particular, </w:t>
      </w:r>
      <w:r w:rsidR="00346865" w:rsidRPr="008E39A8">
        <w:t>“</w:t>
      </w:r>
      <w:r w:rsidR="009E7B3E" w:rsidRPr="008E39A8">
        <w:t>improving</w:t>
      </w:r>
      <w:r w:rsidR="00BB1C79" w:rsidRPr="008E39A8">
        <w:t xml:space="preserve"> </w:t>
      </w:r>
      <w:r w:rsidR="00094CC4" w:rsidRPr="008E39A8">
        <w:t>health care q</w:t>
      </w:r>
      <w:r w:rsidR="00BB1C79" w:rsidRPr="008E39A8">
        <w:t>uality and patient safety</w:t>
      </w:r>
      <w:r w:rsidR="00346865" w:rsidRPr="008E39A8">
        <w:t>”</w:t>
      </w:r>
      <w:r w:rsidR="00BB1C79" w:rsidRPr="008E39A8">
        <w:t xml:space="preserve"> </w:t>
      </w:r>
      <w:r w:rsidR="00346865" w:rsidRPr="008E39A8">
        <w:t>through</w:t>
      </w:r>
      <w:r w:rsidR="00C67CCD" w:rsidRPr="008E39A8">
        <w:t xml:space="preserve"> wider dissemination of effective mental health treatment such as evidence-based psychotherapy </w:t>
      </w:r>
      <w:r w:rsidR="00BB1C79" w:rsidRPr="008E39A8">
        <w:t>is a</w:t>
      </w:r>
      <w:r w:rsidR="009E7B3E" w:rsidRPr="008E39A8">
        <w:t>n</w:t>
      </w:r>
      <w:r w:rsidR="00BB1C79" w:rsidRPr="008E39A8">
        <w:t xml:space="preserve"> HHS priority.</w:t>
      </w:r>
      <w:r w:rsidR="00346865" w:rsidRPr="008E39A8">
        <w:rPr>
          <w:rStyle w:val="FootnoteReference"/>
        </w:rPr>
        <w:footnoteReference w:id="2"/>
      </w:r>
      <w:r w:rsidR="00094CC4" w:rsidRPr="008E39A8">
        <w:t xml:space="preserve"> </w:t>
      </w:r>
      <w:r w:rsidR="009E7B3E" w:rsidRPr="008E39A8">
        <w:t>The mission of NIMH is to “transform the understanding and treatment of mental illnesses through basic and clinical research, paving the way for prevention, recovery, and cure</w:t>
      </w:r>
      <w:r w:rsidR="002A3A0F" w:rsidRPr="008E39A8">
        <w:t>.”</w:t>
      </w:r>
      <w:r w:rsidR="002A3A0F" w:rsidRPr="008E39A8">
        <w:rPr>
          <w:rStyle w:val="FootnoteReference"/>
        </w:rPr>
        <w:footnoteReference w:id="3"/>
      </w:r>
      <w:r w:rsidR="002A3A0F" w:rsidRPr="008E39A8">
        <w:t xml:space="preserve">  Effective treatment for PTSD and examination of the delivery of psychotherapy treatment </w:t>
      </w:r>
      <w:r w:rsidR="00047449">
        <w:t>and its concordance with evidence-based strategies</w:t>
      </w:r>
      <w:r w:rsidR="002A3A0F" w:rsidRPr="008E39A8">
        <w:t xml:space="preserve"> align with NIMH’s current strategic goal of “p</w:t>
      </w:r>
      <w:r w:rsidR="009E7B3E" w:rsidRPr="008E39A8">
        <w:t>roviding a knowledge base to move evidence-based interventions into practice.</w:t>
      </w:r>
      <w:r w:rsidR="002A3A0F" w:rsidRPr="008E39A8">
        <w:t>”</w:t>
      </w:r>
      <w:r w:rsidR="002A3A0F" w:rsidRPr="008E39A8">
        <w:rPr>
          <w:rStyle w:val="FootnoteReference"/>
        </w:rPr>
        <w:footnoteReference w:id="4"/>
      </w:r>
      <w:r w:rsidR="009E7B3E" w:rsidRPr="008E39A8">
        <w:t xml:space="preserve"> </w:t>
      </w:r>
      <w:r w:rsidR="0076468E" w:rsidRPr="008E39A8">
        <w:t xml:space="preserve">This research project is also responsive to the </w:t>
      </w:r>
      <w:r w:rsidR="00006C02">
        <w:t>p</w:t>
      </w:r>
      <w:r w:rsidR="0076468E" w:rsidRPr="008E39A8">
        <w:t>re</w:t>
      </w:r>
      <w:r w:rsidR="00AA6473" w:rsidRPr="008E39A8">
        <w:t xml:space="preserve">sident’s </w:t>
      </w:r>
      <w:r w:rsidR="00006C02">
        <w:t>e</w:t>
      </w:r>
      <w:r w:rsidR="00AA6473" w:rsidRPr="008E39A8">
        <w:t xml:space="preserve">xecutive </w:t>
      </w:r>
      <w:r w:rsidR="00006C02">
        <w:t>o</w:t>
      </w:r>
      <w:r w:rsidR="00AA6473" w:rsidRPr="008E39A8">
        <w:t>rder of August</w:t>
      </w:r>
      <w:r w:rsidR="0076468E" w:rsidRPr="008E39A8">
        <w:t xml:space="preserve"> 2012, </w:t>
      </w:r>
      <w:r w:rsidR="00AA6473" w:rsidRPr="008E39A8">
        <w:t xml:space="preserve">which directed HHS </w:t>
      </w:r>
      <w:r w:rsidR="0076468E" w:rsidRPr="008E39A8">
        <w:t xml:space="preserve">to </w:t>
      </w:r>
      <w:r w:rsidR="00AA6473" w:rsidRPr="008E39A8">
        <w:t>“</w:t>
      </w:r>
      <w:r w:rsidR="0076468E" w:rsidRPr="008E39A8">
        <w:t>develop more effective PTSD treatment m</w:t>
      </w:r>
      <w:r w:rsidR="00AA6473" w:rsidRPr="008E39A8">
        <w:t>ethodologies.”</w:t>
      </w:r>
      <w:r w:rsidR="00AA6473" w:rsidRPr="008E39A8">
        <w:rPr>
          <w:rStyle w:val="FootnoteReference"/>
        </w:rPr>
        <w:footnoteReference w:id="5"/>
      </w:r>
    </w:p>
    <w:p w:rsidR="00581F92" w:rsidRDefault="009E30F7" w:rsidP="009E30F7">
      <w:pPr>
        <w:pStyle w:val="NormalSS"/>
      </w:pPr>
      <w:r>
        <w:t xml:space="preserve">According to </w:t>
      </w:r>
      <w:r w:rsidR="00F94CC1">
        <w:t xml:space="preserve">the </w:t>
      </w:r>
      <w:r w:rsidR="00817105" w:rsidRPr="00817105">
        <w:rPr>
          <w:i/>
        </w:rPr>
        <w:t>Diagnostic an</w:t>
      </w:r>
      <w:r w:rsidR="00B4662C">
        <w:rPr>
          <w:i/>
        </w:rPr>
        <w:t>d Statistical Manual of Mental Diso</w:t>
      </w:r>
      <w:r w:rsidR="00817105" w:rsidRPr="00817105">
        <w:rPr>
          <w:i/>
        </w:rPr>
        <w:t>rders</w:t>
      </w:r>
      <w:r w:rsidR="00F94CC1">
        <w:t xml:space="preserve"> (DSM) IV</w:t>
      </w:r>
      <w:r>
        <w:t xml:space="preserve"> criteria, PTSD is an anxiety disorder</w:t>
      </w:r>
      <w:r w:rsidR="007F1B07">
        <w:rPr>
          <w:rStyle w:val="FootnoteReference"/>
        </w:rPr>
        <w:footnoteReference w:id="6"/>
      </w:r>
      <w:r>
        <w:t xml:space="preserve"> that some people develop following exposure to a traumatic event.</w:t>
      </w:r>
      <w:r w:rsidR="001836AA">
        <w:rPr>
          <w:rStyle w:val="FootnoteReference"/>
        </w:rPr>
        <w:footnoteReference w:id="7"/>
      </w:r>
      <w:r>
        <w:t xml:space="preserve"> It commonly co-occurs with depression, substance </w:t>
      </w:r>
      <w:r w:rsidR="00873F2D">
        <w:t>ab</w:t>
      </w:r>
      <w:r>
        <w:t xml:space="preserve">use, traumatic brain injury, and metabolic </w:t>
      </w:r>
      <w:proofErr w:type="gramStart"/>
      <w:r>
        <w:lastRenderedPageBreak/>
        <w:t>conditions</w:t>
      </w:r>
      <w:r w:rsidR="00BC5E02">
        <w:t>.</w:t>
      </w:r>
      <w:r w:rsidR="00BC5E02">
        <w:rPr>
          <w:rStyle w:val="FootnoteReference"/>
        </w:rPr>
        <w:footnoteReference w:id="8"/>
      </w:r>
      <w:r w:rsidR="00BC5E02">
        <w:rPr>
          <w:vertAlign w:val="superscript"/>
        </w:rPr>
        <w:t>,</w:t>
      </w:r>
      <w:proofErr w:type="gramEnd"/>
      <w:r w:rsidR="00BC5E02">
        <w:rPr>
          <w:vertAlign w:val="superscript"/>
        </w:rPr>
        <w:t xml:space="preserve"> </w:t>
      </w:r>
      <w:r w:rsidR="00BC5E02">
        <w:rPr>
          <w:rStyle w:val="FootnoteReference"/>
        </w:rPr>
        <w:footnoteReference w:id="9"/>
      </w:r>
      <w:r w:rsidR="00BC5E02">
        <w:rPr>
          <w:vertAlign w:val="superscript"/>
        </w:rPr>
        <w:t xml:space="preserve"> </w:t>
      </w:r>
      <w:r w:rsidR="00BC5E02">
        <w:t xml:space="preserve"> </w:t>
      </w:r>
      <w:r>
        <w:t xml:space="preserve">Because other conditions </w:t>
      </w:r>
      <w:r w:rsidR="007B1451">
        <w:t xml:space="preserve">(e.g., substance </w:t>
      </w:r>
      <w:r w:rsidR="00873F2D">
        <w:t>ab</w:t>
      </w:r>
      <w:r w:rsidR="007B1451">
        <w:t xml:space="preserve">use) </w:t>
      </w:r>
      <w:r>
        <w:t>may be the impetus for a person to seek treatment</w:t>
      </w:r>
      <w:r w:rsidR="00581F92">
        <w:t xml:space="preserve">, </w:t>
      </w:r>
      <w:r w:rsidR="0071322C">
        <w:t xml:space="preserve">a PTSD diagnosis </w:t>
      </w:r>
      <w:r w:rsidR="00873F2D">
        <w:t xml:space="preserve">may </w:t>
      </w:r>
      <w:r w:rsidR="0071322C">
        <w:t>come laden with stigma in certain populations</w:t>
      </w:r>
      <w:r w:rsidR="00E25366">
        <w:t>. T</w:t>
      </w:r>
      <w:r w:rsidR="00581F92">
        <w:t>he illness may occur well after the traumatic incident or reoccur at different points during the life</w:t>
      </w:r>
      <w:r w:rsidR="00873F2D">
        <w:t xml:space="preserve"> </w:t>
      </w:r>
      <w:r w:rsidR="00581F92">
        <w:t>cycle</w:t>
      </w:r>
      <w:r w:rsidR="00873F2D">
        <w:t>.</w:t>
      </w:r>
      <w:r w:rsidR="00E25366">
        <w:t xml:space="preserve"> </w:t>
      </w:r>
      <w:r>
        <w:t>PTSD in the general population</w:t>
      </w:r>
      <w:r w:rsidR="00873F2D">
        <w:t xml:space="preserve"> may be underreported</w:t>
      </w:r>
      <w:r>
        <w:t xml:space="preserve">. </w:t>
      </w:r>
      <w:r w:rsidR="00E25366">
        <w:t>C</w:t>
      </w:r>
      <w:r w:rsidR="0071322C">
        <w:t>urrent research</w:t>
      </w:r>
      <w:r>
        <w:t xml:space="preserve"> puts the figure somewhere around 6.8</w:t>
      </w:r>
      <w:r w:rsidR="00873F2D">
        <w:t xml:space="preserve"> percent</w:t>
      </w:r>
      <w:r w:rsidR="007B1451">
        <w:t>,</w:t>
      </w:r>
      <w:r>
        <w:t xml:space="preserve"> with women </w:t>
      </w:r>
      <w:r w:rsidR="005F7BA1">
        <w:t xml:space="preserve">estimated to </w:t>
      </w:r>
      <w:r>
        <w:t>hav</w:t>
      </w:r>
      <w:r w:rsidR="005F7BA1">
        <w:t>e</w:t>
      </w:r>
      <w:r>
        <w:t xml:space="preserve"> higher </w:t>
      </w:r>
      <w:r w:rsidR="0071322C">
        <w:t>prevalenc</w:t>
      </w:r>
      <w:r w:rsidR="00E25366">
        <w:t>e</w:t>
      </w:r>
      <w:r>
        <w:t xml:space="preserve"> than men (10</w:t>
      </w:r>
      <w:r w:rsidR="00873F2D">
        <w:t xml:space="preserve"> percent</w:t>
      </w:r>
      <w:r w:rsidR="0071322C">
        <w:t xml:space="preserve"> </w:t>
      </w:r>
      <w:r w:rsidR="00FD5938">
        <w:t xml:space="preserve">for women </w:t>
      </w:r>
      <w:r w:rsidR="0071322C">
        <w:t>v</w:t>
      </w:r>
      <w:r w:rsidR="00873F2D">
        <w:t>ersu</w:t>
      </w:r>
      <w:r w:rsidR="0071322C">
        <w:t>s 3.5</w:t>
      </w:r>
      <w:r w:rsidR="00873F2D">
        <w:t xml:space="preserve"> percent</w:t>
      </w:r>
      <w:r w:rsidR="00FD5938">
        <w:t xml:space="preserve"> for men</w:t>
      </w:r>
      <w:r w:rsidR="0071322C">
        <w:t>)</w:t>
      </w:r>
      <w:r w:rsidR="00BC5E02">
        <w:rPr>
          <w:rStyle w:val="FootnoteReference"/>
        </w:rPr>
        <w:footnoteReference w:id="10"/>
      </w:r>
      <w:r w:rsidR="00BC5E02">
        <w:t xml:space="preserve"> </w:t>
      </w:r>
      <w:r w:rsidR="0071322C">
        <w:t xml:space="preserve">and </w:t>
      </w:r>
      <w:r w:rsidR="001C0336">
        <w:t>v</w:t>
      </w:r>
      <w:r w:rsidR="0071322C">
        <w:t xml:space="preserve">eterans having </w:t>
      </w:r>
      <w:r w:rsidR="005F7BA1">
        <w:t>a higher prevalenc</w:t>
      </w:r>
      <w:r w:rsidR="00E25366">
        <w:t>e</w:t>
      </w:r>
      <w:r w:rsidR="005F7BA1">
        <w:t xml:space="preserve"> than the general population </w:t>
      </w:r>
      <w:r w:rsidR="001C0336">
        <w:t>(11</w:t>
      </w:r>
      <w:r w:rsidR="00873F2D">
        <w:t xml:space="preserve"> percent</w:t>
      </w:r>
      <w:r w:rsidR="001C0336">
        <w:t xml:space="preserve"> to 20</w:t>
      </w:r>
      <w:r w:rsidR="00873F2D">
        <w:t xml:space="preserve"> percent</w:t>
      </w:r>
      <w:r w:rsidR="001C0336">
        <w:t xml:space="preserve"> for veterans of the current wars</w:t>
      </w:r>
      <w:r w:rsidR="00873F2D">
        <w:t>,</w:t>
      </w:r>
      <w:r w:rsidR="005F7BA1">
        <w:t xml:space="preserve"> </w:t>
      </w:r>
      <w:r w:rsidR="00873F2D">
        <w:t xml:space="preserve">and </w:t>
      </w:r>
      <w:r w:rsidR="001C0336">
        <w:t xml:space="preserve">estimates of about </w:t>
      </w:r>
      <w:r w:rsidR="005F7BA1">
        <w:t>30</w:t>
      </w:r>
      <w:r w:rsidR="00873F2D">
        <w:t xml:space="preserve"> percent</w:t>
      </w:r>
      <w:r w:rsidR="001C0336">
        <w:t xml:space="preserve"> for all veterans of the Vietnam </w:t>
      </w:r>
      <w:r w:rsidR="00F90C2D">
        <w:t>W</w:t>
      </w:r>
      <w:r w:rsidR="001C0336">
        <w:t>ar).</w:t>
      </w:r>
      <w:r w:rsidR="005F7BA1">
        <w:rPr>
          <w:rStyle w:val="FootnoteReference"/>
        </w:rPr>
        <w:footnoteReference w:id="11"/>
      </w:r>
      <w:r w:rsidR="00950265">
        <w:t xml:space="preserve"> </w:t>
      </w:r>
      <w:r w:rsidR="008C38A6">
        <w:t xml:space="preserve">The cost of care can </w:t>
      </w:r>
      <w:r w:rsidR="008C38A6" w:rsidRPr="00A46206">
        <w:t>be significant</w:t>
      </w:r>
      <w:r w:rsidR="00930D18" w:rsidRPr="00A46206">
        <w:t xml:space="preserve"> as well</w:t>
      </w:r>
      <w:r w:rsidR="008C38A6" w:rsidRPr="00A46206">
        <w:t xml:space="preserve">. Studies have found that </w:t>
      </w:r>
      <w:r w:rsidR="00FD5938">
        <w:t>individuals</w:t>
      </w:r>
      <w:r w:rsidR="00FD5938" w:rsidRPr="00A46206">
        <w:t xml:space="preserve"> </w:t>
      </w:r>
      <w:r w:rsidR="002E7AE6" w:rsidRPr="00A46206">
        <w:t>with PTSD</w:t>
      </w:r>
      <w:r w:rsidR="008C38A6" w:rsidRPr="00A46206">
        <w:t xml:space="preserve"> </w:t>
      </w:r>
      <w:r w:rsidR="002E7AE6" w:rsidRPr="00A46206">
        <w:t xml:space="preserve">have </w:t>
      </w:r>
      <w:r w:rsidR="008C38A6" w:rsidRPr="00A46206">
        <w:t xml:space="preserve">increased health care service utilization as measured </w:t>
      </w:r>
      <w:r w:rsidR="00826EE6" w:rsidRPr="00A46206">
        <w:t xml:space="preserve">by number of </w:t>
      </w:r>
      <w:r w:rsidR="00224048" w:rsidRPr="00A46206">
        <w:t>physical and mental health appointments and</w:t>
      </w:r>
      <w:r w:rsidR="008C38A6" w:rsidRPr="00A46206">
        <w:t xml:space="preserve"> hospitalizations</w:t>
      </w:r>
      <w:r w:rsidR="00826EE6" w:rsidRPr="00A46206">
        <w:t xml:space="preserve"> (</w:t>
      </w:r>
      <w:proofErr w:type="spellStart"/>
      <w:r w:rsidR="00826EE6" w:rsidRPr="00A46206">
        <w:t>Tuerk</w:t>
      </w:r>
      <w:proofErr w:type="spellEnd"/>
      <w:r w:rsidR="008C38A6" w:rsidRPr="00A46206">
        <w:t xml:space="preserve"> et al. 2012</w:t>
      </w:r>
      <w:r w:rsidR="00B4662C">
        <w:t>).</w:t>
      </w:r>
      <w:r w:rsidR="007F1B07">
        <w:rPr>
          <w:rStyle w:val="FootnoteReference"/>
        </w:rPr>
        <w:footnoteReference w:id="12"/>
      </w:r>
      <w:r w:rsidR="008C38A6" w:rsidRPr="00A46206">
        <w:t xml:space="preserve"> </w:t>
      </w:r>
      <w:r w:rsidR="00224048" w:rsidRPr="00A46206">
        <w:t xml:space="preserve">Moreover, </w:t>
      </w:r>
      <w:r w:rsidR="00E25366">
        <w:t>one study</w:t>
      </w:r>
      <w:r w:rsidR="00A91381">
        <w:t xml:space="preserve"> found</w:t>
      </w:r>
      <w:r w:rsidR="00566A9F" w:rsidRPr="00A46206">
        <w:t xml:space="preserve"> an association between veterans who screened</w:t>
      </w:r>
      <w:r w:rsidR="00930D18" w:rsidRPr="00A46206">
        <w:t xml:space="preserve"> positive for PTSD and self-reports of more </w:t>
      </w:r>
      <w:r w:rsidR="00224048" w:rsidRPr="00A46206">
        <w:t>days of work missed</w:t>
      </w:r>
      <w:r w:rsidR="00566A9F" w:rsidRPr="00A46206">
        <w:t>, poorer health</w:t>
      </w:r>
      <w:r w:rsidR="00D42964">
        <w:t>,</w:t>
      </w:r>
      <w:r w:rsidR="00224048" w:rsidRPr="00A46206">
        <w:t xml:space="preserve"> and lower quality of life</w:t>
      </w:r>
      <w:r w:rsidR="00566A9F" w:rsidRPr="00A46206">
        <w:t xml:space="preserve"> overall than </w:t>
      </w:r>
      <w:r w:rsidR="00D42964">
        <w:t xml:space="preserve">among </w:t>
      </w:r>
      <w:r w:rsidR="00566A9F" w:rsidRPr="00A46206">
        <w:t>veterans who did not screen positive for PTSD</w:t>
      </w:r>
      <w:r w:rsidR="00581F92" w:rsidRPr="00A46206">
        <w:t xml:space="preserve"> (</w:t>
      </w:r>
      <w:proofErr w:type="spellStart"/>
      <w:r w:rsidR="00581F92" w:rsidRPr="00A46206">
        <w:t>Hoge</w:t>
      </w:r>
      <w:proofErr w:type="spellEnd"/>
      <w:r w:rsidR="00581F92" w:rsidRPr="00A46206">
        <w:t xml:space="preserve"> et</w:t>
      </w:r>
      <w:r w:rsidR="00D42964">
        <w:t xml:space="preserve"> </w:t>
      </w:r>
      <w:r w:rsidR="00581F92" w:rsidRPr="00A46206">
        <w:t>al. 2007).</w:t>
      </w:r>
      <w:r w:rsidR="00581F92">
        <w:t xml:space="preserve"> </w:t>
      </w:r>
    </w:p>
    <w:p w:rsidR="006B43A2" w:rsidRPr="00414BD4" w:rsidRDefault="00581F92" w:rsidP="0093569C">
      <w:pPr>
        <w:pStyle w:val="NormalSS"/>
        <w:tabs>
          <w:tab w:val="left" w:pos="1260"/>
        </w:tabs>
      </w:pPr>
      <w:r>
        <w:t xml:space="preserve">In recent years however, increased </w:t>
      </w:r>
      <w:r w:rsidR="0093569C">
        <w:t>national</w:t>
      </w:r>
      <w:r>
        <w:t xml:space="preserve"> attention has led to </w:t>
      </w:r>
      <w:r w:rsidR="00DB06DB">
        <w:t xml:space="preserve">an improvement in the types and effectiveness of </w:t>
      </w:r>
      <w:r>
        <w:t>treatment</w:t>
      </w:r>
      <w:r w:rsidR="00DB06DB">
        <w:t xml:space="preserve">s for </w:t>
      </w:r>
      <w:r w:rsidR="00FD5938">
        <w:t>individuals</w:t>
      </w:r>
      <w:r w:rsidR="00DB06DB">
        <w:t xml:space="preserve"> diagnosed with PTSD</w:t>
      </w:r>
      <w:r w:rsidR="00930D18">
        <w:t xml:space="preserve">. </w:t>
      </w:r>
      <w:r w:rsidR="0093569C">
        <w:t>Particularly promising is the number of psychotherapy treatment approaches</w:t>
      </w:r>
      <w:r w:rsidR="00A91381">
        <w:t>—for example, c</w:t>
      </w:r>
      <w:r w:rsidR="0093569C">
        <w:t xml:space="preserve">ognitive </w:t>
      </w:r>
      <w:r w:rsidR="00A91381">
        <w:t>b</w:t>
      </w:r>
      <w:r w:rsidR="0093569C">
        <w:t xml:space="preserve">ehavioral </w:t>
      </w:r>
      <w:r w:rsidR="00A91381">
        <w:t>t</w:t>
      </w:r>
      <w:r w:rsidR="0093569C">
        <w:t>herapy</w:t>
      </w:r>
      <w:r w:rsidR="008B3145">
        <w:t xml:space="preserve"> (CBT)</w:t>
      </w:r>
      <w:r w:rsidR="00A91381">
        <w:t xml:space="preserve"> and e</w:t>
      </w:r>
      <w:r w:rsidR="0093569C" w:rsidRPr="0093569C">
        <w:t xml:space="preserve">xposure </w:t>
      </w:r>
      <w:r w:rsidR="00A91381">
        <w:t>t</w:t>
      </w:r>
      <w:r w:rsidR="0093569C" w:rsidRPr="0093569C">
        <w:t>herapy</w:t>
      </w:r>
      <w:r w:rsidR="00A91381">
        <w:t>—</w:t>
      </w:r>
      <w:r w:rsidR="0093569C">
        <w:t>that have demonstrated slightly</w:t>
      </w:r>
      <w:r w:rsidR="00EF7EF9">
        <w:t xml:space="preserve"> to</w:t>
      </w:r>
      <w:r w:rsidR="0093569C" w:rsidRPr="0093569C">
        <w:t xml:space="preserve"> significantly better treatment outcomes</w:t>
      </w:r>
      <w:r w:rsidR="00A91381">
        <w:t>,</w:t>
      </w:r>
      <w:r w:rsidR="0093569C" w:rsidRPr="0093569C">
        <w:t xml:space="preserve"> </w:t>
      </w:r>
      <w:r w:rsidR="0093569C">
        <w:t xml:space="preserve">such as reduction of symptoms and </w:t>
      </w:r>
      <w:r w:rsidR="0093569C" w:rsidRPr="0093569C">
        <w:t>improve</w:t>
      </w:r>
      <w:r w:rsidR="0093569C">
        <w:t>d mental health</w:t>
      </w:r>
      <w:r w:rsidR="00A91381">
        <w:t>,</w:t>
      </w:r>
      <w:r w:rsidR="00DB06DB">
        <w:t xml:space="preserve"> for </w:t>
      </w:r>
      <w:r w:rsidR="00A91381">
        <w:t xml:space="preserve">those </w:t>
      </w:r>
      <w:r w:rsidR="00DB06DB">
        <w:t>diagnosed with PTSD</w:t>
      </w:r>
      <w:r w:rsidR="008B3145">
        <w:t>.</w:t>
      </w:r>
      <w:r w:rsidR="00047449">
        <w:rPr>
          <w:rStyle w:val="FootnoteReference"/>
        </w:rPr>
        <w:footnoteReference w:id="13"/>
      </w:r>
      <w:r w:rsidR="0093569C" w:rsidRPr="0093569C">
        <w:t xml:space="preserve"> </w:t>
      </w:r>
      <w:r w:rsidR="0093569C">
        <w:t>Yet d</w:t>
      </w:r>
      <w:r w:rsidR="006C3232" w:rsidRPr="00414BD4">
        <w:t xml:space="preserve">espite enormous expenditures and remarkable breakthroughs in treatment, there is a clear gap between what is known about effective treatments for individuals with PTSD and what </w:t>
      </w:r>
      <w:r w:rsidR="001A124C" w:rsidRPr="00414BD4">
        <w:t xml:space="preserve">clinicians </w:t>
      </w:r>
      <w:r w:rsidR="006C3232" w:rsidRPr="00414BD4">
        <w:t xml:space="preserve">actually implement. </w:t>
      </w:r>
      <w:r w:rsidR="00F617A1" w:rsidRPr="00414BD4">
        <w:t>Quality</w:t>
      </w:r>
      <w:r w:rsidR="00035E9A">
        <w:t>-</w:t>
      </w:r>
      <w:r w:rsidR="00F617A1" w:rsidRPr="00414BD4">
        <w:t xml:space="preserve">improvement initiatives that measure providers’ use of </w:t>
      </w:r>
      <w:r w:rsidR="00EF7EF9">
        <w:t>evidence-based strategies</w:t>
      </w:r>
      <w:r w:rsidR="00F617A1" w:rsidRPr="00414BD4">
        <w:t xml:space="preserve"> and promote feedback to providers may enhance the adoption of </w:t>
      </w:r>
      <w:r w:rsidR="00EF7EF9" w:rsidRPr="00414BD4">
        <w:t>evidence-based</w:t>
      </w:r>
      <w:r w:rsidR="00F617A1" w:rsidRPr="00414BD4">
        <w:t xml:space="preserve"> services and ultimately imp</w:t>
      </w:r>
      <w:r w:rsidR="00880830">
        <w:t>rove quality of care and consumer</w:t>
      </w:r>
      <w:r w:rsidR="00F617A1" w:rsidRPr="00414BD4">
        <w:t xml:space="preserve"> health outcomes.</w:t>
      </w:r>
      <w:r w:rsidR="00FD5938">
        <w:rPr>
          <w:rStyle w:val="FootnoteReference"/>
        </w:rPr>
        <w:footnoteReference w:id="14"/>
      </w:r>
      <w:r w:rsidR="00F617A1" w:rsidRPr="00414BD4">
        <w:t xml:space="preserve"> </w:t>
      </w:r>
      <w:r w:rsidR="00DD116E" w:rsidRPr="00414BD4">
        <w:t>Q</w:t>
      </w:r>
      <w:r w:rsidR="00173717" w:rsidRPr="00414BD4">
        <w:t xml:space="preserve">uality measures </w:t>
      </w:r>
      <w:r w:rsidR="00035E9A">
        <w:t>for</w:t>
      </w:r>
      <w:r w:rsidR="00035E9A" w:rsidRPr="00414BD4">
        <w:t xml:space="preserve"> </w:t>
      </w:r>
      <w:r w:rsidR="00173717" w:rsidRPr="00414BD4">
        <w:t>the delivery of evidence</w:t>
      </w:r>
      <w:r w:rsidR="00035E9A">
        <w:t>-</w:t>
      </w:r>
      <w:r w:rsidR="00173717" w:rsidRPr="00414BD4">
        <w:t>based therapies for PTSD do not currently exist</w:t>
      </w:r>
      <w:r w:rsidR="00DD116E" w:rsidRPr="00414BD4">
        <w:t xml:space="preserve"> and could be used to reduce this gap. </w:t>
      </w:r>
      <w:r w:rsidR="004D4C71" w:rsidRPr="00414BD4">
        <w:t xml:space="preserve">ASPE, in partnership with NIMH, has undertaken a project to </w:t>
      </w:r>
      <w:r w:rsidR="003570EC">
        <w:t>pre</w:t>
      </w:r>
      <w:r w:rsidR="001C032E">
        <w:t>-</w:t>
      </w:r>
      <w:r w:rsidR="003570EC">
        <w:t>test</w:t>
      </w:r>
      <w:r w:rsidR="00BA7BA9">
        <w:t xml:space="preserve"> </w:t>
      </w:r>
      <w:r w:rsidR="004961AF" w:rsidRPr="00414BD4">
        <w:t xml:space="preserve">clinician and </w:t>
      </w:r>
      <w:r w:rsidR="00E434D7">
        <w:t>consumer</w:t>
      </w:r>
      <w:r w:rsidR="00BB0333">
        <w:t xml:space="preserve"> </w:t>
      </w:r>
      <w:r w:rsidR="008B07F1" w:rsidRPr="00414BD4">
        <w:t>survey</w:t>
      </w:r>
      <w:r w:rsidR="00766ACF" w:rsidRPr="00414BD4">
        <w:t>s</w:t>
      </w:r>
      <w:r w:rsidR="004D4C71" w:rsidRPr="00414BD4">
        <w:t xml:space="preserve"> of the </w:t>
      </w:r>
      <w:r w:rsidR="00EF7EF9">
        <w:t>quality</w:t>
      </w:r>
      <w:r w:rsidR="004D4C71" w:rsidRPr="00414BD4">
        <w:t xml:space="preserve"> of therapies </w:t>
      </w:r>
      <w:r w:rsidR="001C032E">
        <w:t>for</w:t>
      </w:r>
      <w:r w:rsidR="001C032E" w:rsidRPr="00414BD4">
        <w:t xml:space="preserve"> </w:t>
      </w:r>
      <w:r w:rsidR="004D4C71" w:rsidRPr="00414BD4">
        <w:t>adults with PTSD</w:t>
      </w:r>
      <w:r w:rsidR="00EF7EF9">
        <w:t xml:space="preserve"> </w:t>
      </w:r>
      <w:r w:rsidR="0050571F">
        <w:t>that are</w:t>
      </w:r>
      <w:r w:rsidR="00FD6B7C">
        <w:t xml:space="preserve"> </w:t>
      </w:r>
      <w:r w:rsidR="0050571F">
        <w:t xml:space="preserve">concordant </w:t>
      </w:r>
      <w:r w:rsidR="00EF7EF9">
        <w:t xml:space="preserve">with evidence-based </w:t>
      </w:r>
      <w:r w:rsidR="0050571F">
        <w:t>therapeutic strategies</w:t>
      </w:r>
      <w:r w:rsidR="00766ACF" w:rsidRPr="00414BD4">
        <w:t xml:space="preserve">. </w:t>
      </w:r>
    </w:p>
    <w:p w:rsidR="001244EF" w:rsidRDefault="00AC7A2D" w:rsidP="009B55DD">
      <w:pPr>
        <w:tabs>
          <w:tab w:val="clear" w:pos="432"/>
        </w:tabs>
        <w:spacing w:line="240" w:lineRule="auto"/>
        <w:contextualSpacing/>
      </w:pPr>
      <w:r>
        <w:lastRenderedPageBreak/>
        <w:t>By c</w:t>
      </w:r>
      <w:r w:rsidR="008B07F1" w:rsidRPr="00414BD4">
        <w:t xml:space="preserve">ollecting </w:t>
      </w:r>
      <w:r w:rsidR="003570EC">
        <w:t>pre</w:t>
      </w:r>
      <w:r>
        <w:t>-</w:t>
      </w:r>
      <w:r w:rsidR="003570EC">
        <w:t>test</w:t>
      </w:r>
      <w:r w:rsidR="00BA7BA9">
        <w:t xml:space="preserve"> </w:t>
      </w:r>
      <w:r w:rsidR="008B07F1" w:rsidRPr="00414BD4">
        <w:t>data</w:t>
      </w:r>
      <w:r>
        <w:t>, this project</w:t>
      </w:r>
      <w:r w:rsidR="008B07F1" w:rsidRPr="00414BD4">
        <w:t xml:space="preserve"> directly serves ASPE’s goal</w:t>
      </w:r>
      <w:r w:rsidR="001C032E">
        <w:t xml:space="preserve"> of </w:t>
      </w:r>
      <w:r w:rsidR="00414BD4">
        <w:t>develop</w:t>
      </w:r>
      <w:r w:rsidR="001C032E">
        <w:t xml:space="preserve">ing </w:t>
      </w:r>
      <w:r w:rsidR="00414BD4">
        <w:t>a</w:t>
      </w:r>
      <w:r w:rsidR="00DB06DB">
        <w:t>n</w:t>
      </w:r>
      <w:r w:rsidR="00414BD4">
        <w:t xml:space="preserve"> </w:t>
      </w:r>
      <w:r w:rsidR="00DB06DB">
        <w:t xml:space="preserve">effectiveness-based </w:t>
      </w:r>
      <w:r w:rsidR="00414BD4">
        <w:t>measure that could</w:t>
      </w:r>
      <w:r w:rsidR="008B07F1" w:rsidRPr="00414BD4">
        <w:t xml:space="preserve"> be used to improve the quality of PTSD care. </w:t>
      </w:r>
      <w:r>
        <w:t xml:space="preserve">The </w:t>
      </w:r>
      <w:r w:rsidR="00880830">
        <w:t xml:space="preserve">project </w:t>
      </w:r>
      <w:r w:rsidR="001244EF">
        <w:t xml:space="preserve">has </w:t>
      </w:r>
      <w:r>
        <w:t xml:space="preserve">more specific </w:t>
      </w:r>
      <w:r w:rsidR="001244EF">
        <w:t>goals</w:t>
      </w:r>
      <w:r>
        <w:t xml:space="preserve"> as well</w:t>
      </w:r>
      <w:r w:rsidR="001244EF">
        <w:t>:</w:t>
      </w:r>
    </w:p>
    <w:p w:rsidR="001244EF" w:rsidRDefault="001244EF" w:rsidP="00DB06DB">
      <w:pPr>
        <w:tabs>
          <w:tab w:val="clear" w:pos="432"/>
        </w:tabs>
        <w:spacing w:line="240" w:lineRule="auto"/>
        <w:ind w:left="360" w:firstLine="0"/>
        <w:contextualSpacing/>
      </w:pPr>
    </w:p>
    <w:p w:rsidR="0093569C" w:rsidRDefault="004C44A8" w:rsidP="00AC7A2D">
      <w:pPr>
        <w:pStyle w:val="ListParagraph"/>
        <w:numPr>
          <w:ilvl w:val="0"/>
          <w:numId w:val="46"/>
        </w:numPr>
        <w:tabs>
          <w:tab w:val="clear" w:pos="432"/>
        </w:tabs>
        <w:spacing w:line="240" w:lineRule="auto"/>
      </w:pPr>
      <w:r>
        <w:t>It seeks t</w:t>
      </w:r>
      <w:r w:rsidR="001244EF">
        <w:t xml:space="preserve">o </w:t>
      </w:r>
      <w:r w:rsidR="003570EC">
        <w:t>pre</w:t>
      </w:r>
      <w:r w:rsidR="00AC7A2D">
        <w:t>-</w:t>
      </w:r>
      <w:r w:rsidR="003570EC">
        <w:t>test</w:t>
      </w:r>
      <w:r w:rsidR="00456C53" w:rsidRPr="00756154">
        <w:t xml:space="preserve"> </w:t>
      </w:r>
      <w:r w:rsidR="00456C53">
        <w:t>three instrument</w:t>
      </w:r>
      <w:r w:rsidR="00422C80">
        <w:t xml:space="preserve"> p</w:t>
      </w:r>
      <w:r w:rsidR="00422C80" w:rsidRPr="00756154">
        <w:t>rototype</w:t>
      </w:r>
      <w:r w:rsidR="00422C80">
        <w:t>s</w:t>
      </w:r>
      <w:r w:rsidR="00EF7EF9">
        <w:t>, wh</w:t>
      </w:r>
      <w:r w:rsidR="008B3145">
        <w:t>ich involve parallel versions fo</w:t>
      </w:r>
      <w:r w:rsidR="00EF7EF9">
        <w:t>r use with different respondents</w:t>
      </w:r>
      <w:r w:rsidR="00AC7A2D">
        <w:t>—</w:t>
      </w:r>
      <w:r w:rsidR="00422C80">
        <w:t xml:space="preserve">one for PTSD clinicians, one for </w:t>
      </w:r>
      <w:r w:rsidR="00AC7A2D">
        <w:t xml:space="preserve">individuals with </w:t>
      </w:r>
      <w:r w:rsidR="00422C80">
        <w:t xml:space="preserve">PTSD </w:t>
      </w:r>
      <w:r w:rsidR="00AC7A2D">
        <w:t xml:space="preserve">seen by </w:t>
      </w:r>
      <w:r w:rsidR="00422C80">
        <w:t>these clinicians, and one for supervisor</w:t>
      </w:r>
      <w:r w:rsidR="00AC7A2D">
        <w:t>s of these clinicians—</w:t>
      </w:r>
      <w:r w:rsidR="00456C53">
        <w:t>in a limited number of settings</w:t>
      </w:r>
      <w:r w:rsidR="00EF6C1C">
        <w:t>. The pre-test</w:t>
      </w:r>
      <w:r w:rsidR="00AC7A2D">
        <w:t xml:space="preserve"> </w:t>
      </w:r>
      <w:r w:rsidR="00EF6C1C">
        <w:t xml:space="preserve">is designed </w:t>
      </w:r>
      <w:r w:rsidR="00456C53">
        <w:t>to</w:t>
      </w:r>
      <w:r w:rsidR="00AC7A2D">
        <w:t xml:space="preserve"> </w:t>
      </w:r>
    </w:p>
    <w:p w:rsidR="007B1451" w:rsidRDefault="007B1451" w:rsidP="001244EF">
      <w:pPr>
        <w:pStyle w:val="NumberedBullet"/>
        <w:numPr>
          <w:ilvl w:val="1"/>
          <w:numId w:val="46"/>
        </w:numPr>
      </w:pPr>
      <w:r>
        <w:t>assess the development of data collection procedures</w:t>
      </w:r>
      <w:r w:rsidR="004C44A8">
        <w:t>;</w:t>
      </w:r>
    </w:p>
    <w:p w:rsidR="0093569C" w:rsidRDefault="00156677" w:rsidP="001244EF">
      <w:pPr>
        <w:pStyle w:val="NumberedBullet"/>
        <w:numPr>
          <w:ilvl w:val="1"/>
          <w:numId w:val="46"/>
        </w:numPr>
      </w:pPr>
      <w:r>
        <w:t>initial</w:t>
      </w:r>
      <w:r w:rsidR="004C44A8">
        <w:t>ly</w:t>
      </w:r>
      <w:r>
        <w:t xml:space="preserve"> assess </w:t>
      </w:r>
      <w:r w:rsidR="008B07F1" w:rsidRPr="00414BD4">
        <w:t xml:space="preserve">the </w:t>
      </w:r>
      <w:r w:rsidR="00422C80">
        <w:t>instruments</w:t>
      </w:r>
      <w:r w:rsidR="007B1451">
        <w:t xml:space="preserve">’ reliability </w:t>
      </w:r>
      <w:r w:rsidR="008B07F1" w:rsidRPr="00414BD4">
        <w:t xml:space="preserve">and </w:t>
      </w:r>
      <w:r w:rsidR="004C44A8">
        <w:t xml:space="preserve">determine </w:t>
      </w:r>
      <w:r>
        <w:t xml:space="preserve">if they </w:t>
      </w:r>
      <w:r w:rsidR="008B07F1" w:rsidRPr="00414BD4">
        <w:t>produce consistent results regarding the delivery of evidence</w:t>
      </w:r>
      <w:r w:rsidR="004C44A8">
        <w:t>-</w:t>
      </w:r>
      <w:r w:rsidR="008B07F1" w:rsidRPr="00414BD4">
        <w:t>based therapies</w:t>
      </w:r>
      <w:r w:rsidR="00BB0333">
        <w:t>;</w:t>
      </w:r>
      <w:r w:rsidR="008B07F1" w:rsidRPr="00414BD4">
        <w:t xml:space="preserve"> </w:t>
      </w:r>
    </w:p>
    <w:p w:rsidR="0093569C" w:rsidRDefault="00CC1E15" w:rsidP="001244EF">
      <w:pPr>
        <w:pStyle w:val="NumberedBullet"/>
        <w:numPr>
          <w:ilvl w:val="1"/>
          <w:numId w:val="46"/>
        </w:numPr>
      </w:pPr>
      <w:r>
        <w:t xml:space="preserve"> </w:t>
      </w:r>
      <w:r w:rsidR="00FA2963">
        <w:t>initial</w:t>
      </w:r>
      <w:r w:rsidR="004C44A8">
        <w:t>ly</w:t>
      </w:r>
      <w:r w:rsidR="00FA2963">
        <w:t xml:space="preserve"> assess</w:t>
      </w:r>
      <w:r w:rsidR="008B07F1" w:rsidRPr="00414BD4">
        <w:t xml:space="preserve"> the </w:t>
      </w:r>
      <w:r w:rsidR="00422C80">
        <w:t>instruments</w:t>
      </w:r>
      <w:r w:rsidR="00FA2963">
        <w:t>’</w:t>
      </w:r>
      <w:r w:rsidR="00422C80">
        <w:t xml:space="preserve"> </w:t>
      </w:r>
      <w:r w:rsidR="00FA2963">
        <w:t>validity</w:t>
      </w:r>
      <w:r w:rsidR="008B07F1" w:rsidRPr="00414BD4">
        <w:t xml:space="preserve"> and </w:t>
      </w:r>
      <w:r w:rsidR="004C44A8">
        <w:t xml:space="preserve">determine </w:t>
      </w:r>
      <w:r w:rsidR="00FA2963">
        <w:t xml:space="preserve">if they </w:t>
      </w:r>
      <w:r w:rsidR="008B07F1" w:rsidRPr="00414BD4">
        <w:t>produce credible results regarding the delivery of evidence</w:t>
      </w:r>
      <w:r w:rsidR="004C44A8">
        <w:t>-</w:t>
      </w:r>
      <w:r w:rsidR="008B07F1" w:rsidRPr="00414BD4">
        <w:t>based therapies</w:t>
      </w:r>
      <w:r w:rsidR="00BB0333">
        <w:t>;</w:t>
      </w:r>
      <w:r w:rsidR="008B07F1" w:rsidRPr="00414BD4">
        <w:t xml:space="preserve">  </w:t>
      </w:r>
    </w:p>
    <w:p w:rsidR="0093569C" w:rsidRDefault="00CC1E15" w:rsidP="001244EF">
      <w:pPr>
        <w:pStyle w:val="NumberedBullet"/>
        <w:numPr>
          <w:ilvl w:val="1"/>
          <w:numId w:val="46"/>
        </w:numPr>
      </w:pPr>
      <w:r>
        <w:t xml:space="preserve">examine </w:t>
      </w:r>
      <w:r w:rsidR="00D725AC">
        <w:t>the</w:t>
      </w:r>
      <w:r w:rsidR="00FA2963">
        <w:t xml:space="preserve"> </w:t>
      </w:r>
      <w:r w:rsidR="00D725AC">
        <w:t xml:space="preserve">factor structure of the </w:t>
      </w:r>
      <w:r w:rsidR="00422C80">
        <w:t>instrument</w:t>
      </w:r>
      <w:r w:rsidR="006C00A4">
        <w:t>s’</w:t>
      </w:r>
      <w:r w:rsidR="00422C80">
        <w:t xml:space="preserve"> items </w:t>
      </w:r>
      <w:r w:rsidR="00D725AC">
        <w:t xml:space="preserve">and </w:t>
      </w:r>
      <w:r w:rsidR="004C44A8">
        <w:t xml:space="preserve">determine if </w:t>
      </w:r>
      <w:r w:rsidR="00D725AC">
        <w:t xml:space="preserve">the </w:t>
      </w:r>
      <w:r w:rsidR="00422C80">
        <w:t xml:space="preserve">instruments </w:t>
      </w:r>
      <w:r w:rsidR="00D725AC">
        <w:t xml:space="preserve"> can be shortened;</w:t>
      </w:r>
      <w:r w:rsidR="004C44A8">
        <w:t xml:space="preserve"> and</w:t>
      </w:r>
    </w:p>
    <w:p w:rsidR="0093569C" w:rsidRDefault="00CC1E15" w:rsidP="001244EF">
      <w:pPr>
        <w:pStyle w:val="NumberedBullet"/>
        <w:numPr>
          <w:ilvl w:val="1"/>
          <w:numId w:val="46"/>
        </w:numPr>
      </w:pPr>
      <w:proofErr w:type="gramStart"/>
      <w:r>
        <w:t>assess</w:t>
      </w:r>
      <w:proofErr w:type="gramEnd"/>
      <w:r>
        <w:t xml:space="preserve"> </w:t>
      </w:r>
      <w:r w:rsidR="00456C53" w:rsidRPr="00456C53">
        <w:t xml:space="preserve">the feasibility </w:t>
      </w:r>
      <w:r w:rsidR="00422C80">
        <w:t xml:space="preserve">of </w:t>
      </w:r>
      <w:r w:rsidR="006C00A4">
        <w:t xml:space="preserve">the </w:t>
      </w:r>
      <w:r w:rsidR="00422C80">
        <w:t>instrument</w:t>
      </w:r>
      <w:r w:rsidR="006C00A4">
        <w:t>s</w:t>
      </w:r>
      <w:r w:rsidR="006C4897">
        <w:t>’</w:t>
      </w:r>
      <w:r w:rsidR="00422C80">
        <w:t xml:space="preserve"> </w:t>
      </w:r>
      <w:r w:rsidR="00456C53" w:rsidRPr="00456C53">
        <w:t xml:space="preserve">use with </w:t>
      </w:r>
      <w:r w:rsidR="006C00A4">
        <w:t>instrument respondents</w:t>
      </w:r>
      <w:r w:rsidR="006C4897">
        <w:t xml:space="preserve"> and relevant stakeholders</w:t>
      </w:r>
      <w:r w:rsidR="006C00A4">
        <w:t>.</w:t>
      </w:r>
    </w:p>
    <w:p w:rsidR="0003689D" w:rsidRDefault="00817105">
      <w:pPr>
        <w:pStyle w:val="NumberedBullet"/>
        <w:numPr>
          <w:ilvl w:val="0"/>
          <w:numId w:val="0"/>
        </w:numPr>
        <w:ind w:left="1080" w:right="0" w:hanging="360"/>
      </w:pPr>
      <w:r w:rsidRPr="00817105">
        <w:t xml:space="preserve">2) </w:t>
      </w:r>
      <w:r w:rsidR="00C96532">
        <w:t xml:space="preserve"> </w:t>
      </w:r>
      <w:r w:rsidRPr="00817105">
        <w:t xml:space="preserve">The project </w:t>
      </w:r>
      <w:r w:rsidR="004C44A8">
        <w:t xml:space="preserve">also </w:t>
      </w:r>
      <w:r w:rsidRPr="00817105">
        <w:t>seeks to</w:t>
      </w:r>
      <w:r w:rsidR="001244EF">
        <w:rPr>
          <w:rFonts w:ascii="Times New Roman" w:hAnsi="Times New Roman"/>
        </w:rPr>
        <w:t xml:space="preserve"> </w:t>
      </w:r>
      <w:r w:rsidR="00FA2963">
        <w:t xml:space="preserve">suggest revisions to the instrument </w:t>
      </w:r>
      <w:r w:rsidR="00422C80" w:rsidRPr="00422C80">
        <w:t xml:space="preserve">based on the results from the </w:t>
      </w:r>
      <w:r w:rsidR="00FF6153">
        <w:t>p</w:t>
      </w:r>
      <w:r w:rsidR="003570EC">
        <w:t>re</w:t>
      </w:r>
      <w:r w:rsidR="004C44A8">
        <w:t>-</w:t>
      </w:r>
      <w:r w:rsidR="003570EC">
        <w:t>test</w:t>
      </w:r>
      <w:r w:rsidR="004C44A8">
        <w:t>,</w:t>
      </w:r>
      <w:r w:rsidR="006C00A4">
        <w:t xml:space="preserve"> and </w:t>
      </w:r>
      <w:r w:rsidR="004C44A8">
        <w:t xml:space="preserve">to </w:t>
      </w:r>
      <w:r w:rsidR="0018054D">
        <w:t xml:space="preserve">prepare </w:t>
      </w:r>
      <w:r w:rsidR="006C00A4">
        <w:t xml:space="preserve">a </w:t>
      </w:r>
      <w:r w:rsidR="001244EF">
        <w:t xml:space="preserve">final </w:t>
      </w:r>
      <w:r w:rsidR="006C00A4">
        <w:t>report that</w:t>
      </w:r>
      <w:r w:rsidR="001244EF">
        <w:t xml:space="preserve"> details </w:t>
      </w:r>
      <w:r w:rsidR="001244EF" w:rsidRPr="00422C80">
        <w:t xml:space="preserve">the methodological and resource requirements associated with </w:t>
      </w:r>
      <w:r w:rsidR="001244EF">
        <w:t>the instruments</w:t>
      </w:r>
      <w:r w:rsidR="004C44A8">
        <w:t>’</w:t>
      </w:r>
      <w:r w:rsidR="001244EF">
        <w:t xml:space="preserve"> </w:t>
      </w:r>
      <w:r w:rsidR="001244EF" w:rsidRPr="00422C80">
        <w:t>use</w:t>
      </w:r>
      <w:r w:rsidR="006C00A4">
        <w:t xml:space="preserve"> </w:t>
      </w:r>
      <w:r w:rsidR="001244EF">
        <w:t xml:space="preserve">and </w:t>
      </w:r>
      <w:r w:rsidR="006C00A4">
        <w:t>delineate</w:t>
      </w:r>
      <w:r w:rsidR="0018054D">
        <w:t>s</w:t>
      </w:r>
      <w:r w:rsidR="006C00A4">
        <w:t xml:space="preserve"> the need for additional testing with</w:t>
      </w:r>
      <w:r w:rsidR="00A01F13">
        <w:t xml:space="preserve"> larger samples</w:t>
      </w:r>
      <w:r w:rsidR="006B2D0F">
        <w:t>.</w:t>
      </w:r>
    </w:p>
    <w:p w:rsidR="006B2D0F" w:rsidRPr="00414BD4" w:rsidRDefault="006B2D0F" w:rsidP="00D725AC">
      <w:pPr>
        <w:pStyle w:val="NumberedBullet"/>
        <w:numPr>
          <w:ilvl w:val="0"/>
          <w:numId w:val="0"/>
        </w:numPr>
        <w:ind w:left="720"/>
      </w:pPr>
    </w:p>
    <w:p w:rsidR="00536FFD" w:rsidRPr="00536FFD" w:rsidRDefault="00BB0333" w:rsidP="00536FFD">
      <w:pPr>
        <w:pStyle w:val="NormalSS"/>
      </w:pPr>
      <w:r>
        <w:t>B</w:t>
      </w:r>
      <w:r w:rsidR="00536FFD">
        <w:t xml:space="preserve">ecause this is a </w:t>
      </w:r>
      <w:r w:rsidR="003570EC">
        <w:t>pre</w:t>
      </w:r>
      <w:r w:rsidR="004C44A8">
        <w:t>-</w:t>
      </w:r>
      <w:r w:rsidR="003570EC">
        <w:t>test</w:t>
      </w:r>
      <w:r w:rsidR="004961AF" w:rsidRPr="00414BD4">
        <w:t xml:space="preserve">, the information collected will not generalize to all </w:t>
      </w:r>
      <w:r w:rsidR="00CF0DBD">
        <w:t>behavioral</w:t>
      </w:r>
      <w:r w:rsidR="004961AF" w:rsidRPr="00414BD4">
        <w:t xml:space="preserve"> health organizations or clinicians. ASPE</w:t>
      </w:r>
      <w:r w:rsidR="008B3145">
        <w:t>,</w:t>
      </w:r>
      <w:r w:rsidR="00EF7EF9">
        <w:t xml:space="preserve"> and ASPE’s partner NIMH</w:t>
      </w:r>
      <w:r w:rsidR="008B3145">
        <w:t>,</w:t>
      </w:r>
      <w:r w:rsidR="004961AF" w:rsidRPr="00414BD4">
        <w:t xml:space="preserve"> will use the results of these analyses to </w:t>
      </w:r>
      <w:r w:rsidR="00536FFD">
        <w:t>determine what modifications to</w:t>
      </w:r>
      <w:r w:rsidR="004961AF" w:rsidRPr="00414BD4">
        <w:t xml:space="preserve"> and additio</w:t>
      </w:r>
      <w:r w:rsidR="00536FFD">
        <w:t xml:space="preserve">nal testing of </w:t>
      </w:r>
      <w:r w:rsidR="004961AF" w:rsidRPr="00414BD4">
        <w:t>the survey</w:t>
      </w:r>
      <w:r w:rsidR="00F01A9D">
        <w:t xml:space="preserve">s </w:t>
      </w:r>
      <w:r w:rsidR="007B1451">
        <w:t>is</w:t>
      </w:r>
      <w:r w:rsidR="004961AF" w:rsidRPr="00414BD4">
        <w:t xml:space="preserve"> necessary before </w:t>
      </w:r>
      <w:r w:rsidR="007B1451">
        <w:t>the measures</w:t>
      </w:r>
      <w:r w:rsidR="004961AF" w:rsidRPr="00414BD4">
        <w:t xml:space="preserve"> can be implemented for quality</w:t>
      </w:r>
      <w:r w:rsidR="004C44A8">
        <w:t>-</w:t>
      </w:r>
      <w:r w:rsidR="004961AF" w:rsidRPr="00414BD4">
        <w:t xml:space="preserve">improvement purposes. The products that will result from this project include </w:t>
      </w:r>
      <w:r w:rsidR="004A78DC">
        <w:t xml:space="preserve">a report </w:t>
      </w:r>
      <w:r w:rsidR="004C44A8">
        <w:t xml:space="preserve">that makes </w:t>
      </w:r>
      <w:r w:rsidR="007B1451">
        <w:t xml:space="preserve">recommendations for </w:t>
      </w:r>
      <w:proofErr w:type="gramStart"/>
      <w:r w:rsidR="007B1451">
        <w:t>revisions to the survey</w:t>
      </w:r>
      <w:r w:rsidR="00E61E4C">
        <w:t>s</w:t>
      </w:r>
      <w:r w:rsidR="007B1451">
        <w:t xml:space="preserve"> and </w:t>
      </w:r>
      <w:r w:rsidR="004A78DC">
        <w:t>that delineates</w:t>
      </w:r>
      <w:proofErr w:type="gramEnd"/>
      <w:r w:rsidR="004A78DC">
        <w:t xml:space="preserve"> the need for additional testing</w:t>
      </w:r>
      <w:r w:rsidR="006C00A4">
        <w:t>.</w:t>
      </w:r>
      <w:r w:rsidR="00536FFD">
        <w:t xml:space="preserve"> </w:t>
      </w:r>
      <w:r w:rsidR="006C00A4" w:rsidRPr="006C00A4">
        <w:t xml:space="preserve">To achieve the </w:t>
      </w:r>
      <w:r w:rsidR="004C44A8">
        <w:t xml:space="preserve">two </w:t>
      </w:r>
      <w:r w:rsidR="006C00A4" w:rsidRPr="006C00A4">
        <w:t xml:space="preserve">goals </w:t>
      </w:r>
      <w:r w:rsidR="004C44A8">
        <w:t xml:space="preserve">described above, </w:t>
      </w:r>
      <w:r w:rsidR="006C00A4" w:rsidRPr="006C00A4">
        <w:t>the following data collections will be implemented:</w:t>
      </w:r>
    </w:p>
    <w:p w:rsidR="0093569C" w:rsidRPr="00536FFD" w:rsidRDefault="00C13990">
      <w:pPr>
        <w:pStyle w:val="NormalSS"/>
        <w:numPr>
          <w:ilvl w:val="0"/>
          <w:numId w:val="43"/>
        </w:numPr>
        <w:tabs>
          <w:tab w:val="clear" w:pos="432"/>
        </w:tabs>
        <w:spacing w:after="0"/>
        <w:ind w:left="792"/>
        <w:jc w:val="left"/>
      </w:pPr>
      <w:r w:rsidRPr="00536FFD">
        <w:t xml:space="preserve">Clinician’s </w:t>
      </w:r>
      <w:r w:rsidR="00FD6B7C">
        <w:t>s</w:t>
      </w:r>
      <w:r w:rsidRPr="00536FFD">
        <w:t xml:space="preserve">urvey of the </w:t>
      </w:r>
      <w:r w:rsidR="00FD6B7C">
        <w:t>d</w:t>
      </w:r>
      <w:r w:rsidRPr="00536FFD">
        <w:t xml:space="preserve">elivery of </w:t>
      </w:r>
      <w:r w:rsidR="00FD6B7C">
        <w:t>e</w:t>
      </w:r>
      <w:r w:rsidRPr="00536FFD">
        <w:t>vidence</w:t>
      </w:r>
      <w:r w:rsidR="00751517">
        <w:t>-</w:t>
      </w:r>
      <w:r w:rsidR="00FD6B7C">
        <w:t>b</w:t>
      </w:r>
      <w:r w:rsidRPr="00536FFD">
        <w:t xml:space="preserve">ased </w:t>
      </w:r>
      <w:r w:rsidR="00FD6B7C">
        <w:t>p</w:t>
      </w:r>
      <w:r w:rsidRPr="00536FFD">
        <w:t xml:space="preserve">sychotherapy </w:t>
      </w:r>
    </w:p>
    <w:p w:rsidR="0093569C" w:rsidRPr="00536FFD" w:rsidRDefault="00C13990">
      <w:pPr>
        <w:pStyle w:val="NormalSS"/>
        <w:numPr>
          <w:ilvl w:val="0"/>
          <w:numId w:val="43"/>
        </w:numPr>
        <w:tabs>
          <w:tab w:val="clear" w:pos="432"/>
        </w:tabs>
        <w:spacing w:after="0"/>
        <w:ind w:left="792"/>
        <w:jc w:val="left"/>
      </w:pPr>
      <w:r w:rsidRPr="00536FFD">
        <w:t xml:space="preserve">Clinician </w:t>
      </w:r>
      <w:r w:rsidR="00FD6B7C">
        <w:t>s</w:t>
      </w:r>
      <w:r w:rsidRPr="00536FFD">
        <w:t xml:space="preserve">upervisor’s </w:t>
      </w:r>
      <w:r w:rsidR="00FD6B7C">
        <w:t>s</w:t>
      </w:r>
      <w:r w:rsidRPr="00536FFD">
        <w:t xml:space="preserve">urvey of the </w:t>
      </w:r>
      <w:r w:rsidR="00FD6B7C">
        <w:t>d</w:t>
      </w:r>
      <w:r w:rsidRPr="00536FFD">
        <w:t xml:space="preserve">elivery of </w:t>
      </w:r>
      <w:r w:rsidR="00FD6B7C">
        <w:t>e</w:t>
      </w:r>
      <w:r w:rsidRPr="00536FFD">
        <w:t>vidence</w:t>
      </w:r>
      <w:r w:rsidR="00751517">
        <w:t>-</w:t>
      </w:r>
      <w:r w:rsidR="00FD6B7C">
        <w:t>b</w:t>
      </w:r>
      <w:r w:rsidRPr="00536FFD">
        <w:t xml:space="preserve">ased </w:t>
      </w:r>
      <w:r w:rsidR="00FD6B7C">
        <w:t>p</w:t>
      </w:r>
      <w:r w:rsidRPr="00536FFD">
        <w:t xml:space="preserve">sychotherapy </w:t>
      </w:r>
    </w:p>
    <w:p w:rsidR="0093569C" w:rsidRPr="00536FFD" w:rsidRDefault="00C13990">
      <w:pPr>
        <w:pStyle w:val="NormalSS"/>
        <w:numPr>
          <w:ilvl w:val="0"/>
          <w:numId w:val="43"/>
        </w:numPr>
        <w:tabs>
          <w:tab w:val="clear" w:pos="432"/>
        </w:tabs>
        <w:spacing w:after="0"/>
        <w:ind w:left="792"/>
        <w:jc w:val="left"/>
      </w:pPr>
      <w:r w:rsidRPr="00536FFD">
        <w:t xml:space="preserve">Consumer’s </w:t>
      </w:r>
      <w:r w:rsidR="00FD6B7C">
        <w:t>s</w:t>
      </w:r>
      <w:r w:rsidRPr="00536FFD">
        <w:t xml:space="preserve">urvey of the </w:t>
      </w:r>
      <w:r w:rsidR="00FD6B7C">
        <w:t>d</w:t>
      </w:r>
      <w:r w:rsidRPr="00536FFD">
        <w:t xml:space="preserve">elivery of </w:t>
      </w:r>
      <w:r w:rsidR="00FD6B7C">
        <w:t>e</w:t>
      </w:r>
      <w:r w:rsidRPr="00536FFD">
        <w:t>vidence</w:t>
      </w:r>
      <w:r w:rsidR="00751517">
        <w:t>-</w:t>
      </w:r>
      <w:r w:rsidR="00FD6B7C">
        <w:t>b</w:t>
      </w:r>
      <w:r w:rsidRPr="00536FFD">
        <w:t xml:space="preserve">ased </w:t>
      </w:r>
      <w:r w:rsidR="00FD6B7C">
        <w:t>p</w:t>
      </w:r>
      <w:r w:rsidRPr="00536FFD">
        <w:t xml:space="preserve">sychotherapy </w:t>
      </w:r>
    </w:p>
    <w:p w:rsidR="0093569C" w:rsidRPr="00536FFD" w:rsidRDefault="00C13990">
      <w:pPr>
        <w:pStyle w:val="NormalSS"/>
        <w:numPr>
          <w:ilvl w:val="0"/>
          <w:numId w:val="43"/>
        </w:numPr>
        <w:tabs>
          <w:tab w:val="clear" w:pos="432"/>
        </w:tabs>
        <w:spacing w:after="0"/>
        <w:ind w:left="792"/>
        <w:jc w:val="left"/>
      </w:pPr>
      <w:r w:rsidRPr="00536FFD">
        <w:t xml:space="preserve">Site </w:t>
      </w:r>
      <w:r w:rsidR="00FD6B7C">
        <w:t>c</w:t>
      </w:r>
      <w:r w:rsidRPr="00536FFD">
        <w:t xml:space="preserve">oordinator’s </w:t>
      </w:r>
      <w:r w:rsidR="00FD6B7C">
        <w:t>c</w:t>
      </w:r>
      <w:r w:rsidR="00FF6153">
        <w:t>hecklist</w:t>
      </w:r>
      <w:r w:rsidRPr="00536FFD">
        <w:t xml:space="preserve"> to </w:t>
      </w:r>
      <w:r w:rsidR="00FD6B7C">
        <w:t>o</w:t>
      </w:r>
      <w:r w:rsidRPr="00536FFD">
        <w:t xml:space="preserve">btain </w:t>
      </w:r>
      <w:r w:rsidR="00FD6B7C">
        <w:t>s</w:t>
      </w:r>
      <w:r w:rsidRPr="00536FFD">
        <w:t>ite</w:t>
      </w:r>
      <w:r w:rsidR="00603614">
        <w:t>-</w:t>
      </w:r>
      <w:r w:rsidRPr="00536FFD">
        <w:t>of</w:t>
      </w:r>
      <w:r w:rsidR="00603614">
        <w:t>-</w:t>
      </w:r>
      <w:r w:rsidR="00FD6B7C">
        <w:t>c</w:t>
      </w:r>
      <w:r w:rsidRPr="00536FFD">
        <w:t xml:space="preserve">are </w:t>
      </w:r>
      <w:r w:rsidR="00FD6B7C">
        <w:t>c</w:t>
      </w:r>
      <w:r w:rsidRPr="00536FFD">
        <w:t>haracteristics  </w:t>
      </w:r>
    </w:p>
    <w:p w:rsidR="005E1344" w:rsidRDefault="00C13990" w:rsidP="00751517">
      <w:pPr>
        <w:pStyle w:val="NormalSS"/>
        <w:numPr>
          <w:ilvl w:val="0"/>
          <w:numId w:val="43"/>
        </w:numPr>
        <w:tabs>
          <w:tab w:val="clear" w:pos="432"/>
        </w:tabs>
        <w:spacing w:after="0"/>
        <w:ind w:left="792"/>
        <w:contextualSpacing/>
        <w:jc w:val="left"/>
      </w:pPr>
      <w:r w:rsidRPr="00536FFD">
        <w:t xml:space="preserve">Site </w:t>
      </w:r>
      <w:r w:rsidR="00FD6B7C">
        <w:t>c</w:t>
      </w:r>
      <w:r w:rsidRPr="00536FFD">
        <w:t xml:space="preserve">oordinator’s </w:t>
      </w:r>
      <w:r w:rsidR="00FD6B7C">
        <w:t>s</w:t>
      </w:r>
      <w:r w:rsidRPr="00536FFD">
        <w:t xml:space="preserve">ample </w:t>
      </w:r>
      <w:r w:rsidR="00FD6B7C">
        <w:t>s</w:t>
      </w:r>
      <w:r w:rsidRPr="00536FFD">
        <w:t xml:space="preserve">ection </w:t>
      </w:r>
      <w:r w:rsidR="00FD6B7C">
        <w:t>a</w:t>
      </w:r>
      <w:r w:rsidRPr="00536FFD">
        <w:t xml:space="preserve">bstraction </w:t>
      </w:r>
      <w:r w:rsidR="00FD6B7C">
        <w:t>f</w:t>
      </w:r>
      <w:r w:rsidRPr="00536FFD">
        <w:t xml:space="preserve">orm </w:t>
      </w:r>
      <w:r w:rsidR="00FD6B7C">
        <w:t>u</w:t>
      </w:r>
      <w:r w:rsidRPr="00536FFD">
        <w:t xml:space="preserve">sed </w:t>
      </w:r>
      <w:r w:rsidR="0018054D" w:rsidRPr="00536FFD">
        <w:t>t</w:t>
      </w:r>
      <w:r w:rsidRPr="00536FFD">
        <w:t xml:space="preserve">o </w:t>
      </w:r>
      <w:r w:rsidR="00FD6B7C">
        <w:t>i</w:t>
      </w:r>
      <w:r w:rsidRPr="00536FFD">
        <w:t xml:space="preserve">dentify </w:t>
      </w:r>
      <w:r w:rsidR="00FD6B7C">
        <w:t>p</w:t>
      </w:r>
      <w:r w:rsidRPr="00536FFD">
        <w:t xml:space="preserve">ersons </w:t>
      </w:r>
      <w:r w:rsidR="00FD6B7C">
        <w:t>b</w:t>
      </w:r>
      <w:r w:rsidRPr="00536FFD">
        <w:t xml:space="preserve">eing </w:t>
      </w:r>
      <w:r w:rsidR="00FD6B7C">
        <w:t>t</w:t>
      </w:r>
      <w:r w:rsidRPr="00536FFD">
        <w:t xml:space="preserve">reated for PTSD and their associated PTSD </w:t>
      </w:r>
      <w:r w:rsidR="00FD6B7C">
        <w:t>c</w:t>
      </w:r>
      <w:r w:rsidRPr="00536FFD">
        <w:t xml:space="preserve">linician and </w:t>
      </w:r>
      <w:r w:rsidR="00FD6B7C">
        <w:t>c</w:t>
      </w:r>
      <w:r w:rsidRPr="00536FFD">
        <w:t>linician Supervisor</w:t>
      </w:r>
      <w:r w:rsidR="006B2D0F" w:rsidRPr="00536FFD">
        <w:t>.</w:t>
      </w:r>
      <w:r w:rsidRPr="00536FFD">
        <w:t xml:space="preserve"> </w:t>
      </w:r>
    </w:p>
    <w:p w:rsidR="00B4662C" w:rsidRDefault="00B4662C" w:rsidP="00751517">
      <w:pPr>
        <w:pStyle w:val="NormalSS"/>
        <w:numPr>
          <w:ilvl w:val="0"/>
          <w:numId w:val="43"/>
        </w:numPr>
        <w:tabs>
          <w:tab w:val="clear" w:pos="432"/>
        </w:tabs>
        <w:spacing w:after="0"/>
        <w:ind w:left="792"/>
        <w:contextualSpacing/>
        <w:jc w:val="left"/>
      </w:pPr>
      <w:r>
        <w:t>Clinician and supervisor demographics questionnaire</w:t>
      </w:r>
    </w:p>
    <w:p w:rsidR="005E1344" w:rsidRDefault="005E1344" w:rsidP="00751517">
      <w:pPr>
        <w:spacing w:after="120" w:line="240" w:lineRule="auto"/>
        <w:ind w:left="72"/>
        <w:contextualSpacing/>
        <w:jc w:val="left"/>
      </w:pPr>
    </w:p>
    <w:p w:rsidR="005E1344" w:rsidRDefault="005E1344" w:rsidP="00751517">
      <w:pPr>
        <w:pStyle w:val="NormalSS"/>
        <w:contextualSpacing/>
      </w:pPr>
      <w:r w:rsidRPr="00A46206">
        <w:t>This study is being conducted by ASPE through its contractor, Mathematica Policy Research</w:t>
      </w:r>
      <w:r w:rsidR="00B4662C">
        <w:t xml:space="preserve"> (Mathematica)</w:t>
      </w:r>
      <w:r w:rsidRPr="00A46206">
        <w:t>, pursuant to ASPE’s statutory authority through legal code in Section 301 of</w:t>
      </w:r>
      <w:r w:rsidR="00B40866">
        <w:t xml:space="preserve"> the Public Health Service Act [</w:t>
      </w:r>
      <w:r w:rsidRPr="00A46206">
        <w:t>42</w:t>
      </w:r>
      <w:r w:rsidR="00751517">
        <w:t xml:space="preserve"> </w:t>
      </w:r>
      <w:r w:rsidRPr="00A46206">
        <w:t>U.S.C. 241</w:t>
      </w:r>
      <w:r w:rsidR="00B40866">
        <w:t>]</w:t>
      </w:r>
      <w:r w:rsidRPr="00A46206">
        <w:t xml:space="preserve"> (see Attachment </w:t>
      </w:r>
      <w:r>
        <w:t>7</w:t>
      </w:r>
      <w:r w:rsidRPr="00A46206">
        <w:t>).</w:t>
      </w:r>
    </w:p>
    <w:p w:rsidR="00B4662C" w:rsidRDefault="00B4662C" w:rsidP="00064055">
      <w:pPr>
        <w:spacing w:after="120"/>
        <w:ind w:left="72"/>
        <w:jc w:val="left"/>
        <w:rPr>
          <w:b/>
        </w:rPr>
      </w:pPr>
    </w:p>
    <w:p w:rsidR="00CE6C80" w:rsidRDefault="00CE6C80" w:rsidP="00064055">
      <w:pPr>
        <w:spacing w:after="120"/>
        <w:ind w:left="72"/>
        <w:jc w:val="left"/>
        <w:rPr>
          <w:b/>
        </w:rPr>
      </w:pPr>
      <w:r>
        <w:rPr>
          <w:b/>
        </w:rPr>
        <w:lastRenderedPageBreak/>
        <w:t>Survey Item Development</w:t>
      </w:r>
    </w:p>
    <w:p w:rsidR="00790632" w:rsidRDefault="00CE6C80">
      <w:pPr>
        <w:spacing w:line="240" w:lineRule="auto"/>
      </w:pPr>
      <w:r>
        <w:t xml:space="preserve">Before survey item development began, </w:t>
      </w:r>
      <w:r w:rsidR="007B1451">
        <w:t>Mathematica</w:t>
      </w:r>
      <w:r w:rsidRPr="00CE6C80">
        <w:t xml:space="preserve"> </w:t>
      </w:r>
      <w:r>
        <w:t>conducted</w:t>
      </w:r>
      <w:r w:rsidRPr="00CE6C80">
        <w:t xml:space="preserve"> an environmental scan of the PTSD literature. </w:t>
      </w:r>
      <w:r>
        <w:t xml:space="preserve">The goal of the scan was to develop a list of </w:t>
      </w:r>
      <w:r w:rsidR="00653594">
        <w:t xml:space="preserve">evidence-based </w:t>
      </w:r>
      <w:r>
        <w:t xml:space="preserve">practices </w:t>
      </w:r>
      <w:r w:rsidR="000459EE">
        <w:t xml:space="preserve">for treatment of PTSD </w:t>
      </w:r>
      <w:r w:rsidR="00653594">
        <w:t>that are cu</w:t>
      </w:r>
      <w:r w:rsidR="00EF7EF9">
        <w:t xml:space="preserve">rrently considered </w:t>
      </w:r>
      <w:r w:rsidR="00111778">
        <w:t xml:space="preserve">to </w:t>
      </w:r>
      <w:r w:rsidR="00EF7EF9">
        <w:t>have the strongest evidence</w:t>
      </w:r>
      <w:r w:rsidR="000459EE">
        <w:t xml:space="preserve"> </w:t>
      </w:r>
      <w:r w:rsidR="00EF7EF9">
        <w:t>base</w:t>
      </w:r>
      <w:r>
        <w:t>.</w:t>
      </w:r>
      <w:r w:rsidR="00653594">
        <w:rPr>
          <w:rStyle w:val="FootnoteReference"/>
        </w:rPr>
        <w:footnoteReference w:id="15"/>
      </w:r>
      <w:r w:rsidR="00653594">
        <w:t xml:space="preserve"> </w:t>
      </w:r>
      <w:r w:rsidR="000459EE">
        <w:t>T</w:t>
      </w:r>
      <w:r w:rsidR="00653594">
        <w:t xml:space="preserve">he majority of reviews </w:t>
      </w:r>
      <w:r w:rsidR="000459EE">
        <w:t xml:space="preserve">in the empirical literature </w:t>
      </w:r>
      <w:r w:rsidR="00653594">
        <w:t>rated CBT and variants of this treatment (</w:t>
      </w:r>
      <w:r w:rsidR="000459EE">
        <w:t>such as</w:t>
      </w:r>
      <w:r w:rsidR="00653594">
        <w:t xml:space="preserve"> </w:t>
      </w:r>
      <w:r w:rsidR="000459EE">
        <w:t>e</w:t>
      </w:r>
      <w:r w:rsidR="00653594">
        <w:t xml:space="preserve">xposure </w:t>
      </w:r>
      <w:r w:rsidR="000459EE">
        <w:t>t</w:t>
      </w:r>
      <w:r w:rsidR="00653594">
        <w:t>herapy</w:t>
      </w:r>
      <w:r w:rsidR="000459EE">
        <w:t xml:space="preserve"> and</w:t>
      </w:r>
      <w:r w:rsidR="00653594">
        <w:t xml:space="preserve"> </w:t>
      </w:r>
      <w:r w:rsidR="000459EE">
        <w:t>c</w:t>
      </w:r>
      <w:r w:rsidR="00653594">
        <w:t xml:space="preserve">ognitive </w:t>
      </w:r>
      <w:r w:rsidR="000459EE">
        <w:t>p</w:t>
      </w:r>
      <w:r w:rsidR="00653594">
        <w:t xml:space="preserve">rocessing </w:t>
      </w:r>
      <w:r w:rsidR="000459EE">
        <w:t>t</w:t>
      </w:r>
      <w:r w:rsidR="00653594">
        <w:t xml:space="preserve">herapy) as </w:t>
      </w:r>
      <w:r w:rsidR="00BD6A90">
        <w:t xml:space="preserve">the </w:t>
      </w:r>
      <w:r w:rsidR="00653594">
        <w:t>recommended treatment for PTSD</w:t>
      </w:r>
      <w:r w:rsidR="00BD6A90">
        <w:t>.</w:t>
      </w:r>
      <w:r w:rsidR="00653594">
        <w:t xml:space="preserve"> Results of the scan </w:t>
      </w:r>
      <w:r w:rsidR="00F756BD">
        <w:t xml:space="preserve">were </w:t>
      </w:r>
      <w:r w:rsidR="00BD6A90">
        <w:t xml:space="preserve">then </w:t>
      </w:r>
      <w:r w:rsidR="00653594">
        <w:t xml:space="preserve">presented to </w:t>
      </w:r>
      <w:r w:rsidR="007B1451">
        <w:t>a</w:t>
      </w:r>
      <w:r w:rsidR="00FF6153">
        <w:t xml:space="preserve"> </w:t>
      </w:r>
      <w:r w:rsidR="00F756BD">
        <w:t>t</w:t>
      </w:r>
      <w:r w:rsidR="00FF6153">
        <w:t xml:space="preserve">echnical </w:t>
      </w:r>
      <w:r w:rsidR="00F756BD">
        <w:t>a</w:t>
      </w:r>
      <w:r w:rsidR="00FF6153">
        <w:t xml:space="preserve">dvisory </w:t>
      </w:r>
      <w:r w:rsidR="00F756BD">
        <w:t>g</w:t>
      </w:r>
      <w:r w:rsidR="00FF6153">
        <w:t>roup (</w:t>
      </w:r>
      <w:r w:rsidR="00653594">
        <w:t>TAG</w:t>
      </w:r>
      <w:r w:rsidR="00FF6153">
        <w:t>)</w:t>
      </w:r>
      <w:r w:rsidR="00125EE1">
        <w:t xml:space="preserve"> </w:t>
      </w:r>
      <w:r w:rsidR="00662A79" w:rsidRPr="00662A79">
        <w:t xml:space="preserve">convened by </w:t>
      </w:r>
      <w:r w:rsidR="007B1451">
        <w:t>Mathematica</w:t>
      </w:r>
      <w:r w:rsidR="00A01F13">
        <w:t xml:space="preserve"> </w:t>
      </w:r>
      <w:r w:rsidR="00662A79" w:rsidRPr="00662A79">
        <w:t>(</w:t>
      </w:r>
      <w:r w:rsidR="00F756BD">
        <w:t xml:space="preserve">on </w:t>
      </w:r>
      <w:r w:rsidR="00662A79" w:rsidRPr="00662A79">
        <w:t>February 29 and March 1</w:t>
      </w:r>
      <w:r w:rsidR="00125EE1">
        <w:t>, 2012</w:t>
      </w:r>
      <w:r w:rsidR="00662A79" w:rsidRPr="00662A79">
        <w:t xml:space="preserve">). The TAG comprised leaders in the field of PTSD clinical research as well as </w:t>
      </w:r>
      <w:r w:rsidR="00111778">
        <w:t xml:space="preserve">a consumer </w:t>
      </w:r>
      <w:r w:rsidR="00662A79" w:rsidRPr="00662A79">
        <w:t xml:space="preserve">representative. At that meeting, </w:t>
      </w:r>
      <w:r w:rsidR="00F756BD">
        <w:t xml:space="preserve">participants identified </w:t>
      </w:r>
      <w:r w:rsidR="00662A79" w:rsidRPr="00662A79">
        <w:t xml:space="preserve">a number of gaps in the research </w:t>
      </w:r>
      <w:r w:rsidR="005E1344">
        <w:t xml:space="preserve">and </w:t>
      </w:r>
      <w:r w:rsidR="00F756BD">
        <w:t xml:space="preserve">in efforts to develop </w:t>
      </w:r>
      <w:r w:rsidR="005E1344">
        <w:t>quality measure</w:t>
      </w:r>
      <w:r w:rsidR="00F756BD">
        <w:t xml:space="preserve">s, and also advanced </w:t>
      </w:r>
      <w:r w:rsidR="00662A79" w:rsidRPr="00662A79">
        <w:t xml:space="preserve">possible </w:t>
      </w:r>
      <w:r w:rsidR="00F756BD">
        <w:t>approaches to closing these gaps</w:t>
      </w:r>
      <w:r w:rsidR="00662A79" w:rsidRPr="00662A79">
        <w:t xml:space="preserve">. </w:t>
      </w:r>
      <w:r w:rsidR="00450C1A">
        <w:t>T</w:t>
      </w:r>
      <w:r w:rsidR="00662A79" w:rsidRPr="00662A79">
        <w:t xml:space="preserve">he TAG’s conclusions and the </w:t>
      </w:r>
      <w:r w:rsidR="00B4662C">
        <w:t xml:space="preserve">empirical </w:t>
      </w:r>
      <w:r w:rsidR="00662A79" w:rsidRPr="00662A79">
        <w:t>evidence</w:t>
      </w:r>
      <w:r w:rsidR="00450C1A">
        <w:t xml:space="preserve"> combined to make one of the major gaps clear: </w:t>
      </w:r>
      <w:r w:rsidR="00662A79" w:rsidRPr="00662A79">
        <w:t>although CBT and its varian</w:t>
      </w:r>
      <w:r w:rsidR="00EF7EF9">
        <w:t>ts are currently considered best practices for the</w:t>
      </w:r>
      <w:r w:rsidR="00125EE1">
        <w:t xml:space="preserve"> treatment for PTSD, a measure of psycho</w:t>
      </w:r>
      <w:r w:rsidR="00125EE1" w:rsidRPr="00414BD4">
        <w:t>therap</w:t>
      </w:r>
      <w:r w:rsidR="00125EE1">
        <w:t>y</w:t>
      </w:r>
      <w:r w:rsidR="00125EE1" w:rsidRPr="00414BD4">
        <w:t xml:space="preserve"> </w:t>
      </w:r>
      <w:r w:rsidR="00EF7EF9">
        <w:t>delivery</w:t>
      </w:r>
      <w:r w:rsidR="00EF7EF9" w:rsidRPr="00662A79">
        <w:t xml:space="preserve"> </w:t>
      </w:r>
      <w:r w:rsidR="00EF7EF9">
        <w:t>to</w:t>
      </w:r>
      <w:r w:rsidR="00EF7EF9" w:rsidRPr="00EF7EF9">
        <w:t xml:space="preserve"> assess the use of strategies common to evidence-based treatments ha</w:t>
      </w:r>
      <w:r w:rsidR="00450C1A">
        <w:t>s</w:t>
      </w:r>
      <w:r w:rsidR="00EF7EF9" w:rsidRPr="00EF7EF9">
        <w:t xml:space="preserve"> not been developed yet. </w:t>
      </w:r>
      <w:r w:rsidR="00790632">
        <w:t>ASPE</w:t>
      </w:r>
      <w:r w:rsidR="00EF7EF9">
        <w:t xml:space="preserve"> and NIMH</w:t>
      </w:r>
      <w:r w:rsidR="00790632">
        <w:t xml:space="preserve"> concluded that w</w:t>
      </w:r>
      <w:r w:rsidR="00662A79" w:rsidRPr="00662A79">
        <w:t xml:space="preserve">ithout </w:t>
      </w:r>
      <w:r w:rsidR="00E27689">
        <w:t xml:space="preserve">such </w:t>
      </w:r>
      <w:r w:rsidR="00662A79" w:rsidRPr="00662A79">
        <w:t xml:space="preserve">a measure, there </w:t>
      </w:r>
      <w:r w:rsidR="00790632">
        <w:t>is</w:t>
      </w:r>
      <w:r w:rsidR="00662A79" w:rsidRPr="00662A79">
        <w:t xml:space="preserve"> no standardized way of ascertaining whether clinicians</w:t>
      </w:r>
      <w:r w:rsidR="00790632">
        <w:t xml:space="preserve"> are providing the highest standard of care in treating adults diagnosed with PTSD</w:t>
      </w:r>
      <w:r w:rsidR="00662A79" w:rsidRPr="00662A79">
        <w:t xml:space="preserve">. </w:t>
      </w:r>
      <w:r w:rsidR="00662A79">
        <w:t xml:space="preserve">Given the findings, </w:t>
      </w:r>
      <w:r w:rsidR="00BD6A90">
        <w:t>ASPE</w:t>
      </w:r>
      <w:r w:rsidR="000F4718">
        <w:t xml:space="preserve"> and </w:t>
      </w:r>
      <w:r w:rsidR="00790632">
        <w:t>NIMH decided to</w:t>
      </w:r>
      <w:r w:rsidR="00BD6A90">
        <w:t xml:space="preserve"> proceed with developing a survey that measures the </w:t>
      </w:r>
      <w:r w:rsidR="00662A79">
        <w:t>delivery</w:t>
      </w:r>
      <w:r w:rsidR="00BD6A90">
        <w:t xml:space="preserve"> of care using </w:t>
      </w:r>
      <w:r w:rsidR="00662A79">
        <w:t xml:space="preserve">CBT as the model. </w:t>
      </w:r>
    </w:p>
    <w:p w:rsidR="003071BD" w:rsidRDefault="003071BD">
      <w:pPr>
        <w:spacing w:line="240" w:lineRule="auto"/>
      </w:pPr>
    </w:p>
    <w:p w:rsidR="00662A79" w:rsidRDefault="00790632">
      <w:pPr>
        <w:spacing w:line="240" w:lineRule="auto"/>
      </w:pPr>
      <w:r w:rsidRPr="00A46206">
        <w:t xml:space="preserve">The next step was </w:t>
      </w:r>
      <w:r w:rsidR="00662A79" w:rsidRPr="00A46206">
        <w:t xml:space="preserve">developing a set of survey items that </w:t>
      </w:r>
      <w:r w:rsidRPr="00A46206">
        <w:t>were</w:t>
      </w:r>
      <w:r w:rsidR="00662A79" w:rsidRPr="00A46206">
        <w:t xml:space="preserve"> robust in measuring the provision of key elements of CBT treatment of PTSD. These elements were distilled using a seminal method developed by </w:t>
      </w:r>
      <w:proofErr w:type="spellStart"/>
      <w:r w:rsidR="00662A79" w:rsidRPr="00A46206">
        <w:t>Chorpita</w:t>
      </w:r>
      <w:proofErr w:type="spellEnd"/>
      <w:r w:rsidR="00662A79" w:rsidRPr="00A46206">
        <w:t xml:space="preserve"> (2005, 2009) that explains how to empirically identify essential components of successful evidence-based psychological</w:t>
      </w:r>
      <w:r w:rsidR="00662A79" w:rsidRPr="00790632">
        <w:t xml:space="preserve"> treatments.</w:t>
      </w:r>
      <w:r w:rsidR="00AC74ED">
        <w:t xml:space="preserve"> After this process was </w:t>
      </w:r>
      <w:r w:rsidR="00FF6153">
        <w:t>comp</w:t>
      </w:r>
      <w:r w:rsidR="00EF7EF9">
        <w:t xml:space="preserve">leted, a </w:t>
      </w:r>
      <w:r w:rsidR="00450C1A">
        <w:t>t</w:t>
      </w:r>
      <w:r w:rsidR="00EF7EF9">
        <w:t xml:space="preserve">echnical </w:t>
      </w:r>
      <w:r w:rsidR="00450C1A">
        <w:t>e</w:t>
      </w:r>
      <w:r w:rsidR="00EF7EF9">
        <w:t xml:space="preserve">xpert </w:t>
      </w:r>
      <w:r w:rsidR="00450C1A">
        <w:t>p</w:t>
      </w:r>
      <w:r w:rsidR="00EF7EF9">
        <w:t xml:space="preserve">anel (TEP), consisting of experts in </w:t>
      </w:r>
      <w:r w:rsidR="00111778">
        <w:t>the treatment of PTSD and psychotherapy research</w:t>
      </w:r>
      <w:r w:rsidR="00B456C2">
        <w:t>,</w:t>
      </w:r>
      <w:r w:rsidR="00111778" w:rsidDel="00111778">
        <w:t xml:space="preserve"> </w:t>
      </w:r>
      <w:r w:rsidR="00EF7EF9">
        <w:t>who were not members of the original TAG,</w:t>
      </w:r>
      <w:r w:rsidR="00122D08">
        <w:t xml:space="preserve"> was convened</w:t>
      </w:r>
      <w:r w:rsidR="00AC74ED">
        <w:t xml:space="preserve">. </w:t>
      </w:r>
      <w:r w:rsidR="0023486A">
        <w:t xml:space="preserve">The </w:t>
      </w:r>
      <w:r w:rsidR="00B4662C">
        <w:t>TEP</w:t>
      </w:r>
      <w:r w:rsidR="0023486A">
        <w:t xml:space="preserve"> reviewed</w:t>
      </w:r>
      <w:r w:rsidR="00565A77">
        <w:t xml:space="preserve"> r</w:t>
      </w:r>
      <w:r w:rsidR="00122D08">
        <w:t xml:space="preserve">esults of the distillation process and </w:t>
      </w:r>
      <w:r w:rsidR="00565A77">
        <w:t xml:space="preserve">made </w:t>
      </w:r>
      <w:r w:rsidR="00122D08">
        <w:t xml:space="preserve">decisions about </w:t>
      </w:r>
      <w:r w:rsidR="00AC74ED">
        <w:t>how to translate</w:t>
      </w:r>
      <w:r w:rsidR="00122D08">
        <w:t xml:space="preserve"> key</w:t>
      </w:r>
      <w:r w:rsidR="00AC74ED">
        <w:t xml:space="preserve"> treatment concepts (e.g., </w:t>
      </w:r>
      <w:r w:rsidR="00EF7EF9">
        <w:t>cognitive restructuring</w:t>
      </w:r>
      <w:r w:rsidR="00AC74ED">
        <w:t>) into survey items that could be understood</w:t>
      </w:r>
      <w:r w:rsidR="005E1344">
        <w:t xml:space="preserve"> by a broad audience</w:t>
      </w:r>
      <w:r w:rsidR="00122D08">
        <w:t>.</w:t>
      </w:r>
      <w:r w:rsidR="00AC74ED">
        <w:t xml:space="preserve"> </w:t>
      </w:r>
    </w:p>
    <w:p w:rsidR="003071BD" w:rsidRPr="00790632" w:rsidRDefault="003071BD">
      <w:pPr>
        <w:spacing w:line="240" w:lineRule="auto"/>
      </w:pPr>
    </w:p>
    <w:p w:rsidR="00904FA0" w:rsidRDefault="00904FA0" w:rsidP="00904FA0">
      <w:pPr>
        <w:spacing w:after="120" w:line="240" w:lineRule="auto"/>
        <w:ind w:left="72"/>
      </w:pPr>
      <w:r>
        <w:t>Using a core set of items derived through this empirical process and approved by the TEP</w:t>
      </w:r>
      <w:r w:rsidR="00565A77">
        <w:t>,</w:t>
      </w:r>
      <w:r>
        <w:t xml:space="preserve"> three separate surveys</w:t>
      </w:r>
      <w:r w:rsidR="00EF7EF9">
        <w:t xml:space="preserve"> were created</w:t>
      </w:r>
      <w:r>
        <w:t>:</w:t>
      </w:r>
    </w:p>
    <w:p w:rsidR="00790632" w:rsidRPr="009B55DD" w:rsidRDefault="00285D53" w:rsidP="009B55DD">
      <w:pPr>
        <w:pStyle w:val="ListParagraph"/>
        <w:numPr>
          <w:ilvl w:val="0"/>
          <w:numId w:val="54"/>
        </w:numPr>
        <w:tabs>
          <w:tab w:val="clear" w:pos="432"/>
        </w:tabs>
        <w:spacing w:line="240" w:lineRule="auto"/>
        <w:jc w:val="left"/>
        <w:rPr>
          <w:color w:val="000000" w:themeColor="text1"/>
        </w:rPr>
      </w:pPr>
      <w:r w:rsidRPr="009B55DD">
        <w:rPr>
          <w:color w:val="000000" w:themeColor="text1"/>
        </w:rPr>
        <w:t xml:space="preserve">Clinician’s </w:t>
      </w:r>
      <w:r w:rsidR="00FD6B7C">
        <w:rPr>
          <w:color w:val="000000" w:themeColor="text1"/>
        </w:rPr>
        <w:t>s</w:t>
      </w:r>
      <w:r w:rsidRPr="009B55DD">
        <w:rPr>
          <w:color w:val="000000" w:themeColor="text1"/>
        </w:rPr>
        <w:t xml:space="preserve">urvey of the </w:t>
      </w:r>
      <w:r w:rsidR="00FD6B7C">
        <w:rPr>
          <w:color w:val="000000" w:themeColor="text1"/>
        </w:rPr>
        <w:t>d</w:t>
      </w:r>
      <w:r w:rsidRPr="009B55DD">
        <w:rPr>
          <w:color w:val="000000" w:themeColor="text1"/>
        </w:rPr>
        <w:t xml:space="preserve">elivery of </w:t>
      </w:r>
      <w:r w:rsidR="00FD6B7C">
        <w:rPr>
          <w:color w:val="000000" w:themeColor="text1"/>
        </w:rPr>
        <w:t>e</w:t>
      </w:r>
      <w:r w:rsidRPr="009B55DD">
        <w:rPr>
          <w:color w:val="000000" w:themeColor="text1"/>
        </w:rPr>
        <w:t>vidence</w:t>
      </w:r>
      <w:r w:rsidR="00565A77">
        <w:rPr>
          <w:color w:val="000000" w:themeColor="text1"/>
        </w:rPr>
        <w:t>-</w:t>
      </w:r>
      <w:r w:rsidR="00FD6B7C">
        <w:rPr>
          <w:color w:val="000000" w:themeColor="text1"/>
        </w:rPr>
        <w:t>b</w:t>
      </w:r>
      <w:r w:rsidRPr="009B55DD">
        <w:rPr>
          <w:color w:val="000000" w:themeColor="text1"/>
        </w:rPr>
        <w:t xml:space="preserve">ased </w:t>
      </w:r>
      <w:r w:rsidR="00FD6B7C">
        <w:rPr>
          <w:color w:val="000000" w:themeColor="text1"/>
        </w:rPr>
        <w:t>p</w:t>
      </w:r>
      <w:r w:rsidRPr="009B55DD">
        <w:rPr>
          <w:color w:val="000000" w:themeColor="text1"/>
        </w:rPr>
        <w:t xml:space="preserve">sychotherapy </w:t>
      </w:r>
    </w:p>
    <w:p w:rsidR="00904FA0" w:rsidRPr="009B55DD" w:rsidRDefault="00285D53" w:rsidP="009B55DD">
      <w:pPr>
        <w:pStyle w:val="NormalSS"/>
        <w:numPr>
          <w:ilvl w:val="0"/>
          <w:numId w:val="54"/>
        </w:numPr>
        <w:tabs>
          <w:tab w:val="clear" w:pos="432"/>
        </w:tabs>
        <w:spacing w:after="0"/>
        <w:jc w:val="left"/>
        <w:rPr>
          <w:color w:val="000000" w:themeColor="text1"/>
        </w:rPr>
      </w:pPr>
      <w:r w:rsidRPr="009B55DD">
        <w:rPr>
          <w:color w:val="000000" w:themeColor="text1"/>
        </w:rPr>
        <w:t xml:space="preserve">Clinician </w:t>
      </w:r>
      <w:r w:rsidR="00FD6B7C">
        <w:rPr>
          <w:color w:val="000000" w:themeColor="text1"/>
        </w:rPr>
        <w:t>s</w:t>
      </w:r>
      <w:r w:rsidRPr="009B55DD">
        <w:rPr>
          <w:color w:val="000000" w:themeColor="text1"/>
        </w:rPr>
        <w:t xml:space="preserve">upervisor’s </w:t>
      </w:r>
      <w:r w:rsidR="00FD6B7C">
        <w:rPr>
          <w:color w:val="000000" w:themeColor="text1"/>
        </w:rPr>
        <w:t>s</w:t>
      </w:r>
      <w:r w:rsidRPr="009B55DD">
        <w:rPr>
          <w:color w:val="000000" w:themeColor="text1"/>
        </w:rPr>
        <w:t xml:space="preserve">urvey of the </w:t>
      </w:r>
      <w:r w:rsidR="00FD6B7C">
        <w:rPr>
          <w:color w:val="000000" w:themeColor="text1"/>
        </w:rPr>
        <w:t>d</w:t>
      </w:r>
      <w:r w:rsidRPr="009B55DD">
        <w:rPr>
          <w:color w:val="000000" w:themeColor="text1"/>
        </w:rPr>
        <w:t xml:space="preserve">elivery of </w:t>
      </w:r>
      <w:r w:rsidR="00FD6B7C">
        <w:rPr>
          <w:color w:val="000000" w:themeColor="text1"/>
        </w:rPr>
        <w:t>e</w:t>
      </w:r>
      <w:r w:rsidRPr="009B55DD">
        <w:rPr>
          <w:color w:val="000000" w:themeColor="text1"/>
        </w:rPr>
        <w:t>vidence</w:t>
      </w:r>
      <w:r w:rsidR="00565A77">
        <w:rPr>
          <w:color w:val="000000" w:themeColor="text1"/>
        </w:rPr>
        <w:t>-</w:t>
      </w:r>
      <w:r w:rsidR="00FD6B7C">
        <w:rPr>
          <w:color w:val="000000" w:themeColor="text1"/>
        </w:rPr>
        <w:t>b</w:t>
      </w:r>
      <w:r w:rsidRPr="009B55DD">
        <w:rPr>
          <w:color w:val="000000" w:themeColor="text1"/>
        </w:rPr>
        <w:t>as</w:t>
      </w:r>
      <w:r w:rsidR="00904FA0" w:rsidRPr="009B55DD">
        <w:rPr>
          <w:color w:val="000000" w:themeColor="text1"/>
        </w:rPr>
        <w:t xml:space="preserve">ed </w:t>
      </w:r>
      <w:r w:rsidR="00FD6B7C">
        <w:rPr>
          <w:color w:val="000000" w:themeColor="text1"/>
        </w:rPr>
        <w:t>p</w:t>
      </w:r>
      <w:r w:rsidR="00904FA0" w:rsidRPr="009B55DD">
        <w:rPr>
          <w:color w:val="000000" w:themeColor="text1"/>
        </w:rPr>
        <w:t>sychotherapy</w:t>
      </w:r>
      <w:r w:rsidR="00F876F9" w:rsidRPr="009B55DD">
        <w:rPr>
          <w:color w:val="000000" w:themeColor="text1"/>
        </w:rPr>
        <w:t xml:space="preserve"> </w:t>
      </w:r>
    </w:p>
    <w:p w:rsidR="00A20284" w:rsidRDefault="00285D53" w:rsidP="00A20284">
      <w:pPr>
        <w:pStyle w:val="NormalSS"/>
        <w:numPr>
          <w:ilvl w:val="0"/>
          <w:numId w:val="54"/>
        </w:numPr>
        <w:tabs>
          <w:tab w:val="clear" w:pos="432"/>
        </w:tabs>
        <w:spacing w:after="0"/>
        <w:jc w:val="left"/>
        <w:rPr>
          <w:color w:val="000000" w:themeColor="text1"/>
        </w:rPr>
      </w:pPr>
      <w:r w:rsidRPr="00904FA0">
        <w:rPr>
          <w:color w:val="000000" w:themeColor="text1"/>
        </w:rPr>
        <w:t xml:space="preserve">Consumer’s </w:t>
      </w:r>
      <w:r w:rsidR="00FD6B7C">
        <w:rPr>
          <w:color w:val="000000" w:themeColor="text1"/>
        </w:rPr>
        <w:t>s</w:t>
      </w:r>
      <w:r w:rsidRPr="00904FA0">
        <w:rPr>
          <w:color w:val="000000" w:themeColor="text1"/>
        </w:rPr>
        <w:t xml:space="preserve">urvey of the </w:t>
      </w:r>
      <w:r w:rsidR="00FD6B7C">
        <w:rPr>
          <w:color w:val="000000" w:themeColor="text1"/>
        </w:rPr>
        <w:t>d</w:t>
      </w:r>
      <w:r w:rsidRPr="00904FA0">
        <w:rPr>
          <w:color w:val="000000" w:themeColor="text1"/>
        </w:rPr>
        <w:t xml:space="preserve">elivery of </w:t>
      </w:r>
      <w:r w:rsidR="00FD6B7C">
        <w:rPr>
          <w:color w:val="000000" w:themeColor="text1"/>
        </w:rPr>
        <w:t>e</w:t>
      </w:r>
      <w:r w:rsidRPr="00904FA0">
        <w:rPr>
          <w:color w:val="000000" w:themeColor="text1"/>
        </w:rPr>
        <w:t>vidence</w:t>
      </w:r>
      <w:r w:rsidR="00565A77">
        <w:rPr>
          <w:color w:val="000000" w:themeColor="text1"/>
        </w:rPr>
        <w:t>-</w:t>
      </w:r>
      <w:r w:rsidR="00FD6B7C">
        <w:rPr>
          <w:color w:val="000000" w:themeColor="text1"/>
        </w:rPr>
        <w:t>b</w:t>
      </w:r>
      <w:r w:rsidRPr="00904FA0">
        <w:rPr>
          <w:color w:val="000000" w:themeColor="text1"/>
        </w:rPr>
        <w:t xml:space="preserve">ased </w:t>
      </w:r>
      <w:r w:rsidR="00FD6B7C">
        <w:rPr>
          <w:color w:val="000000" w:themeColor="text1"/>
        </w:rPr>
        <w:t>p</w:t>
      </w:r>
      <w:r w:rsidRPr="00904FA0">
        <w:rPr>
          <w:color w:val="000000" w:themeColor="text1"/>
        </w:rPr>
        <w:t>sychotherapy</w:t>
      </w:r>
    </w:p>
    <w:p w:rsidR="00A20284" w:rsidRDefault="00A20284" w:rsidP="00A20284">
      <w:pPr>
        <w:pStyle w:val="NormalSS"/>
        <w:tabs>
          <w:tab w:val="clear" w:pos="432"/>
        </w:tabs>
        <w:spacing w:after="0"/>
        <w:ind w:left="360" w:firstLine="0"/>
        <w:jc w:val="left"/>
        <w:rPr>
          <w:color w:val="000000" w:themeColor="text1"/>
        </w:rPr>
      </w:pPr>
    </w:p>
    <w:p w:rsidR="00D67C9B" w:rsidRDefault="00B4662C" w:rsidP="00D67C9B">
      <w:pPr>
        <w:pStyle w:val="NormalSS"/>
        <w:tabs>
          <w:tab w:val="clear" w:pos="432"/>
        </w:tabs>
        <w:spacing w:after="0"/>
        <w:ind w:firstLine="360"/>
        <w:rPr>
          <w:color w:val="000000" w:themeColor="text1"/>
        </w:rPr>
      </w:pPr>
      <w:r>
        <w:rPr>
          <w:color w:val="000000" w:themeColor="text1"/>
        </w:rPr>
        <w:t>Mathematica</w:t>
      </w:r>
      <w:r w:rsidR="00A20284">
        <w:rPr>
          <w:color w:val="000000" w:themeColor="text1"/>
        </w:rPr>
        <w:t xml:space="preserve"> </w:t>
      </w:r>
      <w:r w:rsidR="00111778">
        <w:rPr>
          <w:color w:val="000000" w:themeColor="text1"/>
        </w:rPr>
        <w:t xml:space="preserve">then </w:t>
      </w:r>
      <w:r w:rsidR="00A20284">
        <w:rPr>
          <w:color w:val="000000" w:themeColor="text1"/>
        </w:rPr>
        <w:t xml:space="preserve">conducted cognitive testing with </w:t>
      </w:r>
      <w:r w:rsidR="00565A77">
        <w:rPr>
          <w:color w:val="000000" w:themeColor="text1"/>
        </w:rPr>
        <w:t xml:space="preserve">nine </w:t>
      </w:r>
      <w:r w:rsidR="00A20284">
        <w:rPr>
          <w:color w:val="000000" w:themeColor="text1"/>
        </w:rPr>
        <w:t>practicing c</w:t>
      </w:r>
      <w:r w:rsidR="00D67C9B">
        <w:rPr>
          <w:color w:val="000000" w:themeColor="text1"/>
        </w:rPr>
        <w:t xml:space="preserve">linicians </w:t>
      </w:r>
      <w:r w:rsidR="00945A2A">
        <w:rPr>
          <w:color w:val="000000" w:themeColor="text1"/>
        </w:rPr>
        <w:t>who made</w:t>
      </w:r>
      <w:r w:rsidR="00D67C9B">
        <w:rPr>
          <w:color w:val="000000" w:themeColor="text1"/>
        </w:rPr>
        <w:t xml:space="preserve"> treatment of </w:t>
      </w:r>
      <w:r w:rsidR="00DC776E">
        <w:rPr>
          <w:color w:val="000000" w:themeColor="text1"/>
        </w:rPr>
        <w:t>consumer</w:t>
      </w:r>
      <w:r w:rsidR="00A20284">
        <w:rPr>
          <w:color w:val="000000" w:themeColor="text1"/>
        </w:rPr>
        <w:t>s with PTSD a main practice focus</w:t>
      </w:r>
      <w:r w:rsidR="00565A77">
        <w:rPr>
          <w:color w:val="000000" w:themeColor="text1"/>
        </w:rPr>
        <w:t>,</w:t>
      </w:r>
      <w:r w:rsidR="00A20284">
        <w:rPr>
          <w:color w:val="000000" w:themeColor="text1"/>
        </w:rPr>
        <w:t xml:space="preserve"> or </w:t>
      </w:r>
      <w:r w:rsidR="00565A77">
        <w:rPr>
          <w:color w:val="000000" w:themeColor="text1"/>
        </w:rPr>
        <w:t xml:space="preserve">who </w:t>
      </w:r>
      <w:r w:rsidR="005E1344">
        <w:rPr>
          <w:color w:val="000000" w:themeColor="text1"/>
        </w:rPr>
        <w:t>self-</w:t>
      </w:r>
      <w:r w:rsidR="00A20284">
        <w:rPr>
          <w:color w:val="000000" w:themeColor="text1"/>
        </w:rPr>
        <w:t xml:space="preserve">identified as practicing CBT or a variant of CBT. </w:t>
      </w:r>
      <w:r w:rsidR="00565A77">
        <w:rPr>
          <w:color w:val="000000" w:themeColor="text1"/>
        </w:rPr>
        <w:t xml:space="preserve">The testing </w:t>
      </w:r>
      <w:r w:rsidR="00A20284">
        <w:rPr>
          <w:color w:val="000000" w:themeColor="text1"/>
        </w:rPr>
        <w:t xml:space="preserve">asked about </w:t>
      </w:r>
      <w:r w:rsidR="0023486A">
        <w:rPr>
          <w:color w:val="000000" w:themeColor="text1"/>
        </w:rPr>
        <w:t xml:space="preserve">the following: </w:t>
      </w:r>
      <w:r w:rsidR="00A20284">
        <w:rPr>
          <w:color w:val="000000" w:themeColor="text1"/>
        </w:rPr>
        <w:t>item comprehension</w:t>
      </w:r>
      <w:r>
        <w:rPr>
          <w:color w:val="000000" w:themeColor="text1"/>
        </w:rPr>
        <w:t>:</w:t>
      </w:r>
      <w:r w:rsidR="0023486A">
        <w:rPr>
          <w:color w:val="000000" w:themeColor="text1"/>
        </w:rPr>
        <w:t xml:space="preserve"> </w:t>
      </w:r>
      <w:r w:rsidR="00A20284">
        <w:rPr>
          <w:color w:val="000000" w:themeColor="text1"/>
        </w:rPr>
        <w:t xml:space="preserve"> clarity of wording, definition, or presentation</w:t>
      </w:r>
      <w:r w:rsidR="0023486A">
        <w:rPr>
          <w:color w:val="000000" w:themeColor="text1"/>
        </w:rPr>
        <w:t xml:space="preserve">; </w:t>
      </w:r>
      <w:r w:rsidR="00A20284">
        <w:rPr>
          <w:color w:val="000000" w:themeColor="text1"/>
        </w:rPr>
        <w:t>reaction to certain items</w:t>
      </w:r>
      <w:r w:rsidR="0003216C">
        <w:rPr>
          <w:color w:val="000000" w:themeColor="text1"/>
        </w:rPr>
        <w:t xml:space="preserve"> or examples (e.g., use of sexual trauma as an example)</w:t>
      </w:r>
      <w:r w:rsidR="0023486A">
        <w:rPr>
          <w:color w:val="000000" w:themeColor="text1"/>
        </w:rPr>
        <w:t xml:space="preserve">; </w:t>
      </w:r>
      <w:r w:rsidR="00A20284">
        <w:rPr>
          <w:color w:val="000000" w:themeColor="text1"/>
        </w:rPr>
        <w:t>and feasibility of completing the survey</w:t>
      </w:r>
      <w:r w:rsidR="00EF20B1">
        <w:rPr>
          <w:color w:val="000000" w:themeColor="text1"/>
        </w:rPr>
        <w:t xml:space="preserve"> in under 10 minutes</w:t>
      </w:r>
      <w:r w:rsidR="00A20284">
        <w:rPr>
          <w:color w:val="000000" w:themeColor="text1"/>
        </w:rPr>
        <w:t>. Testing was an iterative process where questions were amended based on feedback</w:t>
      </w:r>
      <w:r w:rsidR="00D67C9B">
        <w:rPr>
          <w:color w:val="000000" w:themeColor="text1"/>
        </w:rPr>
        <w:t>. I</w:t>
      </w:r>
      <w:r w:rsidR="00A20284">
        <w:rPr>
          <w:color w:val="000000" w:themeColor="text1"/>
        </w:rPr>
        <w:t xml:space="preserve">nterviewees </w:t>
      </w:r>
      <w:r w:rsidR="00111778">
        <w:rPr>
          <w:color w:val="000000" w:themeColor="text1"/>
        </w:rPr>
        <w:t>were provided</w:t>
      </w:r>
      <w:r w:rsidR="00A20284">
        <w:rPr>
          <w:color w:val="000000" w:themeColor="text1"/>
        </w:rPr>
        <w:t xml:space="preserve"> a choice between two versions of a question or asked to endorse or reject the new wording.</w:t>
      </w:r>
      <w:r w:rsidR="00D67C9B">
        <w:rPr>
          <w:color w:val="000000" w:themeColor="text1"/>
        </w:rPr>
        <w:t xml:space="preserve"> A member of the TEP who is a clinical supervisor and </w:t>
      </w:r>
      <w:r w:rsidR="009A4131">
        <w:rPr>
          <w:color w:val="000000" w:themeColor="text1"/>
        </w:rPr>
        <w:t xml:space="preserve">two </w:t>
      </w:r>
      <w:r w:rsidR="00D67C9B">
        <w:rPr>
          <w:color w:val="000000" w:themeColor="text1"/>
        </w:rPr>
        <w:t>of the clinicians who are also supervisors were asked to react to the same items from a supervisor’s perspective.</w:t>
      </w:r>
    </w:p>
    <w:p w:rsidR="00565A77" w:rsidRDefault="00565A77" w:rsidP="00D67C9B">
      <w:pPr>
        <w:pStyle w:val="NormalSS"/>
        <w:tabs>
          <w:tab w:val="clear" w:pos="432"/>
        </w:tabs>
        <w:spacing w:after="0"/>
        <w:ind w:firstLine="360"/>
        <w:rPr>
          <w:color w:val="000000" w:themeColor="text1"/>
        </w:rPr>
      </w:pPr>
    </w:p>
    <w:p w:rsidR="00157EBF" w:rsidRDefault="00D67C9B" w:rsidP="009B55DD">
      <w:pPr>
        <w:pStyle w:val="NormalSS"/>
        <w:tabs>
          <w:tab w:val="clear" w:pos="432"/>
        </w:tabs>
        <w:spacing w:after="0"/>
        <w:ind w:firstLine="360"/>
        <w:rPr>
          <w:color w:val="000000" w:themeColor="text1"/>
        </w:rPr>
      </w:pPr>
      <w:r>
        <w:rPr>
          <w:color w:val="000000" w:themeColor="text1"/>
        </w:rPr>
        <w:t xml:space="preserve">Items on the consumer survey were meant to parallel items on the clinician and supervisor surveys. However, there were a few items that were dropped because </w:t>
      </w:r>
      <w:r w:rsidR="00156677">
        <w:rPr>
          <w:color w:val="000000" w:themeColor="text1"/>
        </w:rPr>
        <w:t xml:space="preserve">project </w:t>
      </w:r>
      <w:r w:rsidR="005E1344">
        <w:rPr>
          <w:color w:val="000000" w:themeColor="text1"/>
        </w:rPr>
        <w:t>leadership</w:t>
      </w:r>
      <w:r w:rsidR="00EF7EF9">
        <w:rPr>
          <w:color w:val="000000" w:themeColor="text1"/>
        </w:rPr>
        <w:t xml:space="preserve">, </w:t>
      </w:r>
      <w:r w:rsidR="009A4131">
        <w:rPr>
          <w:color w:val="000000" w:themeColor="text1"/>
        </w:rPr>
        <w:t>along with</w:t>
      </w:r>
      <w:r w:rsidR="00EF7EF9">
        <w:rPr>
          <w:color w:val="000000" w:themeColor="text1"/>
        </w:rPr>
        <w:t xml:space="preserve"> the </w:t>
      </w:r>
      <w:r>
        <w:rPr>
          <w:color w:val="000000" w:themeColor="text1"/>
        </w:rPr>
        <w:t>TEP</w:t>
      </w:r>
      <w:r w:rsidR="009A4131">
        <w:rPr>
          <w:color w:val="000000" w:themeColor="text1"/>
        </w:rPr>
        <w:t>,</w:t>
      </w:r>
      <w:r>
        <w:rPr>
          <w:color w:val="000000" w:themeColor="text1"/>
        </w:rPr>
        <w:t xml:space="preserve"> agreed that the question</w:t>
      </w:r>
      <w:r w:rsidR="005E1344">
        <w:rPr>
          <w:color w:val="000000" w:themeColor="text1"/>
        </w:rPr>
        <w:t>s</w:t>
      </w:r>
      <w:r>
        <w:rPr>
          <w:color w:val="000000" w:themeColor="text1"/>
        </w:rPr>
        <w:t xml:space="preserve"> w</w:t>
      </w:r>
      <w:r w:rsidR="005E1344">
        <w:rPr>
          <w:color w:val="000000" w:themeColor="text1"/>
        </w:rPr>
        <w:t>ere</w:t>
      </w:r>
      <w:r>
        <w:rPr>
          <w:color w:val="000000" w:themeColor="text1"/>
        </w:rPr>
        <w:t xml:space="preserve"> too technical for a consumer survey. </w:t>
      </w:r>
      <w:r w:rsidR="00653481">
        <w:rPr>
          <w:color w:val="000000" w:themeColor="text1"/>
        </w:rPr>
        <w:t>Six</w:t>
      </w:r>
      <w:r>
        <w:rPr>
          <w:color w:val="000000" w:themeColor="text1"/>
        </w:rPr>
        <w:t xml:space="preserve"> consumers </w:t>
      </w:r>
      <w:r w:rsidR="00111778">
        <w:rPr>
          <w:color w:val="000000" w:themeColor="text1"/>
        </w:rPr>
        <w:t xml:space="preserve">with a diagnosis of PTSD </w:t>
      </w:r>
      <w:r>
        <w:rPr>
          <w:color w:val="000000" w:themeColor="text1"/>
        </w:rPr>
        <w:t xml:space="preserve">participated in cognitive testing. </w:t>
      </w:r>
      <w:r w:rsidR="00111778">
        <w:rPr>
          <w:color w:val="000000" w:themeColor="text1"/>
        </w:rPr>
        <w:t>The participants</w:t>
      </w:r>
      <w:r>
        <w:rPr>
          <w:color w:val="000000" w:themeColor="text1"/>
        </w:rPr>
        <w:t xml:space="preserve"> </w:t>
      </w:r>
      <w:r w:rsidR="0023486A">
        <w:rPr>
          <w:color w:val="000000" w:themeColor="text1"/>
        </w:rPr>
        <w:t>included both</w:t>
      </w:r>
      <w:r w:rsidR="00EF7EF9">
        <w:rPr>
          <w:color w:val="000000" w:themeColor="text1"/>
        </w:rPr>
        <w:t xml:space="preserve"> men (n = 3) and women (n = </w:t>
      </w:r>
      <w:r w:rsidR="00653481">
        <w:rPr>
          <w:color w:val="000000" w:themeColor="text1"/>
        </w:rPr>
        <w:t>3</w:t>
      </w:r>
      <w:r w:rsidR="00EF7EF9">
        <w:rPr>
          <w:color w:val="000000" w:themeColor="text1"/>
        </w:rPr>
        <w:t>)</w:t>
      </w:r>
      <w:r w:rsidR="00842D07">
        <w:rPr>
          <w:color w:val="000000" w:themeColor="text1"/>
        </w:rPr>
        <w:t xml:space="preserve">. </w:t>
      </w:r>
      <w:r w:rsidR="0023486A">
        <w:rPr>
          <w:color w:val="000000" w:themeColor="text1"/>
        </w:rPr>
        <w:t>C</w:t>
      </w:r>
      <w:r>
        <w:rPr>
          <w:color w:val="000000" w:themeColor="text1"/>
        </w:rPr>
        <w:t>onsumers</w:t>
      </w:r>
      <w:r w:rsidR="0023486A">
        <w:rPr>
          <w:color w:val="000000" w:themeColor="text1"/>
        </w:rPr>
        <w:t>, like clinicians,</w:t>
      </w:r>
      <w:r>
        <w:rPr>
          <w:color w:val="000000" w:themeColor="text1"/>
        </w:rPr>
        <w:t xml:space="preserve"> were asked about item comprehension, </w:t>
      </w:r>
      <w:r w:rsidR="0023486A">
        <w:rPr>
          <w:color w:val="000000" w:themeColor="text1"/>
        </w:rPr>
        <w:t xml:space="preserve">about </w:t>
      </w:r>
      <w:r>
        <w:rPr>
          <w:color w:val="000000" w:themeColor="text1"/>
        </w:rPr>
        <w:t xml:space="preserve">clarity of wording, definition, or presentation, </w:t>
      </w:r>
      <w:r w:rsidR="00111778">
        <w:rPr>
          <w:color w:val="000000" w:themeColor="text1"/>
        </w:rPr>
        <w:t xml:space="preserve">and </w:t>
      </w:r>
      <w:r w:rsidR="0023486A">
        <w:rPr>
          <w:color w:val="000000" w:themeColor="text1"/>
        </w:rPr>
        <w:t xml:space="preserve">about their </w:t>
      </w:r>
      <w:r>
        <w:rPr>
          <w:color w:val="000000" w:themeColor="text1"/>
        </w:rPr>
        <w:t xml:space="preserve">reaction to certain items or examples (e.g., use of sexual trauma as an example). </w:t>
      </w:r>
      <w:r w:rsidR="00842D07">
        <w:rPr>
          <w:color w:val="000000" w:themeColor="text1"/>
        </w:rPr>
        <w:t xml:space="preserve">Unlike clinicians, consumers were also asked to react to a few terms like “psychotherapist” or “therapy” so that instructions could be appropriately worded. </w:t>
      </w:r>
      <w:r>
        <w:rPr>
          <w:color w:val="000000" w:themeColor="text1"/>
        </w:rPr>
        <w:t xml:space="preserve">Testing </w:t>
      </w:r>
      <w:r w:rsidR="009A4131">
        <w:rPr>
          <w:color w:val="000000" w:themeColor="text1"/>
        </w:rPr>
        <w:t xml:space="preserve">of the consumer survey </w:t>
      </w:r>
      <w:r>
        <w:rPr>
          <w:color w:val="000000" w:themeColor="text1"/>
        </w:rPr>
        <w:t xml:space="preserve">was also an iterative process where questions were modified based on feedback. Interviewees </w:t>
      </w:r>
      <w:r w:rsidR="00111778">
        <w:rPr>
          <w:color w:val="000000" w:themeColor="text1"/>
        </w:rPr>
        <w:t>were provided</w:t>
      </w:r>
      <w:r>
        <w:rPr>
          <w:color w:val="000000" w:themeColor="text1"/>
        </w:rPr>
        <w:t xml:space="preserve"> a choice </w:t>
      </w:r>
      <w:r w:rsidRPr="00A46206">
        <w:rPr>
          <w:color w:val="000000" w:themeColor="text1"/>
        </w:rPr>
        <w:t>between two versions of a question or asked to endorse or reject the new wording.</w:t>
      </w:r>
      <w:r w:rsidR="009B55DD" w:rsidRPr="00A46206">
        <w:rPr>
          <w:color w:val="000000" w:themeColor="text1"/>
        </w:rPr>
        <w:t xml:space="preserve"> </w:t>
      </w:r>
      <w:r w:rsidR="00EF20B1" w:rsidRPr="00A46206">
        <w:rPr>
          <w:color w:val="000000" w:themeColor="text1"/>
        </w:rPr>
        <w:t xml:space="preserve">Final draft versions of </w:t>
      </w:r>
      <w:r w:rsidR="00690075">
        <w:rPr>
          <w:color w:val="000000" w:themeColor="text1"/>
        </w:rPr>
        <w:t xml:space="preserve">the </w:t>
      </w:r>
      <w:r w:rsidR="00EF20B1" w:rsidRPr="00A46206">
        <w:rPr>
          <w:color w:val="000000" w:themeColor="text1"/>
        </w:rPr>
        <w:t>survey</w:t>
      </w:r>
      <w:r w:rsidR="00690075">
        <w:rPr>
          <w:color w:val="000000" w:themeColor="text1"/>
        </w:rPr>
        <w:t>s</w:t>
      </w:r>
      <w:r w:rsidR="00EF20B1" w:rsidRPr="00A46206">
        <w:rPr>
          <w:color w:val="000000" w:themeColor="text1"/>
        </w:rPr>
        <w:t xml:space="preserve"> are </w:t>
      </w:r>
      <w:r w:rsidR="00157EBF">
        <w:rPr>
          <w:color w:val="000000" w:themeColor="text1"/>
        </w:rPr>
        <w:t>included in</w:t>
      </w:r>
      <w:r w:rsidR="00EF20B1" w:rsidRPr="00A46206">
        <w:rPr>
          <w:color w:val="000000" w:themeColor="text1"/>
        </w:rPr>
        <w:t xml:space="preserve"> Attachment </w:t>
      </w:r>
      <w:r w:rsidR="00CA7A3B" w:rsidRPr="00A46206">
        <w:rPr>
          <w:color w:val="000000" w:themeColor="text1"/>
        </w:rPr>
        <w:t>1</w:t>
      </w:r>
      <w:r w:rsidR="00690075">
        <w:rPr>
          <w:color w:val="000000" w:themeColor="text1"/>
        </w:rPr>
        <w:t xml:space="preserve"> (clinician survey)</w:t>
      </w:r>
      <w:r w:rsidR="00CA7A3B" w:rsidRPr="00A46206">
        <w:rPr>
          <w:color w:val="000000" w:themeColor="text1"/>
        </w:rPr>
        <w:t xml:space="preserve">, </w:t>
      </w:r>
      <w:r w:rsidR="00690075">
        <w:rPr>
          <w:color w:val="000000" w:themeColor="text1"/>
        </w:rPr>
        <w:t xml:space="preserve">Attachment </w:t>
      </w:r>
      <w:r w:rsidR="00CA7A3B" w:rsidRPr="00A46206">
        <w:rPr>
          <w:color w:val="000000" w:themeColor="text1"/>
        </w:rPr>
        <w:t>2</w:t>
      </w:r>
      <w:r w:rsidR="00690075">
        <w:rPr>
          <w:color w:val="000000" w:themeColor="text1"/>
        </w:rPr>
        <w:t xml:space="preserve"> (supervisor survey)</w:t>
      </w:r>
      <w:r w:rsidR="00CA7A3B" w:rsidRPr="00A46206">
        <w:rPr>
          <w:color w:val="000000" w:themeColor="text1"/>
        </w:rPr>
        <w:t>, and</w:t>
      </w:r>
      <w:r w:rsidR="00690075">
        <w:rPr>
          <w:color w:val="000000" w:themeColor="text1"/>
        </w:rPr>
        <w:t xml:space="preserve"> Attachment</w:t>
      </w:r>
      <w:r w:rsidR="00CA7A3B" w:rsidRPr="00A46206">
        <w:rPr>
          <w:color w:val="000000" w:themeColor="text1"/>
        </w:rPr>
        <w:t xml:space="preserve"> 3</w:t>
      </w:r>
      <w:r w:rsidR="00690075">
        <w:rPr>
          <w:color w:val="000000" w:themeColor="text1"/>
        </w:rPr>
        <w:t xml:space="preserve"> (consumer survey)</w:t>
      </w:r>
      <w:r w:rsidR="00EF20B1">
        <w:rPr>
          <w:color w:val="000000" w:themeColor="text1"/>
        </w:rPr>
        <w:t>.</w:t>
      </w:r>
      <w:r>
        <w:rPr>
          <w:color w:val="000000" w:themeColor="text1"/>
        </w:rPr>
        <w:t xml:space="preserve"> </w:t>
      </w:r>
    </w:p>
    <w:p w:rsidR="00565A77" w:rsidRDefault="00565A77" w:rsidP="009B55DD">
      <w:pPr>
        <w:pStyle w:val="NormalSS"/>
        <w:tabs>
          <w:tab w:val="clear" w:pos="432"/>
        </w:tabs>
        <w:spacing w:after="0"/>
        <w:ind w:firstLine="360"/>
        <w:rPr>
          <w:color w:val="000000" w:themeColor="text1"/>
        </w:rPr>
      </w:pPr>
    </w:p>
    <w:p w:rsidR="00904FA0" w:rsidRDefault="00B4662C" w:rsidP="009B55DD">
      <w:pPr>
        <w:pStyle w:val="NormalSS"/>
        <w:tabs>
          <w:tab w:val="clear" w:pos="432"/>
        </w:tabs>
        <w:spacing w:after="0"/>
        <w:ind w:firstLine="360"/>
        <w:rPr>
          <w:color w:val="000000" w:themeColor="text1"/>
        </w:rPr>
      </w:pPr>
      <w:r>
        <w:rPr>
          <w:color w:val="000000" w:themeColor="text1"/>
        </w:rPr>
        <w:t>Three</w:t>
      </w:r>
      <w:r w:rsidR="00064055">
        <w:rPr>
          <w:color w:val="000000" w:themeColor="text1"/>
        </w:rPr>
        <w:t xml:space="preserve"> additional</w:t>
      </w:r>
      <w:r w:rsidR="00904FA0">
        <w:rPr>
          <w:color w:val="000000" w:themeColor="text1"/>
        </w:rPr>
        <w:t xml:space="preserve"> tool</w:t>
      </w:r>
      <w:r w:rsidR="00DA227C">
        <w:rPr>
          <w:color w:val="000000" w:themeColor="text1"/>
        </w:rPr>
        <w:t>s</w:t>
      </w:r>
      <w:r w:rsidR="00904FA0">
        <w:rPr>
          <w:color w:val="000000" w:themeColor="text1"/>
        </w:rPr>
        <w:t xml:space="preserve"> also </w:t>
      </w:r>
      <w:r w:rsidR="00DA227C">
        <w:rPr>
          <w:color w:val="000000" w:themeColor="text1"/>
        </w:rPr>
        <w:t>were</w:t>
      </w:r>
      <w:r w:rsidR="009B55DD">
        <w:rPr>
          <w:color w:val="000000" w:themeColor="text1"/>
        </w:rPr>
        <w:t xml:space="preserve"> developed to assist with sampling and data collection:</w:t>
      </w:r>
      <w:r w:rsidR="00904FA0">
        <w:rPr>
          <w:color w:val="000000" w:themeColor="text1"/>
        </w:rPr>
        <w:t xml:space="preserve">  </w:t>
      </w:r>
    </w:p>
    <w:p w:rsidR="00064055" w:rsidRDefault="00285D53" w:rsidP="00064055">
      <w:pPr>
        <w:pStyle w:val="NormalSS"/>
        <w:numPr>
          <w:ilvl w:val="0"/>
          <w:numId w:val="59"/>
        </w:numPr>
        <w:tabs>
          <w:tab w:val="clear" w:pos="432"/>
        </w:tabs>
        <w:spacing w:after="0"/>
        <w:jc w:val="left"/>
        <w:rPr>
          <w:color w:val="000000" w:themeColor="text1"/>
        </w:rPr>
      </w:pPr>
      <w:r w:rsidRPr="00904FA0">
        <w:rPr>
          <w:color w:val="000000" w:themeColor="text1"/>
        </w:rPr>
        <w:t xml:space="preserve">Site </w:t>
      </w:r>
      <w:r w:rsidR="00997805">
        <w:rPr>
          <w:color w:val="000000" w:themeColor="text1"/>
        </w:rPr>
        <w:t>c</w:t>
      </w:r>
      <w:r w:rsidRPr="00904FA0">
        <w:rPr>
          <w:color w:val="000000" w:themeColor="text1"/>
        </w:rPr>
        <w:t xml:space="preserve">oordinator’s </w:t>
      </w:r>
      <w:r w:rsidR="00997805">
        <w:rPr>
          <w:color w:val="000000" w:themeColor="text1"/>
        </w:rPr>
        <w:t>c</w:t>
      </w:r>
      <w:r w:rsidR="00904FA0">
        <w:rPr>
          <w:color w:val="000000" w:themeColor="text1"/>
        </w:rPr>
        <w:t xml:space="preserve">hecklist </w:t>
      </w:r>
      <w:r w:rsidR="00690075">
        <w:rPr>
          <w:color w:val="000000" w:themeColor="text1"/>
        </w:rPr>
        <w:t xml:space="preserve">for </w:t>
      </w:r>
      <w:r w:rsidR="00064055">
        <w:rPr>
          <w:color w:val="000000" w:themeColor="text1"/>
        </w:rPr>
        <w:t>s</w:t>
      </w:r>
      <w:r w:rsidR="00904FA0" w:rsidRPr="00904FA0">
        <w:rPr>
          <w:color w:val="000000" w:themeColor="text1"/>
        </w:rPr>
        <w:t xml:space="preserve">ite </w:t>
      </w:r>
      <w:r w:rsidR="00064055">
        <w:rPr>
          <w:color w:val="000000" w:themeColor="text1"/>
        </w:rPr>
        <w:t>c</w:t>
      </w:r>
      <w:r w:rsidR="00904FA0" w:rsidRPr="00904FA0">
        <w:rPr>
          <w:color w:val="000000" w:themeColor="text1"/>
        </w:rPr>
        <w:t xml:space="preserve">haracteristics </w:t>
      </w:r>
      <w:r w:rsidR="00CA7A3B">
        <w:rPr>
          <w:color w:val="000000" w:themeColor="text1"/>
        </w:rPr>
        <w:t xml:space="preserve">(see Attachment 4) </w:t>
      </w:r>
    </w:p>
    <w:p w:rsidR="00790632" w:rsidRDefault="00064055" w:rsidP="00064055">
      <w:pPr>
        <w:pStyle w:val="NormalSS"/>
        <w:numPr>
          <w:ilvl w:val="0"/>
          <w:numId w:val="59"/>
        </w:numPr>
        <w:tabs>
          <w:tab w:val="clear" w:pos="432"/>
        </w:tabs>
        <w:spacing w:after="0"/>
        <w:jc w:val="left"/>
        <w:rPr>
          <w:color w:val="000000" w:themeColor="text1"/>
        </w:rPr>
      </w:pPr>
      <w:r>
        <w:rPr>
          <w:color w:val="000000" w:themeColor="text1"/>
        </w:rPr>
        <w:t xml:space="preserve">A </w:t>
      </w:r>
      <w:r w:rsidR="00997805">
        <w:rPr>
          <w:color w:val="000000" w:themeColor="text1"/>
        </w:rPr>
        <w:t>d</w:t>
      </w:r>
      <w:r>
        <w:rPr>
          <w:color w:val="000000" w:themeColor="text1"/>
        </w:rPr>
        <w:t xml:space="preserve">ata </w:t>
      </w:r>
      <w:r w:rsidR="00997805">
        <w:rPr>
          <w:color w:val="000000" w:themeColor="text1"/>
        </w:rPr>
        <w:t>a</w:t>
      </w:r>
      <w:r>
        <w:rPr>
          <w:color w:val="000000" w:themeColor="text1"/>
        </w:rPr>
        <w:t xml:space="preserve">bstraction </w:t>
      </w:r>
      <w:r w:rsidR="00997805">
        <w:rPr>
          <w:color w:val="000000" w:themeColor="text1"/>
        </w:rPr>
        <w:t>f</w:t>
      </w:r>
      <w:r>
        <w:rPr>
          <w:color w:val="000000" w:themeColor="text1"/>
        </w:rPr>
        <w:t>orm used to identify and sample clinicians, sessions, supervisors</w:t>
      </w:r>
      <w:r w:rsidR="0020148B">
        <w:rPr>
          <w:color w:val="000000" w:themeColor="text1"/>
        </w:rPr>
        <w:t>,</w:t>
      </w:r>
      <w:r>
        <w:rPr>
          <w:color w:val="000000" w:themeColor="text1"/>
        </w:rPr>
        <w:t xml:space="preserve"> and consumers</w:t>
      </w:r>
      <w:r w:rsidR="00CA7A3B">
        <w:rPr>
          <w:color w:val="000000" w:themeColor="text1"/>
        </w:rPr>
        <w:t xml:space="preserve"> (see Attachment 5)</w:t>
      </w:r>
    </w:p>
    <w:p w:rsidR="00EF7EF9" w:rsidRDefault="00EF7EF9" w:rsidP="00064055">
      <w:pPr>
        <w:pStyle w:val="NormalSS"/>
        <w:numPr>
          <w:ilvl w:val="0"/>
          <w:numId w:val="59"/>
        </w:numPr>
        <w:tabs>
          <w:tab w:val="clear" w:pos="432"/>
        </w:tabs>
        <w:spacing w:after="0"/>
        <w:jc w:val="left"/>
        <w:rPr>
          <w:color w:val="000000" w:themeColor="text1"/>
        </w:rPr>
      </w:pPr>
      <w:r>
        <w:rPr>
          <w:color w:val="000000" w:themeColor="text1"/>
        </w:rPr>
        <w:t xml:space="preserve">A </w:t>
      </w:r>
      <w:r w:rsidR="00997805">
        <w:rPr>
          <w:color w:val="000000" w:themeColor="text1"/>
        </w:rPr>
        <w:t>c</w:t>
      </w:r>
      <w:r>
        <w:rPr>
          <w:color w:val="000000" w:themeColor="text1"/>
        </w:rPr>
        <w:t xml:space="preserve">linician </w:t>
      </w:r>
      <w:r w:rsidR="00B4662C">
        <w:rPr>
          <w:color w:val="000000" w:themeColor="text1"/>
        </w:rPr>
        <w:t xml:space="preserve">and supervisor </w:t>
      </w:r>
      <w:r w:rsidR="00997805">
        <w:rPr>
          <w:color w:val="000000" w:themeColor="text1"/>
        </w:rPr>
        <w:t>d</w:t>
      </w:r>
      <w:r w:rsidR="00D84CCB">
        <w:rPr>
          <w:color w:val="000000" w:themeColor="text1"/>
        </w:rPr>
        <w:t>emographic</w:t>
      </w:r>
      <w:r>
        <w:rPr>
          <w:color w:val="000000" w:themeColor="text1"/>
        </w:rPr>
        <w:t xml:space="preserve"> </w:t>
      </w:r>
      <w:r w:rsidR="00B4662C">
        <w:rPr>
          <w:color w:val="000000" w:themeColor="text1"/>
        </w:rPr>
        <w:t>questionnaire</w:t>
      </w:r>
      <w:r>
        <w:rPr>
          <w:color w:val="000000" w:themeColor="text1"/>
        </w:rPr>
        <w:t xml:space="preserve"> to obtain basic demographic data about the clinicians </w:t>
      </w:r>
      <w:r w:rsidR="00B4662C">
        <w:rPr>
          <w:color w:val="000000" w:themeColor="text1"/>
        </w:rPr>
        <w:t xml:space="preserve">and supervisors </w:t>
      </w:r>
      <w:r>
        <w:rPr>
          <w:color w:val="000000" w:themeColor="text1"/>
        </w:rPr>
        <w:t>administering PTSD treatment</w:t>
      </w:r>
      <w:r w:rsidR="00D84CCB">
        <w:rPr>
          <w:color w:val="000000" w:themeColor="text1"/>
        </w:rPr>
        <w:t xml:space="preserve"> (Attachment </w:t>
      </w:r>
      <w:r w:rsidR="00250E85">
        <w:rPr>
          <w:color w:val="000000" w:themeColor="text1"/>
        </w:rPr>
        <w:t>6</w:t>
      </w:r>
      <w:r w:rsidR="00D84CCB">
        <w:rPr>
          <w:color w:val="000000" w:themeColor="text1"/>
        </w:rPr>
        <w:t>)</w:t>
      </w:r>
    </w:p>
    <w:p w:rsidR="009B55DD" w:rsidRPr="00904FA0" w:rsidRDefault="009B55DD" w:rsidP="009B55DD">
      <w:pPr>
        <w:pStyle w:val="NormalSS"/>
        <w:tabs>
          <w:tab w:val="clear" w:pos="432"/>
        </w:tabs>
        <w:spacing w:after="0"/>
        <w:ind w:left="360" w:firstLine="0"/>
        <w:jc w:val="left"/>
        <w:rPr>
          <w:color w:val="000000" w:themeColor="text1"/>
        </w:rPr>
      </w:pPr>
    </w:p>
    <w:p w:rsidR="00157EBF" w:rsidRDefault="00EF20B1" w:rsidP="00064055">
      <w:pPr>
        <w:pStyle w:val="NormalSS"/>
        <w:tabs>
          <w:tab w:val="clear" w:pos="432"/>
        </w:tabs>
        <w:spacing w:after="0"/>
        <w:ind w:firstLine="360"/>
        <w:jc w:val="left"/>
      </w:pPr>
      <w:r w:rsidRPr="00414BD4">
        <w:t>Under the proposed</w:t>
      </w:r>
      <w:r w:rsidR="0020148B">
        <w:t xml:space="preserve"> plan for</w:t>
      </w:r>
      <w:r w:rsidRPr="00414BD4">
        <w:t xml:space="preserve"> inf</w:t>
      </w:r>
      <w:r>
        <w:t xml:space="preserve">ormation collection, ASPE’s contractor </w:t>
      </w:r>
      <w:r w:rsidRPr="00414BD4">
        <w:t xml:space="preserve">will partner with six </w:t>
      </w:r>
      <w:r>
        <w:t>behavioral</w:t>
      </w:r>
      <w:r w:rsidRPr="00414BD4">
        <w:t xml:space="preserve"> health organizations </w:t>
      </w:r>
      <w:r>
        <w:t>providing</w:t>
      </w:r>
      <w:r w:rsidRPr="00414BD4">
        <w:t xml:space="preserve"> outpatient therapy to adults with PTSD to </w:t>
      </w:r>
      <w:r>
        <w:t>pre</w:t>
      </w:r>
      <w:r w:rsidR="0020148B">
        <w:t>-</w:t>
      </w:r>
      <w:r>
        <w:t xml:space="preserve">test </w:t>
      </w:r>
      <w:r w:rsidRPr="00414BD4">
        <w:t xml:space="preserve">the </w:t>
      </w:r>
      <w:r>
        <w:t>instruments</w:t>
      </w:r>
      <w:r w:rsidR="00DE7374">
        <w:t>.</w:t>
      </w:r>
      <w:r w:rsidR="00064055">
        <w:rPr>
          <w:color w:val="000000" w:themeColor="text1"/>
        </w:rPr>
        <w:t xml:space="preserve"> </w:t>
      </w:r>
      <w:r w:rsidR="006B2D0F">
        <w:t xml:space="preserve">The </w:t>
      </w:r>
      <w:r w:rsidR="008B07F1" w:rsidRPr="00414BD4">
        <w:t>information will be collected using</w:t>
      </w:r>
      <w:r>
        <w:t xml:space="preserve"> </w:t>
      </w:r>
      <w:r w:rsidR="008B07F1" w:rsidRPr="00414BD4">
        <w:t>web-based survey</w:t>
      </w:r>
      <w:r w:rsidR="008F3165">
        <w:t>s</w:t>
      </w:r>
      <w:r>
        <w:t xml:space="preserve"> of</w:t>
      </w:r>
      <w:r w:rsidR="0006221B">
        <w:t xml:space="preserve"> clinicians, consumers, and </w:t>
      </w:r>
      <w:r>
        <w:t xml:space="preserve">clinical </w:t>
      </w:r>
      <w:r w:rsidR="0006221B">
        <w:t>supervisors</w:t>
      </w:r>
      <w:r w:rsidR="008B07F1" w:rsidRPr="00414BD4">
        <w:t>.</w:t>
      </w:r>
      <w:r w:rsidR="00064055">
        <w:t xml:space="preserve"> Information from the </w:t>
      </w:r>
      <w:r w:rsidR="00997805">
        <w:t>s</w:t>
      </w:r>
      <w:r w:rsidR="00064055">
        <w:t xml:space="preserve">ite </w:t>
      </w:r>
      <w:r w:rsidR="00997805">
        <w:t>c</w:t>
      </w:r>
      <w:r w:rsidR="00064055">
        <w:t xml:space="preserve">haracteristic </w:t>
      </w:r>
      <w:r w:rsidR="00997805">
        <w:t>c</w:t>
      </w:r>
      <w:r w:rsidR="00064055">
        <w:t xml:space="preserve">hecklist </w:t>
      </w:r>
      <w:r w:rsidR="00B4662C">
        <w:t xml:space="preserve">(Attachment 4) </w:t>
      </w:r>
      <w:r w:rsidR="00064055">
        <w:t>will be obtained th</w:t>
      </w:r>
      <w:r w:rsidR="0020148B">
        <w:t>r</w:t>
      </w:r>
      <w:r w:rsidR="00064055">
        <w:t>ough a preliminary telephone</w:t>
      </w:r>
      <w:r w:rsidR="00157EBF">
        <w:t xml:space="preserve"> conversation</w:t>
      </w:r>
      <w:r w:rsidR="00064055">
        <w:t xml:space="preserve"> with the site coordinator.</w:t>
      </w:r>
      <w:r w:rsidR="009B55DD">
        <w:t xml:space="preserve"> </w:t>
      </w:r>
      <w:r w:rsidR="009B55DD">
        <w:rPr>
          <w:color w:val="000000" w:themeColor="text1"/>
        </w:rPr>
        <w:t xml:space="preserve">This checklist was created so that </w:t>
      </w:r>
      <w:r w:rsidR="00B4662C">
        <w:rPr>
          <w:color w:val="000000" w:themeColor="text1"/>
        </w:rPr>
        <w:t xml:space="preserve">Mathematica could identify sites with the capacity to participate in pre-testing the surveys. </w:t>
      </w:r>
      <w:r w:rsidR="009B55DD">
        <w:t xml:space="preserve">The site coordinator </w:t>
      </w:r>
      <w:r w:rsidR="00064055">
        <w:t xml:space="preserve">will </w:t>
      </w:r>
      <w:r w:rsidR="009B55DD">
        <w:t xml:space="preserve">also populate </w:t>
      </w:r>
      <w:r w:rsidR="00064055">
        <w:t xml:space="preserve">the electronic </w:t>
      </w:r>
      <w:r w:rsidR="00997805">
        <w:t>d</w:t>
      </w:r>
      <w:r w:rsidR="00064055">
        <w:t xml:space="preserve">ata </w:t>
      </w:r>
      <w:r w:rsidR="00997805">
        <w:t>a</w:t>
      </w:r>
      <w:r w:rsidR="00064055">
        <w:t xml:space="preserve">bstraction </w:t>
      </w:r>
      <w:r w:rsidR="00997805">
        <w:t>f</w:t>
      </w:r>
      <w:r w:rsidR="00064055">
        <w:t>orm</w:t>
      </w:r>
      <w:r w:rsidR="00157EBF">
        <w:t xml:space="preserve"> (Attachment 5)</w:t>
      </w:r>
      <w:r w:rsidR="00B4662C">
        <w:t xml:space="preserve">, which will be used to select a sample of </w:t>
      </w:r>
      <w:r w:rsidR="00B4662C">
        <w:rPr>
          <w:color w:val="000000" w:themeColor="text1"/>
        </w:rPr>
        <w:t>clinicians, clinical supervisors, and consumers to take the surveys.</w:t>
      </w:r>
      <w:r w:rsidR="00064055">
        <w:t xml:space="preserve"> This form will be uploaded </w:t>
      </w:r>
      <w:r w:rsidR="00B4662C">
        <w:t xml:space="preserve">to key Mathematica project staff </w:t>
      </w:r>
      <w:r w:rsidR="00064055">
        <w:t>by the site coordinator through a secure file</w:t>
      </w:r>
      <w:r w:rsidR="0020148B">
        <w:t>-</w:t>
      </w:r>
      <w:r w:rsidR="00064055">
        <w:t xml:space="preserve">transfer site.  </w:t>
      </w:r>
      <w:r w:rsidR="00B4662C">
        <w:t>Clinicians and supervisors will complete the demographics questionnaire</w:t>
      </w:r>
      <w:r w:rsidR="005E2941">
        <w:t xml:space="preserve"> </w:t>
      </w:r>
      <w:r w:rsidR="005E2941">
        <w:lastRenderedPageBreak/>
        <w:t>to provide important contextual information such as their clinical training background, the length of time in treating adults with PTSD, their client caseload (Attachment 6).</w:t>
      </w:r>
    </w:p>
    <w:p w:rsidR="0020148B" w:rsidRDefault="0020148B" w:rsidP="00064055">
      <w:pPr>
        <w:pStyle w:val="NormalSS"/>
        <w:tabs>
          <w:tab w:val="clear" w:pos="432"/>
        </w:tabs>
        <w:spacing w:after="0"/>
        <w:ind w:firstLine="360"/>
        <w:jc w:val="left"/>
      </w:pPr>
    </w:p>
    <w:p w:rsidR="008B07F1" w:rsidRPr="00A46206" w:rsidRDefault="008B07F1" w:rsidP="00064055">
      <w:pPr>
        <w:pStyle w:val="NormalSS"/>
        <w:tabs>
          <w:tab w:val="clear" w:pos="432"/>
        </w:tabs>
        <w:spacing w:after="0"/>
        <w:ind w:firstLine="360"/>
        <w:jc w:val="left"/>
      </w:pPr>
      <w:r w:rsidRPr="00414BD4">
        <w:t xml:space="preserve">The web-based surveys will assess the delivery of </w:t>
      </w:r>
      <w:r w:rsidR="00D725AC">
        <w:t>psycho</w:t>
      </w:r>
      <w:r w:rsidRPr="00414BD4">
        <w:t>therap</w:t>
      </w:r>
      <w:r w:rsidR="00DE7374">
        <w:t>y</w:t>
      </w:r>
      <w:r w:rsidRPr="00414BD4">
        <w:t xml:space="preserve"> for PTSD and include items</w:t>
      </w:r>
      <w:r w:rsidR="00D3383C">
        <w:t xml:space="preserve"> </w:t>
      </w:r>
      <w:r w:rsidR="008F3165" w:rsidRPr="00A46206">
        <w:t xml:space="preserve">from the perspective of the clinician </w:t>
      </w:r>
      <w:r w:rsidRPr="00A46206">
        <w:t>(</w:t>
      </w:r>
      <w:r w:rsidR="008F3165" w:rsidRPr="00A46206">
        <w:t>s</w:t>
      </w:r>
      <w:r w:rsidRPr="00A46206">
        <w:t xml:space="preserve">ee Attachment </w:t>
      </w:r>
      <w:r w:rsidR="00CA7A3B" w:rsidRPr="00A46206">
        <w:t>1</w:t>
      </w:r>
      <w:r w:rsidRPr="00A46206">
        <w:t>)</w:t>
      </w:r>
      <w:r w:rsidR="00F7305B">
        <w:t>, the clinical supervisor (see Attachment 2),</w:t>
      </w:r>
      <w:r w:rsidR="008F3165" w:rsidRPr="00A46206">
        <w:t xml:space="preserve"> and </w:t>
      </w:r>
      <w:r w:rsidR="00D3383C">
        <w:t xml:space="preserve">the </w:t>
      </w:r>
      <w:r w:rsidR="008F3165" w:rsidRPr="00A46206">
        <w:t>c</w:t>
      </w:r>
      <w:r w:rsidR="00997805">
        <w:t>onsumer</w:t>
      </w:r>
      <w:r w:rsidR="008F3165" w:rsidRPr="00A46206">
        <w:t xml:space="preserve"> (see Attachment 3)</w:t>
      </w:r>
      <w:r w:rsidRPr="00A46206">
        <w:t xml:space="preserve">. Web-based surveys are an efficient method of obtaining information from respondents. The surveys are designed to take 5 to 10 minutes to complete and will yield information to inform a preliminary reliability and validity assessment. </w:t>
      </w:r>
    </w:p>
    <w:p w:rsidR="003071BD" w:rsidRPr="00A46206" w:rsidRDefault="003071BD" w:rsidP="00064055">
      <w:pPr>
        <w:pStyle w:val="NormalSS"/>
        <w:tabs>
          <w:tab w:val="clear" w:pos="432"/>
        </w:tabs>
        <w:spacing w:after="0"/>
        <w:ind w:firstLine="360"/>
        <w:jc w:val="left"/>
        <w:rPr>
          <w:color w:val="000000" w:themeColor="text1"/>
        </w:rPr>
      </w:pPr>
    </w:p>
    <w:p w:rsidR="0050571F" w:rsidRDefault="008B07F1">
      <w:pPr>
        <w:pStyle w:val="NormalSS"/>
        <w:ind w:firstLine="0"/>
      </w:pPr>
      <w:proofErr w:type="gramStart"/>
      <w:r w:rsidRPr="00A46206">
        <w:rPr>
          <w:i/>
        </w:rPr>
        <w:t>Survey Participants</w:t>
      </w:r>
      <w:r w:rsidR="002B1E67" w:rsidRPr="00A46206">
        <w:rPr>
          <w:i/>
        </w:rPr>
        <w:t>.</w:t>
      </w:r>
      <w:proofErr w:type="gramEnd"/>
      <w:r w:rsidR="002B1E67" w:rsidRPr="00A46206">
        <w:rPr>
          <w:i/>
        </w:rPr>
        <w:t xml:space="preserve"> </w:t>
      </w:r>
      <w:r w:rsidRPr="00A46206">
        <w:t xml:space="preserve">Within each </w:t>
      </w:r>
      <w:r w:rsidR="00105827">
        <w:t xml:space="preserve">behavioral </w:t>
      </w:r>
      <w:r w:rsidR="005E2941">
        <w:t xml:space="preserve">health </w:t>
      </w:r>
      <w:r w:rsidRPr="00A46206">
        <w:t xml:space="preserve">organization, four types of individuals will be involved in this data collection effort: </w:t>
      </w:r>
      <w:r w:rsidR="00005F93">
        <w:t>site</w:t>
      </w:r>
      <w:r w:rsidRPr="00A46206">
        <w:t xml:space="preserve"> coordinators, clinicians, clinical supervisors, and </w:t>
      </w:r>
      <w:r w:rsidR="00153AA8" w:rsidRPr="00A46206">
        <w:t>consumer</w:t>
      </w:r>
      <w:r w:rsidRPr="00A46206">
        <w:t>s.</w:t>
      </w:r>
      <w:r w:rsidR="00200B43" w:rsidRPr="00A46206">
        <w:t xml:space="preserve"> Clinicians, supervisors, and consumers will</w:t>
      </w:r>
      <w:r w:rsidR="00D84CCB">
        <w:t xml:space="preserve"> complete </w:t>
      </w:r>
      <w:r w:rsidR="003D05CE">
        <w:t xml:space="preserve">a </w:t>
      </w:r>
      <w:r w:rsidR="00D84CCB">
        <w:t xml:space="preserve">web-based survey </w:t>
      </w:r>
      <w:r w:rsidR="00105827">
        <w:t xml:space="preserve">about </w:t>
      </w:r>
      <w:r w:rsidR="00D84CCB">
        <w:t xml:space="preserve">the same therapy session. This </w:t>
      </w:r>
      <w:r w:rsidR="003D05CE">
        <w:t xml:space="preserve">approach </w:t>
      </w:r>
      <w:r w:rsidR="00D84CCB">
        <w:t xml:space="preserve">will allow </w:t>
      </w:r>
      <w:r w:rsidR="005E2941">
        <w:t>a comparison of</w:t>
      </w:r>
      <w:r w:rsidR="00D84CCB">
        <w:t xml:space="preserve"> results for the same session across the multiple raters.</w:t>
      </w:r>
      <w:r w:rsidR="00200B43" w:rsidRPr="00A46206">
        <w:t xml:space="preserve"> </w:t>
      </w:r>
      <w:r w:rsidR="00D84CCB">
        <w:t>Clinical supervisors will base their survey response on their direct observation of the therapy session (</w:t>
      </w:r>
      <w:r w:rsidR="00105827">
        <w:t>by</w:t>
      </w:r>
      <w:r w:rsidR="00D84CCB">
        <w:t xml:space="preserve"> one-way mirror</w:t>
      </w:r>
      <w:r w:rsidR="00105827">
        <w:t xml:space="preserve"> or</w:t>
      </w:r>
      <w:r w:rsidR="00D84CCB">
        <w:t xml:space="preserve"> video </w:t>
      </w:r>
      <w:r w:rsidR="003D05CE">
        <w:t xml:space="preserve">or audio </w:t>
      </w:r>
      <w:r w:rsidR="00D84CCB">
        <w:t xml:space="preserve">recording). </w:t>
      </w:r>
      <w:r w:rsidR="00492B08">
        <w:t>S</w:t>
      </w:r>
      <w:r w:rsidR="00200B43" w:rsidRPr="00A46206">
        <w:t xml:space="preserve">ite coordinators will complete the site characteristic checklist </w:t>
      </w:r>
      <w:r w:rsidR="005E2941">
        <w:t xml:space="preserve">(Attachment 4) </w:t>
      </w:r>
      <w:r w:rsidR="00200B43" w:rsidRPr="00A46206">
        <w:t xml:space="preserve">over the phone with </w:t>
      </w:r>
      <w:r w:rsidR="005E2941">
        <w:t>Mathematica</w:t>
      </w:r>
      <w:r w:rsidR="00810B0F">
        <w:t xml:space="preserve"> </w:t>
      </w:r>
      <w:r w:rsidR="00200B43" w:rsidRPr="00A46206">
        <w:t xml:space="preserve">and </w:t>
      </w:r>
      <w:r w:rsidR="00810B0F">
        <w:t xml:space="preserve">will also </w:t>
      </w:r>
      <w:r w:rsidR="00200B43" w:rsidRPr="00A46206">
        <w:t>complete the data abstraction form</w:t>
      </w:r>
      <w:r w:rsidR="005E2941">
        <w:t xml:space="preserve"> (Attachment 5)</w:t>
      </w:r>
      <w:r w:rsidR="00200B43" w:rsidRPr="00A46206">
        <w:t>.</w:t>
      </w:r>
      <w:r w:rsidRPr="00A46206">
        <w:t xml:space="preserve">  </w:t>
      </w:r>
    </w:p>
    <w:p w:rsidR="00675AA2" w:rsidRPr="00867DE0" w:rsidRDefault="00675AA2" w:rsidP="00675AA2">
      <w:pPr>
        <w:pStyle w:val="Heading3"/>
      </w:pPr>
      <w:r>
        <w:t>A</w:t>
      </w:r>
      <w:r w:rsidRPr="00867DE0">
        <w:t>2.</w:t>
      </w:r>
      <w:r>
        <w:tab/>
      </w:r>
      <w:r w:rsidRPr="00867DE0">
        <w:t>Purpose and Use of Information Collection</w:t>
      </w:r>
    </w:p>
    <w:p w:rsidR="00FA45DD" w:rsidRDefault="00DB50E5" w:rsidP="00064055">
      <w:pPr>
        <w:spacing w:line="240" w:lineRule="auto"/>
        <w:contextualSpacing/>
        <w:jc w:val="left"/>
      </w:pPr>
      <w:r>
        <w:t>Pre</w:t>
      </w:r>
      <w:r w:rsidR="00105827">
        <w:t>-</w:t>
      </w:r>
      <w:r>
        <w:t xml:space="preserve">testing is an essential component in </w:t>
      </w:r>
      <w:r w:rsidRPr="008D53AE">
        <w:t>developing a</w:t>
      </w:r>
      <w:r>
        <w:t>ny</w:t>
      </w:r>
      <w:r w:rsidRPr="008D53AE">
        <w:t xml:space="preserve"> useful, reliable</w:t>
      </w:r>
      <w:r w:rsidR="00105827">
        <w:t>,</w:t>
      </w:r>
      <w:r w:rsidRPr="008D53AE">
        <w:t xml:space="preserve"> and valid</w:t>
      </w:r>
      <w:r>
        <w:t xml:space="preserve"> instrument.</w:t>
      </w:r>
      <w:r>
        <w:rPr>
          <w:color w:val="000000"/>
        </w:rPr>
        <w:t xml:space="preserve"> </w:t>
      </w:r>
      <w:r w:rsidR="005E1344">
        <w:rPr>
          <w:color w:val="000000"/>
        </w:rPr>
        <w:t>T</w:t>
      </w:r>
      <w:r w:rsidR="005E1344">
        <w:t xml:space="preserve">he primary purpose of this effort is to determine feasibility of data collection, develop preliminary procedures for data collection, and provide initial assessment of reliability and validity of all the surveys. </w:t>
      </w:r>
      <w:r w:rsidR="00FA45DD">
        <w:rPr>
          <w:color w:val="000000"/>
        </w:rPr>
        <w:t xml:space="preserve">As this is a </w:t>
      </w:r>
      <w:r w:rsidR="003570EC">
        <w:rPr>
          <w:color w:val="000000"/>
        </w:rPr>
        <w:t>pre</w:t>
      </w:r>
      <w:r w:rsidR="00105827">
        <w:rPr>
          <w:color w:val="000000"/>
        </w:rPr>
        <w:t>-</w:t>
      </w:r>
      <w:r w:rsidR="003570EC">
        <w:rPr>
          <w:color w:val="000000"/>
        </w:rPr>
        <w:t>test</w:t>
      </w:r>
      <w:r w:rsidR="00FA45DD">
        <w:rPr>
          <w:color w:val="000000"/>
        </w:rPr>
        <w:t xml:space="preserve"> study, the purpose is not to demonstrate efficacy or effectiveness of the instruments. Rather, k</w:t>
      </w:r>
      <w:r w:rsidR="00FA45DD" w:rsidRPr="00C523B8">
        <w:rPr>
          <w:color w:val="000000"/>
        </w:rPr>
        <w:t xml:space="preserve">nowledge gained from this </w:t>
      </w:r>
      <w:r w:rsidR="003570EC">
        <w:rPr>
          <w:color w:val="000000"/>
        </w:rPr>
        <w:t>pre</w:t>
      </w:r>
      <w:r w:rsidR="00105827">
        <w:rPr>
          <w:color w:val="000000"/>
        </w:rPr>
        <w:t>-</w:t>
      </w:r>
      <w:r w:rsidR="003570EC">
        <w:rPr>
          <w:color w:val="000000"/>
        </w:rPr>
        <w:t>test</w:t>
      </w:r>
      <w:r w:rsidR="00FA45DD" w:rsidRPr="00C523B8">
        <w:rPr>
          <w:color w:val="000000"/>
        </w:rPr>
        <w:t xml:space="preserve"> test will help identify</w:t>
      </w:r>
      <w:r w:rsidR="00FA45DD">
        <w:rPr>
          <w:color w:val="000000"/>
        </w:rPr>
        <w:t xml:space="preserve"> needed modifications to the instruments and </w:t>
      </w:r>
      <w:r w:rsidR="00105827">
        <w:rPr>
          <w:color w:val="000000"/>
        </w:rPr>
        <w:t xml:space="preserve">will </w:t>
      </w:r>
      <w:r w:rsidR="00FA45DD">
        <w:rPr>
          <w:color w:val="000000"/>
        </w:rPr>
        <w:t>determine whether broader testing at a larger, more diverse set of sites is merited.</w:t>
      </w:r>
      <w:r>
        <w:rPr>
          <w:color w:val="000000"/>
        </w:rPr>
        <w:t xml:space="preserve"> </w:t>
      </w:r>
      <w:r w:rsidR="00FA45DD">
        <w:t>S</w:t>
      </w:r>
      <w:r w:rsidR="00FA45DD" w:rsidRPr="00E433FD">
        <w:t xml:space="preserve">ince only </w:t>
      </w:r>
      <w:r w:rsidR="00105827">
        <w:t xml:space="preserve">six </w:t>
      </w:r>
      <w:r w:rsidR="00FA45DD" w:rsidRPr="00E433FD">
        <w:t>sites</w:t>
      </w:r>
      <w:r w:rsidR="00105827">
        <w:t xml:space="preserve"> are involved in the pre-testing</w:t>
      </w:r>
      <w:r w:rsidR="00FA45DD" w:rsidRPr="00E433FD">
        <w:t xml:space="preserve">, </w:t>
      </w:r>
      <w:r w:rsidR="005E17FA">
        <w:t>ASPE does</w:t>
      </w:r>
      <w:r w:rsidR="00FA45DD" w:rsidRPr="00E433FD">
        <w:t xml:space="preserve"> not claim that outcomes will be generalizable</w:t>
      </w:r>
      <w:r w:rsidR="00105827">
        <w:t xml:space="preserve">; </w:t>
      </w:r>
      <w:r w:rsidR="003D05CE">
        <w:t xml:space="preserve">they are </w:t>
      </w:r>
      <w:r w:rsidR="00FA45DD" w:rsidRPr="00E433FD">
        <w:t xml:space="preserve">rather illustrative of the kinds of </w:t>
      </w:r>
      <w:r w:rsidR="007F1B07">
        <w:t>data</w:t>
      </w:r>
      <w:r w:rsidR="00FA45DD">
        <w:t xml:space="preserve"> that might </w:t>
      </w:r>
      <w:r w:rsidR="004062F4">
        <w:t>be generated by</w:t>
      </w:r>
      <w:r>
        <w:t xml:space="preserve"> the survey</w:t>
      </w:r>
      <w:r w:rsidR="000F1BD8">
        <w:t>s</w:t>
      </w:r>
      <w:r w:rsidR="00FA45DD">
        <w:t>.</w:t>
      </w:r>
    </w:p>
    <w:p w:rsidR="00675AA2" w:rsidRPr="00414BD4" w:rsidRDefault="00675AA2" w:rsidP="00625AD5">
      <w:pPr>
        <w:pStyle w:val="NormalSS"/>
      </w:pPr>
    </w:p>
    <w:p w:rsidR="00BF6F52" w:rsidRPr="00867DE0" w:rsidRDefault="00885000" w:rsidP="00625AD5">
      <w:pPr>
        <w:pStyle w:val="Heading3"/>
      </w:pPr>
      <w:bookmarkStart w:id="3" w:name="_Toc361303707"/>
      <w:r>
        <w:t>A3</w:t>
      </w:r>
      <w:r w:rsidR="00625AD5">
        <w:t>.</w:t>
      </w:r>
      <w:r w:rsidR="00625AD5">
        <w:tab/>
      </w:r>
      <w:r w:rsidR="00BF6F52" w:rsidRPr="00867DE0">
        <w:t>Use of Improved Information Technology and Burden Reduction</w:t>
      </w:r>
      <w:bookmarkEnd w:id="3"/>
    </w:p>
    <w:p w:rsidR="007F5907" w:rsidRPr="008D53AE" w:rsidRDefault="00F876F9" w:rsidP="00625AD5">
      <w:pPr>
        <w:pStyle w:val="NormalSS"/>
      </w:pPr>
      <w:r>
        <w:t xml:space="preserve">To reduce </w:t>
      </w:r>
      <w:r w:rsidR="00752E74">
        <w:t xml:space="preserve">respondent </w:t>
      </w:r>
      <w:r>
        <w:t>burden</w:t>
      </w:r>
      <w:r w:rsidR="00B94A6E">
        <w:t>,</w:t>
      </w:r>
      <w:r>
        <w:t xml:space="preserve"> the </w:t>
      </w:r>
      <w:r w:rsidR="004062F4">
        <w:t>c</w:t>
      </w:r>
      <w:r>
        <w:t xml:space="preserve">linician’s </w:t>
      </w:r>
      <w:r w:rsidR="004062F4">
        <w:t>s</w:t>
      </w:r>
      <w:r>
        <w:t xml:space="preserve">urvey, </w:t>
      </w:r>
      <w:r w:rsidR="004062F4">
        <w:t>c</w:t>
      </w:r>
      <w:r>
        <w:t xml:space="preserve">linician </w:t>
      </w:r>
      <w:r w:rsidR="004062F4">
        <w:t>s</w:t>
      </w:r>
      <w:r>
        <w:t xml:space="preserve">upervisor’s </w:t>
      </w:r>
      <w:r w:rsidR="004062F4">
        <w:t>s</w:t>
      </w:r>
      <w:r>
        <w:t>urvey</w:t>
      </w:r>
      <w:r w:rsidR="009860CF">
        <w:t>,</w:t>
      </w:r>
      <w:r>
        <w:t xml:space="preserve"> and </w:t>
      </w:r>
      <w:r w:rsidR="004062F4">
        <w:t>c</w:t>
      </w:r>
      <w:r>
        <w:t xml:space="preserve">onsumer’s </w:t>
      </w:r>
      <w:r w:rsidR="004062F4">
        <w:t>s</w:t>
      </w:r>
      <w:r>
        <w:t>urvey</w:t>
      </w:r>
      <w:r w:rsidR="009860CF">
        <w:t xml:space="preserve"> will be administered using web-based data collection methodologies</w:t>
      </w:r>
      <w:r>
        <w:t xml:space="preserve">. </w:t>
      </w:r>
      <w:r w:rsidR="009860CF">
        <w:t>Surveys</w:t>
      </w:r>
      <w:r>
        <w:t xml:space="preserve"> will </w:t>
      </w:r>
      <w:r w:rsidR="008C4B7C" w:rsidRPr="008D53AE">
        <w:t xml:space="preserve">be completed online </w:t>
      </w:r>
      <w:r w:rsidR="00752E74">
        <w:t xml:space="preserve">(by respondents) </w:t>
      </w:r>
      <w:r w:rsidR="008C4B7C" w:rsidRPr="008D53AE">
        <w:t xml:space="preserve">using </w:t>
      </w:r>
      <w:r w:rsidR="00445A24" w:rsidRPr="008D53AE">
        <w:t>a</w:t>
      </w:r>
      <w:r w:rsidR="0014322C" w:rsidRPr="008D53AE">
        <w:t xml:space="preserve"> </w:t>
      </w:r>
      <w:r w:rsidR="008D53AE">
        <w:t xml:space="preserve">secure </w:t>
      </w:r>
      <w:r w:rsidR="008C4B7C" w:rsidRPr="008D53AE">
        <w:t>web</w:t>
      </w:r>
      <w:r w:rsidR="009860CF">
        <w:t>-</w:t>
      </w:r>
      <w:r w:rsidR="008C4B7C" w:rsidRPr="008D53AE">
        <w:t>based program</w:t>
      </w:r>
      <w:r w:rsidR="00445A24" w:rsidRPr="008D53AE">
        <w:t xml:space="preserve"> </w:t>
      </w:r>
      <w:r w:rsidR="008C4B7C" w:rsidRPr="008D53AE">
        <w:t xml:space="preserve">that can be accessed from any computer with an </w:t>
      </w:r>
      <w:r w:rsidR="009860CF">
        <w:t>I</w:t>
      </w:r>
      <w:r w:rsidR="008C4B7C" w:rsidRPr="008D53AE">
        <w:t>nternet connect</w:t>
      </w:r>
      <w:r w:rsidR="0014322C" w:rsidRPr="008D53AE">
        <w:t>ion</w:t>
      </w:r>
      <w:r w:rsidR="002B5325" w:rsidRPr="008D53AE">
        <w:t xml:space="preserve">. </w:t>
      </w:r>
      <w:r w:rsidR="009860CF">
        <w:t xml:space="preserve">The </w:t>
      </w:r>
      <w:r w:rsidR="00AC65F2">
        <w:t>data collection methodologies will be based upon those documented in the survey research literature</w:t>
      </w:r>
      <w:r w:rsidR="009860CF">
        <w:t xml:space="preserve">, which </w:t>
      </w:r>
      <w:r w:rsidR="00FA45DD">
        <w:t>ASPE’s contractor</w:t>
      </w:r>
      <w:r w:rsidR="00AC65F2">
        <w:t xml:space="preserve"> has used for a number of years. </w:t>
      </w:r>
      <w:r w:rsidR="000E58DA">
        <w:t>All information collected will meet federal requirements regarding security and personal identifiable information, in addition to any Health Insurance Portability and Accountability ACT (HIPAA) regulations.</w:t>
      </w:r>
    </w:p>
    <w:p w:rsidR="00BF6F52" w:rsidRPr="00867DE0" w:rsidRDefault="00885000" w:rsidP="00625AD5">
      <w:pPr>
        <w:pStyle w:val="Heading3"/>
      </w:pPr>
      <w:bookmarkStart w:id="4" w:name="_Toc361303708"/>
      <w:r>
        <w:t>A4</w:t>
      </w:r>
      <w:r w:rsidR="00867DE0" w:rsidRPr="00867DE0">
        <w:t>.</w:t>
      </w:r>
      <w:r w:rsidR="00625AD5">
        <w:tab/>
      </w:r>
      <w:r w:rsidR="00BF6F52" w:rsidRPr="00867DE0">
        <w:t>Efforts to Identify Duplication and Use of Similar Information</w:t>
      </w:r>
      <w:bookmarkEnd w:id="4"/>
    </w:p>
    <w:p w:rsidR="00AF4925" w:rsidRPr="008D53AE" w:rsidRDefault="007562B5" w:rsidP="00625AD5">
      <w:pPr>
        <w:pStyle w:val="NormalSS"/>
      </w:pPr>
      <w:r>
        <w:t>T</w:t>
      </w:r>
      <w:r w:rsidRPr="008D53AE">
        <w:t xml:space="preserve">o determine if </w:t>
      </w:r>
      <w:r>
        <w:t>any instruments (tools or quality measures) already in existence could be used to measure the concordance of PTSD treatment with evidence-based approaches,</w:t>
      </w:r>
      <w:r w:rsidRPr="008D53AE" w:rsidDel="009860CF">
        <w:t xml:space="preserve"> </w:t>
      </w:r>
      <w:r w:rsidR="00AF4925" w:rsidRPr="008D53AE">
        <w:t xml:space="preserve">ASPE’s contractor conducted searches of peer-reviewed </w:t>
      </w:r>
      <w:r w:rsidR="00AE4238" w:rsidRPr="008D53AE">
        <w:t>published</w:t>
      </w:r>
      <w:r w:rsidR="00B6720B" w:rsidRPr="008D53AE">
        <w:t xml:space="preserve"> literature</w:t>
      </w:r>
      <w:r w:rsidR="00AE4238" w:rsidRPr="008D53AE">
        <w:t xml:space="preserve">, unpublished literature and reports, </w:t>
      </w:r>
      <w:r>
        <w:t xml:space="preserve">and </w:t>
      </w:r>
      <w:r w:rsidR="00AF4925" w:rsidRPr="008D53AE">
        <w:t>databases of existing quality</w:t>
      </w:r>
      <w:r>
        <w:t>-</w:t>
      </w:r>
      <w:r w:rsidR="00AF4925" w:rsidRPr="008D53AE">
        <w:t>improvement measures</w:t>
      </w:r>
      <w:r>
        <w:t xml:space="preserve">; it also </w:t>
      </w:r>
      <w:r w:rsidR="00AF4925" w:rsidRPr="008D53AE">
        <w:t xml:space="preserve">consulted with </w:t>
      </w:r>
      <w:r>
        <w:t xml:space="preserve">staff from </w:t>
      </w:r>
      <w:r w:rsidR="00AF4925" w:rsidRPr="008D53AE">
        <w:lastRenderedPageBreak/>
        <w:t>ASPE</w:t>
      </w:r>
      <w:r>
        <w:t xml:space="preserve"> and</w:t>
      </w:r>
      <w:r w:rsidR="00AF4925" w:rsidRPr="008D53AE">
        <w:t xml:space="preserve"> NIMH and </w:t>
      </w:r>
      <w:r>
        <w:t xml:space="preserve">with </w:t>
      </w:r>
      <w:r w:rsidR="00AF4925" w:rsidRPr="008D53AE">
        <w:t>PTSD experts</w:t>
      </w:r>
      <w:r w:rsidR="003C1676" w:rsidRPr="008D53AE">
        <w:t xml:space="preserve">. </w:t>
      </w:r>
      <w:r>
        <w:t xml:space="preserve">Given that no such instruments </w:t>
      </w:r>
      <w:r w:rsidR="00EF4769">
        <w:t>were identified, t</w:t>
      </w:r>
      <w:r w:rsidR="004F4FBA" w:rsidRPr="008D53AE">
        <w:t xml:space="preserve">his project will not duplicate any </w:t>
      </w:r>
      <w:r w:rsidR="00EF4769">
        <w:t xml:space="preserve">efforts </w:t>
      </w:r>
      <w:r w:rsidR="00FA45DD">
        <w:t>to develop a</w:t>
      </w:r>
      <w:r w:rsidR="004F4FBA" w:rsidRPr="008D53AE">
        <w:t xml:space="preserve"> quality</w:t>
      </w:r>
      <w:r>
        <w:t>-</w:t>
      </w:r>
      <w:r w:rsidR="004F4FBA" w:rsidRPr="008D53AE">
        <w:t xml:space="preserve">improvement measure </w:t>
      </w:r>
      <w:r w:rsidR="00B6720B" w:rsidRPr="008D53AE">
        <w:t>in this area</w:t>
      </w:r>
      <w:r w:rsidR="00FA45DD">
        <w:t>.</w:t>
      </w:r>
      <w:r w:rsidR="004F4FBA" w:rsidRPr="008D53AE">
        <w:t xml:space="preserve"> </w:t>
      </w:r>
      <w:r w:rsidR="003C1676" w:rsidRPr="008D53AE">
        <w:t xml:space="preserve"> </w:t>
      </w:r>
    </w:p>
    <w:p w:rsidR="00BF6F52" w:rsidRPr="00867DE0" w:rsidRDefault="00885000" w:rsidP="00625AD5">
      <w:pPr>
        <w:pStyle w:val="Heading3"/>
        <w:rPr>
          <w:szCs w:val="20"/>
        </w:rPr>
      </w:pPr>
      <w:bookmarkStart w:id="5" w:name="_Toc361303709"/>
      <w:r>
        <w:t>A5</w:t>
      </w:r>
      <w:r w:rsidR="00867DE0" w:rsidRPr="00867DE0">
        <w:t>.</w:t>
      </w:r>
      <w:r w:rsidR="00625AD5">
        <w:tab/>
      </w:r>
      <w:r w:rsidR="00BF6F52" w:rsidRPr="00867DE0">
        <w:t>Impact on Small Businesses or Other Small Entities</w:t>
      </w:r>
      <w:bookmarkEnd w:id="5"/>
    </w:p>
    <w:p w:rsidR="004F4FBA" w:rsidRPr="008D53AE" w:rsidRDefault="007562B5" w:rsidP="00625AD5">
      <w:pPr>
        <w:pStyle w:val="NormalSS"/>
      </w:pPr>
      <w:r>
        <w:t>O</w:t>
      </w:r>
      <w:r w:rsidR="003F5EE3">
        <w:t xml:space="preserve">f </w:t>
      </w:r>
      <w:r>
        <w:t xml:space="preserve">the six </w:t>
      </w:r>
      <w:r w:rsidR="003F5EE3">
        <w:t xml:space="preserve">sites </w:t>
      </w:r>
      <w:r w:rsidR="00EF20B1">
        <w:t xml:space="preserve">being </w:t>
      </w:r>
      <w:r w:rsidR="003F5EE3">
        <w:t>recruit</w:t>
      </w:r>
      <w:r w:rsidR="00EF20B1">
        <w:t>ed</w:t>
      </w:r>
      <w:r>
        <w:t xml:space="preserve"> for the pre-test</w:t>
      </w:r>
      <w:r w:rsidR="003F5EE3">
        <w:t xml:space="preserve">, </w:t>
      </w:r>
      <w:r w:rsidR="00DB50E5">
        <w:t xml:space="preserve">one </w:t>
      </w:r>
      <w:r w:rsidR="008E57B9">
        <w:t xml:space="preserve">could </w:t>
      </w:r>
      <w:r w:rsidR="00090F72">
        <w:t>be a</w:t>
      </w:r>
      <w:r w:rsidR="00EF20B1">
        <w:t xml:space="preserve"> considered a</w:t>
      </w:r>
      <w:r w:rsidR="003F5EE3">
        <w:t xml:space="preserve"> small business</w:t>
      </w:r>
      <w:r w:rsidR="00064055">
        <w:t xml:space="preserve"> (i.e., community mental health organization)</w:t>
      </w:r>
      <w:r w:rsidR="003F5EE3">
        <w:t xml:space="preserve">. </w:t>
      </w:r>
      <w:r w:rsidR="00AA051D" w:rsidRPr="008D53AE">
        <w:t xml:space="preserve">In an effort to minimize the impact of </w:t>
      </w:r>
      <w:r w:rsidR="005E5703" w:rsidRPr="008D53AE">
        <w:t>participating in this data collection effort</w:t>
      </w:r>
      <w:r w:rsidR="00440A5B">
        <w:t xml:space="preserve"> in general</w:t>
      </w:r>
      <w:r w:rsidR="00AA051D" w:rsidRPr="008D53AE">
        <w:t xml:space="preserve">, we </w:t>
      </w:r>
      <w:r w:rsidR="005E5703" w:rsidRPr="008D53AE">
        <w:t>have designed the survey</w:t>
      </w:r>
      <w:r w:rsidR="00AA051D" w:rsidRPr="008D53AE">
        <w:t xml:space="preserve"> to be completed in 10 minutes or less</w:t>
      </w:r>
      <w:r w:rsidR="003D482D">
        <w:t xml:space="preserve">, and have </w:t>
      </w:r>
      <w:r w:rsidR="008E57B9" w:rsidRPr="008D53AE">
        <w:t xml:space="preserve">requested </w:t>
      </w:r>
      <w:r w:rsidR="003D482D">
        <w:t xml:space="preserve">only </w:t>
      </w:r>
      <w:r w:rsidR="008E57B9" w:rsidRPr="008D53AE">
        <w:t xml:space="preserve">the minimum </w:t>
      </w:r>
      <w:r w:rsidR="003D482D">
        <w:t>information needed</w:t>
      </w:r>
      <w:r w:rsidR="008E57B9" w:rsidRPr="008D53AE">
        <w:t>.</w:t>
      </w:r>
      <w:r w:rsidR="008E57B9">
        <w:t xml:space="preserve"> </w:t>
      </w:r>
      <w:r w:rsidR="00140CEC" w:rsidRPr="008D53AE">
        <w:t xml:space="preserve">To further reduce burden, we will prioritize the participation of </w:t>
      </w:r>
      <w:r w:rsidR="008D53AE">
        <w:t xml:space="preserve">larger </w:t>
      </w:r>
      <w:r w:rsidR="00655A9D">
        <w:t>behavioral</w:t>
      </w:r>
      <w:r w:rsidR="008D53AE">
        <w:t xml:space="preserve"> health organizations and </w:t>
      </w:r>
      <w:r>
        <w:t xml:space="preserve">those in which </w:t>
      </w:r>
      <w:r w:rsidR="00140CEC" w:rsidRPr="008D53AE">
        <w:t xml:space="preserve">clinical supervisors </w:t>
      </w:r>
      <w:r w:rsidR="00DE7792" w:rsidRPr="008D53AE">
        <w:t>currently evaluate clinicians’ delivery of evidence</w:t>
      </w:r>
      <w:r>
        <w:t>-</w:t>
      </w:r>
      <w:r w:rsidR="00DE7792" w:rsidRPr="008D53AE">
        <w:t>based therapies</w:t>
      </w:r>
      <w:r w:rsidR="00885000">
        <w:t xml:space="preserve">. </w:t>
      </w:r>
      <w:r>
        <w:t xml:space="preserve">This approach will ensure that </w:t>
      </w:r>
      <w:r w:rsidR="00DE7792" w:rsidRPr="008D53AE">
        <w:t>the proposed data collection align</w:t>
      </w:r>
      <w:r>
        <w:t>s</w:t>
      </w:r>
      <w:r w:rsidR="00DE7792" w:rsidRPr="008D53AE">
        <w:t xml:space="preserve"> with </w:t>
      </w:r>
      <w:r>
        <w:t xml:space="preserve">organizations’ </w:t>
      </w:r>
      <w:r w:rsidR="00DE7792" w:rsidRPr="008D53AE">
        <w:t xml:space="preserve">standard work practices. </w:t>
      </w:r>
      <w:r w:rsidR="004F4FBA" w:rsidRPr="008D53AE">
        <w:t>Further</w:t>
      </w:r>
      <w:r>
        <w:t>more</w:t>
      </w:r>
      <w:r w:rsidR="004F4FBA" w:rsidRPr="008D53AE">
        <w:t xml:space="preserve">, </w:t>
      </w:r>
      <w:r>
        <w:t xml:space="preserve">by distributing </w:t>
      </w:r>
      <w:r w:rsidR="001E4946" w:rsidRPr="008D53AE">
        <w:t xml:space="preserve">data collection </w:t>
      </w:r>
      <w:r w:rsidR="004F4FBA" w:rsidRPr="008D53AE">
        <w:t xml:space="preserve">across multiple </w:t>
      </w:r>
      <w:r w:rsidR="00BB0333">
        <w:t>behavioral</w:t>
      </w:r>
      <w:r w:rsidR="00AA051D" w:rsidRPr="008D53AE">
        <w:t xml:space="preserve"> health </w:t>
      </w:r>
      <w:r w:rsidR="005E5703" w:rsidRPr="008D53AE">
        <w:t>organizations</w:t>
      </w:r>
      <w:r w:rsidR="001E4946" w:rsidRPr="008D53AE">
        <w:t>,</w:t>
      </w:r>
      <w:r w:rsidR="00440A5B">
        <w:t xml:space="preserve"> most of which</w:t>
      </w:r>
      <w:r w:rsidR="005E2941">
        <w:t xml:space="preserve"> would not be considered small</w:t>
      </w:r>
      <w:r>
        <w:t>,</w:t>
      </w:r>
      <w:r w:rsidR="001E4946" w:rsidRPr="008D53AE">
        <w:t xml:space="preserve"> </w:t>
      </w:r>
      <w:r>
        <w:t xml:space="preserve">we minimize </w:t>
      </w:r>
      <w:r w:rsidR="001E4946" w:rsidRPr="008D53AE">
        <w:t>the burden to any one organization</w:t>
      </w:r>
      <w:r w:rsidR="00722438" w:rsidRPr="008D53AE">
        <w:t xml:space="preserve">. </w:t>
      </w:r>
    </w:p>
    <w:p w:rsidR="00BF6F52" w:rsidRPr="00867DE0" w:rsidRDefault="00885000" w:rsidP="00625AD5">
      <w:pPr>
        <w:pStyle w:val="Heading3"/>
      </w:pPr>
      <w:bookmarkStart w:id="6" w:name="_Toc361303710"/>
      <w:r>
        <w:t>A6</w:t>
      </w:r>
      <w:r w:rsidR="00867DE0" w:rsidRPr="00867DE0">
        <w:t>.</w:t>
      </w:r>
      <w:r w:rsidR="00625AD5">
        <w:tab/>
      </w:r>
      <w:r w:rsidR="00BF6F52" w:rsidRPr="00867DE0">
        <w:t>Consequences of Collecting the Information Less Frequent</w:t>
      </w:r>
      <w:r w:rsidR="004062F4">
        <w:t>ly</w:t>
      </w:r>
      <w:bookmarkEnd w:id="6"/>
      <w:r w:rsidR="004062F4">
        <w:t xml:space="preserve"> </w:t>
      </w:r>
    </w:p>
    <w:p w:rsidR="00DE7792" w:rsidRPr="008D53AE" w:rsidRDefault="003570EC" w:rsidP="00625AD5">
      <w:pPr>
        <w:pStyle w:val="NormalSS"/>
      </w:pPr>
      <w:r>
        <w:t>Pre</w:t>
      </w:r>
      <w:r w:rsidR="00E10AFF">
        <w:t>-</w:t>
      </w:r>
      <w:r>
        <w:t>test</w:t>
      </w:r>
      <w:r w:rsidR="00440A5B">
        <w:t>ing</w:t>
      </w:r>
      <w:r w:rsidR="00BA7BA9">
        <w:t xml:space="preserve"> </w:t>
      </w:r>
      <w:r w:rsidR="008C349C" w:rsidRPr="008D53AE">
        <w:t>is an essential component of developing a useful, reliable</w:t>
      </w:r>
      <w:r w:rsidR="00E10AFF">
        <w:t>,</w:t>
      </w:r>
      <w:r w:rsidR="008C349C" w:rsidRPr="008D53AE">
        <w:t xml:space="preserve"> and valid</w:t>
      </w:r>
      <w:r w:rsidR="00EF4769">
        <w:t xml:space="preserve"> instrument that can be used</w:t>
      </w:r>
      <w:r w:rsidR="008C349C" w:rsidRPr="008D53AE">
        <w:t xml:space="preserve"> </w:t>
      </w:r>
      <w:r w:rsidR="00EF4769" w:rsidRPr="00EF4769">
        <w:t xml:space="preserve">to </w:t>
      </w:r>
      <w:r w:rsidR="00EF4769">
        <w:t>m</w:t>
      </w:r>
      <w:r w:rsidR="00EF4769" w:rsidRPr="00EF4769">
        <w:t xml:space="preserve">easure the </w:t>
      </w:r>
      <w:r w:rsidR="00EF4769">
        <w:t>d</w:t>
      </w:r>
      <w:r w:rsidR="00EF4769" w:rsidRPr="00EF4769">
        <w:t xml:space="preserve">elivery of </w:t>
      </w:r>
      <w:r w:rsidR="00EF4769">
        <w:t>e</w:t>
      </w:r>
      <w:r w:rsidR="00EF4769" w:rsidRPr="00EF4769">
        <w:t>vidence-</w:t>
      </w:r>
      <w:r w:rsidR="00EF4769">
        <w:t>b</w:t>
      </w:r>
      <w:r w:rsidR="00EF4769" w:rsidRPr="00EF4769">
        <w:t xml:space="preserve">ased </w:t>
      </w:r>
      <w:r w:rsidR="00EF4769">
        <w:t>p</w:t>
      </w:r>
      <w:r w:rsidR="00EF4769" w:rsidRPr="00EF4769">
        <w:t>sycho</w:t>
      </w:r>
      <w:r w:rsidR="00F04BC8">
        <w:t>therapy</w:t>
      </w:r>
      <w:r w:rsidR="00EF4769" w:rsidRPr="00EF4769">
        <w:t xml:space="preserve"> </w:t>
      </w:r>
      <w:r w:rsidR="00EF4769">
        <w:t>treatment for PTSD</w:t>
      </w:r>
      <w:r w:rsidR="00F83951">
        <w:t xml:space="preserve">. </w:t>
      </w:r>
      <w:r w:rsidR="0084705A" w:rsidRPr="008D53AE">
        <w:t xml:space="preserve">The consequence of not collecting these data </w:t>
      </w:r>
      <w:r w:rsidR="00E10AFF">
        <w:t xml:space="preserve">through the surveys described above </w:t>
      </w:r>
      <w:r w:rsidR="001C0D89" w:rsidRPr="008D53AE">
        <w:t>is that ASPE will not be able to develop a measur</w:t>
      </w:r>
      <w:r w:rsidR="007F7240">
        <w:t xml:space="preserve">e of </w:t>
      </w:r>
      <w:r w:rsidR="00EF4769">
        <w:t xml:space="preserve">evidence-based </w:t>
      </w:r>
      <w:r w:rsidR="001C0D89" w:rsidRPr="008D53AE">
        <w:t xml:space="preserve">PTSD </w:t>
      </w:r>
      <w:r w:rsidR="00EF4769">
        <w:t xml:space="preserve">treatment, nor advance the </w:t>
      </w:r>
      <w:r w:rsidR="0008333C">
        <w:t>g</w:t>
      </w:r>
      <w:r w:rsidR="00EF4769">
        <w:t xml:space="preserve">oals </w:t>
      </w:r>
      <w:r w:rsidR="0008333C">
        <w:t xml:space="preserve">of the </w:t>
      </w:r>
      <w:r w:rsidR="00E10AFF">
        <w:t>p</w:t>
      </w:r>
      <w:r w:rsidR="00EF4769">
        <w:t xml:space="preserve">resident’s </w:t>
      </w:r>
      <w:r w:rsidR="00E10AFF">
        <w:t>e</w:t>
      </w:r>
      <w:r w:rsidR="00EF4769">
        <w:t xml:space="preserve">xecutive </w:t>
      </w:r>
      <w:r w:rsidR="00E10AFF">
        <w:t>o</w:t>
      </w:r>
      <w:r w:rsidR="00EF4769">
        <w:t xml:space="preserve">rder </w:t>
      </w:r>
      <w:r w:rsidR="00E10AFF">
        <w:t>calling</w:t>
      </w:r>
      <w:r w:rsidR="00EF4769">
        <w:t xml:space="preserve"> for the advancement of </w:t>
      </w:r>
      <w:r w:rsidR="0008333C">
        <w:t xml:space="preserve">research on </w:t>
      </w:r>
      <w:r w:rsidR="00EF4769">
        <w:t>PTSD treatment methods</w:t>
      </w:r>
      <w:r w:rsidR="001C0D89" w:rsidRPr="008D53AE">
        <w:t>.</w:t>
      </w:r>
      <w:r w:rsidR="00F83951">
        <w:rPr>
          <w:rStyle w:val="FootnoteReference"/>
        </w:rPr>
        <w:footnoteReference w:id="16"/>
      </w:r>
      <w:r w:rsidR="001C0D89" w:rsidRPr="008D53AE">
        <w:t xml:space="preserve"> </w:t>
      </w:r>
      <w:r w:rsidR="0084705A" w:rsidRPr="008D53AE">
        <w:t xml:space="preserve"> </w:t>
      </w:r>
    </w:p>
    <w:p w:rsidR="00CD1537" w:rsidRDefault="00C32DD4" w:rsidP="00625AD5">
      <w:pPr>
        <w:pStyle w:val="NormalSS"/>
      </w:pPr>
      <w:r w:rsidRPr="008D53AE">
        <w:t xml:space="preserve">The current data collection is scheduled to occur only once, over a </w:t>
      </w:r>
      <w:r w:rsidR="00E10AFF">
        <w:t>six-</w:t>
      </w:r>
      <w:r w:rsidRPr="008D53AE">
        <w:t>month period</w:t>
      </w:r>
      <w:r w:rsidR="00E10AFF">
        <w:t xml:space="preserve"> from</w:t>
      </w:r>
      <w:r w:rsidRPr="008D53AE">
        <w:t xml:space="preserve"> </w:t>
      </w:r>
      <w:r w:rsidR="007A3D20">
        <w:t>summer 2014 through winter 2014</w:t>
      </w:r>
      <w:r w:rsidRPr="008D53AE">
        <w:t>.</w:t>
      </w:r>
      <w:r w:rsidR="001C0D89" w:rsidRPr="008D53AE">
        <w:t xml:space="preserve"> </w:t>
      </w:r>
      <w:r w:rsidR="003C217D" w:rsidRPr="008D53AE">
        <w:t>Over t</w:t>
      </w:r>
      <w:r w:rsidR="00D57751" w:rsidRPr="008D53AE">
        <w:t>h</w:t>
      </w:r>
      <w:r w:rsidR="008C349C" w:rsidRPr="008D53AE">
        <w:t xml:space="preserve">is </w:t>
      </w:r>
      <w:r w:rsidR="003C217D" w:rsidRPr="008D53AE">
        <w:t>time period, e</w:t>
      </w:r>
      <w:r w:rsidR="001D59EF" w:rsidRPr="008D53AE">
        <w:t xml:space="preserve">ach clinician will complete the survey </w:t>
      </w:r>
      <w:r w:rsidR="00E10AFF">
        <w:t>three</w:t>
      </w:r>
      <w:r w:rsidR="00E10AFF" w:rsidRPr="008D53AE">
        <w:t xml:space="preserve"> </w:t>
      </w:r>
      <w:r w:rsidR="001D59EF" w:rsidRPr="008D53AE">
        <w:t>times</w:t>
      </w:r>
      <w:r w:rsidR="002C0D03" w:rsidRPr="008D53AE">
        <w:t xml:space="preserve"> and will spend a maximum of 30 minutes on this data collection effort. </w:t>
      </w:r>
      <w:r w:rsidR="00DC1040" w:rsidRPr="008D53AE">
        <w:t xml:space="preserve">During this same time period, </w:t>
      </w:r>
      <w:r w:rsidR="00655A9D">
        <w:t xml:space="preserve">individual </w:t>
      </w:r>
      <w:r w:rsidR="002611E7" w:rsidRPr="008D53AE">
        <w:t xml:space="preserve">clinical </w:t>
      </w:r>
      <w:r w:rsidR="00DC1040" w:rsidRPr="008D53AE">
        <w:t xml:space="preserve">supervisors within the </w:t>
      </w:r>
      <w:r w:rsidR="00655A9D">
        <w:t>behavioral</w:t>
      </w:r>
      <w:r w:rsidR="00DC1040" w:rsidRPr="008D53AE">
        <w:t xml:space="preserve"> health </w:t>
      </w:r>
      <w:r w:rsidR="002C0D03" w:rsidRPr="008D53AE">
        <w:t xml:space="preserve">organizations will complete the survey </w:t>
      </w:r>
      <w:r w:rsidR="00655A9D">
        <w:t>18</w:t>
      </w:r>
      <w:r w:rsidR="008D53AE">
        <w:t xml:space="preserve"> </w:t>
      </w:r>
      <w:r w:rsidR="002C0D03" w:rsidRPr="008D53AE">
        <w:t>times</w:t>
      </w:r>
      <w:r w:rsidR="002611E7" w:rsidRPr="008D53AE">
        <w:t xml:space="preserve"> and will spend a maximum of </w:t>
      </w:r>
      <w:r w:rsidR="00655A9D">
        <w:t>180</w:t>
      </w:r>
      <w:r w:rsidR="002611E7" w:rsidRPr="008D53AE">
        <w:t xml:space="preserve"> minutes on this data collection effor</w:t>
      </w:r>
      <w:r w:rsidR="006975C6" w:rsidRPr="008D53AE">
        <w:t>t</w:t>
      </w:r>
      <w:r w:rsidR="002C0D03" w:rsidRPr="008D53AE">
        <w:t xml:space="preserve">. </w:t>
      </w:r>
      <w:r w:rsidR="00655A9D">
        <w:t xml:space="preserve">Because we plan to recruit behavioral health organizations that provide clinical supervision as part of routine practice, we anticipate that the supervisors’ participation in this effort will have a limited impact on their time. </w:t>
      </w:r>
      <w:r w:rsidR="002D4175">
        <w:t>Consumers</w:t>
      </w:r>
      <w:r w:rsidR="006B6A7D" w:rsidRPr="008D53AE">
        <w:t xml:space="preserve"> receiving treatment in the participating </w:t>
      </w:r>
      <w:r w:rsidR="002D1BCB">
        <w:t>behavioral health organizations</w:t>
      </w:r>
      <w:r w:rsidR="006B6A7D" w:rsidRPr="008D53AE">
        <w:t xml:space="preserve"> will complete the </w:t>
      </w:r>
      <w:r w:rsidR="00DE7792" w:rsidRPr="008D53AE">
        <w:t>survey</w:t>
      </w:r>
      <w:r w:rsidR="006B6A7D" w:rsidRPr="008D53AE">
        <w:t xml:space="preserve"> once during their treatment. </w:t>
      </w:r>
    </w:p>
    <w:p w:rsidR="00DC1040" w:rsidRPr="008D53AE" w:rsidRDefault="00DE7792" w:rsidP="00625AD5">
      <w:pPr>
        <w:pStyle w:val="NormalSS"/>
      </w:pPr>
      <w:r w:rsidRPr="008D53AE">
        <w:t>B</w:t>
      </w:r>
      <w:r w:rsidR="00A7078F" w:rsidRPr="008D53AE">
        <w:t xml:space="preserve">ecause it is unclear whether </w:t>
      </w:r>
      <w:r w:rsidR="002D4175">
        <w:t>consumer</w:t>
      </w:r>
      <w:r w:rsidR="00A7078F" w:rsidRPr="008D53AE">
        <w:t xml:space="preserve">s will be able to identify </w:t>
      </w:r>
      <w:r w:rsidR="00B21460" w:rsidRPr="008D53AE">
        <w:t xml:space="preserve">and recognize </w:t>
      </w:r>
      <w:r w:rsidR="00A7078F" w:rsidRPr="008D53AE">
        <w:t xml:space="preserve">the components of therapy delivered </w:t>
      </w:r>
      <w:r w:rsidR="00A54C37" w:rsidRPr="008D53AE">
        <w:t xml:space="preserve">by the clinician and because </w:t>
      </w:r>
      <w:r w:rsidR="002D4175">
        <w:t>consumers</w:t>
      </w:r>
      <w:r w:rsidR="006975C6" w:rsidRPr="008D53AE">
        <w:t xml:space="preserve">, </w:t>
      </w:r>
      <w:r w:rsidR="00A54C37" w:rsidRPr="008D53AE">
        <w:t>clinicians</w:t>
      </w:r>
      <w:r w:rsidR="001E4946" w:rsidRPr="008D53AE">
        <w:t>,</w:t>
      </w:r>
      <w:r w:rsidR="00A54C37" w:rsidRPr="008D53AE">
        <w:t xml:space="preserve"> and clinical supervisors may have different assess</w:t>
      </w:r>
      <w:r w:rsidR="00655A9D">
        <w:t>ments of the delivery of therapeutic</w:t>
      </w:r>
      <w:r w:rsidR="00A54C37" w:rsidRPr="008D53AE">
        <w:t xml:space="preserve"> elements, </w:t>
      </w:r>
      <w:r w:rsidR="00A7078F" w:rsidRPr="008D53AE">
        <w:t xml:space="preserve">it is critical that </w:t>
      </w:r>
      <w:r w:rsidR="002611E7" w:rsidRPr="008D53AE">
        <w:t>all three respondents (</w:t>
      </w:r>
      <w:r w:rsidR="00A54C37" w:rsidRPr="008D53AE">
        <w:t xml:space="preserve">clinicians, clinical supervisors, and </w:t>
      </w:r>
      <w:r w:rsidR="002D4175">
        <w:t>consumers</w:t>
      </w:r>
      <w:r w:rsidR="002611E7" w:rsidRPr="008D53AE">
        <w:t>)</w:t>
      </w:r>
      <w:r w:rsidR="00A54C37" w:rsidRPr="008D53AE">
        <w:t xml:space="preserve"> complete the survey</w:t>
      </w:r>
      <w:r w:rsidR="000E58DA">
        <w:t xml:space="preserve"> on the same therapy session.</w:t>
      </w:r>
    </w:p>
    <w:p w:rsidR="00BF6F52" w:rsidRPr="00867DE0" w:rsidRDefault="00885000" w:rsidP="00625AD5">
      <w:pPr>
        <w:pStyle w:val="Heading3"/>
      </w:pPr>
      <w:bookmarkStart w:id="7" w:name="_Toc361303711"/>
      <w:r>
        <w:lastRenderedPageBreak/>
        <w:t>A7</w:t>
      </w:r>
      <w:r w:rsidR="00867DE0" w:rsidRPr="00867DE0">
        <w:t>.</w:t>
      </w:r>
      <w:r w:rsidR="00625AD5">
        <w:tab/>
      </w:r>
      <w:r w:rsidR="00BF6F52" w:rsidRPr="00867DE0">
        <w:t>Special Circumstances Relating to the Guidelines of 5 CFR 1320.5</w:t>
      </w:r>
      <w:bookmarkEnd w:id="7"/>
    </w:p>
    <w:p w:rsidR="009B0739" w:rsidRPr="008D53AE" w:rsidRDefault="009B0739" w:rsidP="00625AD5">
      <w:pPr>
        <w:pStyle w:val="NormalSS"/>
      </w:pPr>
      <w:r w:rsidRPr="008D53AE">
        <w:t>This request fully complies with 5 CFR 1320.5</w:t>
      </w:r>
      <w:r w:rsidR="00C256EB" w:rsidRPr="008D53AE">
        <w:t>. There are no special circumstances for collecting this information.</w:t>
      </w:r>
    </w:p>
    <w:p w:rsidR="00BF6F52" w:rsidRPr="00867DE0" w:rsidRDefault="00885000" w:rsidP="00625AD5">
      <w:pPr>
        <w:pStyle w:val="Heading3"/>
      </w:pPr>
      <w:bookmarkStart w:id="8" w:name="_Toc361303712"/>
      <w:r>
        <w:t>A8</w:t>
      </w:r>
      <w:r w:rsidR="00867DE0" w:rsidRPr="00867DE0">
        <w:t>.</w:t>
      </w:r>
      <w:r w:rsidR="00625AD5">
        <w:tab/>
      </w:r>
      <w:r w:rsidR="004062F4">
        <w:rPr>
          <w:noProof/>
        </w:rPr>
        <w:t>Comments in Response to the Federal Register Notice</w:t>
      </w:r>
      <w:r w:rsidR="004062F4" w:rsidRPr="00FB766F">
        <w:t xml:space="preserve"> </w:t>
      </w:r>
      <w:r w:rsidR="004062F4">
        <w:t>and Efforts to Consult Outside the Agency</w:t>
      </w:r>
      <w:bookmarkEnd w:id="8"/>
    </w:p>
    <w:p w:rsidR="00EF5CCF" w:rsidRPr="00EF5CCF" w:rsidRDefault="001D530C" w:rsidP="00625AD5">
      <w:pPr>
        <w:pStyle w:val="Heading4"/>
      </w:pPr>
      <w:bookmarkStart w:id="9" w:name="_Toc291509291"/>
      <w:r>
        <w:tab/>
      </w:r>
      <w:r w:rsidR="00EF5CCF" w:rsidRPr="00EF5CCF">
        <w:t>Federal Register Notice</w:t>
      </w:r>
      <w:bookmarkEnd w:id="9"/>
    </w:p>
    <w:p w:rsidR="00970B54" w:rsidRPr="008D53AE" w:rsidRDefault="00D278F0" w:rsidP="00625AD5">
      <w:pPr>
        <w:pStyle w:val="NormalSS"/>
      </w:pPr>
      <w:bookmarkStart w:id="10" w:name="_Toc291509292"/>
      <w:r w:rsidRPr="008D53AE">
        <w:t>A</w:t>
      </w:r>
      <w:r w:rsidR="00D35D80" w:rsidRPr="008D53AE">
        <w:t xml:space="preserve"> 60-day notice required by 5 CFR 1320.8(d) was published in the </w:t>
      </w:r>
      <w:r w:rsidR="00D35D80" w:rsidRPr="00532F4A">
        <w:rPr>
          <w:i/>
        </w:rPr>
        <w:t>Federal Register</w:t>
      </w:r>
      <w:r w:rsidR="00D35D80" w:rsidRPr="00532F4A">
        <w:t xml:space="preserve"> on </w:t>
      </w:r>
      <w:r w:rsidR="00532F4A">
        <w:t>Nov. 27</w:t>
      </w:r>
      <w:proofErr w:type="gramStart"/>
      <w:r w:rsidR="00532F4A">
        <w:t xml:space="preserve">, </w:t>
      </w:r>
      <w:r w:rsidR="00D35D80" w:rsidRPr="00532F4A">
        <w:t xml:space="preserve"> 2013</w:t>
      </w:r>
      <w:proofErr w:type="gramEnd"/>
      <w:r w:rsidR="00E10AFF" w:rsidRPr="00532F4A">
        <w:t>;</w:t>
      </w:r>
      <w:r w:rsidR="0008333C">
        <w:t xml:space="preserve"> a copy is provided as </w:t>
      </w:r>
      <w:r w:rsidR="0008333C" w:rsidRPr="00A46206">
        <w:t>Attachment</w:t>
      </w:r>
      <w:r w:rsidR="00090F72" w:rsidRPr="00A46206">
        <w:t xml:space="preserve"> </w:t>
      </w:r>
      <w:r w:rsidR="00250E85">
        <w:t>8</w:t>
      </w:r>
      <w:r w:rsidR="00CA7A3B" w:rsidRPr="00A46206">
        <w:t>.</w:t>
      </w:r>
      <w:r w:rsidR="00D35D80" w:rsidRPr="008D53AE">
        <w:t xml:space="preserve"> </w:t>
      </w:r>
    </w:p>
    <w:p w:rsidR="00EF5CCF" w:rsidRPr="00EF5CCF" w:rsidRDefault="001D530C" w:rsidP="00625AD5">
      <w:pPr>
        <w:pStyle w:val="Heading4"/>
      </w:pPr>
      <w:r>
        <w:tab/>
      </w:r>
      <w:r w:rsidR="00EF5CCF" w:rsidRPr="00EF5CCF">
        <w:t>Outside Consultations</w:t>
      </w:r>
      <w:bookmarkEnd w:id="10"/>
      <w:r w:rsidR="00EF5CCF" w:rsidRPr="00EF5CCF">
        <w:t xml:space="preserve"> </w:t>
      </w:r>
    </w:p>
    <w:p w:rsidR="00A85CAF" w:rsidRDefault="001D530C" w:rsidP="00A85CAF">
      <w:pPr>
        <w:pStyle w:val="NormalSS"/>
      </w:pPr>
      <w:r>
        <w:t xml:space="preserve">On an ongoing basis, </w:t>
      </w:r>
      <w:r w:rsidR="00023792" w:rsidRPr="008D53AE">
        <w:t>ASPE</w:t>
      </w:r>
      <w:r w:rsidR="0018054D">
        <w:t>, NIMH</w:t>
      </w:r>
      <w:r w:rsidR="00E10AFF">
        <w:t>,</w:t>
      </w:r>
      <w:r w:rsidR="0018054D">
        <w:t xml:space="preserve"> and </w:t>
      </w:r>
      <w:r w:rsidR="0008333C">
        <w:t xml:space="preserve">Mathematica </w:t>
      </w:r>
      <w:r w:rsidR="00F83951">
        <w:t>consult</w:t>
      </w:r>
      <w:r w:rsidR="00023792" w:rsidRPr="008D53AE">
        <w:t xml:space="preserve"> with individuals regarding the development and </w:t>
      </w:r>
      <w:r w:rsidR="003570EC">
        <w:t>pre</w:t>
      </w:r>
      <w:r w:rsidR="00E10AFF">
        <w:t>-</w:t>
      </w:r>
      <w:r w:rsidR="003570EC">
        <w:t>test</w:t>
      </w:r>
      <w:r w:rsidR="00CD1537">
        <w:t>ing</w:t>
      </w:r>
      <w:r w:rsidR="00023792" w:rsidRPr="008D53AE">
        <w:t xml:space="preserve"> of the </w:t>
      </w:r>
      <w:r w:rsidR="0008333C">
        <w:t>instruments to measure the delivery of evidence-based psych</w:t>
      </w:r>
      <w:r w:rsidR="0036436C">
        <w:t>other</w:t>
      </w:r>
      <w:r w:rsidR="005D247D">
        <w:t>ap</w:t>
      </w:r>
      <w:r w:rsidR="0036436C">
        <w:t>y</w:t>
      </w:r>
      <w:r w:rsidR="0008333C">
        <w:t xml:space="preserve"> for PTSD</w:t>
      </w:r>
      <w:r w:rsidR="00023792" w:rsidRPr="008D53AE">
        <w:t xml:space="preserve">. </w:t>
      </w:r>
      <w:r w:rsidR="00E10AFF">
        <w:t>Among others, t</w:t>
      </w:r>
      <w:r w:rsidR="00023792" w:rsidRPr="008D53AE">
        <w:t>he</w:t>
      </w:r>
      <w:r w:rsidR="00E10AFF">
        <w:t xml:space="preserve">y have consulted with </w:t>
      </w:r>
      <w:r w:rsidR="00023792" w:rsidRPr="008D53AE">
        <w:t xml:space="preserve">Dr. Ginny Strand </w:t>
      </w:r>
      <w:r w:rsidR="00E10AFF">
        <w:t>of</w:t>
      </w:r>
      <w:r w:rsidR="00E10AFF" w:rsidRPr="008D53AE">
        <w:t xml:space="preserve"> </w:t>
      </w:r>
      <w:r w:rsidR="00023792" w:rsidRPr="008D53AE">
        <w:t>For</w:t>
      </w:r>
      <w:r w:rsidR="00E10AFF">
        <w:t>d</w:t>
      </w:r>
      <w:r w:rsidR="00023792" w:rsidRPr="008D53AE">
        <w:t xml:space="preserve">ham University, Jeannie </w:t>
      </w:r>
      <w:r w:rsidR="00090F72" w:rsidRPr="008D53AE">
        <w:t>Campbell and</w:t>
      </w:r>
      <w:r w:rsidR="00023792" w:rsidRPr="008D53AE">
        <w:t xml:space="preserve"> Cheryl Sharp </w:t>
      </w:r>
      <w:r w:rsidR="00E10AFF">
        <w:t>of</w:t>
      </w:r>
      <w:r w:rsidR="00E10AFF" w:rsidRPr="008D53AE">
        <w:t xml:space="preserve"> </w:t>
      </w:r>
      <w:r w:rsidR="00023792" w:rsidRPr="008D53AE">
        <w:t xml:space="preserve">the National Council of Community Behavioral Healthcare, and Elizabeth Ricksecker </w:t>
      </w:r>
      <w:r w:rsidR="00E10AFF">
        <w:t>of</w:t>
      </w:r>
      <w:r w:rsidR="00E10AFF" w:rsidRPr="008D53AE">
        <w:t xml:space="preserve"> </w:t>
      </w:r>
      <w:r w:rsidR="00FE5BF3">
        <w:t>the Centers for Medicare &amp; Medicaid Services</w:t>
      </w:r>
      <w:r w:rsidR="00023792" w:rsidRPr="008D53AE">
        <w:t>/</w:t>
      </w:r>
      <w:r w:rsidR="00FE5BF3">
        <w:t>Center for Clinical Standards and Quality</w:t>
      </w:r>
      <w:r w:rsidR="00023792" w:rsidRPr="008D53AE">
        <w:t>. These individuals provided input on the project’s methodological approach, the implementation of trauma</w:t>
      </w:r>
      <w:r w:rsidR="00FE5BF3">
        <w:t>-</w:t>
      </w:r>
      <w:r w:rsidR="00023792" w:rsidRPr="008D53AE">
        <w:t>informed care in community settings</w:t>
      </w:r>
      <w:r w:rsidR="00FE5BF3">
        <w:t>,</w:t>
      </w:r>
      <w:r w:rsidR="00023792" w:rsidRPr="008D53AE">
        <w:t xml:space="preserve"> potential </w:t>
      </w:r>
      <w:r w:rsidR="003570EC">
        <w:t>pre</w:t>
      </w:r>
      <w:r w:rsidR="00FE5BF3">
        <w:t>-</w:t>
      </w:r>
      <w:r w:rsidR="003570EC">
        <w:t>test</w:t>
      </w:r>
      <w:r w:rsidR="00BA7BA9">
        <w:t xml:space="preserve"> test</w:t>
      </w:r>
      <w:r w:rsidR="00023792" w:rsidRPr="008D53AE">
        <w:t>ing partners, and the VA’s approach to implementing evidence</w:t>
      </w:r>
      <w:r w:rsidR="00B3040B">
        <w:t>-</w:t>
      </w:r>
      <w:r w:rsidR="00023792" w:rsidRPr="008D53AE">
        <w:t xml:space="preserve">based PTSD care. </w:t>
      </w:r>
      <w:r w:rsidR="008D53AE">
        <w:t>Dr. J</w:t>
      </w:r>
      <w:r w:rsidR="002A31CD" w:rsidRPr="008D53AE">
        <w:t>oel Sherrill at NIMH</w:t>
      </w:r>
      <w:r w:rsidR="008D53AE">
        <w:t xml:space="preserve"> is </w:t>
      </w:r>
      <w:r w:rsidR="00B3040B">
        <w:t xml:space="preserve">also </w:t>
      </w:r>
      <w:r w:rsidR="008D53AE">
        <w:t>regularly consulted</w:t>
      </w:r>
      <w:r w:rsidR="002A31CD" w:rsidRPr="008D53AE">
        <w:t xml:space="preserve">. </w:t>
      </w:r>
    </w:p>
    <w:p w:rsidR="00EF5CCF" w:rsidRPr="008D53AE" w:rsidRDefault="005E2941" w:rsidP="00A85CAF">
      <w:pPr>
        <w:pStyle w:val="NormalSS"/>
      </w:pPr>
      <w:r>
        <w:t>Mathematica</w:t>
      </w:r>
      <w:r w:rsidRPr="008D53AE">
        <w:t xml:space="preserve"> </w:t>
      </w:r>
      <w:r w:rsidR="002A31CD" w:rsidRPr="008D53AE">
        <w:t xml:space="preserve">also consults </w:t>
      </w:r>
      <w:r w:rsidR="004D3E7F">
        <w:t xml:space="preserve">with </w:t>
      </w:r>
      <w:r w:rsidR="002A31CD" w:rsidRPr="008D53AE">
        <w:t xml:space="preserve">a five-member </w:t>
      </w:r>
      <w:r w:rsidR="007537EF" w:rsidRPr="008D53AE">
        <w:t xml:space="preserve">TEP made up of experts in </w:t>
      </w:r>
      <w:r w:rsidR="005C1395" w:rsidRPr="008D53AE">
        <w:t xml:space="preserve">the development and implementation of </w:t>
      </w:r>
      <w:r w:rsidR="007537EF" w:rsidRPr="008D53AE">
        <w:t>PTSD treatment</w:t>
      </w:r>
      <w:r w:rsidR="005C1395" w:rsidRPr="008D53AE">
        <w:t>s</w:t>
      </w:r>
      <w:r w:rsidR="007537EF" w:rsidRPr="008D53AE">
        <w:t xml:space="preserve">, </w:t>
      </w:r>
      <w:r w:rsidR="002624EA" w:rsidRPr="008D53AE">
        <w:t>study design,</w:t>
      </w:r>
      <w:r w:rsidR="00CD44AA" w:rsidRPr="008D53AE">
        <w:t xml:space="preserve"> </w:t>
      </w:r>
      <w:r w:rsidR="002624EA" w:rsidRPr="008D53AE">
        <w:t xml:space="preserve">mental health research, and clinical care of individuals with PTSD. </w:t>
      </w:r>
      <w:r w:rsidR="00EC7895" w:rsidRPr="008D53AE">
        <w:t xml:space="preserve">The </w:t>
      </w:r>
      <w:r w:rsidR="002624EA" w:rsidRPr="008D53AE">
        <w:t>TEP</w:t>
      </w:r>
      <w:r w:rsidR="00EC7895" w:rsidRPr="008D53AE">
        <w:t xml:space="preserve"> </w:t>
      </w:r>
      <w:r w:rsidR="00DF7065" w:rsidRPr="008D53AE">
        <w:t>met</w:t>
      </w:r>
      <w:r w:rsidR="000F4718">
        <w:t xml:space="preserve"> as a group</w:t>
      </w:r>
      <w:r w:rsidR="002624EA" w:rsidRPr="008D53AE">
        <w:t>, via conference call,</w:t>
      </w:r>
      <w:r w:rsidR="00DF7065" w:rsidRPr="008D53AE">
        <w:t xml:space="preserve"> in November 2012 and March 2013</w:t>
      </w:r>
      <w:r w:rsidR="002C70B3" w:rsidRPr="008D53AE">
        <w:t>,</w:t>
      </w:r>
      <w:r w:rsidR="003F5ACF" w:rsidRPr="008D53AE">
        <w:t xml:space="preserve"> </w:t>
      </w:r>
      <w:r w:rsidR="002624EA" w:rsidRPr="008D53AE">
        <w:t xml:space="preserve">to provide input on specific questions related to </w:t>
      </w:r>
      <w:r w:rsidR="00EA2B55" w:rsidRPr="008D53AE">
        <w:t>the items to be included in the survey</w:t>
      </w:r>
      <w:r w:rsidR="00CD1537">
        <w:t>s</w:t>
      </w:r>
      <w:r w:rsidR="00EA2B55" w:rsidRPr="008D53AE">
        <w:t xml:space="preserve"> and on plans to </w:t>
      </w:r>
      <w:r w:rsidR="003570EC">
        <w:t>pre</w:t>
      </w:r>
      <w:r w:rsidR="00B3040B">
        <w:t>-</w:t>
      </w:r>
      <w:r w:rsidR="003570EC">
        <w:t>test</w:t>
      </w:r>
      <w:r w:rsidR="00BA7BA9">
        <w:t xml:space="preserve"> </w:t>
      </w:r>
      <w:r w:rsidR="00EA2B55" w:rsidRPr="008D53AE">
        <w:t>the survey</w:t>
      </w:r>
      <w:r w:rsidR="00F15C44">
        <w:t>s</w:t>
      </w:r>
      <w:r w:rsidR="00EA2B55" w:rsidRPr="008D53AE">
        <w:t>.</w:t>
      </w:r>
      <w:r w:rsidR="00336670" w:rsidRPr="008D53AE">
        <w:t xml:space="preserve"> Individual TEP members have provided additional feedback via email and phone calls</w:t>
      </w:r>
      <w:r w:rsidR="008D53AE">
        <w:t xml:space="preserve"> and continue to be available for consultation</w:t>
      </w:r>
      <w:r w:rsidR="00336670" w:rsidRPr="008D53AE">
        <w:t>.</w:t>
      </w:r>
      <w:r w:rsidR="00EA2B55" w:rsidRPr="008D53AE">
        <w:t xml:space="preserve"> </w:t>
      </w:r>
      <w:r w:rsidR="00EF5CCF" w:rsidRPr="008D53AE">
        <w:t xml:space="preserve">Table </w:t>
      </w:r>
      <w:r w:rsidR="00465419">
        <w:t>A.</w:t>
      </w:r>
      <w:r w:rsidR="00EF5CCF" w:rsidRPr="008D53AE">
        <w:t>1 lists contact information</w:t>
      </w:r>
      <w:r w:rsidR="00970B54" w:rsidRPr="008D53AE">
        <w:t xml:space="preserve"> for the members</w:t>
      </w:r>
      <w:r w:rsidR="003F5ACF" w:rsidRPr="008D53AE">
        <w:t xml:space="preserve"> as well as the years in which </w:t>
      </w:r>
      <w:r w:rsidR="00B3040B">
        <w:t xml:space="preserve">each </w:t>
      </w:r>
      <w:r w:rsidR="00F15C44">
        <w:t>serves on the TEP</w:t>
      </w:r>
      <w:r w:rsidR="00EF5CCF" w:rsidRPr="008D53AE">
        <w:t>.</w:t>
      </w:r>
    </w:p>
    <w:p w:rsidR="003067BF" w:rsidRPr="00F65A49" w:rsidRDefault="00465419" w:rsidP="00090F72">
      <w:pPr>
        <w:pStyle w:val="MarkforTableHeading"/>
        <w:jc w:val="left"/>
      </w:pPr>
      <w:r>
        <w:t>Table A.</w:t>
      </w:r>
      <w:r w:rsidR="003067BF" w:rsidRPr="00F65A49">
        <w:t>1</w:t>
      </w:r>
      <w:r w:rsidR="00C7247B" w:rsidRPr="00F65A49">
        <w:t>.</w:t>
      </w:r>
      <w:r w:rsidR="003067BF" w:rsidRPr="00F65A49">
        <w:t xml:space="preserve"> </w:t>
      </w:r>
      <w:r w:rsidR="00520613" w:rsidRPr="00F65A49">
        <w:t>Technical Expert Panel Members</w:t>
      </w:r>
    </w:p>
    <w:tbl>
      <w:tblPr>
        <w:tblStyle w:val="SMPRTableBlack"/>
        <w:tblW w:w="5303" w:type="dxa"/>
        <w:tblInd w:w="0" w:type="dxa"/>
        <w:tblLayout w:type="fixed"/>
        <w:tblLook w:val="04A0" w:firstRow="1" w:lastRow="0" w:firstColumn="1" w:lastColumn="0" w:noHBand="0" w:noVBand="1"/>
      </w:tblPr>
      <w:tblGrid>
        <w:gridCol w:w="2063"/>
        <w:gridCol w:w="1763"/>
        <w:gridCol w:w="1477"/>
      </w:tblGrid>
      <w:tr w:rsidR="00F83951" w:rsidRPr="00625AD5" w:rsidTr="00090F72">
        <w:trPr>
          <w:cnfStyle w:val="100000000000" w:firstRow="1" w:lastRow="0" w:firstColumn="0" w:lastColumn="0" w:oddVBand="0" w:evenVBand="0" w:oddHBand="0" w:evenHBand="0" w:firstRowFirstColumn="0" w:firstRowLastColumn="0" w:lastRowFirstColumn="0" w:lastRowLastColumn="0"/>
        </w:trPr>
        <w:tc>
          <w:tcPr>
            <w:tcW w:w="2063" w:type="dxa"/>
          </w:tcPr>
          <w:p w:rsidR="00F83951" w:rsidRPr="00625AD5" w:rsidRDefault="00F83951" w:rsidP="00090F72">
            <w:pPr>
              <w:pStyle w:val="TableHeaderLeft"/>
              <w:rPr>
                <w:szCs w:val="18"/>
              </w:rPr>
            </w:pPr>
            <w:r w:rsidRPr="00625AD5">
              <w:rPr>
                <w:szCs w:val="18"/>
              </w:rPr>
              <w:t>Name</w:t>
            </w:r>
          </w:p>
        </w:tc>
        <w:tc>
          <w:tcPr>
            <w:tcW w:w="1763" w:type="dxa"/>
          </w:tcPr>
          <w:p w:rsidR="00F83951" w:rsidRPr="00625AD5" w:rsidRDefault="00547209" w:rsidP="00090F72">
            <w:pPr>
              <w:pStyle w:val="TableHeaderCenter"/>
              <w:jc w:val="left"/>
              <w:rPr>
                <w:szCs w:val="18"/>
              </w:rPr>
            </w:pPr>
            <w:r>
              <w:rPr>
                <w:szCs w:val="18"/>
              </w:rPr>
              <w:t>Affiliation</w:t>
            </w:r>
          </w:p>
        </w:tc>
        <w:tc>
          <w:tcPr>
            <w:tcW w:w="1477" w:type="dxa"/>
          </w:tcPr>
          <w:p w:rsidR="00F83951" w:rsidRPr="00625AD5" w:rsidRDefault="00F83951" w:rsidP="00090F72">
            <w:pPr>
              <w:pStyle w:val="TableHeaderCenter"/>
              <w:jc w:val="left"/>
              <w:rPr>
                <w:szCs w:val="18"/>
              </w:rPr>
            </w:pPr>
            <w:r w:rsidRPr="00625AD5">
              <w:rPr>
                <w:szCs w:val="18"/>
              </w:rPr>
              <w:t>Years of TEP Participation</w:t>
            </w:r>
          </w:p>
        </w:tc>
      </w:tr>
      <w:tr w:rsidR="00F83951" w:rsidRPr="00625AD5" w:rsidTr="00090F72">
        <w:tc>
          <w:tcPr>
            <w:tcW w:w="2063" w:type="dxa"/>
          </w:tcPr>
          <w:p w:rsidR="00F83951" w:rsidRPr="00625AD5" w:rsidRDefault="00F83951" w:rsidP="00090F72">
            <w:pPr>
              <w:pStyle w:val="TableText"/>
              <w:spacing w:before="120" w:after="60"/>
              <w:rPr>
                <w:szCs w:val="18"/>
              </w:rPr>
            </w:pPr>
            <w:r w:rsidRPr="00625AD5">
              <w:rPr>
                <w:szCs w:val="18"/>
              </w:rPr>
              <w:t>Kathleen Chard, Ph.D.</w:t>
            </w:r>
          </w:p>
        </w:tc>
        <w:tc>
          <w:tcPr>
            <w:tcW w:w="1763" w:type="dxa"/>
          </w:tcPr>
          <w:p w:rsidR="00F83951" w:rsidRPr="00625AD5" w:rsidRDefault="00F83951" w:rsidP="00090F72">
            <w:pPr>
              <w:pStyle w:val="TableText"/>
              <w:spacing w:before="120" w:after="60"/>
              <w:rPr>
                <w:szCs w:val="18"/>
              </w:rPr>
            </w:pPr>
            <w:r w:rsidRPr="00625AD5">
              <w:rPr>
                <w:szCs w:val="18"/>
              </w:rPr>
              <w:t>Cincinnati VA Medical Center</w:t>
            </w:r>
          </w:p>
        </w:tc>
        <w:tc>
          <w:tcPr>
            <w:tcW w:w="1477" w:type="dxa"/>
          </w:tcPr>
          <w:p w:rsidR="00F83951" w:rsidRPr="00625AD5" w:rsidRDefault="00F83951" w:rsidP="00090F72">
            <w:pPr>
              <w:pStyle w:val="TableText"/>
              <w:spacing w:before="120" w:after="60"/>
              <w:rPr>
                <w:szCs w:val="18"/>
              </w:rPr>
            </w:pPr>
            <w:r w:rsidRPr="00625AD5">
              <w:rPr>
                <w:szCs w:val="18"/>
              </w:rPr>
              <w:t>2013</w:t>
            </w:r>
            <w:r w:rsidR="00B3040B">
              <w:rPr>
                <w:szCs w:val="18"/>
              </w:rPr>
              <w:t>–</w:t>
            </w:r>
            <w:r w:rsidRPr="00625AD5">
              <w:rPr>
                <w:szCs w:val="18"/>
              </w:rPr>
              <w:t>2014</w:t>
            </w:r>
          </w:p>
        </w:tc>
      </w:tr>
      <w:tr w:rsidR="00F83951" w:rsidRPr="00625AD5" w:rsidTr="00090F72">
        <w:tc>
          <w:tcPr>
            <w:tcW w:w="2063" w:type="dxa"/>
          </w:tcPr>
          <w:p w:rsidR="00F83951" w:rsidRPr="00625AD5" w:rsidRDefault="00F83951" w:rsidP="00B3040B">
            <w:pPr>
              <w:pStyle w:val="TableText"/>
              <w:spacing w:before="120" w:after="60"/>
              <w:rPr>
                <w:szCs w:val="18"/>
              </w:rPr>
            </w:pPr>
            <w:r w:rsidRPr="00625AD5">
              <w:rPr>
                <w:szCs w:val="18"/>
              </w:rPr>
              <w:t xml:space="preserve">Edna </w:t>
            </w:r>
            <w:proofErr w:type="spellStart"/>
            <w:r w:rsidRPr="00625AD5">
              <w:rPr>
                <w:szCs w:val="18"/>
              </w:rPr>
              <w:t>Foa</w:t>
            </w:r>
            <w:proofErr w:type="spellEnd"/>
            <w:r w:rsidRPr="00625AD5">
              <w:rPr>
                <w:szCs w:val="18"/>
              </w:rPr>
              <w:t xml:space="preserve">, </w:t>
            </w:r>
            <w:proofErr w:type="spellStart"/>
            <w:r w:rsidRPr="00625AD5">
              <w:rPr>
                <w:szCs w:val="18"/>
              </w:rPr>
              <w:t>Ph.D</w:t>
            </w:r>
            <w:r w:rsidR="00B3040B" w:rsidRPr="00625AD5">
              <w:rPr>
                <w:szCs w:val="18"/>
              </w:rPr>
              <w:t>.</w:t>
            </w:r>
            <w:r w:rsidR="00B3040B">
              <w:rPr>
                <w:szCs w:val="18"/>
                <w:vertAlign w:val="superscript"/>
              </w:rPr>
              <w:t>a</w:t>
            </w:r>
            <w:proofErr w:type="spellEnd"/>
            <w:r w:rsidR="00B3040B" w:rsidRPr="00090F72">
              <w:rPr>
                <w:szCs w:val="18"/>
                <w:vertAlign w:val="superscript"/>
              </w:rPr>
              <w:t xml:space="preserve"> </w:t>
            </w:r>
          </w:p>
        </w:tc>
        <w:tc>
          <w:tcPr>
            <w:tcW w:w="1763" w:type="dxa"/>
          </w:tcPr>
          <w:p w:rsidR="00F83951" w:rsidRPr="00625AD5" w:rsidRDefault="00F83951" w:rsidP="00090F72">
            <w:pPr>
              <w:pStyle w:val="TableText"/>
              <w:spacing w:before="120" w:after="60"/>
              <w:rPr>
                <w:szCs w:val="18"/>
              </w:rPr>
            </w:pPr>
            <w:r w:rsidRPr="00625AD5">
              <w:rPr>
                <w:szCs w:val="18"/>
              </w:rPr>
              <w:t>University of Pennsylvania</w:t>
            </w:r>
          </w:p>
        </w:tc>
        <w:tc>
          <w:tcPr>
            <w:tcW w:w="1477" w:type="dxa"/>
          </w:tcPr>
          <w:p w:rsidR="00F83951" w:rsidRPr="00625AD5" w:rsidRDefault="00F83951" w:rsidP="00090F72">
            <w:pPr>
              <w:pStyle w:val="TableText"/>
              <w:spacing w:before="120" w:after="60"/>
              <w:rPr>
                <w:szCs w:val="18"/>
              </w:rPr>
            </w:pPr>
            <w:r w:rsidRPr="00625AD5">
              <w:rPr>
                <w:szCs w:val="18"/>
              </w:rPr>
              <w:t>2012</w:t>
            </w:r>
            <w:r w:rsidR="00B3040B">
              <w:rPr>
                <w:szCs w:val="18"/>
              </w:rPr>
              <w:t>–</w:t>
            </w:r>
            <w:r w:rsidRPr="00625AD5">
              <w:rPr>
                <w:szCs w:val="18"/>
              </w:rPr>
              <w:t>2014</w:t>
            </w:r>
          </w:p>
        </w:tc>
      </w:tr>
      <w:tr w:rsidR="00F83951" w:rsidRPr="00625AD5" w:rsidTr="00090F72">
        <w:tc>
          <w:tcPr>
            <w:tcW w:w="2063" w:type="dxa"/>
          </w:tcPr>
          <w:p w:rsidR="00F83951" w:rsidRPr="00090F72" w:rsidRDefault="00F83951" w:rsidP="00F15C44">
            <w:pPr>
              <w:pStyle w:val="TableText"/>
              <w:spacing w:before="120" w:after="60"/>
              <w:rPr>
                <w:szCs w:val="18"/>
                <w:vertAlign w:val="superscript"/>
              </w:rPr>
            </w:pPr>
            <w:r w:rsidRPr="00625AD5">
              <w:rPr>
                <w:szCs w:val="18"/>
              </w:rPr>
              <w:t xml:space="preserve">Patricia </w:t>
            </w:r>
            <w:proofErr w:type="spellStart"/>
            <w:r w:rsidRPr="00625AD5">
              <w:rPr>
                <w:szCs w:val="18"/>
              </w:rPr>
              <w:t>Resick</w:t>
            </w:r>
            <w:proofErr w:type="spellEnd"/>
            <w:r w:rsidRPr="00625AD5">
              <w:rPr>
                <w:szCs w:val="18"/>
              </w:rPr>
              <w:t xml:space="preserve">, Ph.D., </w:t>
            </w:r>
            <w:proofErr w:type="spellStart"/>
            <w:r w:rsidRPr="00625AD5">
              <w:rPr>
                <w:szCs w:val="18"/>
              </w:rPr>
              <w:t>ABPP</w:t>
            </w:r>
            <w:r w:rsidR="00817105" w:rsidRPr="00817105">
              <w:rPr>
                <w:szCs w:val="18"/>
                <w:vertAlign w:val="superscript"/>
              </w:rPr>
              <w:t>b</w:t>
            </w:r>
            <w:proofErr w:type="spellEnd"/>
          </w:p>
        </w:tc>
        <w:tc>
          <w:tcPr>
            <w:tcW w:w="1763" w:type="dxa"/>
          </w:tcPr>
          <w:p w:rsidR="00F83951" w:rsidRPr="00625AD5" w:rsidRDefault="00F83951" w:rsidP="00090F72">
            <w:pPr>
              <w:pStyle w:val="TableText"/>
              <w:spacing w:before="120" w:after="60"/>
              <w:rPr>
                <w:szCs w:val="18"/>
              </w:rPr>
            </w:pPr>
            <w:r w:rsidRPr="00625AD5">
              <w:rPr>
                <w:szCs w:val="18"/>
              </w:rPr>
              <w:t>National Center for the Study of PTSD, U.S. Department of Veteran Affairs</w:t>
            </w:r>
          </w:p>
        </w:tc>
        <w:tc>
          <w:tcPr>
            <w:tcW w:w="1477" w:type="dxa"/>
          </w:tcPr>
          <w:p w:rsidR="00F83951" w:rsidRPr="00625AD5" w:rsidRDefault="00F83951" w:rsidP="00B3040B">
            <w:pPr>
              <w:pStyle w:val="TableText"/>
              <w:spacing w:before="120" w:after="60"/>
              <w:rPr>
                <w:szCs w:val="18"/>
              </w:rPr>
            </w:pPr>
            <w:r w:rsidRPr="00625AD5">
              <w:rPr>
                <w:szCs w:val="18"/>
              </w:rPr>
              <w:t>2012</w:t>
            </w:r>
            <w:r w:rsidR="00B3040B">
              <w:rPr>
                <w:szCs w:val="18"/>
              </w:rPr>
              <w:t>–</w:t>
            </w:r>
            <w:r w:rsidRPr="00625AD5">
              <w:rPr>
                <w:szCs w:val="18"/>
              </w:rPr>
              <w:t>2014</w:t>
            </w:r>
          </w:p>
        </w:tc>
      </w:tr>
      <w:tr w:rsidR="00F83951" w:rsidRPr="00625AD5" w:rsidTr="00090F72">
        <w:tc>
          <w:tcPr>
            <w:tcW w:w="2063" w:type="dxa"/>
          </w:tcPr>
          <w:p w:rsidR="00F83951" w:rsidRPr="00625AD5" w:rsidRDefault="00F83951" w:rsidP="00090F72">
            <w:pPr>
              <w:pStyle w:val="TableText"/>
              <w:spacing w:before="120" w:after="60"/>
              <w:rPr>
                <w:szCs w:val="18"/>
              </w:rPr>
            </w:pPr>
            <w:r w:rsidRPr="00625AD5">
              <w:rPr>
                <w:szCs w:val="18"/>
              </w:rPr>
              <w:t xml:space="preserve">Barbara </w:t>
            </w:r>
            <w:proofErr w:type="spellStart"/>
            <w:r w:rsidRPr="00625AD5">
              <w:rPr>
                <w:szCs w:val="18"/>
              </w:rPr>
              <w:t>Rothbaum</w:t>
            </w:r>
            <w:proofErr w:type="spellEnd"/>
            <w:r w:rsidRPr="00625AD5">
              <w:rPr>
                <w:szCs w:val="18"/>
              </w:rPr>
              <w:t>, Ph.D., ABPP</w:t>
            </w:r>
          </w:p>
        </w:tc>
        <w:tc>
          <w:tcPr>
            <w:tcW w:w="1763" w:type="dxa"/>
          </w:tcPr>
          <w:p w:rsidR="00F83951" w:rsidRPr="00625AD5" w:rsidRDefault="00F83951" w:rsidP="00090F72">
            <w:pPr>
              <w:pStyle w:val="TableText"/>
              <w:spacing w:before="120" w:after="60"/>
              <w:rPr>
                <w:szCs w:val="18"/>
              </w:rPr>
            </w:pPr>
            <w:r w:rsidRPr="00625AD5">
              <w:rPr>
                <w:szCs w:val="18"/>
              </w:rPr>
              <w:t>Emory University School of Medicine</w:t>
            </w:r>
          </w:p>
        </w:tc>
        <w:tc>
          <w:tcPr>
            <w:tcW w:w="1477" w:type="dxa"/>
          </w:tcPr>
          <w:p w:rsidR="00F83951" w:rsidRPr="00625AD5" w:rsidRDefault="00F83951" w:rsidP="00090F72">
            <w:pPr>
              <w:pStyle w:val="TableText"/>
              <w:spacing w:before="120" w:after="60"/>
              <w:rPr>
                <w:szCs w:val="18"/>
              </w:rPr>
            </w:pPr>
            <w:r w:rsidRPr="00625AD5">
              <w:rPr>
                <w:szCs w:val="18"/>
              </w:rPr>
              <w:t>2012</w:t>
            </w:r>
            <w:r w:rsidR="00B3040B">
              <w:rPr>
                <w:szCs w:val="18"/>
              </w:rPr>
              <w:t>–</w:t>
            </w:r>
            <w:r w:rsidRPr="00625AD5">
              <w:rPr>
                <w:szCs w:val="18"/>
              </w:rPr>
              <w:t>2014</w:t>
            </w:r>
          </w:p>
        </w:tc>
      </w:tr>
      <w:tr w:rsidR="00F83951" w:rsidRPr="00625AD5" w:rsidTr="00090F72">
        <w:tc>
          <w:tcPr>
            <w:tcW w:w="2063" w:type="dxa"/>
          </w:tcPr>
          <w:p w:rsidR="00F83951" w:rsidRPr="00625AD5" w:rsidRDefault="00F83951" w:rsidP="00090F72">
            <w:pPr>
              <w:pStyle w:val="TableText"/>
              <w:spacing w:before="120" w:after="60"/>
              <w:rPr>
                <w:szCs w:val="18"/>
              </w:rPr>
            </w:pPr>
            <w:r w:rsidRPr="00625AD5">
              <w:rPr>
                <w:szCs w:val="18"/>
              </w:rPr>
              <w:t xml:space="preserve">Lori </w:t>
            </w:r>
            <w:proofErr w:type="spellStart"/>
            <w:r w:rsidRPr="00625AD5">
              <w:rPr>
                <w:szCs w:val="18"/>
              </w:rPr>
              <w:t>Zoellner</w:t>
            </w:r>
            <w:proofErr w:type="spellEnd"/>
            <w:r w:rsidRPr="00625AD5">
              <w:rPr>
                <w:szCs w:val="18"/>
              </w:rPr>
              <w:t>, Ph.D.</w:t>
            </w:r>
          </w:p>
        </w:tc>
        <w:tc>
          <w:tcPr>
            <w:tcW w:w="1763" w:type="dxa"/>
          </w:tcPr>
          <w:p w:rsidR="00F83951" w:rsidRPr="00625AD5" w:rsidRDefault="00F83951" w:rsidP="00090F72">
            <w:pPr>
              <w:pStyle w:val="TableText"/>
              <w:spacing w:before="120" w:after="60"/>
              <w:rPr>
                <w:szCs w:val="18"/>
              </w:rPr>
            </w:pPr>
            <w:r w:rsidRPr="00625AD5">
              <w:rPr>
                <w:szCs w:val="18"/>
              </w:rPr>
              <w:t>University of Washington</w:t>
            </w:r>
          </w:p>
        </w:tc>
        <w:tc>
          <w:tcPr>
            <w:tcW w:w="1477" w:type="dxa"/>
          </w:tcPr>
          <w:p w:rsidR="00F83951" w:rsidRPr="00625AD5" w:rsidRDefault="00F83951" w:rsidP="00090F72">
            <w:pPr>
              <w:pStyle w:val="TableText"/>
              <w:spacing w:before="120" w:after="60"/>
              <w:rPr>
                <w:szCs w:val="18"/>
              </w:rPr>
            </w:pPr>
            <w:r w:rsidRPr="00625AD5">
              <w:rPr>
                <w:szCs w:val="18"/>
              </w:rPr>
              <w:t>2012</w:t>
            </w:r>
            <w:r w:rsidR="00B3040B">
              <w:rPr>
                <w:szCs w:val="18"/>
              </w:rPr>
              <w:t>–</w:t>
            </w:r>
            <w:r w:rsidRPr="00625AD5">
              <w:rPr>
                <w:szCs w:val="18"/>
              </w:rPr>
              <w:t>2014</w:t>
            </w:r>
          </w:p>
        </w:tc>
      </w:tr>
    </w:tbl>
    <w:p w:rsidR="00B3040B" w:rsidRPr="00B3040B" w:rsidRDefault="00817105" w:rsidP="00FF5F8E">
      <w:pPr>
        <w:pStyle w:val="Heading3"/>
        <w:tabs>
          <w:tab w:val="clear" w:pos="432"/>
          <w:tab w:val="left" w:pos="0"/>
        </w:tabs>
        <w:ind w:left="0" w:firstLine="0"/>
        <w:jc w:val="left"/>
        <w:rPr>
          <w:b w:val="0"/>
        </w:rPr>
      </w:pPr>
      <w:bookmarkStart w:id="11" w:name="_Toc361303713"/>
      <w:r w:rsidRPr="0050571F">
        <w:rPr>
          <w:rFonts w:ascii="Arial" w:hAnsi="Arial" w:cs="Arial"/>
          <w:b w:val="0"/>
          <w:sz w:val="18"/>
          <w:szCs w:val="18"/>
        </w:rPr>
        <w:lastRenderedPageBreak/>
        <w:t>ABBP</w:t>
      </w:r>
      <w:r w:rsidR="00B3040B" w:rsidRPr="0050571F">
        <w:rPr>
          <w:rFonts w:ascii="Arial" w:hAnsi="Arial" w:cs="Arial"/>
          <w:b w:val="0"/>
          <w:sz w:val="18"/>
          <w:szCs w:val="18"/>
        </w:rPr>
        <w:t xml:space="preserve"> = American Board of Behavioral Psychology</w:t>
      </w:r>
      <w:r w:rsidR="00547209">
        <w:rPr>
          <w:b w:val="0"/>
        </w:rPr>
        <w:t>.</w:t>
      </w:r>
    </w:p>
    <w:p w:rsidR="00F83951" w:rsidRPr="0050571F" w:rsidRDefault="00B0182B" w:rsidP="00FF5F8E">
      <w:pPr>
        <w:pStyle w:val="Heading3"/>
        <w:tabs>
          <w:tab w:val="clear" w:pos="432"/>
          <w:tab w:val="left" w:pos="0"/>
        </w:tabs>
        <w:ind w:left="0" w:firstLine="0"/>
        <w:jc w:val="left"/>
        <w:rPr>
          <w:b w:val="0"/>
          <w:sz w:val="20"/>
          <w:szCs w:val="20"/>
        </w:rPr>
      </w:pPr>
      <w:proofErr w:type="spellStart"/>
      <w:proofErr w:type="gramStart"/>
      <w:r w:rsidRPr="0050571F">
        <w:rPr>
          <w:b w:val="0"/>
          <w:sz w:val="20"/>
          <w:szCs w:val="20"/>
          <w:vertAlign w:val="superscript"/>
        </w:rPr>
        <w:t>a</w:t>
      </w:r>
      <w:r w:rsidR="00090F72" w:rsidRPr="0050571F">
        <w:rPr>
          <w:b w:val="0"/>
          <w:sz w:val="20"/>
          <w:szCs w:val="20"/>
        </w:rPr>
        <w:t>Developer</w:t>
      </w:r>
      <w:proofErr w:type="spellEnd"/>
      <w:proofErr w:type="gramEnd"/>
      <w:r w:rsidR="00090F72" w:rsidRPr="0050571F">
        <w:rPr>
          <w:b w:val="0"/>
          <w:sz w:val="20"/>
          <w:szCs w:val="20"/>
        </w:rPr>
        <w:t xml:space="preserve"> of </w:t>
      </w:r>
      <w:r w:rsidRPr="0050571F">
        <w:rPr>
          <w:b w:val="0"/>
          <w:sz w:val="20"/>
          <w:szCs w:val="20"/>
        </w:rPr>
        <w:t>p</w:t>
      </w:r>
      <w:r w:rsidR="00090F72" w:rsidRPr="0050571F">
        <w:rPr>
          <w:b w:val="0"/>
          <w:sz w:val="20"/>
          <w:szCs w:val="20"/>
        </w:rPr>
        <w:t xml:space="preserve">rolonged </w:t>
      </w:r>
      <w:r w:rsidRPr="0050571F">
        <w:rPr>
          <w:b w:val="0"/>
          <w:sz w:val="20"/>
          <w:szCs w:val="20"/>
        </w:rPr>
        <w:t>e</w:t>
      </w:r>
      <w:r w:rsidR="00090F72" w:rsidRPr="0050571F">
        <w:rPr>
          <w:b w:val="0"/>
          <w:sz w:val="20"/>
          <w:szCs w:val="20"/>
        </w:rPr>
        <w:t xml:space="preserve">xposure CBT; </w:t>
      </w:r>
      <w:r w:rsidR="00C234FB" w:rsidRPr="0050571F">
        <w:rPr>
          <w:b w:val="0"/>
          <w:sz w:val="20"/>
          <w:szCs w:val="20"/>
        </w:rPr>
        <w:t xml:space="preserve">see </w:t>
      </w:r>
      <w:proofErr w:type="spellStart"/>
      <w:r w:rsidR="00C234FB" w:rsidRPr="0050571F">
        <w:rPr>
          <w:b w:val="0"/>
          <w:sz w:val="20"/>
          <w:szCs w:val="20"/>
        </w:rPr>
        <w:t>Foa</w:t>
      </w:r>
      <w:proofErr w:type="spellEnd"/>
      <w:r w:rsidR="00C234FB" w:rsidRPr="0050571F">
        <w:rPr>
          <w:b w:val="0"/>
          <w:sz w:val="20"/>
          <w:szCs w:val="20"/>
        </w:rPr>
        <w:t xml:space="preserve"> et al. (2007).</w:t>
      </w:r>
    </w:p>
    <w:p w:rsidR="00090F72" w:rsidRPr="0050571F" w:rsidRDefault="00B0182B" w:rsidP="00FF5F8E">
      <w:pPr>
        <w:spacing w:line="240" w:lineRule="auto"/>
        <w:ind w:firstLine="0"/>
        <w:rPr>
          <w:sz w:val="20"/>
          <w:szCs w:val="20"/>
        </w:rPr>
      </w:pPr>
      <w:proofErr w:type="spellStart"/>
      <w:proofErr w:type="gramStart"/>
      <w:r w:rsidRPr="0050571F">
        <w:rPr>
          <w:sz w:val="20"/>
          <w:szCs w:val="20"/>
          <w:vertAlign w:val="superscript"/>
        </w:rPr>
        <w:t>b</w:t>
      </w:r>
      <w:r w:rsidR="00090F72" w:rsidRPr="0050571F">
        <w:rPr>
          <w:sz w:val="20"/>
          <w:szCs w:val="20"/>
        </w:rPr>
        <w:t>Developer</w:t>
      </w:r>
      <w:proofErr w:type="spellEnd"/>
      <w:proofErr w:type="gramEnd"/>
      <w:r w:rsidR="00090F72" w:rsidRPr="0050571F">
        <w:rPr>
          <w:sz w:val="20"/>
          <w:szCs w:val="20"/>
        </w:rPr>
        <w:t xml:space="preserve"> of </w:t>
      </w:r>
      <w:r w:rsidRPr="0050571F">
        <w:rPr>
          <w:sz w:val="20"/>
          <w:szCs w:val="20"/>
        </w:rPr>
        <w:t>c</w:t>
      </w:r>
      <w:r w:rsidR="00090F72" w:rsidRPr="0050571F">
        <w:rPr>
          <w:sz w:val="20"/>
          <w:szCs w:val="20"/>
        </w:rPr>
        <w:t xml:space="preserve">ognitive </w:t>
      </w:r>
      <w:r w:rsidRPr="0050571F">
        <w:rPr>
          <w:sz w:val="20"/>
          <w:szCs w:val="20"/>
        </w:rPr>
        <w:t>p</w:t>
      </w:r>
      <w:r w:rsidR="00090F72" w:rsidRPr="0050571F">
        <w:rPr>
          <w:sz w:val="20"/>
          <w:szCs w:val="20"/>
        </w:rPr>
        <w:t xml:space="preserve">rocessing </w:t>
      </w:r>
      <w:r w:rsidRPr="0050571F">
        <w:rPr>
          <w:sz w:val="20"/>
          <w:szCs w:val="20"/>
        </w:rPr>
        <w:t>t</w:t>
      </w:r>
      <w:r w:rsidR="00090F72" w:rsidRPr="0050571F">
        <w:rPr>
          <w:sz w:val="20"/>
          <w:szCs w:val="20"/>
        </w:rPr>
        <w:t xml:space="preserve">herapy; </w:t>
      </w:r>
      <w:r w:rsidR="00C234FB" w:rsidRPr="0050571F">
        <w:rPr>
          <w:sz w:val="20"/>
          <w:szCs w:val="20"/>
        </w:rPr>
        <w:t xml:space="preserve">see </w:t>
      </w:r>
      <w:proofErr w:type="spellStart"/>
      <w:r w:rsidR="00090F72" w:rsidRPr="0050571F">
        <w:rPr>
          <w:sz w:val="20"/>
          <w:szCs w:val="20"/>
        </w:rPr>
        <w:t>Resick</w:t>
      </w:r>
      <w:proofErr w:type="spellEnd"/>
      <w:r w:rsidR="00C234FB" w:rsidRPr="0050571F">
        <w:rPr>
          <w:sz w:val="20"/>
          <w:szCs w:val="20"/>
        </w:rPr>
        <w:t xml:space="preserve"> and </w:t>
      </w:r>
      <w:proofErr w:type="spellStart"/>
      <w:r w:rsidR="00090F72" w:rsidRPr="0050571F">
        <w:rPr>
          <w:sz w:val="20"/>
          <w:szCs w:val="20"/>
        </w:rPr>
        <w:t>Schnicke</w:t>
      </w:r>
      <w:proofErr w:type="spellEnd"/>
      <w:r w:rsidR="00090F72" w:rsidRPr="0050571F">
        <w:rPr>
          <w:sz w:val="20"/>
          <w:szCs w:val="20"/>
        </w:rPr>
        <w:t xml:space="preserve"> (1996). </w:t>
      </w:r>
    </w:p>
    <w:p w:rsidR="00FF5F8E" w:rsidRPr="00090F72" w:rsidRDefault="00FF5F8E" w:rsidP="00FF5F8E">
      <w:pPr>
        <w:spacing w:line="240" w:lineRule="auto"/>
        <w:ind w:firstLine="0"/>
      </w:pPr>
    </w:p>
    <w:p w:rsidR="00BF6F52" w:rsidRPr="00867DE0" w:rsidRDefault="009B79D5" w:rsidP="00625AD5">
      <w:pPr>
        <w:pStyle w:val="Heading3"/>
      </w:pPr>
      <w:r>
        <w:t>A9</w:t>
      </w:r>
      <w:r w:rsidR="00625AD5">
        <w:t>.</w:t>
      </w:r>
      <w:r w:rsidR="00625AD5">
        <w:tab/>
      </w:r>
      <w:r w:rsidR="00A64F09">
        <w:t>Explanation of A</w:t>
      </w:r>
      <w:r w:rsidR="00BF6F52" w:rsidRPr="00867DE0">
        <w:t>ny Payment</w:t>
      </w:r>
      <w:r w:rsidR="007E173C">
        <w:t xml:space="preserve"> or </w:t>
      </w:r>
      <w:r w:rsidR="00BF6F52" w:rsidRPr="00867DE0">
        <w:t>Gift to Respondents</w:t>
      </w:r>
      <w:bookmarkEnd w:id="11"/>
    </w:p>
    <w:p w:rsidR="0093569C" w:rsidRDefault="0018054D">
      <w:pPr>
        <w:pStyle w:val="NormalSS"/>
      </w:pPr>
      <w:r>
        <w:t>Mathematica</w:t>
      </w:r>
      <w:r w:rsidRPr="008D53AE">
        <w:t xml:space="preserve"> </w:t>
      </w:r>
      <w:r w:rsidR="008B6B5D" w:rsidRPr="008D53AE">
        <w:t xml:space="preserve">will enter into contractual agreements with </w:t>
      </w:r>
      <w:r w:rsidR="00655A9D">
        <w:t>behavioral</w:t>
      </w:r>
      <w:r w:rsidR="008B6B5D" w:rsidRPr="008D53AE">
        <w:t xml:space="preserve"> health </w:t>
      </w:r>
      <w:r w:rsidR="009B4E45" w:rsidRPr="008D53AE">
        <w:t>organizations</w:t>
      </w:r>
      <w:r w:rsidR="008B6B5D" w:rsidRPr="008D53AE">
        <w:t xml:space="preserve"> participating in </w:t>
      </w:r>
      <w:r w:rsidR="00E86346" w:rsidRPr="008D53AE">
        <w:t xml:space="preserve">the </w:t>
      </w:r>
      <w:r w:rsidR="00F954B0" w:rsidRPr="008D53AE">
        <w:t>data collection effort</w:t>
      </w:r>
      <w:r w:rsidR="008B6B5D" w:rsidRPr="008D53AE">
        <w:t xml:space="preserve">. </w:t>
      </w:r>
      <w:r w:rsidR="00A85CAF">
        <w:t>The s</w:t>
      </w:r>
      <w:r w:rsidR="009B79D5">
        <w:t>ix</w:t>
      </w:r>
      <w:r w:rsidR="00E86346" w:rsidRPr="008D53AE">
        <w:t xml:space="preserve"> </w:t>
      </w:r>
      <w:r w:rsidR="003570EC">
        <w:t>pre</w:t>
      </w:r>
      <w:r w:rsidR="00547209">
        <w:t>-</w:t>
      </w:r>
      <w:r w:rsidR="003570EC">
        <w:t>test</w:t>
      </w:r>
      <w:r w:rsidR="00BA7BA9">
        <w:t xml:space="preserve"> </w:t>
      </w:r>
      <w:r w:rsidR="008B6B5D" w:rsidRPr="008D53AE">
        <w:t xml:space="preserve">sites will </w:t>
      </w:r>
      <w:r w:rsidR="009B79D5">
        <w:t xml:space="preserve">each </w:t>
      </w:r>
      <w:r w:rsidR="008B6B5D" w:rsidRPr="008D53AE">
        <w:t>be paid</w:t>
      </w:r>
      <w:r w:rsidR="00173342" w:rsidRPr="008D53AE">
        <w:t xml:space="preserve"> </w:t>
      </w:r>
      <w:r w:rsidR="008B6B5D" w:rsidRPr="008D53AE">
        <w:t xml:space="preserve">for their work as independent data collection agents. </w:t>
      </w:r>
    </w:p>
    <w:p w:rsidR="0093569C" w:rsidRDefault="00603614" w:rsidP="00603614">
      <w:pPr>
        <w:pStyle w:val="NormalSS"/>
        <w:ind w:firstLine="0"/>
      </w:pPr>
      <w:r>
        <w:tab/>
      </w:r>
      <w:r w:rsidR="00FC5C1A" w:rsidRPr="008D53AE">
        <w:t>I</w:t>
      </w:r>
      <w:r w:rsidR="00C61A16">
        <w:t>ndividual clinicians and</w:t>
      </w:r>
      <w:r w:rsidR="00362829" w:rsidRPr="008D53AE">
        <w:t xml:space="preserve"> clinical supervisors</w:t>
      </w:r>
      <w:r w:rsidR="00C61A16">
        <w:t xml:space="preserve"> </w:t>
      </w:r>
      <w:r w:rsidR="00915EBB" w:rsidRPr="008D53AE">
        <w:t>will not be compensated for their participation</w:t>
      </w:r>
      <w:r>
        <w:t xml:space="preserve">, but </w:t>
      </w:r>
      <w:r w:rsidR="00F15C44">
        <w:t>c</w:t>
      </w:r>
      <w:r>
        <w:t xml:space="preserve">onsumers will receive </w:t>
      </w:r>
      <w:r w:rsidR="008B6B5D" w:rsidRPr="008D53AE">
        <w:t>a</w:t>
      </w:r>
      <w:r w:rsidR="00173342" w:rsidRPr="008D53AE">
        <w:t xml:space="preserve"> $20.00</w:t>
      </w:r>
      <w:r w:rsidR="008B6B5D" w:rsidRPr="008D53AE">
        <w:t xml:space="preserve"> gift card (</w:t>
      </w:r>
      <w:r>
        <w:t>from</w:t>
      </w:r>
      <w:r w:rsidR="008B6B5D" w:rsidRPr="008D53AE">
        <w:t xml:space="preserve"> Target</w:t>
      </w:r>
      <w:r w:rsidR="008B2CDB">
        <w:t xml:space="preserve">, </w:t>
      </w:r>
      <w:proofErr w:type="spellStart"/>
      <w:r w:rsidR="008B6B5D" w:rsidRPr="008D53AE">
        <w:t>WalMart</w:t>
      </w:r>
      <w:proofErr w:type="spellEnd"/>
      <w:r w:rsidR="008B2CDB">
        <w:t>, Visa</w:t>
      </w:r>
      <w:r>
        <w:t>, etc.</w:t>
      </w:r>
      <w:r w:rsidR="008B6B5D" w:rsidRPr="008D53AE">
        <w:t>)</w:t>
      </w:r>
      <w:r w:rsidR="00F15C44">
        <w:t xml:space="preserve"> </w:t>
      </w:r>
      <w:r w:rsidR="00F15C44" w:rsidRPr="008D53AE">
        <w:t>for completing the informed consent and the survey</w:t>
      </w:r>
      <w:r w:rsidR="008B6B5D" w:rsidRPr="008D53AE">
        <w:t xml:space="preserve">. The </w:t>
      </w:r>
      <w:r w:rsidR="006C5EF1" w:rsidRPr="008D53AE">
        <w:t>project</w:t>
      </w:r>
      <w:r w:rsidR="008B6B5D" w:rsidRPr="008D53AE">
        <w:t xml:space="preserve"> team consulted with internal experts to determine that this payment would be sufficient to motivate (but not coerce) individuals to take part in the </w:t>
      </w:r>
      <w:r w:rsidR="00BF533D" w:rsidRPr="008D53AE">
        <w:t>project</w:t>
      </w:r>
      <w:r w:rsidR="008B6B5D" w:rsidRPr="008D53AE">
        <w:t xml:space="preserve">. </w:t>
      </w:r>
      <w:r w:rsidR="00915EBB" w:rsidRPr="008D53AE">
        <w:t xml:space="preserve">Without such payments, it is much less likely that </w:t>
      </w:r>
      <w:r w:rsidR="002D4175">
        <w:t>consumers</w:t>
      </w:r>
      <w:r w:rsidR="00915EBB" w:rsidRPr="008D53AE">
        <w:t xml:space="preserve"> </w:t>
      </w:r>
      <w:r>
        <w:t xml:space="preserve">would </w:t>
      </w:r>
      <w:r w:rsidR="00915EBB" w:rsidRPr="008D53AE">
        <w:t>be willing to participate.</w:t>
      </w:r>
    </w:p>
    <w:p w:rsidR="00BF6F52" w:rsidRPr="00867DE0" w:rsidRDefault="009B79D5" w:rsidP="00625AD5">
      <w:pPr>
        <w:pStyle w:val="Heading3"/>
      </w:pPr>
      <w:bookmarkStart w:id="12" w:name="_Toc361303714"/>
      <w:r>
        <w:t>A10</w:t>
      </w:r>
      <w:r w:rsidR="00867DE0" w:rsidRPr="00867DE0">
        <w:t>.</w:t>
      </w:r>
      <w:r>
        <w:t xml:space="preserve"> </w:t>
      </w:r>
      <w:r w:rsidR="00822BFB" w:rsidRPr="00867DE0">
        <w:t>A</w:t>
      </w:r>
      <w:r w:rsidR="00BF6F52" w:rsidRPr="00867DE0">
        <w:t>ssurance of Confidentiality Provided to Respondents</w:t>
      </w:r>
      <w:bookmarkEnd w:id="12"/>
    </w:p>
    <w:p w:rsidR="003F50A1" w:rsidRPr="00F65A49" w:rsidRDefault="00440A5B" w:rsidP="00625AD5">
      <w:pPr>
        <w:pStyle w:val="NormalSS"/>
      </w:pPr>
      <w:r>
        <w:t>As health care providers, all sites are bound by HIPAA regulations</w:t>
      </w:r>
      <w:r w:rsidR="00603614">
        <w:t>,</w:t>
      </w:r>
      <w:r>
        <w:t xml:space="preserve"> and </w:t>
      </w:r>
      <w:proofErr w:type="gramStart"/>
      <w:r w:rsidR="00603614">
        <w:t>staff are</w:t>
      </w:r>
      <w:proofErr w:type="gramEnd"/>
      <w:r w:rsidR="00603614">
        <w:t xml:space="preserve"> </w:t>
      </w:r>
      <w:r>
        <w:t xml:space="preserve">trained in how to protect the confidentiality of their </w:t>
      </w:r>
      <w:r w:rsidR="002D1BCB">
        <w:t>clients</w:t>
      </w:r>
      <w:r>
        <w:t xml:space="preserve">. </w:t>
      </w:r>
      <w:r w:rsidR="00064055">
        <w:t>Information collected</w:t>
      </w:r>
      <w:r w:rsidR="000C4CFB">
        <w:t xml:space="preserve"> (and transmitted to </w:t>
      </w:r>
      <w:r w:rsidR="005E2941">
        <w:t>Mathematica</w:t>
      </w:r>
      <w:r w:rsidR="000C4CFB">
        <w:t>)</w:t>
      </w:r>
      <w:r w:rsidR="00064055">
        <w:t xml:space="preserve"> through the data abstraction form</w:t>
      </w:r>
      <w:r w:rsidR="00F0183C">
        <w:t xml:space="preserve"> (Attachment 5) will</w:t>
      </w:r>
      <w:r w:rsidR="00064055">
        <w:t xml:space="preserve"> </w:t>
      </w:r>
      <w:r w:rsidR="00064055" w:rsidRPr="00A46206">
        <w:t>comply</w:t>
      </w:r>
      <w:r w:rsidR="00BD4F26" w:rsidRPr="00A46206">
        <w:t xml:space="preserve"> with all aspects of the </w:t>
      </w:r>
      <w:r w:rsidR="00C87683">
        <w:t>p</w:t>
      </w:r>
      <w:r w:rsidR="00BD4F26" w:rsidRPr="00A46206">
        <w:t xml:space="preserve">rivacy </w:t>
      </w:r>
      <w:r w:rsidR="00C87683">
        <w:t>a</w:t>
      </w:r>
      <w:r w:rsidR="00BD4F26" w:rsidRPr="00A46206">
        <w:t xml:space="preserve">ct. Clinicians and clinical supervisors </w:t>
      </w:r>
      <w:r w:rsidR="001530F9" w:rsidRPr="00A46206">
        <w:t>will</w:t>
      </w:r>
      <w:r w:rsidR="00BD4F26" w:rsidRPr="00A46206">
        <w:t xml:space="preserve"> be given this assurance when </w:t>
      </w:r>
      <w:r w:rsidR="00F65A49" w:rsidRPr="00A46206">
        <w:t>the behavioral</w:t>
      </w:r>
      <w:r w:rsidR="00BD4F26" w:rsidRPr="00A46206">
        <w:t xml:space="preserve"> health organization enters into a contractual ag</w:t>
      </w:r>
      <w:r w:rsidR="001530F9" w:rsidRPr="00A46206">
        <w:t>re</w:t>
      </w:r>
      <w:r w:rsidR="00BD4F26" w:rsidRPr="00A46206">
        <w:t xml:space="preserve">ement with </w:t>
      </w:r>
      <w:r w:rsidR="005E2941">
        <w:t>Mathematica</w:t>
      </w:r>
      <w:r w:rsidR="005E2941" w:rsidRPr="00A46206">
        <w:t xml:space="preserve"> </w:t>
      </w:r>
      <w:r w:rsidR="00BD4F26" w:rsidRPr="00A46206">
        <w:t xml:space="preserve">to participate in </w:t>
      </w:r>
      <w:r w:rsidR="00064055" w:rsidRPr="00A46206">
        <w:t>pre</w:t>
      </w:r>
      <w:r w:rsidR="00C87683">
        <w:t>-</w:t>
      </w:r>
      <w:r w:rsidR="00064055" w:rsidRPr="00A46206">
        <w:t>testing the</w:t>
      </w:r>
      <w:r w:rsidR="00BD4F26" w:rsidRPr="00A46206">
        <w:t xml:space="preserve"> surveys. </w:t>
      </w:r>
      <w:r w:rsidRPr="00A46206">
        <w:t xml:space="preserve">Consumers </w:t>
      </w:r>
      <w:r w:rsidR="00BD4F26" w:rsidRPr="00A46206">
        <w:t xml:space="preserve">will receive this assurance when they are invited to </w:t>
      </w:r>
      <w:r w:rsidR="00F15C44">
        <w:t>participate</w:t>
      </w:r>
      <w:r w:rsidR="00BD4F26" w:rsidRPr="00A46206">
        <w:t xml:space="preserve"> and again when they l</w:t>
      </w:r>
      <w:r w:rsidR="003F50A1" w:rsidRPr="00A46206">
        <w:t xml:space="preserve">og onto the website to provide informed consent and to complete </w:t>
      </w:r>
      <w:r w:rsidR="00BD4F26" w:rsidRPr="00A46206">
        <w:t>the survey</w:t>
      </w:r>
      <w:r w:rsidR="008F3165" w:rsidRPr="00A46206">
        <w:t xml:space="preserve"> (see Attachment</w:t>
      </w:r>
      <w:r w:rsidR="00CA7A3B" w:rsidRPr="00A46206">
        <w:t xml:space="preserve"> </w:t>
      </w:r>
      <w:r w:rsidR="00250E85">
        <w:t>9</w:t>
      </w:r>
      <w:r w:rsidR="008F3165" w:rsidRPr="00A46206">
        <w:t>)</w:t>
      </w:r>
      <w:r w:rsidR="00BD4F26" w:rsidRPr="00A46206">
        <w:t xml:space="preserve">. All participants </w:t>
      </w:r>
      <w:r w:rsidR="001530F9" w:rsidRPr="00A46206">
        <w:t>will further receive assurance that the information being gathered is for quality</w:t>
      </w:r>
      <w:r w:rsidR="00A03F6B">
        <w:t>-</w:t>
      </w:r>
      <w:r w:rsidR="001530F9" w:rsidRPr="00A46206">
        <w:t xml:space="preserve">improvement purposes. </w:t>
      </w:r>
      <w:r w:rsidR="003F50A1" w:rsidRPr="00A46206">
        <w:t>Respondents will be told that the information they provide will be shared with ASPE and</w:t>
      </w:r>
      <w:r w:rsidR="003F50A1" w:rsidRPr="00F65A49">
        <w:t xml:space="preserve"> NIMH in an aggregate form</w:t>
      </w:r>
      <w:r w:rsidR="00F15C44">
        <w:t>; that it</w:t>
      </w:r>
      <w:r w:rsidR="003F50A1" w:rsidRPr="00F65A49">
        <w:t xml:space="preserve"> may be presented in briefings, reports, or papers; </w:t>
      </w:r>
      <w:r w:rsidR="00F15C44">
        <w:t xml:space="preserve">and that </w:t>
      </w:r>
      <w:r w:rsidR="003F50A1" w:rsidRPr="00F65A49">
        <w:t xml:space="preserve">no personal identifying information will be attached to any information presented or described. </w:t>
      </w:r>
    </w:p>
    <w:p w:rsidR="008E5BAC" w:rsidRDefault="001530F9" w:rsidP="00625AD5">
      <w:pPr>
        <w:pStyle w:val="Heading4"/>
      </w:pPr>
      <w:r w:rsidRPr="007D4222">
        <w:t>Safeguarding Data</w:t>
      </w:r>
    </w:p>
    <w:p w:rsidR="001530F9" w:rsidRPr="007D4222" w:rsidRDefault="005E2941" w:rsidP="00625AD5">
      <w:pPr>
        <w:pStyle w:val="NormalSS"/>
      </w:pPr>
      <w:r>
        <w:t>Mathematica</w:t>
      </w:r>
      <w:r w:rsidRPr="007D4222">
        <w:t xml:space="preserve"> </w:t>
      </w:r>
      <w:r w:rsidR="001530F9" w:rsidRPr="007D4222">
        <w:t xml:space="preserve">has established data security plans for the handling of all </w:t>
      </w:r>
      <w:r w:rsidR="001530F9">
        <w:t>data collection efforts</w:t>
      </w:r>
      <w:r w:rsidR="001530F9" w:rsidRPr="007D4222">
        <w:t xml:space="preserve">. Its plans meet the requirements of U.S. federal government agencies and are continually reviewed for compliance with new government requirements and data collection needs. Such security is based on (1) </w:t>
      </w:r>
      <w:r w:rsidR="00A03F6B">
        <w:t xml:space="preserve">an </w:t>
      </w:r>
      <w:r w:rsidR="001530F9" w:rsidRPr="007D4222">
        <w:t>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confidential data.</w:t>
      </w:r>
    </w:p>
    <w:p w:rsidR="002A7132" w:rsidRDefault="002A7132" w:rsidP="00692F42">
      <w:pPr>
        <w:pStyle w:val="NormalSS"/>
      </w:pPr>
      <w:r>
        <w:t>The names of potential participants p</w:t>
      </w:r>
      <w:r w:rsidR="006D5E9A">
        <w:t xml:space="preserve">rovided to </w:t>
      </w:r>
      <w:r w:rsidR="005E2941">
        <w:t>Mathematica</w:t>
      </w:r>
      <w:r w:rsidR="005E2941" w:rsidRPr="006D5E9A">
        <w:t xml:space="preserve"> </w:t>
      </w:r>
      <w:r w:rsidR="006D5E9A" w:rsidRPr="006D5E9A">
        <w:t xml:space="preserve">to generate the survey sample will be linked to survey responses </w:t>
      </w:r>
      <w:r w:rsidR="00A03F6B">
        <w:t xml:space="preserve">only </w:t>
      </w:r>
      <w:r w:rsidR="006D5E9A" w:rsidRPr="006D5E9A">
        <w:t>by</w:t>
      </w:r>
      <w:r w:rsidR="00A03F6B">
        <w:t xml:space="preserve"> means of</w:t>
      </w:r>
      <w:r w:rsidR="006D5E9A" w:rsidRPr="006D5E9A">
        <w:t xml:space="preserve"> a unique, </w:t>
      </w:r>
      <w:proofErr w:type="spellStart"/>
      <w:r w:rsidR="006D5E9A" w:rsidRPr="006D5E9A">
        <w:t>nonidentifying</w:t>
      </w:r>
      <w:proofErr w:type="spellEnd"/>
      <w:r w:rsidR="006D5E9A" w:rsidRPr="006D5E9A">
        <w:t xml:space="preserve"> numeric code</w:t>
      </w:r>
      <w:r w:rsidR="004C7AEE">
        <w:t xml:space="preserve">; </w:t>
      </w:r>
      <w:r w:rsidR="00564F22">
        <w:t xml:space="preserve">this approach protects privacy but also makes it possible to see which </w:t>
      </w:r>
      <w:r>
        <w:t>clinicians, clinical supervisors</w:t>
      </w:r>
      <w:r w:rsidR="00A36F23">
        <w:t xml:space="preserve">, and </w:t>
      </w:r>
      <w:r w:rsidR="002D4175">
        <w:t>consumer</w:t>
      </w:r>
      <w:r w:rsidR="00A36F23">
        <w:t>s</w:t>
      </w:r>
      <w:r>
        <w:t xml:space="preserve"> </w:t>
      </w:r>
      <w:r w:rsidR="004C7AEE">
        <w:t xml:space="preserve">were involved in the same therapy session, as well as </w:t>
      </w:r>
      <w:r>
        <w:t xml:space="preserve">to </w:t>
      </w:r>
      <w:r w:rsidR="006D5E9A" w:rsidRPr="006D5E9A">
        <w:t xml:space="preserve">monitor survey completion and provide </w:t>
      </w:r>
      <w:r w:rsidR="007F21A2">
        <w:t>incentive payments</w:t>
      </w:r>
      <w:r w:rsidR="006D5E9A">
        <w:t xml:space="preserve">. </w:t>
      </w:r>
      <w:r w:rsidR="004C7AEE">
        <w:t xml:space="preserve">Data </w:t>
      </w:r>
      <w:r w:rsidR="006D5E9A">
        <w:t>will be encrypted prior to transmittal</w:t>
      </w:r>
      <w:r w:rsidR="004C7AEE">
        <w:t>,</w:t>
      </w:r>
      <w:r w:rsidR="00CD1537">
        <w:t xml:space="preserve"> and all information will </w:t>
      </w:r>
      <w:r w:rsidR="00150E24">
        <w:t xml:space="preserve">be </w:t>
      </w:r>
      <w:r w:rsidR="00CD1537">
        <w:t>de-identified prior to conducting any analyses.</w:t>
      </w:r>
    </w:p>
    <w:p w:rsidR="00D80BA0" w:rsidRDefault="006D5E9A" w:rsidP="00692F42">
      <w:pPr>
        <w:pStyle w:val="NormalSS"/>
      </w:pPr>
      <w:r>
        <w:lastRenderedPageBreak/>
        <w:t xml:space="preserve">All data will be stored on a secured </w:t>
      </w:r>
      <w:r w:rsidR="00610C50">
        <w:t>password</w:t>
      </w:r>
      <w:r w:rsidR="004C7AEE">
        <w:t>-</w:t>
      </w:r>
      <w:r w:rsidR="00610C50">
        <w:t xml:space="preserve">protected </w:t>
      </w:r>
      <w:r>
        <w:t>se</w:t>
      </w:r>
      <w:r w:rsidR="00C44F85">
        <w:t>r</w:t>
      </w:r>
      <w:r>
        <w:t xml:space="preserve">ver accessible only to project staff and on a need-to-know basis. </w:t>
      </w:r>
      <w:r w:rsidR="00D80BA0">
        <w:t xml:space="preserve">When </w:t>
      </w:r>
      <w:r w:rsidR="00D80BA0" w:rsidRPr="00A216F3">
        <w:t>the project</w:t>
      </w:r>
      <w:r w:rsidR="00D80BA0">
        <w:t xml:space="preserve"> is completed</w:t>
      </w:r>
      <w:r w:rsidR="00D80BA0" w:rsidRPr="00A216F3">
        <w:t xml:space="preserve">, </w:t>
      </w:r>
      <w:r w:rsidR="00D80BA0">
        <w:t xml:space="preserve">the </w:t>
      </w:r>
      <w:r w:rsidR="00D80BA0" w:rsidRPr="00A216F3">
        <w:t xml:space="preserve">project staff will securely destroy all electronic data </w:t>
      </w:r>
      <w:r w:rsidR="00D80BA0">
        <w:t xml:space="preserve">by </w:t>
      </w:r>
      <w:r w:rsidR="00D80BA0" w:rsidRPr="00A216F3">
        <w:t xml:space="preserve">using Eraser, a file deletion utility that overwrites data at least three times, or equivalent software. </w:t>
      </w:r>
      <w:r w:rsidR="00D80BA0">
        <w:t>Project staff will formally attest to the fact that the data have been destroyed</w:t>
      </w:r>
      <w:r w:rsidR="00D80BA0" w:rsidRPr="00A216F3">
        <w:t>.</w:t>
      </w:r>
    </w:p>
    <w:p w:rsidR="002B1E67" w:rsidRDefault="009B79D5" w:rsidP="00625AD5">
      <w:pPr>
        <w:pStyle w:val="Heading3"/>
      </w:pPr>
      <w:bookmarkStart w:id="13" w:name="_Toc361303715"/>
      <w:r>
        <w:t>A11</w:t>
      </w:r>
      <w:r w:rsidR="00867DE0" w:rsidRPr="00867DE0">
        <w:t>.</w:t>
      </w:r>
      <w:r w:rsidR="00625AD5">
        <w:tab/>
      </w:r>
      <w:r w:rsidR="00A64F09">
        <w:t xml:space="preserve">    </w:t>
      </w:r>
      <w:r w:rsidR="00BF6F52" w:rsidRPr="00867DE0">
        <w:t>Justification for Sensitive Questions</w:t>
      </w:r>
      <w:bookmarkEnd w:id="13"/>
    </w:p>
    <w:p w:rsidR="00500CAD" w:rsidRPr="002B1E67" w:rsidRDefault="00204CF0" w:rsidP="00625AD5">
      <w:pPr>
        <w:pStyle w:val="NormalSS"/>
        <w:rPr>
          <w:rFonts w:ascii="Calibri" w:hAnsi="Calibri"/>
          <w:b/>
        </w:rPr>
      </w:pPr>
      <w:r w:rsidRPr="002A7132">
        <w:t>Clinicians and clinical supervisors are not asked any questions of a sensitive nature</w:t>
      </w:r>
      <w:r>
        <w:t xml:space="preserve">. </w:t>
      </w:r>
      <w:r w:rsidR="007E173C">
        <w:t>The</w:t>
      </w:r>
      <w:r w:rsidR="00F83951" w:rsidRPr="002A7132">
        <w:t xml:space="preserve"> questions asked of </w:t>
      </w:r>
      <w:r w:rsidR="00CD1537">
        <w:t>consumers</w:t>
      </w:r>
      <w:r w:rsidR="00F83951" w:rsidRPr="002A7132">
        <w:t xml:space="preserve"> are not sensitive in nature. </w:t>
      </w:r>
      <w:r w:rsidR="00F83951">
        <w:t>T</w:t>
      </w:r>
      <w:r w:rsidR="00F83951" w:rsidRPr="002A7132">
        <w:t xml:space="preserve">he </w:t>
      </w:r>
      <w:r w:rsidR="002D4175">
        <w:t>consumer</w:t>
      </w:r>
      <w:r w:rsidR="00F83951" w:rsidRPr="002A7132">
        <w:t xml:space="preserve"> survey asks about the </w:t>
      </w:r>
      <w:r w:rsidR="00F83951">
        <w:t>clinician</w:t>
      </w:r>
      <w:r w:rsidR="00F83951" w:rsidRPr="002A7132">
        <w:t xml:space="preserve">’s delivery of therapeutic elements (e.g., “Did your therapist assign homework?” and “Did your therapist help you understand how your thoughts and feelings are related?”). </w:t>
      </w:r>
      <w:r w:rsidR="00F83951">
        <w:t xml:space="preserve">It does not ask for any information about the topics discussed in the therapy session. </w:t>
      </w:r>
    </w:p>
    <w:p w:rsidR="002B1E67" w:rsidRDefault="009B79D5" w:rsidP="00625AD5">
      <w:pPr>
        <w:pStyle w:val="Heading3"/>
      </w:pPr>
      <w:bookmarkStart w:id="14" w:name="_Toc361303716"/>
      <w:r>
        <w:t>A</w:t>
      </w:r>
      <w:r w:rsidR="00D1795E" w:rsidRPr="00867DE0">
        <w:t>1</w:t>
      </w:r>
      <w:r>
        <w:t>2</w:t>
      </w:r>
      <w:r w:rsidR="00867DE0" w:rsidRPr="00867DE0">
        <w:t>.</w:t>
      </w:r>
      <w:r>
        <w:t xml:space="preserve"> </w:t>
      </w:r>
      <w:r w:rsidR="00625AD5">
        <w:tab/>
      </w:r>
      <w:r w:rsidR="00BF6F52" w:rsidRPr="00867DE0">
        <w:t>Estimates of Annualized Hour</w:t>
      </w:r>
      <w:r w:rsidR="007E173C">
        <w:t>s</w:t>
      </w:r>
      <w:r w:rsidR="00BF6F52" w:rsidRPr="00867DE0">
        <w:t xml:space="preserve"> and Cost</w:t>
      </w:r>
      <w:r w:rsidR="007E173C">
        <w:t>s</w:t>
      </w:r>
      <w:bookmarkEnd w:id="14"/>
      <w:r w:rsidR="00BF6F52" w:rsidRPr="00867DE0">
        <w:t xml:space="preserve">  </w:t>
      </w:r>
    </w:p>
    <w:p w:rsidR="002B1E67" w:rsidRDefault="00465419" w:rsidP="00625AD5">
      <w:pPr>
        <w:pStyle w:val="NormalSS"/>
        <w:rPr>
          <w:rFonts w:ascii="Calibri" w:hAnsi="Calibri"/>
          <w:b/>
        </w:rPr>
      </w:pPr>
      <w:r>
        <w:t>Table A.</w:t>
      </w:r>
      <w:r w:rsidR="00C7247B">
        <w:t>2</w:t>
      </w:r>
      <w:r w:rsidR="004F1E8D" w:rsidRPr="00492A85">
        <w:t xml:space="preserve"> shows the estimated annualized burden</w:t>
      </w:r>
      <w:r w:rsidR="00204CF0">
        <w:t>-</w:t>
      </w:r>
      <w:r w:rsidR="004F1E8D" w:rsidRPr="00492A85">
        <w:t>hours for respondents</w:t>
      </w:r>
      <w:r w:rsidR="004D3E7F">
        <w:t>’ participation</w:t>
      </w:r>
      <w:r w:rsidR="004F1E8D" w:rsidRPr="00492A85">
        <w:t xml:space="preserve"> in th</w:t>
      </w:r>
      <w:r w:rsidR="004D3E7F">
        <w:t>e</w:t>
      </w:r>
      <w:r w:rsidR="004F1E8D" w:rsidRPr="00492A85">
        <w:t xml:space="preserve"> </w:t>
      </w:r>
      <w:r w:rsidR="004D3E7F">
        <w:t>surveys</w:t>
      </w:r>
      <w:r w:rsidR="004F1E8D" w:rsidRPr="00492A85">
        <w:t xml:space="preserve">. </w:t>
      </w:r>
      <w:r w:rsidR="00B671AE">
        <w:t xml:space="preserve">The demographics questionnaires will take clinicians and clinical supervisors 5 minutes to complete. </w:t>
      </w:r>
      <w:r w:rsidR="006C6A67">
        <w:t>The web-based survey</w:t>
      </w:r>
      <w:r w:rsidR="007E173C">
        <w:t>s</w:t>
      </w:r>
      <w:r w:rsidR="006C6A67">
        <w:t xml:space="preserve"> will take no more than 10 minutes to complete</w:t>
      </w:r>
      <w:r w:rsidR="00B671AE">
        <w:t>. I</w:t>
      </w:r>
      <w:r w:rsidR="006C6A67">
        <w:t>t is estimated that the total burden</w:t>
      </w:r>
      <w:r w:rsidR="004D3E7F">
        <w:t>-</w:t>
      </w:r>
      <w:r w:rsidR="006C6A67">
        <w:t xml:space="preserve">hours to collect responses </w:t>
      </w:r>
      <w:r w:rsidR="00B671AE">
        <w:t>is 21 hours for clinicians and 1</w:t>
      </w:r>
      <w:r w:rsidR="00E36A90">
        <w:t>9</w:t>
      </w:r>
      <w:r w:rsidR="00B671AE">
        <w:t xml:space="preserve"> hours for </w:t>
      </w:r>
      <w:r w:rsidR="006C6A67">
        <w:t>clinical supervisors</w:t>
      </w:r>
      <w:r w:rsidR="00B671AE">
        <w:t xml:space="preserve">. The total burden-hours for consumers </w:t>
      </w:r>
      <w:proofErr w:type="gramStart"/>
      <w:r w:rsidR="009B79D5">
        <w:t>is</w:t>
      </w:r>
      <w:proofErr w:type="gramEnd"/>
      <w:r w:rsidR="006C6A67">
        <w:t xml:space="preserve"> </w:t>
      </w:r>
      <w:r w:rsidR="009B79D5">
        <w:t>1</w:t>
      </w:r>
      <w:r w:rsidR="006C6A67">
        <w:t xml:space="preserve">8 hours </w:t>
      </w:r>
      <w:r w:rsidR="007E173C">
        <w:t>The</w:t>
      </w:r>
      <w:r w:rsidR="002A63F4">
        <w:t xml:space="preserve"> total burden for the site coordinators is 576</w:t>
      </w:r>
      <w:r w:rsidR="0050571F">
        <w:t xml:space="preserve"> hours</w:t>
      </w:r>
      <w:r w:rsidR="002A63F4">
        <w:t xml:space="preserve">. This includes </w:t>
      </w:r>
      <w:r w:rsidR="00903627">
        <w:t>time</w:t>
      </w:r>
      <w:r w:rsidR="002A63F4">
        <w:t xml:space="preserve"> for the initial </w:t>
      </w:r>
      <w:r w:rsidR="00903627">
        <w:t xml:space="preserve">1-hour </w:t>
      </w:r>
      <w:r w:rsidR="002A63F4">
        <w:t xml:space="preserve">meeting to fill out the site </w:t>
      </w:r>
      <w:r w:rsidR="007A3D20">
        <w:t>coordinator</w:t>
      </w:r>
      <w:r w:rsidR="002A63F4">
        <w:t xml:space="preserve"> checklist</w:t>
      </w:r>
      <w:r w:rsidR="00903627">
        <w:t xml:space="preserve"> (Attachment 4)</w:t>
      </w:r>
      <w:r w:rsidR="002A63F4">
        <w:t xml:space="preserve">, the </w:t>
      </w:r>
      <w:r w:rsidR="00903627">
        <w:t xml:space="preserve">coordinator’s </w:t>
      </w:r>
      <w:r w:rsidR="002A63F4">
        <w:t>completion of the data abstraction form</w:t>
      </w:r>
      <w:r w:rsidR="00903627">
        <w:t xml:space="preserve"> (Attachment 5)</w:t>
      </w:r>
      <w:r w:rsidR="002A63F4">
        <w:t xml:space="preserve">, </w:t>
      </w:r>
      <w:r w:rsidR="00903627">
        <w:t>the initial</w:t>
      </w:r>
      <w:r w:rsidR="002A63F4">
        <w:t xml:space="preserve"> </w:t>
      </w:r>
      <w:r w:rsidR="0050571F">
        <w:t xml:space="preserve">1-hour </w:t>
      </w:r>
      <w:r w:rsidR="002A63F4">
        <w:t xml:space="preserve">training on data collection procedures, weekly </w:t>
      </w:r>
      <w:r w:rsidR="00903627">
        <w:t xml:space="preserve">“check in” </w:t>
      </w:r>
      <w:r w:rsidR="002A63F4">
        <w:t xml:space="preserve">meetings with </w:t>
      </w:r>
      <w:r w:rsidR="0050571F">
        <w:t>Mathematica</w:t>
      </w:r>
      <w:r w:rsidR="00903627">
        <w:t xml:space="preserve"> to discuss and address any data collection challenges</w:t>
      </w:r>
      <w:r w:rsidR="002A63F4">
        <w:t xml:space="preserve">, and </w:t>
      </w:r>
      <w:r w:rsidR="00903627">
        <w:t>coordination of</w:t>
      </w:r>
      <w:r w:rsidR="002A63F4">
        <w:t xml:space="preserve"> survey completion for each respondent</w:t>
      </w:r>
      <w:r w:rsidR="007A3D20">
        <w:t xml:space="preserve"> type. </w:t>
      </w:r>
      <w:r w:rsidR="000E5CA7">
        <w:t xml:space="preserve">The total burden for this quality measure development project is </w:t>
      </w:r>
      <w:r w:rsidR="002A63F4">
        <w:t>63</w:t>
      </w:r>
      <w:r w:rsidR="00E36A90">
        <w:t>4</w:t>
      </w:r>
      <w:r w:rsidR="002A63F4">
        <w:t xml:space="preserve"> </w:t>
      </w:r>
      <w:r w:rsidR="000E5CA7">
        <w:t>hours.</w:t>
      </w:r>
    </w:p>
    <w:p w:rsidR="00E62BAB" w:rsidRPr="002B1E67" w:rsidRDefault="00465419" w:rsidP="00625AD5">
      <w:pPr>
        <w:pStyle w:val="NormalSS"/>
        <w:rPr>
          <w:rFonts w:ascii="Calibri" w:hAnsi="Calibri"/>
          <w:b/>
        </w:rPr>
      </w:pPr>
      <w:r>
        <w:t>Table A.</w:t>
      </w:r>
      <w:r w:rsidR="00C7247B">
        <w:t>3</w:t>
      </w:r>
      <w:r w:rsidR="00E62BAB" w:rsidRPr="00492A85">
        <w:t xml:space="preserve"> </w:t>
      </w:r>
      <w:r w:rsidR="004D3E7F">
        <w:t xml:space="preserve">shows that </w:t>
      </w:r>
      <w:r w:rsidR="00E62BAB">
        <w:t xml:space="preserve">the total estimated annualized cost of </w:t>
      </w:r>
      <w:r w:rsidR="003570EC">
        <w:t>pre</w:t>
      </w:r>
      <w:r w:rsidR="004D3E7F">
        <w:t>-</w:t>
      </w:r>
      <w:r w:rsidR="003570EC">
        <w:t>test</w:t>
      </w:r>
      <w:r w:rsidR="004D3E7F">
        <w:t>ing</w:t>
      </w:r>
      <w:r w:rsidR="00E62BAB">
        <w:t xml:space="preserve"> the measures is $</w:t>
      </w:r>
      <w:r>
        <w:t>1</w:t>
      </w:r>
      <w:r w:rsidR="002A63F4">
        <w:t>3,</w:t>
      </w:r>
      <w:r w:rsidR="00E36A90">
        <w:t>532</w:t>
      </w:r>
      <w:r w:rsidR="00E62BAB">
        <w:t>. The total estimated cost is computed from the total annual burden</w:t>
      </w:r>
      <w:r w:rsidR="004D3E7F">
        <w:t>-</w:t>
      </w:r>
      <w:r w:rsidR="00E62BAB">
        <w:t>hours and an average hourly wage for the respondent</w:t>
      </w:r>
    </w:p>
    <w:p w:rsidR="002F65A1" w:rsidRDefault="002F65A1">
      <w:pPr>
        <w:tabs>
          <w:tab w:val="clear" w:pos="432"/>
        </w:tabs>
        <w:spacing w:line="240" w:lineRule="auto"/>
        <w:ind w:firstLine="0"/>
        <w:jc w:val="left"/>
        <w:rPr>
          <w:rFonts w:ascii="Arial" w:hAnsi="Arial"/>
          <w:b/>
          <w:sz w:val="20"/>
        </w:rPr>
      </w:pPr>
    </w:p>
    <w:p w:rsidR="00BF6F52" w:rsidRPr="00465419" w:rsidRDefault="00465419" w:rsidP="00625AD5">
      <w:pPr>
        <w:pStyle w:val="MarkforTableHeading"/>
      </w:pPr>
      <w:r w:rsidRPr="00465419">
        <w:t>Table A.</w:t>
      </w:r>
      <w:r w:rsidR="00C7247B" w:rsidRPr="00465419">
        <w:t>2</w:t>
      </w:r>
      <w:r w:rsidR="009C0A0D" w:rsidRPr="00465419">
        <w:t>. Estimated Annualized Burden</w:t>
      </w:r>
      <w:r w:rsidR="004D3E7F">
        <w:t>-</w:t>
      </w:r>
      <w:r w:rsidR="009C0A0D" w:rsidRPr="00465419">
        <w:t>Hours</w:t>
      </w:r>
    </w:p>
    <w:tbl>
      <w:tblPr>
        <w:tblStyle w:val="SMPRTableBlack"/>
        <w:tblW w:w="9078" w:type="dxa"/>
        <w:tblLook w:val="01E0" w:firstRow="1" w:lastRow="1" w:firstColumn="1" w:lastColumn="1" w:noHBand="0" w:noVBand="0"/>
      </w:tblPr>
      <w:tblGrid>
        <w:gridCol w:w="2410"/>
        <w:gridCol w:w="1277"/>
        <w:gridCol w:w="1527"/>
        <w:gridCol w:w="1170"/>
        <w:gridCol w:w="1258"/>
        <w:gridCol w:w="1436"/>
      </w:tblGrid>
      <w:tr w:rsidR="00C94845" w:rsidRPr="00465419" w:rsidTr="00476737">
        <w:trPr>
          <w:cnfStyle w:val="100000000000" w:firstRow="1" w:lastRow="0" w:firstColumn="0" w:lastColumn="0" w:oddVBand="0" w:evenVBand="0" w:oddHBand="0" w:evenHBand="0" w:firstRowFirstColumn="0" w:firstRowLastColumn="0" w:lastRowFirstColumn="0" w:lastRowLastColumn="0"/>
        </w:trPr>
        <w:tc>
          <w:tcPr>
            <w:tcW w:w="2418" w:type="dxa"/>
          </w:tcPr>
          <w:p w:rsidR="00393118" w:rsidRPr="00465419" w:rsidRDefault="006E6111" w:rsidP="00476737">
            <w:pPr>
              <w:pStyle w:val="TableHeaderLeft"/>
            </w:pPr>
            <w:r w:rsidRPr="00465419">
              <w:t xml:space="preserve">Respondent </w:t>
            </w:r>
            <w:r w:rsidR="00393118" w:rsidRPr="00465419">
              <w:t xml:space="preserve">Type </w:t>
            </w:r>
          </w:p>
        </w:tc>
        <w:tc>
          <w:tcPr>
            <w:tcW w:w="1260" w:type="dxa"/>
          </w:tcPr>
          <w:p w:rsidR="00393118" w:rsidRPr="00465419" w:rsidRDefault="00393118" w:rsidP="00476737">
            <w:pPr>
              <w:pStyle w:val="TableHeaderCenter"/>
            </w:pPr>
            <w:r w:rsidRPr="00465419">
              <w:rPr>
                <w:color w:val="000000"/>
              </w:rPr>
              <w:t xml:space="preserve">Number of </w:t>
            </w:r>
            <w:r w:rsidR="00AC4933">
              <w:rPr>
                <w:color w:val="000000"/>
              </w:rPr>
              <w:t>R</w:t>
            </w:r>
            <w:r w:rsidRPr="00465419">
              <w:rPr>
                <w:color w:val="000000"/>
              </w:rPr>
              <w:t>espondents</w:t>
            </w:r>
          </w:p>
        </w:tc>
        <w:tc>
          <w:tcPr>
            <w:tcW w:w="1530" w:type="dxa"/>
          </w:tcPr>
          <w:p w:rsidR="00393118" w:rsidRPr="00465419" w:rsidRDefault="00393118" w:rsidP="00476737">
            <w:pPr>
              <w:pStyle w:val="TableHeaderCenter"/>
            </w:pPr>
            <w:r w:rsidRPr="00465419">
              <w:t xml:space="preserve">Number of </w:t>
            </w:r>
            <w:r w:rsidR="00AC4933">
              <w:t>R</w:t>
            </w:r>
            <w:r w:rsidRPr="00465419">
              <w:t xml:space="preserve">esponses per </w:t>
            </w:r>
            <w:r w:rsidR="00AC4933">
              <w:t>R</w:t>
            </w:r>
            <w:r w:rsidRPr="00465419">
              <w:t>espondent</w:t>
            </w:r>
          </w:p>
        </w:tc>
        <w:tc>
          <w:tcPr>
            <w:tcW w:w="1170" w:type="dxa"/>
          </w:tcPr>
          <w:p w:rsidR="00393118" w:rsidRPr="00465419" w:rsidRDefault="00465419" w:rsidP="00AC4933">
            <w:pPr>
              <w:pStyle w:val="TableHeaderCenter"/>
              <w:rPr>
                <w:color w:val="000000"/>
              </w:rPr>
            </w:pPr>
            <w:r>
              <w:rPr>
                <w:color w:val="000000"/>
              </w:rPr>
              <w:t xml:space="preserve">Total </w:t>
            </w:r>
            <w:r w:rsidR="00AC4933">
              <w:rPr>
                <w:color w:val="000000"/>
              </w:rPr>
              <w:t>R</w:t>
            </w:r>
            <w:r w:rsidR="00393118" w:rsidRPr="00465419">
              <w:rPr>
                <w:color w:val="000000"/>
              </w:rPr>
              <w:t>esponses</w:t>
            </w:r>
          </w:p>
        </w:tc>
        <w:tc>
          <w:tcPr>
            <w:tcW w:w="1260" w:type="dxa"/>
          </w:tcPr>
          <w:p w:rsidR="00393118" w:rsidRPr="00465419" w:rsidRDefault="00393118" w:rsidP="00476737">
            <w:pPr>
              <w:pStyle w:val="TableHeaderCenter"/>
            </w:pPr>
            <w:r w:rsidRPr="00465419">
              <w:rPr>
                <w:color w:val="000000"/>
              </w:rPr>
              <w:t xml:space="preserve">Hours per </w:t>
            </w:r>
            <w:r w:rsidR="00AC4933">
              <w:rPr>
                <w:color w:val="000000"/>
              </w:rPr>
              <w:t>R</w:t>
            </w:r>
            <w:r w:rsidRPr="00465419">
              <w:rPr>
                <w:color w:val="000000"/>
              </w:rPr>
              <w:t>esponse</w:t>
            </w:r>
          </w:p>
        </w:tc>
        <w:tc>
          <w:tcPr>
            <w:tcW w:w="1440" w:type="dxa"/>
          </w:tcPr>
          <w:p w:rsidR="00393118" w:rsidRPr="00465419" w:rsidRDefault="00393118" w:rsidP="00AC4933">
            <w:pPr>
              <w:pStyle w:val="TableHeaderCenter"/>
            </w:pPr>
            <w:r w:rsidRPr="00465419">
              <w:rPr>
                <w:color w:val="000000"/>
              </w:rPr>
              <w:t xml:space="preserve">Total </w:t>
            </w:r>
            <w:r w:rsidR="00AC4933">
              <w:rPr>
                <w:color w:val="000000"/>
              </w:rPr>
              <w:t>B</w:t>
            </w:r>
            <w:r w:rsidRPr="00465419">
              <w:rPr>
                <w:color w:val="000000"/>
              </w:rPr>
              <w:t>urden</w:t>
            </w:r>
            <w:r w:rsidR="00AC4933">
              <w:rPr>
                <w:color w:val="000000"/>
              </w:rPr>
              <w:t>-H</w:t>
            </w:r>
            <w:r w:rsidRPr="00465419">
              <w:rPr>
                <w:color w:val="000000"/>
              </w:rPr>
              <w:t>ours</w:t>
            </w:r>
          </w:p>
        </w:tc>
      </w:tr>
      <w:tr w:rsidR="00DB50E5" w:rsidRPr="00465419" w:rsidTr="00625AD5">
        <w:tc>
          <w:tcPr>
            <w:tcW w:w="2418" w:type="dxa"/>
          </w:tcPr>
          <w:p w:rsidR="00DB50E5" w:rsidRPr="00465419" w:rsidRDefault="00DB50E5" w:rsidP="00B671AE">
            <w:pPr>
              <w:pStyle w:val="TableText"/>
              <w:spacing w:before="120" w:after="60"/>
            </w:pPr>
            <w:r>
              <w:t>Clinician (</w:t>
            </w:r>
            <w:r w:rsidR="00AC4933">
              <w:t>d</w:t>
            </w:r>
            <w:r>
              <w:t xml:space="preserve">emographics </w:t>
            </w:r>
            <w:r w:rsidR="00B671AE">
              <w:t>questionnaire</w:t>
            </w:r>
            <w:r>
              <w:t>)</w:t>
            </w:r>
          </w:p>
        </w:tc>
        <w:tc>
          <w:tcPr>
            <w:tcW w:w="1260" w:type="dxa"/>
          </w:tcPr>
          <w:p w:rsidR="0003689D" w:rsidRDefault="00DB50E5">
            <w:pPr>
              <w:pStyle w:val="TableText"/>
              <w:spacing w:before="120" w:after="60"/>
              <w:jc w:val="center"/>
            </w:pPr>
            <w:r>
              <w:t>36</w:t>
            </w:r>
          </w:p>
        </w:tc>
        <w:tc>
          <w:tcPr>
            <w:tcW w:w="1530" w:type="dxa"/>
          </w:tcPr>
          <w:p w:rsidR="0003689D" w:rsidRDefault="00DB50E5">
            <w:pPr>
              <w:pStyle w:val="TableText"/>
              <w:spacing w:before="120" w:after="60"/>
              <w:jc w:val="center"/>
            </w:pPr>
            <w:r>
              <w:t>1</w:t>
            </w:r>
          </w:p>
        </w:tc>
        <w:tc>
          <w:tcPr>
            <w:tcW w:w="1170" w:type="dxa"/>
          </w:tcPr>
          <w:p w:rsidR="0003689D" w:rsidRDefault="00DB50E5">
            <w:pPr>
              <w:pStyle w:val="TableText"/>
              <w:spacing w:before="120" w:after="60"/>
              <w:jc w:val="center"/>
            </w:pPr>
            <w:r>
              <w:t>36</w:t>
            </w:r>
          </w:p>
        </w:tc>
        <w:tc>
          <w:tcPr>
            <w:tcW w:w="1260" w:type="dxa"/>
          </w:tcPr>
          <w:p w:rsidR="0003689D" w:rsidRDefault="00DB50E5">
            <w:pPr>
              <w:pStyle w:val="TableText"/>
              <w:spacing w:before="120" w:after="60"/>
              <w:jc w:val="center"/>
            </w:pPr>
            <w:r>
              <w:t>5/60</w:t>
            </w:r>
          </w:p>
        </w:tc>
        <w:tc>
          <w:tcPr>
            <w:tcW w:w="1440" w:type="dxa"/>
          </w:tcPr>
          <w:p w:rsidR="0003689D" w:rsidRDefault="00DB50E5">
            <w:pPr>
              <w:pStyle w:val="TableText"/>
              <w:spacing w:before="120" w:after="60"/>
              <w:jc w:val="center"/>
            </w:pPr>
            <w:r>
              <w:t>3</w:t>
            </w:r>
          </w:p>
        </w:tc>
      </w:tr>
      <w:tr w:rsidR="00B671AE" w:rsidRPr="00465419" w:rsidTr="00625AD5">
        <w:tc>
          <w:tcPr>
            <w:tcW w:w="2418" w:type="dxa"/>
          </w:tcPr>
          <w:p w:rsidR="00B671AE" w:rsidRDefault="00B671AE" w:rsidP="00B671AE">
            <w:pPr>
              <w:pStyle w:val="TableText"/>
              <w:spacing w:before="120" w:after="60"/>
            </w:pPr>
            <w:r>
              <w:t>Clinician Supervisor (demographics questionnaire</w:t>
            </w:r>
          </w:p>
        </w:tc>
        <w:tc>
          <w:tcPr>
            <w:tcW w:w="1260" w:type="dxa"/>
          </w:tcPr>
          <w:p w:rsidR="00B671AE" w:rsidRDefault="00B671AE">
            <w:pPr>
              <w:pStyle w:val="TableText"/>
              <w:spacing w:before="120" w:after="60"/>
              <w:jc w:val="center"/>
            </w:pPr>
            <w:r>
              <w:t>6</w:t>
            </w:r>
          </w:p>
        </w:tc>
        <w:tc>
          <w:tcPr>
            <w:tcW w:w="1530" w:type="dxa"/>
          </w:tcPr>
          <w:p w:rsidR="00B671AE" w:rsidRDefault="00B671AE">
            <w:pPr>
              <w:pStyle w:val="TableText"/>
              <w:spacing w:before="120" w:after="60"/>
              <w:jc w:val="center"/>
            </w:pPr>
            <w:r>
              <w:t>1</w:t>
            </w:r>
          </w:p>
        </w:tc>
        <w:tc>
          <w:tcPr>
            <w:tcW w:w="1170" w:type="dxa"/>
          </w:tcPr>
          <w:p w:rsidR="00B671AE" w:rsidRDefault="00B671AE">
            <w:pPr>
              <w:pStyle w:val="TableText"/>
              <w:spacing w:before="120" w:after="60"/>
              <w:jc w:val="center"/>
            </w:pPr>
            <w:r>
              <w:t>6</w:t>
            </w:r>
          </w:p>
        </w:tc>
        <w:tc>
          <w:tcPr>
            <w:tcW w:w="1260" w:type="dxa"/>
          </w:tcPr>
          <w:p w:rsidR="00B671AE" w:rsidRDefault="00B671AE">
            <w:pPr>
              <w:pStyle w:val="TableText"/>
              <w:spacing w:before="120" w:after="60"/>
              <w:jc w:val="center"/>
            </w:pPr>
            <w:r>
              <w:t>5/60</w:t>
            </w:r>
          </w:p>
        </w:tc>
        <w:tc>
          <w:tcPr>
            <w:tcW w:w="1440" w:type="dxa"/>
          </w:tcPr>
          <w:p w:rsidR="00B671AE" w:rsidRDefault="00B671AE">
            <w:pPr>
              <w:pStyle w:val="TableText"/>
              <w:spacing w:before="120" w:after="60"/>
              <w:jc w:val="center"/>
            </w:pPr>
            <w:r>
              <w:t>1</w:t>
            </w:r>
          </w:p>
        </w:tc>
      </w:tr>
      <w:tr w:rsidR="00C94845" w:rsidRPr="00465419" w:rsidTr="00625AD5">
        <w:tc>
          <w:tcPr>
            <w:tcW w:w="2418" w:type="dxa"/>
          </w:tcPr>
          <w:p w:rsidR="003C5280" w:rsidRPr="00465419" w:rsidRDefault="003C5280" w:rsidP="00AC4933">
            <w:pPr>
              <w:pStyle w:val="TableText"/>
              <w:spacing w:before="120" w:after="60"/>
            </w:pPr>
            <w:r w:rsidRPr="00465419">
              <w:t>Clinician</w:t>
            </w:r>
            <w:r w:rsidR="00DB50E5">
              <w:t xml:space="preserve"> (</w:t>
            </w:r>
            <w:r w:rsidR="00AC4933">
              <w:t>c</w:t>
            </w:r>
            <w:r w:rsidR="00DB50E5">
              <w:t xml:space="preserve">linician </w:t>
            </w:r>
            <w:r w:rsidR="00AC4933">
              <w:t>s</w:t>
            </w:r>
            <w:r w:rsidR="00DB50E5">
              <w:t>urvey)</w:t>
            </w:r>
          </w:p>
        </w:tc>
        <w:tc>
          <w:tcPr>
            <w:tcW w:w="1260" w:type="dxa"/>
          </w:tcPr>
          <w:p w:rsidR="0003689D" w:rsidRDefault="003C5280">
            <w:pPr>
              <w:pStyle w:val="TableText"/>
              <w:spacing w:before="120" w:after="60"/>
              <w:jc w:val="center"/>
            </w:pPr>
            <w:r w:rsidRPr="00465419">
              <w:t>3</w:t>
            </w:r>
            <w:r w:rsidR="00C61A16" w:rsidRPr="00465419">
              <w:t>6</w:t>
            </w:r>
          </w:p>
        </w:tc>
        <w:tc>
          <w:tcPr>
            <w:tcW w:w="1530" w:type="dxa"/>
          </w:tcPr>
          <w:p w:rsidR="0003689D" w:rsidRDefault="003C5280">
            <w:pPr>
              <w:pStyle w:val="TableText"/>
              <w:spacing w:before="120" w:after="60"/>
              <w:jc w:val="center"/>
            </w:pPr>
            <w:r w:rsidRPr="00465419">
              <w:t>3</w:t>
            </w:r>
          </w:p>
        </w:tc>
        <w:tc>
          <w:tcPr>
            <w:tcW w:w="1170" w:type="dxa"/>
          </w:tcPr>
          <w:p w:rsidR="0003689D" w:rsidRDefault="003C5280">
            <w:pPr>
              <w:pStyle w:val="TableText"/>
              <w:spacing w:before="120" w:after="60"/>
              <w:jc w:val="center"/>
            </w:pPr>
            <w:r w:rsidRPr="00465419">
              <w:t>10</w:t>
            </w:r>
            <w:r w:rsidR="00C61A16" w:rsidRPr="00465419">
              <w:t>8</w:t>
            </w:r>
          </w:p>
        </w:tc>
        <w:tc>
          <w:tcPr>
            <w:tcW w:w="1260" w:type="dxa"/>
          </w:tcPr>
          <w:p w:rsidR="0003689D" w:rsidRDefault="003C5280">
            <w:pPr>
              <w:pStyle w:val="TableText"/>
              <w:spacing w:before="120" w:after="60"/>
              <w:jc w:val="center"/>
            </w:pPr>
            <w:r w:rsidRPr="00465419">
              <w:t>10/60</w:t>
            </w:r>
          </w:p>
        </w:tc>
        <w:tc>
          <w:tcPr>
            <w:tcW w:w="1440" w:type="dxa"/>
          </w:tcPr>
          <w:p w:rsidR="0003689D" w:rsidRDefault="003C5280">
            <w:pPr>
              <w:pStyle w:val="TableText"/>
              <w:spacing w:before="120" w:after="60"/>
              <w:jc w:val="center"/>
            </w:pPr>
            <w:r w:rsidRPr="00465419">
              <w:t>1</w:t>
            </w:r>
            <w:r w:rsidR="00C61A16" w:rsidRPr="00465419">
              <w:t>8</w:t>
            </w:r>
          </w:p>
        </w:tc>
      </w:tr>
      <w:tr w:rsidR="00C94845" w:rsidRPr="00465419" w:rsidTr="00625AD5">
        <w:tc>
          <w:tcPr>
            <w:tcW w:w="2418" w:type="dxa"/>
          </w:tcPr>
          <w:p w:rsidR="003C5280" w:rsidRPr="00465419" w:rsidRDefault="00F80EFD" w:rsidP="00476737">
            <w:pPr>
              <w:pStyle w:val="TableText"/>
              <w:spacing w:before="120" w:after="60"/>
            </w:pPr>
            <w:r>
              <w:t xml:space="preserve">Clinician </w:t>
            </w:r>
            <w:r w:rsidR="003C5280" w:rsidRPr="00465419">
              <w:t>Supervisor</w:t>
            </w:r>
          </w:p>
        </w:tc>
        <w:tc>
          <w:tcPr>
            <w:tcW w:w="1260" w:type="dxa"/>
          </w:tcPr>
          <w:p w:rsidR="0003689D" w:rsidRDefault="003C5280">
            <w:pPr>
              <w:pStyle w:val="TableText"/>
              <w:spacing w:before="120" w:after="60"/>
              <w:jc w:val="center"/>
            </w:pPr>
            <w:r w:rsidRPr="00465419">
              <w:t>6</w:t>
            </w:r>
          </w:p>
        </w:tc>
        <w:tc>
          <w:tcPr>
            <w:tcW w:w="1530" w:type="dxa"/>
          </w:tcPr>
          <w:p w:rsidR="0003689D" w:rsidRDefault="00C61A16">
            <w:pPr>
              <w:pStyle w:val="TableText"/>
              <w:spacing w:before="120" w:after="60"/>
              <w:jc w:val="center"/>
            </w:pPr>
            <w:r w:rsidRPr="00465419">
              <w:t>1</w:t>
            </w:r>
            <w:r w:rsidR="003C5280" w:rsidRPr="00465419">
              <w:t>8</w:t>
            </w:r>
          </w:p>
        </w:tc>
        <w:tc>
          <w:tcPr>
            <w:tcW w:w="1170" w:type="dxa"/>
          </w:tcPr>
          <w:p w:rsidR="0003689D" w:rsidRDefault="00C61A16">
            <w:pPr>
              <w:pStyle w:val="TableText"/>
              <w:spacing w:before="120" w:after="60"/>
              <w:jc w:val="center"/>
            </w:pPr>
            <w:r w:rsidRPr="00465419">
              <w:t>108</w:t>
            </w:r>
          </w:p>
        </w:tc>
        <w:tc>
          <w:tcPr>
            <w:tcW w:w="1260" w:type="dxa"/>
          </w:tcPr>
          <w:p w:rsidR="0003689D" w:rsidRDefault="003C5280">
            <w:pPr>
              <w:pStyle w:val="TableText"/>
              <w:spacing w:before="120" w:after="60"/>
              <w:jc w:val="center"/>
            </w:pPr>
            <w:r w:rsidRPr="00465419">
              <w:t>10/60</w:t>
            </w:r>
          </w:p>
        </w:tc>
        <w:tc>
          <w:tcPr>
            <w:tcW w:w="1440" w:type="dxa"/>
          </w:tcPr>
          <w:p w:rsidR="0003689D" w:rsidRDefault="00C61A16">
            <w:pPr>
              <w:pStyle w:val="TableText"/>
              <w:spacing w:before="120" w:after="60"/>
              <w:jc w:val="center"/>
            </w:pPr>
            <w:r w:rsidRPr="00465419">
              <w:t>1</w:t>
            </w:r>
            <w:r w:rsidR="003C5280" w:rsidRPr="00465419">
              <w:t>8</w:t>
            </w:r>
          </w:p>
        </w:tc>
      </w:tr>
      <w:tr w:rsidR="00C94845" w:rsidRPr="00465419" w:rsidTr="00625AD5">
        <w:tc>
          <w:tcPr>
            <w:tcW w:w="2418" w:type="dxa"/>
          </w:tcPr>
          <w:p w:rsidR="003C5280" w:rsidRPr="00465419" w:rsidRDefault="003C5280" w:rsidP="00F80EFD">
            <w:pPr>
              <w:pStyle w:val="TableText"/>
              <w:spacing w:before="120" w:after="60"/>
            </w:pPr>
            <w:r w:rsidRPr="00465419">
              <w:t>C</w:t>
            </w:r>
            <w:r w:rsidR="00F80EFD">
              <w:t>onsumer</w:t>
            </w:r>
          </w:p>
        </w:tc>
        <w:tc>
          <w:tcPr>
            <w:tcW w:w="1260" w:type="dxa"/>
          </w:tcPr>
          <w:p w:rsidR="0003689D" w:rsidRDefault="00C61A16">
            <w:pPr>
              <w:pStyle w:val="TableText"/>
              <w:spacing w:before="120" w:after="60"/>
              <w:jc w:val="center"/>
            </w:pPr>
            <w:r w:rsidRPr="00465419">
              <w:t>108</w:t>
            </w:r>
          </w:p>
        </w:tc>
        <w:tc>
          <w:tcPr>
            <w:tcW w:w="1530" w:type="dxa"/>
          </w:tcPr>
          <w:p w:rsidR="0003689D" w:rsidRDefault="003C5280">
            <w:pPr>
              <w:pStyle w:val="TableText"/>
              <w:spacing w:before="120" w:after="60"/>
              <w:jc w:val="center"/>
            </w:pPr>
            <w:r w:rsidRPr="00465419">
              <w:t>1</w:t>
            </w:r>
          </w:p>
        </w:tc>
        <w:tc>
          <w:tcPr>
            <w:tcW w:w="1170" w:type="dxa"/>
          </w:tcPr>
          <w:p w:rsidR="0003689D" w:rsidRDefault="00C61A16">
            <w:pPr>
              <w:pStyle w:val="TableText"/>
              <w:spacing w:before="120" w:after="60"/>
              <w:jc w:val="center"/>
            </w:pPr>
            <w:r w:rsidRPr="00465419">
              <w:t>108</w:t>
            </w:r>
          </w:p>
        </w:tc>
        <w:tc>
          <w:tcPr>
            <w:tcW w:w="1260" w:type="dxa"/>
          </w:tcPr>
          <w:p w:rsidR="0003689D" w:rsidRDefault="003C5280">
            <w:pPr>
              <w:pStyle w:val="TableText"/>
              <w:spacing w:before="120" w:after="60"/>
              <w:jc w:val="center"/>
            </w:pPr>
            <w:r w:rsidRPr="00465419">
              <w:t>10/60</w:t>
            </w:r>
          </w:p>
        </w:tc>
        <w:tc>
          <w:tcPr>
            <w:tcW w:w="1440" w:type="dxa"/>
          </w:tcPr>
          <w:p w:rsidR="0003689D" w:rsidRDefault="00C61A16">
            <w:pPr>
              <w:pStyle w:val="TableText"/>
              <w:spacing w:before="120" w:after="60"/>
              <w:jc w:val="center"/>
            </w:pPr>
            <w:r w:rsidRPr="00465419">
              <w:t>1</w:t>
            </w:r>
            <w:r w:rsidR="003C5280" w:rsidRPr="00465419">
              <w:t>8</w:t>
            </w:r>
          </w:p>
        </w:tc>
      </w:tr>
      <w:tr w:rsidR="00440A5B" w:rsidRPr="00465419" w:rsidTr="00625AD5">
        <w:tc>
          <w:tcPr>
            <w:tcW w:w="2418" w:type="dxa"/>
          </w:tcPr>
          <w:p w:rsidR="00440A5B" w:rsidRPr="00465419" w:rsidRDefault="00440A5B" w:rsidP="00F80EFD">
            <w:pPr>
              <w:pStyle w:val="TableText"/>
              <w:spacing w:before="120" w:after="60"/>
            </w:pPr>
            <w:r>
              <w:t xml:space="preserve">Site Coordinator         </w:t>
            </w:r>
          </w:p>
        </w:tc>
        <w:tc>
          <w:tcPr>
            <w:tcW w:w="1260" w:type="dxa"/>
          </w:tcPr>
          <w:p w:rsidR="0003689D" w:rsidRDefault="00440A5B">
            <w:pPr>
              <w:pStyle w:val="TableText"/>
              <w:spacing w:before="120" w:after="60"/>
              <w:jc w:val="center"/>
            </w:pPr>
            <w:r>
              <w:t>6</w:t>
            </w:r>
          </w:p>
        </w:tc>
        <w:tc>
          <w:tcPr>
            <w:tcW w:w="1530" w:type="dxa"/>
          </w:tcPr>
          <w:p w:rsidR="0003689D" w:rsidRDefault="00113641">
            <w:pPr>
              <w:pStyle w:val="TableText"/>
              <w:spacing w:before="120" w:after="60"/>
              <w:jc w:val="center"/>
            </w:pPr>
            <w:r>
              <w:t>1</w:t>
            </w:r>
          </w:p>
        </w:tc>
        <w:tc>
          <w:tcPr>
            <w:tcW w:w="1170" w:type="dxa"/>
          </w:tcPr>
          <w:p w:rsidR="0003689D" w:rsidRDefault="00113641">
            <w:pPr>
              <w:pStyle w:val="TableText"/>
              <w:spacing w:before="120" w:after="60"/>
              <w:jc w:val="center"/>
            </w:pPr>
            <w:r>
              <w:t>6</w:t>
            </w:r>
          </w:p>
        </w:tc>
        <w:tc>
          <w:tcPr>
            <w:tcW w:w="1260" w:type="dxa"/>
          </w:tcPr>
          <w:p w:rsidR="0003689D" w:rsidRDefault="002A63F4">
            <w:pPr>
              <w:pStyle w:val="TableText"/>
              <w:spacing w:before="120" w:after="60"/>
              <w:jc w:val="center"/>
            </w:pPr>
            <w:r>
              <w:t>96</w:t>
            </w:r>
          </w:p>
        </w:tc>
        <w:tc>
          <w:tcPr>
            <w:tcW w:w="1440" w:type="dxa"/>
          </w:tcPr>
          <w:p w:rsidR="0003689D" w:rsidRDefault="002A63F4">
            <w:pPr>
              <w:pStyle w:val="TableText"/>
              <w:spacing w:before="120" w:after="60"/>
              <w:jc w:val="center"/>
            </w:pPr>
            <w:r>
              <w:t>576</w:t>
            </w:r>
          </w:p>
        </w:tc>
      </w:tr>
      <w:tr w:rsidR="00C94845" w:rsidRPr="00465419" w:rsidTr="00625AD5">
        <w:tc>
          <w:tcPr>
            <w:tcW w:w="2418" w:type="dxa"/>
          </w:tcPr>
          <w:p w:rsidR="003C5280" w:rsidRPr="00465419" w:rsidRDefault="003C5280" w:rsidP="00476737">
            <w:pPr>
              <w:pStyle w:val="TableText"/>
              <w:spacing w:before="120" w:after="60"/>
            </w:pPr>
            <w:r w:rsidRPr="00465419">
              <w:t>Total</w:t>
            </w:r>
          </w:p>
        </w:tc>
        <w:tc>
          <w:tcPr>
            <w:tcW w:w="1260" w:type="dxa"/>
          </w:tcPr>
          <w:p w:rsidR="0003689D" w:rsidRDefault="00DB50E5">
            <w:pPr>
              <w:pStyle w:val="TableText"/>
              <w:spacing w:before="120" w:after="60"/>
              <w:jc w:val="center"/>
            </w:pPr>
            <w:r>
              <w:t>192</w:t>
            </w:r>
          </w:p>
        </w:tc>
        <w:tc>
          <w:tcPr>
            <w:tcW w:w="1530" w:type="dxa"/>
          </w:tcPr>
          <w:p w:rsidR="0003689D" w:rsidRDefault="00113641">
            <w:pPr>
              <w:pStyle w:val="TableText"/>
              <w:spacing w:before="120" w:after="60"/>
              <w:jc w:val="center"/>
            </w:pPr>
            <w:r>
              <w:t>2</w:t>
            </w:r>
            <w:r w:rsidR="00DB50E5">
              <w:t>4</w:t>
            </w:r>
          </w:p>
        </w:tc>
        <w:tc>
          <w:tcPr>
            <w:tcW w:w="1170" w:type="dxa"/>
          </w:tcPr>
          <w:p w:rsidR="0003689D" w:rsidRDefault="00113641" w:rsidP="00B671AE">
            <w:pPr>
              <w:pStyle w:val="TableText"/>
              <w:spacing w:before="120" w:after="60"/>
              <w:jc w:val="center"/>
            </w:pPr>
            <w:r>
              <w:t>3</w:t>
            </w:r>
            <w:r w:rsidR="00B671AE">
              <w:t>72</w:t>
            </w:r>
          </w:p>
        </w:tc>
        <w:tc>
          <w:tcPr>
            <w:tcW w:w="1260" w:type="dxa"/>
          </w:tcPr>
          <w:p w:rsidR="0003689D" w:rsidRDefault="0003689D">
            <w:pPr>
              <w:pStyle w:val="TableText"/>
              <w:spacing w:before="120" w:after="60"/>
              <w:jc w:val="center"/>
            </w:pPr>
          </w:p>
        </w:tc>
        <w:tc>
          <w:tcPr>
            <w:tcW w:w="1440" w:type="dxa"/>
          </w:tcPr>
          <w:p w:rsidR="0003689D" w:rsidRDefault="00113641" w:rsidP="00B671AE">
            <w:pPr>
              <w:pStyle w:val="TableText"/>
              <w:spacing w:before="120" w:after="60"/>
              <w:jc w:val="center"/>
            </w:pPr>
            <w:r>
              <w:t>6</w:t>
            </w:r>
            <w:r w:rsidR="002A63F4">
              <w:t>3</w:t>
            </w:r>
            <w:r w:rsidR="00B671AE">
              <w:t>4</w:t>
            </w:r>
          </w:p>
        </w:tc>
      </w:tr>
    </w:tbl>
    <w:p w:rsidR="0093569C" w:rsidRPr="00903627" w:rsidRDefault="00465419">
      <w:pPr>
        <w:tabs>
          <w:tab w:val="clear" w:pos="432"/>
        </w:tabs>
        <w:spacing w:line="240" w:lineRule="auto"/>
        <w:ind w:firstLine="0"/>
        <w:jc w:val="left"/>
        <w:rPr>
          <w:rFonts w:ascii="Arial" w:hAnsi="Arial" w:cs="Arial"/>
          <w:b/>
          <w:sz w:val="18"/>
          <w:szCs w:val="18"/>
        </w:rPr>
      </w:pPr>
      <w:r w:rsidRPr="00903627">
        <w:rPr>
          <w:rFonts w:ascii="Arial" w:hAnsi="Arial" w:cs="Arial"/>
          <w:b/>
          <w:sz w:val="18"/>
          <w:szCs w:val="18"/>
        </w:rPr>
        <w:lastRenderedPageBreak/>
        <w:t>Table A.</w:t>
      </w:r>
      <w:r w:rsidR="00C7247B" w:rsidRPr="00903627">
        <w:rPr>
          <w:rFonts w:ascii="Arial" w:hAnsi="Arial" w:cs="Arial"/>
          <w:b/>
          <w:sz w:val="18"/>
          <w:szCs w:val="18"/>
        </w:rPr>
        <w:t>3</w:t>
      </w:r>
      <w:r w:rsidR="004F1E8D" w:rsidRPr="00903627">
        <w:rPr>
          <w:rFonts w:ascii="Arial" w:hAnsi="Arial" w:cs="Arial"/>
          <w:b/>
          <w:sz w:val="18"/>
          <w:szCs w:val="18"/>
        </w:rPr>
        <w:t>. Estimated Annualized Cost Burden</w:t>
      </w:r>
    </w:p>
    <w:tbl>
      <w:tblPr>
        <w:tblStyle w:val="SMPRTableBlack"/>
        <w:tblW w:w="9198" w:type="dxa"/>
        <w:tblLayout w:type="fixed"/>
        <w:tblLook w:val="01E0" w:firstRow="1" w:lastRow="1" w:firstColumn="1" w:lastColumn="1" w:noHBand="0" w:noVBand="0"/>
      </w:tblPr>
      <w:tblGrid>
        <w:gridCol w:w="2628"/>
        <w:gridCol w:w="1710"/>
        <w:gridCol w:w="1800"/>
        <w:gridCol w:w="3060"/>
      </w:tblGrid>
      <w:tr w:rsidR="006C5CA5" w:rsidRPr="00465419" w:rsidTr="00476737">
        <w:trPr>
          <w:cnfStyle w:val="100000000000" w:firstRow="1" w:lastRow="0" w:firstColumn="0" w:lastColumn="0" w:oddVBand="0" w:evenVBand="0" w:oddHBand="0" w:evenHBand="0" w:firstRowFirstColumn="0" w:firstRowLastColumn="0" w:lastRowFirstColumn="0" w:lastRowLastColumn="0"/>
          <w:cantSplit/>
        </w:trPr>
        <w:tc>
          <w:tcPr>
            <w:tcW w:w="2628" w:type="dxa"/>
          </w:tcPr>
          <w:p w:rsidR="006C5CA5" w:rsidRPr="00465419" w:rsidRDefault="006C5CA5" w:rsidP="00476737">
            <w:pPr>
              <w:pStyle w:val="TableHeaderLeft"/>
            </w:pPr>
            <w:r w:rsidRPr="00465419">
              <w:t xml:space="preserve">Respondent Type </w:t>
            </w:r>
          </w:p>
        </w:tc>
        <w:tc>
          <w:tcPr>
            <w:tcW w:w="1710" w:type="dxa"/>
          </w:tcPr>
          <w:p w:rsidR="006C5CA5" w:rsidRPr="00465419" w:rsidRDefault="006C5CA5" w:rsidP="00595F40">
            <w:pPr>
              <w:pStyle w:val="TableHeaderCenter"/>
            </w:pPr>
            <w:r w:rsidRPr="00465419">
              <w:t xml:space="preserve">Total </w:t>
            </w:r>
            <w:r w:rsidR="00595F40">
              <w:t>B</w:t>
            </w:r>
            <w:r w:rsidRPr="00465419">
              <w:t>urden</w:t>
            </w:r>
            <w:r w:rsidR="00595F40">
              <w:t>-H</w:t>
            </w:r>
            <w:r w:rsidRPr="00465419">
              <w:t>ours</w:t>
            </w:r>
          </w:p>
        </w:tc>
        <w:tc>
          <w:tcPr>
            <w:tcW w:w="1800" w:type="dxa"/>
          </w:tcPr>
          <w:p w:rsidR="006C5CA5" w:rsidRPr="00465419" w:rsidRDefault="006C5CA5" w:rsidP="00897D1A">
            <w:pPr>
              <w:pStyle w:val="TableHeaderCenter"/>
            </w:pPr>
            <w:r w:rsidRPr="00465419">
              <w:t xml:space="preserve">Average </w:t>
            </w:r>
            <w:r w:rsidR="00595F40">
              <w:t>H</w:t>
            </w:r>
            <w:r w:rsidRPr="00465419">
              <w:t>ourly</w:t>
            </w:r>
            <w:r w:rsidR="00476737">
              <w:t xml:space="preserve"> </w:t>
            </w:r>
            <w:proofErr w:type="spellStart"/>
            <w:r w:rsidR="00595F40">
              <w:t>W</w:t>
            </w:r>
            <w:r w:rsidRPr="00465419">
              <w:t>age</w:t>
            </w:r>
            <w:r w:rsidR="00897D1A" w:rsidRPr="004327A5">
              <w:rPr>
                <w:vertAlign w:val="superscript"/>
              </w:rPr>
              <w:t>a</w:t>
            </w:r>
            <w:proofErr w:type="spellEnd"/>
          </w:p>
        </w:tc>
        <w:tc>
          <w:tcPr>
            <w:tcW w:w="3060" w:type="dxa"/>
          </w:tcPr>
          <w:p w:rsidR="006C5CA5" w:rsidRPr="00465419" w:rsidRDefault="006C5CA5" w:rsidP="00476737">
            <w:pPr>
              <w:pStyle w:val="TableHeaderCenter"/>
            </w:pPr>
            <w:r w:rsidRPr="00465419">
              <w:t xml:space="preserve">Total </w:t>
            </w:r>
            <w:r w:rsidR="00595F40">
              <w:t>C</w:t>
            </w:r>
            <w:r w:rsidRPr="00465419">
              <w:t xml:space="preserve">ost </w:t>
            </w:r>
            <w:r w:rsidR="00595F40">
              <w:t>B</w:t>
            </w:r>
            <w:r w:rsidRPr="00465419">
              <w:t>urden</w:t>
            </w:r>
          </w:p>
        </w:tc>
      </w:tr>
      <w:tr w:rsidR="00DB50E5" w:rsidRPr="00465419" w:rsidTr="00B671AE">
        <w:trPr>
          <w:cantSplit/>
        </w:trPr>
        <w:tc>
          <w:tcPr>
            <w:tcW w:w="2628" w:type="dxa"/>
          </w:tcPr>
          <w:p w:rsidR="00DB50E5" w:rsidRPr="00465419" w:rsidRDefault="00DB50E5" w:rsidP="00B671AE">
            <w:pPr>
              <w:pStyle w:val="TableText"/>
              <w:spacing w:before="120" w:after="60"/>
            </w:pPr>
            <w:r w:rsidRPr="00465419">
              <w:t>Clinician</w:t>
            </w:r>
            <w:r w:rsidRPr="00465419">
              <w:tab/>
            </w:r>
            <w:r w:rsidR="00264DB6">
              <w:t xml:space="preserve"> Demographics </w:t>
            </w:r>
            <w:r w:rsidR="00B671AE">
              <w:t>Questionnaire</w:t>
            </w:r>
            <w:r w:rsidR="00595F40">
              <w:t xml:space="preserve"> Total</w:t>
            </w:r>
            <w:r>
              <w:br/>
            </w:r>
            <w:r w:rsidRPr="00465419">
              <w:t xml:space="preserve">   Psychiatrist</w:t>
            </w:r>
            <w:r>
              <w:br/>
            </w:r>
            <w:r w:rsidRPr="00465419">
              <w:t xml:space="preserve">   Clinical </w:t>
            </w:r>
            <w:r w:rsidR="00595F40">
              <w:t>p</w:t>
            </w:r>
            <w:r w:rsidRPr="00465419">
              <w:t>sychologist</w:t>
            </w:r>
            <w:r>
              <w:br/>
            </w:r>
            <w:r w:rsidRPr="00465419">
              <w:t xml:space="preserve">   Social </w:t>
            </w:r>
            <w:r w:rsidR="00595F40">
              <w:t>w</w:t>
            </w:r>
            <w:r w:rsidRPr="00465419">
              <w:t>orker</w:t>
            </w:r>
          </w:p>
        </w:tc>
        <w:tc>
          <w:tcPr>
            <w:tcW w:w="1710" w:type="dxa"/>
          </w:tcPr>
          <w:p w:rsidR="00DB50E5" w:rsidRPr="00465419" w:rsidRDefault="00DB50E5" w:rsidP="00B671AE">
            <w:pPr>
              <w:pStyle w:val="TableText"/>
              <w:tabs>
                <w:tab w:val="decimal" w:pos="737"/>
              </w:tabs>
              <w:spacing w:before="120" w:after="60"/>
            </w:pPr>
            <w:r>
              <w:t>3</w:t>
            </w:r>
            <w:r>
              <w:br/>
            </w:r>
            <w:r w:rsidRPr="00465419">
              <w:t xml:space="preserve">    </w:t>
            </w:r>
            <w:r>
              <w:t>1</w:t>
            </w:r>
            <w:r>
              <w:br/>
              <w:t xml:space="preserve">    1</w:t>
            </w:r>
            <w:r>
              <w:br/>
              <w:t xml:space="preserve">    1</w:t>
            </w:r>
          </w:p>
        </w:tc>
        <w:tc>
          <w:tcPr>
            <w:tcW w:w="1800" w:type="dxa"/>
          </w:tcPr>
          <w:p w:rsidR="00DB50E5" w:rsidRPr="00465419" w:rsidRDefault="00DB50E5" w:rsidP="00AE18F4">
            <w:pPr>
              <w:pStyle w:val="TableText"/>
              <w:tabs>
                <w:tab w:val="decimal" w:pos="767"/>
              </w:tabs>
              <w:spacing w:before="120" w:after="60"/>
            </w:pPr>
            <w:r>
              <w:br/>
            </w:r>
            <w:r w:rsidRPr="00465419">
              <w:t>$85.35</w:t>
            </w:r>
            <w:r>
              <w:br/>
            </w:r>
            <w:r w:rsidRPr="00465419">
              <w:t>$34.72</w:t>
            </w:r>
            <w:r>
              <w:br/>
            </w:r>
            <w:r w:rsidRPr="00465419">
              <w:t>$20.84</w:t>
            </w:r>
          </w:p>
        </w:tc>
        <w:tc>
          <w:tcPr>
            <w:tcW w:w="3060" w:type="dxa"/>
            <w:vAlign w:val="center"/>
          </w:tcPr>
          <w:p w:rsidR="0003689D" w:rsidRDefault="00DB50E5" w:rsidP="00B671AE">
            <w:pPr>
              <w:pStyle w:val="TableText"/>
              <w:tabs>
                <w:tab w:val="decimal" w:pos="1487"/>
              </w:tabs>
              <w:spacing w:before="120" w:after="60"/>
            </w:pPr>
            <w:r w:rsidRPr="00465419">
              <w:t>$</w:t>
            </w:r>
            <w:r>
              <w:t>141</w:t>
            </w:r>
          </w:p>
        </w:tc>
      </w:tr>
      <w:tr w:rsidR="00DB50E5" w:rsidRPr="00465419" w:rsidTr="00B671AE">
        <w:trPr>
          <w:cantSplit/>
        </w:trPr>
        <w:tc>
          <w:tcPr>
            <w:tcW w:w="2628" w:type="dxa"/>
          </w:tcPr>
          <w:p w:rsidR="00DB50E5" w:rsidRPr="00465419" w:rsidRDefault="00DB50E5" w:rsidP="00595F40">
            <w:pPr>
              <w:pStyle w:val="TableText"/>
              <w:spacing w:before="120" w:after="60"/>
            </w:pPr>
            <w:r w:rsidRPr="00465419">
              <w:t>Clinician</w:t>
            </w:r>
            <w:r w:rsidRPr="00465419">
              <w:tab/>
            </w:r>
            <w:r w:rsidR="00264DB6">
              <w:t xml:space="preserve"> Survey</w:t>
            </w:r>
            <w:r w:rsidR="00595F40">
              <w:t xml:space="preserve"> Total</w:t>
            </w:r>
            <w:r>
              <w:br/>
            </w:r>
            <w:r w:rsidRPr="00465419">
              <w:t xml:space="preserve">   Psychiatrist</w:t>
            </w:r>
            <w:r>
              <w:br/>
            </w:r>
            <w:r w:rsidRPr="00465419">
              <w:t xml:space="preserve">   Clinical </w:t>
            </w:r>
            <w:r w:rsidR="00595F40">
              <w:t>p</w:t>
            </w:r>
            <w:r w:rsidRPr="00465419">
              <w:t>sychologist</w:t>
            </w:r>
            <w:r>
              <w:br/>
            </w:r>
            <w:r w:rsidRPr="00465419">
              <w:t xml:space="preserve">   Social </w:t>
            </w:r>
            <w:r w:rsidR="00595F40">
              <w:t>w</w:t>
            </w:r>
            <w:r w:rsidRPr="00465419">
              <w:t>orker</w:t>
            </w:r>
          </w:p>
        </w:tc>
        <w:tc>
          <w:tcPr>
            <w:tcW w:w="1710" w:type="dxa"/>
          </w:tcPr>
          <w:p w:rsidR="00DB50E5" w:rsidRPr="00465419" w:rsidRDefault="00DB50E5" w:rsidP="00B671AE">
            <w:pPr>
              <w:pStyle w:val="TableText"/>
              <w:tabs>
                <w:tab w:val="decimal" w:pos="737"/>
              </w:tabs>
              <w:spacing w:before="120" w:after="60"/>
            </w:pPr>
            <w:r w:rsidRPr="00465419">
              <w:t>18</w:t>
            </w:r>
            <w:r>
              <w:br/>
            </w:r>
            <w:r w:rsidRPr="00465419">
              <w:t xml:space="preserve">    2</w:t>
            </w:r>
            <w:r>
              <w:br/>
            </w:r>
            <w:r w:rsidRPr="00465419">
              <w:t xml:space="preserve">    7</w:t>
            </w:r>
            <w:r>
              <w:br/>
            </w:r>
            <w:r w:rsidRPr="00465419">
              <w:t xml:space="preserve">    8</w:t>
            </w:r>
          </w:p>
        </w:tc>
        <w:tc>
          <w:tcPr>
            <w:tcW w:w="1800" w:type="dxa"/>
          </w:tcPr>
          <w:p w:rsidR="00DB50E5" w:rsidRPr="00465419" w:rsidRDefault="00DB50E5" w:rsidP="00AE18F4">
            <w:pPr>
              <w:pStyle w:val="TableText"/>
              <w:tabs>
                <w:tab w:val="decimal" w:pos="767"/>
              </w:tabs>
              <w:spacing w:before="120" w:after="60"/>
            </w:pPr>
            <w:r>
              <w:br/>
            </w:r>
            <w:r w:rsidRPr="00465419">
              <w:t>$85.35</w:t>
            </w:r>
            <w:r>
              <w:br/>
            </w:r>
            <w:r w:rsidRPr="00465419">
              <w:t>$34.72</w:t>
            </w:r>
            <w:r w:rsidR="00595F40" w:rsidDel="00595F40">
              <w:t xml:space="preserve"> </w:t>
            </w:r>
            <w:r>
              <w:br/>
            </w:r>
            <w:r w:rsidRPr="00465419">
              <w:t>$20.84</w:t>
            </w:r>
            <w:r w:rsidR="00595F40" w:rsidDel="00595F40">
              <w:t xml:space="preserve"> </w:t>
            </w:r>
          </w:p>
        </w:tc>
        <w:tc>
          <w:tcPr>
            <w:tcW w:w="3060" w:type="dxa"/>
            <w:vAlign w:val="center"/>
          </w:tcPr>
          <w:p w:rsidR="0003689D" w:rsidRDefault="00DB50E5" w:rsidP="00B671AE">
            <w:pPr>
              <w:pStyle w:val="TableText"/>
              <w:tabs>
                <w:tab w:val="decimal" w:pos="1487"/>
              </w:tabs>
              <w:spacing w:before="120" w:after="60"/>
            </w:pPr>
            <w:r w:rsidRPr="00465419">
              <w:t>$598</w:t>
            </w:r>
          </w:p>
        </w:tc>
      </w:tr>
      <w:tr w:rsidR="00B671AE" w:rsidRPr="00465419" w:rsidTr="00B671AE">
        <w:trPr>
          <w:cantSplit/>
        </w:trPr>
        <w:tc>
          <w:tcPr>
            <w:tcW w:w="2628" w:type="dxa"/>
          </w:tcPr>
          <w:p w:rsidR="00B671AE" w:rsidRPr="00465419" w:rsidRDefault="00B671AE" w:rsidP="00476737">
            <w:pPr>
              <w:pStyle w:val="TableText"/>
              <w:spacing w:before="120" w:after="60"/>
            </w:pPr>
            <w:r>
              <w:t>Clinical Supervisor Demographics Questionnaire</w:t>
            </w:r>
          </w:p>
        </w:tc>
        <w:tc>
          <w:tcPr>
            <w:tcW w:w="1710" w:type="dxa"/>
          </w:tcPr>
          <w:p w:rsidR="00B671AE" w:rsidRPr="00465419" w:rsidRDefault="00B671AE" w:rsidP="00B671AE">
            <w:pPr>
              <w:pStyle w:val="TableText"/>
              <w:tabs>
                <w:tab w:val="decimal" w:pos="737"/>
              </w:tabs>
              <w:spacing w:before="120" w:after="60"/>
            </w:pPr>
            <w:r>
              <w:t>1</w:t>
            </w:r>
          </w:p>
        </w:tc>
        <w:tc>
          <w:tcPr>
            <w:tcW w:w="1800" w:type="dxa"/>
          </w:tcPr>
          <w:p w:rsidR="00B671AE" w:rsidRPr="00465419" w:rsidRDefault="00B671AE" w:rsidP="00AE18F4">
            <w:pPr>
              <w:pStyle w:val="TableText"/>
              <w:tabs>
                <w:tab w:val="decimal" w:pos="767"/>
              </w:tabs>
              <w:spacing w:before="120" w:after="60"/>
            </w:pPr>
            <w:r w:rsidRPr="00465419">
              <w:t>$34.72</w:t>
            </w:r>
          </w:p>
        </w:tc>
        <w:tc>
          <w:tcPr>
            <w:tcW w:w="3060" w:type="dxa"/>
            <w:vAlign w:val="center"/>
          </w:tcPr>
          <w:p w:rsidR="00B671AE" w:rsidRPr="00465419" w:rsidRDefault="00B671AE" w:rsidP="00B671AE">
            <w:pPr>
              <w:pStyle w:val="TableText"/>
              <w:tabs>
                <w:tab w:val="decimal" w:pos="1487"/>
              </w:tabs>
              <w:spacing w:before="120" w:after="60"/>
            </w:pPr>
            <w:r w:rsidRPr="00465419">
              <w:t>$3</w:t>
            </w:r>
            <w:r>
              <w:t>5</w:t>
            </w:r>
          </w:p>
        </w:tc>
      </w:tr>
      <w:tr w:rsidR="00DB50E5" w:rsidRPr="00465419" w:rsidTr="00B671AE">
        <w:trPr>
          <w:cantSplit/>
        </w:trPr>
        <w:tc>
          <w:tcPr>
            <w:tcW w:w="2628" w:type="dxa"/>
          </w:tcPr>
          <w:p w:rsidR="00DB50E5" w:rsidRPr="00465419" w:rsidRDefault="00DB50E5" w:rsidP="00476737">
            <w:pPr>
              <w:pStyle w:val="TableText"/>
              <w:spacing w:before="120" w:after="60"/>
            </w:pPr>
            <w:r w:rsidRPr="00465419">
              <w:t>Clinical Supervisor</w:t>
            </w:r>
            <w:r w:rsidR="00B671AE">
              <w:t xml:space="preserve"> Survey</w:t>
            </w:r>
          </w:p>
        </w:tc>
        <w:tc>
          <w:tcPr>
            <w:tcW w:w="1710" w:type="dxa"/>
          </w:tcPr>
          <w:p w:rsidR="00DB50E5" w:rsidRPr="00465419" w:rsidRDefault="00DB50E5" w:rsidP="00B671AE">
            <w:pPr>
              <w:pStyle w:val="TableText"/>
              <w:tabs>
                <w:tab w:val="decimal" w:pos="737"/>
              </w:tabs>
              <w:spacing w:before="120" w:after="60"/>
            </w:pPr>
            <w:r w:rsidRPr="00465419">
              <w:t>18</w:t>
            </w:r>
          </w:p>
        </w:tc>
        <w:tc>
          <w:tcPr>
            <w:tcW w:w="1800" w:type="dxa"/>
          </w:tcPr>
          <w:p w:rsidR="00DB50E5" w:rsidRPr="00465419" w:rsidRDefault="00DB50E5" w:rsidP="00AE18F4">
            <w:pPr>
              <w:pStyle w:val="TableText"/>
              <w:tabs>
                <w:tab w:val="decimal" w:pos="767"/>
              </w:tabs>
              <w:spacing w:before="120" w:after="60"/>
            </w:pPr>
            <w:r w:rsidRPr="00465419">
              <w:t>$34.72</w:t>
            </w:r>
          </w:p>
        </w:tc>
        <w:tc>
          <w:tcPr>
            <w:tcW w:w="3060" w:type="dxa"/>
            <w:vAlign w:val="center"/>
          </w:tcPr>
          <w:p w:rsidR="0003689D" w:rsidRDefault="00DB50E5" w:rsidP="00B671AE">
            <w:pPr>
              <w:pStyle w:val="TableText"/>
              <w:tabs>
                <w:tab w:val="decimal" w:pos="1487"/>
              </w:tabs>
              <w:spacing w:before="120" w:after="60"/>
            </w:pPr>
            <w:r w:rsidRPr="00465419">
              <w:t>$625</w:t>
            </w:r>
          </w:p>
        </w:tc>
      </w:tr>
      <w:tr w:rsidR="00DB50E5" w:rsidRPr="00465419" w:rsidTr="00B671AE">
        <w:trPr>
          <w:cantSplit/>
        </w:trPr>
        <w:tc>
          <w:tcPr>
            <w:tcW w:w="2628" w:type="dxa"/>
            <w:tcBorders>
              <w:bottom w:val="nil"/>
            </w:tcBorders>
          </w:tcPr>
          <w:p w:rsidR="00DB50E5" w:rsidRPr="00465419" w:rsidRDefault="00DB50E5" w:rsidP="00D822DA">
            <w:pPr>
              <w:pStyle w:val="TableText"/>
              <w:spacing w:before="120" w:after="60"/>
            </w:pPr>
            <w:r w:rsidRPr="00465419">
              <w:t>C</w:t>
            </w:r>
            <w:r>
              <w:t>onsumer</w:t>
            </w:r>
          </w:p>
        </w:tc>
        <w:tc>
          <w:tcPr>
            <w:tcW w:w="1710" w:type="dxa"/>
            <w:tcBorders>
              <w:bottom w:val="nil"/>
            </w:tcBorders>
          </w:tcPr>
          <w:p w:rsidR="00DB50E5" w:rsidRPr="00465419" w:rsidRDefault="00DB50E5" w:rsidP="00B671AE">
            <w:pPr>
              <w:pStyle w:val="TableText"/>
              <w:tabs>
                <w:tab w:val="decimal" w:pos="737"/>
              </w:tabs>
              <w:spacing w:before="120" w:after="60"/>
            </w:pPr>
            <w:r w:rsidRPr="00465419">
              <w:t>18</w:t>
            </w:r>
            <w:r w:rsidR="00595F40">
              <w:t>0</w:t>
            </w:r>
          </w:p>
        </w:tc>
        <w:tc>
          <w:tcPr>
            <w:tcW w:w="1800" w:type="dxa"/>
            <w:tcBorders>
              <w:bottom w:val="nil"/>
            </w:tcBorders>
          </w:tcPr>
          <w:p w:rsidR="00DB50E5" w:rsidRPr="00465419" w:rsidRDefault="00DB50E5" w:rsidP="00AE18F4">
            <w:pPr>
              <w:pStyle w:val="TableText"/>
              <w:tabs>
                <w:tab w:val="decimal" w:pos="767"/>
              </w:tabs>
              <w:spacing w:before="120" w:after="60"/>
            </w:pPr>
            <w:r w:rsidRPr="00465419">
              <w:t>$16.27</w:t>
            </w:r>
          </w:p>
        </w:tc>
        <w:tc>
          <w:tcPr>
            <w:tcW w:w="3060" w:type="dxa"/>
            <w:tcBorders>
              <w:bottom w:val="nil"/>
            </w:tcBorders>
            <w:vAlign w:val="center"/>
          </w:tcPr>
          <w:p w:rsidR="0003689D" w:rsidRDefault="00DB50E5" w:rsidP="00B671AE">
            <w:pPr>
              <w:pStyle w:val="TableText"/>
              <w:tabs>
                <w:tab w:val="decimal" w:pos="1487"/>
              </w:tabs>
              <w:spacing w:before="120" w:after="60"/>
            </w:pPr>
            <w:r w:rsidRPr="00465419">
              <w:t>$130</w:t>
            </w:r>
          </w:p>
        </w:tc>
      </w:tr>
      <w:tr w:rsidR="00DB50E5" w:rsidRPr="00465419" w:rsidTr="00B671AE">
        <w:trPr>
          <w:cantSplit/>
        </w:trPr>
        <w:tc>
          <w:tcPr>
            <w:tcW w:w="2628" w:type="dxa"/>
            <w:tcBorders>
              <w:top w:val="nil"/>
              <w:left w:val="nil"/>
              <w:bottom w:val="nil"/>
              <w:right w:val="nil"/>
            </w:tcBorders>
          </w:tcPr>
          <w:p w:rsidR="00DB50E5" w:rsidRPr="00465419" w:rsidRDefault="00DB50E5" w:rsidP="00113641">
            <w:pPr>
              <w:pStyle w:val="TableText"/>
              <w:spacing w:before="120" w:after="60"/>
            </w:pPr>
            <w:r>
              <w:t xml:space="preserve">Site Coordinator </w:t>
            </w:r>
          </w:p>
        </w:tc>
        <w:tc>
          <w:tcPr>
            <w:tcW w:w="1710" w:type="dxa"/>
            <w:tcBorders>
              <w:top w:val="nil"/>
              <w:left w:val="nil"/>
              <w:bottom w:val="nil"/>
              <w:right w:val="nil"/>
            </w:tcBorders>
          </w:tcPr>
          <w:p w:rsidR="00DB50E5" w:rsidRPr="00465419" w:rsidRDefault="00B671AE" w:rsidP="00B671AE">
            <w:pPr>
              <w:pStyle w:val="TableText"/>
              <w:tabs>
                <w:tab w:val="decimal" w:pos="737"/>
              </w:tabs>
              <w:spacing w:before="120" w:after="60"/>
            </w:pPr>
            <w:r>
              <w:t>57</w:t>
            </w:r>
            <w:r w:rsidR="002A63F4">
              <w:t>6</w:t>
            </w:r>
          </w:p>
        </w:tc>
        <w:tc>
          <w:tcPr>
            <w:tcW w:w="1800" w:type="dxa"/>
            <w:tcBorders>
              <w:top w:val="nil"/>
              <w:left w:val="nil"/>
              <w:bottom w:val="nil"/>
              <w:right w:val="nil"/>
            </w:tcBorders>
          </w:tcPr>
          <w:p w:rsidR="00DB50E5" w:rsidRPr="00465419" w:rsidRDefault="00DB50E5" w:rsidP="00595F40">
            <w:pPr>
              <w:pStyle w:val="TableText"/>
              <w:tabs>
                <w:tab w:val="decimal" w:pos="767"/>
              </w:tabs>
              <w:spacing w:before="120" w:after="60"/>
            </w:pPr>
            <w:r w:rsidRPr="00465419">
              <w:t>$20.84</w:t>
            </w:r>
          </w:p>
        </w:tc>
        <w:tc>
          <w:tcPr>
            <w:tcW w:w="3060" w:type="dxa"/>
            <w:tcBorders>
              <w:top w:val="nil"/>
              <w:left w:val="nil"/>
              <w:bottom w:val="nil"/>
              <w:right w:val="nil"/>
            </w:tcBorders>
            <w:vAlign w:val="center"/>
          </w:tcPr>
          <w:p w:rsidR="0003689D" w:rsidRDefault="00DB50E5" w:rsidP="00B671AE">
            <w:pPr>
              <w:pStyle w:val="TableText"/>
              <w:tabs>
                <w:tab w:val="decimal" w:pos="1487"/>
              </w:tabs>
              <w:spacing w:before="120" w:after="60"/>
            </w:pPr>
            <w:r>
              <w:t>$</w:t>
            </w:r>
            <w:r w:rsidR="00B671AE">
              <w:t>12,003</w:t>
            </w:r>
          </w:p>
        </w:tc>
      </w:tr>
      <w:tr w:rsidR="00DB50E5" w:rsidRPr="00465419" w:rsidTr="00B671AE">
        <w:trPr>
          <w:cantSplit/>
        </w:trPr>
        <w:tc>
          <w:tcPr>
            <w:tcW w:w="2628" w:type="dxa"/>
            <w:tcBorders>
              <w:top w:val="nil"/>
            </w:tcBorders>
          </w:tcPr>
          <w:p w:rsidR="00DB50E5" w:rsidRPr="00465419" w:rsidRDefault="00DB50E5" w:rsidP="00113641">
            <w:pPr>
              <w:pStyle w:val="TableText"/>
              <w:spacing w:before="120" w:after="60"/>
            </w:pPr>
            <w:r w:rsidRPr="00465419">
              <w:t>Total</w:t>
            </w:r>
          </w:p>
        </w:tc>
        <w:tc>
          <w:tcPr>
            <w:tcW w:w="1710" w:type="dxa"/>
            <w:tcBorders>
              <w:top w:val="nil"/>
            </w:tcBorders>
          </w:tcPr>
          <w:p w:rsidR="00DB50E5" w:rsidRPr="00465419" w:rsidRDefault="00DB50E5" w:rsidP="00476737">
            <w:pPr>
              <w:pStyle w:val="TableText"/>
              <w:tabs>
                <w:tab w:val="decimal" w:pos="737"/>
              </w:tabs>
              <w:spacing w:before="120" w:after="60"/>
            </w:pPr>
          </w:p>
        </w:tc>
        <w:tc>
          <w:tcPr>
            <w:tcW w:w="1800" w:type="dxa"/>
            <w:tcBorders>
              <w:top w:val="nil"/>
            </w:tcBorders>
          </w:tcPr>
          <w:p w:rsidR="0003689D" w:rsidRDefault="00AE18F4">
            <w:pPr>
              <w:pStyle w:val="TableText"/>
              <w:tabs>
                <w:tab w:val="decimal" w:pos="767"/>
              </w:tabs>
              <w:spacing w:before="120" w:after="60"/>
              <w:jc w:val="both"/>
            </w:pPr>
            <w:proofErr w:type="spellStart"/>
            <w:r>
              <w:t>n.a</w:t>
            </w:r>
            <w:proofErr w:type="spellEnd"/>
            <w:r>
              <w:t>.</w:t>
            </w:r>
          </w:p>
        </w:tc>
        <w:tc>
          <w:tcPr>
            <w:tcW w:w="3060" w:type="dxa"/>
            <w:tcBorders>
              <w:top w:val="nil"/>
            </w:tcBorders>
            <w:vAlign w:val="center"/>
          </w:tcPr>
          <w:p w:rsidR="0003689D" w:rsidRDefault="00DB50E5" w:rsidP="00B671AE">
            <w:pPr>
              <w:pStyle w:val="TableText"/>
              <w:tabs>
                <w:tab w:val="decimal" w:pos="1487"/>
              </w:tabs>
              <w:spacing w:before="120" w:after="60"/>
            </w:pPr>
            <w:r w:rsidRPr="00465419">
              <w:t>$1</w:t>
            </w:r>
            <w:r w:rsidR="002A63F4">
              <w:t>3,</w:t>
            </w:r>
            <w:r w:rsidR="00B671AE">
              <w:t>532</w:t>
            </w:r>
          </w:p>
        </w:tc>
      </w:tr>
    </w:tbl>
    <w:p w:rsidR="00BF6F52" w:rsidRDefault="00897D1A" w:rsidP="00476737">
      <w:pPr>
        <w:pStyle w:val="TableFootnoteCaption"/>
        <w:spacing w:before="120"/>
      </w:pPr>
      <w:proofErr w:type="spellStart"/>
      <w:proofErr w:type="gramStart"/>
      <w:r w:rsidRPr="004327A5">
        <w:rPr>
          <w:vertAlign w:val="superscript"/>
        </w:rPr>
        <w:t>a</w:t>
      </w:r>
      <w:r>
        <w:t>A</w:t>
      </w:r>
      <w:r w:rsidR="006421B6" w:rsidRPr="00E62BAB">
        <w:t>verage</w:t>
      </w:r>
      <w:proofErr w:type="spellEnd"/>
      <w:proofErr w:type="gramEnd"/>
      <w:r w:rsidR="006421B6" w:rsidRPr="00E62BAB">
        <w:t xml:space="preserve"> </w:t>
      </w:r>
      <w:r w:rsidR="00E62BAB">
        <w:t>hourly</w:t>
      </w:r>
      <w:r w:rsidR="006421B6" w:rsidRPr="00E62BAB">
        <w:t xml:space="preserve"> wages</w:t>
      </w:r>
      <w:r>
        <w:t xml:space="preserve"> for psychiatrists, clinical psychologists, and social workers are from </w:t>
      </w:r>
      <w:r w:rsidR="00450557">
        <w:t>Bureau of Labor Statistics</w:t>
      </w:r>
      <w:r w:rsidR="006421B6" w:rsidRPr="00E62BAB">
        <w:t xml:space="preserve">, </w:t>
      </w:r>
      <w:r w:rsidR="00450557">
        <w:t>“</w:t>
      </w:r>
      <w:r w:rsidR="006421B6" w:rsidRPr="00E62BAB">
        <w:t xml:space="preserve">National Compensation Survey: Occupational </w:t>
      </w:r>
      <w:r w:rsidR="00450557">
        <w:t>W</w:t>
      </w:r>
      <w:r w:rsidR="006421B6" w:rsidRPr="00E62BAB">
        <w:t>ages in the United States May 2012,</w:t>
      </w:r>
      <w:r w:rsidR="00450557">
        <w:t>” [</w:t>
      </w:r>
      <w:r w:rsidR="00903627" w:rsidRPr="00903627">
        <w:t>http://www.bls.gov/oes/current/oes_nat.htm</w:t>
      </w:r>
      <w:r w:rsidR="00450557">
        <w:t>].</w:t>
      </w:r>
      <w:r w:rsidR="006421B6" w:rsidRPr="00E62BAB">
        <w:t xml:space="preserve"> Clinical supervisors are clinical psychologists. </w:t>
      </w:r>
      <w:r>
        <w:t>A</w:t>
      </w:r>
      <w:r w:rsidR="00C94845" w:rsidRPr="00214080">
        <w:t>verage hourly wage</w:t>
      </w:r>
      <w:r>
        <w:t>s</w:t>
      </w:r>
      <w:r w:rsidR="00C94845" w:rsidRPr="00214080">
        <w:t xml:space="preserve"> for c</w:t>
      </w:r>
      <w:r w:rsidR="00945422" w:rsidRPr="00214080">
        <w:t>onsumers</w:t>
      </w:r>
      <w:r w:rsidR="00C94845" w:rsidRPr="00214080">
        <w:t xml:space="preserve"> </w:t>
      </w:r>
      <w:r>
        <w:t xml:space="preserve">are based on </w:t>
      </w:r>
      <w:r w:rsidR="00C94845" w:rsidRPr="00214080">
        <w:t>r</w:t>
      </w:r>
      <w:r w:rsidR="00E62BAB" w:rsidRPr="00214080">
        <w:t>eported income in research studies</w:t>
      </w:r>
      <w:r w:rsidR="0069132B" w:rsidRPr="00214080">
        <w:t xml:space="preserve"> for adults with PTSD</w:t>
      </w:r>
      <w:r>
        <w:t xml:space="preserve">; see for example </w:t>
      </w:r>
      <w:r w:rsidR="003071BD" w:rsidRPr="00214080">
        <w:t>Campbell</w:t>
      </w:r>
      <w:r>
        <w:t xml:space="preserve"> et al. </w:t>
      </w:r>
      <w:r w:rsidR="003071BD" w:rsidRPr="00214080">
        <w:t>200</w:t>
      </w:r>
      <w:r w:rsidR="00214080" w:rsidRPr="00214080">
        <w:t>7</w:t>
      </w:r>
      <w:r w:rsidR="003071BD" w:rsidRPr="00214080">
        <w:t>;</w:t>
      </w:r>
      <w:r w:rsidR="0098515C" w:rsidRPr="00214080">
        <w:t xml:space="preserve"> Taft</w:t>
      </w:r>
      <w:r>
        <w:t xml:space="preserve"> et al. </w:t>
      </w:r>
      <w:r w:rsidR="003639DF" w:rsidRPr="00214080">
        <w:t xml:space="preserve">2008; </w:t>
      </w:r>
      <w:r w:rsidR="002D549C" w:rsidRPr="00214080">
        <w:t>Hanley</w:t>
      </w:r>
      <w:r>
        <w:t xml:space="preserve"> et al. </w:t>
      </w:r>
      <w:r w:rsidR="00DB4DD3" w:rsidRPr="00214080">
        <w:t xml:space="preserve">2013; </w:t>
      </w:r>
      <w:r>
        <w:t xml:space="preserve">and </w:t>
      </w:r>
      <w:proofErr w:type="spellStart"/>
      <w:r w:rsidR="00954C4D" w:rsidRPr="00214080">
        <w:t>Matlow</w:t>
      </w:r>
      <w:proofErr w:type="spellEnd"/>
      <w:r w:rsidR="00954C4D" w:rsidRPr="00214080">
        <w:t xml:space="preserve"> </w:t>
      </w:r>
      <w:r>
        <w:t xml:space="preserve">and </w:t>
      </w:r>
      <w:proofErr w:type="spellStart"/>
      <w:r w:rsidR="00954C4D" w:rsidRPr="00214080">
        <w:t>DePrince</w:t>
      </w:r>
      <w:proofErr w:type="spellEnd"/>
      <w:r w:rsidR="00954C4D" w:rsidRPr="00214080">
        <w:t xml:space="preserve"> 2013</w:t>
      </w:r>
      <w:r w:rsidR="00C94845">
        <w:t>.</w:t>
      </w:r>
    </w:p>
    <w:p w:rsidR="00AE18F4" w:rsidRDefault="00AE18F4" w:rsidP="00476737">
      <w:pPr>
        <w:pStyle w:val="TableFootnoteCaption"/>
        <w:spacing w:before="120"/>
      </w:pPr>
      <w:proofErr w:type="spellStart"/>
      <w:r>
        <w:t>n.a</w:t>
      </w:r>
      <w:proofErr w:type="spellEnd"/>
      <w:r>
        <w:t>. = not applicable.</w:t>
      </w:r>
    </w:p>
    <w:p w:rsidR="00476737" w:rsidRPr="00E62BAB" w:rsidRDefault="00476737" w:rsidP="00476737">
      <w:pPr>
        <w:pStyle w:val="TableFootnoteCaption"/>
      </w:pPr>
    </w:p>
    <w:p w:rsidR="00BF6F52" w:rsidRPr="004F043D" w:rsidRDefault="009B79D5" w:rsidP="00476737">
      <w:pPr>
        <w:pStyle w:val="Heading3"/>
      </w:pPr>
      <w:bookmarkStart w:id="15" w:name="_Toc361303717"/>
      <w:r>
        <w:t>A13</w:t>
      </w:r>
      <w:r w:rsidR="004F043D" w:rsidRPr="004F043D">
        <w:t>.</w:t>
      </w:r>
      <w:r w:rsidR="00476737">
        <w:tab/>
      </w:r>
      <w:r>
        <w:t xml:space="preserve"> </w:t>
      </w:r>
      <w:r w:rsidR="007E173C" w:rsidRPr="00AC4933">
        <w:t>Estimates of Other Total Annual Costs</w:t>
      </w:r>
      <w:bookmarkEnd w:id="15"/>
    </w:p>
    <w:p w:rsidR="00487595" w:rsidRPr="00492A85" w:rsidRDefault="00D30232" w:rsidP="00476737">
      <w:pPr>
        <w:pStyle w:val="NormalSS"/>
      </w:pPr>
      <w:r w:rsidRPr="00492A85">
        <w:t xml:space="preserve">No capital costs are </w:t>
      </w:r>
      <w:r w:rsidR="00AC4933">
        <w:t>involved in</w:t>
      </w:r>
      <w:r w:rsidR="00AC4933" w:rsidRPr="00492A85">
        <w:t xml:space="preserve"> </w:t>
      </w:r>
      <w:r w:rsidRPr="00492A85">
        <w:t>this data collection.</w:t>
      </w:r>
    </w:p>
    <w:p w:rsidR="00BF6F52" w:rsidRPr="004F043D" w:rsidRDefault="009B79D5" w:rsidP="00476737">
      <w:pPr>
        <w:pStyle w:val="Heading3"/>
      </w:pPr>
      <w:bookmarkStart w:id="16" w:name="_Toc361303718"/>
      <w:r>
        <w:t>A14</w:t>
      </w:r>
      <w:r w:rsidR="004F043D" w:rsidRPr="004F043D">
        <w:t>.</w:t>
      </w:r>
      <w:r w:rsidR="00476737">
        <w:tab/>
      </w:r>
      <w:r>
        <w:t xml:space="preserve"> </w:t>
      </w:r>
      <w:r w:rsidR="00BF6F52" w:rsidRPr="004F043D">
        <w:t>Annualized Cost to Federal Government</w:t>
      </w:r>
      <w:bookmarkEnd w:id="16"/>
    </w:p>
    <w:p w:rsidR="00DE7EBB" w:rsidRDefault="00DE7EBB" w:rsidP="00476737">
      <w:pPr>
        <w:pStyle w:val="NormalSS"/>
        <w:rPr>
          <w:rFonts w:eastAsiaTheme="minorHAnsi"/>
        </w:rPr>
      </w:pPr>
      <w:r>
        <w:t xml:space="preserve">This quality measure development project takes place over a </w:t>
      </w:r>
      <w:r w:rsidR="00AE18F4">
        <w:t>three</w:t>
      </w:r>
      <w:r>
        <w:t xml:space="preserve">-year period. The total cost of the project to the government is </w:t>
      </w:r>
      <w:r w:rsidRPr="0069132B">
        <w:t>$</w:t>
      </w:r>
      <w:r w:rsidR="00DA4ECD">
        <w:t xml:space="preserve">572,156 </w:t>
      </w:r>
      <w:r>
        <w:t xml:space="preserve">which includes the amount awarded via contract to </w:t>
      </w:r>
      <w:r w:rsidR="00C94845">
        <w:t>ASPE’s contractor</w:t>
      </w:r>
      <w:r>
        <w:t xml:space="preserve"> and ASPE staff time/resources. The total cost was based on the budget developed by </w:t>
      </w:r>
      <w:r w:rsidR="005E2941">
        <w:t>Mathematica</w:t>
      </w:r>
      <w:r w:rsidR="00AE18F4">
        <w:t>, which</w:t>
      </w:r>
      <w:r>
        <w:t xml:space="preserve"> calculated wages and hours for all staff, telephone charges, and overhead costs per contract year along with the </w:t>
      </w:r>
      <w:r w:rsidR="00AE18F4">
        <w:t>g</w:t>
      </w:r>
      <w:r>
        <w:t xml:space="preserve">overnment staff costs. </w:t>
      </w:r>
      <w:r w:rsidR="00A33611">
        <w:t xml:space="preserve">Dividing the total funded amount by three years gives an </w:t>
      </w:r>
      <w:r>
        <w:t xml:space="preserve">annualized contract cost </w:t>
      </w:r>
      <w:r w:rsidR="00A33611">
        <w:t>of</w:t>
      </w:r>
      <w:r>
        <w:t xml:space="preserve"> </w:t>
      </w:r>
      <w:r w:rsidR="00DA4ECD">
        <w:t xml:space="preserve">$190,719 </w:t>
      </w:r>
      <w:r>
        <w:t xml:space="preserve">per year. </w:t>
      </w:r>
    </w:p>
    <w:p w:rsidR="00BF6F52" w:rsidRPr="004F043D" w:rsidRDefault="009B79D5" w:rsidP="00476737">
      <w:pPr>
        <w:pStyle w:val="Heading3"/>
      </w:pPr>
      <w:bookmarkStart w:id="17" w:name="_Toc361303719"/>
      <w:r>
        <w:t>A</w:t>
      </w:r>
      <w:r w:rsidR="00476737">
        <w:t>1</w:t>
      </w:r>
      <w:r>
        <w:t>5</w:t>
      </w:r>
      <w:r w:rsidR="004F043D" w:rsidRPr="004F043D">
        <w:t>.</w:t>
      </w:r>
      <w:r>
        <w:t xml:space="preserve"> </w:t>
      </w:r>
      <w:r w:rsidR="00476737">
        <w:tab/>
      </w:r>
      <w:r w:rsidR="00BF6F52" w:rsidRPr="004F043D">
        <w:t>Explanation for Program Changes or Adjustments</w:t>
      </w:r>
      <w:bookmarkEnd w:id="17"/>
    </w:p>
    <w:p w:rsidR="00394FCC" w:rsidRDefault="00394FCC" w:rsidP="00476737">
      <w:pPr>
        <w:pStyle w:val="NormalSS"/>
      </w:pPr>
      <w:r>
        <w:t>This is a new data collectio</w:t>
      </w:r>
      <w:r w:rsidR="004027AA">
        <w:t>n</w:t>
      </w:r>
      <w:r w:rsidR="00EC0ACE">
        <w:t>.</w:t>
      </w:r>
    </w:p>
    <w:p w:rsidR="00BF6F52" w:rsidRPr="004F043D" w:rsidRDefault="009B79D5" w:rsidP="00476737">
      <w:pPr>
        <w:pStyle w:val="Heading3"/>
      </w:pPr>
      <w:bookmarkStart w:id="18" w:name="_Toc361303720"/>
      <w:r>
        <w:t>A</w:t>
      </w:r>
      <w:r w:rsidR="002D575A" w:rsidRPr="004F043D">
        <w:t>1</w:t>
      </w:r>
      <w:r>
        <w:t>6</w:t>
      </w:r>
      <w:r w:rsidR="004F043D" w:rsidRPr="004F043D">
        <w:t>.</w:t>
      </w:r>
      <w:r>
        <w:t xml:space="preserve"> </w:t>
      </w:r>
      <w:r w:rsidR="00476737">
        <w:tab/>
      </w:r>
      <w:r w:rsidR="00BF6F52" w:rsidRPr="004F043D">
        <w:t>Plans for Tabulation and Publication and Project Time Schedule</w:t>
      </w:r>
      <w:bookmarkEnd w:id="18"/>
    </w:p>
    <w:p w:rsidR="00914BE6" w:rsidRPr="00492A85" w:rsidRDefault="00242AC2" w:rsidP="00476737">
      <w:pPr>
        <w:pStyle w:val="NormalSS"/>
      </w:pPr>
      <w:r w:rsidRPr="005E17FA">
        <w:t xml:space="preserve">Pending OMB clearance, </w:t>
      </w:r>
      <w:r w:rsidR="00120AF1" w:rsidRPr="005E17FA">
        <w:t>ASPE expects data collection to beg</w:t>
      </w:r>
      <w:r w:rsidR="00DB50E5" w:rsidRPr="005E17FA">
        <w:t xml:space="preserve">in in </w:t>
      </w:r>
      <w:r w:rsidR="00374366" w:rsidRPr="00374366">
        <w:t xml:space="preserve">summer 2014 and to continue through </w:t>
      </w:r>
      <w:r w:rsidR="005E17FA" w:rsidRPr="005E17FA">
        <w:t>winter 2014</w:t>
      </w:r>
      <w:r w:rsidR="00120AF1" w:rsidRPr="005E17FA">
        <w:t xml:space="preserve">. ASPE’s contractor </w:t>
      </w:r>
      <w:r w:rsidR="00686CD1" w:rsidRPr="005E17FA">
        <w:t xml:space="preserve">will begin to prepare materials </w:t>
      </w:r>
      <w:r w:rsidR="00B81595" w:rsidRPr="005E17FA">
        <w:t xml:space="preserve">for </w:t>
      </w:r>
      <w:r w:rsidR="00686CD1" w:rsidRPr="005E17FA">
        <w:t>disseminat</w:t>
      </w:r>
      <w:r w:rsidR="00B81595" w:rsidRPr="005E17FA">
        <w:t>ing</w:t>
      </w:r>
      <w:r w:rsidR="00686CD1" w:rsidRPr="005E17FA">
        <w:t xml:space="preserve"> </w:t>
      </w:r>
      <w:r w:rsidR="00686CD1" w:rsidRPr="005E17FA">
        <w:lastRenderedPageBreak/>
        <w:t xml:space="preserve">the results of the data collection in </w:t>
      </w:r>
      <w:r w:rsidR="00374366" w:rsidRPr="00374366">
        <w:t>late 2014</w:t>
      </w:r>
      <w:r w:rsidR="00686CD1" w:rsidRPr="005E17FA">
        <w:t xml:space="preserve">. </w:t>
      </w:r>
      <w:r w:rsidR="00465419" w:rsidRPr="005E17FA">
        <w:t>Table A.4</w:t>
      </w:r>
      <w:r w:rsidR="00686CD1" w:rsidRPr="005E17FA">
        <w:t xml:space="preserve"> presents the anticipated data collection and reporting schedule.</w:t>
      </w:r>
    </w:p>
    <w:p w:rsidR="009F2FAE" w:rsidRPr="009620D9" w:rsidRDefault="00465419" w:rsidP="00476737">
      <w:pPr>
        <w:pStyle w:val="MarkforTableHeading"/>
      </w:pPr>
      <w:r w:rsidRPr="009620D9">
        <w:t>Table A.</w:t>
      </w:r>
      <w:r w:rsidR="00C7247B" w:rsidRPr="009620D9">
        <w:t>4.</w:t>
      </w:r>
      <w:r w:rsidR="00AE1E19" w:rsidRPr="009620D9">
        <w:t xml:space="preserve"> Project Time</w:t>
      </w:r>
      <w:r w:rsidR="00B81595">
        <w:t xml:space="preserve"> L</w:t>
      </w:r>
      <w:r w:rsidR="00AE1E19" w:rsidRPr="009620D9">
        <w:t>ine</w:t>
      </w:r>
    </w:p>
    <w:tbl>
      <w:tblPr>
        <w:tblStyle w:val="SMPRTableBlack"/>
        <w:tblW w:w="0" w:type="auto"/>
        <w:tblLook w:val="04A0" w:firstRow="1" w:lastRow="0" w:firstColumn="1" w:lastColumn="0" w:noHBand="0" w:noVBand="1"/>
      </w:tblPr>
      <w:tblGrid>
        <w:gridCol w:w="3798"/>
        <w:gridCol w:w="3780"/>
      </w:tblGrid>
      <w:tr w:rsidR="00703954" w:rsidRPr="009620D9" w:rsidTr="00476737">
        <w:trPr>
          <w:cnfStyle w:val="100000000000" w:firstRow="1" w:lastRow="0" w:firstColumn="0" w:lastColumn="0" w:oddVBand="0" w:evenVBand="0" w:oddHBand="0" w:evenHBand="0" w:firstRowFirstColumn="0" w:firstRowLastColumn="0" w:lastRowFirstColumn="0" w:lastRowLastColumn="0"/>
        </w:trPr>
        <w:tc>
          <w:tcPr>
            <w:tcW w:w="3798" w:type="dxa"/>
          </w:tcPr>
          <w:p w:rsidR="00703954" w:rsidRPr="009620D9" w:rsidRDefault="00703954" w:rsidP="00476737">
            <w:pPr>
              <w:pStyle w:val="TableHeaderLeft"/>
            </w:pPr>
            <w:r w:rsidRPr="009620D9">
              <w:t>Task</w:t>
            </w:r>
          </w:p>
        </w:tc>
        <w:tc>
          <w:tcPr>
            <w:tcW w:w="3780" w:type="dxa"/>
          </w:tcPr>
          <w:p w:rsidR="00703954" w:rsidRPr="009620D9" w:rsidRDefault="00242AC2" w:rsidP="00476737">
            <w:pPr>
              <w:pStyle w:val="TableHeaderCenter"/>
            </w:pPr>
            <w:r w:rsidRPr="009620D9">
              <w:t>Schedule</w:t>
            </w:r>
          </w:p>
        </w:tc>
      </w:tr>
      <w:tr w:rsidR="00F53BA0" w:rsidRPr="009620D9" w:rsidTr="00FA60F8">
        <w:tc>
          <w:tcPr>
            <w:tcW w:w="3798" w:type="dxa"/>
            <w:vAlign w:val="top"/>
          </w:tcPr>
          <w:p w:rsidR="00F53BA0" w:rsidRPr="009620D9" w:rsidRDefault="00F53BA0" w:rsidP="00FA60F8">
            <w:pPr>
              <w:pStyle w:val="TableText"/>
              <w:spacing w:before="120" w:after="60"/>
            </w:pPr>
            <w:r>
              <w:t xml:space="preserve">Recruit </w:t>
            </w:r>
            <w:r w:rsidR="00B81595">
              <w:t>d</w:t>
            </w:r>
            <w:r>
              <w:t xml:space="preserve">ata </w:t>
            </w:r>
            <w:r w:rsidR="00B81595">
              <w:t>c</w:t>
            </w:r>
            <w:r>
              <w:t xml:space="preserve">ollection </w:t>
            </w:r>
            <w:r w:rsidR="00B81595">
              <w:t>s</w:t>
            </w:r>
            <w:r>
              <w:t>ites</w:t>
            </w:r>
          </w:p>
        </w:tc>
        <w:tc>
          <w:tcPr>
            <w:tcW w:w="3780" w:type="dxa"/>
            <w:vAlign w:val="top"/>
          </w:tcPr>
          <w:p w:rsidR="00F53BA0" w:rsidRPr="009620D9" w:rsidRDefault="00F53BA0" w:rsidP="00FA60F8">
            <w:pPr>
              <w:pStyle w:val="TableText"/>
              <w:spacing w:before="120" w:after="60"/>
            </w:pPr>
            <w:r>
              <w:t xml:space="preserve">One month after OMB </w:t>
            </w:r>
            <w:r w:rsidR="00B81595">
              <w:t>c</w:t>
            </w:r>
            <w:r>
              <w:t>learance</w:t>
            </w:r>
          </w:p>
        </w:tc>
      </w:tr>
      <w:tr w:rsidR="00703954" w:rsidRPr="009620D9" w:rsidTr="00FA60F8">
        <w:tc>
          <w:tcPr>
            <w:tcW w:w="3798" w:type="dxa"/>
            <w:vAlign w:val="top"/>
          </w:tcPr>
          <w:p w:rsidR="00703954" w:rsidRPr="009620D9" w:rsidRDefault="00B81595" w:rsidP="00FA60F8">
            <w:pPr>
              <w:pStyle w:val="TableText"/>
              <w:spacing w:before="120" w:after="60"/>
            </w:pPr>
            <w:r>
              <w:t>Collect data from w</w:t>
            </w:r>
            <w:r w:rsidR="00703954" w:rsidRPr="009620D9">
              <w:t xml:space="preserve">eb-based </w:t>
            </w:r>
            <w:r>
              <w:t>s</w:t>
            </w:r>
            <w:r w:rsidR="00703954" w:rsidRPr="009620D9">
              <w:t xml:space="preserve">urvey </w:t>
            </w:r>
          </w:p>
        </w:tc>
        <w:tc>
          <w:tcPr>
            <w:tcW w:w="3780" w:type="dxa"/>
            <w:vAlign w:val="top"/>
          </w:tcPr>
          <w:p w:rsidR="00703954" w:rsidRPr="009620D9" w:rsidRDefault="00F53BA0" w:rsidP="00FA60F8">
            <w:pPr>
              <w:pStyle w:val="TableText"/>
              <w:spacing w:before="120" w:after="60"/>
            </w:pPr>
            <w:r>
              <w:t xml:space="preserve">Two </w:t>
            </w:r>
            <w:r w:rsidR="00B81595">
              <w:t>m</w:t>
            </w:r>
            <w:r>
              <w:t xml:space="preserve">onths after OMB </w:t>
            </w:r>
            <w:r w:rsidR="00B81595">
              <w:t>c</w:t>
            </w:r>
            <w:r>
              <w:t>learance</w:t>
            </w:r>
          </w:p>
        </w:tc>
      </w:tr>
      <w:tr w:rsidR="00703954" w:rsidRPr="009620D9" w:rsidTr="00FA60F8">
        <w:tc>
          <w:tcPr>
            <w:tcW w:w="3798" w:type="dxa"/>
            <w:vAlign w:val="top"/>
          </w:tcPr>
          <w:p w:rsidR="00703954" w:rsidRPr="009620D9" w:rsidRDefault="00B81595" w:rsidP="00FA60F8">
            <w:pPr>
              <w:pStyle w:val="TableText"/>
              <w:spacing w:before="120" w:after="60"/>
            </w:pPr>
            <w:r>
              <w:t>Analyze d</w:t>
            </w:r>
            <w:r w:rsidR="00703954" w:rsidRPr="009620D9">
              <w:t xml:space="preserve">ata </w:t>
            </w:r>
          </w:p>
        </w:tc>
        <w:tc>
          <w:tcPr>
            <w:tcW w:w="3780" w:type="dxa"/>
            <w:vAlign w:val="top"/>
          </w:tcPr>
          <w:p w:rsidR="00703954" w:rsidRPr="009620D9" w:rsidRDefault="00F53BA0" w:rsidP="00FA60F8">
            <w:pPr>
              <w:pStyle w:val="TableText"/>
              <w:spacing w:before="120" w:after="60"/>
            </w:pPr>
            <w:r>
              <w:t xml:space="preserve">Six months after </w:t>
            </w:r>
            <w:r w:rsidR="00B81595">
              <w:t>b</w:t>
            </w:r>
            <w:r>
              <w:t xml:space="preserve">eginning </w:t>
            </w:r>
            <w:r w:rsidR="00B81595">
              <w:t>d</w:t>
            </w:r>
            <w:r>
              <w:t xml:space="preserve">ata </w:t>
            </w:r>
            <w:r w:rsidR="00B81595">
              <w:t>c</w:t>
            </w:r>
            <w:r>
              <w:t>ollection</w:t>
            </w:r>
          </w:p>
        </w:tc>
      </w:tr>
      <w:tr w:rsidR="00703954" w:rsidRPr="009620D9" w:rsidTr="00FA60F8">
        <w:tc>
          <w:tcPr>
            <w:tcW w:w="3798" w:type="dxa"/>
            <w:vAlign w:val="top"/>
          </w:tcPr>
          <w:p w:rsidR="00703954" w:rsidRPr="009620D9" w:rsidRDefault="00703954" w:rsidP="00FA60F8">
            <w:pPr>
              <w:pStyle w:val="TableText"/>
              <w:spacing w:before="120" w:after="60"/>
            </w:pPr>
            <w:r w:rsidRPr="009620D9">
              <w:t xml:space="preserve">Prepare and submit draft report </w:t>
            </w:r>
          </w:p>
        </w:tc>
        <w:tc>
          <w:tcPr>
            <w:tcW w:w="3780" w:type="dxa"/>
            <w:vAlign w:val="top"/>
          </w:tcPr>
          <w:p w:rsidR="00703954" w:rsidRPr="009620D9" w:rsidRDefault="00FA60F8" w:rsidP="00FA60F8">
            <w:pPr>
              <w:pStyle w:val="TableText"/>
              <w:spacing w:before="120" w:after="60"/>
            </w:pPr>
            <w:r>
              <w:t>One month after completion of data analyses</w:t>
            </w:r>
          </w:p>
        </w:tc>
      </w:tr>
      <w:tr w:rsidR="00A20E93" w:rsidRPr="009620D9" w:rsidTr="00FA60F8">
        <w:tc>
          <w:tcPr>
            <w:tcW w:w="3798" w:type="dxa"/>
            <w:vAlign w:val="top"/>
          </w:tcPr>
          <w:p w:rsidR="00A20E93" w:rsidRPr="009620D9" w:rsidRDefault="00A20E93" w:rsidP="00FA60F8">
            <w:pPr>
              <w:pStyle w:val="TableText"/>
              <w:spacing w:before="120" w:after="60"/>
            </w:pPr>
            <w:r w:rsidRPr="009620D9">
              <w:t>Prepare and deliver briefing</w:t>
            </w:r>
          </w:p>
        </w:tc>
        <w:tc>
          <w:tcPr>
            <w:tcW w:w="3780" w:type="dxa"/>
            <w:vAlign w:val="top"/>
          </w:tcPr>
          <w:p w:rsidR="00A20E93" w:rsidRDefault="00FA60F8" w:rsidP="00FA60F8">
            <w:pPr>
              <w:pStyle w:val="TableText"/>
              <w:spacing w:before="120" w:after="60"/>
            </w:pPr>
            <w:r>
              <w:t>Three weeks after delivery of draft report</w:t>
            </w:r>
          </w:p>
        </w:tc>
      </w:tr>
      <w:tr w:rsidR="00A20E93" w:rsidRPr="009620D9" w:rsidTr="00FA60F8">
        <w:tc>
          <w:tcPr>
            <w:tcW w:w="3798" w:type="dxa"/>
            <w:vAlign w:val="top"/>
          </w:tcPr>
          <w:p w:rsidR="00A20E93" w:rsidRPr="009620D9" w:rsidRDefault="00A20E93" w:rsidP="00FA60F8">
            <w:pPr>
              <w:pStyle w:val="TableText"/>
              <w:spacing w:before="120" w:after="60"/>
            </w:pPr>
            <w:r w:rsidRPr="009620D9">
              <w:t>Prepare and submit final report</w:t>
            </w:r>
          </w:p>
        </w:tc>
        <w:tc>
          <w:tcPr>
            <w:tcW w:w="3780" w:type="dxa"/>
            <w:vAlign w:val="top"/>
          </w:tcPr>
          <w:p w:rsidR="00A20E93" w:rsidRPr="009620D9" w:rsidRDefault="00ED208B" w:rsidP="00FA60F8">
            <w:pPr>
              <w:pStyle w:val="TableText"/>
              <w:spacing w:before="120" w:after="60"/>
            </w:pPr>
            <w:r>
              <w:t xml:space="preserve">Three weeks </w:t>
            </w:r>
            <w:r w:rsidR="00FA60F8">
              <w:t>after delivery of briefing</w:t>
            </w:r>
          </w:p>
        </w:tc>
      </w:tr>
      <w:tr w:rsidR="00A20E93" w:rsidRPr="009620D9" w:rsidTr="00476737">
        <w:tc>
          <w:tcPr>
            <w:tcW w:w="3798" w:type="dxa"/>
          </w:tcPr>
          <w:p w:rsidR="00A20E93" w:rsidRPr="009620D9" w:rsidRDefault="00A20E93" w:rsidP="00476737">
            <w:pPr>
              <w:pStyle w:val="TableText"/>
              <w:spacing w:before="120" w:after="60"/>
            </w:pPr>
          </w:p>
        </w:tc>
        <w:tc>
          <w:tcPr>
            <w:tcW w:w="3780" w:type="dxa"/>
          </w:tcPr>
          <w:p w:rsidR="00A20E93" w:rsidRPr="009620D9" w:rsidRDefault="00A20E93" w:rsidP="00476737">
            <w:pPr>
              <w:pStyle w:val="TableText"/>
              <w:spacing w:before="120" w:after="60"/>
            </w:pPr>
          </w:p>
        </w:tc>
      </w:tr>
    </w:tbl>
    <w:p w:rsidR="009F2FAE" w:rsidRDefault="009F2FAE" w:rsidP="003423D3">
      <w:pPr>
        <w:rPr>
          <w:rFonts w:ascii="Calibri" w:hAnsi="Calibri"/>
        </w:rPr>
      </w:pPr>
    </w:p>
    <w:p w:rsidR="00AA625C" w:rsidRPr="00C1356C" w:rsidRDefault="005E78AF" w:rsidP="00AA625C">
      <w:pPr>
        <w:pStyle w:val="NormalSS"/>
      </w:pPr>
      <w:r w:rsidRPr="00C1356C">
        <w:t xml:space="preserve">Before </w:t>
      </w:r>
      <w:r w:rsidR="00C94845">
        <w:t>data</w:t>
      </w:r>
      <w:r w:rsidRPr="00C1356C">
        <w:t xml:space="preserve"> analysis begins, </w:t>
      </w:r>
      <w:r w:rsidR="005E2941">
        <w:t>Mathematica</w:t>
      </w:r>
      <w:r w:rsidRPr="00C1356C">
        <w:t xml:space="preserve"> will produce a cleaned data file and</w:t>
      </w:r>
      <w:r w:rsidR="009620D9">
        <w:t xml:space="preserve"> data dictionary for the analyse</w:t>
      </w:r>
      <w:r w:rsidRPr="00C1356C">
        <w:t>s</w:t>
      </w:r>
      <w:r w:rsidR="00B92C98">
        <w:t xml:space="preserve">. </w:t>
      </w:r>
      <w:r w:rsidR="009620D9">
        <w:t>The analyse</w:t>
      </w:r>
      <w:r w:rsidRPr="00C1356C">
        <w:t xml:space="preserve">s will </w:t>
      </w:r>
      <w:r w:rsidR="00AA625C">
        <w:t>involve generation of t</w:t>
      </w:r>
      <w:r w:rsidRPr="00476737">
        <w:t xml:space="preserve">ables showing </w:t>
      </w:r>
      <w:proofErr w:type="spellStart"/>
      <w:r w:rsidRPr="00476737">
        <w:t>univariate</w:t>
      </w:r>
      <w:proofErr w:type="spellEnd"/>
      <w:r w:rsidRPr="00476737">
        <w:t xml:space="preserve"> and bivariate distributions for </w:t>
      </w:r>
      <w:r w:rsidR="00B92C98" w:rsidRPr="00476737">
        <w:t xml:space="preserve">each survey item by </w:t>
      </w:r>
      <w:r w:rsidRPr="00476737">
        <w:t>key variables</w:t>
      </w:r>
      <w:r w:rsidR="00B92C98" w:rsidRPr="00476737">
        <w:t>, such as respondent type</w:t>
      </w:r>
      <w:r w:rsidRPr="00476737">
        <w:t xml:space="preserve">. For example, a table could show </w:t>
      </w:r>
      <w:r w:rsidR="00B92C98" w:rsidRPr="00476737">
        <w:t xml:space="preserve">the </w:t>
      </w:r>
      <w:r w:rsidRPr="00476737">
        <w:t xml:space="preserve">percentage of </w:t>
      </w:r>
      <w:r w:rsidR="00B92C98" w:rsidRPr="00476737">
        <w:t xml:space="preserve">clinicians, clinical supervisors, and </w:t>
      </w:r>
      <w:r w:rsidR="002D4175">
        <w:t>consumer</w:t>
      </w:r>
      <w:r w:rsidR="00B92C98" w:rsidRPr="00476737">
        <w:t>s</w:t>
      </w:r>
      <w:r w:rsidRPr="00476737">
        <w:t xml:space="preserve"> </w:t>
      </w:r>
      <w:r w:rsidR="00B92C98" w:rsidRPr="00476737">
        <w:t xml:space="preserve">who </w:t>
      </w:r>
      <w:r w:rsidRPr="00476737">
        <w:t>indicate</w:t>
      </w:r>
      <w:r w:rsidR="00B92C98" w:rsidRPr="00476737">
        <w:t>d</w:t>
      </w:r>
      <w:r w:rsidRPr="00476737">
        <w:t xml:space="preserve"> that </w:t>
      </w:r>
      <w:r w:rsidR="00B92C98" w:rsidRPr="00476737">
        <w:t xml:space="preserve">the clinician “discussed the client’s treatment expectations.” </w:t>
      </w:r>
      <w:r w:rsidR="00AA625C" w:rsidRPr="00C1356C">
        <w:t xml:space="preserve">In presenting the results of </w:t>
      </w:r>
      <w:r w:rsidR="005E2941">
        <w:t>the</w:t>
      </w:r>
      <w:r w:rsidR="00AA625C" w:rsidRPr="00C1356C">
        <w:t xml:space="preserve"> analyses, </w:t>
      </w:r>
      <w:r w:rsidR="005E2941">
        <w:t>the</w:t>
      </w:r>
      <w:r w:rsidR="00AA625C" w:rsidRPr="00C1356C">
        <w:t xml:space="preserve"> limitations </w:t>
      </w:r>
      <w:r w:rsidR="00AA625C">
        <w:t>of this data collection effort</w:t>
      </w:r>
      <w:r w:rsidR="005E2941">
        <w:t xml:space="preserve"> will be acknowledged</w:t>
      </w:r>
      <w:r w:rsidR="00AA625C">
        <w:t xml:space="preserve">. </w:t>
      </w:r>
    </w:p>
    <w:p w:rsidR="0003689D" w:rsidRDefault="007571F8">
      <w:pPr>
        <w:pStyle w:val="BulletBlackLastSS"/>
        <w:numPr>
          <w:ilvl w:val="0"/>
          <w:numId w:val="0"/>
        </w:numPr>
        <w:ind w:right="0" w:firstLine="432"/>
      </w:pPr>
      <w:r w:rsidRPr="00476737">
        <w:t xml:space="preserve">To inform survey revisions and future testing needs, </w:t>
      </w:r>
      <w:r w:rsidR="003D2456" w:rsidRPr="00476737">
        <w:t xml:space="preserve">multiple </w:t>
      </w:r>
      <w:r w:rsidRPr="00476737">
        <w:t>analyses will be conducted to assess preliminary psychometric properties of the measures</w:t>
      </w:r>
      <w:r w:rsidR="00AA625C">
        <w:t xml:space="preserve">: </w:t>
      </w:r>
    </w:p>
    <w:p w:rsidR="0003689D" w:rsidRDefault="007571F8">
      <w:pPr>
        <w:pStyle w:val="Dash"/>
        <w:numPr>
          <w:ilvl w:val="0"/>
          <w:numId w:val="61"/>
        </w:numPr>
      </w:pPr>
      <w:r>
        <w:t>Preliminary reliability analyses will include a Kappa test to assess inter-rater agreement.</w:t>
      </w:r>
    </w:p>
    <w:p w:rsidR="0003689D" w:rsidRDefault="007571F8">
      <w:pPr>
        <w:pStyle w:val="Dash"/>
        <w:numPr>
          <w:ilvl w:val="0"/>
          <w:numId w:val="61"/>
        </w:numPr>
      </w:pPr>
      <w:r>
        <w:t xml:space="preserve">Preliminary validity analyses will include </w:t>
      </w:r>
      <w:r w:rsidR="00AA625C">
        <w:t xml:space="preserve">a </w:t>
      </w:r>
      <w:r>
        <w:t>calculati</w:t>
      </w:r>
      <w:r w:rsidR="00AA625C">
        <w:t xml:space="preserve">on of </w:t>
      </w:r>
      <w:r>
        <w:t>the surveys’ sensitivity and specificity.</w:t>
      </w:r>
    </w:p>
    <w:p w:rsidR="0003689D" w:rsidRDefault="007571F8">
      <w:pPr>
        <w:pStyle w:val="DashLAST"/>
        <w:numPr>
          <w:ilvl w:val="0"/>
          <w:numId w:val="61"/>
        </w:numPr>
      </w:pPr>
      <w:r>
        <w:t xml:space="preserve">An exploratory factor analysis will examine </w:t>
      </w:r>
      <w:r w:rsidR="003D2456">
        <w:t xml:space="preserve">the constructs underlying the measures and </w:t>
      </w:r>
      <w:r w:rsidR="00AA625C">
        <w:t xml:space="preserve">explore </w:t>
      </w:r>
      <w:r w:rsidR="003D2456">
        <w:t>whether any survey items should be considered for removal.</w:t>
      </w:r>
    </w:p>
    <w:p w:rsidR="0003689D" w:rsidRDefault="00AA625C">
      <w:pPr>
        <w:pStyle w:val="BulletBlackLastSS"/>
        <w:numPr>
          <w:ilvl w:val="0"/>
          <w:numId w:val="0"/>
        </w:numPr>
        <w:ind w:right="0" w:firstLine="432"/>
      </w:pPr>
      <w:r>
        <w:t>T</w:t>
      </w:r>
      <w:r w:rsidR="003D2456">
        <w:t>o inform ap</w:t>
      </w:r>
      <w:r w:rsidR="00471526">
        <w:t>proaches to scoring the measure</w:t>
      </w:r>
      <w:r>
        <w:t>, exploratory analyses will examine</w:t>
      </w:r>
      <w:r w:rsidR="003D2456">
        <w:t xml:space="preserve"> the percentage of clinicians who would “pass” the measure at various thresholds.</w:t>
      </w:r>
    </w:p>
    <w:p w:rsidR="00BF6F52" w:rsidRPr="00494165" w:rsidRDefault="00403AF4" w:rsidP="00476737">
      <w:pPr>
        <w:pStyle w:val="Heading3"/>
      </w:pPr>
      <w:bookmarkStart w:id="19" w:name="_Toc361303721"/>
      <w:r>
        <w:t>A17</w:t>
      </w:r>
      <w:r w:rsidR="00494165">
        <w:t>.</w:t>
      </w:r>
      <w:r>
        <w:t xml:space="preserve"> </w:t>
      </w:r>
      <w:r w:rsidR="00476737">
        <w:tab/>
      </w:r>
      <w:r w:rsidR="00BF6F52" w:rsidRPr="00494165">
        <w:t>Reason(s) Display of OMB Expiration Date is Inappropriate</w:t>
      </w:r>
      <w:bookmarkEnd w:id="19"/>
    </w:p>
    <w:p w:rsidR="002D575A" w:rsidRPr="00492A85" w:rsidRDefault="009F2FAE" w:rsidP="00476737">
      <w:pPr>
        <w:pStyle w:val="NormalSS"/>
      </w:pPr>
      <w:r w:rsidRPr="00492A85">
        <w:t>ASPE does not seek this</w:t>
      </w:r>
      <w:r w:rsidR="002D575A" w:rsidRPr="00492A85">
        <w:t xml:space="preserve"> exemption.</w:t>
      </w:r>
    </w:p>
    <w:p w:rsidR="00BF6F52" w:rsidRPr="00494165" w:rsidRDefault="00403AF4" w:rsidP="00476737">
      <w:pPr>
        <w:pStyle w:val="Heading3"/>
      </w:pPr>
      <w:bookmarkStart w:id="20" w:name="_Toc361303722"/>
      <w:r>
        <w:t>A</w:t>
      </w:r>
      <w:r w:rsidR="007B289D" w:rsidRPr="00494165">
        <w:t>1</w:t>
      </w:r>
      <w:r>
        <w:t>8</w:t>
      </w:r>
      <w:r w:rsidR="00494165" w:rsidRPr="00494165">
        <w:t>.</w:t>
      </w:r>
      <w:r>
        <w:t xml:space="preserve"> </w:t>
      </w:r>
      <w:r w:rsidR="00476737">
        <w:tab/>
      </w:r>
      <w:r w:rsidR="00BF6F52" w:rsidRPr="00494165">
        <w:t>Exceptions to Certification for Paperwork Reduction Act Submissions</w:t>
      </w:r>
      <w:bookmarkEnd w:id="20"/>
    </w:p>
    <w:p w:rsidR="0093569C" w:rsidRDefault="007B289D">
      <w:pPr>
        <w:pStyle w:val="NormalSS"/>
      </w:pPr>
      <w:r w:rsidRPr="00492A85">
        <w:t>There are no</w:t>
      </w:r>
      <w:r>
        <w:rPr>
          <w:rFonts w:ascii="Calibri" w:hAnsi="Calibri"/>
        </w:rPr>
        <w:t xml:space="preserve"> </w:t>
      </w:r>
      <w:r w:rsidRPr="00492A85">
        <w:t>exceptions to the certification.</w:t>
      </w:r>
      <w:r w:rsidR="00A15CFD">
        <w:br w:type="page"/>
      </w:r>
    </w:p>
    <w:p w:rsidR="00BF6F52" w:rsidRPr="007F21A2" w:rsidRDefault="0074671D" w:rsidP="00476737">
      <w:pPr>
        <w:pStyle w:val="NormalSS"/>
        <w:rPr>
          <w:b/>
        </w:rPr>
      </w:pPr>
      <w:r w:rsidRPr="007F21A2">
        <w:rPr>
          <w:b/>
        </w:rPr>
        <w:lastRenderedPageBreak/>
        <w:t>Attachments</w:t>
      </w:r>
    </w:p>
    <w:p w:rsidR="00064055" w:rsidRPr="007F21A2" w:rsidRDefault="001719CA">
      <w:pPr>
        <w:pStyle w:val="NormalSS"/>
        <w:numPr>
          <w:ilvl w:val="0"/>
          <w:numId w:val="47"/>
        </w:numPr>
        <w:tabs>
          <w:tab w:val="clear" w:pos="432"/>
        </w:tabs>
        <w:spacing w:after="0" w:line="276" w:lineRule="auto"/>
        <w:jc w:val="left"/>
      </w:pPr>
      <w:r>
        <w:t>Clinician’s survey of the delivery of e</w:t>
      </w:r>
      <w:r w:rsidR="0043506C" w:rsidRPr="007F21A2">
        <w:t>vidence</w:t>
      </w:r>
      <w:r w:rsidR="00603614">
        <w:t>-</w:t>
      </w:r>
      <w:r>
        <w:t>based p</w:t>
      </w:r>
      <w:r w:rsidR="0043506C" w:rsidRPr="007F21A2">
        <w:t xml:space="preserve">sychotherapy </w:t>
      </w:r>
    </w:p>
    <w:p w:rsidR="00064055" w:rsidRPr="007F21A2" w:rsidRDefault="001719CA">
      <w:pPr>
        <w:pStyle w:val="NormalSS"/>
        <w:numPr>
          <w:ilvl w:val="0"/>
          <w:numId w:val="47"/>
        </w:numPr>
        <w:tabs>
          <w:tab w:val="clear" w:pos="432"/>
        </w:tabs>
        <w:spacing w:after="0" w:line="276" w:lineRule="auto"/>
        <w:jc w:val="left"/>
      </w:pPr>
      <w:r>
        <w:t>Clinician s</w:t>
      </w:r>
      <w:r w:rsidR="0043506C" w:rsidRPr="007F21A2">
        <w:t>uper</w:t>
      </w:r>
      <w:r>
        <w:t>visor’s survey of the delivery of e</w:t>
      </w:r>
      <w:r w:rsidR="0043506C" w:rsidRPr="007F21A2">
        <w:t>vidence</w:t>
      </w:r>
      <w:r w:rsidR="00603614">
        <w:t>-</w:t>
      </w:r>
      <w:r>
        <w:t>based p</w:t>
      </w:r>
      <w:r w:rsidR="0043506C" w:rsidRPr="007F21A2">
        <w:t xml:space="preserve">sychotherapy </w:t>
      </w:r>
    </w:p>
    <w:p w:rsidR="00064055" w:rsidRPr="007F21A2" w:rsidRDefault="0043506C">
      <w:pPr>
        <w:pStyle w:val="NormalSS"/>
        <w:numPr>
          <w:ilvl w:val="0"/>
          <w:numId w:val="47"/>
        </w:numPr>
        <w:tabs>
          <w:tab w:val="clear" w:pos="432"/>
        </w:tabs>
        <w:spacing w:after="0" w:line="276" w:lineRule="auto"/>
        <w:jc w:val="left"/>
      </w:pPr>
      <w:r w:rsidRPr="007F21A2">
        <w:t xml:space="preserve">Consumer’s </w:t>
      </w:r>
      <w:r w:rsidR="001719CA">
        <w:t>survey of the delivery of e</w:t>
      </w:r>
      <w:r w:rsidR="001719CA" w:rsidRPr="007F21A2">
        <w:t>vidence</w:t>
      </w:r>
      <w:r w:rsidR="001719CA">
        <w:t>-based p</w:t>
      </w:r>
      <w:r w:rsidR="001719CA" w:rsidRPr="007F21A2">
        <w:t>sychotherapy</w:t>
      </w:r>
    </w:p>
    <w:p w:rsidR="006C00A4" w:rsidRPr="007F21A2" w:rsidRDefault="006C00A4" w:rsidP="006C0564">
      <w:pPr>
        <w:pStyle w:val="NormalSS"/>
        <w:numPr>
          <w:ilvl w:val="0"/>
          <w:numId w:val="47"/>
        </w:numPr>
        <w:tabs>
          <w:tab w:val="clear" w:pos="432"/>
        </w:tabs>
        <w:spacing w:after="0" w:line="276" w:lineRule="auto"/>
        <w:jc w:val="left"/>
      </w:pPr>
      <w:r w:rsidRPr="007F21A2">
        <w:t xml:space="preserve">Site </w:t>
      </w:r>
      <w:r w:rsidR="001719CA" w:rsidRPr="007F21A2">
        <w:t xml:space="preserve">coordinator’s </w:t>
      </w:r>
      <w:r w:rsidR="001719CA">
        <w:t>checklist</w:t>
      </w:r>
      <w:r w:rsidR="001719CA" w:rsidRPr="007F21A2">
        <w:t xml:space="preserve"> to obtain site</w:t>
      </w:r>
      <w:r w:rsidR="001719CA">
        <w:t>-</w:t>
      </w:r>
      <w:r w:rsidR="001719CA" w:rsidRPr="007F21A2">
        <w:t>of</w:t>
      </w:r>
      <w:r w:rsidR="001719CA">
        <w:t>-</w:t>
      </w:r>
      <w:r w:rsidR="001719CA" w:rsidRPr="007F21A2">
        <w:t>care characteristics  </w:t>
      </w:r>
    </w:p>
    <w:p w:rsidR="00064055" w:rsidRDefault="0043506C">
      <w:pPr>
        <w:pStyle w:val="NormalSS"/>
        <w:numPr>
          <w:ilvl w:val="0"/>
          <w:numId w:val="47"/>
        </w:numPr>
        <w:tabs>
          <w:tab w:val="clear" w:pos="432"/>
        </w:tabs>
        <w:spacing w:after="0" w:line="276" w:lineRule="auto"/>
        <w:jc w:val="left"/>
      </w:pPr>
      <w:r w:rsidRPr="007F21A2">
        <w:t xml:space="preserve">Site </w:t>
      </w:r>
      <w:r w:rsidR="001719CA" w:rsidRPr="007F21A2">
        <w:t xml:space="preserve">coordinator’s sample section abstraction form used </w:t>
      </w:r>
      <w:r w:rsidR="001719CA">
        <w:t>t</w:t>
      </w:r>
      <w:r w:rsidR="001719CA" w:rsidRPr="007F21A2">
        <w:t xml:space="preserve">o identify persons being treated </w:t>
      </w:r>
      <w:r w:rsidRPr="007F21A2">
        <w:t xml:space="preserve">for PTSD and </w:t>
      </w:r>
      <w:r w:rsidR="001719CA">
        <w:t>t</w:t>
      </w:r>
      <w:r w:rsidR="001719CA" w:rsidRPr="007F21A2">
        <w:t xml:space="preserve">heir </w:t>
      </w:r>
      <w:r w:rsidR="001719CA">
        <w:t>a</w:t>
      </w:r>
      <w:r w:rsidR="001719CA" w:rsidRPr="007F21A2">
        <w:t xml:space="preserve">ssociated </w:t>
      </w:r>
      <w:proofErr w:type="spellStart"/>
      <w:r w:rsidR="001719CA" w:rsidRPr="007F21A2">
        <w:t>ptsd</w:t>
      </w:r>
      <w:proofErr w:type="spellEnd"/>
      <w:r w:rsidR="001719CA" w:rsidRPr="007F21A2">
        <w:t xml:space="preserve"> clinician and clinician supervisor </w:t>
      </w:r>
    </w:p>
    <w:p w:rsidR="00D21CAC" w:rsidRDefault="00D21CAC" w:rsidP="00D21CAC">
      <w:pPr>
        <w:pStyle w:val="ListParagraph"/>
        <w:numPr>
          <w:ilvl w:val="0"/>
          <w:numId w:val="47"/>
        </w:numPr>
        <w:tabs>
          <w:tab w:val="clear" w:pos="432"/>
        </w:tabs>
        <w:spacing w:line="276" w:lineRule="auto"/>
        <w:contextualSpacing w:val="0"/>
        <w:jc w:val="left"/>
      </w:pPr>
      <w:r>
        <w:t>Clinician Demographics Questionnaire</w:t>
      </w:r>
    </w:p>
    <w:p w:rsidR="001E6D29" w:rsidRPr="007F21A2" w:rsidRDefault="001E6D29" w:rsidP="001E6D29">
      <w:pPr>
        <w:pStyle w:val="NormalSS"/>
        <w:numPr>
          <w:ilvl w:val="0"/>
          <w:numId w:val="47"/>
        </w:numPr>
        <w:tabs>
          <w:tab w:val="clear" w:pos="432"/>
        </w:tabs>
        <w:spacing w:after="0" w:line="276" w:lineRule="auto"/>
        <w:jc w:val="left"/>
      </w:pPr>
      <w:r w:rsidRPr="007F21A2">
        <w:t xml:space="preserve">Section 301 of </w:t>
      </w:r>
      <w:r w:rsidR="00603614">
        <w:t>t</w:t>
      </w:r>
      <w:r w:rsidRPr="007F21A2">
        <w:t>he Public Health Service Act [42 U.S.C. 241]</w:t>
      </w:r>
    </w:p>
    <w:p w:rsidR="001E6D29" w:rsidRPr="007F21A2" w:rsidRDefault="001E6D29" w:rsidP="001E6D29">
      <w:pPr>
        <w:pStyle w:val="NormalSS"/>
        <w:numPr>
          <w:ilvl w:val="0"/>
          <w:numId w:val="47"/>
        </w:numPr>
        <w:tabs>
          <w:tab w:val="clear" w:pos="432"/>
        </w:tabs>
        <w:spacing w:after="0" w:line="276" w:lineRule="auto"/>
        <w:jc w:val="left"/>
      </w:pPr>
      <w:r w:rsidRPr="007F21A2">
        <w:t>60</w:t>
      </w:r>
      <w:r w:rsidR="00603614">
        <w:t>-</w:t>
      </w:r>
      <w:r w:rsidRPr="007F21A2">
        <w:t xml:space="preserve">Day </w:t>
      </w:r>
      <w:r w:rsidR="001719CA" w:rsidRPr="007F21A2">
        <w:t>federal register notice</w:t>
      </w:r>
    </w:p>
    <w:p w:rsidR="00064055" w:rsidRDefault="0043506C">
      <w:pPr>
        <w:pStyle w:val="ListParagraph"/>
        <w:numPr>
          <w:ilvl w:val="0"/>
          <w:numId w:val="47"/>
        </w:numPr>
        <w:tabs>
          <w:tab w:val="clear" w:pos="432"/>
        </w:tabs>
        <w:spacing w:line="276" w:lineRule="auto"/>
        <w:contextualSpacing w:val="0"/>
        <w:jc w:val="left"/>
      </w:pPr>
      <w:r w:rsidRPr="007F21A2">
        <w:t xml:space="preserve">Project </w:t>
      </w:r>
      <w:r w:rsidR="001719CA" w:rsidRPr="007F21A2">
        <w:t>background/invitation to participate, and consumer participation consent forms</w:t>
      </w:r>
    </w:p>
    <w:p w:rsidR="00CA7A3B" w:rsidRDefault="006771FC">
      <w:pPr>
        <w:pStyle w:val="ListParagraph"/>
        <w:numPr>
          <w:ilvl w:val="0"/>
          <w:numId w:val="47"/>
        </w:numPr>
        <w:tabs>
          <w:tab w:val="clear" w:pos="432"/>
        </w:tabs>
        <w:spacing w:line="276" w:lineRule="auto"/>
        <w:contextualSpacing w:val="0"/>
        <w:jc w:val="left"/>
      </w:pPr>
      <w:r>
        <w:t xml:space="preserve">Site </w:t>
      </w:r>
      <w:r w:rsidR="001719CA">
        <w:t>recruitment document</w:t>
      </w:r>
    </w:p>
    <w:p w:rsidR="006771FC" w:rsidRDefault="006771FC">
      <w:pPr>
        <w:pStyle w:val="ListParagraph"/>
        <w:numPr>
          <w:ilvl w:val="0"/>
          <w:numId w:val="47"/>
        </w:numPr>
        <w:tabs>
          <w:tab w:val="clear" w:pos="432"/>
        </w:tabs>
        <w:spacing w:line="276" w:lineRule="auto"/>
        <w:contextualSpacing w:val="0"/>
        <w:jc w:val="left"/>
      </w:pPr>
      <w:r>
        <w:t xml:space="preserve">Project </w:t>
      </w:r>
      <w:r w:rsidR="001719CA">
        <w:t>description</w:t>
      </w:r>
    </w:p>
    <w:p w:rsidR="00D21CAC" w:rsidRDefault="00D21CAC" w:rsidP="00D21CAC">
      <w:pPr>
        <w:pStyle w:val="ListParagraph"/>
        <w:numPr>
          <w:ilvl w:val="0"/>
          <w:numId w:val="47"/>
        </w:numPr>
        <w:tabs>
          <w:tab w:val="clear" w:pos="432"/>
        </w:tabs>
        <w:spacing w:line="276" w:lineRule="auto"/>
        <w:contextualSpacing w:val="0"/>
        <w:jc w:val="left"/>
      </w:pPr>
      <w:r>
        <w:t xml:space="preserve">Site </w:t>
      </w:r>
      <w:r w:rsidR="001719CA">
        <w:t>coordinator reminder to clinicians</w:t>
      </w:r>
    </w:p>
    <w:p w:rsidR="0033106E" w:rsidRDefault="00276802">
      <w:pPr>
        <w:pStyle w:val="ListParagraph"/>
        <w:numPr>
          <w:ilvl w:val="0"/>
          <w:numId w:val="47"/>
        </w:numPr>
        <w:tabs>
          <w:tab w:val="clear" w:pos="432"/>
        </w:tabs>
        <w:spacing w:line="276" w:lineRule="auto"/>
        <w:contextualSpacing w:val="0"/>
        <w:jc w:val="left"/>
      </w:pPr>
      <w:r>
        <w:t xml:space="preserve">Supporting Statement A </w:t>
      </w:r>
      <w:r w:rsidR="001719CA">
        <w:t>references</w:t>
      </w:r>
    </w:p>
    <w:p w:rsidR="00D21CAC" w:rsidRDefault="001719CA" w:rsidP="00D21CAC">
      <w:pPr>
        <w:pStyle w:val="ListParagraph"/>
        <w:numPr>
          <w:ilvl w:val="0"/>
          <w:numId w:val="47"/>
        </w:numPr>
        <w:tabs>
          <w:tab w:val="clear" w:pos="432"/>
        </w:tabs>
        <w:spacing w:line="276" w:lineRule="auto"/>
        <w:contextualSpacing w:val="0"/>
        <w:jc w:val="left"/>
      </w:pPr>
      <w:r>
        <w:t>Supporting Statement B r</w:t>
      </w:r>
      <w:r w:rsidR="00D21CAC">
        <w:t>eferences</w:t>
      </w:r>
    </w:p>
    <w:p w:rsidR="00D21CAC" w:rsidRPr="007F21A2" w:rsidRDefault="00D21CAC" w:rsidP="00D21CAC">
      <w:pPr>
        <w:pStyle w:val="ListParagraph"/>
        <w:numPr>
          <w:ilvl w:val="0"/>
          <w:numId w:val="0"/>
        </w:numPr>
        <w:tabs>
          <w:tab w:val="clear" w:pos="432"/>
        </w:tabs>
        <w:spacing w:line="276" w:lineRule="auto"/>
        <w:ind w:left="720"/>
        <w:contextualSpacing w:val="0"/>
        <w:jc w:val="left"/>
      </w:pPr>
    </w:p>
    <w:sectPr w:rsidR="00D21CAC" w:rsidRPr="007F21A2" w:rsidSect="008E39A8">
      <w:footerReference w:type="default" r:id="rId14"/>
      <w:endnotePr>
        <w:numFmt w:val="decimal"/>
      </w:endnotePr>
      <w:pgSz w:w="12240" w:h="15840" w:code="1"/>
      <w:pgMar w:top="1440" w:right="1440" w:bottom="1440" w:left="1440" w:header="72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C2" w:rsidRDefault="00124EC2">
      <w:r>
        <w:separator/>
      </w:r>
    </w:p>
  </w:endnote>
  <w:endnote w:type="continuationSeparator" w:id="0">
    <w:p w:rsidR="00124EC2" w:rsidRDefault="0012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C2" w:rsidRDefault="00124EC2" w:rsidP="00D012D8">
    <w:pPr>
      <w:pStyle w:val="Footer"/>
      <w:spacing w:before="120"/>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49246"/>
      <w:docPartObj>
        <w:docPartGallery w:val="Page Numbers (Bottom of Page)"/>
        <w:docPartUnique/>
      </w:docPartObj>
    </w:sdtPr>
    <w:sdtEndPr/>
    <w:sdtContent>
      <w:p w:rsidR="00124EC2" w:rsidRDefault="00EA0C7D" w:rsidP="00D012D8">
        <w:pPr>
          <w:pStyle w:val="Footer"/>
          <w:spacing w:before="120"/>
          <w:ind w:firstLine="0"/>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49245"/>
      <w:docPartObj>
        <w:docPartGallery w:val="Page Numbers (Bottom of Page)"/>
        <w:docPartUnique/>
      </w:docPartObj>
    </w:sdtPr>
    <w:sdtEndPr/>
    <w:sdtContent>
      <w:p w:rsidR="00124EC2" w:rsidRDefault="00FB7059" w:rsidP="00D012D8">
        <w:pPr>
          <w:pStyle w:val="Footer"/>
          <w:spacing w:before="120"/>
          <w:ind w:firstLine="0"/>
          <w:jc w:val="center"/>
        </w:pPr>
        <w:r>
          <w:fldChar w:fldCharType="begin"/>
        </w:r>
        <w:r>
          <w:instrText xml:space="preserve"> PAGE   \* MERGEFORMAT </w:instrText>
        </w:r>
        <w:r>
          <w:fldChar w:fldCharType="separate"/>
        </w:r>
        <w:r w:rsidR="00EA0C7D">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C2" w:rsidRDefault="00124EC2">
      <w:r>
        <w:separator/>
      </w:r>
    </w:p>
  </w:footnote>
  <w:footnote w:type="continuationSeparator" w:id="0">
    <w:p w:rsidR="00124EC2" w:rsidRDefault="00124EC2">
      <w:r>
        <w:continuationSeparator/>
      </w:r>
    </w:p>
  </w:footnote>
  <w:footnote w:id="1">
    <w:p w:rsidR="00124EC2" w:rsidRPr="00600096" w:rsidRDefault="00124EC2" w:rsidP="00600096">
      <w:pPr>
        <w:pStyle w:val="CommentText"/>
        <w:spacing w:line="240" w:lineRule="auto"/>
        <w:rPr>
          <w:sz w:val="20"/>
        </w:rPr>
      </w:pPr>
      <w:r>
        <w:rPr>
          <w:rStyle w:val="FootnoteReference"/>
        </w:rPr>
        <w:footnoteRef/>
      </w:r>
      <w:r>
        <w:t xml:space="preserve"> </w:t>
      </w:r>
      <w:r w:rsidRPr="00600096">
        <w:rPr>
          <w:rFonts w:cs="Segoe Print"/>
          <w:sz w:val="20"/>
        </w:rPr>
        <w:t>U.S. Department</w:t>
      </w:r>
      <w:r>
        <w:rPr>
          <w:rFonts w:cs="Segoe Print"/>
          <w:sz w:val="20"/>
        </w:rPr>
        <w:t xml:space="preserve"> of Health and Human Services, “Introduction,” </w:t>
      </w:r>
    </w:p>
    <w:p w:rsidR="00124EC2" w:rsidRDefault="00124EC2">
      <w:pPr>
        <w:pStyle w:val="FootnoteText"/>
        <w:ind w:firstLine="0"/>
      </w:pPr>
      <w:r w:rsidRPr="0003689D">
        <w:t>http://www.hhs.gov/secretary/about/introduction.html</w:t>
      </w:r>
      <w:r>
        <w:t>, accessed October 24, 2013.</w:t>
      </w:r>
    </w:p>
  </w:footnote>
  <w:footnote w:id="2">
    <w:p w:rsidR="00124EC2" w:rsidRDefault="00124EC2">
      <w:pPr>
        <w:pStyle w:val="FootnoteText"/>
      </w:pPr>
      <w:r>
        <w:rPr>
          <w:rStyle w:val="FootnoteReference"/>
        </w:rPr>
        <w:footnoteRef/>
      </w:r>
      <w:r>
        <w:t xml:space="preserve"> </w:t>
      </w:r>
      <w:r w:rsidRPr="00600096">
        <w:rPr>
          <w:rFonts w:cs="Segoe Print"/>
          <w:szCs w:val="20"/>
        </w:rPr>
        <w:t>U.S. Department</w:t>
      </w:r>
      <w:r>
        <w:rPr>
          <w:rFonts w:cs="Segoe Print"/>
        </w:rPr>
        <w:t xml:space="preserve"> of Health and Human Services, “Goal 3: Advance the Health, Safety, and Well-Being of the American People,” </w:t>
      </w:r>
      <w:r w:rsidRPr="0003689D">
        <w:t>http://www.hhs.gov/secretary/about/goal3.html</w:t>
      </w:r>
      <w:r>
        <w:t>, accessed October 24, 2013.</w:t>
      </w:r>
    </w:p>
  </w:footnote>
  <w:footnote w:id="3">
    <w:p w:rsidR="00124EC2" w:rsidRDefault="00124EC2">
      <w:pPr>
        <w:pStyle w:val="FootnoteText"/>
      </w:pPr>
      <w:r>
        <w:rPr>
          <w:rStyle w:val="FootnoteReference"/>
        </w:rPr>
        <w:footnoteRef/>
      </w:r>
      <w:r>
        <w:t xml:space="preserve"> National Institute of Mental Health, “About NIMH,” </w:t>
      </w:r>
      <w:r w:rsidRPr="002A3A0F">
        <w:t>http://www.nimh.nih.gov/about/ind</w:t>
      </w:r>
      <w:r>
        <w:t>ex.shtml, accessed October 24, 2013.</w:t>
      </w:r>
    </w:p>
  </w:footnote>
  <w:footnote w:id="4">
    <w:p w:rsidR="00124EC2" w:rsidRDefault="00124EC2">
      <w:pPr>
        <w:pStyle w:val="FootnoteText"/>
      </w:pPr>
      <w:r>
        <w:rPr>
          <w:rStyle w:val="FootnoteReference"/>
        </w:rPr>
        <w:footnoteRef/>
      </w:r>
      <w:r>
        <w:t xml:space="preserve"> National Institute of Mental Health, “Strategic Objective 3: </w:t>
      </w:r>
      <w:r>
        <w:rPr>
          <w:bCs/>
          <w:szCs w:val="20"/>
        </w:rPr>
        <w:t>Develop New and Better Interventions f</w:t>
      </w:r>
      <w:r w:rsidRPr="001E4C12">
        <w:rPr>
          <w:bCs/>
          <w:szCs w:val="20"/>
        </w:rPr>
        <w:t xml:space="preserve">or Mental Disorders That Incorporate </w:t>
      </w:r>
      <w:r>
        <w:rPr>
          <w:bCs/>
          <w:szCs w:val="20"/>
        </w:rPr>
        <w:t>the Diverse Needs a</w:t>
      </w:r>
      <w:r w:rsidRPr="001E4C12">
        <w:rPr>
          <w:bCs/>
          <w:szCs w:val="20"/>
        </w:rPr>
        <w:t>nd Circumst</w:t>
      </w:r>
      <w:r>
        <w:rPr>
          <w:bCs/>
          <w:szCs w:val="20"/>
        </w:rPr>
        <w:t>ances o</w:t>
      </w:r>
      <w:r w:rsidRPr="001E4C12">
        <w:rPr>
          <w:bCs/>
          <w:szCs w:val="20"/>
        </w:rPr>
        <w:t xml:space="preserve">f People </w:t>
      </w:r>
      <w:r>
        <w:rPr>
          <w:bCs/>
          <w:szCs w:val="20"/>
        </w:rPr>
        <w:t>w</w:t>
      </w:r>
      <w:r w:rsidRPr="001E4C12">
        <w:rPr>
          <w:bCs/>
          <w:szCs w:val="20"/>
        </w:rPr>
        <w:t>ith Mental Illness,”</w:t>
      </w:r>
      <w:r>
        <w:rPr>
          <w:bCs/>
          <w:szCs w:val="20"/>
        </w:rPr>
        <w:t xml:space="preserve"> </w:t>
      </w:r>
      <w:r w:rsidRPr="0003689D">
        <w:t>http://www.nimh.nih.gov/about/strategic-planning-reports/index.shtml#strategic-objective3</w:t>
      </w:r>
      <w:r>
        <w:t>, accessed October 24, 2013.</w:t>
      </w:r>
    </w:p>
  </w:footnote>
  <w:footnote w:id="5">
    <w:p w:rsidR="00124EC2" w:rsidRDefault="00124EC2">
      <w:pPr>
        <w:pStyle w:val="FootnoteText"/>
        <w:jc w:val="left"/>
      </w:pPr>
      <w:r>
        <w:rPr>
          <w:rStyle w:val="FootnoteReference"/>
        </w:rPr>
        <w:footnoteRef/>
      </w:r>
      <w:r>
        <w:t xml:space="preserve"> White House, </w:t>
      </w:r>
      <w:r w:rsidRPr="00AA6473">
        <w:t>“</w:t>
      </w:r>
      <w:r>
        <w:t xml:space="preserve">Fact Sheet: </w:t>
      </w:r>
      <w:r w:rsidRPr="00AA6473">
        <w:t>President Obama Signs Executive Order</w:t>
      </w:r>
      <w:r>
        <w:t xml:space="preserve"> to Improve Access to Mental Health Services for Veterans, Services Members, and Military Families,</w:t>
      </w:r>
      <w:r w:rsidRPr="00AA6473">
        <w:t>” Aug</w:t>
      </w:r>
      <w:r>
        <w:t>ust</w:t>
      </w:r>
      <w:r w:rsidRPr="00AA6473">
        <w:t xml:space="preserve"> 31, 2012, </w:t>
      </w:r>
      <w:r w:rsidRPr="0003689D">
        <w:t>http://www.whitehouse.gov/the-press-office/2012/08/31/fact-sheet-president-obama-signs-executive-order-improve-access-mental-h</w:t>
      </w:r>
      <w:r>
        <w:t>, accessed October 24, 2013.</w:t>
      </w:r>
    </w:p>
  </w:footnote>
  <w:footnote w:id="6">
    <w:p w:rsidR="00124EC2" w:rsidRDefault="00124EC2">
      <w:pPr>
        <w:pStyle w:val="FootnoteText"/>
      </w:pPr>
      <w:r>
        <w:rPr>
          <w:rStyle w:val="FootnoteReference"/>
        </w:rPr>
        <w:footnoteRef/>
      </w:r>
      <w:r>
        <w:t xml:space="preserve"> The DSM V, released in May 2013, placed PTSD into a new class named trauma and stressor-related disorders.</w:t>
      </w:r>
    </w:p>
  </w:footnote>
  <w:footnote w:id="7">
    <w:p w:rsidR="00124EC2" w:rsidRDefault="00124EC2">
      <w:pPr>
        <w:pStyle w:val="FootnoteText"/>
      </w:pPr>
      <w:r>
        <w:rPr>
          <w:rStyle w:val="FootnoteReference"/>
        </w:rPr>
        <w:footnoteRef/>
      </w:r>
      <w:r>
        <w:t xml:space="preserve"> Not everyone who is exposed to a traumatic event develops PTSD.</w:t>
      </w:r>
    </w:p>
  </w:footnote>
  <w:footnote w:id="8">
    <w:p w:rsidR="00124EC2" w:rsidRDefault="00124EC2">
      <w:pPr>
        <w:pStyle w:val="FootnoteText"/>
      </w:pPr>
      <w:r>
        <w:rPr>
          <w:rStyle w:val="FootnoteReference"/>
        </w:rPr>
        <w:footnoteRef/>
      </w:r>
      <w:r>
        <w:t xml:space="preserve"> U.S. Department of Veteran Affairs, “Traumatic Brain Injury and PTSD,” December 20, 2011, </w:t>
      </w:r>
      <w:r w:rsidRPr="0003689D">
        <w:t>http://www.ptsd.va.gov/professional/pages/traumatic-brain-injury-ptsd.asp</w:t>
      </w:r>
      <w:r>
        <w:t>, accessed October 24, 2013.</w:t>
      </w:r>
    </w:p>
  </w:footnote>
  <w:footnote w:id="9">
    <w:p w:rsidR="00124EC2" w:rsidRDefault="00124EC2">
      <w:pPr>
        <w:pStyle w:val="FootnoteText"/>
      </w:pPr>
      <w:r>
        <w:rPr>
          <w:rStyle w:val="FootnoteReference"/>
        </w:rPr>
        <w:footnoteRef/>
      </w:r>
      <w:r>
        <w:t xml:space="preserve"> U.S. Department of Veteran Affairs, “PTSD and Physical Health,” December 20, 2011, </w:t>
      </w:r>
      <w:r w:rsidRPr="0003689D">
        <w:t>http://www.ptsd.va.gov/professional/pages/ptsd-physical-health.asp</w:t>
      </w:r>
      <w:r>
        <w:t>, accessed October 24, 2013.</w:t>
      </w:r>
    </w:p>
  </w:footnote>
  <w:footnote w:id="10">
    <w:p w:rsidR="00124EC2" w:rsidRDefault="00124EC2">
      <w:pPr>
        <w:pStyle w:val="FootnoteText"/>
      </w:pPr>
      <w:r>
        <w:rPr>
          <w:rStyle w:val="FootnoteReference"/>
        </w:rPr>
        <w:footnoteRef/>
      </w:r>
      <w:r>
        <w:t xml:space="preserve"> See </w:t>
      </w:r>
      <w:r w:rsidRPr="00BC5E02">
        <w:t>National Comorbidity Survey</w:t>
      </w:r>
      <w:r>
        <w:t xml:space="preserve">, </w:t>
      </w:r>
      <w:r w:rsidRPr="00BC5E02">
        <w:t xml:space="preserve">NCS-R </w:t>
      </w:r>
      <w:r>
        <w:t>A</w:t>
      </w:r>
      <w:r w:rsidRPr="00BC5E02">
        <w:t>ppendix Table 1</w:t>
      </w:r>
      <w:r>
        <w:t xml:space="preserve">, </w:t>
      </w:r>
      <w:r w:rsidRPr="00BC5E02">
        <w:t xml:space="preserve"> </w:t>
      </w:r>
      <w:r>
        <w:t>“</w:t>
      </w:r>
      <w:r w:rsidRPr="00BC5E02">
        <w:t xml:space="preserve">Lifetime </w:t>
      </w:r>
      <w:r>
        <w:t>P</w:t>
      </w:r>
      <w:r w:rsidRPr="00BC5E02">
        <w:t xml:space="preserve">revalence of DSM-IV/WMH-CIDI </w:t>
      </w:r>
      <w:r>
        <w:t>D</w:t>
      </w:r>
      <w:r w:rsidRPr="00BC5E02">
        <w:t xml:space="preserve">isorders by </w:t>
      </w:r>
      <w:r>
        <w:t>S</w:t>
      </w:r>
      <w:r w:rsidRPr="00BC5E02">
        <w:t xml:space="preserve">ex and </w:t>
      </w:r>
      <w:r>
        <w:t>C</w:t>
      </w:r>
      <w:r w:rsidRPr="00BC5E02">
        <w:t>ohort</w:t>
      </w:r>
      <w:r>
        <w:t xml:space="preserve">,” 2005, </w:t>
      </w:r>
      <w:r w:rsidRPr="0003689D">
        <w:t>http://www.hcp.med.harvard.edu/ncs/ftpdir/NCS-R_Lifetime_Prevalence_Estimates.pdf</w:t>
      </w:r>
      <w:r>
        <w:t xml:space="preserve">; and </w:t>
      </w:r>
      <w:r w:rsidRPr="00BC5E02">
        <w:t>National Comorbidity Survey</w:t>
      </w:r>
      <w:r>
        <w:t xml:space="preserve">, </w:t>
      </w:r>
      <w:r w:rsidRPr="00BC5E02">
        <w:t xml:space="preserve">NCS-R </w:t>
      </w:r>
      <w:r>
        <w:t>A</w:t>
      </w:r>
      <w:r w:rsidRPr="00BC5E02">
        <w:t>ppendix Table 2</w:t>
      </w:r>
      <w:r>
        <w:t>, “</w:t>
      </w:r>
      <w:r w:rsidRPr="00BC5E02">
        <w:t>Twelve-</w:t>
      </w:r>
      <w:r>
        <w:t>M</w:t>
      </w:r>
      <w:r w:rsidRPr="00BC5E02">
        <w:t xml:space="preserve">onth </w:t>
      </w:r>
      <w:r>
        <w:t>P</w:t>
      </w:r>
      <w:r w:rsidRPr="00BC5E02">
        <w:t xml:space="preserve">revalence of DSM-IV/WMH-CIDI </w:t>
      </w:r>
      <w:r>
        <w:t>D</w:t>
      </w:r>
      <w:r w:rsidRPr="00BC5E02">
        <w:t xml:space="preserve">isorders by </w:t>
      </w:r>
      <w:r>
        <w:t>S</w:t>
      </w:r>
      <w:r w:rsidRPr="00BC5E02">
        <w:t xml:space="preserve">ex and </w:t>
      </w:r>
      <w:r>
        <w:t>C</w:t>
      </w:r>
      <w:r w:rsidRPr="00BC5E02">
        <w:t>ohort</w:t>
      </w:r>
      <w:r>
        <w:t xml:space="preserve">,” 2005,  </w:t>
      </w:r>
      <w:r w:rsidRPr="0003689D">
        <w:t>http://www.hcp.med.harvard.edu/ncs/ftpdir/NCS-R_12-month_Prevalence_Estimates.pdf</w:t>
      </w:r>
      <w:r>
        <w:t>, both accessed October 24, 2005</w:t>
      </w:r>
      <w:r w:rsidRPr="00BC5E02">
        <w:t xml:space="preserve">. </w:t>
      </w:r>
    </w:p>
  </w:footnote>
  <w:footnote w:id="11">
    <w:p w:rsidR="00124EC2" w:rsidRDefault="00124EC2">
      <w:pPr>
        <w:pStyle w:val="FootnoteText"/>
      </w:pPr>
      <w:r>
        <w:rPr>
          <w:rStyle w:val="FootnoteReference"/>
        </w:rPr>
        <w:footnoteRef/>
      </w:r>
      <w:r>
        <w:t xml:space="preserve"> U.S. Department of Veteran Affairs, “How Common Is PTSD</w:t>
      </w:r>
      <w:proofErr w:type="gramStart"/>
      <w:r>
        <w:t>?,</w:t>
      </w:r>
      <w:proofErr w:type="gramEnd"/>
      <w:r>
        <w:t xml:space="preserve">” April 25, 2012, </w:t>
      </w:r>
      <w:r w:rsidRPr="0003689D">
        <w:t>http://www.ptsd.va.gov/public/pages/how-common-is-ptsd.asp</w:t>
      </w:r>
      <w:r>
        <w:t>, accessed October 24, 2013.</w:t>
      </w:r>
    </w:p>
  </w:footnote>
  <w:footnote w:id="12">
    <w:p w:rsidR="00124EC2" w:rsidRDefault="00124EC2">
      <w:pPr>
        <w:pStyle w:val="FootnoteText"/>
      </w:pPr>
      <w:r>
        <w:rPr>
          <w:rStyle w:val="FootnoteReference"/>
        </w:rPr>
        <w:footnoteRef/>
      </w:r>
      <w:r>
        <w:t xml:space="preserve"> Complete citations for all references are provided in Attachment 13.</w:t>
      </w:r>
    </w:p>
  </w:footnote>
  <w:footnote w:id="13">
    <w:p w:rsidR="00124EC2" w:rsidRDefault="00124EC2" w:rsidP="00047449">
      <w:pPr>
        <w:pStyle w:val="FootnoteText"/>
      </w:pPr>
      <w:r>
        <w:rPr>
          <w:rStyle w:val="FootnoteReference"/>
        </w:rPr>
        <w:footnoteRef/>
      </w:r>
      <w:r>
        <w:t xml:space="preserve"> </w:t>
      </w:r>
      <w:r w:rsidRPr="00047449">
        <w:t>For a recent synthesis of the evidence on PTSD treatment</w:t>
      </w:r>
      <w:r>
        <w:t>,</w:t>
      </w:r>
      <w:r w:rsidRPr="00047449">
        <w:t xml:space="preserve"> see </w:t>
      </w:r>
      <w:r>
        <w:t>Institute of Medicine (2012, c</w:t>
      </w:r>
      <w:r w:rsidRPr="00047449">
        <w:t>hap</w:t>
      </w:r>
      <w:r>
        <w:t>.</w:t>
      </w:r>
      <w:r w:rsidRPr="00047449">
        <w:t xml:space="preserve"> 7</w:t>
      </w:r>
      <w:r>
        <w:t>)</w:t>
      </w:r>
      <w:r w:rsidRPr="00047449">
        <w:t>.</w:t>
      </w:r>
    </w:p>
  </w:footnote>
  <w:footnote w:id="14">
    <w:p w:rsidR="00124EC2" w:rsidRDefault="00124EC2" w:rsidP="00FD5938">
      <w:pPr>
        <w:pStyle w:val="FootnoteText"/>
      </w:pPr>
      <w:r>
        <w:rPr>
          <w:rStyle w:val="FootnoteReference"/>
        </w:rPr>
        <w:footnoteRef/>
      </w:r>
      <w:r>
        <w:t xml:space="preserve"> ASPE prefers the term “consumer” to “patient” and will use this term throughout the text for individuals seeking treatment or being treated for PTSD.</w:t>
      </w:r>
    </w:p>
  </w:footnote>
  <w:footnote w:id="15">
    <w:p w:rsidR="00124EC2" w:rsidRPr="00712693" w:rsidRDefault="00124EC2" w:rsidP="00DE7374">
      <w:pPr>
        <w:spacing w:line="240" w:lineRule="auto"/>
        <w:jc w:val="left"/>
        <w:rPr>
          <w:sz w:val="20"/>
          <w:szCs w:val="20"/>
        </w:rPr>
      </w:pPr>
      <w:r>
        <w:rPr>
          <w:rStyle w:val="FootnoteReference"/>
        </w:rPr>
        <w:footnoteRef/>
      </w:r>
      <w:r>
        <w:t xml:space="preserve"> </w:t>
      </w:r>
      <w:r w:rsidRPr="00817105">
        <w:rPr>
          <w:sz w:val="20"/>
          <w:szCs w:val="20"/>
        </w:rPr>
        <w:t>The contractor used three main websites to conduct the search: National Guideline Clearinghouse (</w:t>
      </w:r>
      <w:r w:rsidRPr="0003689D">
        <w:rPr>
          <w:sz w:val="20"/>
          <w:szCs w:val="20"/>
        </w:rPr>
        <w:t>www.ngc.gov</w:t>
      </w:r>
      <w:r w:rsidRPr="00817105">
        <w:rPr>
          <w:sz w:val="20"/>
          <w:szCs w:val="20"/>
        </w:rPr>
        <w:t>), Guidelines International Network (</w:t>
      </w:r>
      <w:r w:rsidRPr="0003689D">
        <w:rPr>
          <w:sz w:val="20"/>
          <w:szCs w:val="20"/>
        </w:rPr>
        <w:t>www.g-i-n.net</w:t>
      </w:r>
      <w:r w:rsidRPr="00817105">
        <w:rPr>
          <w:sz w:val="20"/>
          <w:szCs w:val="20"/>
        </w:rPr>
        <w:t>), and PubMed (</w:t>
      </w:r>
      <w:r w:rsidRPr="0003689D">
        <w:rPr>
          <w:sz w:val="20"/>
          <w:szCs w:val="20"/>
        </w:rPr>
        <w:t>http://www.ncbi.nlm.nih.gov/pubmed/</w:t>
      </w:r>
      <w:r w:rsidRPr="00817105">
        <w:rPr>
          <w:sz w:val="20"/>
          <w:szCs w:val="20"/>
        </w:rPr>
        <w:t xml:space="preserve">). The search terms used included </w:t>
      </w:r>
      <w:r w:rsidRPr="00817105">
        <w:rPr>
          <w:i/>
          <w:sz w:val="20"/>
          <w:szCs w:val="20"/>
        </w:rPr>
        <w:t>psychology</w:t>
      </w:r>
      <w:r w:rsidRPr="00817105">
        <w:rPr>
          <w:sz w:val="20"/>
          <w:szCs w:val="20"/>
        </w:rPr>
        <w:t xml:space="preserve">, </w:t>
      </w:r>
      <w:r w:rsidRPr="00817105">
        <w:rPr>
          <w:i/>
          <w:sz w:val="20"/>
          <w:szCs w:val="20"/>
        </w:rPr>
        <w:t>psychiatry</w:t>
      </w:r>
      <w:r w:rsidRPr="00817105">
        <w:rPr>
          <w:sz w:val="20"/>
          <w:szCs w:val="20"/>
        </w:rPr>
        <w:t xml:space="preserve">, </w:t>
      </w:r>
      <w:r w:rsidRPr="00817105">
        <w:rPr>
          <w:i/>
          <w:sz w:val="20"/>
          <w:szCs w:val="20"/>
        </w:rPr>
        <w:t>adult and trauma</w:t>
      </w:r>
      <w:r w:rsidRPr="00817105">
        <w:rPr>
          <w:sz w:val="20"/>
          <w:szCs w:val="20"/>
        </w:rPr>
        <w:t xml:space="preserve">, </w:t>
      </w:r>
      <w:r w:rsidRPr="00817105">
        <w:rPr>
          <w:i/>
          <w:sz w:val="20"/>
          <w:szCs w:val="20"/>
        </w:rPr>
        <w:t>anxiety disorders</w:t>
      </w:r>
      <w:r w:rsidRPr="00817105">
        <w:rPr>
          <w:sz w:val="20"/>
          <w:szCs w:val="20"/>
        </w:rPr>
        <w:t xml:space="preserve">, and </w:t>
      </w:r>
      <w:r w:rsidRPr="00817105">
        <w:rPr>
          <w:i/>
          <w:sz w:val="20"/>
          <w:szCs w:val="20"/>
        </w:rPr>
        <w:t>stress</w:t>
      </w:r>
      <w:r>
        <w:rPr>
          <w:sz w:val="20"/>
          <w:szCs w:val="20"/>
        </w:rPr>
        <w:t>. The following s</w:t>
      </w:r>
      <w:r w:rsidRPr="00817105">
        <w:rPr>
          <w:sz w:val="20"/>
          <w:szCs w:val="20"/>
        </w:rPr>
        <w:t>even guidelines were found to be relevant to PTSD:</w:t>
      </w:r>
    </w:p>
    <w:p w:rsidR="00124EC2" w:rsidRDefault="00124EC2" w:rsidP="00712693">
      <w:pPr>
        <w:pStyle w:val="ListParagraph"/>
        <w:numPr>
          <w:ilvl w:val="0"/>
          <w:numId w:val="53"/>
        </w:numPr>
        <w:tabs>
          <w:tab w:val="clear" w:pos="432"/>
        </w:tabs>
        <w:spacing w:after="200" w:line="240" w:lineRule="auto"/>
        <w:jc w:val="left"/>
        <w:rPr>
          <w:sz w:val="20"/>
          <w:szCs w:val="20"/>
        </w:rPr>
      </w:pPr>
      <w:r w:rsidRPr="00817105">
        <w:rPr>
          <w:sz w:val="20"/>
          <w:szCs w:val="20"/>
        </w:rPr>
        <w:t>Australian Guidelines for the Treatment of Adults with Acute Stress Disorder and Posttraumatic Stress Disorder</w:t>
      </w:r>
    </w:p>
    <w:p w:rsidR="00124EC2" w:rsidRPr="00712693" w:rsidRDefault="00124EC2" w:rsidP="00B4662C">
      <w:pPr>
        <w:pStyle w:val="ListParagraph"/>
        <w:numPr>
          <w:ilvl w:val="0"/>
          <w:numId w:val="53"/>
        </w:numPr>
        <w:tabs>
          <w:tab w:val="clear" w:pos="432"/>
        </w:tabs>
        <w:spacing w:after="200" w:line="240" w:lineRule="auto"/>
        <w:jc w:val="left"/>
        <w:rPr>
          <w:sz w:val="20"/>
          <w:szCs w:val="20"/>
        </w:rPr>
      </w:pPr>
      <w:proofErr w:type="spellStart"/>
      <w:r w:rsidRPr="00712693">
        <w:rPr>
          <w:sz w:val="20"/>
          <w:szCs w:val="20"/>
        </w:rPr>
        <w:t>Bandelow</w:t>
      </w:r>
      <w:proofErr w:type="spellEnd"/>
      <w:r w:rsidRPr="00712693">
        <w:rPr>
          <w:sz w:val="20"/>
          <w:szCs w:val="20"/>
        </w:rPr>
        <w:t>, et al. World Federation of Societies of Biological Societies (WFSBP) Guidelines for Pharmacological Treatment of Anxiety, Obsessive-Compulsive and Post –Traumatic Stress Disorders—First Revision. The World Journal of Biological Psychiatry, 2008; 9(4): 248-312.</w:t>
      </w:r>
    </w:p>
    <w:p w:rsidR="00124EC2" w:rsidRPr="00712693" w:rsidRDefault="00124EC2" w:rsidP="00B4662C">
      <w:pPr>
        <w:pStyle w:val="ListParagraph"/>
        <w:numPr>
          <w:ilvl w:val="0"/>
          <w:numId w:val="53"/>
        </w:numPr>
        <w:tabs>
          <w:tab w:val="clear" w:pos="432"/>
        </w:tabs>
        <w:spacing w:after="200" w:line="240" w:lineRule="auto"/>
        <w:jc w:val="left"/>
        <w:rPr>
          <w:sz w:val="20"/>
          <w:szCs w:val="20"/>
        </w:rPr>
      </w:pPr>
      <w:r w:rsidRPr="00712693">
        <w:rPr>
          <w:sz w:val="20"/>
          <w:szCs w:val="20"/>
        </w:rPr>
        <w:t>Forbes, et al. A Guide to Guidelines for the Treatment of PTSD and Related Conditions. Journal of Traumatic Stress, 2010; 23(5): 537-552.</w:t>
      </w:r>
    </w:p>
    <w:p w:rsidR="00124EC2" w:rsidRPr="00712693" w:rsidRDefault="00124EC2" w:rsidP="00712693">
      <w:pPr>
        <w:pStyle w:val="ListParagraph"/>
        <w:numPr>
          <w:ilvl w:val="0"/>
          <w:numId w:val="53"/>
        </w:numPr>
        <w:tabs>
          <w:tab w:val="clear" w:pos="432"/>
        </w:tabs>
        <w:spacing w:after="200" w:line="240" w:lineRule="auto"/>
        <w:jc w:val="left"/>
        <w:rPr>
          <w:sz w:val="20"/>
          <w:szCs w:val="20"/>
        </w:rPr>
      </w:pPr>
      <w:r w:rsidRPr="00817105">
        <w:rPr>
          <w:sz w:val="20"/>
          <w:szCs w:val="20"/>
        </w:rPr>
        <w:t>Guideline Watch (March 2009): [APA] Practice Guideline for the Treatment of Patients with Acute Stress Disorder and Posttraumatic Stress Disorder</w:t>
      </w:r>
    </w:p>
    <w:p w:rsidR="00124EC2" w:rsidRPr="00712693" w:rsidRDefault="00124EC2" w:rsidP="00712693">
      <w:pPr>
        <w:pStyle w:val="ListParagraph"/>
        <w:numPr>
          <w:ilvl w:val="0"/>
          <w:numId w:val="53"/>
        </w:numPr>
        <w:tabs>
          <w:tab w:val="clear" w:pos="432"/>
        </w:tabs>
        <w:spacing w:after="200" w:line="240" w:lineRule="auto"/>
        <w:jc w:val="left"/>
        <w:rPr>
          <w:sz w:val="20"/>
          <w:szCs w:val="20"/>
        </w:rPr>
      </w:pPr>
      <w:r w:rsidRPr="00712693">
        <w:rPr>
          <w:sz w:val="20"/>
          <w:szCs w:val="20"/>
        </w:rPr>
        <w:t xml:space="preserve">National Institute for Clinical Excellence. The Management of PTSD in Adults and Children in Primary and Secondary Care, 2005. </w:t>
      </w:r>
    </w:p>
    <w:p w:rsidR="00124EC2" w:rsidRPr="00712693" w:rsidRDefault="00124EC2" w:rsidP="00B4662C">
      <w:pPr>
        <w:pStyle w:val="ListParagraph"/>
        <w:numPr>
          <w:ilvl w:val="0"/>
          <w:numId w:val="53"/>
        </w:numPr>
        <w:tabs>
          <w:tab w:val="clear" w:pos="432"/>
        </w:tabs>
        <w:spacing w:after="200" w:line="240" w:lineRule="auto"/>
        <w:jc w:val="left"/>
        <w:rPr>
          <w:sz w:val="20"/>
          <w:szCs w:val="20"/>
        </w:rPr>
      </w:pPr>
      <w:r w:rsidRPr="00817105">
        <w:rPr>
          <w:sz w:val="20"/>
          <w:szCs w:val="20"/>
        </w:rPr>
        <w:t xml:space="preserve">Second Edition of the International Society for Traumatic Stress Studies (ISTSS) </w:t>
      </w:r>
    </w:p>
    <w:p w:rsidR="00124EC2" w:rsidRPr="00712693" w:rsidRDefault="00124EC2" w:rsidP="00712693">
      <w:pPr>
        <w:pStyle w:val="ListParagraph"/>
        <w:numPr>
          <w:ilvl w:val="0"/>
          <w:numId w:val="53"/>
        </w:numPr>
        <w:tabs>
          <w:tab w:val="clear" w:pos="432"/>
        </w:tabs>
        <w:spacing w:after="200" w:line="240" w:lineRule="auto"/>
        <w:jc w:val="left"/>
        <w:rPr>
          <w:sz w:val="20"/>
          <w:szCs w:val="20"/>
        </w:rPr>
      </w:pPr>
      <w:r w:rsidRPr="00712693">
        <w:rPr>
          <w:sz w:val="20"/>
          <w:szCs w:val="20"/>
        </w:rPr>
        <w:t>VA/</w:t>
      </w:r>
      <w:proofErr w:type="spellStart"/>
      <w:r w:rsidRPr="00712693">
        <w:rPr>
          <w:sz w:val="20"/>
          <w:szCs w:val="20"/>
        </w:rPr>
        <w:t>DoD</w:t>
      </w:r>
      <w:proofErr w:type="spellEnd"/>
      <w:r w:rsidRPr="00712693">
        <w:rPr>
          <w:sz w:val="20"/>
          <w:szCs w:val="20"/>
        </w:rPr>
        <w:t xml:space="preserve"> Clinical Practice Guideline. Management of Post-Traumatic Stress, 2010. </w:t>
      </w:r>
    </w:p>
    <w:p w:rsidR="00124EC2" w:rsidRDefault="00124EC2">
      <w:pPr>
        <w:pStyle w:val="FootnoteText"/>
      </w:pPr>
    </w:p>
  </w:footnote>
  <w:footnote w:id="16">
    <w:p w:rsidR="00124EC2" w:rsidRDefault="00124EC2" w:rsidP="00276733">
      <w:pPr>
        <w:pStyle w:val="FootnoteText"/>
      </w:pPr>
      <w:r>
        <w:rPr>
          <w:rStyle w:val="FootnoteReference"/>
        </w:rPr>
        <w:footnoteRef/>
      </w:r>
      <w:r>
        <w:t xml:space="preserve">White House, </w:t>
      </w:r>
      <w:r w:rsidRPr="00AA6473">
        <w:t>“</w:t>
      </w:r>
      <w:r>
        <w:t xml:space="preserve">Fact Sheet: </w:t>
      </w:r>
      <w:r w:rsidRPr="00AA6473">
        <w:t>President Obama Signs Executive Order</w:t>
      </w:r>
      <w:r>
        <w:t xml:space="preserve"> to Improve Access to Mental Health Services for Veterans, Service Members, and Military Families,</w:t>
      </w:r>
      <w:r w:rsidRPr="00AA6473">
        <w:t>” Aug</w:t>
      </w:r>
      <w:r>
        <w:t>ust</w:t>
      </w:r>
      <w:r w:rsidRPr="00AA6473">
        <w:t xml:space="preserve"> 31, 2012, </w:t>
      </w:r>
      <w:r w:rsidRPr="002D1BCB">
        <w:t>http://www.whitehouse.gov/the-press-office/2012/08/31/fact-sheet-president-obama-signs-executive-order-improve-access-mental-h</w:t>
      </w:r>
      <w:r>
        <w:t>, accessed October 24, 2013.</w:t>
      </w:r>
    </w:p>
    <w:p w:rsidR="00124EC2" w:rsidRDefault="00124EC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52E5A5E"/>
    <w:multiLevelType w:val="hybridMultilevel"/>
    <w:tmpl w:val="2F9C0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D71C6"/>
    <w:multiLevelType w:val="hybridMultilevel"/>
    <w:tmpl w:val="99526FB8"/>
    <w:lvl w:ilvl="0" w:tplc="43C0853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B15E11"/>
    <w:multiLevelType w:val="hybridMultilevel"/>
    <w:tmpl w:val="DCD6B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11674EB6"/>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4FE3"/>
    <w:multiLevelType w:val="hybridMultilevel"/>
    <w:tmpl w:val="0F68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AEB6A28"/>
    <w:multiLevelType w:val="hybridMultilevel"/>
    <w:tmpl w:val="DB7E0FA6"/>
    <w:lvl w:ilvl="0" w:tplc="0D18C276">
      <w:start w:val="20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B1948CA"/>
    <w:multiLevelType w:val="hybridMultilevel"/>
    <w:tmpl w:val="A2CC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125339"/>
    <w:multiLevelType w:val="hybridMultilevel"/>
    <w:tmpl w:val="1118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5018AA"/>
    <w:multiLevelType w:val="hybridMultilevel"/>
    <w:tmpl w:val="BE707396"/>
    <w:lvl w:ilvl="0" w:tplc="AB6CD840">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299D3355"/>
    <w:multiLevelType w:val="hybridMultilevel"/>
    <w:tmpl w:val="67187C5C"/>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0D7BA8"/>
    <w:multiLevelType w:val="hybridMultilevel"/>
    <w:tmpl w:val="3AC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4572EA"/>
    <w:multiLevelType w:val="hybridMultilevel"/>
    <w:tmpl w:val="3D02E0E8"/>
    <w:lvl w:ilvl="0" w:tplc="04090001">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0">
    <w:nsid w:val="4068147B"/>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8F5C8E"/>
    <w:multiLevelType w:val="hybridMultilevel"/>
    <w:tmpl w:val="655CFE2C"/>
    <w:lvl w:ilvl="0" w:tplc="1BA845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4457771B"/>
    <w:multiLevelType w:val="hybridMultilevel"/>
    <w:tmpl w:val="2BE42D4C"/>
    <w:lvl w:ilvl="0" w:tplc="E78EB99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3">
    <w:nsid w:val="48D606F7"/>
    <w:multiLevelType w:val="hybridMultilevel"/>
    <w:tmpl w:val="2F9C0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5">
    <w:nsid w:val="4AEF016D"/>
    <w:multiLevelType w:val="hybridMultilevel"/>
    <w:tmpl w:val="30909460"/>
    <w:lvl w:ilvl="0" w:tplc="642ED60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7E2931"/>
    <w:multiLevelType w:val="hybridMultilevel"/>
    <w:tmpl w:val="E604D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05496A"/>
    <w:multiLevelType w:val="hybridMultilevel"/>
    <w:tmpl w:val="A314CD84"/>
    <w:lvl w:ilvl="0" w:tplc="ECA8A2BC">
      <w:start w:val="1"/>
      <w:numFmt w:val="decimal"/>
      <w:lvlText w:val="%1)"/>
      <w:lvlJc w:val="left"/>
      <w:pPr>
        <w:ind w:left="1080" w:hanging="360"/>
      </w:pPr>
      <w:rPr>
        <w:rFonts w:ascii="Garamond" w:eastAsia="Times New Roman" w:hAnsi="Garamond"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E695634"/>
    <w:multiLevelType w:val="hybridMultilevel"/>
    <w:tmpl w:val="A428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5F3420"/>
    <w:multiLevelType w:val="hybridMultilevel"/>
    <w:tmpl w:val="F73A2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312E35"/>
    <w:multiLevelType w:val="hybridMultilevel"/>
    <w:tmpl w:val="CF5A395C"/>
    <w:lvl w:ilvl="0" w:tplc="3EFEE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E23647"/>
    <w:multiLevelType w:val="hybridMultilevel"/>
    <w:tmpl w:val="15E8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0D30B9"/>
    <w:multiLevelType w:val="hybridMultilevel"/>
    <w:tmpl w:val="7E24B16E"/>
    <w:lvl w:ilvl="0" w:tplc="04090001">
      <w:start w:val="1"/>
      <w:numFmt w:val="bullet"/>
      <w:lvlText w:val=""/>
      <w:lvlJc w:val="left"/>
      <w:pPr>
        <w:ind w:left="1152" w:hanging="360"/>
      </w:pPr>
      <w:rPr>
        <w:rFonts w:ascii="Symbol" w:hAnsi="Symbol" w:hint="default"/>
      </w:rPr>
    </w:lvl>
    <w:lvl w:ilvl="1" w:tplc="11F8C52A">
      <w:numFmt w:val="bullet"/>
      <w:lvlText w:val="-"/>
      <w:lvlJc w:val="left"/>
      <w:pPr>
        <w:ind w:left="1872" w:hanging="360"/>
      </w:pPr>
      <w:rPr>
        <w:rFonts w:ascii="Times New Roman" w:eastAsia="Times New Roman"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DBC4B41"/>
    <w:multiLevelType w:val="hybridMultilevel"/>
    <w:tmpl w:val="92762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665C2666"/>
    <w:multiLevelType w:val="multilevel"/>
    <w:tmpl w:val="A7781B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nsid w:val="6D906AE2"/>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DF1B9B"/>
    <w:multiLevelType w:val="hybridMultilevel"/>
    <w:tmpl w:val="625A962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2">
    <w:nsid w:val="710F1FB0"/>
    <w:multiLevelType w:val="hybridMultilevel"/>
    <w:tmpl w:val="F3C090C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4A24B1D"/>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5">
    <w:nsid w:val="7501018E"/>
    <w:multiLevelType w:val="hybridMultilevel"/>
    <w:tmpl w:val="B86C7F32"/>
    <w:lvl w:ilvl="0" w:tplc="AB6CD8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nsid w:val="7D056D52"/>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F15059"/>
    <w:multiLevelType w:val="hybridMultilevel"/>
    <w:tmpl w:val="5CE4F450"/>
    <w:lvl w:ilvl="0" w:tplc="FAD691A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9">
    <w:nsid w:val="7FB77260"/>
    <w:multiLevelType w:val="hybridMultilevel"/>
    <w:tmpl w:val="0AACECE8"/>
    <w:lvl w:ilvl="0" w:tplc="04090011">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22"/>
  </w:num>
  <w:num w:numId="4">
    <w:abstractNumId w:val="21"/>
  </w:num>
  <w:num w:numId="5">
    <w:abstractNumId w:val="43"/>
  </w:num>
  <w:num w:numId="6">
    <w:abstractNumId w:val="58"/>
  </w:num>
  <w:num w:numId="7">
    <w:abstractNumId w:val="32"/>
  </w:num>
  <w:num w:numId="8">
    <w:abstractNumId w:val="39"/>
  </w:num>
  <w:num w:numId="9">
    <w:abstractNumId w:val="24"/>
  </w:num>
  <w:num w:numId="10">
    <w:abstractNumId w:val="18"/>
  </w:num>
  <w:num w:numId="11">
    <w:abstractNumId w:val="49"/>
  </w:num>
  <w:num w:numId="12">
    <w:abstractNumId w:val="34"/>
  </w:num>
  <w:num w:numId="13">
    <w:abstractNumId w:val="42"/>
  </w:num>
  <w:num w:numId="14">
    <w:abstractNumId w:val="54"/>
  </w:num>
  <w:num w:numId="15">
    <w:abstractNumId w:val="45"/>
  </w:num>
  <w:num w:numId="16">
    <w:abstractNumId w:val="13"/>
  </w:num>
  <w:num w:numId="17">
    <w:abstractNumId w:val="12"/>
  </w:num>
  <w:num w:numId="18">
    <w:abstractNumId w:val="56"/>
  </w:num>
  <w:num w:numId="19">
    <w:abstractNumId w:val="19"/>
  </w:num>
  <w:num w:numId="20">
    <w:abstractNumId w:val="26"/>
  </w:num>
  <w:num w:numId="21">
    <w:abstractNumId w:val="14"/>
  </w:num>
  <w:num w:numId="22">
    <w:abstractNumId w:val="46"/>
  </w:num>
  <w:num w:numId="23">
    <w:abstractNumId w:val="16"/>
  </w:num>
  <w:num w:numId="24">
    <w:abstractNumId w:val="4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47"/>
  </w:num>
  <w:num w:numId="36">
    <w:abstractNumId w:val="25"/>
  </w:num>
  <w:num w:numId="37">
    <w:abstractNumId w:val="51"/>
  </w:num>
  <w:num w:numId="38">
    <w:abstractNumId w:val="55"/>
  </w:num>
  <w:num w:numId="39">
    <w:abstractNumId w:val="2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1"/>
  </w:num>
  <w:num w:numId="43">
    <w:abstractNumId w:val="59"/>
  </w:num>
  <w:num w:numId="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37"/>
  </w:num>
  <w:num w:numId="47">
    <w:abstractNumId w:val="57"/>
  </w:num>
  <w:num w:numId="48">
    <w:abstractNumId w:val="17"/>
  </w:num>
  <w:num w:numId="49">
    <w:abstractNumId w:val="29"/>
  </w:num>
  <w:num w:numId="50">
    <w:abstractNumId w:val="30"/>
  </w:num>
  <w:num w:numId="51">
    <w:abstractNumId w:val="53"/>
  </w:num>
  <w:num w:numId="52">
    <w:abstractNumId w:val="50"/>
  </w:num>
  <w:num w:numId="53">
    <w:abstractNumId w:val="28"/>
  </w:num>
  <w:num w:numId="54">
    <w:abstractNumId w:val="10"/>
  </w:num>
  <w:num w:numId="55">
    <w:abstractNumId w:val="40"/>
  </w:num>
  <w:num w:numId="56">
    <w:abstractNumId w:val="36"/>
  </w:num>
  <w:num w:numId="57">
    <w:abstractNumId w:val="27"/>
  </w:num>
  <w:num w:numId="58">
    <w:abstractNumId w:val="20"/>
  </w:num>
  <w:num w:numId="59">
    <w:abstractNumId w:val="33"/>
  </w:num>
  <w:num w:numId="60">
    <w:abstractNumId w:val="31"/>
  </w:num>
  <w:num w:numId="61">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FD"/>
    <w:rsid w:val="0000029A"/>
    <w:rsid w:val="00000BDE"/>
    <w:rsid w:val="00000D85"/>
    <w:rsid w:val="00001C42"/>
    <w:rsid w:val="000045A8"/>
    <w:rsid w:val="00005DDF"/>
    <w:rsid w:val="00005E74"/>
    <w:rsid w:val="00005F93"/>
    <w:rsid w:val="00006131"/>
    <w:rsid w:val="00006433"/>
    <w:rsid w:val="00006C02"/>
    <w:rsid w:val="00007299"/>
    <w:rsid w:val="00011CEC"/>
    <w:rsid w:val="0001611C"/>
    <w:rsid w:val="00023792"/>
    <w:rsid w:val="0002572D"/>
    <w:rsid w:val="00031E21"/>
    <w:rsid w:val="0003216C"/>
    <w:rsid w:val="00035E9A"/>
    <w:rsid w:val="0003672D"/>
    <w:rsid w:val="0003689D"/>
    <w:rsid w:val="00042C2C"/>
    <w:rsid w:val="000434DC"/>
    <w:rsid w:val="000459EE"/>
    <w:rsid w:val="00046BDC"/>
    <w:rsid w:val="00047449"/>
    <w:rsid w:val="00050A9E"/>
    <w:rsid w:val="000552CE"/>
    <w:rsid w:val="00055731"/>
    <w:rsid w:val="00057EB9"/>
    <w:rsid w:val="000611FB"/>
    <w:rsid w:val="00061E1C"/>
    <w:rsid w:val="0006221B"/>
    <w:rsid w:val="00064055"/>
    <w:rsid w:val="000711AE"/>
    <w:rsid w:val="0008078C"/>
    <w:rsid w:val="000819A6"/>
    <w:rsid w:val="0008333C"/>
    <w:rsid w:val="00086A99"/>
    <w:rsid w:val="000908A2"/>
    <w:rsid w:val="00090F72"/>
    <w:rsid w:val="00094CC4"/>
    <w:rsid w:val="000967D0"/>
    <w:rsid w:val="000B1027"/>
    <w:rsid w:val="000C1D2F"/>
    <w:rsid w:val="000C2C97"/>
    <w:rsid w:val="000C381E"/>
    <w:rsid w:val="000C4CFB"/>
    <w:rsid w:val="000C5D87"/>
    <w:rsid w:val="000D122D"/>
    <w:rsid w:val="000D13EB"/>
    <w:rsid w:val="000D4B1B"/>
    <w:rsid w:val="000E04CE"/>
    <w:rsid w:val="000E0D36"/>
    <w:rsid w:val="000E33E9"/>
    <w:rsid w:val="000E38AF"/>
    <w:rsid w:val="000E48B1"/>
    <w:rsid w:val="000E58DA"/>
    <w:rsid w:val="000E5CA7"/>
    <w:rsid w:val="000E6197"/>
    <w:rsid w:val="000E6689"/>
    <w:rsid w:val="000F118B"/>
    <w:rsid w:val="000F1BD8"/>
    <w:rsid w:val="000F2B7C"/>
    <w:rsid w:val="000F4718"/>
    <w:rsid w:val="000F728B"/>
    <w:rsid w:val="00100EBC"/>
    <w:rsid w:val="0010219A"/>
    <w:rsid w:val="001031A2"/>
    <w:rsid w:val="00104522"/>
    <w:rsid w:val="00105827"/>
    <w:rsid w:val="00105843"/>
    <w:rsid w:val="00111778"/>
    <w:rsid w:val="00113641"/>
    <w:rsid w:val="00114698"/>
    <w:rsid w:val="0011785A"/>
    <w:rsid w:val="00120AF1"/>
    <w:rsid w:val="00120D08"/>
    <w:rsid w:val="00122D08"/>
    <w:rsid w:val="001244EF"/>
    <w:rsid w:val="00124EC2"/>
    <w:rsid w:val="00125EE1"/>
    <w:rsid w:val="00132A76"/>
    <w:rsid w:val="0014012E"/>
    <w:rsid w:val="0014021A"/>
    <w:rsid w:val="00140CEC"/>
    <w:rsid w:val="0014322C"/>
    <w:rsid w:val="00150E24"/>
    <w:rsid w:val="001530F9"/>
    <w:rsid w:val="00153AA8"/>
    <w:rsid w:val="001553D6"/>
    <w:rsid w:val="001559E1"/>
    <w:rsid w:val="00156677"/>
    <w:rsid w:val="00156A8A"/>
    <w:rsid w:val="00156BF1"/>
    <w:rsid w:val="00157EBF"/>
    <w:rsid w:val="00162872"/>
    <w:rsid w:val="00167CB2"/>
    <w:rsid w:val="001700B6"/>
    <w:rsid w:val="00170E7D"/>
    <w:rsid w:val="001719CA"/>
    <w:rsid w:val="00173342"/>
    <w:rsid w:val="00173717"/>
    <w:rsid w:val="001755E7"/>
    <w:rsid w:val="0017637A"/>
    <w:rsid w:val="00176764"/>
    <w:rsid w:val="00176A79"/>
    <w:rsid w:val="0018054D"/>
    <w:rsid w:val="00180D43"/>
    <w:rsid w:val="001836AA"/>
    <w:rsid w:val="00187A2D"/>
    <w:rsid w:val="00187FE8"/>
    <w:rsid w:val="001A124C"/>
    <w:rsid w:val="001A3EC1"/>
    <w:rsid w:val="001A4CFB"/>
    <w:rsid w:val="001A6717"/>
    <w:rsid w:val="001B4198"/>
    <w:rsid w:val="001B6356"/>
    <w:rsid w:val="001C032E"/>
    <w:rsid w:val="001C0336"/>
    <w:rsid w:val="001C0D89"/>
    <w:rsid w:val="001C141A"/>
    <w:rsid w:val="001C3C9E"/>
    <w:rsid w:val="001C4037"/>
    <w:rsid w:val="001D043E"/>
    <w:rsid w:val="001D1744"/>
    <w:rsid w:val="001D1E8A"/>
    <w:rsid w:val="001D530C"/>
    <w:rsid w:val="001D59EF"/>
    <w:rsid w:val="001D6F31"/>
    <w:rsid w:val="001D781C"/>
    <w:rsid w:val="001E1F27"/>
    <w:rsid w:val="001E4946"/>
    <w:rsid w:val="001E4C12"/>
    <w:rsid w:val="001E5C39"/>
    <w:rsid w:val="001E6D29"/>
    <w:rsid w:val="001E6F5A"/>
    <w:rsid w:val="001E7CE1"/>
    <w:rsid w:val="001F2127"/>
    <w:rsid w:val="001F2DFA"/>
    <w:rsid w:val="00200B43"/>
    <w:rsid w:val="00200EAE"/>
    <w:rsid w:val="0020148B"/>
    <w:rsid w:val="00204CF0"/>
    <w:rsid w:val="00210D58"/>
    <w:rsid w:val="00214080"/>
    <w:rsid w:val="00217238"/>
    <w:rsid w:val="00224048"/>
    <w:rsid w:val="00226C78"/>
    <w:rsid w:val="00231202"/>
    <w:rsid w:val="0023324F"/>
    <w:rsid w:val="0023486A"/>
    <w:rsid w:val="00234CF5"/>
    <w:rsid w:val="00236A6C"/>
    <w:rsid w:val="00240D6A"/>
    <w:rsid w:val="002428DE"/>
    <w:rsid w:val="00242919"/>
    <w:rsid w:val="00242AC2"/>
    <w:rsid w:val="00247773"/>
    <w:rsid w:val="00247A6D"/>
    <w:rsid w:val="00250E85"/>
    <w:rsid w:val="0025111A"/>
    <w:rsid w:val="00256434"/>
    <w:rsid w:val="00257077"/>
    <w:rsid w:val="002611E7"/>
    <w:rsid w:val="002624EA"/>
    <w:rsid w:val="0026313D"/>
    <w:rsid w:val="002645C4"/>
    <w:rsid w:val="00264DB6"/>
    <w:rsid w:val="00265BA7"/>
    <w:rsid w:val="00266A91"/>
    <w:rsid w:val="00270A37"/>
    <w:rsid w:val="002719CE"/>
    <w:rsid w:val="00274DD3"/>
    <w:rsid w:val="00276733"/>
    <w:rsid w:val="00276802"/>
    <w:rsid w:val="00285D53"/>
    <w:rsid w:val="002877C5"/>
    <w:rsid w:val="00290A99"/>
    <w:rsid w:val="00292069"/>
    <w:rsid w:val="00295BE9"/>
    <w:rsid w:val="0029772E"/>
    <w:rsid w:val="002A0076"/>
    <w:rsid w:val="002A0BFB"/>
    <w:rsid w:val="002A31CD"/>
    <w:rsid w:val="002A3A0F"/>
    <w:rsid w:val="002A5113"/>
    <w:rsid w:val="002A63F4"/>
    <w:rsid w:val="002A7132"/>
    <w:rsid w:val="002B04B8"/>
    <w:rsid w:val="002B1E67"/>
    <w:rsid w:val="002B40EF"/>
    <w:rsid w:val="002B5325"/>
    <w:rsid w:val="002B6D44"/>
    <w:rsid w:val="002C0D03"/>
    <w:rsid w:val="002C17AA"/>
    <w:rsid w:val="002C3179"/>
    <w:rsid w:val="002C3F44"/>
    <w:rsid w:val="002C4678"/>
    <w:rsid w:val="002C70B3"/>
    <w:rsid w:val="002D1BCB"/>
    <w:rsid w:val="002D2B69"/>
    <w:rsid w:val="002D4175"/>
    <w:rsid w:val="002D549C"/>
    <w:rsid w:val="002D575A"/>
    <w:rsid w:val="002D5DB8"/>
    <w:rsid w:val="002D7C8B"/>
    <w:rsid w:val="002E4373"/>
    <w:rsid w:val="002E7AE6"/>
    <w:rsid w:val="002F05C3"/>
    <w:rsid w:val="002F1366"/>
    <w:rsid w:val="002F1BCE"/>
    <w:rsid w:val="002F65A1"/>
    <w:rsid w:val="00304B9D"/>
    <w:rsid w:val="003067BF"/>
    <w:rsid w:val="003071BD"/>
    <w:rsid w:val="00307DEC"/>
    <w:rsid w:val="00317F64"/>
    <w:rsid w:val="003215E3"/>
    <w:rsid w:val="00323478"/>
    <w:rsid w:val="00324EBF"/>
    <w:rsid w:val="00330613"/>
    <w:rsid w:val="0033106E"/>
    <w:rsid w:val="003344FE"/>
    <w:rsid w:val="00334B54"/>
    <w:rsid w:val="003353B5"/>
    <w:rsid w:val="00336003"/>
    <w:rsid w:val="00336670"/>
    <w:rsid w:val="00337511"/>
    <w:rsid w:val="003423D3"/>
    <w:rsid w:val="00342AEE"/>
    <w:rsid w:val="00346865"/>
    <w:rsid w:val="003475BD"/>
    <w:rsid w:val="00350E70"/>
    <w:rsid w:val="00352D69"/>
    <w:rsid w:val="00352E71"/>
    <w:rsid w:val="003534B6"/>
    <w:rsid w:val="003535A9"/>
    <w:rsid w:val="00355A04"/>
    <w:rsid w:val="003570EC"/>
    <w:rsid w:val="00360158"/>
    <w:rsid w:val="00361221"/>
    <w:rsid w:val="00362829"/>
    <w:rsid w:val="003639DF"/>
    <w:rsid w:val="0036436C"/>
    <w:rsid w:val="00365D91"/>
    <w:rsid w:val="00366A60"/>
    <w:rsid w:val="00371EC5"/>
    <w:rsid w:val="00372C21"/>
    <w:rsid w:val="00374366"/>
    <w:rsid w:val="00376733"/>
    <w:rsid w:val="00380FE5"/>
    <w:rsid w:val="00382255"/>
    <w:rsid w:val="00382D15"/>
    <w:rsid w:val="00383AA3"/>
    <w:rsid w:val="0038647E"/>
    <w:rsid w:val="0038675D"/>
    <w:rsid w:val="00387B23"/>
    <w:rsid w:val="00390B84"/>
    <w:rsid w:val="00391F57"/>
    <w:rsid w:val="00393118"/>
    <w:rsid w:val="00394FCC"/>
    <w:rsid w:val="003A011C"/>
    <w:rsid w:val="003A0FEC"/>
    <w:rsid w:val="003B10A6"/>
    <w:rsid w:val="003B12FC"/>
    <w:rsid w:val="003B5524"/>
    <w:rsid w:val="003B7F79"/>
    <w:rsid w:val="003C1676"/>
    <w:rsid w:val="003C217D"/>
    <w:rsid w:val="003C27F5"/>
    <w:rsid w:val="003C2CF8"/>
    <w:rsid w:val="003C5280"/>
    <w:rsid w:val="003C547A"/>
    <w:rsid w:val="003C7FEB"/>
    <w:rsid w:val="003D05CE"/>
    <w:rsid w:val="003D2456"/>
    <w:rsid w:val="003D2C26"/>
    <w:rsid w:val="003D482D"/>
    <w:rsid w:val="003E4C27"/>
    <w:rsid w:val="003E6423"/>
    <w:rsid w:val="003F50A1"/>
    <w:rsid w:val="003F5ACF"/>
    <w:rsid w:val="003F5EE3"/>
    <w:rsid w:val="00401884"/>
    <w:rsid w:val="004027AA"/>
    <w:rsid w:val="00402F1F"/>
    <w:rsid w:val="00403AF4"/>
    <w:rsid w:val="00404E3A"/>
    <w:rsid w:val="0040500D"/>
    <w:rsid w:val="004062F4"/>
    <w:rsid w:val="00414BD4"/>
    <w:rsid w:val="004150AE"/>
    <w:rsid w:val="00416CE3"/>
    <w:rsid w:val="004207D0"/>
    <w:rsid w:val="00420BBD"/>
    <w:rsid w:val="004217C4"/>
    <w:rsid w:val="00422191"/>
    <w:rsid w:val="00422C80"/>
    <w:rsid w:val="004236D2"/>
    <w:rsid w:val="00426972"/>
    <w:rsid w:val="004275DC"/>
    <w:rsid w:val="0043179A"/>
    <w:rsid w:val="00432CA1"/>
    <w:rsid w:val="00432EC9"/>
    <w:rsid w:val="0043506C"/>
    <w:rsid w:val="0043552C"/>
    <w:rsid w:val="00436AFD"/>
    <w:rsid w:val="00440831"/>
    <w:rsid w:val="00440A5B"/>
    <w:rsid w:val="00444C5E"/>
    <w:rsid w:val="00445A24"/>
    <w:rsid w:val="004503A8"/>
    <w:rsid w:val="00450557"/>
    <w:rsid w:val="00450C1A"/>
    <w:rsid w:val="00456478"/>
    <w:rsid w:val="00456C53"/>
    <w:rsid w:val="00465419"/>
    <w:rsid w:val="00466D2D"/>
    <w:rsid w:val="00471526"/>
    <w:rsid w:val="00473F53"/>
    <w:rsid w:val="00476737"/>
    <w:rsid w:val="00477991"/>
    <w:rsid w:val="00486468"/>
    <w:rsid w:val="004864C0"/>
    <w:rsid w:val="00487595"/>
    <w:rsid w:val="0048796B"/>
    <w:rsid w:val="00490B73"/>
    <w:rsid w:val="00490D95"/>
    <w:rsid w:val="00491FCF"/>
    <w:rsid w:val="00492A85"/>
    <w:rsid w:val="00492B08"/>
    <w:rsid w:val="00494165"/>
    <w:rsid w:val="00495B38"/>
    <w:rsid w:val="004961AF"/>
    <w:rsid w:val="004A3B03"/>
    <w:rsid w:val="004A6F7A"/>
    <w:rsid w:val="004A78DC"/>
    <w:rsid w:val="004C3585"/>
    <w:rsid w:val="004C44A8"/>
    <w:rsid w:val="004C61FB"/>
    <w:rsid w:val="004C7AEE"/>
    <w:rsid w:val="004D3E7F"/>
    <w:rsid w:val="004D4C71"/>
    <w:rsid w:val="004D5E3E"/>
    <w:rsid w:val="004E21A3"/>
    <w:rsid w:val="004E2218"/>
    <w:rsid w:val="004E46CC"/>
    <w:rsid w:val="004F043D"/>
    <w:rsid w:val="004F1E8D"/>
    <w:rsid w:val="004F4FBA"/>
    <w:rsid w:val="004F5071"/>
    <w:rsid w:val="004F58D7"/>
    <w:rsid w:val="004F5A08"/>
    <w:rsid w:val="004F7F11"/>
    <w:rsid w:val="00500CAD"/>
    <w:rsid w:val="0050120B"/>
    <w:rsid w:val="0050571F"/>
    <w:rsid w:val="005117FC"/>
    <w:rsid w:val="00512532"/>
    <w:rsid w:val="00516AD8"/>
    <w:rsid w:val="00520613"/>
    <w:rsid w:val="00522866"/>
    <w:rsid w:val="0052618E"/>
    <w:rsid w:val="00530C78"/>
    <w:rsid w:val="00532C16"/>
    <w:rsid w:val="00532F4A"/>
    <w:rsid w:val="00533FBC"/>
    <w:rsid w:val="00535A78"/>
    <w:rsid w:val="0053602F"/>
    <w:rsid w:val="0053660F"/>
    <w:rsid w:val="00536683"/>
    <w:rsid w:val="00536FFD"/>
    <w:rsid w:val="00541C58"/>
    <w:rsid w:val="0054388E"/>
    <w:rsid w:val="00545505"/>
    <w:rsid w:val="0054693C"/>
    <w:rsid w:val="00547209"/>
    <w:rsid w:val="005502BA"/>
    <w:rsid w:val="00551673"/>
    <w:rsid w:val="00553484"/>
    <w:rsid w:val="0056346C"/>
    <w:rsid w:val="00564F22"/>
    <w:rsid w:val="00565A77"/>
    <w:rsid w:val="00566A9F"/>
    <w:rsid w:val="00567A21"/>
    <w:rsid w:val="00570AF0"/>
    <w:rsid w:val="00581F92"/>
    <w:rsid w:val="00590137"/>
    <w:rsid w:val="00593CE4"/>
    <w:rsid w:val="0059567F"/>
    <w:rsid w:val="00595F40"/>
    <w:rsid w:val="005A0A39"/>
    <w:rsid w:val="005A137A"/>
    <w:rsid w:val="005A3839"/>
    <w:rsid w:val="005A38B3"/>
    <w:rsid w:val="005A4B84"/>
    <w:rsid w:val="005A525B"/>
    <w:rsid w:val="005A53CD"/>
    <w:rsid w:val="005A65D4"/>
    <w:rsid w:val="005A7966"/>
    <w:rsid w:val="005B3FAB"/>
    <w:rsid w:val="005B684E"/>
    <w:rsid w:val="005C1395"/>
    <w:rsid w:val="005C298F"/>
    <w:rsid w:val="005C461D"/>
    <w:rsid w:val="005C6540"/>
    <w:rsid w:val="005C7A23"/>
    <w:rsid w:val="005C7F2A"/>
    <w:rsid w:val="005D11C7"/>
    <w:rsid w:val="005D247D"/>
    <w:rsid w:val="005D2C2D"/>
    <w:rsid w:val="005E1344"/>
    <w:rsid w:val="005E17FA"/>
    <w:rsid w:val="005E2941"/>
    <w:rsid w:val="005E4121"/>
    <w:rsid w:val="005E4AA5"/>
    <w:rsid w:val="005E5703"/>
    <w:rsid w:val="005E579D"/>
    <w:rsid w:val="005E626E"/>
    <w:rsid w:val="005E78AF"/>
    <w:rsid w:val="005F7BA1"/>
    <w:rsid w:val="00600096"/>
    <w:rsid w:val="00602702"/>
    <w:rsid w:val="00603614"/>
    <w:rsid w:val="00603C53"/>
    <w:rsid w:val="00610C50"/>
    <w:rsid w:val="00612C98"/>
    <w:rsid w:val="006203A6"/>
    <w:rsid w:val="00620AB5"/>
    <w:rsid w:val="0062219A"/>
    <w:rsid w:val="006252C3"/>
    <w:rsid w:val="00625AD5"/>
    <w:rsid w:val="00627C98"/>
    <w:rsid w:val="006327CD"/>
    <w:rsid w:val="006349C7"/>
    <w:rsid w:val="006421B6"/>
    <w:rsid w:val="00643D8D"/>
    <w:rsid w:val="00644B9C"/>
    <w:rsid w:val="00645D57"/>
    <w:rsid w:val="006475CC"/>
    <w:rsid w:val="00647EAC"/>
    <w:rsid w:val="00650FE9"/>
    <w:rsid w:val="00653481"/>
    <w:rsid w:val="00653594"/>
    <w:rsid w:val="00655A9D"/>
    <w:rsid w:val="00662A79"/>
    <w:rsid w:val="00665311"/>
    <w:rsid w:val="00666443"/>
    <w:rsid w:val="0067021B"/>
    <w:rsid w:val="006729D5"/>
    <w:rsid w:val="006746CC"/>
    <w:rsid w:val="00675AA2"/>
    <w:rsid w:val="006771FC"/>
    <w:rsid w:val="006811AA"/>
    <w:rsid w:val="00681DC0"/>
    <w:rsid w:val="00684906"/>
    <w:rsid w:val="00686CD1"/>
    <w:rsid w:val="00690075"/>
    <w:rsid w:val="0069132B"/>
    <w:rsid w:val="00692F42"/>
    <w:rsid w:val="006975C6"/>
    <w:rsid w:val="006A1647"/>
    <w:rsid w:val="006A27B8"/>
    <w:rsid w:val="006B23BC"/>
    <w:rsid w:val="006B2A53"/>
    <w:rsid w:val="006B2D0F"/>
    <w:rsid w:val="006B2EF1"/>
    <w:rsid w:val="006B43A2"/>
    <w:rsid w:val="006B56F5"/>
    <w:rsid w:val="006B6A7D"/>
    <w:rsid w:val="006C00A4"/>
    <w:rsid w:val="006C0564"/>
    <w:rsid w:val="006C3232"/>
    <w:rsid w:val="006C4897"/>
    <w:rsid w:val="006C4A97"/>
    <w:rsid w:val="006C5CA5"/>
    <w:rsid w:val="006C5EF1"/>
    <w:rsid w:val="006C6640"/>
    <w:rsid w:val="006C6A67"/>
    <w:rsid w:val="006C6F7D"/>
    <w:rsid w:val="006D0E26"/>
    <w:rsid w:val="006D0EED"/>
    <w:rsid w:val="006D1B70"/>
    <w:rsid w:val="006D5B5B"/>
    <w:rsid w:val="006D5E9A"/>
    <w:rsid w:val="006D62F6"/>
    <w:rsid w:val="006D6C79"/>
    <w:rsid w:val="006E0496"/>
    <w:rsid w:val="006E05F6"/>
    <w:rsid w:val="006E4080"/>
    <w:rsid w:val="006E6111"/>
    <w:rsid w:val="006F15BA"/>
    <w:rsid w:val="006F41E2"/>
    <w:rsid w:val="00700108"/>
    <w:rsid w:val="00702D3C"/>
    <w:rsid w:val="0070332F"/>
    <w:rsid w:val="00703954"/>
    <w:rsid w:val="007050C8"/>
    <w:rsid w:val="00706865"/>
    <w:rsid w:val="00712693"/>
    <w:rsid w:val="0071322C"/>
    <w:rsid w:val="00713807"/>
    <w:rsid w:val="007146DB"/>
    <w:rsid w:val="00716335"/>
    <w:rsid w:val="0071720B"/>
    <w:rsid w:val="00722438"/>
    <w:rsid w:val="00723AA9"/>
    <w:rsid w:val="00723CCC"/>
    <w:rsid w:val="00733013"/>
    <w:rsid w:val="00734A60"/>
    <w:rsid w:val="00735446"/>
    <w:rsid w:val="0074033D"/>
    <w:rsid w:val="0074101C"/>
    <w:rsid w:val="0074303F"/>
    <w:rsid w:val="007432B5"/>
    <w:rsid w:val="00743B4F"/>
    <w:rsid w:val="00744D7F"/>
    <w:rsid w:val="0074671D"/>
    <w:rsid w:val="00746D57"/>
    <w:rsid w:val="007478CB"/>
    <w:rsid w:val="00751517"/>
    <w:rsid w:val="00752E74"/>
    <w:rsid w:val="007537EF"/>
    <w:rsid w:val="007562B5"/>
    <w:rsid w:val="007571F8"/>
    <w:rsid w:val="00757304"/>
    <w:rsid w:val="00761287"/>
    <w:rsid w:val="00762CBE"/>
    <w:rsid w:val="0076468E"/>
    <w:rsid w:val="00764DA6"/>
    <w:rsid w:val="007659B6"/>
    <w:rsid w:val="00766211"/>
    <w:rsid w:val="00766ACF"/>
    <w:rsid w:val="00771B7E"/>
    <w:rsid w:val="00772240"/>
    <w:rsid w:val="0077315D"/>
    <w:rsid w:val="007743DB"/>
    <w:rsid w:val="00785EDD"/>
    <w:rsid w:val="00790632"/>
    <w:rsid w:val="00791E03"/>
    <w:rsid w:val="007923AF"/>
    <w:rsid w:val="00797074"/>
    <w:rsid w:val="007A1B7A"/>
    <w:rsid w:val="007A3D20"/>
    <w:rsid w:val="007A4EC1"/>
    <w:rsid w:val="007B0C64"/>
    <w:rsid w:val="007B1451"/>
    <w:rsid w:val="007B289D"/>
    <w:rsid w:val="007B2A37"/>
    <w:rsid w:val="007B6630"/>
    <w:rsid w:val="007C1D53"/>
    <w:rsid w:val="007D1247"/>
    <w:rsid w:val="007D3360"/>
    <w:rsid w:val="007D4F40"/>
    <w:rsid w:val="007D5AF2"/>
    <w:rsid w:val="007D7697"/>
    <w:rsid w:val="007D7E02"/>
    <w:rsid w:val="007E14D4"/>
    <w:rsid w:val="007E173C"/>
    <w:rsid w:val="007F1B07"/>
    <w:rsid w:val="007F21A2"/>
    <w:rsid w:val="007F4E22"/>
    <w:rsid w:val="007F5907"/>
    <w:rsid w:val="007F6606"/>
    <w:rsid w:val="007F6615"/>
    <w:rsid w:val="007F7240"/>
    <w:rsid w:val="007F76BA"/>
    <w:rsid w:val="00801791"/>
    <w:rsid w:val="00805F7D"/>
    <w:rsid w:val="00810B0F"/>
    <w:rsid w:val="00811501"/>
    <w:rsid w:val="00815FB0"/>
    <w:rsid w:val="00817105"/>
    <w:rsid w:val="00822BFB"/>
    <w:rsid w:val="00825AF2"/>
    <w:rsid w:val="00826D03"/>
    <w:rsid w:val="00826EE6"/>
    <w:rsid w:val="008305F2"/>
    <w:rsid w:val="0083718D"/>
    <w:rsid w:val="00840DFF"/>
    <w:rsid w:val="00842D07"/>
    <w:rsid w:val="0084705A"/>
    <w:rsid w:val="00851CBC"/>
    <w:rsid w:val="0085226C"/>
    <w:rsid w:val="0085239B"/>
    <w:rsid w:val="008553A6"/>
    <w:rsid w:val="00856EB2"/>
    <w:rsid w:val="00867DE0"/>
    <w:rsid w:val="008734E7"/>
    <w:rsid w:val="00873F2D"/>
    <w:rsid w:val="008770F8"/>
    <w:rsid w:val="00880830"/>
    <w:rsid w:val="00884D39"/>
    <w:rsid w:val="00885000"/>
    <w:rsid w:val="0088731E"/>
    <w:rsid w:val="0089582A"/>
    <w:rsid w:val="00897C8A"/>
    <w:rsid w:val="00897D1A"/>
    <w:rsid w:val="008A1ED1"/>
    <w:rsid w:val="008B07F1"/>
    <w:rsid w:val="008B10B6"/>
    <w:rsid w:val="008B2CDB"/>
    <w:rsid w:val="008B3145"/>
    <w:rsid w:val="008B6B5D"/>
    <w:rsid w:val="008C349C"/>
    <w:rsid w:val="008C38A6"/>
    <w:rsid w:val="008C4B7C"/>
    <w:rsid w:val="008C7273"/>
    <w:rsid w:val="008D19B0"/>
    <w:rsid w:val="008D2233"/>
    <w:rsid w:val="008D5048"/>
    <w:rsid w:val="008D53AE"/>
    <w:rsid w:val="008D7D00"/>
    <w:rsid w:val="008E105C"/>
    <w:rsid w:val="008E2242"/>
    <w:rsid w:val="008E2376"/>
    <w:rsid w:val="008E39A8"/>
    <w:rsid w:val="008E57B9"/>
    <w:rsid w:val="008E5BAC"/>
    <w:rsid w:val="008F3165"/>
    <w:rsid w:val="008F3B7C"/>
    <w:rsid w:val="008F65CC"/>
    <w:rsid w:val="008F6BD0"/>
    <w:rsid w:val="00900C69"/>
    <w:rsid w:val="00903627"/>
    <w:rsid w:val="00904FA0"/>
    <w:rsid w:val="00910B2E"/>
    <w:rsid w:val="009127BE"/>
    <w:rsid w:val="00914BE6"/>
    <w:rsid w:val="00915EBB"/>
    <w:rsid w:val="00916649"/>
    <w:rsid w:val="0091693C"/>
    <w:rsid w:val="00920488"/>
    <w:rsid w:val="00921EAB"/>
    <w:rsid w:val="00930D18"/>
    <w:rsid w:val="009354E1"/>
    <w:rsid w:val="0093569C"/>
    <w:rsid w:val="00945368"/>
    <w:rsid w:val="00945422"/>
    <w:rsid w:val="00945A2A"/>
    <w:rsid w:val="00946CF5"/>
    <w:rsid w:val="00947251"/>
    <w:rsid w:val="0094757B"/>
    <w:rsid w:val="00950265"/>
    <w:rsid w:val="00952059"/>
    <w:rsid w:val="00953FCB"/>
    <w:rsid w:val="00953FDF"/>
    <w:rsid w:val="00954C4D"/>
    <w:rsid w:val="00954FA2"/>
    <w:rsid w:val="00955614"/>
    <w:rsid w:val="009557EA"/>
    <w:rsid w:val="00961CAA"/>
    <w:rsid w:val="009620D9"/>
    <w:rsid w:val="009643DD"/>
    <w:rsid w:val="00964498"/>
    <w:rsid w:val="009669D3"/>
    <w:rsid w:val="009671D4"/>
    <w:rsid w:val="00967741"/>
    <w:rsid w:val="009677DA"/>
    <w:rsid w:val="00970B54"/>
    <w:rsid w:val="0097119E"/>
    <w:rsid w:val="0097183A"/>
    <w:rsid w:val="00971CA7"/>
    <w:rsid w:val="00974BA8"/>
    <w:rsid w:val="00975126"/>
    <w:rsid w:val="009752AF"/>
    <w:rsid w:val="00976FB3"/>
    <w:rsid w:val="009777BB"/>
    <w:rsid w:val="00977F74"/>
    <w:rsid w:val="00980059"/>
    <w:rsid w:val="009829A0"/>
    <w:rsid w:val="009834C7"/>
    <w:rsid w:val="00983FFF"/>
    <w:rsid w:val="0098515C"/>
    <w:rsid w:val="009860CF"/>
    <w:rsid w:val="0099356E"/>
    <w:rsid w:val="00993829"/>
    <w:rsid w:val="00993B03"/>
    <w:rsid w:val="00994286"/>
    <w:rsid w:val="009957E6"/>
    <w:rsid w:val="00997805"/>
    <w:rsid w:val="009A1A1E"/>
    <w:rsid w:val="009A2359"/>
    <w:rsid w:val="009A2568"/>
    <w:rsid w:val="009A3791"/>
    <w:rsid w:val="009A4131"/>
    <w:rsid w:val="009B0739"/>
    <w:rsid w:val="009B162B"/>
    <w:rsid w:val="009B4E45"/>
    <w:rsid w:val="009B55DD"/>
    <w:rsid w:val="009B79D5"/>
    <w:rsid w:val="009C0A0D"/>
    <w:rsid w:val="009C2211"/>
    <w:rsid w:val="009C7B74"/>
    <w:rsid w:val="009D02C2"/>
    <w:rsid w:val="009D09C8"/>
    <w:rsid w:val="009D1ADA"/>
    <w:rsid w:val="009D59E5"/>
    <w:rsid w:val="009E0464"/>
    <w:rsid w:val="009E12BE"/>
    <w:rsid w:val="009E30F7"/>
    <w:rsid w:val="009E36A9"/>
    <w:rsid w:val="009E5269"/>
    <w:rsid w:val="009E7B3E"/>
    <w:rsid w:val="009F2382"/>
    <w:rsid w:val="009F2FAE"/>
    <w:rsid w:val="009F766A"/>
    <w:rsid w:val="00A01F13"/>
    <w:rsid w:val="00A03F6B"/>
    <w:rsid w:val="00A04445"/>
    <w:rsid w:val="00A10D0D"/>
    <w:rsid w:val="00A10E4A"/>
    <w:rsid w:val="00A11C35"/>
    <w:rsid w:val="00A13790"/>
    <w:rsid w:val="00A138CF"/>
    <w:rsid w:val="00A15CFD"/>
    <w:rsid w:val="00A1608C"/>
    <w:rsid w:val="00A20284"/>
    <w:rsid w:val="00A20518"/>
    <w:rsid w:val="00A20E93"/>
    <w:rsid w:val="00A236BE"/>
    <w:rsid w:val="00A31426"/>
    <w:rsid w:val="00A31903"/>
    <w:rsid w:val="00A33611"/>
    <w:rsid w:val="00A34860"/>
    <w:rsid w:val="00A35260"/>
    <w:rsid w:val="00A366C2"/>
    <w:rsid w:val="00A36F23"/>
    <w:rsid w:val="00A42402"/>
    <w:rsid w:val="00A430FF"/>
    <w:rsid w:val="00A45143"/>
    <w:rsid w:val="00A4558E"/>
    <w:rsid w:val="00A46206"/>
    <w:rsid w:val="00A51BA6"/>
    <w:rsid w:val="00A51BE2"/>
    <w:rsid w:val="00A54C37"/>
    <w:rsid w:val="00A55D93"/>
    <w:rsid w:val="00A56BDA"/>
    <w:rsid w:val="00A64F09"/>
    <w:rsid w:val="00A7038B"/>
    <w:rsid w:val="00A7078F"/>
    <w:rsid w:val="00A70FFA"/>
    <w:rsid w:val="00A738D1"/>
    <w:rsid w:val="00A75E30"/>
    <w:rsid w:val="00A81B60"/>
    <w:rsid w:val="00A82C2D"/>
    <w:rsid w:val="00A83500"/>
    <w:rsid w:val="00A85CAF"/>
    <w:rsid w:val="00A86948"/>
    <w:rsid w:val="00A91381"/>
    <w:rsid w:val="00A91E58"/>
    <w:rsid w:val="00A94A5F"/>
    <w:rsid w:val="00AA051D"/>
    <w:rsid w:val="00AA22BD"/>
    <w:rsid w:val="00AA4BB2"/>
    <w:rsid w:val="00AA625C"/>
    <w:rsid w:val="00AA6473"/>
    <w:rsid w:val="00AB6E45"/>
    <w:rsid w:val="00AB7B34"/>
    <w:rsid w:val="00AC4233"/>
    <w:rsid w:val="00AC4933"/>
    <w:rsid w:val="00AC65F2"/>
    <w:rsid w:val="00AC74ED"/>
    <w:rsid w:val="00AC7A2D"/>
    <w:rsid w:val="00AD0860"/>
    <w:rsid w:val="00AD2224"/>
    <w:rsid w:val="00AD42C8"/>
    <w:rsid w:val="00AE1074"/>
    <w:rsid w:val="00AE18F4"/>
    <w:rsid w:val="00AE1E19"/>
    <w:rsid w:val="00AE4238"/>
    <w:rsid w:val="00AE5FD2"/>
    <w:rsid w:val="00AE6338"/>
    <w:rsid w:val="00AF4925"/>
    <w:rsid w:val="00AF59C8"/>
    <w:rsid w:val="00B0182B"/>
    <w:rsid w:val="00B0202C"/>
    <w:rsid w:val="00B03A82"/>
    <w:rsid w:val="00B03EB7"/>
    <w:rsid w:val="00B10C87"/>
    <w:rsid w:val="00B13234"/>
    <w:rsid w:val="00B14FE5"/>
    <w:rsid w:val="00B15F26"/>
    <w:rsid w:val="00B21460"/>
    <w:rsid w:val="00B21EC2"/>
    <w:rsid w:val="00B2436F"/>
    <w:rsid w:val="00B26EC4"/>
    <w:rsid w:val="00B3040B"/>
    <w:rsid w:val="00B30966"/>
    <w:rsid w:val="00B35E81"/>
    <w:rsid w:val="00B36B3F"/>
    <w:rsid w:val="00B40866"/>
    <w:rsid w:val="00B41A43"/>
    <w:rsid w:val="00B4370A"/>
    <w:rsid w:val="00B43963"/>
    <w:rsid w:val="00B456C2"/>
    <w:rsid w:val="00B4662C"/>
    <w:rsid w:val="00B502E3"/>
    <w:rsid w:val="00B5178F"/>
    <w:rsid w:val="00B606F6"/>
    <w:rsid w:val="00B60AFC"/>
    <w:rsid w:val="00B63392"/>
    <w:rsid w:val="00B671AE"/>
    <w:rsid w:val="00B6720B"/>
    <w:rsid w:val="00B705DB"/>
    <w:rsid w:val="00B732A1"/>
    <w:rsid w:val="00B73F00"/>
    <w:rsid w:val="00B77E91"/>
    <w:rsid w:val="00B81595"/>
    <w:rsid w:val="00B81951"/>
    <w:rsid w:val="00B855EF"/>
    <w:rsid w:val="00B92C98"/>
    <w:rsid w:val="00B94A6E"/>
    <w:rsid w:val="00BA7BA9"/>
    <w:rsid w:val="00BB0333"/>
    <w:rsid w:val="00BB1C79"/>
    <w:rsid w:val="00BC03EA"/>
    <w:rsid w:val="00BC5A87"/>
    <w:rsid w:val="00BC5E02"/>
    <w:rsid w:val="00BD4F26"/>
    <w:rsid w:val="00BD6A90"/>
    <w:rsid w:val="00BE2F46"/>
    <w:rsid w:val="00BE30D8"/>
    <w:rsid w:val="00BE5984"/>
    <w:rsid w:val="00BE59F0"/>
    <w:rsid w:val="00BE6821"/>
    <w:rsid w:val="00BE7ECC"/>
    <w:rsid w:val="00BF1DC9"/>
    <w:rsid w:val="00BF3E30"/>
    <w:rsid w:val="00BF49A2"/>
    <w:rsid w:val="00BF533D"/>
    <w:rsid w:val="00BF6F52"/>
    <w:rsid w:val="00BF72BB"/>
    <w:rsid w:val="00C0427A"/>
    <w:rsid w:val="00C06198"/>
    <w:rsid w:val="00C13990"/>
    <w:rsid w:val="00C15016"/>
    <w:rsid w:val="00C16805"/>
    <w:rsid w:val="00C174C9"/>
    <w:rsid w:val="00C208D0"/>
    <w:rsid w:val="00C20CF9"/>
    <w:rsid w:val="00C2139F"/>
    <w:rsid w:val="00C234FB"/>
    <w:rsid w:val="00C256EB"/>
    <w:rsid w:val="00C25793"/>
    <w:rsid w:val="00C2636F"/>
    <w:rsid w:val="00C32488"/>
    <w:rsid w:val="00C32DD4"/>
    <w:rsid w:val="00C34ACF"/>
    <w:rsid w:val="00C365C1"/>
    <w:rsid w:val="00C407D1"/>
    <w:rsid w:val="00C437A6"/>
    <w:rsid w:val="00C44F85"/>
    <w:rsid w:val="00C50173"/>
    <w:rsid w:val="00C5214E"/>
    <w:rsid w:val="00C52477"/>
    <w:rsid w:val="00C5370C"/>
    <w:rsid w:val="00C55471"/>
    <w:rsid w:val="00C6067C"/>
    <w:rsid w:val="00C60CC0"/>
    <w:rsid w:val="00C61331"/>
    <w:rsid w:val="00C61A16"/>
    <w:rsid w:val="00C63D13"/>
    <w:rsid w:val="00C67725"/>
    <w:rsid w:val="00C67CCD"/>
    <w:rsid w:val="00C7247B"/>
    <w:rsid w:val="00C759E5"/>
    <w:rsid w:val="00C7736A"/>
    <w:rsid w:val="00C77800"/>
    <w:rsid w:val="00C8034D"/>
    <w:rsid w:val="00C8412A"/>
    <w:rsid w:val="00C870E2"/>
    <w:rsid w:val="00C87207"/>
    <w:rsid w:val="00C87683"/>
    <w:rsid w:val="00C93BEA"/>
    <w:rsid w:val="00C94845"/>
    <w:rsid w:val="00C96532"/>
    <w:rsid w:val="00CA275C"/>
    <w:rsid w:val="00CA5472"/>
    <w:rsid w:val="00CA6398"/>
    <w:rsid w:val="00CA7A3B"/>
    <w:rsid w:val="00CB1A8A"/>
    <w:rsid w:val="00CB2280"/>
    <w:rsid w:val="00CB404B"/>
    <w:rsid w:val="00CB5B98"/>
    <w:rsid w:val="00CC089A"/>
    <w:rsid w:val="00CC181A"/>
    <w:rsid w:val="00CC1E15"/>
    <w:rsid w:val="00CC409A"/>
    <w:rsid w:val="00CC46FA"/>
    <w:rsid w:val="00CC6F81"/>
    <w:rsid w:val="00CC7AC7"/>
    <w:rsid w:val="00CC7CFE"/>
    <w:rsid w:val="00CD1537"/>
    <w:rsid w:val="00CD1C8A"/>
    <w:rsid w:val="00CD2B38"/>
    <w:rsid w:val="00CD44AA"/>
    <w:rsid w:val="00CD6607"/>
    <w:rsid w:val="00CE2D14"/>
    <w:rsid w:val="00CE6C80"/>
    <w:rsid w:val="00CF0DBD"/>
    <w:rsid w:val="00CF0E60"/>
    <w:rsid w:val="00CF36FF"/>
    <w:rsid w:val="00D012D8"/>
    <w:rsid w:val="00D028AD"/>
    <w:rsid w:val="00D033F7"/>
    <w:rsid w:val="00D04212"/>
    <w:rsid w:val="00D13830"/>
    <w:rsid w:val="00D1795E"/>
    <w:rsid w:val="00D20FD3"/>
    <w:rsid w:val="00D21236"/>
    <w:rsid w:val="00D21CAC"/>
    <w:rsid w:val="00D22158"/>
    <w:rsid w:val="00D278F0"/>
    <w:rsid w:val="00D27CE6"/>
    <w:rsid w:val="00D30232"/>
    <w:rsid w:val="00D31137"/>
    <w:rsid w:val="00D324B0"/>
    <w:rsid w:val="00D3383C"/>
    <w:rsid w:val="00D35D80"/>
    <w:rsid w:val="00D36D4A"/>
    <w:rsid w:val="00D41574"/>
    <w:rsid w:val="00D42964"/>
    <w:rsid w:val="00D4436D"/>
    <w:rsid w:val="00D4491C"/>
    <w:rsid w:val="00D47CF4"/>
    <w:rsid w:val="00D51642"/>
    <w:rsid w:val="00D53F06"/>
    <w:rsid w:val="00D5568D"/>
    <w:rsid w:val="00D559D9"/>
    <w:rsid w:val="00D55D71"/>
    <w:rsid w:val="00D57751"/>
    <w:rsid w:val="00D66670"/>
    <w:rsid w:val="00D67C9B"/>
    <w:rsid w:val="00D70DF3"/>
    <w:rsid w:val="00D725AC"/>
    <w:rsid w:val="00D73323"/>
    <w:rsid w:val="00D737E8"/>
    <w:rsid w:val="00D73AF6"/>
    <w:rsid w:val="00D7475D"/>
    <w:rsid w:val="00D80BA0"/>
    <w:rsid w:val="00D822DA"/>
    <w:rsid w:val="00D84452"/>
    <w:rsid w:val="00D84CCB"/>
    <w:rsid w:val="00D90AC1"/>
    <w:rsid w:val="00D93253"/>
    <w:rsid w:val="00DA01A1"/>
    <w:rsid w:val="00DA227C"/>
    <w:rsid w:val="00DA4ECD"/>
    <w:rsid w:val="00DA632F"/>
    <w:rsid w:val="00DB017C"/>
    <w:rsid w:val="00DB06DB"/>
    <w:rsid w:val="00DB0AAC"/>
    <w:rsid w:val="00DB0E8B"/>
    <w:rsid w:val="00DB288B"/>
    <w:rsid w:val="00DB4DD3"/>
    <w:rsid w:val="00DB50E5"/>
    <w:rsid w:val="00DC1040"/>
    <w:rsid w:val="00DC54E1"/>
    <w:rsid w:val="00DC6577"/>
    <w:rsid w:val="00DC776E"/>
    <w:rsid w:val="00DD116E"/>
    <w:rsid w:val="00DD2398"/>
    <w:rsid w:val="00DD2E23"/>
    <w:rsid w:val="00DD4D05"/>
    <w:rsid w:val="00DD4FFC"/>
    <w:rsid w:val="00DD6DA6"/>
    <w:rsid w:val="00DE3960"/>
    <w:rsid w:val="00DE4B33"/>
    <w:rsid w:val="00DE7374"/>
    <w:rsid w:val="00DE7792"/>
    <w:rsid w:val="00DE7EBB"/>
    <w:rsid w:val="00DF22DC"/>
    <w:rsid w:val="00DF2A39"/>
    <w:rsid w:val="00DF7065"/>
    <w:rsid w:val="00E04564"/>
    <w:rsid w:val="00E06E13"/>
    <w:rsid w:val="00E10AFF"/>
    <w:rsid w:val="00E15381"/>
    <w:rsid w:val="00E20579"/>
    <w:rsid w:val="00E210FB"/>
    <w:rsid w:val="00E25366"/>
    <w:rsid w:val="00E25A52"/>
    <w:rsid w:val="00E25F2C"/>
    <w:rsid w:val="00E27689"/>
    <w:rsid w:val="00E27831"/>
    <w:rsid w:val="00E36A90"/>
    <w:rsid w:val="00E37E06"/>
    <w:rsid w:val="00E434D7"/>
    <w:rsid w:val="00E43A7C"/>
    <w:rsid w:val="00E4579F"/>
    <w:rsid w:val="00E5245E"/>
    <w:rsid w:val="00E538E5"/>
    <w:rsid w:val="00E55D3F"/>
    <w:rsid w:val="00E61E4C"/>
    <w:rsid w:val="00E62BAB"/>
    <w:rsid w:val="00E674D4"/>
    <w:rsid w:val="00E72FA6"/>
    <w:rsid w:val="00E733D6"/>
    <w:rsid w:val="00E77BC2"/>
    <w:rsid w:val="00E80BF7"/>
    <w:rsid w:val="00E80ED5"/>
    <w:rsid w:val="00E82C72"/>
    <w:rsid w:val="00E85F10"/>
    <w:rsid w:val="00E86346"/>
    <w:rsid w:val="00E8739D"/>
    <w:rsid w:val="00E87F32"/>
    <w:rsid w:val="00E972A3"/>
    <w:rsid w:val="00E975D8"/>
    <w:rsid w:val="00E97B96"/>
    <w:rsid w:val="00EA0C7D"/>
    <w:rsid w:val="00EA22B9"/>
    <w:rsid w:val="00EA2B55"/>
    <w:rsid w:val="00EB200C"/>
    <w:rsid w:val="00EB43F6"/>
    <w:rsid w:val="00EB4BD9"/>
    <w:rsid w:val="00EB7361"/>
    <w:rsid w:val="00EB7B94"/>
    <w:rsid w:val="00EC0609"/>
    <w:rsid w:val="00EC0ACE"/>
    <w:rsid w:val="00EC3D8F"/>
    <w:rsid w:val="00EC483C"/>
    <w:rsid w:val="00EC76A0"/>
    <w:rsid w:val="00EC7895"/>
    <w:rsid w:val="00ED208B"/>
    <w:rsid w:val="00ED5BE2"/>
    <w:rsid w:val="00ED68C2"/>
    <w:rsid w:val="00EE196E"/>
    <w:rsid w:val="00EE783D"/>
    <w:rsid w:val="00EF20B1"/>
    <w:rsid w:val="00EF4769"/>
    <w:rsid w:val="00EF4E3C"/>
    <w:rsid w:val="00EF5CCF"/>
    <w:rsid w:val="00EF6C1C"/>
    <w:rsid w:val="00EF7EF9"/>
    <w:rsid w:val="00F0183C"/>
    <w:rsid w:val="00F01A9D"/>
    <w:rsid w:val="00F024DB"/>
    <w:rsid w:val="00F02EA2"/>
    <w:rsid w:val="00F0324F"/>
    <w:rsid w:val="00F04BC8"/>
    <w:rsid w:val="00F05DE4"/>
    <w:rsid w:val="00F074FF"/>
    <w:rsid w:val="00F106DE"/>
    <w:rsid w:val="00F12DBD"/>
    <w:rsid w:val="00F1368E"/>
    <w:rsid w:val="00F15C44"/>
    <w:rsid w:val="00F1750F"/>
    <w:rsid w:val="00F231BD"/>
    <w:rsid w:val="00F275EB"/>
    <w:rsid w:val="00F302EC"/>
    <w:rsid w:val="00F34CC2"/>
    <w:rsid w:val="00F35531"/>
    <w:rsid w:val="00F377E3"/>
    <w:rsid w:val="00F40891"/>
    <w:rsid w:val="00F40F15"/>
    <w:rsid w:val="00F4580A"/>
    <w:rsid w:val="00F50E0E"/>
    <w:rsid w:val="00F53BA0"/>
    <w:rsid w:val="00F54CAC"/>
    <w:rsid w:val="00F572A3"/>
    <w:rsid w:val="00F60B02"/>
    <w:rsid w:val="00F617A1"/>
    <w:rsid w:val="00F65A49"/>
    <w:rsid w:val="00F66062"/>
    <w:rsid w:val="00F70ADB"/>
    <w:rsid w:val="00F7305B"/>
    <w:rsid w:val="00F756BD"/>
    <w:rsid w:val="00F80EFD"/>
    <w:rsid w:val="00F81A25"/>
    <w:rsid w:val="00F83951"/>
    <w:rsid w:val="00F87273"/>
    <w:rsid w:val="00F876F9"/>
    <w:rsid w:val="00F90C2D"/>
    <w:rsid w:val="00F9458C"/>
    <w:rsid w:val="00F94CC1"/>
    <w:rsid w:val="00F954B0"/>
    <w:rsid w:val="00FA01A5"/>
    <w:rsid w:val="00FA1A9A"/>
    <w:rsid w:val="00FA27B5"/>
    <w:rsid w:val="00FA2963"/>
    <w:rsid w:val="00FA45DD"/>
    <w:rsid w:val="00FA4C6E"/>
    <w:rsid w:val="00FA60F8"/>
    <w:rsid w:val="00FA7BA4"/>
    <w:rsid w:val="00FB04D9"/>
    <w:rsid w:val="00FB4FF4"/>
    <w:rsid w:val="00FB7059"/>
    <w:rsid w:val="00FB766F"/>
    <w:rsid w:val="00FC4F60"/>
    <w:rsid w:val="00FC5C1A"/>
    <w:rsid w:val="00FD0534"/>
    <w:rsid w:val="00FD5938"/>
    <w:rsid w:val="00FD6B7C"/>
    <w:rsid w:val="00FE386B"/>
    <w:rsid w:val="00FE5A7E"/>
    <w:rsid w:val="00FE5BF3"/>
    <w:rsid w:val="00FF5F8E"/>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page number"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A6C"/>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236A6C"/>
    <w:pPr>
      <w:spacing w:after="840" w:line="240" w:lineRule="auto"/>
      <w:ind w:firstLine="0"/>
      <w:jc w:val="center"/>
      <w:outlineLvl w:val="0"/>
    </w:pPr>
    <w:rPr>
      <w:b/>
      <w:caps/>
    </w:rPr>
  </w:style>
  <w:style w:type="paragraph" w:styleId="Heading2">
    <w:name w:val="heading 2"/>
    <w:basedOn w:val="Normal"/>
    <w:next w:val="Normal"/>
    <w:link w:val="Heading2Char"/>
    <w:qFormat/>
    <w:rsid w:val="00236A6C"/>
    <w:pPr>
      <w:keepNext/>
      <w:spacing w:after="240" w:line="240" w:lineRule="auto"/>
      <w:ind w:left="432" w:hanging="432"/>
      <w:outlineLvl w:val="1"/>
    </w:pPr>
    <w:rPr>
      <w:b/>
      <w:caps/>
    </w:rPr>
  </w:style>
  <w:style w:type="paragraph" w:styleId="Heading3">
    <w:name w:val="heading 3"/>
    <w:basedOn w:val="Normal"/>
    <w:next w:val="Normal"/>
    <w:link w:val="Heading3Char"/>
    <w:qFormat/>
    <w:rsid w:val="00236A6C"/>
    <w:pPr>
      <w:keepNext/>
      <w:spacing w:after="240" w:line="240" w:lineRule="auto"/>
      <w:ind w:left="432" w:hanging="432"/>
      <w:outlineLvl w:val="2"/>
    </w:pPr>
    <w:rPr>
      <w:b/>
    </w:rPr>
  </w:style>
  <w:style w:type="paragraph" w:styleId="Heading4">
    <w:name w:val="heading 4"/>
    <w:basedOn w:val="Normal"/>
    <w:next w:val="Normal"/>
    <w:link w:val="Heading4Char"/>
    <w:qFormat/>
    <w:rsid w:val="00236A6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236A6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236A6C"/>
    <w:pPr>
      <w:outlineLvl w:val="5"/>
    </w:pPr>
  </w:style>
  <w:style w:type="paragraph" w:styleId="Heading7">
    <w:name w:val="heading 7"/>
    <w:aliases w:val="Heading 7 (business proposal only)"/>
    <w:basedOn w:val="Normal"/>
    <w:next w:val="Normal"/>
    <w:link w:val="Heading7Char"/>
    <w:semiHidden/>
    <w:qFormat/>
    <w:rsid w:val="00236A6C"/>
    <w:pPr>
      <w:outlineLvl w:val="6"/>
    </w:pPr>
  </w:style>
  <w:style w:type="paragraph" w:styleId="Heading8">
    <w:name w:val="heading 8"/>
    <w:aliases w:val="Heading 8 (business proposal only)"/>
    <w:basedOn w:val="Normal"/>
    <w:next w:val="Normal"/>
    <w:link w:val="Heading8Char"/>
    <w:semiHidden/>
    <w:qFormat/>
    <w:rsid w:val="00236A6C"/>
    <w:pPr>
      <w:outlineLvl w:val="7"/>
    </w:pPr>
  </w:style>
  <w:style w:type="paragraph" w:styleId="Heading9">
    <w:name w:val="heading 9"/>
    <w:aliases w:val="Heading 9 (business proposal only)"/>
    <w:basedOn w:val="Normal"/>
    <w:next w:val="Normal"/>
    <w:link w:val="Heading9Char"/>
    <w:semiHidden/>
    <w:qFormat/>
    <w:rsid w:val="00236A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236A6C"/>
    <w:rPr>
      <w:spacing w:val="0"/>
      <w:position w:val="0"/>
      <w:u w:color="000080"/>
      <w:effect w:val="none"/>
      <w:vertAlign w:val="superscript"/>
    </w:rPr>
  </w:style>
  <w:style w:type="paragraph" w:styleId="BodyTextIndent">
    <w:name w:val="Body Text Indent"/>
    <w:basedOn w:val="Normal"/>
    <w:link w:val="BodyTextIndentChar"/>
    <w:rsid w:val="000E38AF"/>
    <w:pPr>
      <w:ind w:left="720"/>
    </w:pPr>
    <w:rPr>
      <w:rFonts w:ascii="Baskerville Old Face" w:hAnsi="Baskerville Old Face"/>
    </w:rPr>
  </w:style>
  <w:style w:type="table" w:styleId="TableGrid">
    <w:name w:val="Table Grid"/>
    <w:basedOn w:val="TableNormal"/>
    <w:uiPriority w:val="59"/>
    <w:rsid w:val="00236A6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qFormat/>
    <w:rsid w:val="000F118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F118B"/>
    <w:rPr>
      <w:rFonts w:ascii="Cambria" w:eastAsia="Times New Roman" w:hAnsi="Cambria" w:cs="Times New Roman"/>
      <w:b/>
      <w:bCs/>
      <w:kern w:val="28"/>
      <w:sz w:val="32"/>
      <w:szCs w:val="32"/>
    </w:rPr>
  </w:style>
  <w:style w:type="character" w:styleId="CommentReference">
    <w:name w:val="annotation reference"/>
    <w:basedOn w:val="DefaultParagraphFont"/>
    <w:rsid w:val="00F9458C"/>
    <w:rPr>
      <w:sz w:val="16"/>
      <w:szCs w:val="16"/>
    </w:rPr>
  </w:style>
  <w:style w:type="character" w:customStyle="1" w:styleId="BodyTextIndentChar">
    <w:name w:val="Body Text Indent Char"/>
    <w:basedOn w:val="DefaultParagraphFont"/>
    <w:link w:val="BodyTextIndent"/>
    <w:rsid w:val="002877C5"/>
    <w:rPr>
      <w:rFonts w:ascii="Baskerville Old Face" w:hAnsi="Baskerville Old Face"/>
      <w:sz w:val="24"/>
      <w:szCs w:val="24"/>
    </w:rPr>
  </w:style>
  <w:style w:type="paragraph" w:styleId="CommentText">
    <w:name w:val="annotation text"/>
    <w:basedOn w:val="Normal"/>
    <w:link w:val="CommentTextChar"/>
    <w:rsid w:val="00F9458C"/>
    <w:rPr>
      <w:szCs w:val="20"/>
    </w:rPr>
  </w:style>
  <w:style w:type="character" w:customStyle="1" w:styleId="CommentTextChar">
    <w:name w:val="Comment Text Char"/>
    <w:basedOn w:val="DefaultParagraphFont"/>
    <w:link w:val="CommentText"/>
    <w:rsid w:val="00F9458C"/>
  </w:style>
  <w:style w:type="paragraph" w:styleId="CommentSubject">
    <w:name w:val="annotation subject"/>
    <w:basedOn w:val="CommentText"/>
    <w:next w:val="CommentText"/>
    <w:link w:val="CommentSubjectChar"/>
    <w:rsid w:val="00F9458C"/>
    <w:rPr>
      <w:b/>
      <w:bCs/>
    </w:rPr>
  </w:style>
  <w:style w:type="character" w:customStyle="1" w:styleId="CommentSubjectChar">
    <w:name w:val="Comment Subject Char"/>
    <w:basedOn w:val="CommentTextChar"/>
    <w:link w:val="CommentSubject"/>
    <w:rsid w:val="00F9458C"/>
    <w:rPr>
      <w:b/>
      <w:bCs/>
    </w:rPr>
  </w:style>
  <w:style w:type="paragraph" w:styleId="BalloonText">
    <w:name w:val="Balloon Text"/>
    <w:basedOn w:val="Normal"/>
    <w:link w:val="BalloonTextChar"/>
    <w:uiPriority w:val="99"/>
    <w:unhideWhenUsed/>
    <w:rsid w:val="00236A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36A6C"/>
    <w:rPr>
      <w:rFonts w:ascii="Tahoma" w:hAnsi="Tahoma" w:cs="Tahoma"/>
      <w:sz w:val="16"/>
      <w:szCs w:val="16"/>
    </w:rPr>
  </w:style>
  <w:style w:type="paragraph" w:styleId="FootnoteText">
    <w:name w:val="footnote text"/>
    <w:basedOn w:val="Normal"/>
    <w:link w:val="FootnoteTextChar"/>
    <w:rsid w:val="00236A6C"/>
    <w:pPr>
      <w:spacing w:after="120" w:line="240" w:lineRule="auto"/>
    </w:pPr>
    <w:rPr>
      <w:sz w:val="20"/>
    </w:rPr>
  </w:style>
  <w:style w:type="character" w:customStyle="1" w:styleId="FootnoteTextChar">
    <w:name w:val="Footnote Text Char"/>
    <w:basedOn w:val="DefaultParagraphFont"/>
    <w:link w:val="FootnoteText"/>
    <w:rsid w:val="00681DC0"/>
    <w:rPr>
      <w:rFonts w:ascii="Garamond" w:hAnsi="Garamond"/>
      <w:szCs w:val="24"/>
    </w:rPr>
  </w:style>
  <w:style w:type="character" w:styleId="Hyperlink">
    <w:name w:val="Hyperlink"/>
    <w:basedOn w:val="DefaultParagraphFont"/>
    <w:uiPriority w:val="99"/>
    <w:unhideWhenUsed/>
    <w:rsid w:val="0085239B"/>
    <w:rPr>
      <w:color w:val="0000FF"/>
      <w:u w:val="single"/>
    </w:rPr>
  </w:style>
  <w:style w:type="paragraph" w:customStyle="1" w:styleId="TableHeaderCenter">
    <w:name w:val="Table Header Center"/>
    <w:basedOn w:val="NormalSS"/>
    <w:qFormat/>
    <w:rsid w:val="00236A6C"/>
    <w:pPr>
      <w:spacing w:before="120" w:after="60"/>
      <w:ind w:firstLine="0"/>
      <w:jc w:val="center"/>
    </w:pPr>
    <w:rPr>
      <w:rFonts w:ascii="Arial" w:hAnsi="Arial"/>
      <w:sz w:val="18"/>
    </w:rPr>
  </w:style>
  <w:style w:type="paragraph" w:customStyle="1" w:styleId="TableHeaderLeft">
    <w:name w:val="Table Header Left"/>
    <w:basedOn w:val="NormalSS"/>
    <w:qFormat/>
    <w:rsid w:val="00236A6C"/>
    <w:pPr>
      <w:spacing w:before="120" w:after="60"/>
      <w:ind w:firstLine="0"/>
      <w:jc w:val="left"/>
    </w:pPr>
    <w:rPr>
      <w:rFonts w:ascii="Arial" w:hAnsi="Arial"/>
      <w:sz w:val="18"/>
    </w:rPr>
  </w:style>
  <w:style w:type="paragraph" w:customStyle="1" w:styleId="TableText">
    <w:name w:val="Table Text"/>
    <w:basedOn w:val="NormalSS"/>
    <w:qFormat/>
    <w:rsid w:val="00236A6C"/>
    <w:pPr>
      <w:tabs>
        <w:tab w:val="clear" w:pos="432"/>
      </w:tabs>
      <w:spacing w:after="0"/>
      <w:ind w:firstLine="0"/>
      <w:jc w:val="left"/>
    </w:pPr>
    <w:rPr>
      <w:rFonts w:ascii="Arial" w:hAnsi="Arial"/>
      <w:sz w:val="18"/>
    </w:rPr>
  </w:style>
  <w:style w:type="paragraph" w:styleId="ListParagraph">
    <w:name w:val="List Paragraph"/>
    <w:basedOn w:val="Normal"/>
    <w:uiPriority w:val="34"/>
    <w:qFormat/>
    <w:rsid w:val="00236A6C"/>
    <w:pPr>
      <w:numPr>
        <w:numId w:val="18"/>
      </w:numPr>
      <w:ind w:left="720" w:hanging="288"/>
      <w:contextualSpacing/>
    </w:pPr>
  </w:style>
  <w:style w:type="paragraph" w:styleId="Revision">
    <w:name w:val="Revision"/>
    <w:hidden/>
    <w:uiPriority w:val="99"/>
    <w:semiHidden/>
    <w:rsid w:val="00491FCF"/>
    <w:rPr>
      <w:szCs w:val="24"/>
    </w:rPr>
  </w:style>
  <w:style w:type="character" w:styleId="Strong">
    <w:name w:val="Strong"/>
    <w:basedOn w:val="DefaultParagraphFont"/>
    <w:uiPriority w:val="22"/>
    <w:qFormat/>
    <w:rsid w:val="004E2218"/>
    <w:rPr>
      <w:b/>
      <w:bCs/>
    </w:rPr>
  </w:style>
  <w:style w:type="paragraph" w:customStyle="1" w:styleId="NormalSS">
    <w:name w:val="NormalSS"/>
    <w:basedOn w:val="Normal"/>
    <w:link w:val="NormalSSChar"/>
    <w:qFormat/>
    <w:rsid w:val="00236A6C"/>
    <w:pPr>
      <w:spacing w:after="240" w:line="240" w:lineRule="auto"/>
    </w:pPr>
  </w:style>
  <w:style w:type="paragraph" w:styleId="BodyText3">
    <w:name w:val="Body Text 3"/>
    <w:basedOn w:val="Normal"/>
    <w:link w:val="BodyText3Char"/>
    <w:rsid w:val="004864C0"/>
    <w:pPr>
      <w:spacing w:after="120"/>
    </w:pPr>
    <w:rPr>
      <w:sz w:val="16"/>
      <w:szCs w:val="16"/>
    </w:rPr>
  </w:style>
  <w:style w:type="character" w:customStyle="1" w:styleId="BodyText3Char">
    <w:name w:val="Body Text 3 Char"/>
    <w:basedOn w:val="DefaultParagraphFont"/>
    <w:link w:val="BodyText3"/>
    <w:rsid w:val="004864C0"/>
    <w:rPr>
      <w:sz w:val="16"/>
      <w:szCs w:val="16"/>
    </w:rPr>
  </w:style>
  <w:style w:type="paragraph" w:customStyle="1" w:styleId="MarkforExhibitHeading">
    <w:name w:val="Mark for Exhibit Heading"/>
    <w:basedOn w:val="Normal"/>
    <w:next w:val="Normal"/>
    <w:qFormat/>
    <w:rsid w:val="00236A6C"/>
    <w:pPr>
      <w:keepNext/>
      <w:spacing w:after="60" w:line="240" w:lineRule="auto"/>
      <w:ind w:firstLine="0"/>
    </w:pPr>
    <w:rPr>
      <w:rFonts w:ascii="Arial" w:hAnsi="Arial"/>
      <w:b/>
      <w:sz w:val="18"/>
    </w:rPr>
  </w:style>
  <w:style w:type="paragraph" w:customStyle="1" w:styleId="BulletBlack">
    <w:name w:val="Bullet_Black"/>
    <w:basedOn w:val="Normal"/>
    <w:qFormat/>
    <w:rsid w:val="00236A6C"/>
    <w:pPr>
      <w:numPr>
        <w:numId w:val="9"/>
      </w:num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236A6C"/>
    <w:pPr>
      <w:spacing w:after="240"/>
    </w:pPr>
  </w:style>
  <w:style w:type="paragraph" w:customStyle="1" w:styleId="Bullet">
    <w:name w:val="Bullet"/>
    <w:qFormat/>
    <w:rsid w:val="00D80BA0"/>
    <w:pPr>
      <w:numPr>
        <w:numId w:val="11"/>
      </w:numPr>
      <w:tabs>
        <w:tab w:val="left" w:pos="360"/>
      </w:tabs>
      <w:spacing w:after="120"/>
      <w:ind w:left="720" w:right="360" w:hanging="288"/>
      <w:jc w:val="both"/>
    </w:pPr>
    <w:rPr>
      <w:sz w:val="24"/>
      <w:szCs w:val="24"/>
    </w:rPr>
  </w:style>
  <w:style w:type="paragraph" w:customStyle="1" w:styleId="NumberedBullet">
    <w:name w:val="Numbered Bullet"/>
    <w:basedOn w:val="Normal"/>
    <w:qFormat/>
    <w:rsid w:val="00236A6C"/>
    <w:pPr>
      <w:numPr>
        <w:numId w:val="12"/>
      </w:numPr>
      <w:tabs>
        <w:tab w:val="clear" w:pos="432"/>
        <w:tab w:val="clear" w:pos="792"/>
        <w:tab w:val="left" w:pos="360"/>
      </w:tabs>
      <w:spacing w:after="120" w:line="240" w:lineRule="auto"/>
      <w:ind w:left="720" w:right="360" w:hanging="288"/>
    </w:pPr>
  </w:style>
  <w:style w:type="character" w:customStyle="1" w:styleId="NormalSSChar">
    <w:name w:val="NormalSS Char"/>
    <w:basedOn w:val="DefaultParagraphFont"/>
    <w:link w:val="NormalSS"/>
    <w:locked/>
    <w:rsid w:val="00DE7EBB"/>
    <w:rPr>
      <w:rFonts w:ascii="Garamond" w:hAnsi="Garamond"/>
      <w:sz w:val="24"/>
      <w:szCs w:val="24"/>
    </w:rPr>
  </w:style>
  <w:style w:type="table" w:styleId="TableSimple1">
    <w:name w:val="Table Simple 1"/>
    <w:basedOn w:val="TableNormal"/>
    <w:rsid w:val="00520613"/>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520613"/>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rsid w:val="00D012D8"/>
    <w:rPr>
      <w:rFonts w:ascii="Garamond" w:hAnsi="Garamond"/>
      <w:b/>
      <w:caps/>
      <w:sz w:val="24"/>
      <w:szCs w:val="24"/>
    </w:rPr>
  </w:style>
  <w:style w:type="paragraph" w:styleId="BodyText">
    <w:name w:val="Body Text"/>
    <w:basedOn w:val="Normal"/>
    <w:link w:val="BodyTextChar"/>
    <w:rsid w:val="00D012D8"/>
    <w:pPr>
      <w:spacing w:after="120"/>
    </w:pPr>
  </w:style>
  <w:style w:type="character" w:customStyle="1" w:styleId="BodyTextChar">
    <w:name w:val="Body Text Char"/>
    <w:basedOn w:val="DefaultParagraphFont"/>
    <w:link w:val="BodyText"/>
    <w:rsid w:val="00D012D8"/>
    <w:rPr>
      <w:szCs w:val="24"/>
    </w:rPr>
  </w:style>
  <w:style w:type="character" w:customStyle="1" w:styleId="Heading3Char">
    <w:name w:val="Heading 3 Char"/>
    <w:basedOn w:val="DefaultParagraphFont"/>
    <w:link w:val="Heading3"/>
    <w:rsid w:val="00D012D8"/>
    <w:rPr>
      <w:rFonts w:ascii="Garamond" w:hAnsi="Garamond"/>
      <w:b/>
      <w:sz w:val="24"/>
      <w:szCs w:val="24"/>
    </w:rPr>
  </w:style>
  <w:style w:type="character" w:customStyle="1" w:styleId="Heading4Char">
    <w:name w:val="Heading 4 Char"/>
    <w:basedOn w:val="DefaultParagraphFont"/>
    <w:link w:val="Heading4"/>
    <w:rsid w:val="00625AD5"/>
    <w:rPr>
      <w:rFonts w:ascii="Garamond" w:hAnsi="Garamond"/>
      <w:b/>
      <w:sz w:val="24"/>
      <w:szCs w:val="24"/>
    </w:rPr>
  </w:style>
  <w:style w:type="character" w:customStyle="1" w:styleId="Heading5Char">
    <w:name w:val="Heading 5 Char"/>
    <w:aliases w:val="Heading 5 (business proposal only) Char"/>
    <w:basedOn w:val="DefaultParagraphFont"/>
    <w:link w:val="Heading5"/>
    <w:semiHidden/>
    <w:rsid w:val="00D012D8"/>
    <w:rPr>
      <w:rFonts w:ascii="Garamond" w:hAnsi="Garamond"/>
      <w:b/>
      <w:sz w:val="24"/>
      <w:szCs w:val="24"/>
    </w:rPr>
  </w:style>
  <w:style w:type="character" w:customStyle="1" w:styleId="Heading6Char">
    <w:name w:val="Heading 6 Char"/>
    <w:aliases w:val="Heading 6 (business proposal only) Char"/>
    <w:basedOn w:val="DefaultParagraphFont"/>
    <w:link w:val="Heading6"/>
    <w:semiHidden/>
    <w:rsid w:val="00D012D8"/>
    <w:rPr>
      <w:rFonts w:ascii="Garamond" w:hAnsi="Garamond"/>
      <w:sz w:val="24"/>
      <w:szCs w:val="24"/>
    </w:rPr>
  </w:style>
  <w:style w:type="character" w:customStyle="1" w:styleId="Heading7Char">
    <w:name w:val="Heading 7 Char"/>
    <w:aliases w:val="Heading 7 (business proposal only) Char"/>
    <w:basedOn w:val="DefaultParagraphFont"/>
    <w:link w:val="Heading7"/>
    <w:semiHidden/>
    <w:rsid w:val="00D012D8"/>
    <w:rPr>
      <w:rFonts w:ascii="Garamond" w:hAnsi="Garamond"/>
      <w:sz w:val="24"/>
      <w:szCs w:val="24"/>
    </w:rPr>
  </w:style>
  <w:style w:type="character" w:customStyle="1" w:styleId="Heading8Char">
    <w:name w:val="Heading 8 Char"/>
    <w:aliases w:val="Heading 8 (business proposal only) Char"/>
    <w:basedOn w:val="DefaultParagraphFont"/>
    <w:link w:val="Heading8"/>
    <w:semiHidden/>
    <w:rsid w:val="00D012D8"/>
    <w:rPr>
      <w:rFonts w:ascii="Garamond" w:hAnsi="Garamond"/>
      <w:sz w:val="24"/>
      <w:szCs w:val="24"/>
    </w:rPr>
  </w:style>
  <w:style w:type="character" w:customStyle="1" w:styleId="Heading9Char">
    <w:name w:val="Heading 9 Char"/>
    <w:aliases w:val="Heading 9 (business proposal only) Char"/>
    <w:basedOn w:val="DefaultParagraphFont"/>
    <w:link w:val="Heading9"/>
    <w:semiHidden/>
    <w:rsid w:val="00D012D8"/>
    <w:rPr>
      <w:rFonts w:ascii="Garamond" w:hAnsi="Garamond"/>
      <w:sz w:val="24"/>
      <w:szCs w:val="24"/>
    </w:rPr>
  </w:style>
  <w:style w:type="paragraph" w:styleId="TOC1">
    <w:name w:val="toc 1"/>
    <w:next w:val="Normalcontinued"/>
    <w:autoRedefine/>
    <w:uiPriority w:val="39"/>
    <w:qFormat/>
    <w:rsid w:val="00236A6C"/>
    <w:pPr>
      <w:tabs>
        <w:tab w:val="left" w:pos="1008"/>
        <w:tab w:val="right" w:leader="dot" w:pos="9360"/>
      </w:tabs>
      <w:spacing w:after="240"/>
      <w:ind w:left="1008" w:right="1080" w:hanging="1008"/>
    </w:pPr>
    <w:rPr>
      <w:rFonts w:ascii="Arial" w:hAnsi="Arial"/>
      <w:caps/>
      <w:sz w:val="24"/>
      <w:szCs w:val="24"/>
    </w:rPr>
  </w:style>
  <w:style w:type="paragraph" w:styleId="Footer">
    <w:name w:val="footer"/>
    <w:basedOn w:val="Normal"/>
    <w:link w:val="FooterChar"/>
    <w:qFormat/>
    <w:rsid w:val="00236A6C"/>
    <w:pPr>
      <w:tabs>
        <w:tab w:val="center" w:pos="4320"/>
        <w:tab w:val="right" w:pos="8640"/>
      </w:tabs>
      <w:spacing w:before="360" w:line="240" w:lineRule="auto"/>
    </w:pPr>
  </w:style>
  <w:style w:type="character" w:customStyle="1" w:styleId="FooterChar">
    <w:name w:val="Footer Char"/>
    <w:basedOn w:val="DefaultParagraphFont"/>
    <w:link w:val="Footer"/>
    <w:rsid w:val="00D012D8"/>
    <w:rPr>
      <w:rFonts w:ascii="Garamond" w:hAnsi="Garamond"/>
      <w:sz w:val="24"/>
      <w:szCs w:val="24"/>
    </w:rPr>
  </w:style>
  <w:style w:type="character" w:styleId="PageNumber">
    <w:name w:val="page number"/>
    <w:basedOn w:val="DefaultParagraphFont"/>
    <w:qFormat/>
    <w:rsid w:val="00236A6C"/>
    <w:rPr>
      <w:rFonts w:ascii="Garamond" w:hAnsi="Garamond"/>
      <w:sz w:val="24"/>
    </w:rPr>
  </w:style>
  <w:style w:type="paragraph" w:customStyle="1" w:styleId="Heading1Black">
    <w:name w:val="Heading 1_Black"/>
    <w:basedOn w:val="Normal"/>
    <w:next w:val="Normal"/>
    <w:qFormat/>
    <w:rsid w:val="0008078C"/>
    <w:pPr>
      <w:spacing w:before="240" w:after="240" w:line="240" w:lineRule="auto"/>
      <w:ind w:firstLine="0"/>
      <w:jc w:val="left"/>
      <w:outlineLvl w:val="0"/>
    </w:pPr>
    <w:rPr>
      <w:rFonts w:ascii="Arial" w:hAnsi="Arial"/>
      <w:b/>
      <w:caps/>
    </w:rPr>
  </w:style>
  <w:style w:type="paragraph" w:styleId="TOC2">
    <w:name w:val="toc 2"/>
    <w:next w:val="Normal"/>
    <w:autoRedefine/>
    <w:uiPriority w:val="39"/>
    <w:qFormat/>
    <w:rsid w:val="00236A6C"/>
    <w:pPr>
      <w:tabs>
        <w:tab w:val="left" w:pos="1440"/>
        <w:tab w:val="right" w:leader="dot" w:pos="9360"/>
      </w:tabs>
      <w:spacing w:after="240"/>
      <w:ind w:left="1440" w:right="1080" w:hanging="432"/>
    </w:pPr>
    <w:rPr>
      <w:rFonts w:ascii="Arial" w:hAnsi="Arial"/>
      <w:sz w:val="24"/>
      <w:szCs w:val="24"/>
    </w:rPr>
  </w:style>
  <w:style w:type="paragraph" w:styleId="TOC3">
    <w:name w:val="toc 3"/>
    <w:next w:val="Normal"/>
    <w:autoRedefine/>
    <w:uiPriority w:val="39"/>
    <w:qFormat/>
    <w:rsid w:val="00236A6C"/>
    <w:pPr>
      <w:tabs>
        <w:tab w:val="left" w:pos="1872"/>
        <w:tab w:val="right" w:leader="dot" w:pos="9360"/>
      </w:tabs>
      <w:ind w:left="1872" w:right="1080" w:hanging="432"/>
    </w:pPr>
    <w:rPr>
      <w:rFonts w:ascii="Arial" w:hAnsi="Arial"/>
      <w:sz w:val="24"/>
      <w:szCs w:val="24"/>
    </w:rPr>
  </w:style>
  <w:style w:type="paragraph" w:styleId="TOC4">
    <w:name w:val="toc 4"/>
    <w:next w:val="Normal"/>
    <w:autoRedefine/>
    <w:qFormat/>
    <w:rsid w:val="00236A6C"/>
    <w:pPr>
      <w:tabs>
        <w:tab w:val="left" w:pos="1440"/>
        <w:tab w:val="right" w:leader="dot" w:pos="9360"/>
      </w:tabs>
      <w:ind w:left="2390" w:hanging="475"/>
    </w:pPr>
    <w:rPr>
      <w:rFonts w:ascii="Arial" w:hAnsi="Arial"/>
      <w:noProof/>
      <w:sz w:val="24"/>
      <w:szCs w:val="24"/>
    </w:rPr>
  </w:style>
  <w:style w:type="paragraph" w:customStyle="1" w:styleId="Dash">
    <w:name w:val="Dash"/>
    <w:qFormat/>
    <w:rsid w:val="00236A6C"/>
    <w:pPr>
      <w:numPr>
        <w:numId w:val="19"/>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236A6C"/>
    <w:pPr>
      <w:tabs>
        <w:tab w:val="num" w:pos="1080"/>
      </w:tabs>
      <w:spacing w:after="240"/>
    </w:pPr>
  </w:style>
  <w:style w:type="paragraph" w:customStyle="1" w:styleId="Outline">
    <w:name w:val="Outline"/>
    <w:basedOn w:val="Normal"/>
    <w:semiHidden/>
    <w:qFormat/>
    <w:rsid w:val="00236A6C"/>
    <w:pPr>
      <w:tabs>
        <w:tab w:val="clear" w:pos="432"/>
      </w:tabs>
      <w:spacing w:after="240" w:line="240" w:lineRule="auto"/>
      <w:ind w:left="720" w:hanging="720"/>
    </w:pPr>
  </w:style>
  <w:style w:type="paragraph" w:styleId="EndnoteText">
    <w:name w:val="endnote text"/>
    <w:basedOn w:val="Normal"/>
    <w:link w:val="EndnoteTextChar"/>
    <w:rsid w:val="00236A6C"/>
    <w:pPr>
      <w:spacing w:after="240" w:line="240" w:lineRule="auto"/>
    </w:pPr>
  </w:style>
  <w:style w:type="character" w:customStyle="1" w:styleId="EndnoteTextChar">
    <w:name w:val="Endnote Text Char"/>
    <w:basedOn w:val="DefaultParagraphFont"/>
    <w:link w:val="EndnoteText"/>
    <w:rsid w:val="00D012D8"/>
    <w:rPr>
      <w:rFonts w:ascii="Garamond" w:hAnsi="Garamond"/>
      <w:sz w:val="24"/>
      <w:szCs w:val="24"/>
    </w:rPr>
  </w:style>
  <w:style w:type="character" w:styleId="EndnoteReference">
    <w:name w:val="endnote reference"/>
    <w:basedOn w:val="DefaultParagraphFont"/>
    <w:rsid w:val="00236A6C"/>
    <w:rPr>
      <w:vertAlign w:val="superscript"/>
    </w:rPr>
  </w:style>
  <w:style w:type="paragraph" w:customStyle="1" w:styleId="MarkforTableHeading">
    <w:name w:val="Mark for Table Heading"/>
    <w:basedOn w:val="Normal"/>
    <w:next w:val="Normal"/>
    <w:qFormat/>
    <w:rsid w:val="00236A6C"/>
    <w:pPr>
      <w:keepNext/>
      <w:spacing w:after="60" w:line="240" w:lineRule="auto"/>
      <w:ind w:firstLine="0"/>
    </w:pPr>
    <w:rPr>
      <w:rFonts w:ascii="Arial" w:hAnsi="Arial"/>
      <w:b/>
      <w:sz w:val="18"/>
    </w:rPr>
  </w:style>
  <w:style w:type="paragraph" w:customStyle="1" w:styleId="References">
    <w:name w:val="References"/>
    <w:basedOn w:val="Normal"/>
    <w:qFormat/>
    <w:rsid w:val="00236A6C"/>
    <w:pPr>
      <w:keepLines/>
      <w:spacing w:after="240" w:line="240" w:lineRule="auto"/>
      <w:ind w:left="432" w:hanging="432"/>
    </w:pPr>
  </w:style>
  <w:style w:type="paragraph" w:customStyle="1" w:styleId="MarkforFigureHeading">
    <w:name w:val="Mark for Figure Heading"/>
    <w:basedOn w:val="MarkforTableHeading"/>
    <w:next w:val="Normal"/>
    <w:qFormat/>
    <w:rsid w:val="00236A6C"/>
  </w:style>
  <w:style w:type="paragraph" w:styleId="TableofFigures">
    <w:name w:val="table of figures"/>
    <w:basedOn w:val="Normal"/>
    <w:next w:val="Normal"/>
    <w:rsid w:val="00236A6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236A6C"/>
    <w:rPr>
      <w:vanish/>
      <w:color w:val="FF0000"/>
    </w:rPr>
  </w:style>
  <w:style w:type="paragraph" w:customStyle="1" w:styleId="NumberedBulletLASTSS">
    <w:name w:val="Numbered Bullet (LAST SS)"/>
    <w:basedOn w:val="NumberedBullet"/>
    <w:next w:val="Normal"/>
    <w:qFormat/>
    <w:rsid w:val="00236A6C"/>
    <w:pPr>
      <w:spacing w:after="240"/>
    </w:pPr>
  </w:style>
  <w:style w:type="paragraph" w:styleId="Header">
    <w:name w:val="header"/>
    <w:basedOn w:val="Normal"/>
    <w:link w:val="HeaderChar"/>
    <w:qFormat/>
    <w:rsid w:val="00236A6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36A6C"/>
    <w:rPr>
      <w:rFonts w:ascii="Garamond" w:hAnsi="Garamond"/>
      <w:i/>
      <w:sz w:val="22"/>
      <w:szCs w:val="24"/>
    </w:rPr>
  </w:style>
  <w:style w:type="paragraph" w:customStyle="1" w:styleId="TableFootnoteCaption">
    <w:name w:val="Table Footnote_Caption"/>
    <w:basedOn w:val="NormalSS"/>
    <w:qFormat/>
    <w:rsid w:val="00236A6C"/>
    <w:pPr>
      <w:spacing w:after="120"/>
      <w:ind w:firstLine="0"/>
    </w:pPr>
    <w:rPr>
      <w:rFonts w:ascii="Arial" w:hAnsi="Arial"/>
      <w:sz w:val="18"/>
    </w:rPr>
  </w:style>
  <w:style w:type="paragraph" w:customStyle="1" w:styleId="Normalcontinued">
    <w:name w:val="Normal (continued)"/>
    <w:basedOn w:val="Normal"/>
    <w:next w:val="Normal"/>
    <w:qFormat/>
    <w:rsid w:val="00236A6C"/>
    <w:pPr>
      <w:ind w:firstLine="0"/>
    </w:pPr>
  </w:style>
  <w:style w:type="paragraph" w:customStyle="1" w:styleId="NormalSScontinued">
    <w:name w:val="NormalSS (continued)"/>
    <w:basedOn w:val="NormalSS"/>
    <w:next w:val="NormalSS"/>
    <w:qFormat/>
    <w:rsid w:val="00236A6C"/>
    <w:pPr>
      <w:ind w:firstLine="0"/>
    </w:pPr>
  </w:style>
  <w:style w:type="paragraph" w:customStyle="1" w:styleId="TableSourceCaption">
    <w:name w:val="Table Source_Caption"/>
    <w:basedOn w:val="NormalSS"/>
    <w:qFormat/>
    <w:rsid w:val="00236A6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236A6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236A6C"/>
    <w:rPr>
      <w:color w:val="C00000"/>
    </w:rPr>
  </w:style>
  <w:style w:type="paragraph" w:customStyle="1" w:styleId="AcknowledgmentnoTOCBlue">
    <w:name w:val="Acknowledgment no TOC_Blue"/>
    <w:basedOn w:val="AcknowledgmentnoTOCBlack"/>
    <w:next w:val="Normal"/>
    <w:qFormat/>
    <w:rsid w:val="00236A6C"/>
    <w:rPr>
      <w:color w:val="345294"/>
    </w:rPr>
  </w:style>
  <w:style w:type="paragraph" w:customStyle="1" w:styleId="BulletRed">
    <w:name w:val="Bullet_Red"/>
    <w:basedOn w:val="BulletBlack"/>
    <w:qFormat/>
    <w:rsid w:val="00236A6C"/>
    <w:pPr>
      <w:numPr>
        <w:numId w:val="22"/>
      </w:numPr>
      <w:ind w:left="720" w:hanging="288"/>
    </w:pPr>
  </w:style>
  <w:style w:type="paragraph" w:customStyle="1" w:styleId="BulletBlue">
    <w:name w:val="Bullet_Blue"/>
    <w:basedOn w:val="BulletBlack"/>
    <w:qFormat/>
    <w:rsid w:val="00236A6C"/>
    <w:pPr>
      <w:numPr>
        <w:numId w:val="20"/>
      </w:numPr>
      <w:ind w:left="720" w:hanging="288"/>
    </w:pPr>
  </w:style>
  <w:style w:type="paragraph" w:customStyle="1" w:styleId="BulletRedLastSS">
    <w:name w:val="Bullet_Red (Last SS)"/>
    <w:basedOn w:val="BulletBlackLastSS"/>
    <w:next w:val="NormalSS"/>
    <w:qFormat/>
    <w:rsid w:val="00236A6C"/>
    <w:pPr>
      <w:numPr>
        <w:numId w:val="23"/>
      </w:numPr>
      <w:ind w:left="720" w:hanging="288"/>
    </w:pPr>
  </w:style>
  <w:style w:type="paragraph" w:customStyle="1" w:styleId="BulletBlueLastSS">
    <w:name w:val="Bullet_Blue (Last SS)"/>
    <w:basedOn w:val="BulletBlackLastSS"/>
    <w:next w:val="NormalSS"/>
    <w:qFormat/>
    <w:rsid w:val="00236A6C"/>
    <w:pPr>
      <w:numPr>
        <w:numId w:val="21"/>
      </w:numPr>
      <w:ind w:left="720" w:hanging="288"/>
    </w:pPr>
  </w:style>
  <w:style w:type="paragraph" w:customStyle="1" w:styleId="BulletBlackLastDS">
    <w:name w:val="Bullet_Black (Last DS)"/>
    <w:basedOn w:val="BulletBlackLastSS"/>
    <w:next w:val="Normal"/>
    <w:qFormat/>
    <w:rsid w:val="00236A6C"/>
    <w:pPr>
      <w:spacing w:after="320"/>
    </w:pPr>
  </w:style>
  <w:style w:type="paragraph" w:customStyle="1" w:styleId="BulletRedLastDS">
    <w:name w:val="Bullet_Red (Last DS)"/>
    <w:basedOn w:val="BulletRedLastSS"/>
    <w:next w:val="Normal"/>
    <w:qFormat/>
    <w:rsid w:val="00236A6C"/>
    <w:pPr>
      <w:spacing w:after="320"/>
    </w:pPr>
  </w:style>
  <w:style w:type="paragraph" w:customStyle="1" w:styleId="BulletBlueLastDS">
    <w:name w:val="Bullet_Blue (Last DS)"/>
    <w:basedOn w:val="BulletBlackLastDS"/>
    <w:next w:val="Normal"/>
    <w:qFormat/>
    <w:rsid w:val="00236A6C"/>
    <w:pPr>
      <w:numPr>
        <w:numId w:val="24"/>
      </w:numPr>
      <w:ind w:left="720" w:hanging="288"/>
    </w:pPr>
  </w:style>
  <w:style w:type="paragraph" w:customStyle="1" w:styleId="Heading1Red">
    <w:name w:val="Heading 1_Red"/>
    <w:basedOn w:val="Heading1Black"/>
    <w:next w:val="Normal"/>
    <w:qFormat/>
    <w:rsid w:val="00236A6C"/>
    <w:rPr>
      <w:color w:val="C00000"/>
    </w:rPr>
  </w:style>
  <w:style w:type="paragraph" w:customStyle="1" w:styleId="Heading1Blue">
    <w:name w:val="Heading 1_Blue"/>
    <w:basedOn w:val="Heading1Black"/>
    <w:next w:val="Normal"/>
    <w:qFormat/>
    <w:rsid w:val="00236A6C"/>
    <w:rPr>
      <w:color w:val="345294"/>
    </w:rPr>
  </w:style>
  <w:style w:type="paragraph" w:customStyle="1" w:styleId="Heading2Black">
    <w:name w:val="Heading 2_Black"/>
    <w:basedOn w:val="Normal"/>
    <w:next w:val="Normal"/>
    <w:qFormat/>
    <w:rsid w:val="00236A6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236A6C"/>
    <w:rPr>
      <w:color w:val="C00000"/>
    </w:rPr>
  </w:style>
  <w:style w:type="paragraph" w:customStyle="1" w:styleId="Heading2Blue">
    <w:name w:val="Heading 2_Blue"/>
    <w:basedOn w:val="Heading2Black"/>
    <w:next w:val="Normal"/>
    <w:qFormat/>
    <w:rsid w:val="00236A6C"/>
    <w:rPr>
      <w:color w:val="345294"/>
    </w:rPr>
  </w:style>
  <w:style w:type="paragraph" w:customStyle="1" w:styleId="Heading2BlackNoTOC">
    <w:name w:val="Heading 2_Black No TOC"/>
    <w:basedOn w:val="Heading2Black"/>
    <w:next w:val="Normal"/>
    <w:qFormat/>
    <w:rsid w:val="00236A6C"/>
    <w:pPr>
      <w:outlineLvl w:val="8"/>
    </w:pPr>
  </w:style>
  <w:style w:type="paragraph" w:customStyle="1" w:styleId="Heading2RedNoTOC">
    <w:name w:val="Heading 2_Red No TOC"/>
    <w:basedOn w:val="Heading2Red"/>
    <w:next w:val="Normal"/>
    <w:qFormat/>
    <w:rsid w:val="00236A6C"/>
    <w:pPr>
      <w:outlineLvl w:val="8"/>
    </w:pPr>
  </w:style>
  <w:style w:type="paragraph" w:customStyle="1" w:styleId="Heading2BlueNoTOC">
    <w:name w:val="Heading 2_Blue No TOC"/>
    <w:basedOn w:val="Heading2Blue"/>
    <w:next w:val="Normal"/>
    <w:qFormat/>
    <w:rsid w:val="00236A6C"/>
    <w:pPr>
      <w:outlineLvl w:val="8"/>
    </w:pPr>
  </w:style>
  <w:style w:type="paragraph" w:customStyle="1" w:styleId="MarkforAttachmentHeadingBlack">
    <w:name w:val="Mark for Attachment Heading_Black"/>
    <w:basedOn w:val="Normal"/>
    <w:next w:val="Normal"/>
    <w:qFormat/>
    <w:rsid w:val="00236A6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236A6C"/>
    <w:rPr>
      <w:color w:val="C00000"/>
    </w:rPr>
  </w:style>
  <w:style w:type="paragraph" w:customStyle="1" w:styleId="MarkforAttachmentHeadingBlue">
    <w:name w:val="Mark for Attachment Heading_Blue"/>
    <w:basedOn w:val="MarkforAttachmentHeadingBlack"/>
    <w:next w:val="Normal"/>
    <w:qFormat/>
    <w:rsid w:val="00236A6C"/>
    <w:rPr>
      <w:color w:val="345294"/>
    </w:rPr>
  </w:style>
  <w:style w:type="paragraph" w:customStyle="1" w:styleId="MarkforAppendixHeadingBlack">
    <w:name w:val="Mark for Appendix Heading_Black"/>
    <w:basedOn w:val="Normal"/>
    <w:next w:val="Normal"/>
    <w:qFormat/>
    <w:rsid w:val="00236A6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36A6C"/>
    <w:rPr>
      <w:color w:val="C00000"/>
    </w:rPr>
  </w:style>
  <w:style w:type="paragraph" w:customStyle="1" w:styleId="MarkforAppendixHeadingBlue">
    <w:name w:val="Mark for Appendix Heading_Blue"/>
    <w:basedOn w:val="MarkforAppendixHeadingBlack"/>
    <w:next w:val="Normal"/>
    <w:qFormat/>
    <w:rsid w:val="00236A6C"/>
    <w:rPr>
      <w:color w:val="345294"/>
    </w:rPr>
  </w:style>
  <w:style w:type="paragraph" w:customStyle="1" w:styleId="NumberedBulletLastDS">
    <w:name w:val="Numbered Bullet (Last DS)"/>
    <w:basedOn w:val="NumberedBulletLASTSS"/>
    <w:next w:val="Normal"/>
    <w:qFormat/>
    <w:rsid w:val="00236A6C"/>
    <w:pPr>
      <w:spacing w:after="320"/>
    </w:pPr>
  </w:style>
  <w:style w:type="paragraph" w:customStyle="1" w:styleId="TableSignificanceCaption">
    <w:name w:val="Table Significance_Caption"/>
    <w:basedOn w:val="TableSourceCaption"/>
    <w:qFormat/>
    <w:rsid w:val="00236A6C"/>
    <w:pPr>
      <w:spacing w:after="0"/>
    </w:pPr>
  </w:style>
  <w:style w:type="paragraph" w:customStyle="1" w:styleId="TitleofDocumentVertical">
    <w:name w:val="Title of Document Vertical"/>
    <w:basedOn w:val="Normal"/>
    <w:qFormat/>
    <w:rsid w:val="00236A6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236A6C"/>
    <w:pPr>
      <w:spacing w:before="0" w:after="160"/>
    </w:pPr>
  </w:style>
  <w:style w:type="paragraph" w:customStyle="1" w:styleId="TitleofDocumentNoPhoto">
    <w:name w:val="Title of Document No Photo"/>
    <w:basedOn w:val="TitleofDocumentHorizontal"/>
    <w:qFormat/>
    <w:rsid w:val="00236A6C"/>
  </w:style>
  <w:style w:type="paragraph" w:customStyle="1" w:styleId="TableSpace">
    <w:name w:val="TableSpace"/>
    <w:basedOn w:val="TableSourceCaption"/>
    <w:next w:val="TableFootnoteCaption"/>
    <w:semiHidden/>
    <w:qFormat/>
    <w:rsid w:val="00236A6C"/>
    <w:pPr>
      <w:spacing w:after="0"/>
    </w:pPr>
  </w:style>
  <w:style w:type="table" w:customStyle="1" w:styleId="SMPRTableRed">
    <w:name w:val="SMPR_Table_Red"/>
    <w:basedOn w:val="TableNormal"/>
    <w:uiPriority w:val="99"/>
    <w:rsid w:val="00236A6C"/>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36A6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36A6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236A6C"/>
    <w:pPr>
      <w:tabs>
        <w:tab w:val="left" w:pos="1872"/>
        <w:tab w:val="right" w:leader="dot" w:pos="9360"/>
      </w:tabs>
      <w:spacing w:after="240"/>
      <w:ind w:left="1872" w:right="1080" w:hanging="1872"/>
    </w:pPr>
    <w:rPr>
      <w:rFonts w:ascii="Arial" w:hAnsi="Arial"/>
      <w:caps/>
      <w:sz w:val="24"/>
      <w:szCs w:val="24"/>
    </w:rPr>
  </w:style>
  <w:style w:type="paragraph" w:customStyle="1" w:styleId="Heading3NoTOC">
    <w:name w:val="Heading 3_No TOC"/>
    <w:basedOn w:val="Heading3"/>
    <w:next w:val="Normal"/>
    <w:qFormat/>
    <w:rsid w:val="00236A6C"/>
    <w:pPr>
      <w:outlineLvl w:val="8"/>
    </w:pPr>
  </w:style>
  <w:style w:type="numbering" w:customStyle="1" w:styleId="MPROutline">
    <w:name w:val="MPROutline"/>
    <w:uiPriority w:val="99"/>
    <w:rsid w:val="00236A6C"/>
    <w:pPr>
      <w:numPr>
        <w:numId w:val="35"/>
      </w:numPr>
    </w:pPr>
  </w:style>
  <w:style w:type="paragraph" w:styleId="TOC5">
    <w:name w:val="toc 5"/>
    <w:basedOn w:val="Normal"/>
    <w:next w:val="Normal"/>
    <w:autoRedefine/>
    <w:uiPriority w:val="39"/>
    <w:unhideWhenUsed/>
    <w:rsid w:val="00236A6C"/>
    <w:pPr>
      <w:tabs>
        <w:tab w:val="clear" w:pos="432"/>
      </w:tabs>
      <w:spacing w:after="100"/>
      <w:ind w:left="960"/>
    </w:pPr>
  </w:style>
  <w:style w:type="paragraph" w:styleId="TOC6">
    <w:name w:val="toc 6"/>
    <w:basedOn w:val="Normal"/>
    <w:next w:val="Normal"/>
    <w:autoRedefine/>
    <w:uiPriority w:val="39"/>
    <w:unhideWhenUsed/>
    <w:rsid w:val="00236A6C"/>
    <w:pPr>
      <w:tabs>
        <w:tab w:val="clear" w:pos="432"/>
      </w:tabs>
      <w:spacing w:after="100"/>
      <w:ind w:left="1200"/>
    </w:pPr>
  </w:style>
  <w:style w:type="paragraph" w:styleId="TOC7">
    <w:name w:val="toc 7"/>
    <w:basedOn w:val="Normal"/>
    <w:next w:val="Normal"/>
    <w:autoRedefine/>
    <w:uiPriority w:val="39"/>
    <w:unhideWhenUsed/>
    <w:rsid w:val="00236A6C"/>
    <w:pPr>
      <w:tabs>
        <w:tab w:val="clear" w:pos="432"/>
      </w:tabs>
      <w:spacing w:after="100"/>
      <w:ind w:left="1440"/>
    </w:pPr>
  </w:style>
  <w:style w:type="paragraph" w:styleId="TOC9">
    <w:name w:val="toc 9"/>
    <w:basedOn w:val="Normal"/>
    <w:next w:val="Normal"/>
    <w:autoRedefine/>
    <w:uiPriority w:val="39"/>
    <w:unhideWhenUsed/>
    <w:rsid w:val="00236A6C"/>
    <w:pPr>
      <w:tabs>
        <w:tab w:val="clear" w:pos="432"/>
      </w:tabs>
      <w:spacing w:after="100"/>
      <w:ind w:left="1920"/>
    </w:pPr>
  </w:style>
  <w:style w:type="character" w:styleId="FollowedHyperlink">
    <w:name w:val="FollowedHyperlink"/>
    <w:basedOn w:val="DefaultParagraphFont"/>
    <w:rsid w:val="00BC5E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page number"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A6C"/>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236A6C"/>
    <w:pPr>
      <w:spacing w:after="840" w:line="240" w:lineRule="auto"/>
      <w:ind w:firstLine="0"/>
      <w:jc w:val="center"/>
      <w:outlineLvl w:val="0"/>
    </w:pPr>
    <w:rPr>
      <w:b/>
      <w:caps/>
    </w:rPr>
  </w:style>
  <w:style w:type="paragraph" w:styleId="Heading2">
    <w:name w:val="heading 2"/>
    <w:basedOn w:val="Normal"/>
    <w:next w:val="Normal"/>
    <w:link w:val="Heading2Char"/>
    <w:qFormat/>
    <w:rsid w:val="00236A6C"/>
    <w:pPr>
      <w:keepNext/>
      <w:spacing w:after="240" w:line="240" w:lineRule="auto"/>
      <w:ind w:left="432" w:hanging="432"/>
      <w:outlineLvl w:val="1"/>
    </w:pPr>
    <w:rPr>
      <w:b/>
      <w:caps/>
    </w:rPr>
  </w:style>
  <w:style w:type="paragraph" w:styleId="Heading3">
    <w:name w:val="heading 3"/>
    <w:basedOn w:val="Normal"/>
    <w:next w:val="Normal"/>
    <w:link w:val="Heading3Char"/>
    <w:qFormat/>
    <w:rsid w:val="00236A6C"/>
    <w:pPr>
      <w:keepNext/>
      <w:spacing w:after="240" w:line="240" w:lineRule="auto"/>
      <w:ind w:left="432" w:hanging="432"/>
      <w:outlineLvl w:val="2"/>
    </w:pPr>
    <w:rPr>
      <w:b/>
    </w:rPr>
  </w:style>
  <w:style w:type="paragraph" w:styleId="Heading4">
    <w:name w:val="heading 4"/>
    <w:basedOn w:val="Normal"/>
    <w:next w:val="Normal"/>
    <w:link w:val="Heading4Char"/>
    <w:qFormat/>
    <w:rsid w:val="00236A6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236A6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236A6C"/>
    <w:pPr>
      <w:outlineLvl w:val="5"/>
    </w:pPr>
  </w:style>
  <w:style w:type="paragraph" w:styleId="Heading7">
    <w:name w:val="heading 7"/>
    <w:aliases w:val="Heading 7 (business proposal only)"/>
    <w:basedOn w:val="Normal"/>
    <w:next w:val="Normal"/>
    <w:link w:val="Heading7Char"/>
    <w:semiHidden/>
    <w:qFormat/>
    <w:rsid w:val="00236A6C"/>
    <w:pPr>
      <w:outlineLvl w:val="6"/>
    </w:pPr>
  </w:style>
  <w:style w:type="paragraph" w:styleId="Heading8">
    <w:name w:val="heading 8"/>
    <w:aliases w:val="Heading 8 (business proposal only)"/>
    <w:basedOn w:val="Normal"/>
    <w:next w:val="Normal"/>
    <w:link w:val="Heading8Char"/>
    <w:semiHidden/>
    <w:qFormat/>
    <w:rsid w:val="00236A6C"/>
    <w:pPr>
      <w:outlineLvl w:val="7"/>
    </w:pPr>
  </w:style>
  <w:style w:type="paragraph" w:styleId="Heading9">
    <w:name w:val="heading 9"/>
    <w:aliases w:val="Heading 9 (business proposal only)"/>
    <w:basedOn w:val="Normal"/>
    <w:next w:val="Normal"/>
    <w:link w:val="Heading9Char"/>
    <w:semiHidden/>
    <w:qFormat/>
    <w:rsid w:val="00236A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236A6C"/>
    <w:rPr>
      <w:spacing w:val="0"/>
      <w:position w:val="0"/>
      <w:u w:color="000080"/>
      <w:effect w:val="none"/>
      <w:vertAlign w:val="superscript"/>
    </w:rPr>
  </w:style>
  <w:style w:type="paragraph" w:styleId="BodyTextIndent">
    <w:name w:val="Body Text Indent"/>
    <w:basedOn w:val="Normal"/>
    <w:link w:val="BodyTextIndentChar"/>
    <w:rsid w:val="000E38AF"/>
    <w:pPr>
      <w:ind w:left="720"/>
    </w:pPr>
    <w:rPr>
      <w:rFonts w:ascii="Baskerville Old Face" w:hAnsi="Baskerville Old Face"/>
    </w:rPr>
  </w:style>
  <w:style w:type="table" w:styleId="TableGrid">
    <w:name w:val="Table Grid"/>
    <w:basedOn w:val="TableNormal"/>
    <w:uiPriority w:val="59"/>
    <w:rsid w:val="00236A6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qFormat/>
    <w:rsid w:val="000F118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F118B"/>
    <w:rPr>
      <w:rFonts w:ascii="Cambria" w:eastAsia="Times New Roman" w:hAnsi="Cambria" w:cs="Times New Roman"/>
      <w:b/>
      <w:bCs/>
      <w:kern w:val="28"/>
      <w:sz w:val="32"/>
      <w:szCs w:val="32"/>
    </w:rPr>
  </w:style>
  <w:style w:type="character" w:styleId="CommentReference">
    <w:name w:val="annotation reference"/>
    <w:basedOn w:val="DefaultParagraphFont"/>
    <w:rsid w:val="00F9458C"/>
    <w:rPr>
      <w:sz w:val="16"/>
      <w:szCs w:val="16"/>
    </w:rPr>
  </w:style>
  <w:style w:type="character" w:customStyle="1" w:styleId="BodyTextIndentChar">
    <w:name w:val="Body Text Indent Char"/>
    <w:basedOn w:val="DefaultParagraphFont"/>
    <w:link w:val="BodyTextIndent"/>
    <w:rsid w:val="002877C5"/>
    <w:rPr>
      <w:rFonts w:ascii="Baskerville Old Face" w:hAnsi="Baskerville Old Face"/>
      <w:sz w:val="24"/>
      <w:szCs w:val="24"/>
    </w:rPr>
  </w:style>
  <w:style w:type="paragraph" w:styleId="CommentText">
    <w:name w:val="annotation text"/>
    <w:basedOn w:val="Normal"/>
    <w:link w:val="CommentTextChar"/>
    <w:rsid w:val="00F9458C"/>
    <w:rPr>
      <w:szCs w:val="20"/>
    </w:rPr>
  </w:style>
  <w:style w:type="character" w:customStyle="1" w:styleId="CommentTextChar">
    <w:name w:val="Comment Text Char"/>
    <w:basedOn w:val="DefaultParagraphFont"/>
    <w:link w:val="CommentText"/>
    <w:rsid w:val="00F9458C"/>
  </w:style>
  <w:style w:type="paragraph" w:styleId="CommentSubject">
    <w:name w:val="annotation subject"/>
    <w:basedOn w:val="CommentText"/>
    <w:next w:val="CommentText"/>
    <w:link w:val="CommentSubjectChar"/>
    <w:rsid w:val="00F9458C"/>
    <w:rPr>
      <w:b/>
      <w:bCs/>
    </w:rPr>
  </w:style>
  <w:style w:type="character" w:customStyle="1" w:styleId="CommentSubjectChar">
    <w:name w:val="Comment Subject Char"/>
    <w:basedOn w:val="CommentTextChar"/>
    <w:link w:val="CommentSubject"/>
    <w:rsid w:val="00F9458C"/>
    <w:rPr>
      <w:b/>
      <w:bCs/>
    </w:rPr>
  </w:style>
  <w:style w:type="paragraph" w:styleId="BalloonText">
    <w:name w:val="Balloon Text"/>
    <w:basedOn w:val="Normal"/>
    <w:link w:val="BalloonTextChar"/>
    <w:uiPriority w:val="99"/>
    <w:unhideWhenUsed/>
    <w:rsid w:val="00236A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36A6C"/>
    <w:rPr>
      <w:rFonts w:ascii="Tahoma" w:hAnsi="Tahoma" w:cs="Tahoma"/>
      <w:sz w:val="16"/>
      <w:szCs w:val="16"/>
    </w:rPr>
  </w:style>
  <w:style w:type="paragraph" w:styleId="FootnoteText">
    <w:name w:val="footnote text"/>
    <w:basedOn w:val="Normal"/>
    <w:link w:val="FootnoteTextChar"/>
    <w:rsid w:val="00236A6C"/>
    <w:pPr>
      <w:spacing w:after="120" w:line="240" w:lineRule="auto"/>
    </w:pPr>
    <w:rPr>
      <w:sz w:val="20"/>
    </w:rPr>
  </w:style>
  <w:style w:type="character" w:customStyle="1" w:styleId="FootnoteTextChar">
    <w:name w:val="Footnote Text Char"/>
    <w:basedOn w:val="DefaultParagraphFont"/>
    <w:link w:val="FootnoteText"/>
    <w:rsid w:val="00681DC0"/>
    <w:rPr>
      <w:rFonts w:ascii="Garamond" w:hAnsi="Garamond"/>
      <w:szCs w:val="24"/>
    </w:rPr>
  </w:style>
  <w:style w:type="character" w:styleId="Hyperlink">
    <w:name w:val="Hyperlink"/>
    <w:basedOn w:val="DefaultParagraphFont"/>
    <w:uiPriority w:val="99"/>
    <w:unhideWhenUsed/>
    <w:rsid w:val="0085239B"/>
    <w:rPr>
      <w:color w:val="0000FF"/>
      <w:u w:val="single"/>
    </w:rPr>
  </w:style>
  <w:style w:type="paragraph" w:customStyle="1" w:styleId="TableHeaderCenter">
    <w:name w:val="Table Header Center"/>
    <w:basedOn w:val="NormalSS"/>
    <w:qFormat/>
    <w:rsid w:val="00236A6C"/>
    <w:pPr>
      <w:spacing w:before="120" w:after="60"/>
      <w:ind w:firstLine="0"/>
      <w:jc w:val="center"/>
    </w:pPr>
    <w:rPr>
      <w:rFonts w:ascii="Arial" w:hAnsi="Arial"/>
      <w:sz w:val="18"/>
    </w:rPr>
  </w:style>
  <w:style w:type="paragraph" w:customStyle="1" w:styleId="TableHeaderLeft">
    <w:name w:val="Table Header Left"/>
    <w:basedOn w:val="NormalSS"/>
    <w:qFormat/>
    <w:rsid w:val="00236A6C"/>
    <w:pPr>
      <w:spacing w:before="120" w:after="60"/>
      <w:ind w:firstLine="0"/>
      <w:jc w:val="left"/>
    </w:pPr>
    <w:rPr>
      <w:rFonts w:ascii="Arial" w:hAnsi="Arial"/>
      <w:sz w:val="18"/>
    </w:rPr>
  </w:style>
  <w:style w:type="paragraph" w:customStyle="1" w:styleId="TableText">
    <w:name w:val="Table Text"/>
    <w:basedOn w:val="NormalSS"/>
    <w:qFormat/>
    <w:rsid w:val="00236A6C"/>
    <w:pPr>
      <w:tabs>
        <w:tab w:val="clear" w:pos="432"/>
      </w:tabs>
      <w:spacing w:after="0"/>
      <w:ind w:firstLine="0"/>
      <w:jc w:val="left"/>
    </w:pPr>
    <w:rPr>
      <w:rFonts w:ascii="Arial" w:hAnsi="Arial"/>
      <w:sz w:val="18"/>
    </w:rPr>
  </w:style>
  <w:style w:type="paragraph" w:styleId="ListParagraph">
    <w:name w:val="List Paragraph"/>
    <w:basedOn w:val="Normal"/>
    <w:uiPriority w:val="34"/>
    <w:qFormat/>
    <w:rsid w:val="00236A6C"/>
    <w:pPr>
      <w:numPr>
        <w:numId w:val="18"/>
      </w:numPr>
      <w:ind w:left="720" w:hanging="288"/>
      <w:contextualSpacing/>
    </w:pPr>
  </w:style>
  <w:style w:type="paragraph" w:styleId="Revision">
    <w:name w:val="Revision"/>
    <w:hidden/>
    <w:uiPriority w:val="99"/>
    <w:semiHidden/>
    <w:rsid w:val="00491FCF"/>
    <w:rPr>
      <w:szCs w:val="24"/>
    </w:rPr>
  </w:style>
  <w:style w:type="character" w:styleId="Strong">
    <w:name w:val="Strong"/>
    <w:basedOn w:val="DefaultParagraphFont"/>
    <w:uiPriority w:val="22"/>
    <w:qFormat/>
    <w:rsid w:val="004E2218"/>
    <w:rPr>
      <w:b/>
      <w:bCs/>
    </w:rPr>
  </w:style>
  <w:style w:type="paragraph" w:customStyle="1" w:styleId="NormalSS">
    <w:name w:val="NormalSS"/>
    <w:basedOn w:val="Normal"/>
    <w:link w:val="NormalSSChar"/>
    <w:qFormat/>
    <w:rsid w:val="00236A6C"/>
    <w:pPr>
      <w:spacing w:after="240" w:line="240" w:lineRule="auto"/>
    </w:pPr>
  </w:style>
  <w:style w:type="paragraph" w:styleId="BodyText3">
    <w:name w:val="Body Text 3"/>
    <w:basedOn w:val="Normal"/>
    <w:link w:val="BodyText3Char"/>
    <w:rsid w:val="004864C0"/>
    <w:pPr>
      <w:spacing w:after="120"/>
    </w:pPr>
    <w:rPr>
      <w:sz w:val="16"/>
      <w:szCs w:val="16"/>
    </w:rPr>
  </w:style>
  <w:style w:type="character" w:customStyle="1" w:styleId="BodyText3Char">
    <w:name w:val="Body Text 3 Char"/>
    <w:basedOn w:val="DefaultParagraphFont"/>
    <w:link w:val="BodyText3"/>
    <w:rsid w:val="004864C0"/>
    <w:rPr>
      <w:sz w:val="16"/>
      <w:szCs w:val="16"/>
    </w:rPr>
  </w:style>
  <w:style w:type="paragraph" w:customStyle="1" w:styleId="MarkforExhibitHeading">
    <w:name w:val="Mark for Exhibit Heading"/>
    <w:basedOn w:val="Normal"/>
    <w:next w:val="Normal"/>
    <w:qFormat/>
    <w:rsid w:val="00236A6C"/>
    <w:pPr>
      <w:keepNext/>
      <w:spacing w:after="60" w:line="240" w:lineRule="auto"/>
      <w:ind w:firstLine="0"/>
    </w:pPr>
    <w:rPr>
      <w:rFonts w:ascii="Arial" w:hAnsi="Arial"/>
      <w:b/>
      <w:sz w:val="18"/>
    </w:rPr>
  </w:style>
  <w:style w:type="paragraph" w:customStyle="1" w:styleId="BulletBlack">
    <w:name w:val="Bullet_Black"/>
    <w:basedOn w:val="Normal"/>
    <w:qFormat/>
    <w:rsid w:val="00236A6C"/>
    <w:pPr>
      <w:numPr>
        <w:numId w:val="9"/>
      </w:num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236A6C"/>
    <w:pPr>
      <w:spacing w:after="240"/>
    </w:pPr>
  </w:style>
  <w:style w:type="paragraph" w:customStyle="1" w:styleId="Bullet">
    <w:name w:val="Bullet"/>
    <w:qFormat/>
    <w:rsid w:val="00D80BA0"/>
    <w:pPr>
      <w:numPr>
        <w:numId w:val="11"/>
      </w:numPr>
      <w:tabs>
        <w:tab w:val="left" w:pos="360"/>
      </w:tabs>
      <w:spacing w:after="120"/>
      <w:ind w:left="720" w:right="360" w:hanging="288"/>
      <w:jc w:val="both"/>
    </w:pPr>
    <w:rPr>
      <w:sz w:val="24"/>
      <w:szCs w:val="24"/>
    </w:rPr>
  </w:style>
  <w:style w:type="paragraph" w:customStyle="1" w:styleId="NumberedBullet">
    <w:name w:val="Numbered Bullet"/>
    <w:basedOn w:val="Normal"/>
    <w:qFormat/>
    <w:rsid w:val="00236A6C"/>
    <w:pPr>
      <w:numPr>
        <w:numId w:val="12"/>
      </w:numPr>
      <w:tabs>
        <w:tab w:val="clear" w:pos="432"/>
        <w:tab w:val="clear" w:pos="792"/>
        <w:tab w:val="left" w:pos="360"/>
      </w:tabs>
      <w:spacing w:after="120" w:line="240" w:lineRule="auto"/>
      <w:ind w:left="720" w:right="360" w:hanging="288"/>
    </w:pPr>
  </w:style>
  <w:style w:type="character" w:customStyle="1" w:styleId="NormalSSChar">
    <w:name w:val="NormalSS Char"/>
    <w:basedOn w:val="DefaultParagraphFont"/>
    <w:link w:val="NormalSS"/>
    <w:locked/>
    <w:rsid w:val="00DE7EBB"/>
    <w:rPr>
      <w:rFonts w:ascii="Garamond" w:hAnsi="Garamond"/>
      <w:sz w:val="24"/>
      <w:szCs w:val="24"/>
    </w:rPr>
  </w:style>
  <w:style w:type="table" w:styleId="TableSimple1">
    <w:name w:val="Table Simple 1"/>
    <w:basedOn w:val="TableNormal"/>
    <w:rsid w:val="00520613"/>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520613"/>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rsid w:val="00D012D8"/>
    <w:rPr>
      <w:rFonts w:ascii="Garamond" w:hAnsi="Garamond"/>
      <w:b/>
      <w:caps/>
      <w:sz w:val="24"/>
      <w:szCs w:val="24"/>
    </w:rPr>
  </w:style>
  <w:style w:type="paragraph" w:styleId="BodyText">
    <w:name w:val="Body Text"/>
    <w:basedOn w:val="Normal"/>
    <w:link w:val="BodyTextChar"/>
    <w:rsid w:val="00D012D8"/>
    <w:pPr>
      <w:spacing w:after="120"/>
    </w:pPr>
  </w:style>
  <w:style w:type="character" w:customStyle="1" w:styleId="BodyTextChar">
    <w:name w:val="Body Text Char"/>
    <w:basedOn w:val="DefaultParagraphFont"/>
    <w:link w:val="BodyText"/>
    <w:rsid w:val="00D012D8"/>
    <w:rPr>
      <w:szCs w:val="24"/>
    </w:rPr>
  </w:style>
  <w:style w:type="character" w:customStyle="1" w:styleId="Heading3Char">
    <w:name w:val="Heading 3 Char"/>
    <w:basedOn w:val="DefaultParagraphFont"/>
    <w:link w:val="Heading3"/>
    <w:rsid w:val="00D012D8"/>
    <w:rPr>
      <w:rFonts w:ascii="Garamond" w:hAnsi="Garamond"/>
      <w:b/>
      <w:sz w:val="24"/>
      <w:szCs w:val="24"/>
    </w:rPr>
  </w:style>
  <w:style w:type="character" w:customStyle="1" w:styleId="Heading4Char">
    <w:name w:val="Heading 4 Char"/>
    <w:basedOn w:val="DefaultParagraphFont"/>
    <w:link w:val="Heading4"/>
    <w:rsid w:val="00625AD5"/>
    <w:rPr>
      <w:rFonts w:ascii="Garamond" w:hAnsi="Garamond"/>
      <w:b/>
      <w:sz w:val="24"/>
      <w:szCs w:val="24"/>
    </w:rPr>
  </w:style>
  <w:style w:type="character" w:customStyle="1" w:styleId="Heading5Char">
    <w:name w:val="Heading 5 Char"/>
    <w:aliases w:val="Heading 5 (business proposal only) Char"/>
    <w:basedOn w:val="DefaultParagraphFont"/>
    <w:link w:val="Heading5"/>
    <w:semiHidden/>
    <w:rsid w:val="00D012D8"/>
    <w:rPr>
      <w:rFonts w:ascii="Garamond" w:hAnsi="Garamond"/>
      <w:b/>
      <w:sz w:val="24"/>
      <w:szCs w:val="24"/>
    </w:rPr>
  </w:style>
  <w:style w:type="character" w:customStyle="1" w:styleId="Heading6Char">
    <w:name w:val="Heading 6 Char"/>
    <w:aliases w:val="Heading 6 (business proposal only) Char"/>
    <w:basedOn w:val="DefaultParagraphFont"/>
    <w:link w:val="Heading6"/>
    <w:semiHidden/>
    <w:rsid w:val="00D012D8"/>
    <w:rPr>
      <w:rFonts w:ascii="Garamond" w:hAnsi="Garamond"/>
      <w:sz w:val="24"/>
      <w:szCs w:val="24"/>
    </w:rPr>
  </w:style>
  <w:style w:type="character" w:customStyle="1" w:styleId="Heading7Char">
    <w:name w:val="Heading 7 Char"/>
    <w:aliases w:val="Heading 7 (business proposal only) Char"/>
    <w:basedOn w:val="DefaultParagraphFont"/>
    <w:link w:val="Heading7"/>
    <w:semiHidden/>
    <w:rsid w:val="00D012D8"/>
    <w:rPr>
      <w:rFonts w:ascii="Garamond" w:hAnsi="Garamond"/>
      <w:sz w:val="24"/>
      <w:szCs w:val="24"/>
    </w:rPr>
  </w:style>
  <w:style w:type="character" w:customStyle="1" w:styleId="Heading8Char">
    <w:name w:val="Heading 8 Char"/>
    <w:aliases w:val="Heading 8 (business proposal only) Char"/>
    <w:basedOn w:val="DefaultParagraphFont"/>
    <w:link w:val="Heading8"/>
    <w:semiHidden/>
    <w:rsid w:val="00D012D8"/>
    <w:rPr>
      <w:rFonts w:ascii="Garamond" w:hAnsi="Garamond"/>
      <w:sz w:val="24"/>
      <w:szCs w:val="24"/>
    </w:rPr>
  </w:style>
  <w:style w:type="character" w:customStyle="1" w:styleId="Heading9Char">
    <w:name w:val="Heading 9 Char"/>
    <w:aliases w:val="Heading 9 (business proposal only) Char"/>
    <w:basedOn w:val="DefaultParagraphFont"/>
    <w:link w:val="Heading9"/>
    <w:semiHidden/>
    <w:rsid w:val="00D012D8"/>
    <w:rPr>
      <w:rFonts w:ascii="Garamond" w:hAnsi="Garamond"/>
      <w:sz w:val="24"/>
      <w:szCs w:val="24"/>
    </w:rPr>
  </w:style>
  <w:style w:type="paragraph" w:styleId="TOC1">
    <w:name w:val="toc 1"/>
    <w:next w:val="Normalcontinued"/>
    <w:autoRedefine/>
    <w:uiPriority w:val="39"/>
    <w:qFormat/>
    <w:rsid w:val="00236A6C"/>
    <w:pPr>
      <w:tabs>
        <w:tab w:val="left" w:pos="1008"/>
        <w:tab w:val="right" w:leader="dot" w:pos="9360"/>
      </w:tabs>
      <w:spacing w:after="240"/>
      <w:ind w:left="1008" w:right="1080" w:hanging="1008"/>
    </w:pPr>
    <w:rPr>
      <w:rFonts w:ascii="Arial" w:hAnsi="Arial"/>
      <w:caps/>
      <w:sz w:val="24"/>
      <w:szCs w:val="24"/>
    </w:rPr>
  </w:style>
  <w:style w:type="paragraph" w:styleId="Footer">
    <w:name w:val="footer"/>
    <w:basedOn w:val="Normal"/>
    <w:link w:val="FooterChar"/>
    <w:qFormat/>
    <w:rsid w:val="00236A6C"/>
    <w:pPr>
      <w:tabs>
        <w:tab w:val="center" w:pos="4320"/>
        <w:tab w:val="right" w:pos="8640"/>
      </w:tabs>
      <w:spacing w:before="360" w:line="240" w:lineRule="auto"/>
    </w:pPr>
  </w:style>
  <w:style w:type="character" w:customStyle="1" w:styleId="FooterChar">
    <w:name w:val="Footer Char"/>
    <w:basedOn w:val="DefaultParagraphFont"/>
    <w:link w:val="Footer"/>
    <w:rsid w:val="00D012D8"/>
    <w:rPr>
      <w:rFonts w:ascii="Garamond" w:hAnsi="Garamond"/>
      <w:sz w:val="24"/>
      <w:szCs w:val="24"/>
    </w:rPr>
  </w:style>
  <w:style w:type="character" w:styleId="PageNumber">
    <w:name w:val="page number"/>
    <w:basedOn w:val="DefaultParagraphFont"/>
    <w:qFormat/>
    <w:rsid w:val="00236A6C"/>
    <w:rPr>
      <w:rFonts w:ascii="Garamond" w:hAnsi="Garamond"/>
      <w:sz w:val="24"/>
    </w:rPr>
  </w:style>
  <w:style w:type="paragraph" w:customStyle="1" w:styleId="Heading1Black">
    <w:name w:val="Heading 1_Black"/>
    <w:basedOn w:val="Normal"/>
    <w:next w:val="Normal"/>
    <w:qFormat/>
    <w:rsid w:val="0008078C"/>
    <w:pPr>
      <w:spacing w:before="240" w:after="240" w:line="240" w:lineRule="auto"/>
      <w:ind w:firstLine="0"/>
      <w:jc w:val="left"/>
      <w:outlineLvl w:val="0"/>
    </w:pPr>
    <w:rPr>
      <w:rFonts w:ascii="Arial" w:hAnsi="Arial"/>
      <w:b/>
      <w:caps/>
    </w:rPr>
  </w:style>
  <w:style w:type="paragraph" w:styleId="TOC2">
    <w:name w:val="toc 2"/>
    <w:next w:val="Normal"/>
    <w:autoRedefine/>
    <w:uiPriority w:val="39"/>
    <w:qFormat/>
    <w:rsid w:val="00236A6C"/>
    <w:pPr>
      <w:tabs>
        <w:tab w:val="left" w:pos="1440"/>
        <w:tab w:val="right" w:leader="dot" w:pos="9360"/>
      </w:tabs>
      <w:spacing w:after="240"/>
      <w:ind w:left="1440" w:right="1080" w:hanging="432"/>
    </w:pPr>
    <w:rPr>
      <w:rFonts w:ascii="Arial" w:hAnsi="Arial"/>
      <w:sz w:val="24"/>
      <w:szCs w:val="24"/>
    </w:rPr>
  </w:style>
  <w:style w:type="paragraph" w:styleId="TOC3">
    <w:name w:val="toc 3"/>
    <w:next w:val="Normal"/>
    <w:autoRedefine/>
    <w:uiPriority w:val="39"/>
    <w:qFormat/>
    <w:rsid w:val="00236A6C"/>
    <w:pPr>
      <w:tabs>
        <w:tab w:val="left" w:pos="1872"/>
        <w:tab w:val="right" w:leader="dot" w:pos="9360"/>
      </w:tabs>
      <w:ind w:left="1872" w:right="1080" w:hanging="432"/>
    </w:pPr>
    <w:rPr>
      <w:rFonts w:ascii="Arial" w:hAnsi="Arial"/>
      <w:sz w:val="24"/>
      <w:szCs w:val="24"/>
    </w:rPr>
  </w:style>
  <w:style w:type="paragraph" w:styleId="TOC4">
    <w:name w:val="toc 4"/>
    <w:next w:val="Normal"/>
    <w:autoRedefine/>
    <w:qFormat/>
    <w:rsid w:val="00236A6C"/>
    <w:pPr>
      <w:tabs>
        <w:tab w:val="left" w:pos="1440"/>
        <w:tab w:val="right" w:leader="dot" w:pos="9360"/>
      </w:tabs>
      <w:ind w:left="2390" w:hanging="475"/>
    </w:pPr>
    <w:rPr>
      <w:rFonts w:ascii="Arial" w:hAnsi="Arial"/>
      <w:noProof/>
      <w:sz w:val="24"/>
      <w:szCs w:val="24"/>
    </w:rPr>
  </w:style>
  <w:style w:type="paragraph" w:customStyle="1" w:styleId="Dash">
    <w:name w:val="Dash"/>
    <w:qFormat/>
    <w:rsid w:val="00236A6C"/>
    <w:pPr>
      <w:numPr>
        <w:numId w:val="19"/>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236A6C"/>
    <w:pPr>
      <w:tabs>
        <w:tab w:val="num" w:pos="1080"/>
      </w:tabs>
      <w:spacing w:after="240"/>
    </w:pPr>
  </w:style>
  <w:style w:type="paragraph" w:customStyle="1" w:styleId="Outline">
    <w:name w:val="Outline"/>
    <w:basedOn w:val="Normal"/>
    <w:semiHidden/>
    <w:qFormat/>
    <w:rsid w:val="00236A6C"/>
    <w:pPr>
      <w:tabs>
        <w:tab w:val="clear" w:pos="432"/>
      </w:tabs>
      <w:spacing w:after="240" w:line="240" w:lineRule="auto"/>
      <w:ind w:left="720" w:hanging="720"/>
    </w:pPr>
  </w:style>
  <w:style w:type="paragraph" w:styleId="EndnoteText">
    <w:name w:val="endnote text"/>
    <w:basedOn w:val="Normal"/>
    <w:link w:val="EndnoteTextChar"/>
    <w:rsid w:val="00236A6C"/>
    <w:pPr>
      <w:spacing w:after="240" w:line="240" w:lineRule="auto"/>
    </w:pPr>
  </w:style>
  <w:style w:type="character" w:customStyle="1" w:styleId="EndnoteTextChar">
    <w:name w:val="Endnote Text Char"/>
    <w:basedOn w:val="DefaultParagraphFont"/>
    <w:link w:val="EndnoteText"/>
    <w:rsid w:val="00D012D8"/>
    <w:rPr>
      <w:rFonts w:ascii="Garamond" w:hAnsi="Garamond"/>
      <w:sz w:val="24"/>
      <w:szCs w:val="24"/>
    </w:rPr>
  </w:style>
  <w:style w:type="character" w:styleId="EndnoteReference">
    <w:name w:val="endnote reference"/>
    <w:basedOn w:val="DefaultParagraphFont"/>
    <w:rsid w:val="00236A6C"/>
    <w:rPr>
      <w:vertAlign w:val="superscript"/>
    </w:rPr>
  </w:style>
  <w:style w:type="paragraph" w:customStyle="1" w:styleId="MarkforTableHeading">
    <w:name w:val="Mark for Table Heading"/>
    <w:basedOn w:val="Normal"/>
    <w:next w:val="Normal"/>
    <w:qFormat/>
    <w:rsid w:val="00236A6C"/>
    <w:pPr>
      <w:keepNext/>
      <w:spacing w:after="60" w:line="240" w:lineRule="auto"/>
      <w:ind w:firstLine="0"/>
    </w:pPr>
    <w:rPr>
      <w:rFonts w:ascii="Arial" w:hAnsi="Arial"/>
      <w:b/>
      <w:sz w:val="18"/>
    </w:rPr>
  </w:style>
  <w:style w:type="paragraph" w:customStyle="1" w:styleId="References">
    <w:name w:val="References"/>
    <w:basedOn w:val="Normal"/>
    <w:qFormat/>
    <w:rsid w:val="00236A6C"/>
    <w:pPr>
      <w:keepLines/>
      <w:spacing w:after="240" w:line="240" w:lineRule="auto"/>
      <w:ind w:left="432" w:hanging="432"/>
    </w:pPr>
  </w:style>
  <w:style w:type="paragraph" w:customStyle="1" w:styleId="MarkforFigureHeading">
    <w:name w:val="Mark for Figure Heading"/>
    <w:basedOn w:val="MarkforTableHeading"/>
    <w:next w:val="Normal"/>
    <w:qFormat/>
    <w:rsid w:val="00236A6C"/>
  </w:style>
  <w:style w:type="paragraph" w:styleId="TableofFigures">
    <w:name w:val="table of figures"/>
    <w:basedOn w:val="Normal"/>
    <w:next w:val="Normal"/>
    <w:rsid w:val="00236A6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236A6C"/>
    <w:rPr>
      <w:vanish/>
      <w:color w:val="FF0000"/>
    </w:rPr>
  </w:style>
  <w:style w:type="paragraph" w:customStyle="1" w:styleId="NumberedBulletLASTSS">
    <w:name w:val="Numbered Bullet (LAST SS)"/>
    <w:basedOn w:val="NumberedBullet"/>
    <w:next w:val="Normal"/>
    <w:qFormat/>
    <w:rsid w:val="00236A6C"/>
    <w:pPr>
      <w:spacing w:after="240"/>
    </w:pPr>
  </w:style>
  <w:style w:type="paragraph" w:styleId="Header">
    <w:name w:val="header"/>
    <w:basedOn w:val="Normal"/>
    <w:link w:val="HeaderChar"/>
    <w:qFormat/>
    <w:rsid w:val="00236A6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36A6C"/>
    <w:rPr>
      <w:rFonts w:ascii="Garamond" w:hAnsi="Garamond"/>
      <w:i/>
      <w:sz w:val="22"/>
      <w:szCs w:val="24"/>
    </w:rPr>
  </w:style>
  <w:style w:type="paragraph" w:customStyle="1" w:styleId="TableFootnoteCaption">
    <w:name w:val="Table Footnote_Caption"/>
    <w:basedOn w:val="NormalSS"/>
    <w:qFormat/>
    <w:rsid w:val="00236A6C"/>
    <w:pPr>
      <w:spacing w:after="120"/>
      <w:ind w:firstLine="0"/>
    </w:pPr>
    <w:rPr>
      <w:rFonts w:ascii="Arial" w:hAnsi="Arial"/>
      <w:sz w:val="18"/>
    </w:rPr>
  </w:style>
  <w:style w:type="paragraph" w:customStyle="1" w:styleId="Normalcontinued">
    <w:name w:val="Normal (continued)"/>
    <w:basedOn w:val="Normal"/>
    <w:next w:val="Normal"/>
    <w:qFormat/>
    <w:rsid w:val="00236A6C"/>
    <w:pPr>
      <w:ind w:firstLine="0"/>
    </w:pPr>
  </w:style>
  <w:style w:type="paragraph" w:customStyle="1" w:styleId="NormalSScontinued">
    <w:name w:val="NormalSS (continued)"/>
    <w:basedOn w:val="NormalSS"/>
    <w:next w:val="NormalSS"/>
    <w:qFormat/>
    <w:rsid w:val="00236A6C"/>
    <w:pPr>
      <w:ind w:firstLine="0"/>
    </w:pPr>
  </w:style>
  <w:style w:type="paragraph" w:customStyle="1" w:styleId="TableSourceCaption">
    <w:name w:val="Table Source_Caption"/>
    <w:basedOn w:val="NormalSS"/>
    <w:qFormat/>
    <w:rsid w:val="00236A6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236A6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236A6C"/>
    <w:rPr>
      <w:color w:val="C00000"/>
    </w:rPr>
  </w:style>
  <w:style w:type="paragraph" w:customStyle="1" w:styleId="AcknowledgmentnoTOCBlue">
    <w:name w:val="Acknowledgment no TOC_Blue"/>
    <w:basedOn w:val="AcknowledgmentnoTOCBlack"/>
    <w:next w:val="Normal"/>
    <w:qFormat/>
    <w:rsid w:val="00236A6C"/>
    <w:rPr>
      <w:color w:val="345294"/>
    </w:rPr>
  </w:style>
  <w:style w:type="paragraph" w:customStyle="1" w:styleId="BulletRed">
    <w:name w:val="Bullet_Red"/>
    <w:basedOn w:val="BulletBlack"/>
    <w:qFormat/>
    <w:rsid w:val="00236A6C"/>
    <w:pPr>
      <w:numPr>
        <w:numId w:val="22"/>
      </w:numPr>
      <w:ind w:left="720" w:hanging="288"/>
    </w:pPr>
  </w:style>
  <w:style w:type="paragraph" w:customStyle="1" w:styleId="BulletBlue">
    <w:name w:val="Bullet_Blue"/>
    <w:basedOn w:val="BulletBlack"/>
    <w:qFormat/>
    <w:rsid w:val="00236A6C"/>
    <w:pPr>
      <w:numPr>
        <w:numId w:val="20"/>
      </w:numPr>
      <w:ind w:left="720" w:hanging="288"/>
    </w:pPr>
  </w:style>
  <w:style w:type="paragraph" w:customStyle="1" w:styleId="BulletRedLastSS">
    <w:name w:val="Bullet_Red (Last SS)"/>
    <w:basedOn w:val="BulletBlackLastSS"/>
    <w:next w:val="NormalSS"/>
    <w:qFormat/>
    <w:rsid w:val="00236A6C"/>
    <w:pPr>
      <w:numPr>
        <w:numId w:val="23"/>
      </w:numPr>
      <w:ind w:left="720" w:hanging="288"/>
    </w:pPr>
  </w:style>
  <w:style w:type="paragraph" w:customStyle="1" w:styleId="BulletBlueLastSS">
    <w:name w:val="Bullet_Blue (Last SS)"/>
    <w:basedOn w:val="BulletBlackLastSS"/>
    <w:next w:val="NormalSS"/>
    <w:qFormat/>
    <w:rsid w:val="00236A6C"/>
    <w:pPr>
      <w:numPr>
        <w:numId w:val="21"/>
      </w:numPr>
      <w:ind w:left="720" w:hanging="288"/>
    </w:pPr>
  </w:style>
  <w:style w:type="paragraph" w:customStyle="1" w:styleId="BulletBlackLastDS">
    <w:name w:val="Bullet_Black (Last DS)"/>
    <w:basedOn w:val="BulletBlackLastSS"/>
    <w:next w:val="Normal"/>
    <w:qFormat/>
    <w:rsid w:val="00236A6C"/>
    <w:pPr>
      <w:spacing w:after="320"/>
    </w:pPr>
  </w:style>
  <w:style w:type="paragraph" w:customStyle="1" w:styleId="BulletRedLastDS">
    <w:name w:val="Bullet_Red (Last DS)"/>
    <w:basedOn w:val="BulletRedLastSS"/>
    <w:next w:val="Normal"/>
    <w:qFormat/>
    <w:rsid w:val="00236A6C"/>
    <w:pPr>
      <w:spacing w:after="320"/>
    </w:pPr>
  </w:style>
  <w:style w:type="paragraph" w:customStyle="1" w:styleId="BulletBlueLastDS">
    <w:name w:val="Bullet_Blue (Last DS)"/>
    <w:basedOn w:val="BulletBlackLastDS"/>
    <w:next w:val="Normal"/>
    <w:qFormat/>
    <w:rsid w:val="00236A6C"/>
    <w:pPr>
      <w:numPr>
        <w:numId w:val="24"/>
      </w:numPr>
      <w:ind w:left="720" w:hanging="288"/>
    </w:pPr>
  </w:style>
  <w:style w:type="paragraph" w:customStyle="1" w:styleId="Heading1Red">
    <w:name w:val="Heading 1_Red"/>
    <w:basedOn w:val="Heading1Black"/>
    <w:next w:val="Normal"/>
    <w:qFormat/>
    <w:rsid w:val="00236A6C"/>
    <w:rPr>
      <w:color w:val="C00000"/>
    </w:rPr>
  </w:style>
  <w:style w:type="paragraph" w:customStyle="1" w:styleId="Heading1Blue">
    <w:name w:val="Heading 1_Blue"/>
    <w:basedOn w:val="Heading1Black"/>
    <w:next w:val="Normal"/>
    <w:qFormat/>
    <w:rsid w:val="00236A6C"/>
    <w:rPr>
      <w:color w:val="345294"/>
    </w:rPr>
  </w:style>
  <w:style w:type="paragraph" w:customStyle="1" w:styleId="Heading2Black">
    <w:name w:val="Heading 2_Black"/>
    <w:basedOn w:val="Normal"/>
    <w:next w:val="Normal"/>
    <w:qFormat/>
    <w:rsid w:val="00236A6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236A6C"/>
    <w:rPr>
      <w:color w:val="C00000"/>
    </w:rPr>
  </w:style>
  <w:style w:type="paragraph" w:customStyle="1" w:styleId="Heading2Blue">
    <w:name w:val="Heading 2_Blue"/>
    <w:basedOn w:val="Heading2Black"/>
    <w:next w:val="Normal"/>
    <w:qFormat/>
    <w:rsid w:val="00236A6C"/>
    <w:rPr>
      <w:color w:val="345294"/>
    </w:rPr>
  </w:style>
  <w:style w:type="paragraph" w:customStyle="1" w:styleId="Heading2BlackNoTOC">
    <w:name w:val="Heading 2_Black No TOC"/>
    <w:basedOn w:val="Heading2Black"/>
    <w:next w:val="Normal"/>
    <w:qFormat/>
    <w:rsid w:val="00236A6C"/>
    <w:pPr>
      <w:outlineLvl w:val="8"/>
    </w:pPr>
  </w:style>
  <w:style w:type="paragraph" w:customStyle="1" w:styleId="Heading2RedNoTOC">
    <w:name w:val="Heading 2_Red No TOC"/>
    <w:basedOn w:val="Heading2Red"/>
    <w:next w:val="Normal"/>
    <w:qFormat/>
    <w:rsid w:val="00236A6C"/>
    <w:pPr>
      <w:outlineLvl w:val="8"/>
    </w:pPr>
  </w:style>
  <w:style w:type="paragraph" w:customStyle="1" w:styleId="Heading2BlueNoTOC">
    <w:name w:val="Heading 2_Blue No TOC"/>
    <w:basedOn w:val="Heading2Blue"/>
    <w:next w:val="Normal"/>
    <w:qFormat/>
    <w:rsid w:val="00236A6C"/>
    <w:pPr>
      <w:outlineLvl w:val="8"/>
    </w:pPr>
  </w:style>
  <w:style w:type="paragraph" w:customStyle="1" w:styleId="MarkforAttachmentHeadingBlack">
    <w:name w:val="Mark for Attachment Heading_Black"/>
    <w:basedOn w:val="Normal"/>
    <w:next w:val="Normal"/>
    <w:qFormat/>
    <w:rsid w:val="00236A6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236A6C"/>
    <w:rPr>
      <w:color w:val="C00000"/>
    </w:rPr>
  </w:style>
  <w:style w:type="paragraph" w:customStyle="1" w:styleId="MarkforAttachmentHeadingBlue">
    <w:name w:val="Mark for Attachment Heading_Blue"/>
    <w:basedOn w:val="MarkforAttachmentHeadingBlack"/>
    <w:next w:val="Normal"/>
    <w:qFormat/>
    <w:rsid w:val="00236A6C"/>
    <w:rPr>
      <w:color w:val="345294"/>
    </w:rPr>
  </w:style>
  <w:style w:type="paragraph" w:customStyle="1" w:styleId="MarkforAppendixHeadingBlack">
    <w:name w:val="Mark for Appendix Heading_Black"/>
    <w:basedOn w:val="Normal"/>
    <w:next w:val="Normal"/>
    <w:qFormat/>
    <w:rsid w:val="00236A6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36A6C"/>
    <w:rPr>
      <w:color w:val="C00000"/>
    </w:rPr>
  </w:style>
  <w:style w:type="paragraph" w:customStyle="1" w:styleId="MarkforAppendixHeadingBlue">
    <w:name w:val="Mark for Appendix Heading_Blue"/>
    <w:basedOn w:val="MarkforAppendixHeadingBlack"/>
    <w:next w:val="Normal"/>
    <w:qFormat/>
    <w:rsid w:val="00236A6C"/>
    <w:rPr>
      <w:color w:val="345294"/>
    </w:rPr>
  </w:style>
  <w:style w:type="paragraph" w:customStyle="1" w:styleId="NumberedBulletLastDS">
    <w:name w:val="Numbered Bullet (Last DS)"/>
    <w:basedOn w:val="NumberedBulletLASTSS"/>
    <w:next w:val="Normal"/>
    <w:qFormat/>
    <w:rsid w:val="00236A6C"/>
    <w:pPr>
      <w:spacing w:after="320"/>
    </w:pPr>
  </w:style>
  <w:style w:type="paragraph" w:customStyle="1" w:styleId="TableSignificanceCaption">
    <w:name w:val="Table Significance_Caption"/>
    <w:basedOn w:val="TableSourceCaption"/>
    <w:qFormat/>
    <w:rsid w:val="00236A6C"/>
    <w:pPr>
      <w:spacing w:after="0"/>
    </w:pPr>
  </w:style>
  <w:style w:type="paragraph" w:customStyle="1" w:styleId="TitleofDocumentVertical">
    <w:name w:val="Title of Document Vertical"/>
    <w:basedOn w:val="Normal"/>
    <w:qFormat/>
    <w:rsid w:val="00236A6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236A6C"/>
    <w:pPr>
      <w:spacing w:before="0" w:after="160"/>
    </w:pPr>
  </w:style>
  <w:style w:type="paragraph" w:customStyle="1" w:styleId="TitleofDocumentNoPhoto">
    <w:name w:val="Title of Document No Photo"/>
    <w:basedOn w:val="TitleofDocumentHorizontal"/>
    <w:qFormat/>
    <w:rsid w:val="00236A6C"/>
  </w:style>
  <w:style w:type="paragraph" w:customStyle="1" w:styleId="TableSpace">
    <w:name w:val="TableSpace"/>
    <w:basedOn w:val="TableSourceCaption"/>
    <w:next w:val="TableFootnoteCaption"/>
    <w:semiHidden/>
    <w:qFormat/>
    <w:rsid w:val="00236A6C"/>
    <w:pPr>
      <w:spacing w:after="0"/>
    </w:pPr>
  </w:style>
  <w:style w:type="table" w:customStyle="1" w:styleId="SMPRTableRed">
    <w:name w:val="SMPR_Table_Red"/>
    <w:basedOn w:val="TableNormal"/>
    <w:uiPriority w:val="99"/>
    <w:rsid w:val="00236A6C"/>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36A6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36A6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236A6C"/>
    <w:pPr>
      <w:tabs>
        <w:tab w:val="left" w:pos="1872"/>
        <w:tab w:val="right" w:leader="dot" w:pos="9360"/>
      </w:tabs>
      <w:spacing w:after="240"/>
      <w:ind w:left="1872" w:right="1080" w:hanging="1872"/>
    </w:pPr>
    <w:rPr>
      <w:rFonts w:ascii="Arial" w:hAnsi="Arial"/>
      <w:caps/>
      <w:sz w:val="24"/>
      <w:szCs w:val="24"/>
    </w:rPr>
  </w:style>
  <w:style w:type="paragraph" w:customStyle="1" w:styleId="Heading3NoTOC">
    <w:name w:val="Heading 3_No TOC"/>
    <w:basedOn w:val="Heading3"/>
    <w:next w:val="Normal"/>
    <w:qFormat/>
    <w:rsid w:val="00236A6C"/>
    <w:pPr>
      <w:outlineLvl w:val="8"/>
    </w:pPr>
  </w:style>
  <w:style w:type="numbering" w:customStyle="1" w:styleId="MPROutline">
    <w:name w:val="MPROutline"/>
    <w:uiPriority w:val="99"/>
    <w:rsid w:val="00236A6C"/>
    <w:pPr>
      <w:numPr>
        <w:numId w:val="35"/>
      </w:numPr>
    </w:pPr>
  </w:style>
  <w:style w:type="paragraph" w:styleId="TOC5">
    <w:name w:val="toc 5"/>
    <w:basedOn w:val="Normal"/>
    <w:next w:val="Normal"/>
    <w:autoRedefine/>
    <w:uiPriority w:val="39"/>
    <w:unhideWhenUsed/>
    <w:rsid w:val="00236A6C"/>
    <w:pPr>
      <w:tabs>
        <w:tab w:val="clear" w:pos="432"/>
      </w:tabs>
      <w:spacing w:after="100"/>
      <w:ind w:left="960"/>
    </w:pPr>
  </w:style>
  <w:style w:type="paragraph" w:styleId="TOC6">
    <w:name w:val="toc 6"/>
    <w:basedOn w:val="Normal"/>
    <w:next w:val="Normal"/>
    <w:autoRedefine/>
    <w:uiPriority w:val="39"/>
    <w:unhideWhenUsed/>
    <w:rsid w:val="00236A6C"/>
    <w:pPr>
      <w:tabs>
        <w:tab w:val="clear" w:pos="432"/>
      </w:tabs>
      <w:spacing w:after="100"/>
      <w:ind w:left="1200"/>
    </w:pPr>
  </w:style>
  <w:style w:type="paragraph" w:styleId="TOC7">
    <w:name w:val="toc 7"/>
    <w:basedOn w:val="Normal"/>
    <w:next w:val="Normal"/>
    <w:autoRedefine/>
    <w:uiPriority w:val="39"/>
    <w:unhideWhenUsed/>
    <w:rsid w:val="00236A6C"/>
    <w:pPr>
      <w:tabs>
        <w:tab w:val="clear" w:pos="432"/>
      </w:tabs>
      <w:spacing w:after="100"/>
      <w:ind w:left="1440"/>
    </w:pPr>
  </w:style>
  <w:style w:type="paragraph" w:styleId="TOC9">
    <w:name w:val="toc 9"/>
    <w:basedOn w:val="Normal"/>
    <w:next w:val="Normal"/>
    <w:autoRedefine/>
    <w:uiPriority w:val="39"/>
    <w:unhideWhenUsed/>
    <w:rsid w:val="00236A6C"/>
    <w:pPr>
      <w:tabs>
        <w:tab w:val="clear" w:pos="432"/>
      </w:tabs>
      <w:spacing w:after="100"/>
      <w:ind w:left="1920"/>
    </w:pPr>
  </w:style>
  <w:style w:type="character" w:styleId="FollowedHyperlink">
    <w:name w:val="FollowedHyperlink"/>
    <w:basedOn w:val="DefaultParagraphFont"/>
    <w:rsid w:val="00BC5E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0792">
      <w:bodyDiv w:val="1"/>
      <w:marLeft w:val="0"/>
      <w:marRight w:val="0"/>
      <w:marTop w:val="0"/>
      <w:marBottom w:val="0"/>
      <w:divBdr>
        <w:top w:val="none" w:sz="0" w:space="0" w:color="auto"/>
        <w:left w:val="none" w:sz="0" w:space="0" w:color="auto"/>
        <w:bottom w:val="none" w:sz="0" w:space="0" w:color="auto"/>
        <w:right w:val="none" w:sz="0" w:space="0" w:color="auto"/>
      </w:divBdr>
    </w:div>
    <w:div w:id="161243841">
      <w:bodyDiv w:val="1"/>
      <w:marLeft w:val="0"/>
      <w:marRight w:val="0"/>
      <w:marTop w:val="0"/>
      <w:marBottom w:val="0"/>
      <w:divBdr>
        <w:top w:val="none" w:sz="0" w:space="0" w:color="auto"/>
        <w:left w:val="none" w:sz="0" w:space="0" w:color="auto"/>
        <w:bottom w:val="none" w:sz="0" w:space="0" w:color="auto"/>
        <w:right w:val="none" w:sz="0" w:space="0" w:color="auto"/>
      </w:divBdr>
      <w:divsChild>
        <w:div w:id="983656722">
          <w:marLeft w:val="0"/>
          <w:marRight w:val="0"/>
          <w:marTop w:val="0"/>
          <w:marBottom w:val="0"/>
          <w:divBdr>
            <w:top w:val="none" w:sz="0" w:space="0" w:color="auto"/>
            <w:left w:val="none" w:sz="0" w:space="0" w:color="auto"/>
            <w:bottom w:val="none" w:sz="0" w:space="0" w:color="auto"/>
            <w:right w:val="none" w:sz="0" w:space="0" w:color="auto"/>
          </w:divBdr>
          <w:divsChild>
            <w:div w:id="306472378">
              <w:marLeft w:val="0"/>
              <w:marRight w:val="0"/>
              <w:marTop w:val="0"/>
              <w:marBottom w:val="0"/>
              <w:divBdr>
                <w:top w:val="none" w:sz="0" w:space="0" w:color="auto"/>
                <w:left w:val="none" w:sz="0" w:space="0" w:color="auto"/>
                <w:bottom w:val="none" w:sz="0" w:space="0" w:color="auto"/>
                <w:right w:val="none" w:sz="0" w:space="0" w:color="auto"/>
              </w:divBdr>
              <w:divsChild>
                <w:div w:id="1277833984">
                  <w:marLeft w:val="0"/>
                  <w:marRight w:val="0"/>
                  <w:marTop w:val="0"/>
                  <w:marBottom w:val="195"/>
                  <w:divBdr>
                    <w:top w:val="none" w:sz="0" w:space="0" w:color="auto"/>
                    <w:left w:val="none" w:sz="0" w:space="0" w:color="auto"/>
                    <w:bottom w:val="none" w:sz="0" w:space="0" w:color="auto"/>
                    <w:right w:val="none" w:sz="0" w:space="0" w:color="auto"/>
                  </w:divBdr>
                  <w:divsChild>
                    <w:div w:id="1933052223">
                      <w:marLeft w:val="0"/>
                      <w:marRight w:val="0"/>
                      <w:marTop w:val="0"/>
                      <w:marBottom w:val="0"/>
                      <w:divBdr>
                        <w:top w:val="none" w:sz="0" w:space="0" w:color="auto"/>
                        <w:left w:val="none" w:sz="0" w:space="0" w:color="auto"/>
                        <w:bottom w:val="none" w:sz="0" w:space="0" w:color="auto"/>
                        <w:right w:val="none" w:sz="0" w:space="0" w:color="auto"/>
                      </w:divBdr>
                      <w:divsChild>
                        <w:div w:id="1006322836">
                          <w:marLeft w:val="0"/>
                          <w:marRight w:val="0"/>
                          <w:marTop w:val="0"/>
                          <w:marBottom w:val="0"/>
                          <w:divBdr>
                            <w:top w:val="none" w:sz="0" w:space="0" w:color="auto"/>
                            <w:left w:val="none" w:sz="0" w:space="0" w:color="auto"/>
                            <w:bottom w:val="none" w:sz="0" w:space="0" w:color="auto"/>
                            <w:right w:val="none" w:sz="0" w:space="0" w:color="auto"/>
                          </w:divBdr>
                          <w:divsChild>
                            <w:div w:id="10140419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23454">
      <w:bodyDiv w:val="1"/>
      <w:marLeft w:val="0"/>
      <w:marRight w:val="0"/>
      <w:marTop w:val="0"/>
      <w:marBottom w:val="0"/>
      <w:divBdr>
        <w:top w:val="none" w:sz="0" w:space="0" w:color="auto"/>
        <w:left w:val="none" w:sz="0" w:space="0" w:color="auto"/>
        <w:bottom w:val="none" w:sz="0" w:space="0" w:color="auto"/>
        <w:right w:val="none" w:sz="0" w:space="0" w:color="auto"/>
      </w:divBdr>
      <w:divsChild>
        <w:div w:id="891497208">
          <w:marLeft w:val="0"/>
          <w:marRight w:val="0"/>
          <w:marTop w:val="0"/>
          <w:marBottom w:val="0"/>
          <w:divBdr>
            <w:top w:val="none" w:sz="0" w:space="0" w:color="auto"/>
            <w:left w:val="none" w:sz="0" w:space="0" w:color="auto"/>
            <w:bottom w:val="none" w:sz="0" w:space="0" w:color="auto"/>
            <w:right w:val="none" w:sz="0" w:space="0" w:color="auto"/>
          </w:divBdr>
          <w:divsChild>
            <w:div w:id="2023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1104">
      <w:bodyDiv w:val="1"/>
      <w:marLeft w:val="0"/>
      <w:marRight w:val="0"/>
      <w:marTop w:val="0"/>
      <w:marBottom w:val="0"/>
      <w:divBdr>
        <w:top w:val="none" w:sz="0" w:space="0" w:color="auto"/>
        <w:left w:val="none" w:sz="0" w:space="0" w:color="auto"/>
        <w:bottom w:val="none" w:sz="0" w:space="0" w:color="auto"/>
        <w:right w:val="none" w:sz="0" w:space="0" w:color="auto"/>
      </w:divBdr>
    </w:div>
    <w:div w:id="866799008">
      <w:bodyDiv w:val="1"/>
      <w:marLeft w:val="0"/>
      <w:marRight w:val="0"/>
      <w:marTop w:val="0"/>
      <w:marBottom w:val="0"/>
      <w:divBdr>
        <w:top w:val="none" w:sz="0" w:space="0" w:color="auto"/>
        <w:left w:val="none" w:sz="0" w:space="0" w:color="auto"/>
        <w:bottom w:val="none" w:sz="0" w:space="0" w:color="auto"/>
        <w:right w:val="none" w:sz="0" w:space="0" w:color="auto"/>
      </w:divBdr>
      <w:divsChild>
        <w:div w:id="1212771063">
          <w:marLeft w:val="0"/>
          <w:marRight w:val="0"/>
          <w:marTop w:val="0"/>
          <w:marBottom w:val="0"/>
          <w:divBdr>
            <w:top w:val="none" w:sz="0" w:space="0" w:color="auto"/>
            <w:left w:val="none" w:sz="0" w:space="0" w:color="auto"/>
            <w:bottom w:val="none" w:sz="0" w:space="0" w:color="auto"/>
            <w:right w:val="none" w:sz="0" w:space="0" w:color="auto"/>
          </w:divBdr>
          <w:divsChild>
            <w:div w:id="1078019509">
              <w:marLeft w:val="0"/>
              <w:marRight w:val="0"/>
              <w:marTop w:val="0"/>
              <w:marBottom w:val="0"/>
              <w:divBdr>
                <w:top w:val="none" w:sz="0" w:space="0" w:color="auto"/>
                <w:left w:val="none" w:sz="0" w:space="0" w:color="auto"/>
                <w:bottom w:val="none" w:sz="0" w:space="0" w:color="auto"/>
                <w:right w:val="none" w:sz="0" w:space="0" w:color="auto"/>
              </w:divBdr>
              <w:divsChild>
                <w:div w:id="1630864970">
                  <w:marLeft w:val="0"/>
                  <w:marRight w:val="0"/>
                  <w:marTop w:val="0"/>
                  <w:marBottom w:val="195"/>
                  <w:divBdr>
                    <w:top w:val="none" w:sz="0" w:space="0" w:color="auto"/>
                    <w:left w:val="none" w:sz="0" w:space="0" w:color="auto"/>
                    <w:bottom w:val="none" w:sz="0" w:space="0" w:color="auto"/>
                    <w:right w:val="none" w:sz="0" w:space="0" w:color="auto"/>
                  </w:divBdr>
                  <w:divsChild>
                    <w:div w:id="1107650770">
                      <w:marLeft w:val="0"/>
                      <w:marRight w:val="0"/>
                      <w:marTop w:val="0"/>
                      <w:marBottom w:val="0"/>
                      <w:divBdr>
                        <w:top w:val="none" w:sz="0" w:space="0" w:color="auto"/>
                        <w:left w:val="none" w:sz="0" w:space="0" w:color="auto"/>
                        <w:bottom w:val="none" w:sz="0" w:space="0" w:color="auto"/>
                        <w:right w:val="none" w:sz="0" w:space="0" w:color="auto"/>
                      </w:divBdr>
                      <w:divsChild>
                        <w:div w:id="2018921005">
                          <w:marLeft w:val="0"/>
                          <w:marRight w:val="0"/>
                          <w:marTop w:val="0"/>
                          <w:marBottom w:val="0"/>
                          <w:divBdr>
                            <w:top w:val="none" w:sz="0" w:space="0" w:color="auto"/>
                            <w:left w:val="none" w:sz="0" w:space="0" w:color="auto"/>
                            <w:bottom w:val="none" w:sz="0" w:space="0" w:color="auto"/>
                            <w:right w:val="none" w:sz="0" w:space="0" w:color="auto"/>
                          </w:divBdr>
                          <w:divsChild>
                            <w:div w:id="100370853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80001">
      <w:bodyDiv w:val="1"/>
      <w:marLeft w:val="0"/>
      <w:marRight w:val="0"/>
      <w:marTop w:val="0"/>
      <w:marBottom w:val="0"/>
      <w:divBdr>
        <w:top w:val="none" w:sz="0" w:space="0" w:color="auto"/>
        <w:left w:val="none" w:sz="0" w:space="0" w:color="auto"/>
        <w:bottom w:val="none" w:sz="0" w:space="0" w:color="auto"/>
        <w:right w:val="none" w:sz="0" w:space="0" w:color="auto"/>
      </w:divBdr>
      <w:divsChild>
        <w:div w:id="1136921008">
          <w:marLeft w:val="0"/>
          <w:marRight w:val="0"/>
          <w:marTop w:val="0"/>
          <w:marBottom w:val="0"/>
          <w:divBdr>
            <w:top w:val="none" w:sz="0" w:space="0" w:color="auto"/>
            <w:left w:val="none" w:sz="0" w:space="0" w:color="auto"/>
            <w:bottom w:val="none" w:sz="0" w:space="0" w:color="auto"/>
            <w:right w:val="none" w:sz="0" w:space="0" w:color="auto"/>
          </w:divBdr>
          <w:divsChild>
            <w:div w:id="889920806">
              <w:marLeft w:val="0"/>
              <w:marRight w:val="0"/>
              <w:marTop w:val="0"/>
              <w:marBottom w:val="0"/>
              <w:divBdr>
                <w:top w:val="none" w:sz="0" w:space="0" w:color="auto"/>
                <w:left w:val="none" w:sz="0" w:space="0" w:color="auto"/>
                <w:bottom w:val="none" w:sz="0" w:space="0" w:color="auto"/>
                <w:right w:val="none" w:sz="0" w:space="0" w:color="auto"/>
              </w:divBdr>
              <w:divsChild>
                <w:div w:id="397897600">
                  <w:marLeft w:val="0"/>
                  <w:marRight w:val="0"/>
                  <w:marTop w:val="0"/>
                  <w:marBottom w:val="0"/>
                  <w:divBdr>
                    <w:top w:val="none" w:sz="0" w:space="0" w:color="auto"/>
                    <w:left w:val="none" w:sz="0" w:space="0" w:color="auto"/>
                    <w:bottom w:val="none" w:sz="0" w:space="0" w:color="auto"/>
                    <w:right w:val="none" w:sz="0" w:space="0" w:color="auto"/>
                  </w:divBdr>
                  <w:divsChild>
                    <w:div w:id="958996553">
                      <w:marLeft w:val="0"/>
                      <w:marRight w:val="0"/>
                      <w:marTop w:val="0"/>
                      <w:marBottom w:val="0"/>
                      <w:divBdr>
                        <w:top w:val="none" w:sz="0" w:space="0" w:color="auto"/>
                        <w:left w:val="none" w:sz="0" w:space="0" w:color="auto"/>
                        <w:bottom w:val="none" w:sz="0" w:space="0" w:color="auto"/>
                        <w:right w:val="none" w:sz="0" w:space="0" w:color="auto"/>
                      </w:divBdr>
                      <w:divsChild>
                        <w:div w:id="1655333803">
                          <w:marLeft w:val="0"/>
                          <w:marRight w:val="0"/>
                          <w:marTop w:val="0"/>
                          <w:marBottom w:val="0"/>
                          <w:divBdr>
                            <w:top w:val="none" w:sz="0" w:space="0" w:color="auto"/>
                            <w:left w:val="none" w:sz="0" w:space="0" w:color="auto"/>
                            <w:bottom w:val="none" w:sz="0" w:space="0" w:color="auto"/>
                            <w:right w:val="none" w:sz="0" w:space="0" w:color="auto"/>
                          </w:divBdr>
                          <w:divsChild>
                            <w:div w:id="5687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588">
      <w:bodyDiv w:val="1"/>
      <w:marLeft w:val="0"/>
      <w:marRight w:val="0"/>
      <w:marTop w:val="0"/>
      <w:marBottom w:val="0"/>
      <w:divBdr>
        <w:top w:val="none" w:sz="0" w:space="0" w:color="auto"/>
        <w:left w:val="none" w:sz="0" w:space="0" w:color="auto"/>
        <w:bottom w:val="none" w:sz="0" w:space="0" w:color="auto"/>
        <w:right w:val="none" w:sz="0" w:space="0" w:color="auto"/>
      </w:divBdr>
    </w:div>
    <w:div w:id="993528342">
      <w:bodyDiv w:val="1"/>
      <w:marLeft w:val="0"/>
      <w:marRight w:val="0"/>
      <w:marTop w:val="0"/>
      <w:marBottom w:val="0"/>
      <w:divBdr>
        <w:top w:val="none" w:sz="0" w:space="0" w:color="auto"/>
        <w:left w:val="none" w:sz="0" w:space="0" w:color="auto"/>
        <w:bottom w:val="none" w:sz="0" w:space="0" w:color="auto"/>
        <w:right w:val="none" w:sz="0" w:space="0" w:color="auto"/>
      </w:divBdr>
      <w:divsChild>
        <w:div w:id="1559704311">
          <w:marLeft w:val="0"/>
          <w:marRight w:val="0"/>
          <w:marTop w:val="0"/>
          <w:marBottom w:val="0"/>
          <w:divBdr>
            <w:top w:val="none" w:sz="0" w:space="0" w:color="auto"/>
            <w:left w:val="none" w:sz="0" w:space="0" w:color="auto"/>
            <w:bottom w:val="none" w:sz="0" w:space="0" w:color="auto"/>
            <w:right w:val="none" w:sz="0" w:space="0" w:color="auto"/>
          </w:divBdr>
          <w:divsChild>
            <w:div w:id="27074581">
              <w:marLeft w:val="0"/>
              <w:marRight w:val="0"/>
              <w:marTop w:val="0"/>
              <w:marBottom w:val="0"/>
              <w:divBdr>
                <w:top w:val="none" w:sz="0" w:space="0" w:color="auto"/>
                <w:left w:val="none" w:sz="0" w:space="0" w:color="auto"/>
                <w:bottom w:val="none" w:sz="0" w:space="0" w:color="auto"/>
                <w:right w:val="none" w:sz="0" w:space="0" w:color="auto"/>
              </w:divBdr>
              <w:divsChild>
                <w:div w:id="1423791827">
                  <w:marLeft w:val="0"/>
                  <w:marRight w:val="0"/>
                  <w:marTop w:val="0"/>
                  <w:marBottom w:val="0"/>
                  <w:divBdr>
                    <w:top w:val="none" w:sz="0" w:space="0" w:color="auto"/>
                    <w:left w:val="none" w:sz="0" w:space="0" w:color="auto"/>
                    <w:bottom w:val="none" w:sz="0" w:space="0" w:color="auto"/>
                    <w:right w:val="none" w:sz="0" w:space="0" w:color="auto"/>
                  </w:divBdr>
                  <w:divsChild>
                    <w:div w:id="723721177">
                      <w:marLeft w:val="0"/>
                      <w:marRight w:val="0"/>
                      <w:marTop w:val="0"/>
                      <w:marBottom w:val="0"/>
                      <w:divBdr>
                        <w:top w:val="none" w:sz="0" w:space="0" w:color="auto"/>
                        <w:left w:val="none" w:sz="0" w:space="0" w:color="auto"/>
                        <w:bottom w:val="none" w:sz="0" w:space="0" w:color="auto"/>
                        <w:right w:val="none" w:sz="0" w:space="0" w:color="auto"/>
                      </w:divBdr>
                      <w:divsChild>
                        <w:div w:id="13267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60123">
      <w:bodyDiv w:val="1"/>
      <w:marLeft w:val="0"/>
      <w:marRight w:val="0"/>
      <w:marTop w:val="0"/>
      <w:marBottom w:val="0"/>
      <w:divBdr>
        <w:top w:val="none" w:sz="0" w:space="0" w:color="auto"/>
        <w:left w:val="none" w:sz="0" w:space="0" w:color="auto"/>
        <w:bottom w:val="none" w:sz="0" w:space="0" w:color="auto"/>
        <w:right w:val="none" w:sz="0" w:space="0" w:color="auto"/>
      </w:divBdr>
    </w:div>
    <w:div w:id="1674844508">
      <w:bodyDiv w:val="1"/>
      <w:marLeft w:val="0"/>
      <w:marRight w:val="0"/>
      <w:marTop w:val="0"/>
      <w:marBottom w:val="0"/>
      <w:divBdr>
        <w:top w:val="none" w:sz="0" w:space="0" w:color="auto"/>
        <w:left w:val="none" w:sz="0" w:space="0" w:color="auto"/>
        <w:bottom w:val="none" w:sz="0" w:space="0" w:color="auto"/>
        <w:right w:val="none" w:sz="0" w:space="0" w:color="auto"/>
      </w:divBdr>
    </w:div>
    <w:div w:id="1923294363">
      <w:bodyDiv w:val="1"/>
      <w:marLeft w:val="0"/>
      <w:marRight w:val="0"/>
      <w:marTop w:val="0"/>
      <w:marBottom w:val="0"/>
      <w:divBdr>
        <w:top w:val="none" w:sz="0" w:space="0" w:color="auto"/>
        <w:left w:val="none" w:sz="0" w:space="0" w:color="auto"/>
        <w:bottom w:val="none" w:sz="0" w:space="0" w:color="auto"/>
        <w:right w:val="none" w:sz="0" w:space="0" w:color="auto"/>
      </w:divBdr>
      <w:divsChild>
        <w:div w:id="602155798">
          <w:marLeft w:val="0"/>
          <w:marRight w:val="0"/>
          <w:marTop w:val="136"/>
          <w:marBottom w:val="136"/>
          <w:divBdr>
            <w:top w:val="single" w:sz="6" w:space="0" w:color="9B9A7A"/>
            <w:left w:val="single" w:sz="6" w:space="0" w:color="9B9A7A"/>
            <w:bottom w:val="single" w:sz="6" w:space="0" w:color="9B9A7A"/>
            <w:right w:val="single" w:sz="6" w:space="0" w:color="9B9A7A"/>
          </w:divBdr>
          <w:divsChild>
            <w:div w:id="1430002210">
              <w:marLeft w:val="0"/>
              <w:marRight w:val="0"/>
              <w:marTop w:val="0"/>
              <w:marBottom w:val="0"/>
              <w:divBdr>
                <w:top w:val="none" w:sz="0" w:space="0" w:color="auto"/>
                <w:left w:val="none" w:sz="0" w:space="0" w:color="auto"/>
                <w:bottom w:val="none" w:sz="0" w:space="0" w:color="auto"/>
                <w:right w:val="none" w:sz="0" w:space="0" w:color="auto"/>
              </w:divBdr>
              <w:divsChild>
                <w:div w:id="1623196558">
                  <w:marLeft w:val="2921"/>
                  <w:marRight w:val="204"/>
                  <w:marTop w:val="0"/>
                  <w:marBottom w:val="0"/>
                  <w:divBdr>
                    <w:top w:val="none" w:sz="0" w:space="0" w:color="auto"/>
                    <w:left w:val="none" w:sz="0" w:space="0" w:color="auto"/>
                    <w:bottom w:val="none" w:sz="0" w:space="0" w:color="auto"/>
                    <w:right w:val="none" w:sz="0" w:space="0" w:color="auto"/>
                  </w:divBdr>
                  <w:divsChild>
                    <w:div w:id="18546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92A27-2078-4E5C-A475-9DA4CDC3B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C62A4E-3A86-4504-8E6B-DAE68594A0F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43E22BC4-B4DF-406C-BE19-2EF89E4D85AE}">
  <ds:schemaRefs>
    <ds:schemaRef ds:uri="http://schemas.microsoft.com/sharepoint/v3/contenttype/forms"/>
  </ds:schemaRefs>
</ds:datastoreItem>
</file>

<file path=customXml/itemProps4.xml><?xml version="1.0" encoding="utf-8"?>
<ds:datastoreItem xmlns:ds="http://schemas.openxmlformats.org/officeDocument/2006/customXml" ds:itemID="{5845315F-E3C1-4D60-84FE-2CD28F16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2</TotalTime>
  <Pages>15</Pages>
  <Words>5146</Words>
  <Characters>30175</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35251</CharactersWithSpaces>
  <SharedDoc>false</SharedDoc>
  <HLinks>
    <vt:vector size="42" baseType="variant">
      <vt:variant>
        <vt:i4>5242991</vt:i4>
      </vt:variant>
      <vt:variant>
        <vt:i4>18</vt:i4>
      </vt:variant>
      <vt:variant>
        <vt:i4>0</vt:i4>
      </vt:variant>
      <vt:variant>
        <vt:i4>5</vt:i4>
      </vt:variant>
      <vt:variant>
        <vt:lpwstr>mailto:Joel.sherrill@nih.hhs.gov</vt:lpwstr>
      </vt:variant>
      <vt:variant>
        <vt:lpwstr/>
      </vt:variant>
      <vt:variant>
        <vt:i4>3342361</vt:i4>
      </vt:variant>
      <vt:variant>
        <vt:i4>15</vt:i4>
      </vt:variant>
      <vt:variant>
        <vt:i4>0</vt:i4>
      </vt:variant>
      <vt:variant>
        <vt:i4>5</vt:i4>
      </vt:variant>
      <vt:variant>
        <vt:lpwstr>mailto:d.e.b.potter@ahrq.hhs.gov</vt:lpwstr>
      </vt:variant>
      <vt:variant>
        <vt:lpwstr/>
      </vt:variant>
      <vt:variant>
        <vt:i4>7995409</vt:i4>
      </vt:variant>
      <vt:variant>
        <vt:i4>12</vt:i4>
      </vt:variant>
      <vt:variant>
        <vt:i4>0</vt:i4>
      </vt:variant>
      <vt:variant>
        <vt:i4>5</vt:i4>
      </vt:variant>
      <vt:variant>
        <vt:lpwstr>mailto:kirsten.beronio@hhs.gov</vt:lpwstr>
      </vt:variant>
      <vt:variant>
        <vt:lpwstr/>
      </vt:variant>
      <vt:variant>
        <vt:i4>7798799</vt:i4>
      </vt:variant>
      <vt:variant>
        <vt:i4>9</vt:i4>
      </vt:variant>
      <vt:variant>
        <vt:i4>0</vt:i4>
      </vt:variant>
      <vt:variant>
        <vt:i4>5</vt:i4>
      </vt:variant>
      <vt:variant>
        <vt:lpwstr>mailto:Zoellner@u.washington.edu</vt:lpwstr>
      </vt:variant>
      <vt:variant>
        <vt:lpwstr/>
      </vt:variant>
      <vt:variant>
        <vt:i4>327739</vt:i4>
      </vt:variant>
      <vt:variant>
        <vt:i4>6</vt:i4>
      </vt:variant>
      <vt:variant>
        <vt:i4>0</vt:i4>
      </vt:variant>
      <vt:variant>
        <vt:i4>5</vt:i4>
      </vt:variant>
      <vt:variant>
        <vt:lpwstr>mailto:brothba@emory.edu</vt:lpwstr>
      </vt:variant>
      <vt:variant>
        <vt:lpwstr/>
      </vt:variant>
      <vt:variant>
        <vt:i4>1572991</vt:i4>
      </vt:variant>
      <vt:variant>
        <vt:i4>3</vt:i4>
      </vt:variant>
      <vt:variant>
        <vt:i4>0</vt:i4>
      </vt:variant>
      <vt:variant>
        <vt:i4>5</vt:i4>
      </vt:variant>
      <vt:variant>
        <vt:lpwstr>mailto:Patricia.resick@va.gov</vt:lpwstr>
      </vt:variant>
      <vt:variant>
        <vt:lpwstr/>
      </vt:variant>
      <vt:variant>
        <vt:i4>5243002</vt:i4>
      </vt:variant>
      <vt:variant>
        <vt:i4>0</vt:i4>
      </vt:variant>
      <vt:variant>
        <vt:i4>0</vt:i4>
      </vt:variant>
      <vt:variant>
        <vt:i4>5</vt:i4>
      </vt:variant>
      <vt:variant>
        <vt:lpwstr>mailto:foa@mail.med.upenn.edu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Funn, Sherrette (OS/ASA/OCIO/OEA)</cp:lastModifiedBy>
  <cp:revision>2</cp:revision>
  <cp:lastPrinted>2013-10-29T16:51:00Z</cp:lastPrinted>
  <dcterms:created xsi:type="dcterms:W3CDTF">2014-02-26T17:37:00Z</dcterms:created>
  <dcterms:modified xsi:type="dcterms:W3CDTF">2014-02-26T17:37:00Z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