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A7" w:rsidRPr="00FE3614" w:rsidRDefault="00DF6DC1" w:rsidP="006012AD">
      <w:pPr>
        <w:pStyle w:val="TitlePageTitle"/>
        <w:rPr>
          <w:rFonts w:ascii="Arial" w:hAnsi="Arial" w:cs="Arial"/>
        </w:rPr>
      </w:pPr>
      <w:r>
        <w:rPr>
          <w:rFonts w:ascii="Arial" w:hAnsi="Arial" w:cs="Arial"/>
        </w:rPr>
        <w:t xml:space="preserve"> </w:t>
      </w:r>
      <w:r w:rsidR="00BE6E55" w:rsidRPr="00FE3614">
        <w:rPr>
          <w:rFonts w:ascii="Arial" w:hAnsi="Arial" w:cs="Arial"/>
        </w:rPr>
        <w:t>Supporting Statement</w:t>
      </w:r>
      <w:r w:rsidR="003C6BFB" w:rsidRPr="00FE3614">
        <w:rPr>
          <w:rFonts w:ascii="Arial" w:hAnsi="Arial" w:cs="Arial"/>
        </w:rPr>
        <w:t xml:space="preserve"> A</w:t>
      </w:r>
      <w:r w:rsidR="00E8142E" w:rsidRPr="00FE3614">
        <w:rPr>
          <w:rFonts w:ascii="Arial" w:hAnsi="Arial" w:cs="Arial"/>
        </w:rPr>
        <w:t xml:space="preserve"> for</w:t>
      </w:r>
      <w:r w:rsidR="00BE6E55" w:rsidRPr="00FE3614">
        <w:rPr>
          <w:rFonts w:ascii="Arial" w:hAnsi="Arial" w:cs="Arial"/>
        </w:rPr>
        <w:br/>
      </w:r>
      <w:r w:rsidR="00753D7A" w:rsidRPr="00753D7A">
        <w:rPr>
          <w:rFonts w:ascii="Arial" w:hAnsi="Arial" w:cs="Arial"/>
        </w:rPr>
        <w:t xml:space="preserve">Support and Services at Home </w:t>
      </w:r>
      <w:r w:rsidR="006012AD">
        <w:rPr>
          <w:rFonts w:ascii="Arial" w:hAnsi="Arial" w:cs="Arial"/>
        </w:rPr>
        <w:t xml:space="preserve">(SASH) </w:t>
      </w:r>
      <w:r w:rsidR="000523D3">
        <w:rPr>
          <w:rFonts w:ascii="Arial" w:hAnsi="Arial" w:cs="Arial"/>
        </w:rPr>
        <w:t>Evolution</w:t>
      </w:r>
      <w:r w:rsidR="00C443EF" w:rsidRPr="00753D7A">
        <w:rPr>
          <w:rFonts w:ascii="Arial" w:hAnsi="Arial" w:cs="Arial"/>
        </w:rPr>
        <w:t>:</w:t>
      </w:r>
      <w:r w:rsidR="00C443EF">
        <w:rPr>
          <w:rFonts w:ascii="Arial" w:hAnsi="Arial" w:cs="Arial"/>
          <w:bCs/>
        </w:rPr>
        <w:t xml:space="preserve"> </w:t>
      </w:r>
      <w:r w:rsidR="00753D7A">
        <w:rPr>
          <w:rFonts w:ascii="Arial" w:hAnsi="Arial" w:cs="Arial"/>
          <w:bCs/>
        </w:rPr>
        <w:t xml:space="preserve">                                                          </w:t>
      </w:r>
      <w:r w:rsidR="00390AA7" w:rsidRPr="00FE3614">
        <w:rPr>
          <w:rFonts w:ascii="Arial" w:hAnsi="Arial" w:cs="Arial"/>
        </w:rPr>
        <w:t>Conduct</w:t>
      </w:r>
      <w:r w:rsidR="00C11479">
        <w:rPr>
          <w:rFonts w:ascii="Arial" w:hAnsi="Arial" w:cs="Arial"/>
        </w:rPr>
        <w:t xml:space="preserve"> </w:t>
      </w:r>
      <w:r w:rsidR="00390AA7" w:rsidRPr="00FE3614">
        <w:rPr>
          <w:rFonts w:ascii="Arial" w:hAnsi="Arial" w:cs="Arial"/>
        </w:rPr>
        <w:t>Beneficiary Survey</w:t>
      </w:r>
    </w:p>
    <w:p w:rsidR="00BE6E55" w:rsidRPr="00FE3614" w:rsidRDefault="00BE6E55" w:rsidP="00BE6E55">
      <w:pPr>
        <w:pStyle w:val="BodyText"/>
        <w:rPr>
          <w:b/>
          <w:szCs w:val="24"/>
        </w:rPr>
      </w:pPr>
    </w:p>
    <w:p w:rsidR="005A7CD5" w:rsidRDefault="005A7CD5" w:rsidP="005A7CD5">
      <w:pPr>
        <w:pStyle w:val="RTIText"/>
      </w:pPr>
      <w:r>
        <w:t>RTI International</w:t>
      </w:r>
    </w:p>
    <w:p w:rsidR="005A7CD5" w:rsidRDefault="00A95815" w:rsidP="005A7CD5">
      <w:pPr>
        <w:pStyle w:val="TitlePageText2"/>
      </w:pPr>
      <w:r>
        <w:t>Updated Feb 2014</w:t>
      </w:r>
    </w:p>
    <w:p w:rsidR="00AF2FCC" w:rsidRDefault="00AF2FCC" w:rsidP="005A7CD5">
      <w:pPr>
        <w:pStyle w:val="DisclaimerText2"/>
      </w:pPr>
    </w:p>
    <w:p w:rsidR="008A2550" w:rsidRDefault="008A2550">
      <w:pPr>
        <w:rPr>
          <w:b/>
          <w:caps/>
          <w:szCs w:val="24"/>
        </w:rPr>
      </w:pPr>
      <w:r>
        <w:br w:type="page"/>
      </w:r>
    </w:p>
    <w:p w:rsidR="00BE6E55" w:rsidRPr="00FE3614" w:rsidRDefault="00BE6E55" w:rsidP="008B628D">
      <w:pPr>
        <w:pStyle w:val="Heading1"/>
      </w:pPr>
      <w:bookmarkStart w:id="0" w:name="_Toc88033459"/>
      <w:bookmarkStart w:id="1" w:name="_Toc162169918"/>
      <w:bookmarkStart w:id="2" w:name="_Toc245121118"/>
      <w:bookmarkStart w:id="3" w:name="_Toc163267770"/>
      <w:bookmarkStart w:id="4" w:name="_Toc163268016"/>
      <w:r w:rsidRPr="00FE3614">
        <w:t>A.</w:t>
      </w:r>
      <w:r w:rsidRPr="00FE3614">
        <w:tab/>
      </w:r>
      <w:bookmarkEnd w:id="0"/>
      <w:bookmarkEnd w:id="1"/>
      <w:r w:rsidR="00AD77BE" w:rsidRPr="00FE3614">
        <w:t>BACKGROUND</w:t>
      </w:r>
      <w:bookmarkEnd w:id="2"/>
      <w:r w:rsidR="00C11479">
        <w:t xml:space="preserve"> </w:t>
      </w:r>
    </w:p>
    <w:p w:rsidR="008164A2" w:rsidRPr="00FE3614" w:rsidRDefault="008164A2">
      <w:pPr>
        <w:pStyle w:val="bodytextChar0"/>
        <w:ind w:firstLine="0"/>
        <w:rPr>
          <w:rFonts w:ascii="Times New Roman" w:hAnsi="Times New Roman"/>
          <w:szCs w:val="24"/>
        </w:rPr>
      </w:pPr>
    </w:p>
    <w:p w:rsidR="00753D7A" w:rsidRPr="00BB5025" w:rsidRDefault="00753D7A" w:rsidP="00753D7A">
      <w:pPr>
        <w:pStyle w:val="BodyText"/>
        <w:ind w:firstLine="0"/>
        <w:rPr>
          <w:szCs w:val="24"/>
        </w:rPr>
      </w:pPr>
      <w:r w:rsidRPr="00BB5025">
        <w:rPr>
          <w:szCs w:val="24"/>
        </w:rPr>
        <w:t>Older adults prefer to remain as independent as possible for as long as possible and “age in place” in their own communities. Advanced age, however, increases the likelihood of chronic illness, frailty, and disability and consequently places some older adults in greater need of health and long-term services and supports (AARP, 2009; National Center for Health Statistics, 2007; Redford &amp; Cook, 2001). How well older adults function is affected by the demands of their housing and social environment and by its adaptive attributes (Lawton, 1976). Today, a large and rapidly expanding pool of lower-income seniors face the dual challenges of finding and maintaining affordable housing that can adapt to their changing needs should they become ill or disabled as they age. An estimated 1.9 million elderly individuals live in publicly assisted housing (Wilden &amp; Redfoot, 2002). A potential approach to help these lower-income older adults meet their health and functional challenges involves capitalizing on independent, publicly assisted, multi-unit rental properties either designated for low-income seniors or located where large numbers of seniors live. Organizing a system of health and long-term services and supports around this type of housing may result in a number of potential benefits. Because publicly assisted housing provides a critical mass of elderly residents in one place, an economy of scale can be achieved in organizing, delivering, and purchasing services, increasing efficiency and affordability.</w:t>
      </w:r>
    </w:p>
    <w:p w:rsidR="00753D7A" w:rsidRDefault="00753D7A" w:rsidP="00715D98">
      <w:pPr>
        <w:pStyle w:val="BodyText"/>
        <w:spacing w:after="0"/>
        <w:ind w:firstLine="0"/>
        <w:rPr>
          <w:szCs w:val="24"/>
        </w:rPr>
      </w:pPr>
      <w:r w:rsidRPr="00BB5025">
        <w:rPr>
          <w:szCs w:val="24"/>
        </w:rPr>
        <w:t>In 2008, Cathedral Square Corporation (CSC) in South Burlington, Vermont, began developing the Support and Services at Home (SASH) program out of concern that frail residents in its properties were not able to access or receive adequate supports to remain safely in their homes. CSC believed that affordable housing providers could offer several advantages to the health and long-term services and supports systems, including (1) a concentration of individuals whose high incidence of health care and long-term care use (and accompanying high costs) the state would like to address, (2)  the  economies of scale that result from easy access to this concentrated community of high cost beneficiaries, (3) a realistic and holistic view of these users’ daily lives, and (4) assets in the form of staff, information, and infrastructure. With the efficiency and reach they provide, CSC believes housing providers could assist in achieving many of Vermont’s health-care reform goals. The SASH program links staff based in the housing property (a SASH coordinator and wellness nurse) with a team of community-based health and supportive services providers to help older adults coordinate and manage their care needs. Using evidence-based practices, key services include assessment by a multidisciplinary team, creation of an individualized care plan, on-site nursing and care coordination with team members and other local partners, and community activities to support health and wellness. SASH is anchored in affordable senior housing properties, serving residents in the property and seniors living in the surrounding community.</w:t>
      </w:r>
    </w:p>
    <w:p w:rsidR="00BD5E56" w:rsidRDefault="00BD5E56" w:rsidP="00715D98">
      <w:pPr>
        <w:pStyle w:val="BodyText"/>
        <w:spacing w:after="0"/>
        <w:ind w:firstLine="0"/>
        <w:rPr>
          <w:szCs w:val="24"/>
        </w:rPr>
      </w:pPr>
    </w:p>
    <w:p w:rsidR="00945DDA" w:rsidRDefault="00BD5E56" w:rsidP="00BD5E56">
      <w:pPr>
        <w:pStyle w:val="BodyText"/>
        <w:spacing w:after="0"/>
        <w:rPr>
          <w:szCs w:val="24"/>
        </w:rPr>
      </w:pPr>
      <w:r w:rsidRPr="00BD5E56">
        <w:rPr>
          <w:szCs w:val="24"/>
        </w:rPr>
        <w:t xml:space="preserve">In 2010, the state of Vermont applied to join the CMS </w:t>
      </w:r>
      <w:r>
        <w:rPr>
          <w:szCs w:val="24"/>
        </w:rPr>
        <w:t xml:space="preserve">Multi-payer Advanced Primary Care Practice (MAPCP) </w:t>
      </w:r>
      <w:r w:rsidRPr="00BD5E56">
        <w:rPr>
          <w:szCs w:val="24"/>
        </w:rPr>
        <w:t xml:space="preserve">Demonstration. </w:t>
      </w:r>
      <w:r w:rsidR="00945DDA">
        <w:rPr>
          <w:szCs w:val="24"/>
        </w:rPr>
        <w:t xml:space="preserve">The </w:t>
      </w:r>
      <w:r w:rsidR="00945DDA" w:rsidRPr="00945DDA">
        <w:rPr>
          <w:szCs w:val="24"/>
        </w:rPr>
        <w:t>MAPCP</w:t>
      </w:r>
      <w:r w:rsidR="00945DDA">
        <w:rPr>
          <w:szCs w:val="24"/>
        </w:rPr>
        <w:t xml:space="preserve"> </w:t>
      </w:r>
      <w:r w:rsidR="00945DDA" w:rsidRPr="00945DDA">
        <w:rPr>
          <w:szCs w:val="24"/>
        </w:rPr>
        <w:t xml:space="preserve">Demonstration aims to promote the principles of the patient-centered medical home (PCMH) by helping fund participating practices and Community Health Teams (CHTs). A medical home, in broad terms, is a physician-directed practice that provides care that is “accessible, continuous, comprehensive and coordinated and delivered in the context of family and community” (AOA 2007; Barr 2008). </w:t>
      </w:r>
      <w:r w:rsidR="00945DDA" w:rsidRPr="00BD5E56">
        <w:rPr>
          <w:szCs w:val="24"/>
        </w:rPr>
        <w:t xml:space="preserve">As the state began preparing its MAPCP Demonstration application, the state </w:t>
      </w:r>
      <w:r w:rsidR="00684619">
        <w:rPr>
          <w:szCs w:val="24"/>
        </w:rPr>
        <w:t xml:space="preserve">decided to incorporate </w:t>
      </w:r>
      <w:r w:rsidR="00945DDA" w:rsidRPr="00BD5E56">
        <w:rPr>
          <w:szCs w:val="24"/>
        </w:rPr>
        <w:t xml:space="preserve">the SASH program as </w:t>
      </w:r>
      <w:r w:rsidR="00684619">
        <w:rPr>
          <w:szCs w:val="24"/>
        </w:rPr>
        <w:t>an extender</w:t>
      </w:r>
      <w:r w:rsidR="00945DDA" w:rsidRPr="00BD5E56">
        <w:rPr>
          <w:szCs w:val="24"/>
        </w:rPr>
        <w:t xml:space="preserve"> of the CHTs.</w:t>
      </w:r>
      <w:r w:rsidR="003B3C7F">
        <w:rPr>
          <w:szCs w:val="24"/>
        </w:rPr>
        <w:t xml:space="preserve"> </w:t>
      </w:r>
      <w:r w:rsidR="003B3C7F" w:rsidRPr="003B3C7F">
        <w:rPr>
          <w:szCs w:val="24"/>
        </w:rPr>
        <w:t>In July of 2011, the SASH program was officially launched with the opening of the Heinsberg panel</w:t>
      </w:r>
      <w:r w:rsidR="003B3C7F">
        <w:rPr>
          <w:szCs w:val="24"/>
        </w:rPr>
        <w:t xml:space="preserve">. </w:t>
      </w:r>
    </w:p>
    <w:p w:rsidR="00945DDA" w:rsidRDefault="00945DDA" w:rsidP="00BD5E56">
      <w:pPr>
        <w:pStyle w:val="BodyText"/>
        <w:spacing w:after="0"/>
        <w:rPr>
          <w:szCs w:val="24"/>
        </w:rPr>
      </w:pPr>
    </w:p>
    <w:p w:rsidR="00753D7A" w:rsidRDefault="00753D7A" w:rsidP="00945DDA">
      <w:pPr>
        <w:pStyle w:val="BodyText"/>
        <w:rPr>
          <w:szCs w:val="24"/>
        </w:rPr>
      </w:pPr>
      <w:r>
        <w:rPr>
          <w:rFonts w:eastAsiaTheme="minorHAnsi"/>
          <w:szCs w:val="24"/>
        </w:rPr>
        <w:t>The Department of Housing and Urban Development (HUD), the Assistant Secretary for Planning and Evaluation (ASPE) and the Administration on Aging (AoA) at the Department of Health and Human Services are</w:t>
      </w:r>
      <w:r w:rsidRPr="00BB5025">
        <w:rPr>
          <w:szCs w:val="24"/>
        </w:rPr>
        <w:t xml:space="preserve"> conducting a comprehensive evaluation of the SASH program that builds on the CMS-funded MAPCP Demonstration evaluation. The evaluation will assess whether the SASH model of coordinated health and supportive services in affordable housing improves quality of life, health and functional status of participants. It will also examine whether the systematic linking of housing and services in an affordable housing setting has observable savings in care costs for seniors.</w:t>
      </w:r>
    </w:p>
    <w:p w:rsidR="0037106B" w:rsidRDefault="00753D7A" w:rsidP="007F5430">
      <w:pPr>
        <w:autoSpaceDE w:val="0"/>
        <w:autoSpaceDN w:val="0"/>
        <w:adjustRightInd w:val="0"/>
        <w:rPr>
          <w:rFonts w:asciiTheme="majorBidi" w:hAnsiTheme="majorBidi" w:cstheme="majorBidi"/>
          <w:szCs w:val="24"/>
        </w:rPr>
      </w:pPr>
      <w:r w:rsidRPr="0037106B">
        <w:rPr>
          <w:rFonts w:asciiTheme="majorBidi" w:eastAsiaTheme="minorHAnsi" w:hAnsiTheme="majorBidi" w:cstheme="majorBidi"/>
          <w:szCs w:val="24"/>
        </w:rPr>
        <w:t xml:space="preserve">This OMB application seeks approval to conduct a survey to </w:t>
      </w:r>
      <w:r w:rsidR="00BC66DB">
        <w:rPr>
          <w:rFonts w:asciiTheme="majorBidi" w:eastAsiaTheme="minorHAnsi" w:hAnsiTheme="majorBidi" w:cstheme="majorBidi"/>
          <w:szCs w:val="24"/>
        </w:rPr>
        <w:t>assess</w:t>
      </w:r>
      <w:r w:rsidR="0037106B" w:rsidRPr="0037106B">
        <w:rPr>
          <w:rFonts w:asciiTheme="majorBidi" w:hAnsiTheme="majorBidi" w:cstheme="majorBidi"/>
          <w:szCs w:val="24"/>
        </w:rPr>
        <w:t xml:space="preserve"> </w:t>
      </w:r>
      <w:r w:rsidR="002B2CF1">
        <w:rPr>
          <w:rFonts w:asciiTheme="majorBidi" w:hAnsiTheme="majorBidi" w:cstheme="majorBidi"/>
          <w:szCs w:val="24"/>
        </w:rPr>
        <w:t xml:space="preserve">the impacts of the SASH program on </w:t>
      </w:r>
      <w:r w:rsidR="00976671">
        <w:rPr>
          <w:rFonts w:asciiTheme="majorBidi" w:hAnsiTheme="majorBidi" w:cstheme="majorBidi"/>
          <w:szCs w:val="24"/>
        </w:rPr>
        <w:t xml:space="preserve">health </w:t>
      </w:r>
      <w:r w:rsidR="0037106B" w:rsidRPr="0037106B">
        <w:rPr>
          <w:rFonts w:asciiTheme="majorBidi" w:hAnsiTheme="majorBidi" w:cstheme="majorBidi"/>
          <w:szCs w:val="24"/>
        </w:rPr>
        <w:t xml:space="preserve">outcomes </w:t>
      </w:r>
      <w:r w:rsidR="007F5430">
        <w:rPr>
          <w:rFonts w:asciiTheme="majorBidi" w:eastAsiaTheme="minorHAnsi" w:hAnsiTheme="majorBidi" w:cstheme="majorBidi"/>
          <w:szCs w:val="24"/>
        </w:rPr>
        <w:t xml:space="preserve">by comparing </w:t>
      </w:r>
      <w:r w:rsidR="002B2CF1">
        <w:rPr>
          <w:rFonts w:asciiTheme="majorBidi" w:eastAsiaTheme="minorHAnsi" w:hAnsiTheme="majorBidi" w:cstheme="majorBidi"/>
          <w:szCs w:val="24"/>
        </w:rPr>
        <w:t xml:space="preserve">SASH participants </w:t>
      </w:r>
      <w:r w:rsidR="007F5430">
        <w:rPr>
          <w:rFonts w:asciiTheme="majorBidi" w:eastAsiaTheme="minorHAnsi" w:hAnsiTheme="majorBidi" w:cstheme="majorBidi"/>
          <w:szCs w:val="24"/>
        </w:rPr>
        <w:t xml:space="preserve">to </w:t>
      </w:r>
      <w:r w:rsidR="002B2CF1">
        <w:rPr>
          <w:szCs w:val="24"/>
        </w:rPr>
        <w:t>peers living in affordable housing but not participating in SASH</w:t>
      </w:r>
      <w:r w:rsidRPr="0037106B">
        <w:rPr>
          <w:rFonts w:asciiTheme="majorBidi" w:eastAsiaTheme="minorHAnsi" w:hAnsiTheme="majorBidi" w:cstheme="majorBidi"/>
          <w:szCs w:val="24"/>
        </w:rPr>
        <w:t xml:space="preserve">. </w:t>
      </w:r>
      <w:r w:rsidR="00BC66DB" w:rsidRPr="00BC66DB">
        <w:rPr>
          <w:rFonts w:asciiTheme="majorBidi" w:eastAsiaTheme="minorHAnsi" w:hAnsiTheme="majorBidi" w:cstheme="majorBidi"/>
          <w:szCs w:val="24"/>
        </w:rPr>
        <w:t>Information that will be collected includes general health status, func</w:t>
      </w:r>
      <w:r w:rsidR="00BC66DB">
        <w:rPr>
          <w:rFonts w:asciiTheme="majorBidi" w:eastAsiaTheme="minorHAnsi" w:hAnsiTheme="majorBidi" w:cstheme="majorBidi"/>
          <w:szCs w:val="24"/>
        </w:rPr>
        <w:t xml:space="preserve">tional status, quality of life, </w:t>
      </w:r>
      <w:r w:rsidR="007F5430">
        <w:rPr>
          <w:rFonts w:asciiTheme="majorBidi" w:eastAsiaTheme="minorHAnsi" w:hAnsiTheme="majorBidi" w:cstheme="majorBidi"/>
          <w:szCs w:val="24"/>
        </w:rPr>
        <w:t>medication problems</w:t>
      </w:r>
      <w:r w:rsidR="00BC66DB">
        <w:rPr>
          <w:rFonts w:asciiTheme="majorBidi" w:eastAsiaTheme="minorHAnsi" w:hAnsiTheme="majorBidi" w:cstheme="majorBidi"/>
          <w:szCs w:val="24"/>
        </w:rPr>
        <w:t>,</w:t>
      </w:r>
      <w:r w:rsidR="00BC66DB" w:rsidRPr="00BC66DB">
        <w:rPr>
          <w:rFonts w:asciiTheme="majorBidi" w:eastAsiaTheme="minorHAnsi" w:hAnsiTheme="majorBidi" w:cstheme="majorBidi"/>
          <w:szCs w:val="24"/>
        </w:rPr>
        <w:t xml:space="preserve"> and dietary issues.</w:t>
      </w:r>
      <w:r w:rsidR="00BC66DB">
        <w:t xml:space="preserve"> </w:t>
      </w:r>
      <w:r w:rsidR="006914B1">
        <w:rPr>
          <w:rFonts w:asciiTheme="majorBidi" w:eastAsiaTheme="minorHAnsi" w:hAnsiTheme="majorBidi" w:cstheme="majorBidi"/>
          <w:szCs w:val="24"/>
        </w:rPr>
        <w:t>The SASH survey instrument include</w:t>
      </w:r>
      <w:r w:rsidR="00BC66DB">
        <w:rPr>
          <w:rFonts w:asciiTheme="majorBidi" w:eastAsiaTheme="minorHAnsi" w:hAnsiTheme="majorBidi" w:cstheme="majorBidi"/>
          <w:szCs w:val="24"/>
        </w:rPr>
        <w:t>s</w:t>
      </w:r>
      <w:r w:rsidR="006914B1">
        <w:rPr>
          <w:rFonts w:asciiTheme="majorBidi" w:eastAsiaTheme="minorHAnsi" w:hAnsiTheme="majorBidi" w:cstheme="majorBidi"/>
          <w:szCs w:val="24"/>
        </w:rPr>
        <w:t xml:space="preserve"> </w:t>
      </w:r>
      <w:r w:rsidR="00BC66DB" w:rsidRPr="00771654">
        <w:t>standardized scales with demonstrated reliability and validity in older adults</w:t>
      </w:r>
      <w:r w:rsidR="00BC66DB">
        <w:t>,</w:t>
      </w:r>
      <w:r w:rsidR="00BC66DB">
        <w:rPr>
          <w:rFonts w:asciiTheme="majorBidi" w:eastAsiaTheme="minorHAnsi" w:hAnsiTheme="majorBidi" w:cstheme="majorBidi"/>
          <w:szCs w:val="24"/>
        </w:rPr>
        <w:t xml:space="preserve"> such as </w:t>
      </w:r>
      <w:r w:rsidR="007F5430">
        <w:rPr>
          <w:rFonts w:asciiTheme="majorBidi" w:hAnsiTheme="majorBidi" w:cstheme="majorBidi"/>
          <w:szCs w:val="24"/>
        </w:rPr>
        <w:t>the RAND</w:t>
      </w:r>
      <w:r w:rsidR="0037106B" w:rsidRPr="0037106B">
        <w:rPr>
          <w:rFonts w:asciiTheme="majorBidi" w:hAnsiTheme="majorBidi" w:cstheme="majorBidi"/>
          <w:szCs w:val="24"/>
        </w:rPr>
        <w:t>-12,</w:t>
      </w:r>
      <w:r w:rsidR="0037106B" w:rsidRPr="0037106B">
        <w:rPr>
          <w:rFonts w:asciiTheme="majorBidi" w:eastAsiaTheme="minorHAnsi" w:hAnsiTheme="majorBidi" w:cstheme="majorBidi"/>
          <w:szCs w:val="24"/>
        </w:rPr>
        <w:t xml:space="preserve"> </w:t>
      </w:r>
      <w:r w:rsidR="007F5430">
        <w:rPr>
          <w:rFonts w:asciiTheme="majorBidi" w:eastAsiaTheme="minorHAnsi" w:hAnsiTheme="majorBidi" w:cstheme="majorBidi"/>
          <w:szCs w:val="24"/>
        </w:rPr>
        <w:t xml:space="preserve">the </w:t>
      </w:r>
      <w:r w:rsidR="0037106B" w:rsidRPr="0037106B">
        <w:rPr>
          <w:rFonts w:asciiTheme="majorBidi" w:hAnsiTheme="majorBidi" w:cstheme="majorBidi"/>
          <w:szCs w:val="24"/>
        </w:rPr>
        <w:t>Activities of Daily Living Questionnaire</w:t>
      </w:r>
      <w:r w:rsidR="00BC66DB">
        <w:rPr>
          <w:rFonts w:asciiTheme="majorBidi" w:hAnsiTheme="majorBidi" w:cstheme="majorBidi"/>
          <w:szCs w:val="24"/>
        </w:rPr>
        <w:t>,</w:t>
      </w:r>
      <w:r w:rsidR="0037106B" w:rsidRPr="0037106B">
        <w:rPr>
          <w:rFonts w:asciiTheme="majorBidi" w:eastAsiaTheme="minorHAnsi" w:hAnsiTheme="majorBidi" w:cstheme="majorBidi"/>
          <w:szCs w:val="24"/>
        </w:rPr>
        <w:t xml:space="preserve"> </w:t>
      </w:r>
      <w:r w:rsidR="0037106B" w:rsidRPr="0037106B">
        <w:rPr>
          <w:rFonts w:asciiTheme="majorBidi" w:hAnsiTheme="majorBidi" w:cstheme="majorBidi"/>
          <w:szCs w:val="24"/>
        </w:rPr>
        <w:t xml:space="preserve">and </w:t>
      </w:r>
      <w:r w:rsidR="00BC66DB">
        <w:rPr>
          <w:rFonts w:asciiTheme="majorBidi" w:hAnsiTheme="majorBidi" w:cstheme="majorBidi"/>
          <w:szCs w:val="24"/>
        </w:rPr>
        <w:t>the E</w:t>
      </w:r>
      <w:r w:rsidR="0037106B" w:rsidRPr="0037106B">
        <w:rPr>
          <w:rFonts w:asciiTheme="majorBidi" w:hAnsiTheme="majorBidi" w:cstheme="majorBidi"/>
          <w:szCs w:val="24"/>
        </w:rPr>
        <w:t>Q-5D</w:t>
      </w:r>
      <w:r w:rsidR="0037106B">
        <w:rPr>
          <w:rFonts w:asciiTheme="majorBidi" w:hAnsiTheme="majorBidi" w:cstheme="majorBidi"/>
          <w:szCs w:val="24"/>
        </w:rPr>
        <w:t>.</w:t>
      </w:r>
    </w:p>
    <w:p w:rsidR="002B2CF1" w:rsidRPr="002F33BA" w:rsidRDefault="002B2CF1" w:rsidP="002B2CF1">
      <w:pPr>
        <w:autoSpaceDE w:val="0"/>
        <w:autoSpaceDN w:val="0"/>
        <w:adjustRightInd w:val="0"/>
        <w:rPr>
          <w:sz w:val="18"/>
          <w:szCs w:val="18"/>
        </w:rPr>
      </w:pPr>
    </w:p>
    <w:p w:rsidR="00AF2FCC" w:rsidRDefault="00753D7A" w:rsidP="007F5430">
      <w:pPr>
        <w:autoSpaceDE w:val="0"/>
        <w:autoSpaceDN w:val="0"/>
        <w:adjustRightInd w:val="0"/>
        <w:rPr>
          <w:szCs w:val="24"/>
        </w:rPr>
      </w:pPr>
      <w:r w:rsidRPr="00BB5025">
        <w:rPr>
          <w:rFonts w:eastAsiaTheme="minorHAnsi"/>
          <w:szCs w:val="24"/>
        </w:rPr>
        <w:t xml:space="preserve">The target population for the survey is Medicare fee-for-service (FFS) and </w:t>
      </w:r>
      <w:r w:rsidR="00650EC1">
        <w:rPr>
          <w:rFonts w:eastAsiaTheme="minorHAnsi"/>
          <w:szCs w:val="24"/>
        </w:rPr>
        <w:t xml:space="preserve">dually eligible Medicare and </w:t>
      </w:r>
      <w:r w:rsidRPr="00BB5025">
        <w:rPr>
          <w:rFonts w:eastAsiaTheme="minorHAnsi"/>
          <w:szCs w:val="24"/>
        </w:rPr>
        <w:t xml:space="preserve">Medicaid beneficiaries who </w:t>
      </w:r>
      <w:r>
        <w:rPr>
          <w:rFonts w:eastAsiaTheme="minorHAnsi"/>
          <w:szCs w:val="24"/>
        </w:rPr>
        <w:t>reside in SASH supported housing</w:t>
      </w:r>
      <w:r w:rsidR="00C21263">
        <w:rPr>
          <w:rFonts w:eastAsiaTheme="minorHAnsi"/>
          <w:szCs w:val="24"/>
        </w:rPr>
        <w:t xml:space="preserve"> </w:t>
      </w:r>
      <w:r w:rsidR="00C21263">
        <w:t>or its local area in Vermont</w:t>
      </w:r>
      <w:r w:rsidRPr="00BB5025">
        <w:rPr>
          <w:rFonts w:eastAsiaTheme="minorHAnsi"/>
          <w:szCs w:val="24"/>
        </w:rPr>
        <w:t xml:space="preserve">. As of </w:t>
      </w:r>
      <w:r>
        <w:rPr>
          <w:rFonts w:eastAsiaTheme="minorHAnsi"/>
          <w:szCs w:val="24"/>
        </w:rPr>
        <w:t>March</w:t>
      </w:r>
      <w:r w:rsidRPr="00BB5025">
        <w:rPr>
          <w:rFonts w:eastAsiaTheme="minorHAnsi"/>
          <w:szCs w:val="24"/>
        </w:rPr>
        <w:t xml:space="preserve"> 201</w:t>
      </w:r>
      <w:r>
        <w:rPr>
          <w:rFonts w:eastAsiaTheme="minorHAnsi"/>
          <w:szCs w:val="24"/>
        </w:rPr>
        <w:t>3</w:t>
      </w:r>
      <w:r w:rsidRPr="00BB5025">
        <w:rPr>
          <w:rFonts w:eastAsiaTheme="minorHAnsi"/>
          <w:szCs w:val="24"/>
        </w:rPr>
        <w:t xml:space="preserve">, </w:t>
      </w:r>
      <w:r>
        <w:rPr>
          <w:rFonts w:eastAsiaTheme="minorHAnsi"/>
          <w:szCs w:val="24"/>
        </w:rPr>
        <w:t>around 2,000</w:t>
      </w:r>
      <w:r w:rsidRPr="00BB5025">
        <w:rPr>
          <w:rFonts w:eastAsiaTheme="minorHAnsi"/>
          <w:szCs w:val="24"/>
        </w:rPr>
        <w:t xml:space="preserve"> Medicare beneficiaries were participating in the </w:t>
      </w:r>
      <w:r>
        <w:rPr>
          <w:rFonts w:eastAsiaTheme="minorHAnsi"/>
          <w:szCs w:val="24"/>
        </w:rPr>
        <w:t xml:space="preserve">SASH </w:t>
      </w:r>
      <w:r w:rsidR="00650EC1">
        <w:rPr>
          <w:rFonts w:eastAsiaTheme="minorHAnsi"/>
          <w:szCs w:val="24"/>
        </w:rPr>
        <w:t>program</w:t>
      </w:r>
      <w:r w:rsidRPr="00BB5025">
        <w:rPr>
          <w:rFonts w:eastAsiaTheme="minorHAnsi"/>
          <w:szCs w:val="24"/>
        </w:rPr>
        <w:t>.</w:t>
      </w:r>
      <w:r w:rsidR="00650EC1">
        <w:rPr>
          <w:rFonts w:eastAsiaTheme="minorHAnsi"/>
          <w:szCs w:val="24"/>
        </w:rPr>
        <w:t xml:space="preserve"> </w:t>
      </w:r>
    </w:p>
    <w:p w:rsidR="004835FE" w:rsidRPr="00FE3614" w:rsidRDefault="00AD77BE">
      <w:pPr>
        <w:pStyle w:val="Heading2"/>
        <w:ind w:left="0" w:firstLine="0"/>
        <w:rPr>
          <w:szCs w:val="24"/>
        </w:rPr>
      </w:pPr>
      <w:bookmarkStart w:id="5" w:name="_Toc88033460"/>
      <w:bookmarkStart w:id="6" w:name="_Toc162169919"/>
      <w:bookmarkStart w:id="7" w:name="_Toc245121120"/>
      <w:r w:rsidRPr="00FE3614">
        <w:rPr>
          <w:szCs w:val="24"/>
        </w:rPr>
        <w:t>A</w:t>
      </w:r>
      <w:r w:rsidR="00BE6E55" w:rsidRPr="00FE3614">
        <w:rPr>
          <w:szCs w:val="24"/>
        </w:rPr>
        <w:t>.1</w:t>
      </w:r>
      <w:r w:rsidR="00BE6E55" w:rsidRPr="00FE3614">
        <w:rPr>
          <w:szCs w:val="24"/>
        </w:rPr>
        <w:tab/>
      </w:r>
      <w:bookmarkEnd w:id="5"/>
      <w:bookmarkEnd w:id="6"/>
      <w:r w:rsidR="00BE6E55" w:rsidRPr="00FE3614">
        <w:rPr>
          <w:szCs w:val="24"/>
        </w:rPr>
        <w:t>Need and Legal Basis</w:t>
      </w:r>
      <w:bookmarkEnd w:id="7"/>
    </w:p>
    <w:p w:rsidR="007F5430" w:rsidRPr="007F5430" w:rsidRDefault="007F5430" w:rsidP="007F5430">
      <w:bookmarkStart w:id="8" w:name="_Toc245121121"/>
      <w:r>
        <w:t>The contract issued by HUD, ASPE, and AoA requires a comprehensive evaluation of the Vermont SAS</w:t>
      </w:r>
      <w:r w:rsidR="004867AF">
        <w:t>H</w:t>
      </w:r>
      <w:r>
        <w:t xml:space="preserve"> program.  The evaluation</w:t>
      </w:r>
      <w:r w:rsidR="00D5143D">
        <w:t xml:space="preserve"> must focus on the quality of life, health, and functional status of participants.</w:t>
      </w:r>
    </w:p>
    <w:p w:rsidR="004835FE" w:rsidRPr="00FE3614" w:rsidRDefault="00AD77BE">
      <w:pPr>
        <w:pStyle w:val="Heading2"/>
        <w:spacing w:after="0"/>
        <w:rPr>
          <w:szCs w:val="24"/>
        </w:rPr>
      </w:pPr>
      <w:r w:rsidRPr="00FE3614">
        <w:rPr>
          <w:szCs w:val="24"/>
        </w:rPr>
        <w:t>A</w:t>
      </w:r>
      <w:r w:rsidR="00BE6E55" w:rsidRPr="00FE3614">
        <w:rPr>
          <w:szCs w:val="24"/>
        </w:rPr>
        <w:t>.2</w:t>
      </w:r>
      <w:r w:rsidR="00BE6E55" w:rsidRPr="00FE3614">
        <w:rPr>
          <w:szCs w:val="24"/>
        </w:rPr>
        <w:tab/>
        <w:t>Information Users</w:t>
      </w:r>
      <w:bookmarkEnd w:id="8"/>
    </w:p>
    <w:p w:rsidR="00CF40C6" w:rsidRPr="00FE3614" w:rsidRDefault="00CF40C6" w:rsidP="0084755E">
      <w:pPr>
        <w:rPr>
          <w:szCs w:val="24"/>
        </w:rPr>
      </w:pPr>
      <w:bookmarkStart w:id="9" w:name="_Toc88033467"/>
      <w:bookmarkStart w:id="10" w:name="_Toc162169920"/>
      <w:bookmarkStart w:id="11" w:name="_Toc245121122"/>
    </w:p>
    <w:p w:rsidR="00ED4514" w:rsidRDefault="00AF2FCC" w:rsidP="004F36F8">
      <w:pPr>
        <w:pStyle w:val="bodytextChar0"/>
        <w:ind w:firstLine="0"/>
      </w:pPr>
      <w:r>
        <w:t xml:space="preserve">The survey results will be used by </w:t>
      </w:r>
      <w:r w:rsidR="00173626">
        <w:t>ASPE</w:t>
      </w:r>
      <w:r w:rsidR="00F05C82">
        <w:t>/</w:t>
      </w:r>
      <w:r w:rsidR="00173626">
        <w:t>HUD</w:t>
      </w:r>
      <w:r w:rsidR="00F05C82">
        <w:t>/AoA</w:t>
      </w:r>
      <w:r>
        <w:t xml:space="preserve"> </w:t>
      </w:r>
      <w:r w:rsidRPr="009E11E0">
        <w:t>to</w:t>
      </w:r>
      <w:r>
        <w:t xml:space="preserve"> </w:t>
      </w:r>
      <w:r w:rsidR="00ED4514">
        <w:t>a</w:t>
      </w:r>
      <w:r w:rsidR="004F36F8">
        <w:t xml:space="preserve">nswer </w:t>
      </w:r>
      <w:r w:rsidR="00ED4514">
        <w:t>research questions such as</w:t>
      </w:r>
      <w:r>
        <w:t>:</w:t>
      </w:r>
    </w:p>
    <w:p w:rsidR="004F36F8" w:rsidRDefault="00D5143D" w:rsidP="00E84BFC">
      <w:pPr>
        <w:pStyle w:val="TablebulletLM0"/>
        <w:widowControl w:val="0"/>
        <w:numPr>
          <w:ilvl w:val="0"/>
          <w:numId w:val="42"/>
        </w:numPr>
        <w:shd w:val="clear" w:color="auto" w:fill="FFFFFF"/>
        <w:autoSpaceDE w:val="0"/>
        <w:autoSpaceDN w:val="0"/>
        <w:adjustRightInd w:val="0"/>
        <w:spacing w:before="0" w:after="0"/>
        <w:ind w:right="-63"/>
        <w:rPr>
          <w:rFonts w:ascii="New York" w:hAnsi="New York"/>
          <w:sz w:val="24"/>
        </w:rPr>
      </w:pPr>
      <w:r w:rsidRPr="00D5143D">
        <w:rPr>
          <w:rFonts w:ascii="New York" w:hAnsi="New York"/>
          <w:sz w:val="24"/>
        </w:rPr>
        <w:t xml:space="preserve">Do </w:t>
      </w:r>
      <w:r w:rsidR="004F36F8" w:rsidRPr="00D5143D">
        <w:rPr>
          <w:rFonts w:ascii="New York" w:hAnsi="New York"/>
          <w:sz w:val="24"/>
        </w:rPr>
        <w:t xml:space="preserve">SASH </w:t>
      </w:r>
      <w:r w:rsidRPr="00D5143D">
        <w:rPr>
          <w:rFonts w:ascii="New York" w:hAnsi="New York"/>
          <w:sz w:val="24"/>
        </w:rPr>
        <w:t xml:space="preserve">participants have better physical function and better health </w:t>
      </w:r>
      <w:r w:rsidR="004F36F8" w:rsidRPr="00D5143D">
        <w:rPr>
          <w:rFonts w:ascii="New York" w:hAnsi="New York"/>
          <w:sz w:val="24"/>
        </w:rPr>
        <w:t xml:space="preserve">relative to their </w:t>
      </w:r>
      <w:r w:rsidRPr="00D5143D">
        <w:rPr>
          <w:rFonts w:ascii="New York" w:hAnsi="New York"/>
          <w:sz w:val="24"/>
        </w:rPr>
        <w:t xml:space="preserve">non-SASH peers </w:t>
      </w:r>
      <w:r w:rsidR="004F36F8" w:rsidRPr="00D5143D">
        <w:rPr>
          <w:rFonts w:ascii="New York" w:hAnsi="New York"/>
          <w:sz w:val="24"/>
        </w:rPr>
        <w:t>in affordable housing</w:t>
      </w:r>
      <w:r w:rsidRPr="00D5143D">
        <w:rPr>
          <w:rFonts w:ascii="New York" w:hAnsi="New York"/>
          <w:sz w:val="24"/>
        </w:rPr>
        <w:t xml:space="preserve">? </w:t>
      </w:r>
    </w:p>
    <w:p w:rsidR="00D5143D" w:rsidRDefault="00D5143D" w:rsidP="00E84BFC">
      <w:pPr>
        <w:pStyle w:val="TablebulletLM0"/>
        <w:widowControl w:val="0"/>
        <w:numPr>
          <w:ilvl w:val="0"/>
          <w:numId w:val="42"/>
        </w:numPr>
        <w:shd w:val="clear" w:color="auto" w:fill="FFFFFF"/>
        <w:autoSpaceDE w:val="0"/>
        <w:autoSpaceDN w:val="0"/>
        <w:adjustRightInd w:val="0"/>
        <w:spacing w:before="0" w:after="0"/>
        <w:ind w:right="-63"/>
        <w:rPr>
          <w:rFonts w:ascii="New York" w:hAnsi="New York"/>
          <w:sz w:val="24"/>
        </w:rPr>
      </w:pPr>
      <w:r>
        <w:rPr>
          <w:rFonts w:ascii="New York" w:hAnsi="New York"/>
          <w:sz w:val="24"/>
        </w:rPr>
        <w:t xml:space="preserve">Do SASH participants have fewer problems </w:t>
      </w:r>
      <w:r w:rsidR="00C7392D">
        <w:rPr>
          <w:rFonts w:ascii="New York" w:hAnsi="New York"/>
          <w:sz w:val="24"/>
        </w:rPr>
        <w:t>managing</w:t>
      </w:r>
      <w:r>
        <w:rPr>
          <w:rFonts w:ascii="New York" w:hAnsi="New York"/>
          <w:sz w:val="24"/>
        </w:rPr>
        <w:t xml:space="preserve"> their medications?</w:t>
      </w:r>
    </w:p>
    <w:p w:rsidR="00D5143D" w:rsidRPr="00D5143D" w:rsidRDefault="00D5143D" w:rsidP="00E84BFC">
      <w:pPr>
        <w:pStyle w:val="TablebulletLM0"/>
        <w:widowControl w:val="0"/>
        <w:numPr>
          <w:ilvl w:val="0"/>
          <w:numId w:val="42"/>
        </w:numPr>
        <w:shd w:val="clear" w:color="auto" w:fill="FFFFFF"/>
        <w:autoSpaceDE w:val="0"/>
        <w:autoSpaceDN w:val="0"/>
        <w:adjustRightInd w:val="0"/>
        <w:spacing w:before="0" w:after="0"/>
        <w:ind w:right="-63"/>
        <w:rPr>
          <w:rFonts w:ascii="New York" w:hAnsi="New York"/>
          <w:sz w:val="24"/>
        </w:rPr>
      </w:pPr>
      <w:r>
        <w:rPr>
          <w:rFonts w:ascii="New York" w:hAnsi="New York"/>
          <w:sz w:val="24"/>
        </w:rPr>
        <w:t xml:space="preserve">Do SASH </w:t>
      </w:r>
      <w:r w:rsidR="00C7392D">
        <w:rPr>
          <w:rFonts w:ascii="New York" w:hAnsi="New York"/>
          <w:sz w:val="24"/>
        </w:rPr>
        <w:t>participants</w:t>
      </w:r>
      <w:r>
        <w:rPr>
          <w:rFonts w:ascii="New York" w:hAnsi="New York"/>
          <w:sz w:val="24"/>
        </w:rPr>
        <w:t xml:space="preserve"> have better overall nutrition? </w:t>
      </w:r>
    </w:p>
    <w:p w:rsidR="00AF2FCC" w:rsidRPr="00E84BFC" w:rsidRDefault="004F36F8" w:rsidP="00E84BFC">
      <w:pPr>
        <w:pStyle w:val="TablebulletLM0"/>
        <w:widowControl w:val="0"/>
        <w:numPr>
          <w:ilvl w:val="0"/>
          <w:numId w:val="42"/>
        </w:numPr>
        <w:shd w:val="clear" w:color="auto" w:fill="FFFFFF"/>
        <w:autoSpaceDE w:val="0"/>
        <w:autoSpaceDN w:val="0"/>
        <w:adjustRightInd w:val="0"/>
        <w:spacing w:before="0" w:after="0"/>
        <w:ind w:right="-63"/>
        <w:rPr>
          <w:rFonts w:ascii="New York" w:hAnsi="New York"/>
          <w:sz w:val="24"/>
        </w:rPr>
      </w:pPr>
      <w:r w:rsidRPr="00D5143D">
        <w:rPr>
          <w:rFonts w:ascii="New York" w:hAnsi="New York"/>
          <w:sz w:val="24"/>
        </w:rPr>
        <w:t>Do outcomes differ for SASH participants residing in the community compared with SASH participants living in affordable housing properties?</w:t>
      </w:r>
    </w:p>
    <w:p w:rsidR="00BE6E55" w:rsidRPr="00FE3614" w:rsidRDefault="00904C1F" w:rsidP="00BE6E55">
      <w:pPr>
        <w:pStyle w:val="Heading2"/>
        <w:rPr>
          <w:szCs w:val="24"/>
        </w:rPr>
      </w:pPr>
      <w:r w:rsidRPr="00FE3614">
        <w:rPr>
          <w:szCs w:val="24"/>
        </w:rPr>
        <w:t>A.3</w:t>
      </w:r>
      <w:r w:rsidRPr="00FE3614">
        <w:rPr>
          <w:szCs w:val="24"/>
        </w:rPr>
        <w:tab/>
      </w:r>
      <w:bookmarkEnd w:id="9"/>
      <w:r w:rsidRPr="00FE3614">
        <w:rPr>
          <w:szCs w:val="24"/>
        </w:rPr>
        <w:t>Use of Information Technology</w:t>
      </w:r>
      <w:bookmarkEnd w:id="10"/>
      <w:bookmarkEnd w:id="11"/>
    </w:p>
    <w:p w:rsidR="004835FE" w:rsidRPr="00FE3614" w:rsidRDefault="00BE6E55">
      <w:pPr>
        <w:autoSpaceDE w:val="0"/>
        <w:autoSpaceDN w:val="0"/>
        <w:adjustRightInd w:val="0"/>
        <w:rPr>
          <w:szCs w:val="24"/>
        </w:rPr>
      </w:pPr>
      <w:r w:rsidRPr="00FE3614">
        <w:rPr>
          <w:szCs w:val="24"/>
        </w:rPr>
        <w:t xml:space="preserve">The </w:t>
      </w:r>
      <w:r w:rsidR="00272893" w:rsidRPr="00FE3614">
        <w:rPr>
          <w:szCs w:val="24"/>
        </w:rPr>
        <w:t>survey</w:t>
      </w:r>
      <w:r w:rsidRPr="00FE3614">
        <w:rPr>
          <w:szCs w:val="24"/>
        </w:rPr>
        <w:t xml:space="preserve"> will make minimal use of information technology</w:t>
      </w:r>
      <w:r w:rsidR="00927912" w:rsidRPr="00FE3614">
        <w:rPr>
          <w:szCs w:val="24"/>
        </w:rPr>
        <w:t>. The survey is being conducted via mail.</w:t>
      </w:r>
      <w:r w:rsidR="00F114C8">
        <w:rPr>
          <w:szCs w:val="24"/>
        </w:rPr>
        <w:t xml:space="preserve"> </w:t>
      </w:r>
      <w:r w:rsidR="00F114C8" w:rsidRPr="00FE3614">
        <w:rPr>
          <w:szCs w:val="24"/>
        </w:rPr>
        <w:t>We will prepare the questionnaire as a scannable form, allowing for easy data capture of returned surveys.</w:t>
      </w:r>
    </w:p>
    <w:p w:rsidR="00BE6E55" w:rsidRPr="00FE3614" w:rsidRDefault="00AD77BE" w:rsidP="008164A2">
      <w:pPr>
        <w:pStyle w:val="Heading2"/>
        <w:rPr>
          <w:szCs w:val="24"/>
        </w:rPr>
      </w:pPr>
      <w:bookmarkStart w:id="12" w:name="_Toc88033468"/>
      <w:bookmarkStart w:id="13" w:name="_Toc162169921"/>
      <w:bookmarkStart w:id="14" w:name="_Toc245121123"/>
      <w:r w:rsidRPr="00FE3614">
        <w:rPr>
          <w:szCs w:val="24"/>
        </w:rPr>
        <w:t>A.</w:t>
      </w:r>
      <w:r w:rsidR="00BE6E55" w:rsidRPr="00FE3614">
        <w:rPr>
          <w:szCs w:val="24"/>
        </w:rPr>
        <w:t>4</w:t>
      </w:r>
      <w:r w:rsidR="00BE6E55" w:rsidRPr="00FE3614">
        <w:rPr>
          <w:szCs w:val="24"/>
        </w:rPr>
        <w:tab/>
      </w:r>
      <w:bookmarkEnd w:id="12"/>
      <w:r w:rsidR="00BE6E55" w:rsidRPr="00FE3614">
        <w:rPr>
          <w:szCs w:val="24"/>
        </w:rPr>
        <w:t>Efforts to Identify Duplication</w:t>
      </w:r>
      <w:bookmarkEnd w:id="13"/>
      <w:bookmarkEnd w:id="14"/>
      <w:r w:rsidR="00C11479">
        <w:rPr>
          <w:szCs w:val="24"/>
        </w:rPr>
        <w:t xml:space="preserve"> </w:t>
      </w:r>
    </w:p>
    <w:p w:rsidR="004835FE" w:rsidRDefault="00BE6E55" w:rsidP="00C06D31">
      <w:pPr>
        <w:pStyle w:val="BodyText"/>
        <w:ind w:firstLine="0"/>
        <w:rPr>
          <w:szCs w:val="24"/>
        </w:rPr>
      </w:pPr>
      <w:r w:rsidRPr="005E30F8">
        <w:rPr>
          <w:szCs w:val="24"/>
        </w:rPr>
        <w:t>The</w:t>
      </w:r>
      <w:r w:rsidR="002618A5" w:rsidRPr="005E30F8">
        <w:rPr>
          <w:szCs w:val="24"/>
        </w:rPr>
        <w:t xml:space="preserve"> </w:t>
      </w:r>
      <w:r w:rsidR="00FB0EE8" w:rsidRPr="005E30F8">
        <w:rPr>
          <w:szCs w:val="24"/>
        </w:rPr>
        <w:t>evaluation</w:t>
      </w:r>
      <w:r w:rsidR="001A542B" w:rsidRPr="005E30F8">
        <w:rPr>
          <w:szCs w:val="24"/>
        </w:rPr>
        <w:t xml:space="preserve"> has been designed </w:t>
      </w:r>
      <w:r w:rsidR="00231C51" w:rsidRPr="005E30F8">
        <w:rPr>
          <w:szCs w:val="24"/>
        </w:rPr>
        <w:t xml:space="preserve">to </w:t>
      </w:r>
      <w:r w:rsidR="001A542B" w:rsidRPr="005E30F8">
        <w:rPr>
          <w:szCs w:val="24"/>
        </w:rPr>
        <w:t xml:space="preserve">comprehensively </w:t>
      </w:r>
      <w:r w:rsidR="002618A5" w:rsidRPr="005E30F8">
        <w:rPr>
          <w:szCs w:val="24"/>
        </w:rPr>
        <w:t xml:space="preserve">address the </w:t>
      </w:r>
      <w:r w:rsidR="00C06D31">
        <w:rPr>
          <w:szCs w:val="24"/>
        </w:rPr>
        <w:t>research</w:t>
      </w:r>
      <w:r w:rsidR="00C06D31" w:rsidRPr="005E30F8">
        <w:rPr>
          <w:szCs w:val="24"/>
        </w:rPr>
        <w:t xml:space="preserve"> </w:t>
      </w:r>
      <w:r w:rsidR="002618A5" w:rsidRPr="005E30F8">
        <w:rPr>
          <w:szCs w:val="24"/>
        </w:rPr>
        <w:t>questions</w:t>
      </w:r>
      <w:r w:rsidR="001A542B" w:rsidRPr="005E30F8">
        <w:rPr>
          <w:szCs w:val="24"/>
        </w:rPr>
        <w:t xml:space="preserve"> while </w:t>
      </w:r>
      <w:r w:rsidR="00611FC1" w:rsidRPr="005E30F8">
        <w:rPr>
          <w:szCs w:val="24"/>
        </w:rPr>
        <w:t>minimiz</w:t>
      </w:r>
      <w:r w:rsidR="00231C51" w:rsidRPr="005E30F8">
        <w:rPr>
          <w:szCs w:val="24"/>
        </w:rPr>
        <w:t>ing</w:t>
      </w:r>
      <w:r w:rsidR="00611FC1" w:rsidRPr="005E30F8">
        <w:rPr>
          <w:szCs w:val="24"/>
        </w:rPr>
        <w:t xml:space="preserve"> the burden placed on the </w:t>
      </w:r>
      <w:r w:rsidR="000A16E7">
        <w:rPr>
          <w:szCs w:val="24"/>
        </w:rPr>
        <w:t>SASH program</w:t>
      </w:r>
      <w:r w:rsidR="00BC66DB">
        <w:rPr>
          <w:szCs w:val="24"/>
        </w:rPr>
        <w:t xml:space="preserve"> staff</w:t>
      </w:r>
      <w:r w:rsidR="00611FC1" w:rsidRPr="005E30F8">
        <w:rPr>
          <w:szCs w:val="24"/>
        </w:rPr>
        <w:t xml:space="preserve">, </w:t>
      </w:r>
      <w:r w:rsidR="00231C51" w:rsidRPr="005E30F8">
        <w:rPr>
          <w:szCs w:val="24"/>
        </w:rPr>
        <w:t>their</w:t>
      </w:r>
      <w:r w:rsidR="00611FC1" w:rsidRPr="005E30F8">
        <w:rPr>
          <w:szCs w:val="24"/>
        </w:rPr>
        <w:t xml:space="preserve"> partners (e.g.,</w:t>
      </w:r>
      <w:r w:rsidR="000A16E7">
        <w:rPr>
          <w:szCs w:val="24"/>
        </w:rPr>
        <w:t xml:space="preserve"> </w:t>
      </w:r>
      <w:r w:rsidR="00C06D31">
        <w:rPr>
          <w:szCs w:val="24"/>
        </w:rPr>
        <w:t>service providers</w:t>
      </w:r>
      <w:r w:rsidR="00611FC1" w:rsidRPr="005E30F8">
        <w:rPr>
          <w:szCs w:val="24"/>
        </w:rPr>
        <w:t xml:space="preserve">), </w:t>
      </w:r>
      <w:r w:rsidR="00C06D31">
        <w:rPr>
          <w:szCs w:val="24"/>
        </w:rPr>
        <w:t xml:space="preserve">and </w:t>
      </w:r>
      <w:r w:rsidR="002618A5" w:rsidRPr="005E30F8">
        <w:rPr>
          <w:szCs w:val="24"/>
        </w:rPr>
        <w:t xml:space="preserve">Medicare and </w:t>
      </w:r>
      <w:r w:rsidR="00C06D31">
        <w:rPr>
          <w:szCs w:val="24"/>
        </w:rPr>
        <w:t xml:space="preserve">dually eligible Medicare and </w:t>
      </w:r>
      <w:r w:rsidR="002618A5" w:rsidRPr="005E30F8">
        <w:rPr>
          <w:szCs w:val="24"/>
        </w:rPr>
        <w:t>Medicaid beneficiaries</w:t>
      </w:r>
      <w:r w:rsidR="00611FC1" w:rsidRPr="005E30F8">
        <w:rPr>
          <w:szCs w:val="24"/>
        </w:rPr>
        <w:t>.</w:t>
      </w:r>
    </w:p>
    <w:p w:rsidR="00BC66DB" w:rsidRDefault="006012AD" w:rsidP="00E84BFC">
      <w:pPr>
        <w:pStyle w:val="BodyText"/>
        <w:ind w:firstLine="0"/>
        <w:rPr>
          <w:szCs w:val="24"/>
        </w:rPr>
      </w:pPr>
      <w:r>
        <w:rPr>
          <w:szCs w:val="24"/>
        </w:rPr>
        <w:t xml:space="preserve">Care has been taken to ensure that there is no overlap between other ongoing state evaluations, such as the MAPCP Demonstration evaluation. </w:t>
      </w:r>
      <w:r w:rsidR="00BC66DB">
        <w:rPr>
          <w:szCs w:val="24"/>
        </w:rPr>
        <w:t>Through our ongoing discussions with SASH program staff and other state officials in Vermont, we determined that the information we seek to collect is not already being collected from our proposed sample</w:t>
      </w:r>
      <w:r w:rsidR="002B2CF1">
        <w:rPr>
          <w:szCs w:val="24"/>
        </w:rPr>
        <w:t>, nor can it be measured from claims data</w:t>
      </w:r>
      <w:r w:rsidR="00BC66DB">
        <w:rPr>
          <w:szCs w:val="24"/>
        </w:rPr>
        <w:t>. We will continue to monitor state survey activities to identify any surveys that may be planned for the same time period as our survey. In cases of overlap, we will collaborate with the state to avoid duplication.</w:t>
      </w:r>
    </w:p>
    <w:p w:rsidR="00772015" w:rsidRPr="00FE3614" w:rsidRDefault="006C09FF" w:rsidP="00726395">
      <w:pPr>
        <w:pStyle w:val="BodyText"/>
        <w:ind w:firstLine="0"/>
        <w:rPr>
          <w:szCs w:val="24"/>
        </w:rPr>
      </w:pPr>
      <w:r w:rsidRPr="005E30F8">
        <w:rPr>
          <w:szCs w:val="24"/>
        </w:rPr>
        <w:t xml:space="preserve">As a result of these efforts, </w:t>
      </w:r>
      <w:r w:rsidR="001960C8" w:rsidRPr="005E30F8">
        <w:rPr>
          <w:szCs w:val="24"/>
        </w:rPr>
        <w:t>t</w:t>
      </w:r>
      <w:r w:rsidR="00772015" w:rsidRPr="005E30F8">
        <w:rPr>
          <w:szCs w:val="24"/>
        </w:rPr>
        <w:t xml:space="preserve">he information collected through the </w:t>
      </w:r>
      <w:r w:rsidR="00113B65" w:rsidRPr="005E30F8">
        <w:rPr>
          <w:szCs w:val="24"/>
        </w:rPr>
        <w:t>survey</w:t>
      </w:r>
      <w:r w:rsidR="00772015" w:rsidRPr="005E30F8">
        <w:rPr>
          <w:szCs w:val="24"/>
        </w:rPr>
        <w:t xml:space="preserve"> </w:t>
      </w:r>
      <w:r w:rsidRPr="005E30F8">
        <w:rPr>
          <w:szCs w:val="24"/>
        </w:rPr>
        <w:t>will not</w:t>
      </w:r>
      <w:r w:rsidR="00772015" w:rsidRPr="005E30F8">
        <w:rPr>
          <w:szCs w:val="24"/>
        </w:rPr>
        <w:t xml:space="preserve"> duplicate any other effort and </w:t>
      </w:r>
      <w:r w:rsidR="006012AD">
        <w:rPr>
          <w:szCs w:val="24"/>
        </w:rPr>
        <w:t>is</w:t>
      </w:r>
      <w:r w:rsidR="00772015" w:rsidRPr="005E30F8">
        <w:rPr>
          <w:szCs w:val="24"/>
        </w:rPr>
        <w:t xml:space="preserve"> not obtainable from any other source.</w:t>
      </w:r>
    </w:p>
    <w:p w:rsidR="00BE6E55" w:rsidRPr="00FE3614" w:rsidRDefault="00AD77BE" w:rsidP="00BE6E55">
      <w:pPr>
        <w:pStyle w:val="Heading2"/>
        <w:rPr>
          <w:szCs w:val="24"/>
        </w:rPr>
      </w:pPr>
      <w:bookmarkStart w:id="15" w:name="_Toc88033469"/>
      <w:bookmarkStart w:id="16" w:name="_Toc162169922"/>
      <w:bookmarkStart w:id="17" w:name="_Toc245121124"/>
      <w:r w:rsidRPr="00FE3614">
        <w:rPr>
          <w:szCs w:val="24"/>
        </w:rPr>
        <w:t>A.</w:t>
      </w:r>
      <w:r w:rsidR="00BE6E55" w:rsidRPr="00FE3614">
        <w:rPr>
          <w:szCs w:val="24"/>
        </w:rPr>
        <w:t>5</w:t>
      </w:r>
      <w:r w:rsidR="00BE6E55" w:rsidRPr="00FE3614">
        <w:rPr>
          <w:szCs w:val="24"/>
        </w:rPr>
        <w:tab/>
      </w:r>
      <w:bookmarkEnd w:id="15"/>
      <w:r w:rsidR="00BE6E55" w:rsidRPr="00FE3614">
        <w:rPr>
          <w:szCs w:val="24"/>
        </w:rPr>
        <w:t>Involvement of Small Entities</w:t>
      </w:r>
      <w:bookmarkEnd w:id="16"/>
      <w:bookmarkEnd w:id="17"/>
    </w:p>
    <w:p w:rsidR="00861AEF" w:rsidRPr="00FE3614" w:rsidRDefault="00861AEF" w:rsidP="00861AEF">
      <w:pPr>
        <w:rPr>
          <w:szCs w:val="24"/>
        </w:rPr>
      </w:pPr>
      <w:r w:rsidRPr="00FE3614">
        <w:rPr>
          <w:szCs w:val="24"/>
        </w:rPr>
        <w:t xml:space="preserve">The collection of information associated with data submission does not </w:t>
      </w:r>
      <w:r w:rsidR="00683E50" w:rsidRPr="00FE3614">
        <w:rPr>
          <w:szCs w:val="24"/>
        </w:rPr>
        <w:t xml:space="preserve">unduly </w:t>
      </w:r>
      <w:r w:rsidRPr="00FE3614">
        <w:rPr>
          <w:szCs w:val="24"/>
        </w:rPr>
        <w:t>burden small business or small health systems, medical groups or practices. The information being requested is held to the absolute minimum</w:t>
      </w:r>
      <w:r w:rsidR="00683E50" w:rsidRPr="00FE3614">
        <w:rPr>
          <w:szCs w:val="24"/>
        </w:rPr>
        <w:t xml:space="preserve"> required for the intended uses.</w:t>
      </w:r>
    </w:p>
    <w:p w:rsidR="00BE6E55" w:rsidRPr="00FE3614" w:rsidRDefault="00AD77BE" w:rsidP="00BE6E55">
      <w:pPr>
        <w:pStyle w:val="Heading2"/>
        <w:rPr>
          <w:szCs w:val="24"/>
        </w:rPr>
      </w:pPr>
      <w:bookmarkStart w:id="18" w:name="_Toc88033470"/>
      <w:bookmarkStart w:id="19" w:name="_Toc162169923"/>
      <w:bookmarkStart w:id="20" w:name="_Toc245121125"/>
      <w:r w:rsidRPr="00FE3614">
        <w:rPr>
          <w:szCs w:val="24"/>
        </w:rPr>
        <w:t>A.</w:t>
      </w:r>
      <w:r w:rsidR="00BE6E55" w:rsidRPr="00FE3614">
        <w:rPr>
          <w:szCs w:val="24"/>
        </w:rPr>
        <w:t>6</w:t>
      </w:r>
      <w:bookmarkEnd w:id="18"/>
      <w:bookmarkEnd w:id="19"/>
      <w:r w:rsidR="00BE6E55" w:rsidRPr="00FE3614">
        <w:rPr>
          <w:szCs w:val="24"/>
        </w:rPr>
        <w:tab/>
        <w:t>Less Frequent Collection</w:t>
      </w:r>
      <w:bookmarkEnd w:id="20"/>
    </w:p>
    <w:p w:rsidR="004835FE" w:rsidRPr="00FE3614" w:rsidRDefault="00BE6E55">
      <w:pPr>
        <w:pStyle w:val="BodyText"/>
        <w:ind w:firstLine="0"/>
        <w:rPr>
          <w:szCs w:val="24"/>
        </w:rPr>
      </w:pPr>
      <w:r w:rsidRPr="00FE3614">
        <w:rPr>
          <w:szCs w:val="24"/>
        </w:rPr>
        <w:t xml:space="preserve">The </w:t>
      </w:r>
      <w:r w:rsidR="001B0F4A" w:rsidRPr="00FE3614">
        <w:rPr>
          <w:szCs w:val="24"/>
        </w:rPr>
        <w:t xml:space="preserve">survey </w:t>
      </w:r>
      <w:r w:rsidRPr="00FE3614">
        <w:rPr>
          <w:szCs w:val="24"/>
        </w:rPr>
        <w:t xml:space="preserve">will be conducted </w:t>
      </w:r>
      <w:r w:rsidR="008164A2" w:rsidRPr="00FE3614">
        <w:rPr>
          <w:szCs w:val="24"/>
        </w:rPr>
        <w:t xml:space="preserve">one </w:t>
      </w:r>
      <w:r w:rsidR="001B0F4A" w:rsidRPr="00FE3614">
        <w:rPr>
          <w:szCs w:val="24"/>
        </w:rPr>
        <w:t xml:space="preserve">time with each </w:t>
      </w:r>
      <w:r w:rsidR="00927912" w:rsidRPr="00FE3614">
        <w:rPr>
          <w:szCs w:val="24"/>
        </w:rPr>
        <w:t>respondent</w:t>
      </w:r>
      <w:r w:rsidR="00C11479">
        <w:rPr>
          <w:szCs w:val="24"/>
        </w:rPr>
        <w:t>.</w:t>
      </w:r>
      <w:r w:rsidR="00927912" w:rsidRPr="00FE3614">
        <w:rPr>
          <w:szCs w:val="24"/>
        </w:rPr>
        <w:t xml:space="preserve"> </w:t>
      </w:r>
      <w:r w:rsidR="00C11479">
        <w:rPr>
          <w:szCs w:val="24"/>
        </w:rPr>
        <w:t>T</w:t>
      </w:r>
      <w:r w:rsidR="00927912" w:rsidRPr="00FE3614">
        <w:rPr>
          <w:szCs w:val="24"/>
        </w:rPr>
        <w:t>here are no other sources for the information to be collected.</w:t>
      </w:r>
    </w:p>
    <w:p w:rsidR="00BE6E55" w:rsidRPr="00FE3614" w:rsidRDefault="00AD77BE" w:rsidP="00BE6E55">
      <w:pPr>
        <w:pStyle w:val="Heading2"/>
        <w:rPr>
          <w:szCs w:val="24"/>
        </w:rPr>
      </w:pPr>
      <w:bookmarkStart w:id="21" w:name="_Toc88033471"/>
      <w:bookmarkStart w:id="22" w:name="_Toc162169924"/>
      <w:bookmarkStart w:id="23" w:name="_Toc245121126"/>
      <w:r w:rsidRPr="00FE3614">
        <w:rPr>
          <w:szCs w:val="24"/>
        </w:rPr>
        <w:t>A.</w:t>
      </w:r>
      <w:r w:rsidR="00BE6E55" w:rsidRPr="00FE3614">
        <w:rPr>
          <w:szCs w:val="24"/>
        </w:rPr>
        <w:t>7</w:t>
      </w:r>
      <w:r w:rsidR="00BE6E55" w:rsidRPr="00FE3614">
        <w:rPr>
          <w:szCs w:val="24"/>
        </w:rPr>
        <w:tab/>
      </w:r>
      <w:bookmarkEnd w:id="21"/>
      <w:r w:rsidR="00BE6E55" w:rsidRPr="00FE3614">
        <w:rPr>
          <w:szCs w:val="24"/>
        </w:rPr>
        <w:t>Special Circumstances</w:t>
      </w:r>
      <w:bookmarkEnd w:id="22"/>
      <w:bookmarkEnd w:id="23"/>
    </w:p>
    <w:p w:rsidR="004835FE" w:rsidRPr="00FE3614" w:rsidRDefault="00BE6E55">
      <w:pPr>
        <w:pStyle w:val="BodyText"/>
        <w:ind w:firstLine="0"/>
        <w:rPr>
          <w:szCs w:val="24"/>
        </w:rPr>
      </w:pPr>
      <w:r w:rsidRPr="00FE3614">
        <w:rPr>
          <w:szCs w:val="24"/>
        </w:rPr>
        <w:t xml:space="preserve">There </w:t>
      </w:r>
      <w:r w:rsidR="002C4051" w:rsidRPr="00FE3614">
        <w:rPr>
          <w:szCs w:val="24"/>
        </w:rPr>
        <w:t>are no</w:t>
      </w:r>
      <w:r w:rsidRPr="00FE3614">
        <w:rPr>
          <w:szCs w:val="24"/>
        </w:rPr>
        <w:t xml:space="preserve"> special circumstances.</w:t>
      </w:r>
    </w:p>
    <w:p w:rsidR="00BE6E55" w:rsidRPr="00FE3614" w:rsidRDefault="00AD77BE" w:rsidP="00BE6E55">
      <w:pPr>
        <w:pStyle w:val="Heading2"/>
        <w:rPr>
          <w:szCs w:val="24"/>
        </w:rPr>
      </w:pPr>
      <w:bookmarkStart w:id="24" w:name="_Toc88033472"/>
      <w:bookmarkStart w:id="25" w:name="_Toc162169925"/>
      <w:bookmarkStart w:id="26" w:name="_Toc245121127"/>
      <w:r w:rsidRPr="00FE3614">
        <w:rPr>
          <w:szCs w:val="24"/>
        </w:rPr>
        <w:t>A.</w:t>
      </w:r>
      <w:r w:rsidR="00BE6E55" w:rsidRPr="00FE3614">
        <w:rPr>
          <w:szCs w:val="24"/>
        </w:rPr>
        <w:t>8</w:t>
      </w:r>
      <w:r w:rsidR="00BE6E55" w:rsidRPr="00FE3614">
        <w:rPr>
          <w:szCs w:val="24"/>
        </w:rPr>
        <w:tab/>
      </w:r>
      <w:bookmarkEnd w:id="24"/>
      <w:r w:rsidR="00BE6E55" w:rsidRPr="00FE3614">
        <w:rPr>
          <w:szCs w:val="24"/>
        </w:rPr>
        <w:t>Federal Register/Consultation Outside the Agency</w:t>
      </w:r>
      <w:bookmarkEnd w:id="25"/>
      <w:bookmarkEnd w:id="26"/>
    </w:p>
    <w:p w:rsidR="00766211" w:rsidRPr="00766211" w:rsidRDefault="004C2A64" w:rsidP="00766211">
      <w:pPr>
        <w:pStyle w:val="BodyText"/>
        <w:ind w:firstLine="0"/>
        <w:rPr>
          <w:szCs w:val="24"/>
        </w:rPr>
      </w:pPr>
      <w:r>
        <w:rPr>
          <w:szCs w:val="24"/>
        </w:rPr>
        <w:t>T</w:t>
      </w:r>
      <w:r w:rsidR="006C31BA" w:rsidRPr="00FE3614">
        <w:rPr>
          <w:szCs w:val="24"/>
        </w:rPr>
        <w:t xml:space="preserve">he </w:t>
      </w:r>
      <w:r>
        <w:rPr>
          <w:szCs w:val="24"/>
        </w:rPr>
        <w:t xml:space="preserve">60-day </w:t>
      </w:r>
      <w:r w:rsidR="00E4268D" w:rsidRPr="00FE3614">
        <w:rPr>
          <w:szCs w:val="24"/>
        </w:rPr>
        <w:t>F</w:t>
      </w:r>
      <w:r w:rsidR="00BE6E55" w:rsidRPr="00FE3614">
        <w:rPr>
          <w:szCs w:val="24"/>
        </w:rPr>
        <w:t xml:space="preserve">ederal </w:t>
      </w:r>
      <w:r w:rsidR="00E4268D" w:rsidRPr="00FE3614">
        <w:rPr>
          <w:szCs w:val="24"/>
        </w:rPr>
        <w:t>R</w:t>
      </w:r>
      <w:r w:rsidR="00BE6E55" w:rsidRPr="00FE3614">
        <w:rPr>
          <w:szCs w:val="24"/>
        </w:rPr>
        <w:t xml:space="preserve">egister </w:t>
      </w:r>
      <w:r w:rsidR="006C31BA" w:rsidRPr="00FE3614">
        <w:rPr>
          <w:szCs w:val="24"/>
        </w:rPr>
        <w:t xml:space="preserve">Notice </w:t>
      </w:r>
      <w:r>
        <w:rPr>
          <w:szCs w:val="24"/>
        </w:rPr>
        <w:t xml:space="preserve">was published on </w:t>
      </w:r>
      <w:r w:rsidR="00766211" w:rsidRPr="00766211">
        <w:rPr>
          <w:szCs w:val="24"/>
        </w:rPr>
        <w:t>November 14, 2013</w:t>
      </w:r>
      <w:r w:rsidR="00766211">
        <w:rPr>
          <w:szCs w:val="24"/>
        </w:rPr>
        <w:t xml:space="preserve">, Volume 78, Number 220 pages </w:t>
      </w:r>
      <w:r w:rsidR="00766211" w:rsidRPr="00766211">
        <w:rPr>
          <w:szCs w:val="24"/>
        </w:rPr>
        <w:t>68448-68449</w:t>
      </w:r>
      <w:r w:rsidR="00766211">
        <w:rPr>
          <w:szCs w:val="24"/>
        </w:rPr>
        <w:t xml:space="preserve">. No comments were received. </w:t>
      </w:r>
    </w:p>
    <w:p w:rsidR="004835FE" w:rsidRPr="00FE3614" w:rsidRDefault="004835FE">
      <w:pPr>
        <w:pStyle w:val="BodyText"/>
        <w:ind w:firstLine="0"/>
        <w:rPr>
          <w:szCs w:val="24"/>
        </w:rPr>
      </w:pPr>
    </w:p>
    <w:p w:rsidR="00BE6E55" w:rsidRPr="00FE3614" w:rsidRDefault="00AD77BE" w:rsidP="00BE6E55">
      <w:pPr>
        <w:pStyle w:val="Heading2"/>
        <w:rPr>
          <w:szCs w:val="24"/>
        </w:rPr>
      </w:pPr>
      <w:bookmarkStart w:id="27" w:name="_Toc88033473"/>
      <w:bookmarkStart w:id="28" w:name="_Toc162169926"/>
      <w:bookmarkStart w:id="29" w:name="_Toc245121128"/>
      <w:r w:rsidRPr="00FE3614">
        <w:rPr>
          <w:szCs w:val="24"/>
        </w:rPr>
        <w:t>A.</w:t>
      </w:r>
      <w:r w:rsidR="00BE6E55" w:rsidRPr="00FE3614">
        <w:rPr>
          <w:szCs w:val="24"/>
        </w:rPr>
        <w:t>9</w:t>
      </w:r>
      <w:r w:rsidR="00BE6E55" w:rsidRPr="00FE3614">
        <w:rPr>
          <w:szCs w:val="24"/>
        </w:rPr>
        <w:tab/>
      </w:r>
      <w:bookmarkEnd w:id="27"/>
      <w:r w:rsidR="00BE6E55" w:rsidRPr="00FE3614">
        <w:rPr>
          <w:szCs w:val="24"/>
        </w:rPr>
        <w:t>Payments/Gifts to Respondents</w:t>
      </w:r>
      <w:bookmarkEnd w:id="28"/>
      <w:bookmarkEnd w:id="29"/>
    </w:p>
    <w:p w:rsidR="008C5BF9" w:rsidRDefault="00BE6E55" w:rsidP="00BC66DB">
      <w:pPr>
        <w:pStyle w:val="BodyText"/>
        <w:ind w:firstLine="0"/>
        <w:rPr>
          <w:szCs w:val="24"/>
        </w:rPr>
      </w:pPr>
      <w:r w:rsidRPr="00FE3614">
        <w:rPr>
          <w:szCs w:val="24"/>
        </w:rPr>
        <w:t>No remuneration will be offered to the</w:t>
      </w:r>
      <w:r w:rsidR="00881655" w:rsidRPr="00FE3614">
        <w:rPr>
          <w:szCs w:val="24"/>
        </w:rPr>
        <w:t xml:space="preserve"> </w:t>
      </w:r>
      <w:r w:rsidR="000B4130" w:rsidRPr="00FE3614">
        <w:rPr>
          <w:szCs w:val="24"/>
        </w:rPr>
        <w:t>survey</w:t>
      </w:r>
      <w:r w:rsidRPr="00FE3614">
        <w:rPr>
          <w:szCs w:val="24"/>
        </w:rPr>
        <w:t xml:space="preserve"> participants</w:t>
      </w:r>
      <w:r w:rsidR="0003635C" w:rsidRPr="00FE3614">
        <w:rPr>
          <w:szCs w:val="24"/>
        </w:rPr>
        <w:t xml:space="preserve">. </w:t>
      </w:r>
      <w:r w:rsidR="00F5241C" w:rsidRPr="00FE3614">
        <w:rPr>
          <w:szCs w:val="24"/>
        </w:rPr>
        <w:t>This practice is consistent with</w:t>
      </w:r>
      <w:r w:rsidR="00C11479">
        <w:rPr>
          <w:szCs w:val="24"/>
        </w:rPr>
        <w:t xml:space="preserve"> </w:t>
      </w:r>
      <w:r w:rsidR="00BC66DB">
        <w:rPr>
          <w:szCs w:val="24"/>
        </w:rPr>
        <w:t xml:space="preserve">other mail surveys of beneficiaries, such </w:t>
      </w:r>
      <w:r w:rsidR="000523D3">
        <w:rPr>
          <w:szCs w:val="24"/>
        </w:rPr>
        <w:t>as the</w:t>
      </w:r>
      <w:r w:rsidR="00BC66DB">
        <w:rPr>
          <w:szCs w:val="24"/>
        </w:rPr>
        <w:t xml:space="preserve"> Consumer Assessment of Healthcare Providers and Systems </w:t>
      </w:r>
      <w:r w:rsidR="00F5241C" w:rsidRPr="00FE3614">
        <w:rPr>
          <w:szCs w:val="24"/>
        </w:rPr>
        <w:t>surveys.</w:t>
      </w:r>
    </w:p>
    <w:p w:rsidR="00BE6E55" w:rsidRPr="00FE3614" w:rsidRDefault="00AD77BE" w:rsidP="00BE6E55">
      <w:pPr>
        <w:pStyle w:val="Heading2"/>
        <w:rPr>
          <w:szCs w:val="24"/>
        </w:rPr>
      </w:pPr>
      <w:bookmarkStart w:id="30" w:name="_Toc88033474"/>
      <w:bookmarkStart w:id="31" w:name="_Toc162169927"/>
      <w:bookmarkStart w:id="32" w:name="_Toc245121129"/>
      <w:r w:rsidRPr="00FE3614">
        <w:rPr>
          <w:szCs w:val="24"/>
        </w:rPr>
        <w:t>A.</w:t>
      </w:r>
      <w:r w:rsidR="00BE6E55" w:rsidRPr="00FE3614">
        <w:rPr>
          <w:szCs w:val="24"/>
        </w:rPr>
        <w:t>10</w:t>
      </w:r>
      <w:r w:rsidR="00BE6E55" w:rsidRPr="00FE3614">
        <w:rPr>
          <w:szCs w:val="24"/>
        </w:rPr>
        <w:tab/>
      </w:r>
      <w:bookmarkEnd w:id="30"/>
      <w:r w:rsidR="00BE6E55" w:rsidRPr="00FE3614">
        <w:rPr>
          <w:szCs w:val="24"/>
        </w:rPr>
        <w:t>Confidentiality</w:t>
      </w:r>
      <w:bookmarkEnd w:id="31"/>
      <w:bookmarkEnd w:id="32"/>
    </w:p>
    <w:p w:rsidR="008C5BF9" w:rsidRDefault="00C11479" w:rsidP="00D5143D">
      <w:pPr>
        <w:pStyle w:val="BodyText"/>
        <w:ind w:firstLine="0"/>
        <w:rPr>
          <w:szCs w:val="24"/>
        </w:rPr>
      </w:pPr>
      <w:r>
        <w:rPr>
          <w:szCs w:val="24"/>
        </w:rPr>
        <w:t>M</w:t>
      </w:r>
      <w:r w:rsidR="00BE6E55" w:rsidRPr="00FE3614">
        <w:rPr>
          <w:szCs w:val="24"/>
        </w:rPr>
        <w:t xml:space="preserve">aterials sent to potential </w:t>
      </w:r>
      <w:r w:rsidR="009E46AD" w:rsidRPr="00FE3614">
        <w:rPr>
          <w:szCs w:val="24"/>
        </w:rPr>
        <w:t xml:space="preserve">respondents </w:t>
      </w:r>
      <w:r w:rsidR="001960C8" w:rsidRPr="00FE3614">
        <w:rPr>
          <w:szCs w:val="24"/>
        </w:rPr>
        <w:t xml:space="preserve">will </w:t>
      </w:r>
      <w:r w:rsidR="00BE6E55" w:rsidRPr="00FE3614">
        <w:rPr>
          <w:szCs w:val="24"/>
        </w:rPr>
        <w:t>describ</w:t>
      </w:r>
      <w:r w:rsidR="001960C8" w:rsidRPr="00FE3614">
        <w:rPr>
          <w:szCs w:val="24"/>
        </w:rPr>
        <w:t>e</w:t>
      </w:r>
      <w:r w:rsidR="00BE6E55" w:rsidRPr="00FE3614">
        <w:rPr>
          <w:szCs w:val="24"/>
        </w:rPr>
        <w:t xml:space="preserve"> the purpose and the voluntary nature of the </w:t>
      </w:r>
      <w:r w:rsidR="009E46AD" w:rsidRPr="00FE3614">
        <w:rPr>
          <w:szCs w:val="24"/>
        </w:rPr>
        <w:t>survey</w:t>
      </w:r>
      <w:r w:rsidR="00BE6E55" w:rsidRPr="00FE3614">
        <w:rPr>
          <w:szCs w:val="24"/>
        </w:rPr>
        <w:t xml:space="preserve"> </w:t>
      </w:r>
      <w:r w:rsidR="00442465" w:rsidRPr="00FE3614">
        <w:rPr>
          <w:szCs w:val="24"/>
        </w:rPr>
        <w:t>and</w:t>
      </w:r>
      <w:r w:rsidR="00BE6E55" w:rsidRPr="00FE3614">
        <w:rPr>
          <w:szCs w:val="24"/>
        </w:rPr>
        <w:t xml:space="preserve"> </w:t>
      </w:r>
      <w:r w:rsidR="001960C8" w:rsidRPr="00FE3614">
        <w:rPr>
          <w:szCs w:val="24"/>
        </w:rPr>
        <w:t xml:space="preserve">will </w:t>
      </w:r>
      <w:r w:rsidR="00BE6E55" w:rsidRPr="00FE3614">
        <w:rPr>
          <w:szCs w:val="24"/>
        </w:rPr>
        <w:t xml:space="preserve">convey the extent to which respondents and their responses will be kept </w:t>
      </w:r>
      <w:r w:rsidR="00A95815">
        <w:rPr>
          <w:szCs w:val="24"/>
        </w:rPr>
        <w:t>private to the extent allowable by law</w:t>
      </w:r>
      <w:r w:rsidR="0003635C" w:rsidRPr="00FE3614">
        <w:rPr>
          <w:szCs w:val="24"/>
        </w:rPr>
        <w:t xml:space="preserve">. </w:t>
      </w:r>
      <w:r w:rsidR="00B83698">
        <w:rPr>
          <w:szCs w:val="24"/>
        </w:rPr>
        <w:t>Survey respon</w:t>
      </w:r>
      <w:r w:rsidR="00A57121">
        <w:rPr>
          <w:szCs w:val="24"/>
        </w:rPr>
        <w:t>dents</w:t>
      </w:r>
      <w:r w:rsidR="00B83698">
        <w:rPr>
          <w:szCs w:val="24"/>
        </w:rPr>
        <w:t xml:space="preserve"> will be identified only by a sequential survey identification number. </w:t>
      </w:r>
      <w:r w:rsidR="00B83698">
        <w:t xml:space="preserve">The </w:t>
      </w:r>
      <w:r w:rsidR="00A57121">
        <w:t xml:space="preserve">survey </w:t>
      </w:r>
      <w:r w:rsidR="00B83698">
        <w:t xml:space="preserve">database will be stored on a secured server and password-protected computers. </w:t>
      </w:r>
      <w:r w:rsidRPr="00FE3614">
        <w:rPr>
          <w:szCs w:val="24"/>
        </w:rPr>
        <w:t>All personnel who will have access to surveys and/or individual identifiers will be trained on the significance and protection of confidentiality, particularly as it relates to controlled and protected access to survey data and summary files</w:t>
      </w:r>
      <w:r w:rsidR="00D5143D">
        <w:rPr>
          <w:szCs w:val="24"/>
        </w:rPr>
        <w:t>, Staff will</w:t>
      </w:r>
      <w:r w:rsidR="00F368B7">
        <w:rPr>
          <w:szCs w:val="24"/>
        </w:rPr>
        <w:t xml:space="preserve"> be required to sign confidentiality statements accordingly.</w:t>
      </w:r>
    </w:p>
    <w:p w:rsidR="00BE6E55" w:rsidRPr="00FE3614" w:rsidRDefault="00AD77BE" w:rsidP="00BE6E55">
      <w:pPr>
        <w:pStyle w:val="Heading2"/>
        <w:rPr>
          <w:szCs w:val="24"/>
        </w:rPr>
      </w:pPr>
      <w:bookmarkStart w:id="33" w:name="_Toc88033477"/>
      <w:bookmarkStart w:id="34" w:name="_Toc162169928"/>
      <w:bookmarkStart w:id="35" w:name="_Toc245121130"/>
      <w:r w:rsidRPr="00FE3614">
        <w:rPr>
          <w:szCs w:val="24"/>
        </w:rPr>
        <w:t>A.</w:t>
      </w:r>
      <w:r w:rsidR="00BE6E55" w:rsidRPr="00FE3614">
        <w:rPr>
          <w:szCs w:val="24"/>
        </w:rPr>
        <w:t>11</w:t>
      </w:r>
      <w:bookmarkEnd w:id="33"/>
      <w:r w:rsidR="00BE6E55" w:rsidRPr="00FE3614">
        <w:rPr>
          <w:szCs w:val="24"/>
        </w:rPr>
        <w:tab/>
        <w:t>Sensitive Questions</w:t>
      </w:r>
      <w:bookmarkEnd w:id="34"/>
      <w:bookmarkEnd w:id="35"/>
    </w:p>
    <w:p w:rsidR="008C5BF9" w:rsidRDefault="00BE6E55" w:rsidP="002448E5">
      <w:pPr>
        <w:pStyle w:val="BodyText"/>
        <w:ind w:firstLine="0"/>
        <w:rPr>
          <w:szCs w:val="24"/>
        </w:rPr>
      </w:pPr>
      <w:r w:rsidRPr="00FE3614">
        <w:rPr>
          <w:szCs w:val="24"/>
        </w:rPr>
        <w:t xml:space="preserve">Information collected in the </w:t>
      </w:r>
      <w:r w:rsidR="00A404D1" w:rsidRPr="00FE3614">
        <w:rPr>
          <w:szCs w:val="24"/>
        </w:rPr>
        <w:t xml:space="preserve">survey </w:t>
      </w:r>
      <w:r w:rsidRPr="00FE3614">
        <w:rPr>
          <w:szCs w:val="24"/>
        </w:rPr>
        <w:t xml:space="preserve">is not of a sensitive nature. Questions </w:t>
      </w:r>
      <w:r w:rsidR="00730038">
        <w:rPr>
          <w:szCs w:val="24"/>
        </w:rPr>
        <w:t xml:space="preserve">in the </w:t>
      </w:r>
      <w:r w:rsidR="002448E5" w:rsidRPr="006914B1">
        <w:t>beneficiary survey</w:t>
      </w:r>
      <w:r w:rsidR="002448E5" w:rsidRPr="00BB5025">
        <w:rPr>
          <w:rFonts w:eastAsiaTheme="minorHAnsi"/>
          <w:szCs w:val="24"/>
        </w:rPr>
        <w:t xml:space="preserve"> </w:t>
      </w:r>
      <w:r w:rsidRPr="00FE3614">
        <w:rPr>
          <w:szCs w:val="24"/>
        </w:rPr>
        <w:t xml:space="preserve">are confined to </w:t>
      </w:r>
      <w:r w:rsidR="002448E5">
        <w:rPr>
          <w:szCs w:val="24"/>
        </w:rPr>
        <w:t>health outcomes</w:t>
      </w:r>
      <w:r w:rsidR="00730038">
        <w:rPr>
          <w:szCs w:val="24"/>
        </w:rPr>
        <w:t>.</w:t>
      </w:r>
      <w:r w:rsidR="00C11479">
        <w:rPr>
          <w:szCs w:val="24"/>
        </w:rPr>
        <w:t xml:space="preserve"> </w:t>
      </w:r>
      <w:r w:rsidR="00730038">
        <w:rPr>
          <w:szCs w:val="24"/>
        </w:rPr>
        <w:t xml:space="preserve">The survey </w:t>
      </w:r>
      <w:r w:rsidR="00647BB0">
        <w:rPr>
          <w:szCs w:val="24"/>
        </w:rPr>
        <w:t>does not contain any open-ended questions.</w:t>
      </w:r>
      <w:r w:rsidR="00C11479">
        <w:rPr>
          <w:szCs w:val="24"/>
        </w:rPr>
        <w:t xml:space="preserve"> </w:t>
      </w:r>
    </w:p>
    <w:p w:rsidR="00E83F6D" w:rsidRPr="00FE3614" w:rsidRDefault="00AD77BE" w:rsidP="00E83F6D">
      <w:pPr>
        <w:rPr>
          <w:szCs w:val="24"/>
        </w:rPr>
      </w:pPr>
      <w:bookmarkStart w:id="36" w:name="_Toc88033478"/>
      <w:bookmarkStart w:id="37" w:name="_Toc162169929"/>
      <w:bookmarkStart w:id="38" w:name="_Toc245121131"/>
      <w:r w:rsidRPr="00FE3614">
        <w:rPr>
          <w:b/>
          <w:szCs w:val="24"/>
        </w:rPr>
        <w:t>A.</w:t>
      </w:r>
      <w:r w:rsidR="00BE6E55" w:rsidRPr="00FE3614">
        <w:rPr>
          <w:b/>
          <w:szCs w:val="24"/>
        </w:rPr>
        <w:t>12</w:t>
      </w:r>
      <w:r w:rsidR="00BE6E55" w:rsidRPr="00FE3614">
        <w:rPr>
          <w:b/>
          <w:szCs w:val="24"/>
        </w:rPr>
        <w:tab/>
      </w:r>
      <w:bookmarkEnd w:id="36"/>
      <w:r w:rsidR="00BE6E55" w:rsidRPr="00FE3614">
        <w:rPr>
          <w:b/>
          <w:szCs w:val="24"/>
        </w:rPr>
        <w:t>Burden</w:t>
      </w:r>
      <w:bookmarkEnd w:id="37"/>
      <w:r w:rsidR="00BE6E55" w:rsidRPr="00FE3614">
        <w:rPr>
          <w:b/>
          <w:szCs w:val="24"/>
        </w:rPr>
        <w:t xml:space="preserve"> Estimates (Hours and Wages</w:t>
      </w:r>
      <w:r w:rsidR="00BE6E55" w:rsidRPr="00FE3614">
        <w:rPr>
          <w:szCs w:val="24"/>
        </w:rPr>
        <w:t>)</w:t>
      </w:r>
      <w:bookmarkEnd w:id="38"/>
      <w:r w:rsidR="00BE6E55" w:rsidRPr="00FE3614">
        <w:rPr>
          <w:szCs w:val="24"/>
        </w:rPr>
        <w:t xml:space="preserve"> </w:t>
      </w:r>
    </w:p>
    <w:p w:rsidR="00E83F6D" w:rsidRPr="00FE3614" w:rsidRDefault="00E83F6D" w:rsidP="00E83F6D">
      <w:pPr>
        <w:rPr>
          <w:szCs w:val="24"/>
        </w:rPr>
      </w:pPr>
    </w:p>
    <w:p w:rsidR="003B2AEE" w:rsidRDefault="003B2AEE" w:rsidP="00E83F6D">
      <w:pPr>
        <w:rPr>
          <w:color w:val="000000"/>
          <w:szCs w:val="24"/>
        </w:rPr>
      </w:pPr>
      <w:r>
        <w:rPr>
          <w:color w:val="000000"/>
          <w:szCs w:val="24"/>
        </w:rPr>
        <w:t>Estimates of survey burden in terms of hours and annualized costs are shown in the two tables below.</w:t>
      </w:r>
    </w:p>
    <w:p w:rsidR="00E83F6D" w:rsidRPr="00FE3614" w:rsidRDefault="00E83F6D" w:rsidP="00E83F6D">
      <w:pPr>
        <w:rPr>
          <w:color w:val="000000"/>
          <w:szCs w:val="24"/>
        </w:rPr>
      </w:pPr>
    </w:p>
    <w:p w:rsidR="00E83F6D" w:rsidRPr="00FE3614" w:rsidRDefault="00E83F6D" w:rsidP="004F614D">
      <w:pPr>
        <w:pStyle w:val="P1-StandPara"/>
        <w:keepNext/>
        <w:keepLines/>
        <w:spacing w:line="240" w:lineRule="auto"/>
        <w:rPr>
          <w:rFonts w:ascii="Times New Roman" w:hAnsi="Times New Roman" w:cs="Times New Roman"/>
          <w:b/>
          <w:caps/>
          <w:color w:val="000000"/>
          <w:sz w:val="24"/>
          <w:szCs w:val="24"/>
        </w:rPr>
      </w:pPr>
      <w:r w:rsidRPr="00FE3614">
        <w:rPr>
          <w:rFonts w:ascii="Times New Roman" w:hAnsi="Times New Roman" w:cs="Times New Roman"/>
          <w:b/>
          <w:color w:val="000000"/>
          <w:sz w:val="24"/>
          <w:szCs w:val="24"/>
        </w:rPr>
        <w:t>TABLE</w:t>
      </w:r>
      <w:r w:rsidR="003B2AEE">
        <w:rPr>
          <w:rFonts w:ascii="Times New Roman" w:hAnsi="Times New Roman" w:cs="Times New Roman"/>
          <w:b/>
          <w:color w:val="000000"/>
          <w:sz w:val="24"/>
          <w:szCs w:val="24"/>
        </w:rPr>
        <w:t xml:space="preserve"> A</w:t>
      </w:r>
      <w:r w:rsidRPr="00FE3614">
        <w:rPr>
          <w:rFonts w:ascii="Times New Roman" w:hAnsi="Times New Roman" w:cs="Times New Roman"/>
          <w:b/>
          <w:color w:val="000000"/>
          <w:sz w:val="24"/>
          <w:szCs w:val="24"/>
        </w:rPr>
        <w:t>.12 - 1</w:t>
      </w:r>
      <w:r w:rsidR="00AF2FCC">
        <w:rPr>
          <w:rFonts w:ascii="Times New Roman" w:hAnsi="Times New Roman" w:cs="Times New Roman"/>
          <w:b/>
          <w:color w:val="000000"/>
          <w:sz w:val="24"/>
          <w:szCs w:val="24"/>
        </w:rPr>
        <w:t xml:space="preserve"> </w:t>
      </w:r>
      <w:r w:rsidRPr="00FE3614">
        <w:rPr>
          <w:rFonts w:ascii="Times New Roman" w:hAnsi="Times New Roman" w:cs="Times New Roman"/>
          <w:b/>
          <w:caps/>
          <w:color w:val="000000"/>
          <w:sz w:val="24"/>
          <w:szCs w:val="24"/>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058"/>
        <w:gridCol w:w="2260"/>
        <w:gridCol w:w="1852"/>
        <w:gridCol w:w="2017"/>
      </w:tblGrid>
      <w:tr w:rsidR="00E83F6D" w:rsidRPr="00FE3614" w:rsidTr="00E83F6D">
        <w:trPr>
          <w:trHeight w:val="1043"/>
          <w:jc w:val="center"/>
        </w:trPr>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726395">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Estimated Annual Number of Respondents</w:t>
            </w:r>
          </w:p>
        </w:tc>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Estimated Number of Responses for all Respondents</w:t>
            </w:r>
          </w:p>
        </w:tc>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Average Burden Hours for all Responses</w:t>
            </w:r>
          </w:p>
        </w:tc>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Estimated Total Annual Burden Hours Requested</w:t>
            </w:r>
          </w:p>
        </w:tc>
      </w:tr>
      <w:tr w:rsidR="00E83F6D" w:rsidRPr="00FE3614" w:rsidTr="00E83F6D">
        <w:trPr>
          <w:jc w:val="center"/>
        </w:trPr>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Summary of Burdens</w:t>
            </w:r>
          </w:p>
        </w:tc>
        <w:tc>
          <w:tcPr>
            <w:tcW w:w="0" w:type="auto"/>
            <w:tcBorders>
              <w:top w:val="single" w:sz="4" w:space="0" w:color="auto"/>
              <w:left w:val="single" w:sz="4" w:space="0" w:color="auto"/>
              <w:bottom w:val="single" w:sz="4" w:space="0" w:color="auto"/>
              <w:right w:val="single" w:sz="4" w:space="0" w:color="auto"/>
            </w:tcBorders>
            <w:vAlign w:val="center"/>
          </w:tcPr>
          <w:p w:rsidR="00E83F6D" w:rsidRPr="00FE3614" w:rsidRDefault="003523A9" w:rsidP="003B2F16">
            <w:pPr>
              <w:jc w:val="center"/>
              <w:rPr>
                <w:color w:val="000000"/>
                <w:szCs w:val="24"/>
              </w:rPr>
            </w:pPr>
            <w:r>
              <w:rPr>
                <w:color w:val="000000"/>
                <w:szCs w:val="24"/>
              </w:rPr>
              <w:t>669</w:t>
            </w:r>
          </w:p>
        </w:tc>
        <w:tc>
          <w:tcPr>
            <w:tcW w:w="0" w:type="auto"/>
            <w:tcBorders>
              <w:top w:val="single" w:sz="4" w:space="0" w:color="auto"/>
              <w:left w:val="single" w:sz="4" w:space="0" w:color="auto"/>
              <w:bottom w:val="single" w:sz="4" w:space="0" w:color="auto"/>
              <w:right w:val="single" w:sz="4" w:space="0" w:color="auto"/>
            </w:tcBorders>
            <w:vAlign w:val="center"/>
          </w:tcPr>
          <w:p w:rsidR="00E83F6D" w:rsidRPr="00FE3614" w:rsidRDefault="00E83F6D" w:rsidP="00E83F6D">
            <w:pPr>
              <w:jc w:val="center"/>
              <w:rPr>
                <w:color w:val="000000"/>
                <w:szCs w:val="24"/>
              </w:rPr>
            </w:pPr>
            <w:r w:rsidRPr="00FE3614">
              <w:rPr>
                <w:color w:val="000000"/>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E83F6D" w:rsidRPr="00FE3614" w:rsidRDefault="00D87487" w:rsidP="00E83F6D">
            <w:pPr>
              <w:jc w:val="center"/>
              <w:rPr>
                <w:color w:val="000000"/>
                <w:szCs w:val="24"/>
              </w:rPr>
            </w:pPr>
            <w:r>
              <w:rPr>
                <w:color w:val="000000"/>
                <w:szCs w:val="24"/>
              </w:rPr>
              <w:t>20/60</w:t>
            </w:r>
          </w:p>
        </w:tc>
        <w:tc>
          <w:tcPr>
            <w:tcW w:w="0" w:type="auto"/>
            <w:tcBorders>
              <w:top w:val="single" w:sz="4" w:space="0" w:color="auto"/>
              <w:left w:val="single" w:sz="4" w:space="0" w:color="auto"/>
              <w:bottom w:val="single" w:sz="4" w:space="0" w:color="auto"/>
              <w:right w:val="single" w:sz="4" w:space="0" w:color="auto"/>
            </w:tcBorders>
            <w:vAlign w:val="center"/>
          </w:tcPr>
          <w:p w:rsidR="00E83F6D" w:rsidRPr="00FE3614" w:rsidRDefault="00A95815" w:rsidP="00E83F6D">
            <w:pPr>
              <w:jc w:val="center"/>
              <w:rPr>
                <w:color w:val="000000"/>
                <w:szCs w:val="24"/>
              </w:rPr>
            </w:pPr>
            <w:r>
              <w:rPr>
                <w:color w:val="000000"/>
                <w:szCs w:val="24"/>
              </w:rPr>
              <w:t>223</w:t>
            </w:r>
          </w:p>
        </w:tc>
      </w:tr>
    </w:tbl>
    <w:p w:rsidR="00E83F6D" w:rsidRPr="00FE3614" w:rsidRDefault="00E83F6D" w:rsidP="00E83F6D">
      <w:pPr>
        <w:ind w:firstLine="720"/>
        <w:rPr>
          <w:smallCaps/>
          <w:color w:val="000000"/>
          <w:szCs w:val="24"/>
        </w:rPr>
      </w:pPr>
    </w:p>
    <w:p w:rsidR="00E83F6D" w:rsidRPr="00FE3614" w:rsidRDefault="00E83F6D" w:rsidP="00E83F6D">
      <w:pPr>
        <w:ind w:firstLine="720"/>
        <w:rPr>
          <w:b/>
          <w:caps/>
          <w:color w:val="000000"/>
          <w:szCs w:val="24"/>
        </w:rPr>
      </w:pPr>
      <w:r w:rsidRPr="00FE3614">
        <w:rPr>
          <w:b/>
          <w:caps/>
          <w:color w:val="000000"/>
          <w:szCs w:val="24"/>
        </w:rPr>
        <w:t>Table A.12 - 2</w:t>
      </w:r>
      <w:r w:rsidR="00AF2FCC">
        <w:rPr>
          <w:b/>
          <w:caps/>
          <w:color w:val="000000"/>
          <w:szCs w:val="24"/>
        </w:rPr>
        <w:t xml:space="preserve"> </w:t>
      </w:r>
      <w:r w:rsidRPr="00FE3614">
        <w:rPr>
          <w:b/>
          <w:caps/>
          <w:color w:val="000000"/>
          <w:szCs w:val="24"/>
        </w:rPr>
        <w:t>Annualized Cost To Respondents</w:t>
      </w:r>
    </w:p>
    <w:p w:rsidR="00E83F6D" w:rsidRPr="00FE3614" w:rsidRDefault="00E83F6D" w:rsidP="00E83F6D">
      <w:pPr>
        <w:ind w:firstLine="720"/>
        <w:rPr>
          <w:b/>
          <w:small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719"/>
        <w:gridCol w:w="1538"/>
        <w:gridCol w:w="1800"/>
        <w:gridCol w:w="1250"/>
        <w:gridCol w:w="1905"/>
      </w:tblGrid>
      <w:tr w:rsidR="00E83F6D" w:rsidRPr="00FE3614" w:rsidTr="003140D6">
        <w:tc>
          <w:tcPr>
            <w:tcW w:w="0" w:type="auto"/>
          </w:tcPr>
          <w:p w:rsidR="00E83F6D" w:rsidRPr="00FE3614" w:rsidRDefault="00E83F6D" w:rsidP="00726395">
            <w:pPr>
              <w:rPr>
                <w:color w:val="000000"/>
                <w:szCs w:val="24"/>
              </w:rPr>
            </w:pPr>
          </w:p>
        </w:tc>
        <w:tc>
          <w:tcPr>
            <w:tcW w:w="0" w:type="auto"/>
          </w:tcPr>
          <w:p w:rsidR="00E83F6D" w:rsidRPr="004A6724" w:rsidRDefault="00E83F6D" w:rsidP="003140D6">
            <w:pPr>
              <w:rPr>
                <w:color w:val="000000"/>
                <w:szCs w:val="24"/>
              </w:rPr>
            </w:pPr>
            <w:r w:rsidRPr="004A6724">
              <w:rPr>
                <w:color w:val="000000"/>
                <w:szCs w:val="24"/>
              </w:rPr>
              <w:t>Number of Respondents</w:t>
            </w:r>
          </w:p>
        </w:tc>
        <w:tc>
          <w:tcPr>
            <w:tcW w:w="0" w:type="auto"/>
          </w:tcPr>
          <w:p w:rsidR="00E83F6D" w:rsidRPr="004A6724" w:rsidRDefault="00E83F6D" w:rsidP="003140D6">
            <w:pPr>
              <w:rPr>
                <w:color w:val="000000"/>
                <w:szCs w:val="24"/>
              </w:rPr>
            </w:pPr>
            <w:r w:rsidRPr="004A6724">
              <w:rPr>
                <w:color w:val="000000"/>
                <w:szCs w:val="24"/>
              </w:rPr>
              <w:t>Frequency of Response</w:t>
            </w:r>
          </w:p>
        </w:tc>
        <w:tc>
          <w:tcPr>
            <w:tcW w:w="0" w:type="auto"/>
          </w:tcPr>
          <w:p w:rsidR="00E83F6D" w:rsidRPr="00FE3614" w:rsidRDefault="00E83F6D" w:rsidP="003140D6">
            <w:pPr>
              <w:rPr>
                <w:color w:val="000000"/>
                <w:szCs w:val="24"/>
              </w:rPr>
            </w:pPr>
            <w:r w:rsidRPr="00FE3614">
              <w:rPr>
                <w:color w:val="000000"/>
                <w:szCs w:val="24"/>
              </w:rPr>
              <w:t>Average Time per Respondent</w:t>
            </w:r>
          </w:p>
        </w:tc>
        <w:tc>
          <w:tcPr>
            <w:tcW w:w="0" w:type="auto"/>
          </w:tcPr>
          <w:p w:rsidR="00E83F6D" w:rsidRPr="00FE3614" w:rsidRDefault="00E83F6D" w:rsidP="003140D6">
            <w:pPr>
              <w:rPr>
                <w:color w:val="000000"/>
                <w:szCs w:val="24"/>
              </w:rPr>
            </w:pPr>
            <w:r w:rsidRPr="00FE3614">
              <w:rPr>
                <w:color w:val="000000"/>
                <w:szCs w:val="24"/>
              </w:rPr>
              <w:t>Hourly Wage Rate</w:t>
            </w:r>
          </w:p>
        </w:tc>
        <w:tc>
          <w:tcPr>
            <w:tcW w:w="0" w:type="auto"/>
          </w:tcPr>
          <w:p w:rsidR="00E83F6D" w:rsidRPr="00FE3614" w:rsidRDefault="00E83F6D" w:rsidP="003140D6">
            <w:pPr>
              <w:rPr>
                <w:color w:val="000000"/>
                <w:szCs w:val="24"/>
              </w:rPr>
            </w:pPr>
            <w:r w:rsidRPr="00FE3614">
              <w:rPr>
                <w:color w:val="000000"/>
                <w:szCs w:val="24"/>
              </w:rPr>
              <w:t>Respondent Cost – all respondents</w:t>
            </w:r>
          </w:p>
        </w:tc>
      </w:tr>
      <w:tr w:rsidR="00E83F6D" w:rsidRPr="00FE3614" w:rsidTr="00E83F6D">
        <w:tc>
          <w:tcPr>
            <w:tcW w:w="0" w:type="auto"/>
          </w:tcPr>
          <w:p w:rsidR="00E83F6D" w:rsidRPr="00FE3614" w:rsidRDefault="00E83F6D" w:rsidP="003140D6">
            <w:pPr>
              <w:rPr>
                <w:color w:val="000000"/>
                <w:szCs w:val="24"/>
              </w:rPr>
            </w:pPr>
            <w:r w:rsidRPr="00FE3614">
              <w:rPr>
                <w:color w:val="000000"/>
                <w:szCs w:val="24"/>
              </w:rPr>
              <w:t>Summary of Costs</w:t>
            </w:r>
          </w:p>
        </w:tc>
        <w:tc>
          <w:tcPr>
            <w:tcW w:w="0" w:type="auto"/>
            <w:vAlign w:val="center"/>
          </w:tcPr>
          <w:p w:rsidR="00E83F6D" w:rsidRPr="004A6724" w:rsidRDefault="0037106B" w:rsidP="003B2F16">
            <w:pPr>
              <w:jc w:val="center"/>
              <w:rPr>
                <w:color w:val="000000"/>
                <w:szCs w:val="24"/>
              </w:rPr>
            </w:pPr>
            <w:r>
              <w:rPr>
                <w:color w:val="000000"/>
                <w:szCs w:val="24"/>
              </w:rPr>
              <w:t>669</w:t>
            </w:r>
          </w:p>
        </w:tc>
        <w:tc>
          <w:tcPr>
            <w:tcW w:w="0" w:type="auto"/>
            <w:vAlign w:val="center"/>
          </w:tcPr>
          <w:p w:rsidR="00E83F6D" w:rsidRPr="004A6724" w:rsidRDefault="00E83F6D" w:rsidP="00E83F6D">
            <w:pPr>
              <w:jc w:val="center"/>
              <w:rPr>
                <w:color w:val="000000"/>
                <w:szCs w:val="24"/>
              </w:rPr>
            </w:pPr>
            <w:r w:rsidRPr="004A6724">
              <w:rPr>
                <w:color w:val="000000"/>
                <w:szCs w:val="24"/>
              </w:rPr>
              <w:t>1</w:t>
            </w:r>
          </w:p>
        </w:tc>
        <w:tc>
          <w:tcPr>
            <w:tcW w:w="0" w:type="auto"/>
            <w:vAlign w:val="center"/>
          </w:tcPr>
          <w:p w:rsidR="00E83F6D" w:rsidRPr="00FE3614" w:rsidRDefault="00D87487" w:rsidP="00E83F6D">
            <w:pPr>
              <w:jc w:val="center"/>
              <w:rPr>
                <w:color w:val="000000"/>
                <w:szCs w:val="24"/>
              </w:rPr>
            </w:pPr>
            <w:r>
              <w:rPr>
                <w:color w:val="000000"/>
                <w:szCs w:val="24"/>
              </w:rPr>
              <w:t>20/60</w:t>
            </w:r>
          </w:p>
        </w:tc>
        <w:tc>
          <w:tcPr>
            <w:tcW w:w="0" w:type="auto"/>
            <w:vAlign w:val="center"/>
          </w:tcPr>
          <w:p w:rsidR="00E83F6D" w:rsidRPr="00FE3614" w:rsidRDefault="00E83F6D" w:rsidP="00731E7F">
            <w:pPr>
              <w:jc w:val="center"/>
              <w:rPr>
                <w:color w:val="000000"/>
                <w:szCs w:val="24"/>
              </w:rPr>
            </w:pPr>
            <w:r w:rsidRPr="00FE3614">
              <w:rPr>
                <w:color w:val="000000"/>
                <w:szCs w:val="24"/>
              </w:rPr>
              <w:t>$</w:t>
            </w:r>
            <w:r w:rsidR="00731E7F" w:rsidRPr="00FE3614">
              <w:rPr>
                <w:color w:val="000000"/>
                <w:szCs w:val="24"/>
              </w:rPr>
              <w:t>12.45*</w:t>
            </w:r>
          </w:p>
        </w:tc>
        <w:tc>
          <w:tcPr>
            <w:tcW w:w="0" w:type="auto"/>
            <w:vAlign w:val="center"/>
          </w:tcPr>
          <w:p w:rsidR="00E83F6D" w:rsidRPr="00FE3614" w:rsidRDefault="00A95815" w:rsidP="003B2F16">
            <w:pPr>
              <w:jc w:val="center"/>
              <w:rPr>
                <w:color w:val="000000"/>
                <w:szCs w:val="24"/>
              </w:rPr>
            </w:pPr>
            <w:r>
              <w:rPr>
                <w:color w:val="000000"/>
                <w:szCs w:val="24"/>
              </w:rPr>
              <w:t>$2,776</w:t>
            </w:r>
          </w:p>
        </w:tc>
      </w:tr>
    </w:tbl>
    <w:p w:rsidR="00E83F6D" w:rsidRPr="00FE3614" w:rsidRDefault="00E83F6D" w:rsidP="00E83F6D">
      <w:pPr>
        <w:rPr>
          <w:smallCaps/>
          <w:color w:val="000000"/>
          <w:szCs w:val="24"/>
        </w:rPr>
      </w:pPr>
    </w:p>
    <w:p w:rsidR="00C500B1" w:rsidRPr="00FE3614" w:rsidRDefault="0012362F" w:rsidP="00E33893">
      <w:pPr>
        <w:rPr>
          <w:color w:val="000000"/>
          <w:szCs w:val="24"/>
        </w:rPr>
      </w:pPr>
      <w:r w:rsidRPr="00FE3614">
        <w:rPr>
          <w:color w:val="000000"/>
          <w:szCs w:val="24"/>
        </w:rPr>
        <w:t>*</w:t>
      </w:r>
      <w:r w:rsidR="00731E7F" w:rsidRPr="00FE3614">
        <w:rPr>
          <w:color w:val="000000"/>
          <w:szCs w:val="24"/>
        </w:rPr>
        <w:t>Taken from the</w:t>
      </w:r>
      <w:r w:rsidRPr="00FE3614">
        <w:rPr>
          <w:color w:val="000000"/>
          <w:szCs w:val="24"/>
        </w:rPr>
        <w:t xml:space="preserve"> </w:t>
      </w:r>
      <w:r w:rsidR="00A7627D" w:rsidRPr="00FE3614">
        <w:rPr>
          <w:color w:val="000000"/>
          <w:szCs w:val="24"/>
        </w:rPr>
        <w:t>m</w:t>
      </w:r>
      <w:r w:rsidR="006C4AFD" w:rsidRPr="00FE3614">
        <w:rPr>
          <w:color w:val="000000"/>
          <w:szCs w:val="24"/>
        </w:rPr>
        <w:t>edian</w:t>
      </w:r>
      <w:r w:rsidR="00731E7F" w:rsidRPr="00FE3614">
        <w:rPr>
          <w:color w:val="000000"/>
          <w:szCs w:val="24"/>
        </w:rPr>
        <w:t xml:space="preserve"> </w:t>
      </w:r>
      <w:r w:rsidR="00731E7F" w:rsidRPr="00FE3614">
        <w:t xml:space="preserve">Medicare income level as provided in The Henry J. Kaiser Family Foundation, Medicare Chartbook, Fourth Edition, 2010, </w:t>
      </w:r>
      <w:hyperlink r:id="rId9" w:history="1">
        <w:r w:rsidR="00E33893" w:rsidRPr="00FE3614">
          <w:rPr>
            <w:rStyle w:val="Hyperlink"/>
          </w:rPr>
          <w:t>http://www.kff.org/medicare/upload/8103.pdf</w:t>
        </w:r>
      </w:hyperlink>
    </w:p>
    <w:p w:rsidR="00120F59" w:rsidRPr="00FE3614" w:rsidRDefault="00120F59" w:rsidP="00120F59">
      <w:pPr>
        <w:pStyle w:val="Heading2"/>
        <w:rPr>
          <w:szCs w:val="24"/>
        </w:rPr>
      </w:pPr>
      <w:r w:rsidRPr="00FE3614">
        <w:rPr>
          <w:szCs w:val="24"/>
        </w:rPr>
        <w:t>A.13</w:t>
      </w:r>
      <w:r w:rsidRPr="00FE3614">
        <w:rPr>
          <w:szCs w:val="24"/>
        </w:rPr>
        <w:tab/>
        <w:t>Capital Costs</w:t>
      </w:r>
    </w:p>
    <w:p w:rsidR="004835FE" w:rsidRPr="00FE3614" w:rsidRDefault="004C2A64" w:rsidP="004C2A64">
      <w:pPr>
        <w:pStyle w:val="BodyText"/>
        <w:ind w:firstLine="0"/>
        <w:rPr>
          <w:szCs w:val="24"/>
        </w:rPr>
      </w:pPr>
      <w:r>
        <w:rPr>
          <w:szCs w:val="24"/>
        </w:rPr>
        <w:t xml:space="preserve">There are no capital </w:t>
      </w:r>
      <w:r w:rsidR="00BE6E55" w:rsidRPr="00FE3614">
        <w:rPr>
          <w:szCs w:val="24"/>
        </w:rPr>
        <w:t>costs</w:t>
      </w:r>
      <w:r>
        <w:rPr>
          <w:szCs w:val="24"/>
        </w:rPr>
        <w:t xml:space="preserve">. </w:t>
      </w:r>
    </w:p>
    <w:p w:rsidR="00BE6E55" w:rsidRPr="00FE3614" w:rsidRDefault="00AD77BE" w:rsidP="00BE6E55">
      <w:pPr>
        <w:pStyle w:val="Heading2"/>
        <w:rPr>
          <w:szCs w:val="24"/>
        </w:rPr>
      </w:pPr>
      <w:bookmarkStart w:id="39" w:name="_Toc88033480"/>
      <w:bookmarkStart w:id="40" w:name="_Toc162169931"/>
      <w:bookmarkStart w:id="41" w:name="_Toc245121133"/>
      <w:r w:rsidRPr="00FE3614">
        <w:rPr>
          <w:szCs w:val="24"/>
        </w:rPr>
        <w:t>A.</w:t>
      </w:r>
      <w:r w:rsidR="00BE6E55" w:rsidRPr="00FE3614">
        <w:rPr>
          <w:szCs w:val="24"/>
        </w:rPr>
        <w:t>14</w:t>
      </w:r>
      <w:r w:rsidR="00BE6E55" w:rsidRPr="00FE3614">
        <w:rPr>
          <w:szCs w:val="24"/>
        </w:rPr>
        <w:tab/>
      </w:r>
      <w:bookmarkEnd w:id="39"/>
      <w:r w:rsidR="00BE6E55" w:rsidRPr="00FE3614">
        <w:rPr>
          <w:szCs w:val="24"/>
        </w:rPr>
        <w:t>Costs to Federal Government</w:t>
      </w:r>
      <w:bookmarkEnd w:id="40"/>
      <w:bookmarkEnd w:id="41"/>
    </w:p>
    <w:p w:rsidR="0071550D" w:rsidRDefault="0071550D" w:rsidP="009D5536">
      <w:pPr>
        <w:pStyle w:val="BodyText"/>
        <w:ind w:firstLine="0"/>
      </w:pPr>
      <w:r w:rsidRPr="000E6CEA">
        <w:t>Total</w:t>
      </w:r>
      <w:r w:rsidR="00681AA0">
        <w:t xml:space="preserve"> </w:t>
      </w:r>
      <w:r w:rsidRPr="000E6CEA">
        <w:t>costs are estimated to be $</w:t>
      </w:r>
      <w:r w:rsidR="009D5536" w:rsidRPr="009D5536">
        <w:t>136,775</w:t>
      </w:r>
      <w:r w:rsidR="00A37B62">
        <w:t xml:space="preserve">. </w:t>
      </w:r>
      <w:r w:rsidRPr="000E6CEA">
        <w:t xml:space="preserve">These costs are funded </w:t>
      </w:r>
      <w:r>
        <w:t>through</w:t>
      </w:r>
      <w:r w:rsidRPr="000E6CEA">
        <w:t xml:space="preserve"> </w:t>
      </w:r>
      <w:r>
        <w:t xml:space="preserve">an existing </w:t>
      </w:r>
      <w:r w:rsidR="00173626">
        <w:t>ASPE/HUD</w:t>
      </w:r>
      <w:r w:rsidR="00F05C82">
        <w:t>/AoA</w:t>
      </w:r>
      <w:r>
        <w:t xml:space="preserve"> </w:t>
      </w:r>
      <w:r w:rsidRPr="000E6CEA">
        <w:t xml:space="preserve">contract </w:t>
      </w:r>
      <w:r>
        <w:t>with RTI</w:t>
      </w:r>
      <w:r w:rsidR="008A2550">
        <w:t xml:space="preserve"> International</w:t>
      </w:r>
      <w:r w:rsidRPr="000E6CEA">
        <w:t>.</w:t>
      </w:r>
    </w:p>
    <w:p w:rsidR="0071550D" w:rsidRDefault="0071550D" w:rsidP="00354DFE">
      <w:pPr>
        <w:pStyle w:val="BodyText"/>
        <w:ind w:firstLine="0"/>
      </w:pPr>
      <w:r>
        <w:t xml:space="preserve">Federal FTE costs are expected to be negligible. The Project Officer for the </w:t>
      </w:r>
      <w:r w:rsidR="00173626">
        <w:t>ASPE/HUD</w:t>
      </w:r>
      <w:r w:rsidR="00F05C82">
        <w:t>/AoA</w:t>
      </w:r>
      <w:r>
        <w:t xml:space="preserve"> co</w:t>
      </w:r>
      <w:r w:rsidR="00354DFE">
        <w:t xml:space="preserve">ntract with RTI is expected </w:t>
      </w:r>
      <w:r>
        <w:t xml:space="preserve">to spend </w:t>
      </w:r>
      <w:r w:rsidR="00354DFE">
        <w:t xml:space="preserve">about 0.2% of her </w:t>
      </w:r>
      <w:r>
        <w:t>time on the a</w:t>
      </w:r>
      <w:r w:rsidR="00354DFE">
        <w:t>dministration of this survey</w:t>
      </w:r>
      <w:r>
        <w:t>.</w:t>
      </w:r>
    </w:p>
    <w:p w:rsidR="00BE6E55" w:rsidRPr="00FE3614" w:rsidRDefault="00AD77BE" w:rsidP="00BE6E55">
      <w:pPr>
        <w:pStyle w:val="Heading2"/>
        <w:rPr>
          <w:szCs w:val="24"/>
        </w:rPr>
      </w:pPr>
      <w:bookmarkStart w:id="42" w:name="_Toc88033481"/>
      <w:bookmarkStart w:id="43" w:name="_Toc162169932"/>
      <w:bookmarkStart w:id="44" w:name="_Toc245121134"/>
      <w:r w:rsidRPr="00FE3614">
        <w:rPr>
          <w:szCs w:val="24"/>
        </w:rPr>
        <w:t>A.</w:t>
      </w:r>
      <w:r w:rsidR="00BE6E55" w:rsidRPr="00FE3614">
        <w:rPr>
          <w:szCs w:val="24"/>
        </w:rPr>
        <w:t>15</w:t>
      </w:r>
      <w:r w:rsidR="00BE6E55" w:rsidRPr="00FE3614">
        <w:rPr>
          <w:szCs w:val="24"/>
        </w:rPr>
        <w:tab/>
      </w:r>
      <w:bookmarkEnd w:id="42"/>
      <w:r w:rsidR="00BE6E55" w:rsidRPr="00FE3614">
        <w:rPr>
          <w:szCs w:val="24"/>
        </w:rPr>
        <w:t>Changes to Burden</w:t>
      </w:r>
      <w:bookmarkEnd w:id="43"/>
      <w:bookmarkEnd w:id="44"/>
    </w:p>
    <w:p w:rsidR="004835FE" w:rsidRPr="00FE3614" w:rsidRDefault="00BE6E55" w:rsidP="00173626">
      <w:pPr>
        <w:pStyle w:val="BodyText"/>
        <w:ind w:firstLine="0"/>
        <w:rPr>
          <w:szCs w:val="24"/>
        </w:rPr>
      </w:pPr>
      <w:r w:rsidRPr="00FE3614">
        <w:rPr>
          <w:szCs w:val="24"/>
        </w:rPr>
        <w:t xml:space="preserve">This is a new data collection for </w:t>
      </w:r>
      <w:r w:rsidR="00173626">
        <w:t>ASPE/HUD</w:t>
      </w:r>
      <w:r w:rsidR="00F05C82">
        <w:t>/AoA</w:t>
      </w:r>
      <w:r w:rsidRPr="00FE3614">
        <w:rPr>
          <w:szCs w:val="24"/>
        </w:rPr>
        <w:t xml:space="preserve">. </w:t>
      </w:r>
    </w:p>
    <w:p w:rsidR="00321223" w:rsidRDefault="00AD77BE">
      <w:pPr>
        <w:pStyle w:val="Heading2"/>
        <w:rPr>
          <w:szCs w:val="24"/>
        </w:rPr>
      </w:pPr>
      <w:bookmarkStart w:id="45" w:name="_Toc88033482"/>
      <w:bookmarkStart w:id="46" w:name="_Toc162169933"/>
      <w:bookmarkStart w:id="47" w:name="_Toc245121135"/>
      <w:r w:rsidRPr="00DE4667">
        <w:rPr>
          <w:szCs w:val="24"/>
        </w:rPr>
        <w:t>A.</w:t>
      </w:r>
      <w:r w:rsidR="00BE6E55" w:rsidRPr="00DE4667">
        <w:rPr>
          <w:szCs w:val="24"/>
        </w:rPr>
        <w:t>16</w:t>
      </w:r>
      <w:r w:rsidR="00BE6E55" w:rsidRPr="00DE4667">
        <w:rPr>
          <w:szCs w:val="24"/>
        </w:rPr>
        <w:tab/>
      </w:r>
      <w:bookmarkEnd w:id="45"/>
      <w:r w:rsidR="00BE6E55" w:rsidRPr="00DE4667">
        <w:rPr>
          <w:szCs w:val="24"/>
        </w:rPr>
        <w:t>Publication/Tabulation Dates</w:t>
      </w:r>
      <w:bookmarkEnd w:id="46"/>
      <w:bookmarkEnd w:id="47"/>
      <w:r w:rsidR="00681AA0">
        <w:rPr>
          <w:szCs w:val="24"/>
        </w:rPr>
        <w:t xml:space="preserve"> </w:t>
      </w:r>
    </w:p>
    <w:p w:rsidR="00321223" w:rsidRPr="00DE4667" w:rsidRDefault="00B46CF9" w:rsidP="00BC66DB">
      <w:pPr>
        <w:pStyle w:val="BodyText"/>
        <w:ind w:firstLine="0"/>
      </w:pPr>
      <w:r>
        <w:t>No information about individual benef</w:t>
      </w:r>
      <w:r w:rsidR="00F1045F">
        <w:t>i</w:t>
      </w:r>
      <w:r>
        <w:t xml:space="preserve">ciaries will be published. </w:t>
      </w:r>
      <w:r w:rsidR="00321223">
        <w:t xml:space="preserve"> Summary scores for the key </w:t>
      </w:r>
      <w:r w:rsidR="000523D3">
        <w:rPr>
          <w:rFonts w:eastAsiaTheme="minorHAnsi"/>
          <w:szCs w:val="24"/>
        </w:rPr>
        <w:t>beneficiary</w:t>
      </w:r>
      <w:r w:rsidR="005E30F8" w:rsidRPr="00771654">
        <w:t xml:space="preserve"> </w:t>
      </w:r>
      <w:r w:rsidR="003523A9" w:rsidRPr="00771654">
        <w:t xml:space="preserve">survey </w:t>
      </w:r>
      <w:r w:rsidR="00321223">
        <w:t xml:space="preserve">domains will be </w:t>
      </w:r>
      <w:r>
        <w:t xml:space="preserve">weighted for sample design and response propensity.  These results will appear in </w:t>
      </w:r>
      <w:r w:rsidR="00BC66DB">
        <w:t>a</w:t>
      </w:r>
      <w:r>
        <w:t xml:space="preserve"> </w:t>
      </w:r>
      <w:r w:rsidR="00BC66DB">
        <w:t>comprehensive evaluation report, which will be submitted to ASPE/HUD/AoA near the conclusion of the project</w:t>
      </w:r>
      <w:r w:rsidRPr="00A219A2">
        <w:t>.</w:t>
      </w:r>
      <w:r w:rsidR="00BC66DB">
        <w:t xml:space="preserve"> Summary results will also be included in the second year interim findings memorandum. The memorandum is intended to be posted on the ASPE and HUD Web sites. </w:t>
      </w:r>
    </w:p>
    <w:p w:rsidR="00BE6E55" w:rsidRPr="00FE3614" w:rsidRDefault="00AD77BE" w:rsidP="00BE6E55">
      <w:pPr>
        <w:pStyle w:val="Heading2"/>
        <w:rPr>
          <w:szCs w:val="24"/>
        </w:rPr>
      </w:pPr>
      <w:bookmarkStart w:id="48" w:name="_Toc88033483"/>
      <w:bookmarkStart w:id="49" w:name="_Toc162169934"/>
      <w:bookmarkStart w:id="50" w:name="_Toc245121136"/>
      <w:r w:rsidRPr="00FE3614">
        <w:rPr>
          <w:szCs w:val="24"/>
        </w:rPr>
        <w:t>A.</w:t>
      </w:r>
      <w:r w:rsidR="00BE6E55" w:rsidRPr="00FE3614">
        <w:rPr>
          <w:szCs w:val="24"/>
        </w:rPr>
        <w:t>17</w:t>
      </w:r>
      <w:r w:rsidR="00BE6E55" w:rsidRPr="00FE3614">
        <w:rPr>
          <w:szCs w:val="24"/>
        </w:rPr>
        <w:tab/>
      </w:r>
      <w:bookmarkStart w:id="51" w:name="_Toc88033484"/>
      <w:bookmarkEnd w:id="48"/>
      <w:r w:rsidR="00BE6E55" w:rsidRPr="00FE3614">
        <w:rPr>
          <w:szCs w:val="24"/>
        </w:rPr>
        <w:t>Expiration Date</w:t>
      </w:r>
      <w:bookmarkEnd w:id="49"/>
      <w:bookmarkEnd w:id="50"/>
    </w:p>
    <w:bookmarkEnd w:id="3"/>
    <w:bookmarkEnd w:id="4"/>
    <w:bookmarkEnd w:id="51"/>
    <w:p w:rsidR="0010435A" w:rsidRDefault="00BE0500" w:rsidP="005E30F8">
      <w:pPr>
        <w:pStyle w:val="BodyText"/>
        <w:ind w:firstLine="0"/>
      </w:pPr>
      <w:r w:rsidRPr="009A48D4">
        <w:t>The OMB expiration date will be displayed on all disseminated data collection materials.</w:t>
      </w:r>
    </w:p>
    <w:p w:rsidR="0010435A" w:rsidRDefault="0010435A" w:rsidP="005E30F8">
      <w:pPr>
        <w:pStyle w:val="BodyText"/>
        <w:ind w:firstLine="0"/>
        <w:sectPr w:rsidR="0010435A" w:rsidSect="008A2550">
          <w:headerReference w:type="default" r:id="rId10"/>
          <w:footerReference w:type="default" r:id="rId11"/>
          <w:footnotePr>
            <w:numRestart w:val="eachPage"/>
          </w:footnotePr>
          <w:pgSz w:w="12240" w:h="15840" w:code="1"/>
          <w:pgMar w:top="1440" w:right="1440" w:bottom="1440" w:left="1440" w:header="720" w:footer="165" w:gutter="0"/>
          <w:pgNumType w:start="1"/>
          <w:cols w:space="720"/>
          <w:docGrid w:linePitch="326"/>
        </w:sectPr>
      </w:pPr>
    </w:p>
    <w:p w:rsidR="0010435A" w:rsidRPr="00B91740" w:rsidRDefault="0010435A" w:rsidP="0010435A">
      <w:pPr>
        <w:pStyle w:val="NoSpacing"/>
        <w:ind w:firstLine="720"/>
        <w:jc w:val="center"/>
        <w:rPr>
          <w:rFonts w:ascii="Times New Roman" w:hAnsi="Times New Roman" w:cs="Times New Roman"/>
          <w:b/>
          <w:sz w:val="24"/>
          <w:szCs w:val="24"/>
        </w:rPr>
      </w:pPr>
      <w:r w:rsidRPr="00B91740">
        <w:rPr>
          <w:rFonts w:ascii="Times New Roman" w:hAnsi="Times New Roman" w:cs="Times New Roman"/>
          <w:b/>
          <w:sz w:val="24"/>
          <w:szCs w:val="24"/>
        </w:rPr>
        <w:t>REFERENCES</w:t>
      </w:r>
    </w:p>
    <w:p w:rsidR="0010435A" w:rsidRDefault="0010435A" w:rsidP="0010435A">
      <w:pPr>
        <w:pStyle w:val="NoSpacing"/>
        <w:ind w:firstLine="720"/>
        <w:rPr>
          <w:rFonts w:ascii="Times New Roman" w:hAnsi="Times New Roman" w:cs="Times New Roman"/>
          <w:sz w:val="24"/>
          <w:szCs w:val="24"/>
        </w:rPr>
      </w:pPr>
    </w:p>
    <w:p w:rsidR="0010435A" w:rsidRPr="00642C01" w:rsidRDefault="0010435A" w:rsidP="0010435A">
      <w:pPr>
        <w:pStyle w:val="biblio"/>
        <w:rPr>
          <w:szCs w:val="22"/>
        </w:rPr>
      </w:pPr>
      <w:r w:rsidRPr="00642C01">
        <w:rPr>
          <w:szCs w:val="22"/>
        </w:rPr>
        <w:t xml:space="preserve">AARP. (2009). </w:t>
      </w:r>
      <w:r w:rsidRPr="00642C01">
        <w:rPr>
          <w:i/>
          <w:iCs/>
          <w:szCs w:val="22"/>
        </w:rPr>
        <w:t>Beyond 50.09 chronic care: A call to action for health care reform</w:t>
      </w:r>
      <w:r w:rsidRPr="00642C01">
        <w:rPr>
          <w:szCs w:val="22"/>
        </w:rPr>
        <w:t>. Washington, DC: AARP Public Policy Institute.</w:t>
      </w:r>
    </w:p>
    <w:p w:rsidR="0010435A" w:rsidRPr="00642C01" w:rsidRDefault="0010435A" w:rsidP="0010435A">
      <w:pPr>
        <w:rPr>
          <w:szCs w:val="24"/>
          <w:u w:val="single"/>
        </w:rPr>
      </w:pPr>
      <w:r w:rsidRPr="00642C01">
        <w:rPr>
          <w:szCs w:val="24"/>
        </w:rPr>
        <w:t xml:space="preserve">American Academy of Family Physicians, American Academy of Pediatrics, American College </w:t>
      </w:r>
      <w:r w:rsidRPr="00642C01">
        <w:rPr>
          <w:szCs w:val="24"/>
        </w:rPr>
        <w:tab/>
        <w:t xml:space="preserve">of Physicians, &amp; American Osteopathic Association (AOA). (2007). </w:t>
      </w:r>
      <w:r w:rsidRPr="0010435A">
        <w:rPr>
          <w:rStyle w:val="Emphasis"/>
          <w:b w:val="0"/>
          <w:i/>
          <w:szCs w:val="24"/>
        </w:rPr>
        <w:t xml:space="preserve">Joint principles of </w:t>
      </w:r>
      <w:r w:rsidRPr="0010435A">
        <w:rPr>
          <w:rStyle w:val="Emphasis"/>
          <w:b w:val="0"/>
          <w:i/>
          <w:szCs w:val="24"/>
        </w:rPr>
        <w:tab/>
        <w:t>the patient-centered medical home.</w:t>
      </w:r>
      <w:r w:rsidRPr="00642C01">
        <w:rPr>
          <w:szCs w:val="24"/>
        </w:rPr>
        <w:t xml:space="preserve"> Retrieved from </w:t>
      </w:r>
      <w:r w:rsidRPr="00642C01">
        <w:rPr>
          <w:szCs w:val="24"/>
        </w:rPr>
        <w:tab/>
      </w:r>
      <w:hyperlink r:id="rId12" w:history="1">
        <w:r w:rsidRPr="00642C01">
          <w:rPr>
            <w:rStyle w:val="Hyperlink"/>
            <w:szCs w:val="24"/>
          </w:rPr>
          <w:t>http://www.medicalhomeinfo.org/Joint%20Statement.pdf</w:t>
        </w:r>
      </w:hyperlink>
    </w:p>
    <w:p w:rsidR="0010435A" w:rsidRPr="00642C01" w:rsidRDefault="0010435A" w:rsidP="0010435A">
      <w:pPr>
        <w:rPr>
          <w:szCs w:val="24"/>
          <w:u w:val="single"/>
        </w:rPr>
      </w:pPr>
    </w:p>
    <w:p w:rsidR="0010435A" w:rsidRPr="00642C01" w:rsidRDefault="0010435A" w:rsidP="0010435A">
      <w:pPr>
        <w:pStyle w:val="biblio"/>
      </w:pPr>
      <w:r w:rsidRPr="00642C01">
        <w:rPr>
          <w:rStyle w:val="citation"/>
          <w:szCs w:val="24"/>
        </w:rPr>
        <w:t xml:space="preserve">Barr, M. S. (2008). The need to test the patient-centered medical home. </w:t>
      </w:r>
      <w:r w:rsidRPr="00642C01">
        <w:rPr>
          <w:rStyle w:val="citation"/>
          <w:i/>
          <w:szCs w:val="24"/>
        </w:rPr>
        <w:t>JAMA, 300</w:t>
      </w:r>
      <w:r w:rsidRPr="00642C01">
        <w:rPr>
          <w:rStyle w:val="citation"/>
          <w:szCs w:val="24"/>
        </w:rPr>
        <w:t>(7), 834–835.</w:t>
      </w:r>
    </w:p>
    <w:p w:rsidR="0010435A" w:rsidRPr="00642C01" w:rsidRDefault="0010435A" w:rsidP="0010435A">
      <w:pPr>
        <w:pStyle w:val="biblio"/>
        <w:rPr>
          <w:szCs w:val="22"/>
        </w:rPr>
      </w:pPr>
      <w:r w:rsidRPr="00642C01">
        <w:rPr>
          <w:szCs w:val="22"/>
        </w:rPr>
        <w:t xml:space="preserve">Lawton, M. P. (1976). The relative impact of congregate and traditional housing on elderly tenants. </w:t>
      </w:r>
      <w:r w:rsidRPr="00642C01">
        <w:rPr>
          <w:i/>
          <w:szCs w:val="22"/>
        </w:rPr>
        <w:t>Gerontologist</w:t>
      </w:r>
      <w:r w:rsidRPr="00642C01">
        <w:rPr>
          <w:szCs w:val="22"/>
        </w:rPr>
        <w:t>, 16, 237–242.</w:t>
      </w:r>
    </w:p>
    <w:p w:rsidR="0010435A" w:rsidRPr="00642C01" w:rsidRDefault="0010435A" w:rsidP="0010435A">
      <w:pPr>
        <w:pStyle w:val="biblio"/>
      </w:pPr>
      <w:r w:rsidRPr="00642C01">
        <w:t xml:space="preserve">National Center for Health Statistics. (2007). Early release of selected estimates based on data from the January–March 2007 National Health Interview Survey, September 26 release. Retrieved from </w:t>
      </w:r>
      <w:r w:rsidRPr="00642C01">
        <w:br/>
      </w:r>
      <w:hyperlink r:id="rId13" w:history="1">
        <w:r w:rsidRPr="00642C01">
          <w:rPr>
            <w:rStyle w:val="Hyperlink"/>
          </w:rPr>
          <w:t>http://www.cdc.gov/nchs</w:t>
        </w:r>
      </w:hyperlink>
      <w:r w:rsidRPr="00642C01">
        <w:t xml:space="preserve"> </w:t>
      </w:r>
    </w:p>
    <w:p w:rsidR="0010435A" w:rsidRPr="00642C01" w:rsidRDefault="0010435A" w:rsidP="0010435A">
      <w:pPr>
        <w:pStyle w:val="biblio"/>
      </w:pPr>
      <w:r w:rsidRPr="00642C01">
        <w:t xml:space="preserve">Redford, L., &amp; Cook, D. (2001, Fall). Rural health care in transition: The role of technology. </w:t>
      </w:r>
      <w:r w:rsidRPr="00642C01">
        <w:rPr>
          <w:i/>
          <w:iCs/>
        </w:rPr>
        <w:t xml:space="preserve">The Public Policy and Aging Report, </w:t>
      </w:r>
      <w:r w:rsidRPr="00642C01">
        <w:rPr>
          <w:i/>
        </w:rPr>
        <w:t>National Academy on an Aging Society, Gerontological Society of America</w:t>
      </w:r>
      <w:r w:rsidRPr="00642C01">
        <w:t>, 12(1).</w:t>
      </w:r>
    </w:p>
    <w:p w:rsidR="0010435A" w:rsidRPr="00024004" w:rsidRDefault="0010435A" w:rsidP="0010435A">
      <w:pPr>
        <w:pStyle w:val="biblio"/>
        <w:rPr>
          <w:szCs w:val="22"/>
        </w:rPr>
      </w:pPr>
      <w:r w:rsidRPr="00642C01">
        <w:rPr>
          <w:szCs w:val="22"/>
        </w:rPr>
        <w:t xml:space="preserve">Wilden, R., &amp; Redfoot, D. (2002). </w:t>
      </w:r>
      <w:r w:rsidRPr="00642C01">
        <w:rPr>
          <w:i/>
          <w:szCs w:val="22"/>
        </w:rPr>
        <w:t>Adding assisted living services to subsidized housing: Serving frail older persons with low incomes.</w:t>
      </w:r>
      <w:r w:rsidRPr="00642C01">
        <w:rPr>
          <w:szCs w:val="22"/>
        </w:rPr>
        <w:t xml:space="preserve"> Washington, DC: American Association of Retired Persons.</w:t>
      </w:r>
    </w:p>
    <w:p w:rsidR="0010435A" w:rsidRDefault="0010435A" w:rsidP="0010435A">
      <w:pPr>
        <w:pStyle w:val="NoSpacing"/>
        <w:ind w:firstLine="720"/>
        <w:rPr>
          <w:rFonts w:ascii="Times New Roman" w:hAnsi="Times New Roman" w:cs="Times New Roman"/>
          <w:sz w:val="24"/>
          <w:szCs w:val="24"/>
        </w:rPr>
      </w:pPr>
    </w:p>
    <w:sectPr w:rsidR="0010435A" w:rsidSect="008A2550">
      <w:footnotePr>
        <w:numRestart w:val="eachPage"/>
      </w:footnotePr>
      <w:pgSz w:w="12240" w:h="15840" w:code="1"/>
      <w:pgMar w:top="1440" w:right="1440" w:bottom="1440" w:left="1440" w:header="720" w:footer="165"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1E" w:rsidRDefault="00A11C1E">
      <w:r>
        <w:separator/>
      </w:r>
    </w:p>
  </w:endnote>
  <w:endnote w:type="continuationSeparator" w:id="0">
    <w:p w:rsidR="00A11C1E" w:rsidRDefault="00A1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59016"/>
      <w:docPartObj>
        <w:docPartGallery w:val="Page Numbers (Bottom of Page)"/>
        <w:docPartUnique/>
      </w:docPartObj>
    </w:sdtPr>
    <w:sdtEndPr/>
    <w:sdtContent>
      <w:p w:rsidR="00D5143D" w:rsidRDefault="00684619">
        <w:pPr>
          <w:pStyle w:val="Footer"/>
          <w:jc w:val="center"/>
        </w:pPr>
        <w:r>
          <w:fldChar w:fldCharType="begin"/>
        </w:r>
        <w:r>
          <w:instrText xml:space="preserve"> PAGE   \* MERGEFORMAT </w:instrText>
        </w:r>
        <w:r>
          <w:fldChar w:fldCharType="separate"/>
        </w:r>
        <w:r w:rsidR="00791291">
          <w:rPr>
            <w:noProof/>
          </w:rPr>
          <w:t>5</w:t>
        </w:r>
        <w:r>
          <w:rPr>
            <w:noProof/>
          </w:rPr>
          <w:fldChar w:fldCharType="end"/>
        </w:r>
      </w:p>
    </w:sdtContent>
  </w:sdt>
  <w:p w:rsidR="00D5143D" w:rsidRDefault="00D5143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1E" w:rsidRDefault="00A11C1E">
      <w:r>
        <w:separator/>
      </w:r>
    </w:p>
  </w:footnote>
  <w:footnote w:type="continuationSeparator" w:id="0">
    <w:p w:rsidR="00A11C1E" w:rsidRDefault="00A11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43D" w:rsidRDefault="00D5143D">
    <w:pPr>
      <w:pStyle w:val="Header"/>
      <w:jc w:val="center"/>
    </w:pPr>
  </w:p>
  <w:p w:rsidR="00D5143D" w:rsidRDefault="00D5143D">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E20F42"/>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E72AD832"/>
    <w:lvl w:ilvl="0">
      <w:start w:val="1"/>
      <w:numFmt w:val="decimal"/>
      <w:pStyle w:val="ListNumber2"/>
      <w:lvlText w:val="%1."/>
      <w:lvlJc w:val="left"/>
      <w:pPr>
        <w:tabs>
          <w:tab w:val="num" w:pos="720"/>
        </w:tabs>
        <w:ind w:left="720" w:hanging="360"/>
      </w:pPr>
    </w:lvl>
  </w:abstractNum>
  <w:abstractNum w:abstractNumId="2">
    <w:nsid w:val="FFFFFF82"/>
    <w:multiLevelType w:val="singleLevel"/>
    <w:tmpl w:val="DEB6A46C"/>
    <w:lvl w:ilvl="0">
      <w:start w:val="1"/>
      <w:numFmt w:val="bullet"/>
      <w:pStyle w:val="ListBullet3"/>
      <w:lvlText w:val="▪"/>
      <w:lvlJc w:val="left"/>
      <w:pPr>
        <w:ind w:left="1800" w:hanging="360"/>
      </w:pPr>
      <w:rPr>
        <w:rFonts w:ascii="Arial" w:hAnsi="Arial" w:hint="default"/>
        <w:sz w:val="28"/>
        <w:szCs w:val="28"/>
      </w:rPr>
    </w:lvl>
  </w:abstractNum>
  <w:abstractNum w:abstractNumId="3">
    <w:nsid w:val="FFFFFF83"/>
    <w:multiLevelType w:val="singleLevel"/>
    <w:tmpl w:val="FB3CEAAA"/>
    <w:lvl w:ilvl="0">
      <w:start w:val="1"/>
      <w:numFmt w:val="bullet"/>
      <w:pStyle w:val="ListBullet2"/>
      <w:lvlText w:val="–"/>
      <w:lvlJc w:val="left"/>
      <w:pPr>
        <w:ind w:left="1440" w:hanging="360"/>
      </w:pPr>
      <w:rPr>
        <w:rFonts w:ascii="Arial" w:hAnsi="Arial" w:hint="default"/>
        <w:sz w:val="24"/>
        <w:szCs w:val="24"/>
      </w:rPr>
    </w:lvl>
  </w:abstractNum>
  <w:abstractNum w:abstractNumId="4">
    <w:nsid w:val="FFFFFF88"/>
    <w:multiLevelType w:val="singleLevel"/>
    <w:tmpl w:val="EDA22980"/>
    <w:lvl w:ilvl="0">
      <w:start w:val="1"/>
      <w:numFmt w:val="decimal"/>
      <w:pStyle w:val="ListNumber"/>
      <w:lvlText w:val="%1."/>
      <w:lvlJc w:val="left"/>
      <w:pPr>
        <w:tabs>
          <w:tab w:val="num" w:pos="360"/>
        </w:tabs>
        <w:ind w:left="360" w:hanging="360"/>
      </w:pPr>
    </w:lvl>
  </w:abstractNum>
  <w:abstractNum w:abstractNumId="5">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6">
    <w:nsid w:val="029A0071"/>
    <w:multiLevelType w:val="hybridMultilevel"/>
    <w:tmpl w:val="208E6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A0546"/>
    <w:multiLevelType w:val="hybridMultilevel"/>
    <w:tmpl w:val="DDB28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nsid w:val="0E591614"/>
    <w:multiLevelType w:val="hybridMultilevel"/>
    <w:tmpl w:val="9BD845F2"/>
    <w:lvl w:ilvl="0" w:tplc="8B5CC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636E41"/>
    <w:multiLevelType w:val="hybridMultilevel"/>
    <w:tmpl w:val="3EDE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A29D6"/>
    <w:multiLevelType w:val="hybridMultilevel"/>
    <w:tmpl w:val="7728A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B35017"/>
    <w:multiLevelType w:val="hybridMultilevel"/>
    <w:tmpl w:val="E1D8AC36"/>
    <w:lvl w:ilvl="0" w:tplc="81A8B1A6">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AB7E1D"/>
    <w:multiLevelType w:val="hybridMultilevel"/>
    <w:tmpl w:val="DB20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890D89"/>
    <w:multiLevelType w:val="hybridMultilevel"/>
    <w:tmpl w:val="0C72E9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536EA1"/>
    <w:multiLevelType w:val="hybridMultilevel"/>
    <w:tmpl w:val="4C503170"/>
    <w:lvl w:ilvl="0" w:tplc="1FB848C0">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0D4E3F"/>
    <w:multiLevelType w:val="hybridMultilevel"/>
    <w:tmpl w:val="09BCB998"/>
    <w:lvl w:ilvl="0" w:tplc="36D4AD4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F5364C"/>
    <w:multiLevelType w:val="hybridMultilevel"/>
    <w:tmpl w:val="6AB2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536562"/>
    <w:multiLevelType w:val="hybridMultilevel"/>
    <w:tmpl w:val="2F6CA9A4"/>
    <w:lvl w:ilvl="0" w:tplc="9B185108">
      <w:start w:val="1"/>
      <w:numFmt w:val="decimal"/>
      <w:lvlText w:val="%1."/>
      <w:lvlJc w:val="left"/>
      <w:pPr>
        <w:ind w:left="360" w:hanging="360"/>
      </w:pPr>
      <w:rPr>
        <w:rFonts w:ascii="Arial" w:hAnsi="Arial" w:cs="Arial" w:hint="default"/>
        <w:color w:val="00000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3DE2B3C"/>
    <w:multiLevelType w:val="hybridMultilevel"/>
    <w:tmpl w:val="9A8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992C95"/>
    <w:multiLevelType w:val="hybridMultilevel"/>
    <w:tmpl w:val="0B9E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C34C4"/>
    <w:multiLevelType w:val="hybridMultilevel"/>
    <w:tmpl w:val="0AC6D3B0"/>
    <w:lvl w:ilvl="0" w:tplc="02C6CB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59B381F"/>
    <w:multiLevelType w:val="hybridMultilevel"/>
    <w:tmpl w:val="7E5C1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E4008A"/>
    <w:multiLevelType w:val="hybridMultilevel"/>
    <w:tmpl w:val="BC3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E6144A"/>
    <w:multiLevelType w:val="hybridMultilevel"/>
    <w:tmpl w:val="86DA00B0"/>
    <w:lvl w:ilvl="0" w:tplc="04090001">
      <w:start w:val="1"/>
      <w:numFmt w:val="bullet"/>
      <w:lvlText w:val=""/>
      <w:lvlJc w:val="left"/>
      <w:pPr>
        <w:ind w:left="576"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AAE6E9F"/>
    <w:multiLevelType w:val="hybridMultilevel"/>
    <w:tmpl w:val="147C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FA1D38"/>
    <w:multiLevelType w:val="hybridMultilevel"/>
    <w:tmpl w:val="5462A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7B3553A"/>
    <w:multiLevelType w:val="hybridMultilevel"/>
    <w:tmpl w:val="E94C9B3E"/>
    <w:lvl w:ilvl="0" w:tplc="04090001">
      <w:start w:val="1"/>
      <w:numFmt w:val="decimal"/>
      <w:lvlText w:val="(%1)"/>
      <w:lvlJc w:val="left"/>
      <w:pPr>
        <w:ind w:left="1764" w:hanging="1044"/>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nsid w:val="4A600763"/>
    <w:multiLevelType w:val="hybridMultilevel"/>
    <w:tmpl w:val="61BE48F8"/>
    <w:lvl w:ilvl="0" w:tplc="0409000F">
      <w:start w:val="1"/>
      <w:numFmt w:val="bullet"/>
      <w:lvlText w:val="•"/>
      <w:lvlJc w:val="left"/>
      <w:pPr>
        <w:ind w:left="1080" w:hanging="360"/>
      </w:pPr>
      <w:rPr>
        <w:rFonts w:ascii="Arial" w:hAnsi="Arial" w:hint="default"/>
        <w:sz w:val="20"/>
      </w:rPr>
    </w:lvl>
    <w:lvl w:ilvl="1" w:tplc="04090003">
      <w:start w:val="1"/>
      <w:numFmt w:val="bullet"/>
      <w:lvlText w:val="–"/>
      <w:lvlJc w:val="left"/>
      <w:pPr>
        <w:tabs>
          <w:tab w:val="num" w:pos="2160"/>
        </w:tabs>
        <w:ind w:left="2160" w:hanging="360"/>
      </w:pPr>
      <w:rPr>
        <w:rFonts w:ascii="Arial" w:hAnsi="Arial" w:hint="default"/>
        <w:b w:val="0"/>
        <w:i w:val="0"/>
        <w:color w:val="00000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A9746F0"/>
    <w:multiLevelType w:val="hybridMultilevel"/>
    <w:tmpl w:val="16AAE24C"/>
    <w:lvl w:ilvl="0" w:tplc="FCF018D0">
      <w:start w:val="1"/>
      <w:numFmt w:val="bullet"/>
      <w:lvlText w:val="–"/>
      <w:lvlJc w:val="left"/>
      <w:pPr>
        <w:tabs>
          <w:tab w:val="num" w:pos="1800"/>
        </w:tabs>
        <w:ind w:left="1800" w:hanging="360"/>
      </w:pPr>
      <w:rPr>
        <w:rFonts w:ascii="Arial" w:hAnsi="Arial" w:hint="default"/>
        <w:color w:val="000000"/>
        <w:sz w:val="22"/>
        <w:szCs w:val="22"/>
        <w:lang w:val="fr-FR"/>
      </w:rPr>
    </w:lvl>
    <w:lvl w:ilvl="1" w:tplc="04090003">
      <w:start w:val="1"/>
      <w:numFmt w:val="bullet"/>
      <w:pStyle w:val="bullets-2ndlevel"/>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ACE1656"/>
    <w:multiLevelType w:val="hybridMultilevel"/>
    <w:tmpl w:val="4382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D6727ED"/>
    <w:multiLevelType w:val="hybridMultilevel"/>
    <w:tmpl w:val="2EEA4E12"/>
    <w:lvl w:ilvl="0" w:tplc="6302B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F94F7B"/>
    <w:multiLevelType w:val="hybridMultilevel"/>
    <w:tmpl w:val="CE2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116DA"/>
    <w:multiLevelType w:val="hybridMultilevel"/>
    <w:tmpl w:val="ED00DE1C"/>
    <w:lvl w:ilvl="0" w:tplc="C8DEA678">
      <w:start w:val="1"/>
      <w:numFmt w:val="bullet"/>
      <w:lvlText w:val="o"/>
      <w:lvlJc w:val="left"/>
      <w:pPr>
        <w:tabs>
          <w:tab w:val="num" w:pos="2160"/>
        </w:tabs>
        <w:ind w:left="2160" w:hanging="360"/>
      </w:pPr>
      <w:rPr>
        <w:rFonts w:ascii="Times New Roman" w:hAnsi="Times New Roman" w:cs="Times New Roman" w:hint="default"/>
      </w:rPr>
    </w:lvl>
    <w:lvl w:ilvl="1" w:tplc="04090019">
      <w:start w:val="1"/>
      <w:numFmt w:val="bullet"/>
      <w:pStyle w:val="bullets-4thlevel"/>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5AA40CD9"/>
    <w:multiLevelType w:val="hybridMultilevel"/>
    <w:tmpl w:val="1594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321D6"/>
    <w:multiLevelType w:val="hybridMultilevel"/>
    <w:tmpl w:val="9C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CA112A"/>
    <w:multiLevelType w:val="hybridMultilevel"/>
    <w:tmpl w:val="1F2C667A"/>
    <w:lvl w:ilvl="0" w:tplc="D57C8962">
      <w:start w:val="1"/>
      <w:numFmt w:val="bullet"/>
      <w:pStyle w:val="Tablebullet0"/>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53D3006"/>
    <w:multiLevelType w:val="hybridMultilevel"/>
    <w:tmpl w:val="10F02412"/>
    <w:lvl w:ilvl="0" w:tplc="2B7A6616">
      <w:start w:val="1"/>
      <w:numFmt w:val="decimal"/>
      <w:lvlText w:val="%1."/>
      <w:lvlJc w:val="left"/>
      <w:pPr>
        <w:tabs>
          <w:tab w:val="num" w:pos="360"/>
        </w:tabs>
        <w:ind w:left="360" w:hanging="360"/>
      </w:pPr>
      <w:rPr>
        <w:rFonts w:hint="default"/>
        <w:b/>
      </w:rPr>
    </w:lvl>
    <w:lvl w:ilvl="1" w:tplc="B9A45626">
      <w:start w:val="1"/>
      <w:numFmt w:val="bullet"/>
      <w:lvlText w:val=""/>
      <w:lvlJc w:val="left"/>
      <w:pPr>
        <w:tabs>
          <w:tab w:val="num" w:pos="1296"/>
        </w:tabs>
        <w:ind w:left="1296" w:hanging="216"/>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BC1E5A"/>
    <w:multiLevelType w:val="hybridMultilevel"/>
    <w:tmpl w:val="1918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A43CBC"/>
    <w:multiLevelType w:val="hybridMultilevel"/>
    <w:tmpl w:val="2F6CA9A4"/>
    <w:lvl w:ilvl="0" w:tplc="9B185108">
      <w:start w:val="1"/>
      <w:numFmt w:val="decimal"/>
      <w:lvlText w:val="%1."/>
      <w:lvlJc w:val="left"/>
      <w:pPr>
        <w:ind w:left="360" w:hanging="360"/>
      </w:pPr>
      <w:rPr>
        <w:rFonts w:ascii="Arial" w:hAnsi="Arial" w:cs="Arial" w:hint="default"/>
        <w:color w:val="00000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E11C49"/>
    <w:multiLevelType w:val="hybridMultilevel"/>
    <w:tmpl w:val="87507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E665988"/>
    <w:multiLevelType w:val="hybridMultilevel"/>
    <w:tmpl w:val="F7D07226"/>
    <w:lvl w:ilvl="0" w:tplc="BCB2A392">
      <w:start w:val="1"/>
      <w:numFmt w:val="bullet"/>
      <w:pStyle w:val="aboxbullet"/>
      <w:lvlText w:val=""/>
      <w:lvlJc w:val="left"/>
      <w:pPr>
        <w:tabs>
          <w:tab w:val="num" w:pos="720"/>
        </w:tabs>
        <w:ind w:left="720" w:hanging="360"/>
      </w:pPr>
      <w:rPr>
        <w:rFonts w:ascii="Symbol" w:hAnsi="Symbol" w:hint="default"/>
        <w:color w:val="auto"/>
        <w:sz w:val="18"/>
        <w:szCs w:val="18"/>
      </w:rPr>
    </w:lvl>
    <w:lvl w:ilvl="1" w:tplc="93C42BF4">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3"/>
  </w:num>
  <w:num w:numId="4">
    <w:abstractNumId w:val="2"/>
  </w:num>
  <w:num w:numId="5">
    <w:abstractNumId w:val="4"/>
  </w:num>
  <w:num w:numId="6">
    <w:abstractNumId w:val="1"/>
  </w:num>
  <w:num w:numId="7">
    <w:abstractNumId w:val="0"/>
  </w:num>
  <w:num w:numId="8">
    <w:abstractNumId w:val="8"/>
  </w:num>
  <w:num w:numId="9">
    <w:abstractNumId w:val="28"/>
  </w:num>
  <w:num w:numId="10">
    <w:abstractNumId w:val="7"/>
  </w:num>
  <w:num w:numId="11">
    <w:abstractNumId w:val="27"/>
  </w:num>
  <w:num w:numId="12">
    <w:abstractNumId w:val="21"/>
  </w:num>
  <w:num w:numId="13">
    <w:abstractNumId w:val="19"/>
  </w:num>
  <w:num w:numId="14">
    <w:abstractNumId w:val="29"/>
  </w:num>
  <w:num w:numId="15">
    <w:abstractNumId w:val="40"/>
  </w:num>
  <w:num w:numId="16">
    <w:abstractNumId w:val="30"/>
  </w:num>
  <w:num w:numId="17">
    <w:abstractNumId w:val="26"/>
  </w:num>
  <w:num w:numId="18">
    <w:abstractNumId w:val="31"/>
  </w:num>
  <w:num w:numId="19">
    <w:abstractNumId w:val="6"/>
  </w:num>
  <w:num w:numId="20">
    <w:abstractNumId w:val="38"/>
  </w:num>
  <w:num w:numId="21">
    <w:abstractNumId w:val="32"/>
  </w:num>
  <w:num w:numId="22">
    <w:abstractNumId w:val="25"/>
  </w:num>
  <w:num w:numId="23">
    <w:abstractNumId w:val="23"/>
  </w:num>
  <w:num w:numId="24">
    <w:abstractNumId w:val="35"/>
  </w:num>
  <w:num w:numId="25">
    <w:abstractNumId w:val="20"/>
  </w:num>
  <w:num w:numId="26">
    <w:abstractNumId w:val="9"/>
  </w:num>
  <w:num w:numId="27">
    <w:abstractNumId w:val="12"/>
  </w:num>
  <w:num w:numId="28">
    <w:abstractNumId w:val="15"/>
  </w:num>
  <w:num w:numId="29">
    <w:abstractNumId w:val="37"/>
  </w:num>
  <w:num w:numId="30">
    <w:abstractNumId w:val="41"/>
  </w:num>
  <w:num w:numId="31">
    <w:abstractNumId w:val="22"/>
  </w:num>
  <w:num w:numId="32">
    <w:abstractNumId w:val="16"/>
  </w:num>
  <w:num w:numId="33">
    <w:abstractNumId w:val="11"/>
  </w:num>
  <w:num w:numId="34">
    <w:abstractNumId w:val="14"/>
  </w:num>
  <w:num w:numId="35">
    <w:abstractNumId w:val="17"/>
  </w:num>
  <w:num w:numId="36">
    <w:abstractNumId w:val="34"/>
  </w:num>
  <w:num w:numId="37">
    <w:abstractNumId w:val="39"/>
  </w:num>
  <w:num w:numId="38">
    <w:abstractNumId w:val="13"/>
  </w:num>
  <w:num w:numId="39">
    <w:abstractNumId w:val="10"/>
  </w:num>
  <w:num w:numId="40">
    <w:abstractNumId w:val="18"/>
  </w:num>
  <w:num w:numId="41">
    <w:abstractNumId w:val="36"/>
  </w:num>
  <w:num w:numId="4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55"/>
    <w:rsid w:val="00004495"/>
    <w:rsid w:val="00025E37"/>
    <w:rsid w:val="000301D2"/>
    <w:rsid w:val="0003174D"/>
    <w:rsid w:val="0003635C"/>
    <w:rsid w:val="00040518"/>
    <w:rsid w:val="00041B9E"/>
    <w:rsid w:val="00042C97"/>
    <w:rsid w:val="00043832"/>
    <w:rsid w:val="00050DEC"/>
    <w:rsid w:val="000523D3"/>
    <w:rsid w:val="00053B80"/>
    <w:rsid w:val="00055021"/>
    <w:rsid w:val="0005723E"/>
    <w:rsid w:val="00066131"/>
    <w:rsid w:val="00075AF4"/>
    <w:rsid w:val="00075E33"/>
    <w:rsid w:val="0007778E"/>
    <w:rsid w:val="0008492F"/>
    <w:rsid w:val="00090889"/>
    <w:rsid w:val="00092A9A"/>
    <w:rsid w:val="00095C3D"/>
    <w:rsid w:val="000A16E7"/>
    <w:rsid w:val="000A2496"/>
    <w:rsid w:val="000B4130"/>
    <w:rsid w:val="000C1876"/>
    <w:rsid w:val="000C27BE"/>
    <w:rsid w:val="000C3A3E"/>
    <w:rsid w:val="000D076C"/>
    <w:rsid w:val="000D5E6B"/>
    <w:rsid w:val="000D765A"/>
    <w:rsid w:val="000E4C72"/>
    <w:rsid w:val="000E67E7"/>
    <w:rsid w:val="000E6CEA"/>
    <w:rsid w:val="000F19C6"/>
    <w:rsid w:val="000F220D"/>
    <w:rsid w:val="000F3E55"/>
    <w:rsid w:val="000F7198"/>
    <w:rsid w:val="0010435A"/>
    <w:rsid w:val="0010712D"/>
    <w:rsid w:val="00113B65"/>
    <w:rsid w:val="00114A11"/>
    <w:rsid w:val="001162F7"/>
    <w:rsid w:val="00120F59"/>
    <w:rsid w:val="00121285"/>
    <w:rsid w:val="0012362F"/>
    <w:rsid w:val="00131A88"/>
    <w:rsid w:val="00132584"/>
    <w:rsid w:val="00134050"/>
    <w:rsid w:val="0013421C"/>
    <w:rsid w:val="00136355"/>
    <w:rsid w:val="0013785A"/>
    <w:rsid w:val="00143720"/>
    <w:rsid w:val="0014481A"/>
    <w:rsid w:val="00151DE6"/>
    <w:rsid w:val="001525D1"/>
    <w:rsid w:val="00166D5A"/>
    <w:rsid w:val="0017221F"/>
    <w:rsid w:val="00173626"/>
    <w:rsid w:val="0017399D"/>
    <w:rsid w:val="001747D0"/>
    <w:rsid w:val="001759FD"/>
    <w:rsid w:val="00180830"/>
    <w:rsid w:val="00181824"/>
    <w:rsid w:val="001906AE"/>
    <w:rsid w:val="0019097A"/>
    <w:rsid w:val="00195D47"/>
    <w:rsid w:val="001960C8"/>
    <w:rsid w:val="001A0060"/>
    <w:rsid w:val="001A4B19"/>
    <w:rsid w:val="001A542B"/>
    <w:rsid w:val="001B0F4A"/>
    <w:rsid w:val="001B2B99"/>
    <w:rsid w:val="001B304D"/>
    <w:rsid w:val="001B3815"/>
    <w:rsid w:val="001B49F1"/>
    <w:rsid w:val="001C03A7"/>
    <w:rsid w:val="001C4D9F"/>
    <w:rsid w:val="001C6FD6"/>
    <w:rsid w:val="001C7FCB"/>
    <w:rsid w:val="001D3073"/>
    <w:rsid w:val="001D5D37"/>
    <w:rsid w:val="001E793D"/>
    <w:rsid w:val="001E7CF2"/>
    <w:rsid w:val="001F5363"/>
    <w:rsid w:val="00204375"/>
    <w:rsid w:val="0020651B"/>
    <w:rsid w:val="00207F64"/>
    <w:rsid w:val="002100B3"/>
    <w:rsid w:val="002123E1"/>
    <w:rsid w:val="00214BD8"/>
    <w:rsid w:val="00221E4F"/>
    <w:rsid w:val="00224B4A"/>
    <w:rsid w:val="00231C51"/>
    <w:rsid w:val="0023249B"/>
    <w:rsid w:val="00233AA1"/>
    <w:rsid w:val="00236DA6"/>
    <w:rsid w:val="0024235F"/>
    <w:rsid w:val="00242DA0"/>
    <w:rsid w:val="002448E5"/>
    <w:rsid w:val="00245B08"/>
    <w:rsid w:val="00247090"/>
    <w:rsid w:val="002505D2"/>
    <w:rsid w:val="00254F9B"/>
    <w:rsid w:val="00256322"/>
    <w:rsid w:val="00257AE8"/>
    <w:rsid w:val="002618A5"/>
    <w:rsid w:val="00265513"/>
    <w:rsid w:val="00266800"/>
    <w:rsid w:val="00270887"/>
    <w:rsid w:val="00271994"/>
    <w:rsid w:val="0027209D"/>
    <w:rsid w:val="00272893"/>
    <w:rsid w:val="00272BE7"/>
    <w:rsid w:val="002744A8"/>
    <w:rsid w:val="0027473F"/>
    <w:rsid w:val="00276C6D"/>
    <w:rsid w:val="00283F52"/>
    <w:rsid w:val="00283FEA"/>
    <w:rsid w:val="00286D38"/>
    <w:rsid w:val="00290398"/>
    <w:rsid w:val="002912E1"/>
    <w:rsid w:val="002A13E4"/>
    <w:rsid w:val="002A2929"/>
    <w:rsid w:val="002A2F0C"/>
    <w:rsid w:val="002A3EB8"/>
    <w:rsid w:val="002A4450"/>
    <w:rsid w:val="002A5C1C"/>
    <w:rsid w:val="002B0ABA"/>
    <w:rsid w:val="002B2CF1"/>
    <w:rsid w:val="002B75EB"/>
    <w:rsid w:val="002C26C3"/>
    <w:rsid w:val="002C4051"/>
    <w:rsid w:val="002C40EE"/>
    <w:rsid w:val="002D0333"/>
    <w:rsid w:val="002D0533"/>
    <w:rsid w:val="002D5B98"/>
    <w:rsid w:val="002E123D"/>
    <w:rsid w:val="002E3A1F"/>
    <w:rsid w:val="002E5357"/>
    <w:rsid w:val="002E58A0"/>
    <w:rsid w:val="002E628F"/>
    <w:rsid w:val="002E6C3E"/>
    <w:rsid w:val="002E715E"/>
    <w:rsid w:val="002F7155"/>
    <w:rsid w:val="00305111"/>
    <w:rsid w:val="00305D9E"/>
    <w:rsid w:val="003062DA"/>
    <w:rsid w:val="003140D6"/>
    <w:rsid w:val="00317052"/>
    <w:rsid w:val="00321223"/>
    <w:rsid w:val="00321DBC"/>
    <w:rsid w:val="00322D49"/>
    <w:rsid w:val="00323A9C"/>
    <w:rsid w:val="003252C4"/>
    <w:rsid w:val="00327671"/>
    <w:rsid w:val="00331507"/>
    <w:rsid w:val="003341A0"/>
    <w:rsid w:val="003359D0"/>
    <w:rsid w:val="003455F0"/>
    <w:rsid w:val="003523A9"/>
    <w:rsid w:val="00354DFE"/>
    <w:rsid w:val="00354F5C"/>
    <w:rsid w:val="00355C92"/>
    <w:rsid w:val="00365A2F"/>
    <w:rsid w:val="0037106B"/>
    <w:rsid w:val="00372CC4"/>
    <w:rsid w:val="0037347D"/>
    <w:rsid w:val="00382A9D"/>
    <w:rsid w:val="00385C2E"/>
    <w:rsid w:val="00390AA7"/>
    <w:rsid w:val="0039335C"/>
    <w:rsid w:val="003A1E1B"/>
    <w:rsid w:val="003A2163"/>
    <w:rsid w:val="003A376F"/>
    <w:rsid w:val="003A3A9F"/>
    <w:rsid w:val="003A4F15"/>
    <w:rsid w:val="003A7AF6"/>
    <w:rsid w:val="003B0918"/>
    <w:rsid w:val="003B2AEE"/>
    <w:rsid w:val="003B2F16"/>
    <w:rsid w:val="003B2FD4"/>
    <w:rsid w:val="003B3C7F"/>
    <w:rsid w:val="003B5FC9"/>
    <w:rsid w:val="003B6122"/>
    <w:rsid w:val="003C3FC0"/>
    <w:rsid w:val="003C6BFB"/>
    <w:rsid w:val="003E2817"/>
    <w:rsid w:val="003E4ACF"/>
    <w:rsid w:val="003E5BA6"/>
    <w:rsid w:val="003F1658"/>
    <w:rsid w:val="003F193D"/>
    <w:rsid w:val="003F30AE"/>
    <w:rsid w:val="003F56FA"/>
    <w:rsid w:val="00403014"/>
    <w:rsid w:val="00407DA1"/>
    <w:rsid w:val="0041137F"/>
    <w:rsid w:val="00415254"/>
    <w:rsid w:val="0041564B"/>
    <w:rsid w:val="004166F5"/>
    <w:rsid w:val="004179CD"/>
    <w:rsid w:val="004202DB"/>
    <w:rsid w:val="00424E1D"/>
    <w:rsid w:val="00426714"/>
    <w:rsid w:val="00426792"/>
    <w:rsid w:val="00434CD5"/>
    <w:rsid w:val="00435477"/>
    <w:rsid w:val="004375C2"/>
    <w:rsid w:val="00437BBE"/>
    <w:rsid w:val="00437E5F"/>
    <w:rsid w:val="00442465"/>
    <w:rsid w:val="00457EC9"/>
    <w:rsid w:val="00457F85"/>
    <w:rsid w:val="004606E0"/>
    <w:rsid w:val="004650F3"/>
    <w:rsid w:val="0047253A"/>
    <w:rsid w:val="00472777"/>
    <w:rsid w:val="004744EC"/>
    <w:rsid w:val="004749E0"/>
    <w:rsid w:val="00476886"/>
    <w:rsid w:val="00476C1B"/>
    <w:rsid w:val="0048071C"/>
    <w:rsid w:val="00482EF1"/>
    <w:rsid w:val="004835FE"/>
    <w:rsid w:val="0048412B"/>
    <w:rsid w:val="004856AD"/>
    <w:rsid w:val="004867AF"/>
    <w:rsid w:val="004A6724"/>
    <w:rsid w:val="004A67F5"/>
    <w:rsid w:val="004B169A"/>
    <w:rsid w:val="004B608E"/>
    <w:rsid w:val="004B6DA6"/>
    <w:rsid w:val="004B7D10"/>
    <w:rsid w:val="004C2A64"/>
    <w:rsid w:val="004C4642"/>
    <w:rsid w:val="004D0B36"/>
    <w:rsid w:val="004E125E"/>
    <w:rsid w:val="004E3FC8"/>
    <w:rsid w:val="004E40C1"/>
    <w:rsid w:val="004E61B3"/>
    <w:rsid w:val="004F36F8"/>
    <w:rsid w:val="004F39F1"/>
    <w:rsid w:val="004F4163"/>
    <w:rsid w:val="004F50BE"/>
    <w:rsid w:val="004F614D"/>
    <w:rsid w:val="00502090"/>
    <w:rsid w:val="00504ABE"/>
    <w:rsid w:val="00504C7E"/>
    <w:rsid w:val="005073FE"/>
    <w:rsid w:val="005165CE"/>
    <w:rsid w:val="00522BE2"/>
    <w:rsid w:val="00525E5B"/>
    <w:rsid w:val="00531D5D"/>
    <w:rsid w:val="00532E76"/>
    <w:rsid w:val="005473D6"/>
    <w:rsid w:val="005529FD"/>
    <w:rsid w:val="00553089"/>
    <w:rsid w:val="005556BA"/>
    <w:rsid w:val="005557C9"/>
    <w:rsid w:val="00560221"/>
    <w:rsid w:val="005701F2"/>
    <w:rsid w:val="00573F07"/>
    <w:rsid w:val="00574E2C"/>
    <w:rsid w:val="00575A5A"/>
    <w:rsid w:val="00576E5B"/>
    <w:rsid w:val="005801C1"/>
    <w:rsid w:val="005811D6"/>
    <w:rsid w:val="00584044"/>
    <w:rsid w:val="00592BB7"/>
    <w:rsid w:val="00593915"/>
    <w:rsid w:val="005946F7"/>
    <w:rsid w:val="005A06C4"/>
    <w:rsid w:val="005A0D90"/>
    <w:rsid w:val="005A7CD5"/>
    <w:rsid w:val="005B08C8"/>
    <w:rsid w:val="005B265A"/>
    <w:rsid w:val="005B2DB7"/>
    <w:rsid w:val="005C334F"/>
    <w:rsid w:val="005C6DDF"/>
    <w:rsid w:val="005C7128"/>
    <w:rsid w:val="005D6BD1"/>
    <w:rsid w:val="005E1D02"/>
    <w:rsid w:val="005E1FD6"/>
    <w:rsid w:val="005E30F8"/>
    <w:rsid w:val="005F3449"/>
    <w:rsid w:val="005F345C"/>
    <w:rsid w:val="005F4CF4"/>
    <w:rsid w:val="005F629F"/>
    <w:rsid w:val="00600BA7"/>
    <w:rsid w:val="006010D6"/>
    <w:rsid w:val="006012AD"/>
    <w:rsid w:val="00603140"/>
    <w:rsid w:val="00606AAB"/>
    <w:rsid w:val="00611FC1"/>
    <w:rsid w:val="00612E26"/>
    <w:rsid w:val="0061588A"/>
    <w:rsid w:val="00615BA4"/>
    <w:rsid w:val="006215DA"/>
    <w:rsid w:val="00626D23"/>
    <w:rsid w:val="006275A6"/>
    <w:rsid w:val="00633046"/>
    <w:rsid w:val="006356C4"/>
    <w:rsid w:val="006401AC"/>
    <w:rsid w:val="00642033"/>
    <w:rsid w:val="00642CF6"/>
    <w:rsid w:val="00647BB0"/>
    <w:rsid w:val="00650BF2"/>
    <w:rsid w:val="00650EC1"/>
    <w:rsid w:val="006515B5"/>
    <w:rsid w:val="006519F3"/>
    <w:rsid w:val="00654723"/>
    <w:rsid w:val="006617A0"/>
    <w:rsid w:val="00664943"/>
    <w:rsid w:val="006802CD"/>
    <w:rsid w:val="00680B2C"/>
    <w:rsid w:val="00681AA0"/>
    <w:rsid w:val="00683256"/>
    <w:rsid w:val="00683E50"/>
    <w:rsid w:val="00684619"/>
    <w:rsid w:val="00687113"/>
    <w:rsid w:val="006914B1"/>
    <w:rsid w:val="006B4D15"/>
    <w:rsid w:val="006B7539"/>
    <w:rsid w:val="006B7676"/>
    <w:rsid w:val="006C09FF"/>
    <w:rsid w:val="006C31BA"/>
    <w:rsid w:val="006C4AFD"/>
    <w:rsid w:val="006D174E"/>
    <w:rsid w:val="006D43F7"/>
    <w:rsid w:val="006E5407"/>
    <w:rsid w:val="006F22B1"/>
    <w:rsid w:val="006F6BB4"/>
    <w:rsid w:val="006F701E"/>
    <w:rsid w:val="006F738A"/>
    <w:rsid w:val="006F798C"/>
    <w:rsid w:val="00702C26"/>
    <w:rsid w:val="00705E93"/>
    <w:rsid w:val="0070631A"/>
    <w:rsid w:val="00711AD0"/>
    <w:rsid w:val="0071550D"/>
    <w:rsid w:val="00715D98"/>
    <w:rsid w:val="0071664A"/>
    <w:rsid w:val="0072060D"/>
    <w:rsid w:val="007225CF"/>
    <w:rsid w:val="00722F8E"/>
    <w:rsid w:val="00725E89"/>
    <w:rsid w:val="00726395"/>
    <w:rsid w:val="00726FC3"/>
    <w:rsid w:val="00730038"/>
    <w:rsid w:val="00731E7F"/>
    <w:rsid w:val="007320FC"/>
    <w:rsid w:val="00747AFA"/>
    <w:rsid w:val="00747BB1"/>
    <w:rsid w:val="00750CB0"/>
    <w:rsid w:val="00753D7A"/>
    <w:rsid w:val="00754380"/>
    <w:rsid w:val="00755B49"/>
    <w:rsid w:val="00757A16"/>
    <w:rsid w:val="00757E85"/>
    <w:rsid w:val="00761088"/>
    <w:rsid w:val="0076177D"/>
    <w:rsid w:val="00761CA5"/>
    <w:rsid w:val="00764B56"/>
    <w:rsid w:val="00766211"/>
    <w:rsid w:val="00770F61"/>
    <w:rsid w:val="00772015"/>
    <w:rsid w:val="00776498"/>
    <w:rsid w:val="00791291"/>
    <w:rsid w:val="00791B33"/>
    <w:rsid w:val="00792851"/>
    <w:rsid w:val="007A0E19"/>
    <w:rsid w:val="007A77D1"/>
    <w:rsid w:val="007A7BFB"/>
    <w:rsid w:val="007A7F8B"/>
    <w:rsid w:val="007B17D6"/>
    <w:rsid w:val="007B37A4"/>
    <w:rsid w:val="007B4769"/>
    <w:rsid w:val="007B5F00"/>
    <w:rsid w:val="007C3C4A"/>
    <w:rsid w:val="007C6C23"/>
    <w:rsid w:val="007D07DE"/>
    <w:rsid w:val="007D1424"/>
    <w:rsid w:val="007E66C0"/>
    <w:rsid w:val="007E6E90"/>
    <w:rsid w:val="007E7D2E"/>
    <w:rsid w:val="007F16A0"/>
    <w:rsid w:val="007F28B3"/>
    <w:rsid w:val="007F5430"/>
    <w:rsid w:val="007F7026"/>
    <w:rsid w:val="00801E3E"/>
    <w:rsid w:val="00805317"/>
    <w:rsid w:val="00806F11"/>
    <w:rsid w:val="00810250"/>
    <w:rsid w:val="00810FCB"/>
    <w:rsid w:val="008164A2"/>
    <w:rsid w:val="0082345F"/>
    <w:rsid w:val="00834422"/>
    <w:rsid w:val="008376AC"/>
    <w:rsid w:val="00841BDC"/>
    <w:rsid w:val="00841D8B"/>
    <w:rsid w:val="00843965"/>
    <w:rsid w:val="0084755E"/>
    <w:rsid w:val="00851C72"/>
    <w:rsid w:val="00851F6E"/>
    <w:rsid w:val="00854840"/>
    <w:rsid w:val="00860B46"/>
    <w:rsid w:val="00861AEF"/>
    <w:rsid w:val="008652C5"/>
    <w:rsid w:val="008654BB"/>
    <w:rsid w:val="0086583A"/>
    <w:rsid w:val="00870590"/>
    <w:rsid w:val="008735CE"/>
    <w:rsid w:val="00873BA8"/>
    <w:rsid w:val="00874511"/>
    <w:rsid w:val="008750C5"/>
    <w:rsid w:val="00881655"/>
    <w:rsid w:val="00886058"/>
    <w:rsid w:val="00893F10"/>
    <w:rsid w:val="008A00AD"/>
    <w:rsid w:val="008A060D"/>
    <w:rsid w:val="008A1394"/>
    <w:rsid w:val="008A2550"/>
    <w:rsid w:val="008B53EF"/>
    <w:rsid w:val="008B628D"/>
    <w:rsid w:val="008B7D06"/>
    <w:rsid w:val="008C2B27"/>
    <w:rsid w:val="008C3D98"/>
    <w:rsid w:val="008C5BF9"/>
    <w:rsid w:val="008C5C3D"/>
    <w:rsid w:val="008D2291"/>
    <w:rsid w:val="008D76F1"/>
    <w:rsid w:val="008D7708"/>
    <w:rsid w:val="008E3949"/>
    <w:rsid w:val="008F0371"/>
    <w:rsid w:val="00904C1F"/>
    <w:rsid w:val="0090503A"/>
    <w:rsid w:val="00913339"/>
    <w:rsid w:val="00914951"/>
    <w:rsid w:val="0091511B"/>
    <w:rsid w:val="00927912"/>
    <w:rsid w:val="00942846"/>
    <w:rsid w:val="00945842"/>
    <w:rsid w:val="00945BC1"/>
    <w:rsid w:val="00945DDA"/>
    <w:rsid w:val="00947D05"/>
    <w:rsid w:val="00960FEF"/>
    <w:rsid w:val="009634C2"/>
    <w:rsid w:val="009669F4"/>
    <w:rsid w:val="00971BD5"/>
    <w:rsid w:val="00976671"/>
    <w:rsid w:val="00984024"/>
    <w:rsid w:val="00991FE1"/>
    <w:rsid w:val="00992D01"/>
    <w:rsid w:val="00993547"/>
    <w:rsid w:val="009B0F5D"/>
    <w:rsid w:val="009B3D0A"/>
    <w:rsid w:val="009B78E4"/>
    <w:rsid w:val="009C05AB"/>
    <w:rsid w:val="009C165D"/>
    <w:rsid w:val="009C1B2E"/>
    <w:rsid w:val="009C2511"/>
    <w:rsid w:val="009D5165"/>
    <w:rsid w:val="009D5536"/>
    <w:rsid w:val="009E09CC"/>
    <w:rsid w:val="009E11E0"/>
    <w:rsid w:val="009E46AD"/>
    <w:rsid w:val="009E57C9"/>
    <w:rsid w:val="009E753B"/>
    <w:rsid w:val="009F0E07"/>
    <w:rsid w:val="009F60CF"/>
    <w:rsid w:val="00A00FE7"/>
    <w:rsid w:val="00A05019"/>
    <w:rsid w:val="00A05E59"/>
    <w:rsid w:val="00A071F8"/>
    <w:rsid w:val="00A11C1E"/>
    <w:rsid w:val="00A14624"/>
    <w:rsid w:val="00A20C60"/>
    <w:rsid w:val="00A219A2"/>
    <w:rsid w:val="00A23E3A"/>
    <w:rsid w:val="00A241AE"/>
    <w:rsid w:val="00A2623B"/>
    <w:rsid w:val="00A31EC9"/>
    <w:rsid w:val="00A35B05"/>
    <w:rsid w:val="00A37B62"/>
    <w:rsid w:val="00A404D1"/>
    <w:rsid w:val="00A41998"/>
    <w:rsid w:val="00A439BB"/>
    <w:rsid w:val="00A44668"/>
    <w:rsid w:val="00A44875"/>
    <w:rsid w:val="00A44A63"/>
    <w:rsid w:val="00A47891"/>
    <w:rsid w:val="00A47A94"/>
    <w:rsid w:val="00A51786"/>
    <w:rsid w:val="00A52B60"/>
    <w:rsid w:val="00A54C29"/>
    <w:rsid w:val="00A57121"/>
    <w:rsid w:val="00A57C06"/>
    <w:rsid w:val="00A57C47"/>
    <w:rsid w:val="00A62AFD"/>
    <w:rsid w:val="00A648CC"/>
    <w:rsid w:val="00A650D4"/>
    <w:rsid w:val="00A66078"/>
    <w:rsid w:val="00A7068F"/>
    <w:rsid w:val="00A7382C"/>
    <w:rsid w:val="00A75383"/>
    <w:rsid w:val="00A7627D"/>
    <w:rsid w:val="00A77004"/>
    <w:rsid w:val="00A83B72"/>
    <w:rsid w:val="00A863AC"/>
    <w:rsid w:val="00A873FD"/>
    <w:rsid w:val="00A95815"/>
    <w:rsid w:val="00A9686A"/>
    <w:rsid w:val="00AA28A2"/>
    <w:rsid w:val="00AA452E"/>
    <w:rsid w:val="00AB2594"/>
    <w:rsid w:val="00AB4173"/>
    <w:rsid w:val="00AB69BA"/>
    <w:rsid w:val="00AC0371"/>
    <w:rsid w:val="00AC0980"/>
    <w:rsid w:val="00AD11F4"/>
    <w:rsid w:val="00AD77BE"/>
    <w:rsid w:val="00AE285E"/>
    <w:rsid w:val="00AF2367"/>
    <w:rsid w:val="00AF2FCC"/>
    <w:rsid w:val="00AF35A8"/>
    <w:rsid w:val="00B046BB"/>
    <w:rsid w:val="00B05DD8"/>
    <w:rsid w:val="00B14AF4"/>
    <w:rsid w:val="00B162E3"/>
    <w:rsid w:val="00B16643"/>
    <w:rsid w:val="00B17723"/>
    <w:rsid w:val="00B21677"/>
    <w:rsid w:val="00B21C9D"/>
    <w:rsid w:val="00B2200B"/>
    <w:rsid w:val="00B22EC8"/>
    <w:rsid w:val="00B27130"/>
    <w:rsid w:val="00B27E27"/>
    <w:rsid w:val="00B32E54"/>
    <w:rsid w:val="00B37368"/>
    <w:rsid w:val="00B42A12"/>
    <w:rsid w:val="00B46CF9"/>
    <w:rsid w:val="00B5437D"/>
    <w:rsid w:val="00B5641B"/>
    <w:rsid w:val="00B608E3"/>
    <w:rsid w:val="00B63555"/>
    <w:rsid w:val="00B734AF"/>
    <w:rsid w:val="00B76433"/>
    <w:rsid w:val="00B820D6"/>
    <w:rsid w:val="00B828F0"/>
    <w:rsid w:val="00B83698"/>
    <w:rsid w:val="00B83CE2"/>
    <w:rsid w:val="00B83DE0"/>
    <w:rsid w:val="00B85D90"/>
    <w:rsid w:val="00B878C1"/>
    <w:rsid w:val="00B922FF"/>
    <w:rsid w:val="00B93DEF"/>
    <w:rsid w:val="00BA12B1"/>
    <w:rsid w:val="00BA2761"/>
    <w:rsid w:val="00BA6936"/>
    <w:rsid w:val="00BA6B1A"/>
    <w:rsid w:val="00BA75DC"/>
    <w:rsid w:val="00BB1C4E"/>
    <w:rsid w:val="00BB280E"/>
    <w:rsid w:val="00BC0D8E"/>
    <w:rsid w:val="00BC3D75"/>
    <w:rsid w:val="00BC545F"/>
    <w:rsid w:val="00BC66DB"/>
    <w:rsid w:val="00BC7613"/>
    <w:rsid w:val="00BD0B06"/>
    <w:rsid w:val="00BD2A1F"/>
    <w:rsid w:val="00BD3911"/>
    <w:rsid w:val="00BD3A39"/>
    <w:rsid w:val="00BD5E56"/>
    <w:rsid w:val="00BD6E67"/>
    <w:rsid w:val="00BE0500"/>
    <w:rsid w:val="00BE4E41"/>
    <w:rsid w:val="00BE6438"/>
    <w:rsid w:val="00BE6E55"/>
    <w:rsid w:val="00BF094D"/>
    <w:rsid w:val="00BF0A9C"/>
    <w:rsid w:val="00BF1887"/>
    <w:rsid w:val="00BF4441"/>
    <w:rsid w:val="00BF6228"/>
    <w:rsid w:val="00BF655B"/>
    <w:rsid w:val="00C02033"/>
    <w:rsid w:val="00C06D31"/>
    <w:rsid w:val="00C101DC"/>
    <w:rsid w:val="00C11479"/>
    <w:rsid w:val="00C12546"/>
    <w:rsid w:val="00C21208"/>
    <w:rsid w:val="00C21263"/>
    <w:rsid w:val="00C278A8"/>
    <w:rsid w:val="00C3208B"/>
    <w:rsid w:val="00C325BD"/>
    <w:rsid w:val="00C34E96"/>
    <w:rsid w:val="00C41102"/>
    <w:rsid w:val="00C443EF"/>
    <w:rsid w:val="00C500B1"/>
    <w:rsid w:val="00C508A2"/>
    <w:rsid w:val="00C55B1B"/>
    <w:rsid w:val="00C565B0"/>
    <w:rsid w:val="00C57732"/>
    <w:rsid w:val="00C616A7"/>
    <w:rsid w:val="00C65B8A"/>
    <w:rsid w:val="00C65D61"/>
    <w:rsid w:val="00C70083"/>
    <w:rsid w:val="00C706F2"/>
    <w:rsid w:val="00C7392D"/>
    <w:rsid w:val="00C73CF2"/>
    <w:rsid w:val="00C75005"/>
    <w:rsid w:val="00C77890"/>
    <w:rsid w:val="00C83C64"/>
    <w:rsid w:val="00C84A00"/>
    <w:rsid w:val="00C8612C"/>
    <w:rsid w:val="00C904AE"/>
    <w:rsid w:val="00C94776"/>
    <w:rsid w:val="00C976BD"/>
    <w:rsid w:val="00CA354C"/>
    <w:rsid w:val="00CA4A99"/>
    <w:rsid w:val="00CB511C"/>
    <w:rsid w:val="00CC0F56"/>
    <w:rsid w:val="00CD05C1"/>
    <w:rsid w:val="00CD1F0A"/>
    <w:rsid w:val="00CD2180"/>
    <w:rsid w:val="00CD42C6"/>
    <w:rsid w:val="00CE033D"/>
    <w:rsid w:val="00CE12DF"/>
    <w:rsid w:val="00CF40C6"/>
    <w:rsid w:val="00D015A4"/>
    <w:rsid w:val="00D0203E"/>
    <w:rsid w:val="00D0302F"/>
    <w:rsid w:val="00D040CD"/>
    <w:rsid w:val="00D11F32"/>
    <w:rsid w:val="00D142AD"/>
    <w:rsid w:val="00D15C34"/>
    <w:rsid w:val="00D15D3C"/>
    <w:rsid w:val="00D24A24"/>
    <w:rsid w:val="00D254F3"/>
    <w:rsid w:val="00D35B3A"/>
    <w:rsid w:val="00D41DC2"/>
    <w:rsid w:val="00D42A35"/>
    <w:rsid w:val="00D43BDA"/>
    <w:rsid w:val="00D5031C"/>
    <w:rsid w:val="00D5143D"/>
    <w:rsid w:val="00D51819"/>
    <w:rsid w:val="00D62D19"/>
    <w:rsid w:val="00D636CD"/>
    <w:rsid w:val="00D679FE"/>
    <w:rsid w:val="00D70547"/>
    <w:rsid w:val="00D713EF"/>
    <w:rsid w:val="00D728B4"/>
    <w:rsid w:val="00D735B6"/>
    <w:rsid w:val="00D766FA"/>
    <w:rsid w:val="00D80762"/>
    <w:rsid w:val="00D83754"/>
    <w:rsid w:val="00D84996"/>
    <w:rsid w:val="00D84DB5"/>
    <w:rsid w:val="00D86E0E"/>
    <w:rsid w:val="00D870F2"/>
    <w:rsid w:val="00D87487"/>
    <w:rsid w:val="00D917E9"/>
    <w:rsid w:val="00D95246"/>
    <w:rsid w:val="00D97D70"/>
    <w:rsid w:val="00D97E04"/>
    <w:rsid w:val="00DA3F4C"/>
    <w:rsid w:val="00DB0138"/>
    <w:rsid w:val="00DB534D"/>
    <w:rsid w:val="00DB7851"/>
    <w:rsid w:val="00DC11AB"/>
    <w:rsid w:val="00DD317C"/>
    <w:rsid w:val="00DE048E"/>
    <w:rsid w:val="00DE4667"/>
    <w:rsid w:val="00DF6DC1"/>
    <w:rsid w:val="00DF6FD1"/>
    <w:rsid w:val="00E004FB"/>
    <w:rsid w:val="00E15958"/>
    <w:rsid w:val="00E177AE"/>
    <w:rsid w:val="00E215D3"/>
    <w:rsid w:val="00E21A4A"/>
    <w:rsid w:val="00E21D57"/>
    <w:rsid w:val="00E255D3"/>
    <w:rsid w:val="00E33893"/>
    <w:rsid w:val="00E4140A"/>
    <w:rsid w:val="00E4268D"/>
    <w:rsid w:val="00E45A31"/>
    <w:rsid w:val="00E5108A"/>
    <w:rsid w:val="00E544A4"/>
    <w:rsid w:val="00E57A4D"/>
    <w:rsid w:val="00E6040A"/>
    <w:rsid w:val="00E67074"/>
    <w:rsid w:val="00E6750F"/>
    <w:rsid w:val="00E73405"/>
    <w:rsid w:val="00E73A46"/>
    <w:rsid w:val="00E75612"/>
    <w:rsid w:val="00E76FFD"/>
    <w:rsid w:val="00E77669"/>
    <w:rsid w:val="00E8142E"/>
    <w:rsid w:val="00E836E1"/>
    <w:rsid w:val="00E83F6D"/>
    <w:rsid w:val="00E8423F"/>
    <w:rsid w:val="00E84BFC"/>
    <w:rsid w:val="00E858F5"/>
    <w:rsid w:val="00E955CF"/>
    <w:rsid w:val="00E96E1C"/>
    <w:rsid w:val="00EA46D1"/>
    <w:rsid w:val="00EA6E1C"/>
    <w:rsid w:val="00EB0678"/>
    <w:rsid w:val="00EB1C06"/>
    <w:rsid w:val="00EB3BCB"/>
    <w:rsid w:val="00EB3D7C"/>
    <w:rsid w:val="00EB7B79"/>
    <w:rsid w:val="00EB7CD3"/>
    <w:rsid w:val="00EC24CE"/>
    <w:rsid w:val="00EC4469"/>
    <w:rsid w:val="00EC53AE"/>
    <w:rsid w:val="00ED41CA"/>
    <w:rsid w:val="00ED4514"/>
    <w:rsid w:val="00EE6A19"/>
    <w:rsid w:val="00EF1012"/>
    <w:rsid w:val="00EF170D"/>
    <w:rsid w:val="00EF328F"/>
    <w:rsid w:val="00EF41ED"/>
    <w:rsid w:val="00EF771F"/>
    <w:rsid w:val="00F03BFF"/>
    <w:rsid w:val="00F0445C"/>
    <w:rsid w:val="00F05C82"/>
    <w:rsid w:val="00F1030F"/>
    <w:rsid w:val="00F1045F"/>
    <w:rsid w:val="00F114C8"/>
    <w:rsid w:val="00F200E5"/>
    <w:rsid w:val="00F219C4"/>
    <w:rsid w:val="00F22288"/>
    <w:rsid w:val="00F2267B"/>
    <w:rsid w:val="00F2631A"/>
    <w:rsid w:val="00F34696"/>
    <w:rsid w:val="00F368B7"/>
    <w:rsid w:val="00F37A9D"/>
    <w:rsid w:val="00F4490D"/>
    <w:rsid w:val="00F51AB0"/>
    <w:rsid w:val="00F51ABC"/>
    <w:rsid w:val="00F5220D"/>
    <w:rsid w:val="00F5241C"/>
    <w:rsid w:val="00F54EAD"/>
    <w:rsid w:val="00F57DE5"/>
    <w:rsid w:val="00F60F0F"/>
    <w:rsid w:val="00F61D4A"/>
    <w:rsid w:val="00F62562"/>
    <w:rsid w:val="00F66F2F"/>
    <w:rsid w:val="00F70BFF"/>
    <w:rsid w:val="00F73C82"/>
    <w:rsid w:val="00F81618"/>
    <w:rsid w:val="00F84433"/>
    <w:rsid w:val="00F84E87"/>
    <w:rsid w:val="00F85885"/>
    <w:rsid w:val="00F90CA3"/>
    <w:rsid w:val="00F93729"/>
    <w:rsid w:val="00F953CB"/>
    <w:rsid w:val="00F965C9"/>
    <w:rsid w:val="00F965DE"/>
    <w:rsid w:val="00F97EB0"/>
    <w:rsid w:val="00FA2E11"/>
    <w:rsid w:val="00FB0EE8"/>
    <w:rsid w:val="00FB33E1"/>
    <w:rsid w:val="00FB5854"/>
    <w:rsid w:val="00FC0EAD"/>
    <w:rsid w:val="00FC709E"/>
    <w:rsid w:val="00FD2CAE"/>
    <w:rsid w:val="00FD38A6"/>
    <w:rsid w:val="00FD4EDA"/>
    <w:rsid w:val="00FD7EA1"/>
    <w:rsid w:val="00FE03D6"/>
    <w:rsid w:val="00FE3614"/>
    <w:rsid w:val="00FF53FE"/>
    <w:rsid w:val="00FF6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rsid w:val="006F701E"/>
    <w:pPr>
      <w:tabs>
        <w:tab w:val="right" w:leader="dot" w:pos="9360"/>
      </w:tabs>
      <w:ind w:left="1080" w:right="720" w:hanging="540"/>
    </w:pPr>
    <w:rPr>
      <w:noProof/>
    </w:rPr>
  </w:style>
  <w:style w:type="paragraph" w:styleId="TOC1">
    <w:name w:val="toc 1"/>
    <w:basedOn w:val="Normal"/>
    <w:next w:val="Normal"/>
    <w:uiPriority w:val="39"/>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uiPriority w:val="99"/>
    <w:rsid w:val="00F60F0F"/>
    <w:rPr>
      <w:sz w:val="16"/>
      <w:szCs w:val="16"/>
    </w:rPr>
  </w:style>
  <w:style w:type="paragraph" w:styleId="Header">
    <w:name w:val="header"/>
    <w:basedOn w:val="Normal"/>
    <w:link w:val="HeaderChar"/>
    <w:autoRedefine/>
    <w:uiPriority w:val="99"/>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uiPriority w:val="99"/>
    <w:semiHidden/>
    <w:rsid w:val="006F701E"/>
    <w:rPr>
      <w:sz w:val="20"/>
    </w:rPr>
  </w:style>
  <w:style w:type="character" w:customStyle="1" w:styleId="CommentTextChar">
    <w:name w:val="Comment Text Char"/>
    <w:link w:val="CommentText"/>
    <w:uiPriority w:val="99"/>
    <w:semiHidden/>
    <w:rsid w:val="003A7AF6"/>
    <w:rPr>
      <w:rFonts w:ascii="Times New Roman" w:hAnsi="Times New Roman"/>
    </w:rPr>
  </w:style>
  <w:style w:type="table" w:styleId="TableGrid">
    <w:name w:val="Table Grid"/>
    <w:basedOn w:val="TableNormal"/>
    <w:rsid w:val="006F701E"/>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uiPriority w:val="99"/>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uiPriority w:val="99"/>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body tex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customStyle="1" w:styleId="aboxbullet">
    <w:name w:val="abox_bullet"/>
    <w:basedOn w:val="Normal"/>
    <w:rsid w:val="00FD4EDA"/>
    <w:pPr>
      <w:framePr w:hSpace="144" w:vSpace="144" w:wrap="around" w:vAnchor="text" w:hAnchor="margin" w:xAlign="right" w:y="1"/>
      <w:numPr>
        <w:numId w:val="30"/>
      </w:numPr>
      <w:tabs>
        <w:tab w:val="clear" w:pos="720"/>
      </w:tabs>
      <w:spacing w:after="20"/>
      <w:ind w:left="461" w:hanging="245"/>
      <w:suppressOverlap/>
    </w:pPr>
    <w:rPr>
      <w:rFonts w:ascii="Arial" w:hAnsi="Arial"/>
      <w:sz w:val="18"/>
      <w:szCs w:val="18"/>
    </w:rPr>
  </w:style>
  <w:style w:type="paragraph" w:customStyle="1" w:styleId="Tabletext0">
    <w:name w:val="Table text"/>
    <w:qFormat/>
    <w:rsid w:val="00FD4EDA"/>
    <w:pPr>
      <w:spacing w:before="40" w:after="40"/>
    </w:pPr>
    <w:rPr>
      <w:rFonts w:ascii="Arial" w:hAnsi="Arial"/>
    </w:rPr>
  </w:style>
  <w:style w:type="paragraph" w:customStyle="1" w:styleId="bodytextpsg2">
    <w:name w:val="body text_psg2"/>
    <w:basedOn w:val="Normal"/>
    <w:link w:val="bodytextpsg2Char"/>
    <w:rsid w:val="00FD4EDA"/>
    <w:pPr>
      <w:ind w:firstLine="360"/>
    </w:pPr>
  </w:style>
  <w:style w:type="character" w:customStyle="1" w:styleId="bodytextpsg2Char">
    <w:name w:val="body text_psg2 Char"/>
    <w:link w:val="bodytextpsg2"/>
    <w:rsid w:val="00FD4EDA"/>
    <w:rPr>
      <w:rFonts w:ascii="Times New Roman" w:hAnsi="Times New Roman"/>
      <w:sz w:val="24"/>
    </w:rPr>
  </w:style>
  <w:style w:type="paragraph" w:customStyle="1" w:styleId="bodytextpsg2first">
    <w:name w:val="body text_psg2 first"/>
    <w:basedOn w:val="bodytextpsg2"/>
    <w:qFormat/>
    <w:rsid w:val="00FD4EDA"/>
    <w:pPr>
      <w:spacing w:before="240"/>
    </w:pPr>
  </w:style>
  <w:style w:type="paragraph" w:customStyle="1" w:styleId="P1-StandPara">
    <w:name w:val="P1-Stand Para"/>
    <w:rsid w:val="00E83F6D"/>
    <w:pPr>
      <w:spacing w:after="200" w:line="480" w:lineRule="auto"/>
      <w:ind w:firstLine="720"/>
    </w:pPr>
    <w:rPr>
      <w:rFonts w:ascii="Calibri" w:hAnsi="Calibri" w:cs="Arial"/>
      <w:sz w:val="22"/>
      <w:szCs w:val="22"/>
      <w:lang w:bidi="en-US"/>
    </w:rPr>
  </w:style>
  <w:style w:type="character" w:customStyle="1" w:styleId="HeaderChar">
    <w:name w:val="Header Char"/>
    <w:basedOn w:val="DefaultParagraphFont"/>
    <w:link w:val="Header"/>
    <w:uiPriority w:val="99"/>
    <w:rsid w:val="00F54EAD"/>
    <w:rPr>
      <w:rFonts w:ascii="Times New Roman Bold" w:hAnsi="Times New Roman Bold"/>
      <w:b/>
      <w:sz w:val="24"/>
    </w:rPr>
  </w:style>
  <w:style w:type="character" w:styleId="FollowedHyperlink">
    <w:name w:val="FollowedHyperlink"/>
    <w:basedOn w:val="DefaultParagraphFont"/>
    <w:rsid w:val="003523A9"/>
    <w:rPr>
      <w:color w:val="800080" w:themeColor="followedHyperlink"/>
      <w:u w:val="single"/>
    </w:rPr>
  </w:style>
  <w:style w:type="paragraph" w:customStyle="1" w:styleId="Tablebullet0">
    <w:name w:val="Table bullet"/>
    <w:basedOn w:val="Normal"/>
    <w:rsid w:val="004F36F8"/>
    <w:pPr>
      <w:numPr>
        <w:numId w:val="41"/>
      </w:numPr>
      <w:ind w:left="432" w:hanging="216"/>
    </w:pPr>
    <w:rPr>
      <w:sz w:val="20"/>
    </w:rPr>
  </w:style>
  <w:style w:type="paragraph" w:customStyle="1" w:styleId="TablebulletLM0">
    <w:name w:val="Table bullet_LM"/>
    <w:basedOn w:val="Tablebullet0"/>
    <w:qFormat/>
    <w:rsid w:val="004F36F8"/>
    <w:pPr>
      <w:spacing w:before="40" w:after="40"/>
      <w:ind w:left="576" w:hanging="360"/>
      <w:contextualSpacing/>
    </w:pPr>
    <w:rPr>
      <w:rFonts w:ascii="Arial" w:hAnsi="Arial"/>
      <w:snapToGrid w:val="0"/>
    </w:rPr>
  </w:style>
  <w:style w:type="paragraph" w:customStyle="1" w:styleId="Default">
    <w:name w:val="Default"/>
    <w:rsid w:val="002123E1"/>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10435A"/>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rsid w:val="006F701E"/>
    <w:pPr>
      <w:tabs>
        <w:tab w:val="right" w:leader="dot" w:pos="9360"/>
      </w:tabs>
      <w:ind w:left="1080" w:right="720" w:hanging="540"/>
    </w:pPr>
    <w:rPr>
      <w:noProof/>
    </w:rPr>
  </w:style>
  <w:style w:type="paragraph" w:styleId="TOC1">
    <w:name w:val="toc 1"/>
    <w:basedOn w:val="Normal"/>
    <w:next w:val="Normal"/>
    <w:uiPriority w:val="39"/>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uiPriority w:val="99"/>
    <w:rsid w:val="00F60F0F"/>
    <w:rPr>
      <w:sz w:val="16"/>
      <w:szCs w:val="16"/>
    </w:rPr>
  </w:style>
  <w:style w:type="paragraph" w:styleId="Header">
    <w:name w:val="header"/>
    <w:basedOn w:val="Normal"/>
    <w:link w:val="HeaderChar"/>
    <w:autoRedefine/>
    <w:uiPriority w:val="99"/>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uiPriority w:val="99"/>
    <w:semiHidden/>
    <w:rsid w:val="006F701E"/>
    <w:rPr>
      <w:sz w:val="20"/>
    </w:rPr>
  </w:style>
  <w:style w:type="character" w:customStyle="1" w:styleId="CommentTextChar">
    <w:name w:val="Comment Text Char"/>
    <w:link w:val="CommentText"/>
    <w:uiPriority w:val="99"/>
    <w:semiHidden/>
    <w:rsid w:val="003A7AF6"/>
    <w:rPr>
      <w:rFonts w:ascii="Times New Roman" w:hAnsi="Times New Roman"/>
    </w:rPr>
  </w:style>
  <w:style w:type="table" w:styleId="TableGrid">
    <w:name w:val="Table Grid"/>
    <w:basedOn w:val="TableNormal"/>
    <w:rsid w:val="006F701E"/>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uiPriority w:val="99"/>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uiPriority w:val="99"/>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body tex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customStyle="1" w:styleId="aboxbullet">
    <w:name w:val="abox_bullet"/>
    <w:basedOn w:val="Normal"/>
    <w:rsid w:val="00FD4EDA"/>
    <w:pPr>
      <w:framePr w:hSpace="144" w:vSpace="144" w:wrap="around" w:vAnchor="text" w:hAnchor="margin" w:xAlign="right" w:y="1"/>
      <w:numPr>
        <w:numId w:val="30"/>
      </w:numPr>
      <w:tabs>
        <w:tab w:val="clear" w:pos="720"/>
      </w:tabs>
      <w:spacing w:after="20"/>
      <w:ind w:left="461" w:hanging="245"/>
      <w:suppressOverlap/>
    </w:pPr>
    <w:rPr>
      <w:rFonts w:ascii="Arial" w:hAnsi="Arial"/>
      <w:sz w:val="18"/>
      <w:szCs w:val="18"/>
    </w:rPr>
  </w:style>
  <w:style w:type="paragraph" w:customStyle="1" w:styleId="Tabletext0">
    <w:name w:val="Table text"/>
    <w:qFormat/>
    <w:rsid w:val="00FD4EDA"/>
    <w:pPr>
      <w:spacing w:before="40" w:after="40"/>
    </w:pPr>
    <w:rPr>
      <w:rFonts w:ascii="Arial" w:hAnsi="Arial"/>
    </w:rPr>
  </w:style>
  <w:style w:type="paragraph" w:customStyle="1" w:styleId="bodytextpsg2">
    <w:name w:val="body text_psg2"/>
    <w:basedOn w:val="Normal"/>
    <w:link w:val="bodytextpsg2Char"/>
    <w:rsid w:val="00FD4EDA"/>
    <w:pPr>
      <w:ind w:firstLine="360"/>
    </w:pPr>
  </w:style>
  <w:style w:type="character" w:customStyle="1" w:styleId="bodytextpsg2Char">
    <w:name w:val="body text_psg2 Char"/>
    <w:link w:val="bodytextpsg2"/>
    <w:rsid w:val="00FD4EDA"/>
    <w:rPr>
      <w:rFonts w:ascii="Times New Roman" w:hAnsi="Times New Roman"/>
      <w:sz w:val="24"/>
    </w:rPr>
  </w:style>
  <w:style w:type="paragraph" w:customStyle="1" w:styleId="bodytextpsg2first">
    <w:name w:val="body text_psg2 first"/>
    <w:basedOn w:val="bodytextpsg2"/>
    <w:qFormat/>
    <w:rsid w:val="00FD4EDA"/>
    <w:pPr>
      <w:spacing w:before="240"/>
    </w:pPr>
  </w:style>
  <w:style w:type="paragraph" w:customStyle="1" w:styleId="P1-StandPara">
    <w:name w:val="P1-Stand Para"/>
    <w:rsid w:val="00E83F6D"/>
    <w:pPr>
      <w:spacing w:after="200" w:line="480" w:lineRule="auto"/>
      <w:ind w:firstLine="720"/>
    </w:pPr>
    <w:rPr>
      <w:rFonts w:ascii="Calibri" w:hAnsi="Calibri" w:cs="Arial"/>
      <w:sz w:val="22"/>
      <w:szCs w:val="22"/>
      <w:lang w:bidi="en-US"/>
    </w:rPr>
  </w:style>
  <w:style w:type="character" w:customStyle="1" w:styleId="HeaderChar">
    <w:name w:val="Header Char"/>
    <w:basedOn w:val="DefaultParagraphFont"/>
    <w:link w:val="Header"/>
    <w:uiPriority w:val="99"/>
    <w:rsid w:val="00F54EAD"/>
    <w:rPr>
      <w:rFonts w:ascii="Times New Roman Bold" w:hAnsi="Times New Roman Bold"/>
      <w:b/>
      <w:sz w:val="24"/>
    </w:rPr>
  </w:style>
  <w:style w:type="character" w:styleId="FollowedHyperlink">
    <w:name w:val="FollowedHyperlink"/>
    <w:basedOn w:val="DefaultParagraphFont"/>
    <w:rsid w:val="003523A9"/>
    <w:rPr>
      <w:color w:val="800080" w:themeColor="followedHyperlink"/>
      <w:u w:val="single"/>
    </w:rPr>
  </w:style>
  <w:style w:type="paragraph" w:customStyle="1" w:styleId="Tablebullet0">
    <w:name w:val="Table bullet"/>
    <w:basedOn w:val="Normal"/>
    <w:rsid w:val="004F36F8"/>
    <w:pPr>
      <w:numPr>
        <w:numId w:val="41"/>
      </w:numPr>
      <w:ind w:left="432" w:hanging="216"/>
    </w:pPr>
    <w:rPr>
      <w:sz w:val="20"/>
    </w:rPr>
  </w:style>
  <w:style w:type="paragraph" w:customStyle="1" w:styleId="TablebulletLM0">
    <w:name w:val="Table bullet_LM"/>
    <w:basedOn w:val="Tablebullet0"/>
    <w:qFormat/>
    <w:rsid w:val="004F36F8"/>
    <w:pPr>
      <w:spacing w:before="40" w:after="40"/>
      <w:ind w:left="576" w:hanging="360"/>
      <w:contextualSpacing/>
    </w:pPr>
    <w:rPr>
      <w:rFonts w:ascii="Arial" w:hAnsi="Arial"/>
      <w:snapToGrid w:val="0"/>
    </w:rPr>
  </w:style>
  <w:style w:type="paragraph" w:customStyle="1" w:styleId="Default">
    <w:name w:val="Default"/>
    <w:rsid w:val="002123E1"/>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10435A"/>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927">
      <w:bodyDiv w:val="1"/>
      <w:marLeft w:val="0"/>
      <w:marRight w:val="0"/>
      <w:marTop w:val="0"/>
      <w:marBottom w:val="0"/>
      <w:divBdr>
        <w:top w:val="none" w:sz="0" w:space="0" w:color="auto"/>
        <w:left w:val="none" w:sz="0" w:space="0" w:color="auto"/>
        <w:bottom w:val="none" w:sz="0" w:space="0" w:color="auto"/>
        <w:right w:val="none" w:sz="0" w:space="0" w:color="auto"/>
      </w:divBdr>
    </w:div>
    <w:div w:id="97410451">
      <w:bodyDiv w:val="1"/>
      <w:marLeft w:val="0"/>
      <w:marRight w:val="0"/>
      <w:marTop w:val="0"/>
      <w:marBottom w:val="0"/>
      <w:divBdr>
        <w:top w:val="none" w:sz="0" w:space="0" w:color="auto"/>
        <w:left w:val="none" w:sz="0" w:space="0" w:color="auto"/>
        <w:bottom w:val="none" w:sz="0" w:space="0" w:color="auto"/>
        <w:right w:val="none" w:sz="0" w:space="0" w:color="auto"/>
      </w:divBdr>
    </w:div>
    <w:div w:id="140074403">
      <w:bodyDiv w:val="1"/>
      <w:marLeft w:val="0"/>
      <w:marRight w:val="0"/>
      <w:marTop w:val="0"/>
      <w:marBottom w:val="0"/>
      <w:divBdr>
        <w:top w:val="none" w:sz="0" w:space="0" w:color="auto"/>
        <w:left w:val="none" w:sz="0" w:space="0" w:color="auto"/>
        <w:bottom w:val="none" w:sz="0" w:space="0" w:color="auto"/>
        <w:right w:val="none" w:sz="0" w:space="0" w:color="auto"/>
      </w:divBdr>
      <w:divsChild>
        <w:div w:id="1410494605">
          <w:marLeft w:val="0"/>
          <w:marRight w:val="0"/>
          <w:marTop w:val="0"/>
          <w:marBottom w:val="0"/>
          <w:divBdr>
            <w:top w:val="none" w:sz="0" w:space="0" w:color="auto"/>
            <w:left w:val="none" w:sz="0" w:space="0" w:color="auto"/>
            <w:bottom w:val="none" w:sz="0" w:space="0" w:color="auto"/>
            <w:right w:val="none" w:sz="0" w:space="0" w:color="auto"/>
          </w:divBdr>
          <w:divsChild>
            <w:div w:id="1544052107">
              <w:marLeft w:val="0"/>
              <w:marRight w:val="0"/>
              <w:marTop w:val="0"/>
              <w:marBottom w:val="0"/>
              <w:divBdr>
                <w:top w:val="none" w:sz="0" w:space="0" w:color="auto"/>
                <w:left w:val="none" w:sz="0" w:space="0" w:color="auto"/>
                <w:bottom w:val="none" w:sz="0" w:space="0" w:color="auto"/>
                <w:right w:val="none" w:sz="0" w:space="0" w:color="auto"/>
              </w:divBdr>
              <w:divsChild>
                <w:div w:id="1476996251">
                  <w:marLeft w:val="0"/>
                  <w:marRight w:val="0"/>
                  <w:marTop w:val="0"/>
                  <w:marBottom w:val="0"/>
                  <w:divBdr>
                    <w:top w:val="none" w:sz="0" w:space="0" w:color="auto"/>
                    <w:left w:val="none" w:sz="0" w:space="0" w:color="auto"/>
                    <w:bottom w:val="none" w:sz="0" w:space="0" w:color="auto"/>
                    <w:right w:val="none" w:sz="0" w:space="0" w:color="auto"/>
                  </w:divBdr>
                  <w:divsChild>
                    <w:div w:id="172693975">
                      <w:marLeft w:val="0"/>
                      <w:marRight w:val="0"/>
                      <w:marTop w:val="0"/>
                      <w:marBottom w:val="0"/>
                      <w:divBdr>
                        <w:top w:val="none" w:sz="0" w:space="0" w:color="auto"/>
                        <w:left w:val="none" w:sz="0" w:space="0" w:color="auto"/>
                        <w:bottom w:val="none" w:sz="0" w:space="0" w:color="auto"/>
                        <w:right w:val="none" w:sz="0" w:space="0" w:color="auto"/>
                      </w:divBdr>
                      <w:divsChild>
                        <w:div w:id="1967616001">
                          <w:marLeft w:val="0"/>
                          <w:marRight w:val="0"/>
                          <w:marTop w:val="0"/>
                          <w:marBottom w:val="0"/>
                          <w:divBdr>
                            <w:top w:val="none" w:sz="0" w:space="0" w:color="auto"/>
                            <w:left w:val="none" w:sz="0" w:space="0" w:color="auto"/>
                            <w:bottom w:val="none" w:sz="0" w:space="0" w:color="auto"/>
                            <w:right w:val="none" w:sz="0" w:space="0" w:color="auto"/>
                          </w:divBdr>
                          <w:divsChild>
                            <w:div w:id="1842616902">
                              <w:marLeft w:val="0"/>
                              <w:marRight w:val="0"/>
                              <w:marTop w:val="0"/>
                              <w:marBottom w:val="0"/>
                              <w:divBdr>
                                <w:top w:val="none" w:sz="0" w:space="0" w:color="auto"/>
                                <w:left w:val="none" w:sz="0" w:space="0" w:color="auto"/>
                                <w:bottom w:val="none" w:sz="0" w:space="0" w:color="auto"/>
                                <w:right w:val="none" w:sz="0" w:space="0" w:color="auto"/>
                              </w:divBdr>
                              <w:divsChild>
                                <w:div w:id="7593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053723">
      <w:bodyDiv w:val="1"/>
      <w:marLeft w:val="0"/>
      <w:marRight w:val="120"/>
      <w:marTop w:val="0"/>
      <w:marBottom w:val="0"/>
      <w:divBdr>
        <w:top w:val="none" w:sz="0" w:space="0" w:color="auto"/>
        <w:left w:val="none" w:sz="0" w:space="0" w:color="auto"/>
        <w:bottom w:val="none" w:sz="0" w:space="0" w:color="auto"/>
        <w:right w:val="none" w:sz="0" w:space="0" w:color="auto"/>
      </w:divBdr>
      <w:divsChild>
        <w:div w:id="1501695088">
          <w:marLeft w:val="0"/>
          <w:marRight w:val="0"/>
          <w:marTop w:val="0"/>
          <w:marBottom w:val="288"/>
          <w:divBdr>
            <w:top w:val="none" w:sz="0" w:space="0" w:color="auto"/>
            <w:left w:val="none" w:sz="0" w:space="0" w:color="auto"/>
            <w:bottom w:val="none" w:sz="0" w:space="0" w:color="auto"/>
            <w:right w:val="none" w:sz="0" w:space="0" w:color="auto"/>
          </w:divBdr>
          <w:divsChild>
            <w:div w:id="2123572321">
              <w:marLeft w:val="0"/>
              <w:marRight w:val="0"/>
              <w:marTop w:val="0"/>
              <w:marBottom w:val="0"/>
              <w:divBdr>
                <w:top w:val="none" w:sz="0" w:space="0" w:color="auto"/>
                <w:left w:val="none" w:sz="0" w:space="0" w:color="auto"/>
                <w:bottom w:val="none" w:sz="0" w:space="0" w:color="auto"/>
                <w:right w:val="none" w:sz="0" w:space="0" w:color="auto"/>
              </w:divBdr>
              <w:divsChild>
                <w:div w:id="1369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9876">
      <w:bodyDiv w:val="1"/>
      <w:marLeft w:val="0"/>
      <w:marRight w:val="0"/>
      <w:marTop w:val="0"/>
      <w:marBottom w:val="0"/>
      <w:divBdr>
        <w:top w:val="none" w:sz="0" w:space="0" w:color="auto"/>
        <w:left w:val="none" w:sz="0" w:space="0" w:color="auto"/>
        <w:bottom w:val="none" w:sz="0" w:space="0" w:color="auto"/>
        <w:right w:val="none" w:sz="0" w:space="0" w:color="auto"/>
      </w:divBdr>
      <w:divsChild>
        <w:div w:id="371927080">
          <w:marLeft w:val="0"/>
          <w:marRight w:val="0"/>
          <w:marTop w:val="0"/>
          <w:marBottom w:val="0"/>
          <w:divBdr>
            <w:top w:val="none" w:sz="0" w:space="0" w:color="auto"/>
            <w:left w:val="none" w:sz="0" w:space="0" w:color="auto"/>
            <w:bottom w:val="none" w:sz="0" w:space="0" w:color="auto"/>
            <w:right w:val="none" w:sz="0" w:space="0" w:color="auto"/>
          </w:divBdr>
          <w:divsChild>
            <w:div w:id="1124810784">
              <w:marLeft w:val="0"/>
              <w:marRight w:val="0"/>
              <w:marTop w:val="0"/>
              <w:marBottom w:val="0"/>
              <w:divBdr>
                <w:top w:val="none" w:sz="0" w:space="0" w:color="auto"/>
                <w:left w:val="none" w:sz="0" w:space="0" w:color="auto"/>
                <w:bottom w:val="none" w:sz="0" w:space="0" w:color="auto"/>
                <w:right w:val="none" w:sz="0" w:space="0" w:color="auto"/>
              </w:divBdr>
              <w:divsChild>
                <w:div w:id="1837501219">
                  <w:marLeft w:val="0"/>
                  <w:marRight w:val="0"/>
                  <w:marTop w:val="0"/>
                  <w:marBottom w:val="0"/>
                  <w:divBdr>
                    <w:top w:val="none" w:sz="0" w:space="0" w:color="auto"/>
                    <w:left w:val="none" w:sz="0" w:space="0" w:color="auto"/>
                    <w:bottom w:val="none" w:sz="0" w:space="0" w:color="auto"/>
                    <w:right w:val="none" w:sz="0" w:space="0" w:color="auto"/>
                  </w:divBdr>
                  <w:divsChild>
                    <w:div w:id="1809981018">
                      <w:marLeft w:val="0"/>
                      <w:marRight w:val="0"/>
                      <w:marTop w:val="0"/>
                      <w:marBottom w:val="0"/>
                      <w:divBdr>
                        <w:top w:val="none" w:sz="0" w:space="0" w:color="auto"/>
                        <w:left w:val="none" w:sz="0" w:space="0" w:color="auto"/>
                        <w:bottom w:val="none" w:sz="0" w:space="0" w:color="auto"/>
                        <w:right w:val="none" w:sz="0" w:space="0" w:color="auto"/>
                      </w:divBdr>
                      <w:divsChild>
                        <w:div w:id="719286643">
                          <w:marLeft w:val="0"/>
                          <w:marRight w:val="0"/>
                          <w:marTop w:val="0"/>
                          <w:marBottom w:val="0"/>
                          <w:divBdr>
                            <w:top w:val="none" w:sz="0" w:space="0" w:color="auto"/>
                            <w:left w:val="none" w:sz="0" w:space="0" w:color="auto"/>
                            <w:bottom w:val="none" w:sz="0" w:space="0" w:color="auto"/>
                            <w:right w:val="none" w:sz="0" w:space="0" w:color="auto"/>
                          </w:divBdr>
                          <w:divsChild>
                            <w:div w:id="559900390">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81711">
      <w:bodyDiv w:val="1"/>
      <w:marLeft w:val="0"/>
      <w:marRight w:val="0"/>
      <w:marTop w:val="0"/>
      <w:marBottom w:val="0"/>
      <w:divBdr>
        <w:top w:val="none" w:sz="0" w:space="0" w:color="auto"/>
        <w:left w:val="none" w:sz="0" w:space="0" w:color="auto"/>
        <w:bottom w:val="none" w:sz="0" w:space="0" w:color="auto"/>
        <w:right w:val="none" w:sz="0" w:space="0" w:color="auto"/>
      </w:divBdr>
      <w:divsChild>
        <w:div w:id="103043935">
          <w:marLeft w:val="0"/>
          <w:marRight w:val="0"/>
          <w:marTop w:val="0"/>
          <w:marBottom w:val="0"/>
          <w:divBdr>
            <w:top w:val="none" w:sz="0" w:space="0" w:color="auto"/>
            <w:left w:val="none" w:sz="0" w:space="0" w:color="auto"/>
            <w:bottom w:val="none" w:sz="0" w:space="0" w:color="auto"/>
            <w:right w:val="none" w:sz="0" w:space="0" w:color="auto"/>
          </w:divBdr>
          <w:divsChild>
            <w:div w:id="957683477">
              <w:marLeft w:val="0"/>
              <w:marRight w:val="0"/>
              <w:marTop w:val="0"/>
              <w:marBottom w:val="0"/>
              <w:divBdr>
                <w:top w:val="none" w:sz="0" w:space="0" w:color="auto"/>
                <w:left w:val="none" w:sz="0" w:space="0" w:color="auto"/>
                <w:bottom w:val="none" w:sz="0" w:space="0" w:color="auto"/>
                <w:right w:val="none" w:sz="0" w:space="0" w:color="auto"/>
              </w:divBdr>
              <w:divsChild>
                <w:div w:id="523904935">
                  <w:marLeft w:val="0"/>
                  <w:marRight w:val="0"/>
                  <w:marTop w:val="0"/>
                  <w:marBottom w:val="0"/>
                  <w:divBdr>
                    <w:top w:val="none" w:sz="0" w:space="0" w:color="auto"/>
                    <w:left w:val="none" w:sz="0" w:space="0" w:color="auto"/>
                    <w:bottom w:val="none" w:sz="0" w:space="0" w:color="auto"/>
                    <w:right w:val="none" w:sz="0" w:space="0" w:color="auto"/>
                  </w:divBdr>
                  <w:divsChild>
                    <w:div w:id="1875191388">
                      <w:marLeft w:val="0"/>
                      <w:marRight w:val="0"/>
                      <w:marTop w:val="0"/>
                      <w:marBottom w:val="0"/>
                      <w:divBdr>
                        <w:top w:val="none" w:sz="0" w:space="0" w:color="auto"/>
                        <w:left w:val="none" w:sz="0" w:space="0" w:color="auto"/>
                        <w:bottom w:val="none" w:sz="0" w:space="0" w:color="auto"/>
                        <w:right w:val="none" w:sz="0" w:space="0" w:color="auto"/>
                      </w:divBdr>
                      <w:divsChild>
                        <w:div w:id="554631968">
                          <w:marLeft w:val="0"/>
                          <w:marRight w:val="0"/>
                          <w:marTop w:val="0"/>
                          <w:marBottom w:val="0"/>
                          <w:divBdr>
                            <w:top w:val="none" w:sz="0" w:space="0" w:color="auto"/>
                            <w:left w:val="none" w:sz="0" w:space="0" w:color="auto"/>
                            <w:bottom w:val="none" w:sz="0" w:space="0" w:color="auto"/>
                            <w:right w:val="none" w:sz="0" w:space="0" w:color="auto"/>
                          </w:divBdr>
                          <w:divsChild>
                            <w:div w:id="1126504304">
                              <w:marLeft w:val="0"/>
                              <w:marRight w:val="0"/>
                              <w:marTop w:val="0"/>
                              <w:marBottom w:val="0"/>
                              <w:divBdr>
                                <w:top w:val="none" w:sz="0" w:space="0" w:color="auto"/>
                                <w:left w:val="none" w:sz="0" w:space="0" w:color="auto"/>
                                <w:bottom w:val="none" w:sz="0" w:space="0" w:color="auto"/>
                                <w:right w:val="none" w:sz="0" w:space="0" w:color="auto"/>
                              </w:divBdr>
                              <w:divsChild>
                                <w:div w:id="8876595">
                                  <w:marLeft w:val="0"/>
                                  <w:marRight w:val="0"/>
                                  <w:marTop w:val="0"/>
                                  <w:marBottom w:val="0"/>
                                  <w:divBdr>
                                    <w:top w:val="none" w:sz="0" w:space="0" w:color="auto"/>
                                    <w:left w:val="none" w:sz="0" w:space="0" w:color="auto"/>
                                    <w:bottom w:val="none" w:sz="0" w:space="0" w:color="auto"/>
                                    <w:right w:val="none" w:sz="0" w:space="0" w:color="auto"/>
                                  </w:divBdr>
                                  <w:divsChild>
                                    <w:div w:id="4293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4019">
      <w:bodyDiv w:val="1"/>
      <w:marLeft w:val="0"/>
      <w:marRight w:val="0"/>
      <w:marTop w:val="0"/>
      <w:marBottom w:val="0"/>
      <w:divBdr>
        <w:top w:val="none" w:sz="0" w:space="0" w:color="auto"/>
        <w:left w:val="none" w:sz="0" w:space="0" w:color="auto"/>
        <w:bottom w:val="none" w:sz="0" w:space="0" w:color="auto"/>
        <w:right w:val="none" w:sz="0" w:space="0" w:color="auto"/>
      </w:divBdr>
    </w:div>
    <w:div w:id="432943428">
      <w:bodyDiv w:val="1"/>
      <w:marLeft w:val="0"/>
      <w:marRight w:val="0"/>
      <w:marTop w:val="0"/>
      <w:marBottom w:val="0"/>
      <w:divBdr>
        <w:top w:val="none" w:sz="0" w:space="0" w:color="auto"/>
        <w:left w:val="none" w:sz="0" w:space="0" w:color="auto"/>
        <w:bottom w:val="none" w:sz="0" w:space="0" w:color="auto"/>
        <w:right w:val="none" w:sz="0" w:space="0" w:color="auto"/>
      </w:divBdr>
    </w:div>
    <w:div w:id="588731401">
      <w:bodyDiv w:val="1"/>
      <w:marLeft w:val="0"/>
      <w:marRight w:val="120"/>
      <w:marTop w:val="0"/>
      <w:marBottom w:val="0"/>
      <w:divBdr>
        <w:top w:val="none" w:sz="0" w:space="0" w:color="auto"/>
        <w:left w:val="none" w:sz="0" w:space="0" w:color="auto"/>
        <w:bottom w:val="none" w:sz="0" w:space="0" w:color="auto"/>
        <w:right w:val="none" w:sz="0" w:space="0" w:color="auto"/>
      </w:divBdr>
      <w:divsChild>
        <w:div w:id="686444761">
          <w:marLeft w:val="0"/>
          <w:marRight w:val="0"/>
          <w:marTop w:val="0"/>
          <w:marBottom w:val="288"/>
          <w:divBdr>
            <w:top w:val="none" w:sz="0" w:space="0" w:color="auto"/>
            <w:left w:val="none" w:sz="0" w:space="0" w:color="auto"/>
            <w:bottom w:val="none" w:sz="0" w:space="0" w:color="auto"/>
            <w:right w:val="none" w:sz="0" w:space="0" w:color="auto"/>
          </w:divBdr>
          <w:divsChild>
            <w:div w:id="631440799">
              <w:marLeft w:val="0"/>
              <w:marRight w:val="0"/>
              <w:marTop w:val="0"/>
              <w:marBottom w:val="0"/>
              <w:divBdr>
                <w:top w:val="none" w:sz="0" w:space="0" w:color="auto"/>
                <w:left w:val="none" w:sz="0" w:space="0" w:color="auto"/>
                <w:bottom w:val="none" w:sz="0" w:space="0" w:color="auto"/>
                <w:right w:val="none" w:sz="0" w:space="0" w:color="auto"/>
              </w:divBdr>
              <w:divsChild>
                <w:div w:id="12735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1151">
      <w:bodyDiv w:val="1"/>
      <w:marLeft w:val="0"/>
      <w:marRight w:val="0"/>
      <w:marTop w:val="0"/>
      <w:marBottom w:val="0"/>
      <w:divBdr>
        <w:top w:val="none" w:sz="0" w:space="0" w:color="auto"/>
        <w:left w:val="none" w:sz="0" w:space="0" w:color="auto"/>
        <w:bottom w:val="none" w:sz="0" w:space="0" w:color="auto"/>
        <w:right w:val="none" w:sz="0" w:space="0" w:color="auto"/>
      </w:divBdr>
    </w:div>
    <w:div w:id="751396587">
      <w:bodyDiv w:val="1"/>
      <w:marLeft w:val="0"/>
      <w:marRight w:val="0"/>
      <w:marTop w:val="0"/>
      <w:marBottom w:val="0"/>
      <w:divBdr>
        <w:top w:val="none" w:sz="0" w:space="0" w:color="auto"/>
        <w:left w:val="none" w:sz="0" w:space="0" w:color="auto"/>
        <w:bottom w:val="none" w:sz="0" w:space="0" w:color="auto"/>
        <w:right w:val="none" w:sz="0" w:space="0" w:color="auto"/>
      </w:divBdr>
    </w:div>
    <w:div w:id="786392540">
      <w:bodyDiv w:val="1"/>
      <w:marLeft w:val="0"/>
      <w:marRight w:val="0"/>
      <w:marTop w:val="0"/>
      <w:marBottom w:val="0"/>
      <w:divBdr>
        <w:top w:val="none" w:sz="0" w:space="0" w:color="auto"/>
        <w:left w:val="none" w:sz="0" w:space="0" w:color="auto"/>
        <w:bottom w:val="none" w:sz="0" w:space="0" w:color="auto"/>
        <w:right w:val="none" w:sz="0" w:space="0" w:color="auto"/>
      </w:divBdr>
    </w:div>
    <w:div w:id="1395814939">
      <w:bodyDiv w:val="1"/>
      <w:marLeft w:val="0"/>
      <w:marRight w:val="0"/>
      <w:marTop w:val="0"/>
      <w:marBottom w:val="0"/>
      <w:divBdr>
        <w:top w:val="none" w:sz="0" w:space="0" w:color="auto"/>
        <w:left w:val="none" w:sz="0" w:space="0" w:color="auto"/>
        <w:bottom w:val="none" w:sz="0" w:space="0" w:color="auto"/>
        <w:right w:val="none" w:sz="0" w:space="0" w:color="auto"/>
      </w:divBdr>
    </w:div>
    <w:div w:id="1593007079">
      <w:bodyDiv w:val="1"/>
      <w:marLeft w:val="0"/>
      <w:marRight w:val="0"/>
      <w:marTop w:val="0"/>
      <w:marBottom w:val="0"/>
      <w:divBdr>
        <w:top w:val="none" w:sz="0" w:space="0" w:color="auto"/>
        <w:left w:val="none" w:sz="0" w:space="0" w:color="auto"/>
        <w:bottom w:val="none" w:sz="0" w:space="0" w:color="auto"/>
        <w:right w:val="none" w:sz="0" w:space="0" w:color="auto"/>
      </w:divBdr>
    </w:div>
    <w:div w:id="1611086441">
      <w:bodyDiv w:val="1"/>
      <w:marLeft w:val="0"/>
      <w:marRight w:val="0"/>
      <w:marTop w:val="0"/>
      <w:marBottom w:val="0"/>
      <w:divBdr>
        <w:top w:val="none" w:sz="0" w:space="0" w:color="auto"/>
        <w:left w:val="none" w:sz="0" w:space="0" w:color="auto"/>
        <w:bottom w:val="none" w:sz="0" w:space="0" w:color="auto"/>
        <w:right w:val="none" w:sz="0" w:space="0" w:color="auto"/>
      </w:divBdr>
    </w:div>
    <w:div w:id="1736053654">
      <w:bodyDiv w:val="1"/>
      <w:marLeft w:val="0"/>
      <w:marRight w:val="0"/>
      <w:marTop w:val="0"/>
      <w:marBottom w:val="0"/>
      <w:divBdr>
        <w:top w:val="none" w:sz="0" w:space="0" w:color="auto"/>
        <w:left w:val="none" w:sz="0" w:space="0" w:color="auto"/>
        <w:bottom w:val="none" w:sz="0" w:space="0" w:color="auto"/>
        <w:right w:val="none" w:sz="0" w:space="0" w:color="auto"/>
      </w:divBdr>
    </w:div>
    <w:div w:id="1773279809">
      <w:bodyDiv w:val="1"/>
      <w:marLeft w:val="0"/>
      <w:marRight w:val="0"/>
      <w:marTop w:val="0"/>
      <w:marBottom w:val="0"/>
      <w:divBdr>
        <w:top w:val="none" w:sz="0" w:space="0" w:color="auto"/>
        <w:left w:val="none" w:sz="0" w:space="0" w:color="auto"/>
        <w:bottom w:val="none" w:sz="0" w:space="0" w:color="auto"/>
        <w:right w:val="none" w:sz="0" w:space="0" w:color="auto"/>
      </w:divBdr>
      <w:divsChild>
        <w:div w:id="1748570079">
          <w:marLeft w:val="0"/>
          <w:marRight w:val="0"/>
          <w:marTop w:val="0"/>
          <w:marBottom w:val="0"/>
          <w:divBdr>
            <w:top w:val="none" w:sz="0" w:space="0" w:color="auto"/>
            <w:left w:val="none" w:sz="0" w:space="0" w:color="auto"/>
            <w:bottom w:val="none" w:sz="0" w:space="0" w:color="auto"/>
            <w:right w:val="none" w:sz="0" w:space="0" w:color="auto"/>
          </w:divBdr>
          <w:divsChild>
            <w:div w:id="1227910851">
              <w:marLeft w:val="0"/>
              <w:marRight w:val="0"/>
              <w:marTop w:val="0"/>
              <w:marBottom w:val="0"/>
              <w:divBdr>
                <w:top w:val="none" w:sz="0" w:space="0" w:color="auto"/>
                <w:left w:val="none" w:sz="0" w:space="0" w:color="auto"/>
                <w:bottom w:val="none" w:sz="0" w:space="0" w:color="auto"/>
                <w:right w:val="none" w:sz="0" w:space="0" w:color="auto"/>
              </w:divBdr>
              <w:divsChild>
                <w:div w:id="46690274">
                  <w:marLeft w:val="0"/>
                  <w:marRight w:val="0"/>
                  <w:marTop w:val="0"/>
                  <w:marBottom w:val="0"/>
                  <w:divBdr>
                    <w:top w:val="none" w:sz="0" w:space="0" w:color="auto"/>
                    <w:left w:val="none" w:sz="0" w:space="0" w:color="auto"/>
                    <w:bottom w:val="none" w:sz="0" w:space="0" w:color="auto"/>
                    <w:right w:val="none" w:sz="0" w:space="0" w:color="auto"/>
                  </w:divBdr>
                  <w:divsChild>
                    <w:div w:id="1383484304">
                      <w:marLeft w:val="0"/>
                      <w:marRight w:val="0"/>
                      <w:marTop w:val="0"/>
                      <w:marBottom w:val="0"/>
                      <w:divBdr>
                        <w:top w:val="none" w:sz="0" w:space="0" w:color="auto"/>
                        <w:left w:val="none" w:sz="0" w:space="0" w:color="auto"/>
                        <w:bottom w:val="none" w:sz="0" w:space="0" w:color="auto"/>
                        <w:right w:val="none" w:sz="0" w:space="0" w:color="auto"/>
                      </w:divBdr>
                      <w:divsChild>
                        <w:div w:id="1367101231">
                          <w:marLeft w:val="0"/>
                          <w:marRight w:val="0"/>
                          <w:marTop w:val="0"/>
                          <w:marBottom w:val="0"/>
                          <w:divBdr>
                            <w:top w:val="none" w:sz="0" w:space="0" w:color="auto"/>
                            <w:left w:val="none" w:sz="0" w:space="0" w:color="auto"/>
                            <w:bottom w:val="none" w:sz="0" w:space="0" w:color="auto"/>
                            <w:right w:val="none" w:sz="0" w:space="0" w:color="auto"/>
                          </w:divBdr>
                          <w:divsChild>
                            <w:div w:id="1422947492">
                              <w:marLeft w:val="0"/>
                              <w:marRight w:val="0"/>
                              <w:marTop w:val="0"/>
                              <w:marBottom w:val="0"/>
                              <w:divBdr>
                                <w:top w:val="none" w:sz="0" w:space="0" w:color="auto"/>
                                <w:left w:val="none" w:sz="0" w:space="0" w:color="auto"/>
                                <w:bottom w:val="none" w:sz="0" w:space="0" w:color="auto"/>
                                <w:right w:val="none" w:sz="0" w:space="0" w:color="auto"/>
                              </w:divBdr>
                              <w:divsChild>
                                <w:div w:id="1917400417">
                                  <w:marLeft w:val="0"/>
                                  <w:marRight w:val="0"/>
                                  <w:marTop w:val="0"/>
                                  <w:marBottom w:val="0"/>
                                  <w:divBdr>
                                    <w:top w:val="none" w:sz="0" w:space="0" w:color="auto"/>
                                    <w:left w:val="none" w:sz="0" w:space="0" w:color="auto"/>
                                    <w:bottom w:val="none" w:sz="0" w:space="0" w:color="auto"/>
                                    <w:right w:val="none" w:sz="0" w:space="0" w:color="auto"/>
                                  </w:divBdr>
                                  <w:divsChild>
                                    <w:div w:id="1833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 w:id="2063282090">
      <w:bodyDiv w:val="1"/>
      <w:marLeft w:val="0"/>
      <w:marRight w:val="0"/>
      <w:marTop w:val="0"/>
      <w:marBottom w:val="0"/>
      <w:divBdr>
        <w:top w:val="none" w:sz="0" w:space="0" w:color="auto"/>
        <w:left w:val="none" w:sz="0" w:space="0" w:color="auto"/>
        <w:bottom w:val="none" w:sz="0" w:space="0" w:color="auto"/>
        <w:right w:val="none" w:sz="0" w:space="0" w:color="auto"/>
      </w:divBdr>
      <w:divsChild>
        <w:div w:id="2112314101">
          <w:marLeft w:val="0"/>
          <w:marRight w:val="0"/>
          <w:marTop w:val="0"/>
          <w:marBottom w:val="0"/>
          <w:divBdr>
            <w:top w:val="none" w:sz="0" w:space="0" w:color="auto"/>
            <w:left w:val="none" w:sz="0" w:space="0" w:color="auto"/>
            <w:bottom w:val="none" w:sz="0" w:space="0" w:color="auto"/>
            <w:right w:val="none" w:sz="0" w:space="0" w:color="auto"/>
          </w:divBdr>
          <w:divsChild>
            <w:div w:id="68308787">
              <w:marLeft w:val="0"/>
              <w:marRight w:val="0"/>
              <w:marTop w:val="0"/>
              <w:marBottom w:val="0"/>
              <w:divBdr>
                <w:top w:val="none" w:sz="0" w:space="0" w:color="auto"/>
                <w:left w:val="none" w:sz="0" w:space="0" w:color="auto"/>
                <w:bottom w:val="none" w:sz="0" w:space="0" w:color="auto"/>
                <w:right w:val="none" w:sz="0" w:space="0" w:color="auto"/>
              </w:divBdr>
              <w:divsChild>
                <w:div w:id="82379616">
                  <w:marLeft w:val="0"/>
                  <w:marRight w:val="0"/>
                  <w:marTop w:val="0"/>
                  <w:marBottom w:val="0"/>
                  <w:divBdr>
                    <w:top w:val="none" w:sz="0" w:space="0" w:color="auto"/>
                    <w:left w:val="none" w:sz="0" w:space="0" w:color="auto"/>
                    <w:bottom w:val="none" w:sz="0" w:space="0" w:color="auto"/>
                    <w:right w:val="none" w:sz="0" w:space="0" w:color="auto"/>
                  </w:divBdr>
                  <w:divsChild>
                    <w:div w:id="1012104671">
                      <w:marLeft w:val="0"/>
                      <w:marRight w:val="0"/>
                      <w:marTop w:val="0"/>
                      <w:marBottom w:val="0"/>
                      <w:divBdr>
                        <w:top w:val="none" w:sz="0" w:space="0" w:color="auto"/>
                        <w:left w:val="none" w:sz="0" w:space="0" w:color="auto"/>
                        <w:bottom w:val="none" w:sz="0" w:space="0" w:color="auto"/>
                        <w:right w:val="none" w:sz="0" w:space="0" w:color="auto"/>
                      </w:divBdr>
                      <w:divsChild>
                        <w:div w:id="1651520437">
                          <w:marLeft w:val="0"/>
                          <w:marRight w:val="0"/>
                          <w:marTop w:val="0"/>
                          <w:marBottom w:val="0"/>
                          <w:divBdr>
                            <w:top w:val="none" w:sz="0" w:space="0" w:color="auto"/>
                            <w:left w:val="none" w:sz="0" w:space="0" w:color="auto"/>
                            <w:bottom w:val="none" w:sz="0" w:space="0" w:color="auto"/>
                            <w:right w:val="none" w:sz="0" w:space="0" w:color="auto"/>
                          </w:divBdr>
                          <w:divsChild>
                            <w:div w:id="870873239">
                              <w:marLeft w:val="0"/>
                              <w:marRight w:val="0"/>
                              <w:marTop w:val="0"/>
                              <w:marBottom w:val="0"/>
                              <w:divBdr>
                                <w:top w:val="none" w:sz="0" w:space="0" w:color="auto"/>
                                <w:left w:val="none" w:sz="0" w:space="0" w:color="auto"/>
                                <w:bottom w:val="none" w:sz="0" w:space="0" w:color="auto"/>
                                <w:right w:val="none" w:sz="0" w:space="0" w:color="auto"/>
                              </w:divBdr>
                              <w:divsChild>
                                <w:div w:id="390427631">
                                  <w:marLeft w:val="0"/>
                                  <w:marRight w:val="0"/>
                                  <w:marTop w:val="0"/>
                                  <w:marBottom w:val="0"/>
                                  <w:divBdr>
                                    <w:top w:val="none" w:sz="0" w:space="0" w:color="auto"/>
                                    <w:left w:val="none" w:sz="0" w:space="0" w:color="auto"/>
                                    <w:bottom w:val="none" w:sz="0" w:space="0" w:color="auto"/>
                                    <w:right w:val="none" w:sz="0" w:space="0" w:color="auto"/>
                                  </w:divBdr>
                                  <w:divsChild>
                                    <w:div w:id="9088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632598">
      <w:bodyDiv w:val="1"/>
      <w:marLeft w:val="0"/>
      <w:marRight w:val="0"/>
      <w:marTop w:val="0"/>
      <w:marBottom w:val="0"/>
      <w:divBdr>
        <w:top w:val="none" w:sz="0" w:space="0" w:color="auto"/>
        <w:left w:val="none" w:sz="0" w:space="0" w:color="auto"/>
        <w:bottom w:val="none" w:sz="0" w:space="0" w:color="auto"/>
        <w:right w:val="none" w:sz="0" w:space="0" w:color="auto"/>
      </w:divBdr>
    </w:div>
    <w:div w:id="21302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ch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alhomeinfo.org/Joint%20Stateme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ff.org/medicare/upload/810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5CC24-0C96-437D-A9DD-111B9D1A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Month 200X</vt:lpstr>
    </vt:vector>
  </TitlesOfParts>
  <Company>The Urban Institute</Company>
  <LinksUpToDate>false</LinksUpToDate>
  <CharactersWithSpaces>12860</CharactersWithSpaces>
  <SharedDoc>false</SharedDoc>
  <HLinks>
    <vt:vector size="6" baseType="variant">
      <vt:variant>
        <vt:i4>2097256</vt:i4>
      </vt:variant>
      <vt:variant>
        <vt:i4>0</vt:i4>
      </vt:variant>
      <vt:variant>
        <vt:i4>0</vt:i4>
      </vt:variant>
      <vt:variant>
        <vt:i4>5</vt:i4>
      </vt:variant>
      <vt:variant>
        <vt:lpwstr>http://www.kff.org/medicare/upload/8103.pdf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npepoli</dc:creator>
  <cp:lastModifiedBy>Emily Rosenoff</cp:lastModifiedBy>
  <cp:revision>4</cp:revision>
  <cp:lastPrinted>2013-05-15T16:49:00Z</cp:lastPrinted>
  <dcterms:created xsi:type="dcterms:W3CDTF">2014-02-12T15:50:00Z</dcterms:created>
  <dcterms:modified xsi:type="dcterms:W3CDTF">2014-02-21T19:40:00Z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