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42" w:rsidRPr="00A40AC9" w:rsidRDefault="00073E39" w:rsidP="0027684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A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6842" w:rsidRPr="00A40AC9" w:rsidRDefault="00A40AC9" w:rsidP="00A40AC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 </w:t>
      </w:r>
      <w:r w:rsidR="00276842" w:rsidRPr="00A40AC9">
        <w:rPr>
          <w:rFonts w:ascii="Times New Roman" w:hAnsi="Times New Roman" w:cs="Times New Roman"/>
          <w:b/>
          <w:sz w:val="24"/>
          <w:szCs w:val="24"/>
        </w:rPr>
        <w:t>Exploration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842" w:rsidRPr="00A40AC9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Peer </w:t>
      </w:r>
      <w:r w:rsidR="00276842" w:rsidRPr="00A40AC9">
        <w:rPr>
          <w:rFonts w:ascii="Times New Roman" w:hAnsi="Times New Roman" w:cs="Times New Roman"/>
          <w:b/>
          <w:sz w:val="24"/>
          <w:szCs w:val="24"/>
        </w:rPr>
        <w:t>Recovery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842" w:rsidRPr="00A40AC9">
        <w:rPr>
          <w:rFonts w:ascii="Times New Roman" w:hAnsi="Times New Roman" w:cs="Times New Roman"/>
          <w:b/>
          <w:sz w:val="24"/>
          <w:szCs w:val="24"/>
        </w:rPr>
        <w:t>Support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842" w:rsidRPr="00A40AC9">
        <w:rPr>
          <w:rFonts w:ascii="Times New Roman" w:hAnsi="Times New Roman" w:cs="Times New Roman"/>
          <w:b/>
          <w:sz w:val="24"/>
          <w:szCs w:val="24"/>
        </w:rPr>
        <w:t>Services</w:t>
      </w:r>
      <w:r w:rsidR="00106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6FC" w:rsidRPr="00A40AC9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cross </w:t>
      </w:r>
      <w:r w:rsidR="00276842" w:rsidRPr="00A40AC9">
        <w:rPr>
          <w:rFonts w:ascii="Times New Roman" w:hAnsi="Times New Roman" w:cs="Times New Roman"/>
          <w:b/>
          <w:sz w:val="24"/>
          <w:szCs w:val="24"/>
        </w:rPr>
        <w:t>State Behavioral Health Systems</w:t>
      </w:r>
    </w:p>
    <w:p w:rsidR="00A40AC9" w:rsidRPr="00A40AC9" w:rsidRDefault="00A40AC9" w:rsidP="00A40AC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AC9">
        <w:rPr>
          <w:rFonts w:ascii="Times New Roman" w:hAnsi="Times New Roman" w:cs="Times New Roman"/>
          <w:b/>
          <w:sz w:val="24"/>
          <w:szCs w:val="24"/>
        </w:rPr>
        <w:t>SUPPORTING STATEMENT</w:t>
      </w:r>
    </w:p>
    <w:p w:rsidR="00A40AC9" w:rsidRDefault="00A40AC9" w:rsidP="00A40AC9">
      <w:pPr>
        <w:pStyle w:val="NoSpacing"/>
      </w:pPr>
    </w:p>
    <w:p w:rsidR="00F04C73" w:rsidRPr="00143684" w:rsidRDefault="00F04C73" w:rsidP="00F04C73">
      <w:pPr>
        <w:rPr>
          <w:rFonts w:ascii="Times New Roman" w:hAnsi="Times New Roman"/>
          <w:b/>
          <w:sz w:val="24"/>
          <w:szCs w:val="24"/>
        </w:rPr>
      </w:pPr>
      <w:r w:rsidRPr="00143684">
        <w:rPr>
          <w:rFonts w:ascii="Times New Roman" w:hAnsi="Times New Roman"/>
          <w:b/>
          <w:sz w:val="24"/>
          <w:szCs w:val="24"/>
        </w:rPr>
        <w:t xml:space="preserve">JUSTIFICATION </w:t>
      </w:r>
      <w:r w:rsidR="000F3663">
        <w:rPr>
          <w:rFonts w:ascii="Times New Roman" w:hAnsi="Times New Roman"/>
          <w:b/>
          <w:sz w:val="24"/>
          <w:szCs w:val="24"/>
        </w:rPr>
        <w:t xml:space="preserve"> </w:t>
      </w:r>
    </w:p>
    <w:p w:rsidR="00F04C73" w:rsidRPr="00143684" w:rsidRDefault="00F04C73" w:rsidP="00F04C73">
      <w:pPr>
        <w:jc w:val="both"/>
        <w:rPr>
          <w:rFonts w:ascii="Times New Roman" w:hAnsi="Times New Roman"/>
          <w:sz w:val="24"/>
          <w:szCs w:val="24"/>
          <w:lang w:val="en-CA"/>
        </w:rPr>
      </w:pPr>
      <w:r w:rsidRPr="00143684">
        <w:rPr>
          <w:rFonts w:ascii="Times New Roman" w:hAnsi="Times New Roman"/>
          <w:b/>
          <w:sz w:val="24"/>
          <w:szCs w:val="24"/>
        </w:rPr>
        <w:t>A1.</w:t>
      </w:r>
      <w:r w:rsidRPr="00143684">
        <w:rPr>
          <w:rFonts w:ascii="Times New Roman" w:hAnsi="Times New Roman"/>
          <w:b/>
          <w:sz w:val="24"/>
          <w:szCs w:val="24"/>
        </w:rPr>
        <w:tab/>
      </w:r>
      <w:r w:rsidRPr="00893652">
        <w:rPr>
          <w:rFonts w:ascii="Times New Roman" w:hAnsi="Times New Roman"/>
          <w:b/>
          <w:i/>
          <w:sz w:val="24"/>
          <w:szCs w:val="24"/>
        </w:rPr>
        <w:t>Circumstances Making the Collection of Information Necessary</w:t>
      </w:r>
    </w:p>
    <w:p w:rsidR="00276842" w:rsidRDefault="00A40A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4C73">
        <w:rPr>
          <w:rFonts w:ascii="Times New Roman" w:hAnsi="Times New Roman" w:cs="Times New Roman"/>
          <w:sz w:val="24"/>
          <w:szCs w:val="24"/>
        </w:rPr>
        <w:t xml:space="preserve">The Substance Abuse and Mental Health Services Administration (SAMHSA), Center for Mental Health Services (CMHS), is requesting approval from the Office of Management and Budget </w:t>
      </w:r>
      <w:r w:rsidR="00FD7757">
        <w:rPr>
          <w:rFonts w:ascii="Times New Roman" w:hAnsi="Times New Roman" w:cs="Times New Roman"/>
          <w:sz w:val="24"/>
          <w:szCs w:val="24"/>
        </w:rPr>
        <w:t>(OMB) to conduct a pilot study t</w:t>
      </w:r>
      <w:r w:rsidR="00F04C73">
        <w:rPr>
          <w:rFonts w:ascii="Times New Roman" w:hAnsi="Times New Roman" w:cs="Times New Roman"/>
          <w:sz w:val="24"/>
          <w:szCs w:val="24"/>
        </w:rPr>
        <w:t xml:space="preserve">o </w:t>
      </w:r>
      <w:r w:rsidR="00C00FEC">
        <w:rPr>
          <w:rFonts w:ascii="Times New Roman" w:hAnsi="Times New Roman" w:cs="Times New Roman"/>
          <w:sz w:val="24"/>
          <w:szCs w:val="24"/>
        </w:rPr>
        <w:t>obtain a</w:t>
      </w:r>
      <w:r w:rsidR="008E0BAF">
        <w:rPr>
          <w:rFonts w:ascii="Times New Roman" w:hAnsi="Times New Roman" w:cs="Times New Roman"/>
          <w:sz w:val="24"/>
          <w:szCs w:val="24"/>
        </w:rPr>
        <w:t>n</w:t>
      </w:r>
      <w:r w:rsidR="00C00FEC">
        <w:rPr>
          <w:rFonts w:ascii="Times New Roman" w:hAnsi="Times New Roman" w:cs="Times New Roman"/>
          <w:sz w:val="24"/>
          <w:szCs w:val="24"/>
        </w:rPr>
        <w:t xml:space="preserve"> overview</w:t>
      </w:r>
      <w:r w:rsidR="00C0443B">
        <w:rPr>
          <w:rFonts w:ascii="Times New Roman" w:hAnsi="Times New Roman" w:cs="Times New Roman"/>
          <w:sz w:val="24"/>
          <w:szCs w:val="24"/>
        </w:rPr>
        <w:t xml:space="preserve"> of peer recovery services across </w:t>
      </w:r>
      <w:r w:rsidR="00F04C73">
        <w:rPr>
          <w:rFonts w:ascii="Times New Roman" w:hAnsi="Times New Roman" w:cs="Times New Roman"/>
          <w:sz w:val="24"/>
          <w:szCs w:val="24"/>
        </w:rPr>
        <w:t xml:space="preserve">state behavioral health systems.  This data collection includes </w:t>
      </w:r>
      <w:r w:rsidR="00C43C87">
        <w:rPr>
          <w:rFonts w:ascii="Times New Roman" w:hAnsi="Times New Roman" w:cs="Times New Roman"/>
          <w:sz w:val="24"/>
          <w:szCs w:val="24"/>
        </w:rPr>
        <w:t>one data collection instrume</w:t>
      </w:r>
      <w:r w:rsidR="00FD7757">
        <w:rPr>
          <w:rFonts w:ascii="Times New Roman" w:hAnsi="Times New Roman" w:cs="Times New Roman"/>
          <w:sz w:val="24"/>
          <w:szCs w:val="24"/>
        </w:rPr>
        <w:t xml:space="preserve">nt – a </w:t>
      </w:r>
      <w:r w:rsidR="00A421CF">
        <w:rPr>
          <w:rFonts w:ascii="Times New Roman" w:hAnsi="Times New Roman" w:cs="Times New Roman"/>
          <w:sz w:val="24"/>
          <w:szCs w:val="24"/>
        </w:rPr>
        <w:t>semi</w:t>
      </w:r>
      <w:r w:rsidR="00360C2D">
        <w:rPr>
          <w:rFonts w:ascii="Times New Roman" w:hAnsi="Times New Roman" w:cs="Times New Roman"/>
          <w:sz w:val="24"/>
          <w:szCs w:val="24"/>
        </w:rPr>
        <w:t>-</w:t>
      </w:r>
      <w:r w:rsidR="00FD7757">
        <w:rPr>
          <w:rFonts w:ascii="Times New Roman" w:hAnsi="Times New Roman" w:cs="Times New Roman"/>
          <w:sz w:val="24"/>
          <w:szCs w:val="24"/>
        </w:rPr>
        <w:t>structured interview questionnaire</w:t>
      </w:r>
      <w:r w:rsidR="008D1CFB">
        <w:rPr>
          <w:rFonts w:ascii="Times New Roman" w:hAnsi="Times New Roman" w:cs="Times New Roman"/>
          <w:sz w:val="24"/>
          <w:szCs w:val="24"/>
        </w:rPr>
        <w:t xml:space="preserve"> </w:t>
      </w:r>
      <w:r w:rsidR="008D1CFB" w:rsidRPr="008D1CFB">
        <w:rPr>
          <w:rFonts w:ascii="Times New Roman" w:hAnsi="Times New Roman" w:cs="Times New Roman"/>
          <w:b/>
          <w:sz w:val="24"/>
          <w:szCs w:val="24"/>
        </w:rPr>
        <w:t xml:space="preserve">(Attachment </w:t>
      </w:r>
      <w:r w:rsidR="00AF7951">
        <w:rPr>
          <w:rFonts w:ascii="Times New Roman" w:hAnsi="Times New Roman" w:cs="Times New Roman"/>
          <w:b/>
          <w:sz w:val="24"/>
          <w:szCs w:val="24"/>
        </w:rPr>
        <w:t>A</w:t>
      </w:r>
      <w:r w:rsidR="008D1CFB" w:rsidRPr="008D1CFB">
        <w:rPr>
          <w:rFonts w:ascii="Times New Roman" w:hAnsi="Times New Roman" w:cs="Times New Roman"/>
          <w:b/>
          <w:sz w:val="24"/>
          <w:szCs w:val="24"/>
        </w:rPr>
        <w:t>)</w:t>
      </w:r>
      <w:r w:rsidR="008D1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757" w:rsidRPr="008D1CFB">
        <w:rPr>
          <w:rFonts w:ascii="Times New Roman" w:hAnsi="Times New Roman" w:cs="Times New Roman"/>
          <w:b/>
          <w:sz w:val="24"/>
          <w:szCs w:val="24"/>
        </w:rPr>
        <w:t>-</w:t>
      </w:r>
      <w:r w:rsidR="00FD7757">
        <w:rPr>
          <w:rFonts w:ascii="Times New Roman" w:hAnsi="Times New Roman" w:cs="Times New Roman"/>
          <w:sz w:val="24"/>
          <w:szCs w:val="24"/>
        </w:rPr>
        <w:t xml:space="preserve"> that will be utilized with </w:t>
      </w:r>
      <w:r w:rsidR="006245DE">
        <w:rPr>
          <w:rFonts w:ascii="Times New Roman" w:hAnsi="Times New Roman" w:cs="Times New Roman"/>
          <w:sz w:val="24"/>
          <w:szCs w:val="24"/>
        </w:rPr>
        <w:t xml:space="preserve">state and organizational </w:t>
      </w:r>
      <w:r w:rsidR="00FD7757">
        <w:rPr>
          <w:rFonts w:ascii="Times New Roman" w:hAnsi="Times New Roman" w:cs="Times New Roman"/>
          <w:sz w:val="24"/>
          <w:szCs w:val="24"/>
        </w:rPr>
        <w:t>representatives</w:t>
      </w:r>
      <w:r w:rsidR="00EB5CAF">
        <w:rPr>
          <w:rFonts w:ascii="Times New Roman" w:hAnsi="Times New Roman" w:cs="Times New Roman"/>
          <w:sz w:val="24"/>
          <w:szCs w:val="24"/>
        </w:rPr>
        <w:t xml:space="preserve"> from </w:t>
      </w:r>
      <w:r w:rsidR="006245DE">
        <w:rPr>
          <w:rFonts w:ascii="Times New Roman" w:hAnsi="Times New Roman" w:cs="Times New Roman"/>
          <w:sz w:val="24"/>
          <w:szCs w:val="24"/>
        </w:rPr>
        <w:t>mental health and substance abuse</w:t>
      </w:r>
      <w:r w:rsidR="0033013F">
        <w:rPr>
          <w:rFonts w:ascii="Times New Roman" w:hAnsi="Times New Roman" w:cs="Times New Roman"/>
          <w:sz w:val="24"/>
          <w:szCs w:val="24"/>
        </w:rPr>
        <w:t xml:space="preserve"> agencies</w:t>
      </w:r>
      <w:r w:rsidR="00D854EA">
        <w:rPr>
          <w:rFonts w:ascii="Times New Roman" w:hAnsi="Times New Roman" w:cs="Times New Roman"/>
          <w:sz w:val="24"/>
          <w:szCs w:val="24"/>
        </w:rPr>
        <w:t>.</w:t>
      </w:r>
    </w:p>
    <w:p w:rsidR="00A40AC9" w:rsidRPr="00A40AC9" w:rsidRDefault="00A40AC9" w:rsidP="00A40AC9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40AC9">
        <w:rPr>
          <w:rFonts w:ascii="Times New Roman" w:hAnsi="Times New Roman" w:cs="Times New Roman"/>
          <w:b/>
          <w:sz w:val="24"/>
          <w:szCs w:val="24"/>
        </w:rPr>
        <w:t>Authorizing Legislation</w:t>
      </w:r>
    </w:p>
    <w:p w:rsidR="00A40AC9" w:rsidRPr="00A40AC9" w:rsidRDefault="00A40AC9" w:rsidP="00A40AC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40AC9">
        <w:rPr>
          <w:rFonts w:ascii="Times New Roman" w:hAnsi="Times New Roman" w:cs="Times New Roman"/>
          <w:sz w:val="24"/>
          <w:szCs w:val="24"/>
        </w:rPr>
        <w:t>This data collection is authorized by Section 505 of the Public Health Service Act (42 USC 290aa4 – Data Collection).</w:t>
      </w:r>
    </w:p>
    <w:p w:rsidR="00EB5CAF" w:rsidRPr="006633B8" w:rsidRDefault="0010381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633B8">
        <w:rPr>
          <w:rFonts w:ascii="Times New Roman" w:hAnsi="Times New Roman" w:cs="Times New Roman"/>
          <w:b/>
          <w:i/>
          <w:sz w:val="24"/>
          <w:szCs w:val="24"/>
        </w:rPr>
        <w:t>Background</w:t>
      </w:r>
      <w:r w:rsidR="00A40AC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2072A" w:rsidRPr="006633B8">
        <w:rPr>
          <w:rFonts w:ascii="Times New Roman" w:hAnsi="Times New Roman" w:cs="Times New Roman"/>
          <w:b/>
          <w:i/>
          <w:sz w:val="24"/>
          <w:szCs w:val="24"/>
        </w:rPr>
        <w:t>Need, and Legal Basis</w:t>
      </w:r>
    </w:p>
    <w:p w:rsidR="001204E9" w:rsidRDefault="00624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1204E9">
        <w:rPr>
          <w:rFonts w:ascii="Times New Roman" w:hAnsi="Times New Roman" w:cs="Times New Roman"/>
          <w:sz w:val="24"/>
          <w:szCs w:val="24"/>
        </w:rPr>
        <w:t>Peer r</w:t>
      </w:r>
      <w:r w:rsidR="0018606A">
        <w:rPr>
          <w:rFonts w:ascii="Times New Roman" w:hAnsi="Times New Roman" w:cs="Times New Roman"/>
          <w:sz w:val="24"/>
          <w:szCs w:val="24"/>
        </w:rPr>
        <w:t xml:space="preserve">ecovery support services </w:t>
      </w:r>
      <w:r w:rsidR="00F761BC">
        <w:rPr>
          <w:rFonts w:ascii="Times New Roman" w:hAnsi="Times New Roman" w:cs="Times New Roman"/>
          <w:sz w:val="24"/>
          <w:szCs w:val="24"/>
        </w:rPr>
        <w:t>ha</w:t>
      </w:r>
      <w:r w:rsidR="00360C2D">
        <w:rPr>
          <w:rFonts w:ascii="Times New Roman" w:hAnsi="Times New Roman" w:cs="Times New Roman"/>
          <w:sz w:val="24"/>
          <w:szCs w:val="24"/>
        </w:rPr>
        <w:t>ve</w:t>
      </w:r>
      <w:r w:rsidR="00F761BC">
        <w:rPr>
          <w:rFonts w:ascii="Times New Roman" w:hAnsi="Times New Roman" w:cs="Times New Roman"/>
          <w:sz w:val="24"/>
          <w:szCs w:val="24"/>
        </w:rPr>
        <w:t xml:space="preserve"> emer</w:t>
      </w:r>
      <w:r w:rsidR="00A2072A">
        <w:rPr>
          <w:rFonts w:ascii="Times New Roman" w:hAnsi="Times New Roman" w:cs="Times New Roman"/>
          <w:sz w:val="24"/>
          <w:szCs w:val="24"/>
        </w:rPr>
        <w:t>ged as a key method to assist</w:t>
      </w:r>
      <w:r w:rsidR="00F761BC">
        <w:rPr>
          <w:rFonts w:ascii="Times New Roman" w:hAnsi="Times New Roman" w:cs="Times New Roman"/>
          <w:sz w:val="24"/>
          <w:szCs w:val="24"/>
        </w:rPr>
        <w:t xml:space="preserve"> individuals with mental health and/or substance abuse </w:t>
      </w:r>
      <w:r w:rsidR="00360C2D">
        <w:rPr>
          <w:rFonts w:ascii="Times New Roman" w:hAnsi="Times New Roman" w:cs="Times New Roman"/>
          <w:sz w:val="24"/>
          <w:szCs w:val="24"/>
        </w:rPr>
        <w:t xml:space="preserve">disorders to </w:t>
      </w:r>
      <w:r w:rsidR="00F761BC">
        <w:rPr>
          <w:rFonts w:ascii="Times New Roman" w:hAnsi="Times New Roman" w:cs="Times New Roman"/>
          <w:sz w:val="24"/>
          <w:szCs w:val="24"/>
        </w:rPr>
        <w:t>achieve and</w:t>
      </w:r>
      <w:r w:rsidR="00A2072A">
        <w:rPr>
          <w:rFonts w:ascii="Times New Roman" w:hAnsi="Times New Roman" w:cs="Times New Roman"/>
          <w:sz w:val="24"/>
          <w:szCs w:val="24"/>
        </w:rPr>
        <w:t xml:space="preserve"> maintain recovery.  </w:t>
      </w:r>
      <w:r w:rsidR="00C07FD3">
        <w:rPr>
          <w:rFonts w:ascii="Times New Roman" w:hAnsi="Times New Roman" w:cs="Times New Roman"/>
          <w:sz w:val="24"/>
          <w:szCs w:val="24"/>
        </w:rPr>
        <w:t>Given that a key provision of the</w:t>
      </w:r>
      <w:r w:rsidR="00E35289">
        <w:rPr>
          <w:rFonts w:ascii="Times New Roman" w:hAnsi="Times New Roman" w:cs="Times New Roman"/>
          <w:sz w:val="24"/>
          <w:szCs w:val="24"/>
        </w:rPr>
        <w:t xml:space="preserve"> Affordable Care Act </w:t>
      </w:r>
      <w:r w:rsidR="00C07FD3">
        <w:rPr>
          <w:rFonts w:ascii="Times New Roman" w:hAnsi="Times New Roman" w:cs="Times New Roman"/>
          <w:sz w:val="24"/>
          <w:szCs w:val="24"/>
        </w:rPr>
        <w:t>is integration of primary and behavioral healthcare,</w:t>
      </w:r>
      <w:r w:rsidR="00F375F0">
        <w:rPr>
          <w:rFonts w:ascii="Times New Roman" w:hAnsi="Times New Roman" w:cs="Times New Roman"/>
          <w:sz w:val="24"/>
          <w:szCs w:val="24"/>
        </w:rPr>
        <w:t xml:space="preserve"> </w:t>
      </w:r>
      <w:r w:rsidR="001204E9">
        <w:rPr>
          <w:rFonts w:ascii="Times New Roman" w:hAnsi="Times New Roman" w:cs="Times New Roman"/>
          <w:sz w:val="24"/>
          <w:szCs w:val="24"/>
        </w:rPr>
        <w:t xml:space="preserve">peer </w:t>
      </w:r>
      <w:r w:rsidR="00F375F0">
        <w:rPr>
          <w:rFonts w:ascii="Times New Roman" w:hAnsi="Times New Roman" w:cs="Times New Roman"/>
          <w:sz w:val="24"/>
          <w:szCs w:val="24"/>
        </w:rPr>
        <w:t xml:space="preserve">recovery services will </w:t>
      </w:r>
      <w:r w:rsidR="00344770">
        <w:rPr>
          <w:rFonts w:ascii="Times New Roman" w:hAnsi="Times New Roman" w:cs="Times New Roman"/>
          <w:sz w:val="24"/>
          <w:szCs w:val="24"/>
        </w:rPr>
        <w:t xml:space="preserve">continue to expand </w:t>
      </w:r>
      <w:r w:rsidR="00F375F0">
        <w:rPr>
          <w:rFonts w:ascii="Times New Roman" w:hAnsi="Times New Roman" w:cs="Times New Roman"/>
          <w:sz w:val="24"/>
          <w:szCs w:val="24"/>
        </w:rPr>
        <w:t>to</w:t>
      </w:r>
      <w:r w:rsidR="00E35289">
        <w:rPr>
          <w:rFonts w:ascii="Times New Roman" w:hAnsi="Times New Roman" w:cs="Times New Roman"/>
          <w:sz w:val="24"/>
          <w:szCs w:val="24"/>
        </w:rPr>
        <w:t xml:space="preserve"> meet the needs of individuals with chroni</w:t>
      </w:r>
      <w:r w:rsidR="00B1488C">
        <w:rPr>
          <w:rFonts w:ascii="Times New Roman" w:hAnsi="Times New Roman" w:cs="Times New Roman"/>
          <w:sz w:val="24"/>
          <w:szCs w:val="24"/>
        </w:rPr>
        <w:t xml:space="preserve">c behavioral health conditions (Laudet &amp; Humphrey, 2013). </w:t>
      </w:r>
      <w:r w:rsidR="0004222A">
        <w:rPr>
          <w:rFonts w:ascii="Times New Roman" w:hAnsi="Times New Roman" w:cs="Times New Roman"/>
          <w:sz w:val="24"/>
          <w:szCs w:val="24"/>
        </w:rPr>
        <w:t>SAMHSA</w:t>
      </w:r>
      <w:r w:rsidR="00AE2FD0">
        <w:rPr>
          <w:rFonts w:ascii="Times New Roman" w:hAnsi="Times New Roman" w:cs="Times New Roman"/>
          <w:sz w:val="24"/>
          <w:szCs w:val="24"/>
        </w:rPr>
        <w:t xml:space="preserve"> </w:t>
      </w:r>
      <w:r w:rsidR="00A9189A">
        <w:rPr>
          <w:rFonts w:ascii="Times New Roman" w:hAnsi="Times New Roman" w:cs="Times New Roman"/>
          <w:sz w:val="24"/>
          <w:szCs w:val="24"/>
        </w:rPr>
        <w:t>is a leading</w:t>
      </w:r>
      <w:r w:rsidR="00AE2FD0">
        <w:rPr>
          <w:rFonts w:ascii="Times New Roman" w:hAnsi="Times New Roman" w:cs="Times New Roman"/>
          <w:sz w:val="24"/>
          <w:szCs w:val="24"/>
        </w:rPr>
        <w:t xml:space="preserve"> voice in the promotion of </w:t>
      </w:r>
      <w:r w:rsidR="00360C2D">
        <w:rPr>
          <w:rFonts w:ascii="Times New Roman" w:hAnsi="Times New Roman" w:cs="Times New Roman"/>
          <w:sz w:val="24"/>
          <w:szCs w:val="24"/>
        </w:rPr>
        <w:t xml:space="preserve">the </w:t>
      </w:r>
      <w:r w:rsidR="00AE2FD0">
        <w:rPr>
          <w:rFonts w:ascii="Times New Roman" w:hAnsi="Times New Roman" w:cs="Times New Roman"/>
          <w:sz w:val="24"/>
          <w:szCs w:val="24"/>
        </w:rPr>
        <w:t>Recovery Oriented Systems of Care (ROSC) model for recovery support services.</w:t>
      </w:r>
      <w:r w:rsidR="00C87A89">
        <w:rPr>
          <w:rFonts w:ascii="Times New Roman" w:hAnsi="Times New Roman" w:cs="Times New Roman"/>
          <w:sz w:val="24"/>
          <w:szCs w:val="24"/>
        </w:rPr>
        <w:t xml:space="preserve">  The ROSC model emphasizes a multi system approach </w:t>
      </w:r>
      <w:r w:rsidR="00804EDF">
        <w:rPr>
          <w:rFonts w:ascii="Times New Roman" w:hAnsi="Times New Roman" w:cs="Times New Roman"/>
          <w:sz w:val="24"/>
          <w:szCs w:val="24"/>
        </w:rPr>
        <w:t>to address</w:t>
      </w:r>
      <w:r w:rsidR="00C87A89">
        <w:rPr>
          <w:rFonts w:ascii="Times New Roman" w:hAnsi="Times New Roman" w:cs="Times New Roman"/>
          <w:sz w:val="24"/>
          <w:szCs w:val="24"/>
        </w:rPr>
        <w:t xml:space="preserve"> the chronic behavioral health needs of individuals along </w:t>
      </w:r>
      <w:r w:rsidR="00C87A89" w:rsidRPr="00742563">
        <w:rPr>
          <w:rFonts w:ascii="Times New Roman" w:hAnsi="Times New Roman" w:cs="Times New Roman"/>
          <w:sz w:val="24"/>
          <w:szCs w:val="24"/>
        </w:rPr>
        <w:t xml:space="preserve">the continuum of care of prevention, treatment, and </w:t>
      </w:r>
      <w:r w:rsidR="00742563">
        <w:rPr>
          <w:rFonts w:ascii="Times New Roman" w:hAnsi="Times New Roman" w:cs="Times New Roman"/>
          <w:sz w:val="24"/>
          <w:szCs w:val="24"/>
        </w:rPr>
        <w:t>recovery.</w:t>
      </w:r>
      <w:r w:rsidR="00BB2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94A" w:rsidRDefault="00344770" w:rsidP="001204E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an effort to support </w:t>
      </w:r>
      <w:r w:rsidR="00CA1A1E">
        <w:rPr>
          <w:rFonts w:ascii="Times New Roman" w:hAnsi="Times New Roman" w:cs="Times New Roman"/>
          <w:sz w:val="24"/>
          <w:szCs w:val="24"/>
        </w:rPr>
        <w:t>behavioral health systems</w:t>
      </w:r>
      <w:r w:rsidR="00360C2D">
        <w:rPr>
          <w:rFonts w:ascii="Times New Roman" w:hAnsi="Times New Roman" w:cs="Times New Roman"/>
          <w:sz w:val="24"/>
          <w:szCs w:val="24"/>
        </w:rPr>
        <w:t>’</w:t>
      </w:r>
      <w:r w:rsidR="00CA1A1E">
        <w:rPr>
          <w:rFonts w:ascii="Times New Roman" w:hAnsi="Times New Roman" w:cs="Times New Roman"/>
          <w:sz w:val="24"/>
          <w:szCs w:val="24"/>
        </w:rPr>
        <w:t xml:space="preserve"> adoption </w:t>
      </w:r>
      <w:r w:rsidR="00457F6C">
        <w:rPr>
          <w:rFonts w:ascii="Times New Roman" w:hAnsi="Times New Roman" w:cs="Times New Roman"/>
          <w:sz w:val="24"/>
          <w:szCs w:val="24"/>
        </w:rPr>
        <w:t xml:space="preserve">and management </w:t>
      </w:r>
      <w:r w:rsidR="00CA1A1E">
        <w:rPr>
          <w:rFonts w:ascii="Times New Roman" w:hAnsi="Times New Roman" w:cs="Times New Roman"/>
          <w:sz w:val="24"/>
          <w:szCs w:val="24"/>
        </w:rPr>
        <w:t>of recovery oriented services, SAMHSA created the Bringing Recovery Supports to Scale Technic</w:t>
      </w:r>
      <w:r w:rsidR="001204E9">
        <w:rPr>
          <w:rFonts w:ascii="Times New Roman" w:hAnsi="Times New Roman" w:cs="Times New Roman"/>
          <w:sz w:val="24"/>
          <w:szCs w:val="24"/>
        </w:rPr>
        <w:t>al Assistance C</w:t>
      </w:r>
      <w:r w:rsidR="00864F33">
        <w:rPr>
          <w:rFonts w:ascii="Times New Roman" w:hAnsi="Times New Roman" w:cs="Times New Roman"/>
          <w:sz w:val="24"/>
          <w:szCs w:val="24"/>
        </w:rPr>
        <w:t xml:space="preserve">enter Strategy (BRSS TACS). BRSS TACS is a mechanism </w:t>
      </w:r>
      <w:r w:rsidR="00984B9E">
        <w:rPr>
          <w:rFonts w:ascii="Times New Roman" w:hAnsi="Times New Roman" w:cs="Times New Roman"/>
          <w:sz w:val="24"/>
          <w:szCs w:val="24"/>
        </w:rPr>
        <w:t>for implementing</w:t>
      </w:r>
      <w:r w:rsidR="00864F33">
        <w:rPr>
          <w:rFonts w:ascii="Times New Roman" w:hAnsi="Times New Roman" w:cs="Times New Roman"/>
          <w:sz w:val="24"/>
          <w:szCs w:val="24"/>
        </w:rPr>
        <w:t xml:space="preserve"> SAMHSA’s Recovery Support Strategic Initiative.</w:t>
      </w:r>
      <w:r w:rsidR="00984B9E">
        <w:rPr>
          <w:rFonts w:ascii="Times New Roman" w:hAnsi="Times New Roman" w:cs="Times New Roman"/>
          <w:sz w:val="24"/>
          <w:szCs w:val="24"/>
        </w:rPr>
        <w:t xml:space="preserve">  </w:t>
      </w:r>
      <w:r w:rsidR="00A2194A">
        <w:rPr>
          <w:rFonts w:ascii="Times New Roman" w:hAnsi="Times New Roman" w:cs="Times New Roman"/>
          <w:sz w:val="24"/>
          <w:szCs w:val="24"/>
        </w:rPr>
        <w:t xml:space="preserve">A goal of this initiative is to understand </w:t>
      </w:r>
      <w:r w:rsidR="00DB08B2">
        <w:rPr>
          <w:rFonts w:ascii="Times New Roman" w:hAnsi="Times New Roman" w:cs="Times New Roman"/>
          <w:sz w:val="24"/>
          <w:szCs w:val="24"/>
        </w:rPr>
        <w:t xml:space="preserve">the finance and quality assurance issues that impact peer </w:t>
      </w:r>
      <w:r w:rsidR="00A2194A">
        <w:rPr>
          <w:rFonts w:ascii="Times New Roman" w:hAnsi="Times New Roman" w:cs="Times New Roman"/>
          <w:sz w:val="24"/>
          <w:szCs w:val="24"/>
        </w:rPr>
        <w:t>recovery</w:t>
      </w:r>
      <w:r w:rsidR="00DB08B2">
        <w:rPr>
          <w:rFonts w:ascii="Times New Roman" w:hAnsi="Times New Roman" w:cs="Times New Roman"/>
          <w:sz w:val="24"/>
          <w:szCs w:val="24"/>
        </w:rPr>
        <w:t xml:space="preserve"> personnel </w:t>
      </w:r>
      <w:r w:rsidR="00A2194A">
        <w:rPr>
          <w:rFonts w:ascii="Times New Roman" w:hAnsi="Times New Roman" w:cs="Times New Roman"/>
          <w:sz w:val="24"/>
          <w:szCs w:val="24"/>
        </w:rPr>
        <w:t xml:space="preserve">in the workforce and the services they deliver. A grasp of these complex issues </w:t>
      </w:r>
      <w:r w:rsidR="00B161E0">
        <w:rPr>
          <w:rFonts w:ascii="Times New Roman" w:hAnsi="Times New Roman" w:cs="Times New Roman"/>
          <w:sz w:val="24"/>
          <w:szCs w:val="24"/>
        </w:rPr>
        <w:t>can</w:t>
      </w:r>
      <w:r w:rsidR="00A2194A">
        <w:rPr>
          <w:rFonts w:ascii="Times New Roman" w:hAnsi="Times New Roman" w:cs="Times New Roman"/>
          <w:sz w:val="24"/>
          <w:szCs w:val="24"/>
        </w:rPr>
        <w:t xml:space="preserve"> en</w:t>
      </w:r>
      <w:r w:rsidR="00B161E0">
        <w:rPr>
          <w:rFonts w:ascii="Times New Roman" w:hAnsi="Times New Roman" w:cs="Times New Roman"/>
          <w:sz w:val="24"/>
          <w:szCs w:val="24"/>
        </w:rPr>
        <w:t xml:space="preserve">able BRSS TACS to advance its work </w:t>
      </w:r>
      <w:r w:rsidR="0005617B">
        <w:rPr>
          <w:rFonts w:ascii="Times New Roman" w:hAnsi="Times New Roman" w:cs="Times New Roman"/>
          <w:sz w:val="24"/>
          <w:szCs w:val="24"/>
        </w:rPr>
        <w:t>of</w:t>
      </w:r>
      <w:r w:rsidR="00B161E0">
        <w:rPr>
          <w:rFonts w:ascii="Times New Roman" w:hAnsi="Times New Roman" w:cs="Times New Roman"/>
          <w:sz w:val="24"/>
          <w:szCs w:val="24"/>
        </w:rPr>
        <w:t xml:space="preserve"> supporting states by </w:t>
      </w:r>
      <w:r w:rsidR="007C4A85">
        <w:rPr>
          <w:rFonts w:ascii="Times New Roman" w:hAnsi="Times New Roman" w:cs="Times New Roman"/>
          <w:sz w:val="24"/>
          <w:szCs w:val="24"/>
        </w:rPr>
        <w:t xml:space="preserve">creating </w:t>
      </w:r>
      <w:r w:rsidR="009C7D14">
        <w:rPr>
          <w:rFonts w:ascii="Times New Roman" w:hAnsi="Times New Roman" w:cs="Times New Roman"/>
          <w:sz w:val="24"/>
          <w:szCs w:val="24"/>
        </w:rPr>
        <w:t>policy</w:t>
      </w:r>
      <w:r w:rsidR="007C4A85">
        <w:rPr>
          <w:rFonts w:ascii="Times New Roman" w:hAnsi="Times New Roman" w:cs="Times New Roman"/>
          <w:sz w:val="24"/>
          <w:szCs w:val="24"/>
        </w:rPr>
        <w:t xml:space="preserve"> guidance on best practices for peer recovery support services </w:t>
      </w:r>
      <w:r w:rsidR="009C7D14">
        <w:rPr>
          <w:rFonts w:ascii="Times New Roman" w:hAnsi="Times New Roman" w:cs="Times New Roman"/>
          <w:sz w:val="24"/>
          <w:szCs w:val="24"/>
        </w:rPr>
        <w:t>and/or</w:t>
      </w:r>
      <w:r w:rsidR="0005617B">
        <w:rPr>
          <w:rFonts w:ascii="Times New Roman" w:hAnsi="Times New Roman" w:cs="Times New Roman"/>
          <w:sz w:val="24"/>
          <w:szCs w:val="24"/>
        </w:rPr>
        <w:t xml:space="preserve"> </w:t>
      </w:r>
      <w:r w:rsidR="007C4A85">
        <w:rPr>
          <w:rFonts w:ascii="Times New Roman" w:hAnsi="Times New Roman" w:cs="Times New Roman"/>
          <w:sz w:val="24"/>
          <w:szCs w:val="24"/>
        </w:rPr>
        <w:t xml:space="preserve">resources </w:t>
      </w:r>
      <w:r w:rsidR="0005617B">
        <w:rPr>
          <w:rFonts w:ascii="Times New Roman" w:hAnsi="Times New Roman" w:cs="Times New Roman"/>
          <w:sz w:val="24"/>
          <w:szCs w:val="24"/>
        </w:rPr>
        <w:t xml:space="preserve">about </w:t>
      </w:r>
      <w:r w:rsidR="009C7D14">
        <w:rPr>
          <w:rFonts w:ascii="Times New Roman" w:hAnsi="Times New Roman" w:cs="Times New Roman"/>
          <w:sz w:val="24"/>
          <w:szCs w:val="24"/>
        </w:rPr>
        <w:t>mechanisms of funding</w:t>
      </w:r>
      <w:r w:rsidR="0005617B">
        <w:rPr>
          <w:rFonts w:ascii="Times New Roman" w:hAnsi="Times New Roman" w:cs="Times New Roman"/>
          <w:sz w:val="24"/>
          <w:szCs w:val="24"/>
        </w:rPr>
        <w:t>, monitoring, evaluat</w:t>
      </w:r>
      <w:r w:rsidR="009C7D14">
        <w:rPr>
          <w:rFonts w:ascii="Times New Roman" w:hAnsi="Times New Roman" w:cs="Times New Roman"/>
          <w:sz w:val="24"/>
          <w:szCs w:val="24"/>
        </w:rPr>
        <w:t>i</w:t>
      </w:r>
      <w:r w:rsidR="00586E1B">
        <w:rPr>
          <w:rFonts w:ascii="Times New Roman" w:hAnsi="Times New Roman" w:cs="Times New Roman"/>
          <w:sz w:val="24"/>
          <w:szCs w:val="24"/>
        </w:rPr>
        <w:t>on</w:t>
      </w:r>
      <w:r w:rsidR="0005617B">
        <w:rPr>
          <w:rFonts w:ascii="Times New Roman" w:hAnsi="Times New Roman" w:cs="Times New Roman"/>
          <w:sz w:val="24"/>
          <w:szCs w:val="24"/>
        </w:rPr>
        <w:t>, and sustain</w:t>
      </w:r>
      <w:r w:rsidR="009C7D14">
        <w:rPr>
          <w:rFonts w:ascii="Times New Roman" w:hAnsi="Times New Roman" w:cs="Times New Roman"/>
          <w:sz w:val="24"/>
          <w:szCs w:val="24"/>
        </w:rPr>
        <w:t>ment</w:t>
      </w:r>
      <w:r w:rsidR="0005617B">
        <w:rPr>
          <w:rFonts w:ascii="Times New Roman" w:hAnsi="Times New Roman" w:cs="Times New Roman"/>
          <w:sz w:val="24"/>
          <w:szCs w:val="24"/>
        </w:rPr>
        <w:t xml:space="preserve"> </w:t>
      </w:r>
      <w:r w:rsidR="009C7D14">
        <w:rPr>
          <w:rFonts w:ascii="Times New Roman" w:hAnsi="Times New Roman" w:cs="Times New Roman"/>
          <w:sz w:val="24"/>
          <w:szCs w:val="24"/>
        </w:rPr>
        <w:t xml:space="preserve">of </w:t>
      </w:r>
      <w:r w:rsidR="0005617B">
        <w:rPr>
          <w:rFonts w:ascii="Times New Roman" w:hAnsi="Times New Roman" w:cs="Times New Roman"/>
          <w:sz w:val="24"/>
          <w:szCs w:val="24"/>
        </w:rPr>
        <w:t>peer recovery services.</w:t>
      </w:r>
    </w:p>
    <w:p w:rsidR="00586E1B" w:rsidRDefault="00586E1B" w:rsidP="00586E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The propose</w:t>
      </w:r>
      <w:r w:rsidR="009B1AC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pilot study can inform the work of</w:t>
      </w:r>
      <w:r w:rsidR="00300DC6">
        <w:rPr>
          <w:rFonts w:ascii="Times New Roman" w:hAnsi="Times New Roman" w:cs="Times New Roman"/>
          <w:sz w:val="24"/>
          <w:szCs w:val="24"/>
        </w:rPr>
        <w:t xml:space="preserve"> BRSS TACS.</w:t>
      </w:r>
      <w:r>
        <w:rPr>
          <w:rFonts w:ascii="Times New Roman" w:hAnsi="Times New Roman" w:cs="Times New Roman"/>
          <w:sz w:val="24"/>
          <w:szCs w:val="24"/>
        </w:rPr>
        <w:t xml:space="preserve"> The questions of interest </w:t>
      </w:r>
      <w:r w:rsidR="008A2274">
        <w:rPr>
          <w:rFonts w:ascii="Times New Roman" w:hAnsi="Times New Roman" w:cs="Times New Roman"/>
          <w:sz w:val="24"/>
          <w:szCs w:val="24"/>
        </w:rPr>
        <w:t>include:</w:t>
      </w:r>
    </w:p>
    <w:p w:rsidR="008A2274" w:rsidRDefault="008A2274" w:rsidP="00586E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00DC6" w:rsidRDefault="00F01381" w:rsidP="00300DC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</w:t>
      </w:r>
      <w:r w:rsidR="000B5445">
        <w:rPr>
          <w:rFonts w:ascii="Times New Roman" w:hAnsi="Times New Roman" w:cs="Times New Roman"/>
          <w:sz w:val="24"/>
          <w:szCs w:val="24"/>
        </w:rPr>
        <w:t xml:space="preserve"> reim</w:t>
      </w:r>
      <w:r w:rsidR="008A2274">
        <w:rPr>
          <w:rFonts w:ascii="Times New Roman" w:hAnsi="Times New Roman" w:cs="Times New Roman"/>
          <w:sz w:val="24"/>
          <w:szCs w:val="24"/>
        </w:rPr>
        <w:t>bursement f</w:t>
      </w:r>
      <w:r>
        <w:rPr>
          <w:rFonts w:ascii="Times New Roman" w:hAnsi="Times New Roman" w:cs="Times New Roman"/>
          <w:sz w:val="24"/>
          <w:szCs w:val="24"/>
        </w:rPr>
        <w:t>or peer recovery services link</w:t>
      </w:r>
      <w:r w:rsidR="000B5445">
        <w:rPr>
          <w:rFonts w:ascii="Times New Roman" w:hAnsi="Times New Roman" w:cs="Times New Roman"/>
          <w:sz w:val="24"/>
          <w:szCs w:val="24"/>
        </w:rPr>
        <w:t>ed</w:t>
      </w:r>
      <w:r w:rsidR="008A2274">
        <w:rPr>
          <w:rFonts w:ascii="Times New Roman" w:hAnsi="Times New Roman" w:cs="Times New Roman"/>
          <w:sz w:val="24"/>
          <w:szCs w:val="24"/>
        </w:rPr>
        <w:t xml:space="preserve"> to the role labels given to peer support personnel,</w:t>
      </w:r>
      <w:r w:rsidR="000B5445">
        <w:rPr>
          <w:rFonts w:ascii="Times New Roman" w:hAnsi="Times New Roman" w:cs="Times New Roman"/>
          <w:sz w:val="24"/>
          <w:szCs w:val="24"/>
        </w:rPr>
        <w:t xml:space="preserve"> credentialing,</w:t>
      </w:r>
      <w:r w:rsidR="008A2274">
        <w:rPr>
          <w:rFonts w:ascii="Times New Roman" w:hAnsi="Times New Roman" w:cs="Times New Roman"/>
          <w:sz w:val="24"/>
          <w:szCs w:val="24"/>
        </w:rPr>
        <w:t xml:space="preserve"> the types of services rendered, </w:t>
      </w:r>
      <w:r w:rsidR="000B5445">
        <w:rPr>
          <w:rFonts w:ascii="Times New Roman" w:hAnsi="Times New Roman" w:cs="Times New Roman"/>
          <w:sz w:val="24"/>
          <w:szCs w:val="24"/>
        </w:rPr>
        <w:t xml:space="preserve">the supervisory structure, </w:t>
      </w:r>
      <w:r w:rsidR="008A2274">
        <w:rPr>
          <w:rFonts w:ascii="Times New Roman" w:hAnsi="Times New Roman" w:cs="Times New Roman"/>
          <w:sz w:val="24"/>
          <w:szCs w:val="24"/>
        </w:rPr>
        <w:t xml:space="preserve">the particular settings in which services are delivered, and the funding </w:t>
      </w:r>
      <w:r>
        <w:rPr>
          <w:rFonts w:ascii="Times New Roman" w:hAnsi="Times New Roman" w:cs="Times New Roman"/>
          <w:sz w:val="24"/>
          <w:szCs w:val="24"/>
        </w:rPr>
        <w:t>streams utilized to finance services?</w:t>
      </w:r>
    </w:p>
    <w:p w:rsidR="008A2274" w:rsidRDefault="008A2274" w:rsidP="008A22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2274" w:rsidRDefault="00AF06C2" w:rsidP="00300DC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771E05">
        <w:rPr>
          <w:rFonts w:ascii="Times New Roman" w:hAnsi="Times New Roman" w:cs="Times New Roman"/>
          <w:sz w:val="24"/>
          <w:szCs w:val="24"/>
        </w:rPr>
        <w:t>training and supervision policies</w:t>
      </w:r>
      <w:r w:rsidR="000B5445">
        <w:rPr>
          <w:rFonts w:ascii="Times New Roman" w:hAnsi="Times New Roman" w:cs="Times New Roman"/>
          <w:sz w:val="24"/>
          <w:szCs w:val="24"/>
        </w:rPr>
        <w:t xml:space="preserve"> and activities</w:t>
      </w:r>
      <w:r w:rsidR="00FE2472">
        <w:rPr>
          <w:rFonts w:ascii="Times New Roman" w:hAnsi="Times New Roman" w:cs="Times New Roman"/>
          <w:sz w:val="24"/>
          <w:szCs w:val="24"/>
        </w:rPr>
        <w:t xml:space="preserve"> </w:t>
      </w:r>
      <w:r w:rsidR="000B5445">
        <w:rPr>
          <w:rFonts w:ascii="Times New Roman" w:hAnsi="Times New Roman" w:cs="Times New Roman"/>
          <w:sz w:val="24"/>
          <w:szCs w:val="24"/>
        </w:rPr>
        <w:t xml:space="preserve">do </w:t>
      </w:r>
      <w:r w:rsidR="00771E05">
        <w:rPr>
          <w:rFonts w:ascii="Times New Roman" w:hAnsi="Times New Roman" w:cs="Times New Roman"/>
          <w:sz w:val="24"/>
          <w:szCs w:val="24"/>
        </w:rPr>
        <w:t xml:space="preserve">state mental health &amp; substance abuse agencies and organizations </w:t>
      </w:r>
      <w:r w:rsidR="000B5445">
        <w:rPr>
          <w:rFonts w:ascii="Times New Roman" w:hAnsi="Times New Roman" w:cs="Times New Roman"/>
          <w:sz w:val="24"/>
          <w:szCs w:val="24"/>
        </w:rPr>
        <w:t xml:space="preserve">have in place </w:t>
      </w:r>
      <w:r w:rsidR="00771E05">
        <w:rPr>
          <w:rFonts w:ascii="Times New Roman" w:hAnsi="Times New Roman" w:cs="Times New Roman"/>
          <w:sz w:val="24"/>
          <w:szCs w:val="24"/>
        </w:rPr>
        <w:t>for integrating</w:t>
      </w:r>
      <w:r w:rsidR="00F01381">
        <w:rPr>
          <w:rFonts w:ascii="Times New Roman" w:hAnsi="Times New Roman" w:cs="Times New Roman"/>
          <w:sz w:val="24"/>
          <w:szCs w:val="24"/>
        </w:rPr>
        <w:t xml:space="preserve"> </w:t>
      </w:r>
      <w:r w:rsidR="00771E05">
        <w:rPr>
          <w:rFonts w:ascii="Times New Roman" w:hAnsi="Times New Roman" w:cs="Times New Roman"/>
          <w:sz w:val="24"/>
          <w:szCs w:val="24"/>
        </w:rPr>
        <w:t xml:space="preserve">peer support providers </w:t>
      </w:r>
      <w:r w:rsidR="000B5445">
        <w:rPr>
          <w:rFonts w:ascii="Times New Roman" w:hAnsi="Times New Roman" w:cs="Times New Roman"/>
          <w:sz w:val="24"/>
          <w:szCs w:val="24"/>
        </w:rPr>
        <w:t xml:space="preserve">with more traditional providers </w:t>
      </w:r>
      <w:r w:rsidR="00F01381">
        <w:rPr>
          <w:rFonts w:ascii="Times New Roman" w:hAnsi="Times New Roman" w:cs="Times New Roman"/>
          <w:sz w:val="24"/>
          <w:szCs w:val="24"/>
        </w:rPr>
        <w:t>in the behavioral health workplace?</w:t>
      </w:r>
    </w:p>
    <w:p w:rsidR="00F01381" w:rsidRDefault="00F01381" w:rsidP="00F01381">
      <w:pPr>
        <w:pStyle w:val="ListParagraph"/>
        <w:rPr>
          <w:rFonts w:ascii="Times New Roman" w:hAnsi="Times New Roman"/>
          <w:sz w:val="24"/>
          <w:szCs w:val="24"/>
        </w:rPr>
      </w:pPr>
    </w:p>
    <w:p w:rsidR="00771E05" w:rsidRDefault="0098554D" w:rsidP="00300DC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procedures </w:t>
      </w:r>
      <w:r w:rsidR="000B5445">
        <w:rPr>
          <w:rFonts w:ascii="Times New Roman" w:hAnsi="Times New Roman" w:cs="Times New Roman"/>
          <w:sz w:val="24"/>
          <w:szCs w:val="24"/>
        </w:rPr>
        <w:t xml:space="preserve">(formal and informal)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7E05BC">
        <w:rPr>
          <w:rFonts w:ascii="Times New Roman" w:hAnsi="Times New Roman" w:cs="Times New Roman"/>
          <w:sz w:val="24"/>
          <w:szCs w:val="24"/>
        </w:rPr>
        <w:t xml:space="preserve"> use</w:t>
      </w:r>
      <w:r w:rsidR="000B5445">
        <w:rPr>
          <w:rFonts w:ascii="Times New Roman" w:hAnsi="Times New Roman" w:cs="Times New Roman"/>
          <w:sz w:val="24"/>
          <w:szCs w:val="24"/>
        </w:rPr>
        <w:t>d</w:t>
      </w:r>
      <w:r w:rsidR="007E05BC">
        <w:rPr>
          <w:rFonts w:ascii="Times New Roman" w:hAnsi="Times New Roman" w:cs="Times New Roman"/>
          <w:sz w:val="24"/>
          <w:szCs w:val="24"/>
        </w:rPr>
        <w:t xml:space="preserve"> by</w:t>
      </w:r>
      <w:r>
        <w:rPr>
          <w:rFonts w:ascii="Times New Roman" w:hAnsi="Times New Roman" w:cs="Times New Roman"/>
          <w:sz w:val="24"/>
          <w:szCs w:val="24"/>
        </w:rPr>
        <w:t xml:space="preserve"> state mental health </w:t>
      </w:r>
      <w:r w:rsidR="000B5445">
        <w:rPr>
          <w:rFonts w:ascii="Times New Roman" w:hAnsi="Times New Roman" w:cs="Times New Roman"/>
          <w:sz w:val="24"/>
          <w:szCs w:val="24"/>
        </w:rPr>
        <w:t>and</w:t>
      </w:r>
      <w:r w:rsidR="00FE24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substance abuse agencies and organizations to monitor and/or evaluate the impact of </w:t>
      </w:r>
      <w:r w:rsidR="000B5445">
        <w:rPr>
          <w:rFonts w:ascii="Times New Roman" w:hAnsi="Times New Roman" w:cs="Times New Roman"/>
          <w:sz w:val="24"/>
          <w:szCs w:val="24"/>
        </w:rPr>
        <w:t xml:space="preserve">and need for </w:t>
      </w:r>
      <w:r>
        <w:rPr>
          <w:rFonts w:ascii="Times New Roman" w:hAnsi="Times New Roman" w:cs="Times New Roman"/>
          <w:sz w:val="24"/>
          <w:szCs w:val="24"/>
        </w:rPr>
        <w:t>peer recovery support services?</w:t>
      </w:r>
    </w:p>
    <w:p w:rsidR="0098554D" w:rsidRDefault="0098554D" w:rsidP="0098554D">
      <w:pPr>
        <w:pStyle w:val="ListParagraph"/>
        <w:rPr>
          <w:rFonts w:ascii="Times New Roman" w:hAnsi="Times New Roman"/>
          <w:sz w:val="24"/>
          <w:szCs w:val="24"/>
        </w:rPr>
      </w:pPr>
    </w:p>
    <w:p w:rsidR="0098554D" w:rsidRDefault="000B5445" w:rsidP="00300DC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are </w:t>
      </w:r>
      <w:r w:rsidR="0098554D">
        <w:rPr>
          <w:rFonts w:ascii="Times New Roman" w:hAnsi="Times New Roman" w:cs="Times New Roman"/>
          <w:sz w:val="24"/>
          <w:szCs w:val="24"/>
        </w:rPr>
        <w:t>peer recovery services</w:t>
      </w:r>
      <w:r>
        <w:rPr>
          <w:rFonts w:ascii="Times New Roman" w:hAnsi="Times New Roman" w:cs="Times New Roman"/>
          <w:sz w:val="24"/>
          <w:szCs w:val="24"/>
        </w:rPr>
        <w:t xml:space="preserve"> sustained by agencies and organizations</w:t>
      </w:r>
      <w:r w:rsidR="0098554D">
        <w:rPr>
          <w:rFonts w:ascii="Times New Roman" w:hAnsi="Times New Roman" w:cs="Times New Roman"/>
          <w:sz w:val="24"/>
          <w:szCs w:val="24"/>
        </w:rPr>
        <w:t>?</w:t>
      </w:r>
    </w:p>
    <w:p w:rsidR="0098554D" w:rsidRDefault="0098554D" w:rsidP="0098554D">
      <w:pPr>
        <w:pStyle w:val="ListParagraph"/>
        <w:rPr>
          <w:rFonts w:ascii="Times New Roman" w:hAnsi="Times New Roman"/>
          <w:sz w:val="24"/>
          <w:szCs w:val="24"/>
        </w:rPr>
      </w:pPr>
    </w:p>
    <w:p w:rsidR="0098554D" w:rsidRDefault="000A6450" w:rsidP="00300DC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the passage of the Affordable Care Act (ACA), w</w:t>
      </w:r>
      <w:r w:rsidR="00516008">
        <w:rPr>
          <w:rFonts w:ascii="Times New Roman" w:hAnsi="Times New Roman" w:cs="Times New Roman"/>
          <w:sz w:val="24"/>
          <w:szCs w:val="24"/>
        </w:rPr>
        <w:t>hat challenges</w:t>
      </w:r>
      <w:r w:rsidR="000B5445">
        <w:rPr>
          <w:rFonts w:ascii="Times New Roman" w:hAnsi="Times New Roman" w:cs="Times New Roman"/>
          <w:sz w:val="24"/>
          <w:szCs w:val="24"/>
        </w:rPr>
        <w:t>, if any,</w:t>
      </w:r>
      <w:r w:rsidR="00516008">
        <w:rPr>
          <w:rFonts w:ascii="Times New Roman" w:hAnsi="Times New Roman" w:cs="Times New Roman"/>
          <w:sz w:val="24"/>
          <w:szCs w:val="24"/>
        </w:rPr>
        <w:t xml:space="preserve"> do state mental health</w:t>
      </w:r>
      <w:r w:rsidR="000B5445">
        <w:rPr>
          <w:rFonts w:ascii="Times New Roman" w:hAnsi="Times New Roman" w:cs="Times New Roman"/>
          <w:sz w:val="24"/>
          <w:szCs w:val="24"/>
        </w:rPr>
        <w:t xml:space="preserve"> and</w:t>
      </w:r>
      <w:r w:rsidR="00516008">
        <w:rPr>
          <w:rFonts w:ascii="Times New Roman" w:hAnsi="Times New Roman" w:cs="Times New Roman"/>
          <w:sz w:val="24"/>
          <w:szCs w:val="24"/>
        </w:rPr>
        <w:t xml:space="preserve"> substance abuse agencies and organizations anticip</w:t>
      </w:r>
      <w:r>
        <w:rPr>
          <w:rFonts w:ascii="Times New Roman" w:hAnsi="Times New Roman" w:cs="Times New Roman"/>
          <w:sz w:val="24"/>
          <w:szCs w:val="24"/>
        </w:rPr>
        <w:t xml:space="preserve">ate </w:t>
      </w:r>
      <w:r w:rsidR="007E05BC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445">
        <w:rPr>
          <w:rFonts w:ascii="Times New Roman" w:hAnsi="Times New Roman" w:cs="Times New Roman"/>
          <w:sz w:val="24"/>
          <w:szCs w:val="24"/>
        </w:rPr>
        <w:t>peer</w:t>
      </w:r>
      <w:r w:rsidR="00AF06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support services?</w:t>
      </w:r>
    </w:p>
    <w:p w:rsidR="000A6450" w:rsidRDefault="000A6450" w:rsidP="000A6450">
      <w:pPr>
        <w:pStyle w:val="ListParagraph"/>
        <w:rPr>
          <w:rFonts w:ascii="Times New Roman" w:hAnsi="Times New Roman"/>
          <w:sz w:val="24"/>
          <w:szCs w:val="24"/>
        </w:rPr>
      </w:pPr>
    </w:p>
    <w:p w:rsidR="000A6450" w:rsidRDefault="008E0BAF" w:rsidP="003C0478">
      <w:pPr>
        <w:pStyle w:val="ListParagraph"/>
        <w:ind w:left="0" w:firstLine="720"/>
        <w:rPr>
          <w:sz w:val="24"/>
          <w:szCs w:val="24"/>
        </w:rPr>
      </w:pPr>
      <w:r w:rsidRPr="003C0478">
        <w:rPr>
          <w:sz w:val="24"/>
          <w:szCs w:val="24"/>
        </w:rPr>
        <w:t>Data collection will be conducted via phone inter</w:t>
      </w:r>
      <w:r>
        <w:rPr>
          <w:sz w:val="24"/>
          <w:szCs w:val="24"/>
        </w:rPr>
        <w:t xml:space="preserve">view with 1 mental health and 1 </w:t>
      </w:r>
      <w:r w:rsidRPr="003C0478">
        <w:rPr>
          <w:sz w:val="24"/>
          <w:szCs w:val="24"/>
        </w:rPr>
        <w:t>substance abuse state agency director or designee that provides peer recovery support services, and 1 mental health and 1 substance abuse grassroots organization that provides peer support recovery services in 10 states, for a total of approximately 40 responses</w:t>
      </w:r>
      <w:r w:rsidR="00A40AC9">
        <w:rPr>
          <w:sz w:val="24"/>
          <w:szCs w:val="24"/>
        </w:rPr>
        <w:t>/respondents</w:t>
      </w:r>
      <w:r w:rsidRPr="003C0478">
        <w:rPr>
          <w:sz w:val="24"/>
          <w:szCs w:val="24"/>
        </w:rPr>
        <w:t>.</w:t>
      </w:r>
    </w:p>
    <w:p w:rsidR="003C0478" w:rsidRPr="008E0BAF" w:rsidRDefault="003C0478" w:rsidP="003C0478">
      <w:pPr>
        <w:pStyle w:val="ListParagraph"/>
        <w:ind w:left="0" w:firstLine="720"/>
        <w:rPr>
          <w:rFonts w:ascii="Times New Roman" w:hAnsi="Times New Roman"/>
          <w:sz w:val="24"/>
          <w:szCs w:val="24"/>
        </w:rPr>
      </w:pPr>
    </w:p>
    <w:p w:rsidR="000A6450" w:rsidRPr="006633B8" w:rsidRDefault="00A40AC9" w:rsidP="000A64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4368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2</w:t>
      </w:r>
      <w:r w:rsidRPr="0014368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ab/>
      </w:r>
      <w:r w:rsidR="000A6450" w:rsidRPr="00893652">
        <w:rPr>
          <w:rFonts w:ascii="Times New Roman" w:hAnsi="Times New Roman" w:cs="Times New Roman"/>
          <w:b/>
          <w:i/>
          <w:sz w:val="24"/>
          <w:szCs w:val="24"/>
        </w:rPr>
        <w:t>Purpose and Use of Information</w:t>
      </w:r>
    </w:p>
    <w:p w:rsidR="00F0750D" w:rsidRDefault="00D655D7" w:rsidP="000A6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an effort to meet SAMHSA’s mission of </w:t>
      </w:r>
      <w:r w:rsidR="00F0750D">
        <w:rPr>
          <w:rFonts w:ascii="Times New Roman" w:hAnsi="Times New Roman" w:cs="Times New Roman"/>
          <w:sz w:val="24"/>
          <w:szCs w:val="24"/>
        </w:rPr>
        <w:t>addressing</w:t>
      </w:r>
      <w:r>
        <w:rPr>
          <w:rFonts w:ascii="Times New Roman" w:hAnsi="Times New Roman" w:cs="Times New Roman"/>
          <w:sz w:val="24"/>
          <w:szCs w:val="24"/>
        </w:rPr>
        <w:t xml:space="preserve"> the behavioral health needs of Americans, the agency has identified</w:t>
      </w:r>
      <w:r w:rsidR="007E05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eight strategic initiatives to focus its limited resources on areas of urgency and opportunity: (1) Prevention of Substance Abuse and Mental Illness; (2) Trauma and Justice; (3) Military Families; (4)</w:t>
      </w:r>
      <w:r w:rsidR="00F0750D">
        <w:rPr>
          <w:rFonts w:ascii="Times New Roman" w:hAnsi="Times New Roman" w:cs="Times New Roman"/>
          <w:sz w:val="24"/>
          <w:szCs w:val="24"/>
        </w:rPr>
        <w:t xml:space="preserve"> Recovery Support; (5) Health Reform; (6) Health Information Technology; (7) Data, Outcomes, and Quality; and (8) Public Awareness and Support. These initiatives enable SAMHSA to respond to national, state, territorial, tribal, and local trends as well as support the implementation of the </w:t>
      </w:r>
      <w:r w:rsidR="004F4D87">
        <w:rPr>
          <w:rFonts w:ascii="Times New Roman" w:hAnsi="Times New Roman" w:cs="Times New Roman"/>
          <w:sz w:val="24"/>
          <w:szCs w:val="24"/>
        </w:rPr>
        <w:t xml:space="preserve">Patient Protection and </w:t>
      </w:r>
      <w:r w:rsidR="00F0750D">
        <w:rPr>
          <w:rFonts w:ascii="Times New Roman" w:hAnsi="Times New Roman" w:cs="Times New Roman"/>
          <w:sz w:val="24"/>
          <w:szCs w:val="24"/>
        </w:rPr>
        <w:t xml:space="preserve">Affordable Care Act and the Mental Health Parity and Addictions Equity Act.  The </w:t>
      </w:r>
      <w:r w:rsidR="004B0424">
        <w:rPr>
          <w:rFonts w:ascii="Times New Roman" w:hAnsi="Times New Roman" w:cs="Times New Roman"/>
          <w:sz w:val="24"/>
          <w:szCs w:val="24"/>
        </w:rPr>
        <w:t>in</w:t>
      </w:r>
      <w:r w:rsidR="00F82D82">
        <w:rPr>
          <w:rFonts w:ascii="Times New Roman" w:hAnsi="Times New Roman" w:cs="Times New Roman"/>
          <w:sz w:val="24"/>
          <w:szCs w:val="24"/>
        </w:rPr>
        <w:t>formation collection proposed by</w:t>
      </w:r>
      <w:r w:rsidR="004B0424">
        <w:rPr>
          <w:rFonts w:ascii="Times New Roman" w:hAnsi="Times New Roman" w:cs="Times New Roman"/>
          <w:sz w:val="24"/>
          <w:szCs w:val="24"/>
        </w:rPr>
        <w:t xml:space="preserve"> the pilot study </w:t>
      </w:r>
      <w:r w:rsidR="004F4D87">
        <w:rPr>
          <w:rFonts w:ascii="Times New Roman" w:hAnsi="Times New Roman" w:cs="Times New Roman"/>
          <w:sz w:val="24"/>
          <w:szCs w:val="24"/>
        </w:rPr>
        <w:t>will</w:t>
      </w:r>
      <w:r w:rsidR="004B0424">
        <w:rPr>
          <w:rFonts w:ascii="Times New Roman" w:hAnsi="Times New Roman" w:cs="Times New Roman"/>
          <w:sz w:val="24"/>
          <w:szCs w:val="24"/>
        </w:rPr>
        <w:t xml:space="preserve"> support </w:t>
      </w:r>
      <w:r w:rsidR="00F0750D">
        <w:rPr>
          <w:rFonts w:ascii="Times New Roman" w:hAnsi="Times New Roman" w:cs="Times New Roman"/>
          <w:sz w:val="24"/>
          <w:szCs w:val="24"/>
        </w:rPr>
        <w:t>strategic initiative #4 (Recovery Support)</w:t>
      </w:r>
      <w:r w:rsidR="004F4D87">
        <w:rPr>
          <w:rFonts w:ascii="Times New Roman" w:hAnsi="Times New Roman" w:cs="Times New Roman"/>
          <w:sz w:val="24"/>
          <w:szCs w:val="24"/>
        </w:rPr>
        <w:t>,</w:t>
      </w:r>
      <w:r w:rsidR="00F0750D">
        <w:rPr>
          <w:rFonts w:ascii="Times New Roman" w:hAnsi="Times New Roman" w:cs="Times New Roman"/>
          <w:sz w:val="24"/>
          <w:szCs w:val="24"/>
        </w:rPr>
        <w:t xml:space="preserve"> </w:t>
      </w:r>
      <w:r w:rsidR="004B0424">
        <w:rPr>
          <w:rFonts w:ascii="Times New Roman" w:hAnsi="Times New Roman" w:cs="Times New Roman"/>
          <w:sz w:val="24"/>
          <w:szCs w:val="24"/>
        </w:rPr>
        <w:t>the mission of BRSS TA</w:t>
      </w:r>
      <w:r w:rsidR="009B1ACE">
        <w:rPr>
          <w:rFonts w:ascii="Times New Roman" w:hAnsi="Times New Roman" w:cs="Times New Roman"/>
          <w:sz w:val="24"/>
          <w:szCs w:val="24"/>
        </w:rPr>
        <w:t>CS</w:t>
      </w:r>
      <w:r w:rsidR="004F4D87">
        <w:rPr>
          <w:rFonts w:ascii="Times New Roman" w:hAnsi="Times New Roman" w:cs="Times New Roman"/>
          <w:sz w:val="24"/>
          <w:szCs w:val="24"/>
        </w:rPr>
        <w:t>,</w:t>
      </w:r>
      <w:r w:rsidR="004B0424">
        <w:rPr>
          <w:rFonts w:ascii="Times New Roman" w:hAnsi="Times New Roman" w:cs="Times New Roman"/>
          <w:sz w:val="24"/>
          <w:szCs w:val="24"/>
        </w:rPr>
        <w:t xml:space="preserve"> and its deliverables.  </w:t>
      </w:r>
    </w:p>
    <w:p w:rsidR="003564BE" w:rsidRDefault="00106567" w:rsidP="000A6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F33D6">
        <w:rPr>
          <w:rFonts w:ascii="Times New Roman" w:hAnsi="Times New Roman" w:cs="Times New Roman"/>
          <w:sz w:val="24"/>
          <w:szCs w:val="24"/>
        </w:rPr>
        <w:t>As noted, s</w:t>
      </w:r>
      <w:r>
        <w:rPr>
          <w:rFonts w:ascii="Times New Roman" w:hAnsi="Times New Roman" w:cs="Times New Roman"/>
          <w:sz w:val="24"/>
          <w:szCs w:val="24"/>
        </w:rPr>
        <w:t xml:space="preserve">tate behavioral health systems </w:t>
      </w:r>
      <w:r w:rsidR="000F33D6">
        <w:rPr>
          <w:rFonts w:ascii="Times New Roman" w:hAnsi="Times New Roman" w:cs="Times New Roman"/>
          <w:sz w:val="24"/>
          <w:szCs w:val="24"/>
        </w:rPr>
        <w:t>and authorities are striving to become more recovery oriented in the delivery of behavioral health care.</w:t>
      </w:r>
      <w:r w:rsidR="003564BE">
        <w:rPr>
          <w:rFonts w:ascii="Times New Roman" w:hAnsi="Times New Roman" w:cs="Times New Roman"/>
          <w:sz w:val="24"/>
          <w:szCs w:val="24"/>
        </w:rPr>
        <w:t xml:space="preserve">  Integrating peer support personnel into the workforce is paramount to </w:t>
      </w:r>
      <w:r w:rsidR="004F4D87">
        <w:rPr>
          <w:rFonts w:ascii="Times New Roman" w:hAnsi="Times New Roman" w:cs="Times New Roman"/>
          <w:sz w:val="24"/>
          <w:szCs w:val="24"/>
        </w:rPr>
        <w:t xml:space="preserve">realize </w:t>
      </w:r>
      <w:r w:rsidR="003564BE">
        <w:rPr>
          <w:rFonts w:ascii="Times New Roman" w:hAnsi="Times New Roman" w:cs="Times New Roman"/>
          <w:sz w:val="24"/>
          <w:szCs w:val="24"/>
        </w:rPr>
        <w:t xml:space="preserve">this effort.  </w:t>
      </w:r>
      <w:r w:rsidR="0099206A">
        <w:rPr>
          <w:rFonts w:ascii="Times New Roman" w:hAnsi="Times New Roman" w:cs="Times New Roman"/>
          <w:sz w:val="24"/>
          <w:szCs w:val="24"/>
        </w:rPr>
        <w:t xml:space="preserve">Peer </w:t>
      </w:r>
      <w:r w:rsidR="00C06EF3">
        <w:rPr>
          <w:rFonts w:ascii="Times New Roman" w:hAnsi="Times New Roman" w:cs="Times New Roman"/>
          <w:sz w:val="24"/>
          <w:szCs w:val="24"/>
        </w:rPr>
        <w:t xml:space="preserve">recovery support services </w:t>
      </w:r>
      <w:r w:rsidR="00517F16">
        <w:rPr>
          <w:rFonts w:ascii="Times New Roman" w:hAnsi="Times New Roman" w:cs="Times New Roman"/>
          <w:sz w:val="24"/>
          <w:szCs w:val="24"/>
        </w:rPr>
        <w:t xml:space="preserve">create </w:t>
      </w:r>
      <w:r w:rsidR="0099206A">
        <w:rPr>
          <w:rFonts w:ascii="Times New Roman" w:hAnsi="Times New Roman" w:cs="Times New Roman"/>
          <w:sz w:val="24"/>
          <w:szCs w:val="24"/>
        </w:rPr>
        <w:t>a</w:t>
      </w:r>
      <w:r w:rsidR="003564BE">
        <w:rPr>
          <w:rFonts w:ascii="Times New Roman" w:hAnsi="Times New Roman" w:cs="Times New Roman"/>
          <w:sz w:val="24"/>
          <w:szCs w:val="24"/>
        </w:rPr>
        <w:t xml:space="preserve"> critical link between the two systems </w:t>
      </w:r>
      <w:r w:rsidR="0099206A">
        <w:rPr>
          <w:rFonts w:ascii="Times New Roman" w:hAnsi="Times New Roman" w:cs="Times New Roman"/>
          <w:sz w:val="24"/>
          <w:szCs w:val="24"/>
        </w:rPr>
        <w:t xml:space="preserve">that provide treatment for mental health and/or substance abuse conditions in </w:t>
      </w:r>
      <w:r w:rsidR="00B023A7">
        <w:rPr>
          <w:rFonts w:ascii="Times New Roman" w:hAnsi="Times New Roman" w:cs="Times New Roman"/>
          <w:sz w:val="24"/>
          <w:szCs w:val="24"/>
        </w:rPr>
        <w:t xml:space="preserve">a </w:t>
      </w:r>
      <w:r w:rsidR="0099206A">
        <w:rPr>
          <w:rFonts w:ascii="Times New Roman" w:hAnsi="Times New Roman" w:cs="Times New Roman"/>
          <w:sz w:val="24"/>
          <w:szCs w:val="24"/>
        </w:rPr>
        <w:t>clinical</w:t>
      </w:r>
      <w:r w:rsidR="00B023A7">
        <w:rPr>
          <w:rFonts w:ascii="Times New Roman" w:hAnsi="Times New Roman" w:cs="Times New Roman"/>
          <w:sz w:val="24"/>
          <w:szCs w:val="24"/>
        </w:rPr>
        <w:t xml:space="preserve"> setting</w:t>
      </w:r>
      <w:r w:rsidR="0099206A">
        <w:rPr>
          <w:rFonts w:ascii="Times New Roman" w:hAnsi="Times New Roman" w:cs="Times New Roman"/>
          <w:sz w:val="24"/>
          <w:szCs w:val="24"/>
        </w:rPr>
        <w:t xml:space="preserve"> and the</w:t>
      </w:r>
      <w:r w:rsidR="004F68A3">
        <w:rPr>
          <w:rFonts w:ascii="Times New Roman" w:hAnsi="Times New Roman" w:cs="Times New Roman"/>
          <w:sz w:val="24"/>
          <w:szCs w:val="24"/>
        </w:rPr>
        <w:t xml:space="preserve"> larger</w:t>
      </w:r>
      <w:r w:rsidR="0099206A">
        <w:rPr>
          <w:rFonts w:ascii="Times New Roman" w:hAnsi="Times New Roman" w:cs="Times New Roman"/>
          <w:sz w:val="24"/>
          <w:szCs w:val="24"/>
        </w:rPr>
        <w:t xml:space="preserve"> communities </w:t>
      </w:r>
      <w:r w:rsidR="00B023A7">
        <w:rPr>
          <w:rFonts w:ascii="Times New Roman" w:hAnsi="Times New Roman" w:cs="Times New Roman"/>
          <w:sz w:val="24"/>
          <w:szCs w:val="24"/>
        </w:rPr>
        <w:t>where individuals are seeking to achieve and sustain their treatment goals in daily life.</w:t>
      </w:r>
      <w:r w:rsidR="00C36D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750D" w:rsidRDefault="00B023A7" w:rsidP="000A6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State behavioral health systems </w:t>
      </w:r>
      <w:r w:rsidR="00DF10EF">
        <w:rPr>
          <w:rFonts w:ascii="Times New Roman" w:hAnsi="Times New Roman" w:cs="Times New Roman"/>
          <w:sz w:val="24"/>
          <w:szCs w:val="24"/>
        </w:rPr>
        <w:t xml:space="preserve">face challenges in their efforts to incorporate peer support personnel in the workforce. A major challenge is </w:t>
      </w:r>
      <w:r w:rsidR="004050F0">
        <w:rPr>
          <w:rFonts w:ascii="Times New Roman" w:hAnsi="Times New Roman" w:cs="Times New Roman"/>
          <w:sz w:val="24"/>
          <w:szCs w:val="24"/>
        </w:rPr>
        <w:t xml:space="preserve">building the </w:t>
      </w:r>
      <w:r w:rsidR="00DF10EF">
        <w:rPr>
          <w:rFonts w:ascii="Times New Roman" w:hAnsi="Times New Roman" w:cs="Times New Roman"/>
          <w:sz w:val="24"/>
          <w:szCs w:val="24"/>
        </w:rPr>
        <w:t xml:space="preserve">infrastructure </w:t>
      </w:r>
      <w:r w:rsidR="004050F0">
        <w:rPr>
          <w:rFonts w:ascii="Times New Roman" w:hAnsi="Times New Roman" w:cs="Times New Roman"/>
          <w:sz w:val="24"/>
          <w:szCs w:val="24"/>
        </w:rPr>
        <w:t xml:space="preserve">and </w:t>
      </w:r>
      <w:r w:rsidR="00DF10EF">
        <w:rPr>
          <w:rFonts w:ascii="Times New Roman" w:hAnsi="Times New Roman" w:cs="Times New Roman"/>
          <w:sz w:val="24"/>
          <w:szCs w:val="24"/>
        </w:rPr>
        <w:t>skills</w:t>
      </w:r>
      <w:r w:rsidR="004050F0">
        <w:rPr>
          <w:rFonts w:ascii="Times New Roman" w:hAnsi="Times New Roman" w:cs="Times New Roman"/>
          <w:sz w:val="24"/>
          <w:szCs w:val="24"/>
        </w:rPr>
        <w:t xml:space="preserve"> needed to develop</w:t>
      </w:r>
      <w:r w:rsidR="00DF10EF">
        <w:rPr>
          <w:rFonts w:ascii="Times New Roman" w:hAnsi="Times New Roman" w:cs="Times New Roman"/>
          <w:sz w:val="24"/>
          <w:szCs w:val="24"/>
        </w:rPr>
        <w:t xml:space="preserve"> policies </w:t>
      </w:r>
      <w:r w:rsidR="002545C8">
        <w:rPr>
          <w:rFonts w:ascii="Times New Roman" w:hAnsi="Times New Roman" w:cs="Times New Roman"/>
          <w:sz w:val="24"/>
          <w:szCs w:val="24"/>
        </w:rPr>
        <w:t>that highlight the utility of</w:t>
      </w:r>
      <w:r w:rsidR="00DF10EF">
        <w:rPr>
          <w:rFonts w:ascii="Times New Roman" w:hAnsi="Times New Roman" w:cs="Times New Roman"/>
          <w:sz w:val="24"/>
          <w:szCs w:val="24"/>
        </w:rPr>
        <w:t xml:space="preserve"> peer support personnel </w:t>
      </w:r>
      <w:r w:rsidR="004050F0">
        <w:rPr>
          <w:rFonts w:ascii="Times New Roman" w:hAnsi="Times New Roman" w:cs="Times New Roman"/>
          <w:sz w:val="24"/>
          <w:szCs w:val="24"/>
        </w:rPr>
        <w:t xml:space="preserve">in the workforce.  Other challenges </w:t>
      </w:r>
      <w:r w:rsidR="004F4D87">
        <w:rPr>
          <w:rFonts w:ascii="Times New Roman" w:hAnsi="Times New Roman" w:cs="Times New Roman"/>
          <w:sz w:val="24"/>
          <w:szCs w:val="24"/>
        </w:rPr>
        <w:t>include</w:t>
      </w:r>
      <w:r w:rsidR="004050F0">
        <w:rPr>
          <w:rFonts w:ascii="Times New Roman" w:hAnsi="Times New Roman" w:cs="Times New Roman"/>
          <w:sz w:val="24"/>
          <w:szCs w:val="24"/>
        </w:rPr>
        <w:t xml:space="preserve"> the financing</w:t>
      </w:r>
      <w:r w:rsidR="00C06EF3">
        <w:rPr>
          <w:rFonts w:ascii="Times New Roman" w:hAnsi="Times New Roman" w:cs="Times New Roman"/>
          <w:sz w:val="24"/>
          <w:szCs w:val="24"/>
        </w:rPr>
        <w:t xml:space="preserve">, </w:t>
      </w:r>
      <w:r w:rsidR="004050F0">
        <w:rPr>
          <w:rFonts w:ascii="Times New Roman" w:hAnsi="Times New Roman" w:cs="Times New Roman"/>
          <w:sz w:val="24"/>
          <w:szCs w:val="24"/>
        </w:rPr>
        <w:t xml:space="preserve">credentialing, </w:t>
      </w:r>
      <w:r w:rsidR="00C06EF3">
        <w:rPr>
          <w:rFonts w:ascii="Times New Roman" w:hAnsi="Times New Roman" w:cs="Times New Roman"/>
          <w:sz w:val="24"/>
          <w:szCs w:val="24"/>
        </w:rPr>
        <w:t xml:space="preserve">monitoring, </w:t>
      </w:r>
      <w:r w:rsidR="004050F0">
        <w:rPr>
          <w:rFonts w:ascii="Times New Roman" w:hAnsi="Times New Roman" w:cs="Times New Roman"/>
          <w:sz w:val="24"/>
          <w:szCs w:val="24"/>
        </w:rPr>
        <w:t xml:space="preserve">evaluation, and sustainment of peer </w:t>
      </w:r>
      <w:r w:rsidR="00C06EF3">
        <w:rPr>
          <w:rFonts w:ascii="Times New Roman" w:hAnsi="Times New Roman" w:cs="Times New Roman"/>
          <w:sz w:val="24"/>
          <w:szCs w:val="24"/>
        </w:rPr>
        <w:t>recovery support services.</w:t>
      </w:r>
      <w:r w:rsidR="00517F16">
        <w:rPr>
          <w:rFonts w:ascii="Times New Roman" w:hAnsi="Times New Roman" w:cs="Times New Roman"/>
          <w:sz w:val="24"/>
          <w:szCs w:val="24"/>
        </w:rPr>
        <w:t xml:space="preserve">  Given </w:t>
      </w:r>
      <w:r w:rsidR="00C61369">
        <w:rPr>
          <w:rFonts w:ascii="Times New Roman" w:hAnsi="Times New Roman" w:cs="Times New Roman"/>
          <w:sz w:val="24"/>
          <w:szCs w:val="24"/>
        </w:rPr>
        <w:t xml:space="preserve">that </w:t>
      </w:r>
      <w:r w:rsidR="00517F16">
        <w:rPr>
          <w:rFonts w:ascii="Times New Roman" w:hAnsi="Times New Roman" w:cs="Times New Roman"/>
          <w:sz w:val="24"/>
          <w:szCs w:val="24"/>
        </w:rPr>
        <w:t>current health reform</w:t>
      </w:r>
      <w:r w:rsidR="00C61369">
        <w:rPr>
          <w:rFonts w:ascii="Times New Roman" w:hAnsi="Times New Roman" w:cs="Times New Roman"/>
          <w:sz w:val="24"/>
          <w:szCs w:val="24"/>
        </w:rPr>
        <w:t xml:space="preserve"> will result in a greater demand for </w:t>
      </w:r>
      <w:r w:rsidR="00517F16">
        <w:rPr>
          <w:rFonts w:ascii="Times New Roman" w:hAnsi="Times New Roman" w:cs="Times New Roman"/>
          <w:sz w:val="24"/>
          <w:szCs w:val="24"/>
        </w:rPr>
        <w:t>peer recovery support serv</w:t>
      </w:r>
      <w:r w:rsidR="00C61369">
        <w:rPr>
          <w:rFonts w:ascii="Times New Roman" w:hAnsi="Times New Roman" w:cs="Times New Roman"/>
          <w:sz w:val="24"/>
          <w:szCs w:val="24"/>
        </w:rPr>
        <w:t xml:space="preserve">ices, </w:t>
      </w:r>
      <w:r w:rsidR="00517F16">
        <w:rPr>
          <w:rFonts w:ascii="Times New Roman" w:hAnsi="Times New Roman" w:cs="Times New Roman"/>
          <w:sz w:val="24"/>
          <w:szCs w:val="24"/>
        </w:rPr>
        <w:t xml:space="preserve">state behavioral health systems will </w:t>
      </w:r>
      <w:r w:rsidR="002545C8">
        <w:rPr>
          <w:rFonts w:ascii="Times New Roman" w:hAnsi="Times New Roman" w:cs="Times New Roman"/>
          <w:sz w:val="24"/>
          <w:szCs w:val="24"/>
        </w:rPr>
        <w:t xml:space="preserve">likely </w:t>
      </w:r>
      <w:r w:rsidR="00C61369">
        <w:rPr>
          <w:rFonts w:ascii="Times New Roman" w:hAnsi="Times New Roman" w:cs="Times New Roman"/>
          <w:sz w:val="24"/>
          <w:szCs w:val="24"/>
        </w:rPr>
        <w:t>require more</w:t>
      </w:r>
      <w:r w:rsidR="00517F16">
        <w:rPr>
          <w:rFonts w:ascii="Times New Roman" w:hAnsi="Times New Roman" w:cs="Times New Roman"/>
          <w:sz w:val="24"/>
          <w:szCs w:val="24"/>
        </w:rPr>
        <w:t xml:space="preserve"> technical assistance</w:t>
      </w:r>
      <w:r w:rsidR="00C61369">
        <w:rPr>
          <w:rFonts w:ascii="Times New Roman" w:hAnsi="Times New Roman" w:cs="Times New Roman"/>
          <w:sz w:val="24"/>
          <w:szCs w:val="24"/>
        </w:rPr>
        <w:t xml:space="preserve"> regarding how</w:t>
      </w:r>
      <w:r w:rsidR="00FD26FF">
        <w:rPr>
          <w:rFonts w:ascii="Times New Roman" w:hAnsi="Times New Roman" w:cs="Times New Roman"/>
          <w:sz w:val="24"/>
          <w:szCs w:val="24"/>
        </w:rPr>
        <w:t xml:space="preserve"> to effectively manage</w:t>
      </w:r>
      <w:r w:rsidR="00D870ED">
        <w:rPr>
          <w:rFonts w:ascii="Times New Roman" w:hAnsi="Times New Roman" w:cs="Times New Roman"/>
          <w:sz w:val="24"/>
          <w:szCs w:val="24"/>
        </w:rPr>
        <w:t xml:space="preserve"> peer recovery support services in the context of the </w:t>
      </w:r>
      <w:r w:rsidR="002545C8">
        <w:rPr>
          <w:rFonts w:ascii="Times New Roman" w:hAnsi="Times New Roman" w:cs="Times New Roman"/>
          <w:sz w:val="24"/>
          <w:szCs w:val="24"/>
        </w:rPr>
        <w:t xml:space="preserve">Patient Protection and </w:t>
      </w:r>
      <w:r w:rsidR="00D870ED">
        <w:rPr>
          <w:rFonts w:ascii="Times New Roman" w:hAnsi="Times New Roman" w:cs="Times New Roman"/>
          <w:sz w:val="24"/>
          <w:szCs w:val="24"/>
        </w:rPr>
        <w:t>Affordable Care Act.</w:t>
      </w:r>
      <w:r w:rsidR="00100D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D62" w:rsidRDefault="00100D62" w:rsidP="000A6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3C7E">
        <w:rPr>
          <w:rFonts w:ascii="Times New Roman" w:hAnsi="Times New Roman" w:cs="Times New Roman"/>
          <w:sz w:val="24"/>
          <w:szCs w:val="24"/>
        </w:rPr>
        <w:t xml:space="preserve">The information collection </w:t>
      </w:r>
      <w:r w:rsidR="00BE15AF">
        <w:rPr>
          <w:rFonts w:ascii="Times New Roman" w:hAnsi="Times New Roman" w:cs="Times New Roman"/>
          <w:sz w:val="24"/>
          <w:szCs w:val="24"/>
        </w:rPr>
        <w:t xml:space="preserve">proposed by the pilot study is necessary to </w:t>
      </w:r>
      <w:r w:rsidR="00EB3C7E">
        <w:rPr>
          <w:rFonts w:ascii="Times New Roman" w:hAnsi="Times New Roman" w:cs="Times New Roman"/>
          <w:sz w:val="24"/>
          <w:szCs w:val="24"/>
        </w:rPr>
        <w:t xml:space="preserve">inform the technical assistance that </w:t>
      </w:r>
      <w:r>
        <w:rPr>
          <w:rFonts w:ascii="Times New Roman" w:hAnsi="Times New Roman" w:cs="Times New Roman"/>
          <w:sz w:val="24"/>
          <w:szCs w:val="24"/>
        </w:rPr>
        <w:t xml:space="preserve">SAMHSA’s Bringing Recovery Supports to Scale Technical Assistance Center Strategy (BRSS TACS) </w:t>
      </w:r>
      <w:r w:rsidR="006553B4">
        <w:rPr>
          <w:rFonts w:ascii="Times New Roman" w:hAnsi="Times New Roman" w:cs="Times New Roman"/>
          <w:sz w:val="24"/>
          <w:szCs w:val="24"/>
        </w:rPr>
        <w:t>provide</w:t>
      </w:r>
      <w:r w:rsidR="00BE15AF">
        <w:rPr>
          <w:rFonts w:ascii="Times New Roman" w:hAnsi="Times New Roman" w:cs="Times New Roman"/>
          <w:sz w:val="24"/>
          <w:szCs w:val="24"/>
        </w:rPr>
        <w:t xml:space="preserve">s </w:t>
      </w:r>
      <w:r w:rsidR="00C95B1A">
        <w:rPr>
          <w:rFonts w:ascii="Times New Roman" w:hAnsi="Times New Roman" w:cs="Times New Roman"/>
          <w:sz w:val="24"/>
          <w:szCs w:val="24"/>
        </w:rPr>
        <w:t xml:space="preserve">to </w:t>
      </w:r>
      <w:r w:rsidR="006553B4">
        <w:rPr>
          <w:rFonts w:ascii="Times New Roman" w:hAnsi="Times New Roman" w:cs="Times New Roman"/>
          <w:sz w:val="24"/>
          <w:szCs w:val="24"/>
        </w:rPr>
        <w:t>state b</w:t>
      </w:r>
      <w:r w:rsidR="00746047">
        <w:rPr>
          <w:rFonts w:ascii="Times New Roman" w:hAnsi="Times New Roman" w:cs="Times New Roman"/>
          <w:sz w:val="24"/>
          <w:szCs w:val="24"/>
        </w:rPr>
        <w:t>ehavioral health systems</w:t>
      </w:r>
      <w:r w:rsidR="00C95B1A">
        <w:rPr>
          <w:rFonts w:ascii="Times New Roman" w:hAnsi="Times New Roman" w:cs="Times New Roman"/>
          <w:sz w:val="24"/>
          <w:szCs w:val="24"/>
        </w:rPr>
        <w:t xml:space="preserve"> about</w:t>
      </w:r>
      <w:r w:rsidR="00746047">
        <w:rPr>
          <w:rFonts w:ascii="Times New Roman" w:hAnsi="Times New Roman" w:cs="Times New Roman"/>
          <w:sz w:val="24"/>
          <w:szCs w:val="24"/>
        </w:rPr>
        <w:t xml:space="preserve"> </w:t>
      </w:r>
      <w:r w:rsidR="00C36DCA">
        <w:rPr>
          <w:rFonts w:ascii="Times New Roman" w:hAnsi="Times New Roman" w:cs="Times New Roman"/>
          <w:sz w:val="24"/>
          <w:szCs w:val="24"/>
        </w:rPr>
        <w:t>how best to address</w:t>
      </w:r>
      <w:r w:rsidR="00E547B6">
        <w:rPr>
          <w:rFonts w:ascii="Times New Roman" w:hAnsi="Times New Roman" w:cs="Times New Roman"/>
          <w:sz w:val="24"/>
          <w:szCs w:val="24"/>
        </w:rPr>
        <w:t xml:space="preserve"> these challenges.  In this way, SAMH</w:t>
      </w:r>
      <w:r w:rsidR="00C36DCA">
        <w:rPr>
          <w:rFonts w:ascii="Times New Roman" w:hAnsi="Times New Roman" w:cs="Times New Roman"/>
          <w:sz w:val="24"/>
          <w:szCs w:val="24"/>
        </w:rPr>
        <w:t xml:space="preserve">SA can continue its support of </w:t>
      </w:r>
      <w:r w:rsidR="00E547B6">
        <w:rPr>
          <w:rFonts w:ascii="Times New Roman" w:hAnsi="Times New Roman" w:cs="Times New Roman"/>
          <w:sz w:val="24"/>
          <w:szCs w:val="24"/>
        </w:rPr>
        <w:t>ensuring the development of a capable recovery oriented behavioral health workforce in collaboration with grantees, states, territories, tribes, and communities.</w:t>
      </w:r>
    </w:p>
    <w:p w:rsidR="005F376E" w:rsidRDefault="002C441D" w:rsidP="005F376E">
      <w:pPr>
        <w:ind w:firstLine="720"/>
        <w:rPr>
          <w:rFonts w:ascii="Times New Roman" w:hAnsi="Times New Roman"/>
          <w:sz w:val="24"/>
          <w:szCs w:val="24"/>
        </w:rPr>
      </w:pPr>
      <w:r w:rsidRPr="00746047">
        <w:rPr>
          <w:rFonts w:ascii="Times New Roman" w:hAnsi="Times New Roman"/>
          <w:sz w:val="24"/>
          <w:szCs w:val="24"/>
        </w:rPr>
        <w:t>The information collection proposed</w:t>
      </w:r>
      <w:r w:rsidR="005B5B5A" w:rsidRPr="00746047">
        <w:rPr>
          <w:rFonts w:ascii="Times New Roman" w:hAnsi="Times New Roman"/>
          <w:sz w:val="24"/>
          <w:szCs w:val="24"/>
        </w:rPr>
        <w:t xml:space="preserve"> by the pilot study</w:t>
      </w:r>
      <w:r w:rsidRPr="00746047">
        <w:rPr>
          <w:rFonts w:ascii="Times New Roman" w:hAnsi="Times New Roman"/>
          <w:sz w:val="24"/>
          <w:szCs w:val="24"/>
        </w:rPr>
        <w:t xml:space="preserve"> </w:t>
      </w:r>
      <w:r w:rsidR="005B5B5A" w:rsidRPr="00746047">
        <w:rPr>
          <w:rFonts w:ascii="Times New Roman" w:hAnsi="Times New Roman"/>
          <w:sz w:val="24"/>
          <w:szCs w:val="24"/>
        </w:rPr>
        <w:t>will allow BRSS TACS to obtain an overview of the current practices of peer recovery services across state behavioral health systems. Specifically, the study findings can be utilized by BRSS</w:t>
      </w:r>
      <w:r w:rsidR="00746047" w:rsidRPr="00746047">
        <w:rPr>
          <w:rFonts w:ascii="Times New Roman" w:hAnsi="Times New Roman"/>
          <w:sz w:val="24"/>
          <w:szCs w:val="24"/>
        </w:rPr>
        <w:t xml:space="preserve"> TACS to </w:t>
      </w:r>
      <w:r w:rsidR="00746047">
        <w:rPr>
          <w:rFonts w:ascii="Times New Roman" w:hAnsi="Times New Roman"/>
          <w:sz w:val="24"/>
          <w:szCs w:val="24"/>
        </w:rPr>
        <w:t>i</w:t>
      </w:r>
      <w:r w:rsidR="00746047" w:rsidRPr="00746047">
        <w:rPr>
          <w:rFonts w:ascii="Times New Roman" w:hAnsi="Times New Roman"/>
          <w:sz w:val="24"/>
          <w:szCs w:val="24"/>
        </w:rPr>
        <w:t xml:space="preserve">dentify </w:t>
      </w:r>
      <w:r w:rsidR="00746047">
        <w:rPr>
          <w:rFonts w:ascii="Times New Roman" w:hAnsi="Times New Roman"/>
          <w:sz w:val="24"/>
          <w:szCs w:val="24"/>
        </w:rPr>
        <w:t xml:space="preserve">a) </w:t>
      </w:r>
      <w:r w:rsidR="00746047" w:rsidRPr="00746047">
        <w:rPr>
          <w:rFonts w:ascii="Times New Roman" w:hAnsi="Times New Roman"/>
          <w:sz w:val="24"/>
          <w:szCs w:val="24"/>
        </w:rPr>
        <w:t>the funding challenges faced by state mental health and substance abuse agencies and organizations for peer recovery support services;</w:t>
      </w:r>
      <w:r w:rsidR="00746047">
        <w:rPr>
          <w:rFonts w:ascii="Times New Roman" w:hAnsi="Times New Roman"/>
          <w:sz w:val="24"/>
          <w:szCs w:val="24"/>
        </w:rPr>
        <w:t xml:space="preserve"> b) training opportunities</w:t>
      </w:r>
      <w:r w:rsidR="00746047" w:rsidRPr="00746047">
        <w:rPr>
          <w:rFonts w:ascii="Times New Roman" w:hAnsi="Times New Roman"/>
          <w:sz w:val="24"/>
          <w:szCs w:val="24"/>
        </w:rPr>
        <w:t xml:space="preserve"> about the financing and expansion of peer recovery support services in the context of the Affordable Care Act;</w:t>
      </w:r>
      <w:r w:rsidR="00746047">
        <w:rPr>
          <w:rFonts w:ascii="Times New Roman" w:hAnsi="Times New Roman"/>
          <w:sz w:val="24"/>
          <w:szCs w:val="24"/>
        </w:rPr>
        <w:t xml:space="preserve"> c) training opportunities about</w:t>
      </w:r>
      <w:r w:rsidR="00746047" w:rsidRPr="00746047">
        <w:rPr>
          <w:rFonts w:ascii="Times New Roman" w:hAnsi="Times New Roman"/>
          <w:sz w:val="24"/>
          <w:szCs w:val="24"/>
        </w:rPr>
        <w:t xml:space="preserve"> quality assurance issues such as credentialing, core competencies, and supervision of peer personnel in the workforce;</w:t>
      </w:r>
      <w:r w:rsidR="005F376E">
        <w:rPr>
          <w:rFonts w:ascii="Times New Roman" w:hAnsi="Times New Roman"/>
          <w:sz w:val="24"/>
          <w:szCs w:val="24"/>
        </w:rPr>
        <w:t xml:space="preserve"> </w:t>
      </w:r>
      <w:r w:rsidR="004D2B5B">
        <w:rPr>
          <w:rFonts w:ascii="Times New Roman" w:hAnsi="Times New Roman"/>
          <w:sz w:val="24"/>
          <w:szCs w:val="24"/>
        </w:rPr>
        <w:t>d) additional management challenges in peer support services that state mental health and substance abuse agencies and organizations will require guidance about.</w:t>
      </w:r>
    </w:p>
    <w:p w:rsidR="004D2B5B" w:rsidRPr="00746047" w:rsidRDefault="00DA0DD5" w:rsidP="005F376E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BRSS TACS can use these findings to collaborate with the </w:t>
      </w:r>
      <w:r w:rsidR="00C670F0">
        <w:rPr>
          <w:rFonts w:ascii="Times New Roman" w:hAnsi="Times New Roman"/>
          <w:sz w:val="24"/>
          <w:szCs w:val="24"/>
        </w:rPr>
        <w:t>Center</w:t>
      </w:r>
      <w:r w:rsidR="002545C8">
        <w:rPr>
          <w:rFonts w:ascii="Times New Roman" w:hAnsi="Times New Roman"/>
          <w:sz w:val="24"/>
          <w:szCs w:val="24"/>
        </w:rPr>
        <w:t>s</w:t>
      </w:r>
      <w:r w:rsidR="00C670F0">
        <w:rPr>
          <w:rFonts w:ascii="Times New Roman" w:hAnsi="Times New Roman"/>
          <w:sz w:val="24"/>
          <w:szCs w:val="24"/>
        </w:rPr>
        <w:t xml:space="preserve"> for </w:t>
      </w:r>
      <w:r w:rsidR="002545C8">
        <w:rPr>
          <w:rFonts w:ascii="Times New Roman" w:hAnsi="Times New Roman"/>
          <w:sz w:val="24"/>
          <w:szCs w:val="24"/>
        </w:rPr>
        <w:t xml:space="preserve">Medicare and </w:t>
      </w:r>
      <w:r w:rsidR="00C670F0">
        <w:rPr>
          <w:rFonts w:ascii="Times New Roman" w:hAnsi="Times New Roman"/>
          <w:sz w:val="24"/>
          <w:szCs w:val="24"/>
        </w:rPr>
        <w:t xml:space="preserve">Medicaid Services as well as the managed care and insurance industries to </w:t>
      </w:r>
      <w:r>
        <w:rPr>
          <w:rFonts w:ascii="Times New Roman" w:hAnsi="Times New Roman"/>
          <w:sz w:val="24"/>
          <w:szCs w:val="24"/>
        </w:rPr>
        <w:t xml:space="preserve">develop </w:t>
      </w:r>
      <w:r w:rsidR="00C670F0">
        <w:rPr>
          <w:rFonts w:ascii="Times New Roman" w:hAnsi="Times New Roman"/>
          <w:sz w:val="24"/>
          <w:szCs w:val="24"/>
        </w:rPr>
        <w:t>policy guidance and/or training about how state behavioral health authorities can include peer support services within Essen</w:t>
      </w:r>
      <w:r w:rsidR="00362C90">
        <w:rPr>
          <w:rFonts w:ascii="Times New Roman" w:hAnsi="Times New Roman"/>
          <w:sz w:val="24"/>
          <w:szCs w:val="24"/>
        </w:rPr>
        <w:t xml:space="preserve">tial Health Benefit (EHB) plans and explore how to effectively integrate peer support services with </w:t>
      </w:r>
      <w:r w:rsidR="002545C8">
        <w:rPr>
          <w:rFonts w:ascii="Times New Roman" w:hAnsi="Times New Roman"/>
          <w:sz w:val="24"/>
          <w:szCs w:val="24"/>
        </w:rPr>
        <w:t>M</w:t>
      </w:r>
      <w:r w:rsidR="00362C90">
        <w:rPr>
          <w:rFonts w:ascii="Times New Roman" w:hAnsi="Times New Roman"/>
          <w:sz w:val="24"/>
          <w:szCs w:val="24"/>
        </w:rPr>
        <w:t>edic</w:t>
      </w:r>
      <w:r w:rsidR="000F4B7A">
        <w:rPr>
          <w:rFonts w:ascii="Times New Roman" w:hAnsi="Times New Roman"/>
          <w:sz w:val="24"/>
          <w:szCs w:val="24"/>
        </w:rPr>
        <w:t>aid</w:t>
      </w:r>
      <w:r w:rsidR="00362C90">
        <w:rPr>
          <w:rFonts w:ascii="Times New Roman" w:hAnsi="Times New Roman"/>
          <w:sz w:val="24"/>
          <w:szCs w:val="24"/>
        </w:rPr>
        <w:t xml:space="preserve"> populations.</w:t>
      </w:r>
      <w:r w:rsidR="001E54D5">
        <w:rPr>
          <w:rFonts w:ascii="Times New Roman" w:hAnsi="Times New Roman"/>
          <w:sz w:val="24"/>
          <w:szCs w:val="24"/>
        </w:rPr>
        <w:t xml:space="preserve">  These efforts by BRSS TACS are relevant </w:t>
      </w:r>
      <w:r w:rsidR="00B5643F">
        <w:rPr>
          <w:rFonts w:ascii="Times New Roman" w:hAnsi="Times New Roman"/>
          <w:sz w:val="24"/>
          <w:szCs w:val="24"/>
        </w:rPr>
        <w:t xml:space="preserve">for advancing </w:t>
      </w:r>
      <w:r w:rsidR="001E54D5">
        <w:rPr>
          <w:rFonts w:ascii="Times New Roman" w:hAnsi="Times New Roman"/>
          <w:sz w:val="24"/>
          <w:szCs w:val="24"/>
        </w:rPr>
        <w:t>SAMHSA’s strategic initiative to develop and increase best practices for effectively deploying peer</w:t>
      </w:r>
      <w:r w:rsidR="007D07B6">
        <w:rPr>
          <w:rFonts w:ascii="Times New Roman" w:hAnsi="Times New Roman"/>
          <w:sz w:val="24"/>
          <w:szCs w:val="24"/>
        </w:rPr>
        <w:t xml:space="preserve"> recovery</w:t>
      </w:r>
      <w:r w:rsidR="001E54D5">
        <w:rPr>
          <w:rFonts w:ascii="Times New Roman" w:hAnsi="Times New Roman"/>
          <w:sz w:val="24"/>
          <w:szCs w:val="24"/>
        </w:rPr>
        <w:t xml:space="preserve"> support services in integrated healthcare delivery systems as mandated by the Affordable Care Act.</w:t>
      </w:r>
    </w:p>
    <w:p w:rsidR="00B27876" w:rsidRPr="009B1ACE" w:rsidRDefault="00B5643F" w:rsidP="003A73E0">
      <w:pPr>
        <w:rPr>
          <w:rFonts w:ascii="Times New Roman" w:hAnsi="Times New Roman"/>
          <w:b/>
          <w:i/>
          <w:sz w:val="24"/>
          <w:szCs w:val="24"/>
        </w:rPr>
      </w:pPr>
      <w:r w:rsidRPr="00143684">
        <w:rPr>
          <w:rFonts w:ascii="Times New Roman" w:hAnsi="Times New Roman"/>
          <w:b/>
          <w:sz w:val="24"/>
          <w:szCs w:val="24"/>
        </w:rPr>
        <w:t>A</w:t>
      </w:r>
      <w:r w:rsidR="00DC09FB">
        <w:rPr>
          <w:rFonts w:ascii="Times New Roman" w:hAnsi="Times New Roman"/>
          <w:b/>
          <w:sz w:val="24"/>
          <w:szCs w:val="24"/>
        </w:rPr>
        <w:t>3.</w:t>
      </w:r>
      <w:r w:rsidR="00DC09FB">
        <w:rPr>
          <w:rFonts w:ascii="Times New Roman" w:hAnsi="Times New Roman"/>
          <w:b/>
          <w:sz w:val="24"/>
          <w:szCs w:val="24"/>
        </w:rPr>
        <w:tab/>
      </w:r>
      <w:r w:rsidR="00DC09FB">
        <w:rPr>
          <w:rFonts w:ascii="Times New Roman" w:hAnsi="Times New Roman"/>
          <w:b/>
          <w:i/>
          <w:sz w:val="24"/>
          <w:szCs w:val="24"/>
        </w:rPr>
        <w:t>Use of Information</w:t>
      </w:r>
      <w:r w:rsidR="00B27876" w:rsidRPr="009B1ACE">
        <w:rPr>
          <w:rFonts w:ascii="Times New Roman" w:hAnsi="Times New Roman"/>
          <w:b/>
          <w:i/>
          <w:sz w:val="24"/>
          <w:szCs w:val="24"/>
        </w:rPr>
        <w:t xml:space="preserve"> Technology</w:t>
      </w:r>
    </w:p>
    <w:p w:rsidR="00067B9C" w:rsidRPr="00067B9C" w:rsidRDefault="00067B9C" w:rsidP="00067B9C">
      <w:pPr>
        <w:pStyle w:val="NoSpacing"/>
      </w:pPr>
      <w:r w:rsidRPr="009D7A12">
        <w:tab/>
      </w:r>
      <w:r w:rsidRPr="009B1ACE">
        <w:rPr>
          <w:rFonts w:ascii="Times New Roman" w:hAnsi="Times New Roman" w:cs="Times New Roman"/>
          <w:sz w:val="24"/>
          <w:szCs w:val="24"/>
        </w:rPr>
        <w:t>The collection of information for the proposed pilot st</w:t>
      </w:r>
      <w:r w:rsidRPr="00067B9C">
        <w:rPr>
          <w:rFonts w:ascii="Times New Roman" w:hAnsi="Times New Roman" w:cs="Times New Roman"/>
          <w:sz w:val="24"/>
          <w:szCs w:val="24"/>
        </w:rPr>
        <w:t>udy will be gathered via phone</w:t>
      </w:r>
      <w:r>
        <w:rPr>
          <w:rFonts w:ascii="Times New Roman" w:hAnsi="Times New Roman" w:cs="Times New Roman"/>
          <w:sz w:val="24"/>
          <w:szCs w:val="24"/>
        </w:rPr>
        <w:t xml:space="preserve"> interviews with representatives of state mental health and substance abuse agencies and </w:t>
      </w:r>
      <w:r w:rsidR="00C72B42">
        <w:rPr>
          <w:rFonts w:ascii="Times New Roman" w:hAnsi="Times New Roman" w:cs="Times New Roman"/>
          <w:sz w:val="24"/>
          <w:szCs w:val="24"/>
        </w:rPr>
        <w:t xml:space="preserve">grassroots </w:t>
      </w:r>
      <w:r>
        <w:rPr>
          <w:rFonts w:ascii="Times New Roman" w:hAnsi="Times New Roman" w:cs="Times New Roman"/>
          <w:sz w:val="24"/>
          <w:szCs w:val="24"/>
        </w:rPr>
        <w:t>organizations</w:t>
      </w:r>
      <w:r w:rsidR="00C72B42">
        <w:rPr>
          <w:rFonts w:ascii="Times New Roman" w:hAnsi="Times New Roman" w:cs="Times New Roman"/>
          <w:sz w:val="24"/>
          <w:szCs w:val="24"/>
        </w:rPr>
        <w:t xml:space="preserve"> within the states contacted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A421CF">
        <w:rPr>
          <w:rFonts w:ascii="Times New Roman" w:hAnsi="Times New Roman" w:cs="Times New Roman"/>
          <w:sz w:val="24"/>
          <w:szCs w:val="24"/>
        </w:rPr>
        <w:t xml:space="preserve">In the event that some respondents need additional time to respond or elaborate further to a particular question, they will be given an additional week to submit their responses </w:t>
      </w:r>
      <w:r w:rsidR="00944513">
        <w:rPr>
          <w:rFonts w:ascii="Times New Roman" w:hAnsi="Times New Roman" w:cs="Times New Roman"/>
          <w:sz w:val="24"/>
          <w:szCs w:val="24"/>
        </w:rPr>
        <w:t xml:space="preserve">electronically </w:t>
      </w:r>
      <w:r w:rsidR="00A421CF">
        <w:rPr>
          <w:rFonts w:ascii="Times New Roman" w:hAnsi="Times New Roman" w:cs="Times New Roman"/>
          <w:sz w:val="24"/>
          <w:szCs w:val="24"/>
        </w:rPr>
        <w:t xml:space="preserve">via email to the principal investigator. </w:t>
      </w:r>
      <w:r w:rsidR="00944513">
        <w:rPr>
          <w:rFonts w:ascii="Times New Roman" w:hAnsi="Times New Roman" w:cs="Times New Roman"/>
          <w:sz w:val="24"/>
          <w:szCs w:val="24"/>
        </w:rPr>
        <w:lastRenderedPageBreak/>
        <w:t xml:space="preserve">The questions flagged by representatives for a later response will be noted in the thank you email sent to representatives for their participation in the study. </w:t>
      </w:r>
    </w:p>
    <w:p w:rsidR="000E3CB2" w:rsidRPr="006633B8" w:rsidRDefault="006633B8" w:rsidP="006633B8">
      <w:pPr>
        <w:spacing w:before="144" w:after="144" w:line="240" w:lineRule="auto"/>
        <w:ind w:left="-300" w:right="144"/>
        <w:rPr>
          <w:rFonts w:ascii="Times New Roman" w:eastAsia="Times New Roman" w:hAnsi="Times New Roman"/>
          <w:b/>
          <w:i/>
          <w:sz w:val="24"/>
          <w:szCs w:val="24"/>
        </w:rPr>
      </w:pPr>
      <w:r w:rsidRPr="006633B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E0B84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C09FB" w:rsidRPr="00143684">
        <w:rPr>
          <w:rFonts w:ascii="Times New Roman" w:hAnsi="Times New Roman"/>
          <w:b/>
          <w:sz w:val="24"/>
          <w:szCs w:val="24"/>
        </w:rPr>
        <w:t>A</w:t>
      </w:r>
      <w:r w:rsidR="00DC09FB">
        <w:rPr>
          <w:rFonts w:ascii="Times New Roman" w:hAnsi="Times New Roman"/>
          <w:b/>
          <w:sz w:val="24"/>
          <w:szCs w:val="24"/>
        </w:rPr>
        <w:t>4.</w:t>
      </w:r>
      <w:r w:rsidR="00DC09FB">
        <w:rPr>
          <w:rFonts w:ascii="Times New Roman" w:hAnsi="Times New Roman"/>
          <w:b/>
          <w:sz w:val="24"/>
          <w:szCs w:val="24"/>
        </w:rPr>
        <w:tab/>
      </w:r>
      <w:r w:rsidR="00DC09FB">
        <w:rPr>
          <w:rFonts w:ascii="Times New Roman" w:eastAsia="Times New Roman" w:hAnsi="Times New Roman"/>
          <w:b/>
          <w:i/>
          <w:sz w:val="24"/>
          <w:szCs w:val="24"/>
        </w:rPr>
        <w:t xml:space="preserve">Efforts to </w:t>
      </w:r>
      <w:r w:rsidR="000E3CB2" w:rsidRPr="006633B8">
        <w:rPr>
          <w:rFonts w:ascii="Times New Roman" w:eastAsia="Times New Roman" w:hAnsi="Times New Roman"/>
          <w:b/>
          <w:i/>
          <w:sz w:val="24"/>
          <w:szCs w:val="24"/>
        </w:rPr>
        <w:t xml:space="preserve">Identify </w:t>
      </w:r>
      <w:r w:rsidR="000E3CB2" w:rsidRPr="003E2EE7">
        <w:rPr>
          <w:rFonts w:ascii="Times New Roman" w:eastAsia="Times New Roman" w:hAnsi="Times New Roman"/>
          <w:b/>
          <w:i/>
          <w:sz w:val="24"/>
          <w:szCs w:val="24"/>
        </w:rPr>
        <w:t>Duplication</w:t>
      </w:r>
      <w:r w:rsidR="00DC09FB">
        <w:rPr>
          <w:rFonts w:ascii="Times New Roman" w:eastAsia="Times New Roman" w:hAnsi="Times New Roman"/>
          <w:b/>
          <w:i/>
          <w:sz w:val="24"/>
          <w:szCs w:val="24"/>
        </w:rPr>
        <w:t xml:space="preserve"> and Use </w:t>
      </w:r>
      <w:r w:rsidR="000E3CB2" w:rsidRPr="006633B8">
        <w:rPr>
          <w:rFonts w:ascii="Times New Roman" w:eastAsia="Times New Roman" w:hAnsi="Times New Roman"/>
          <w:b/>
          <w:i/>
          <w:sz w:val="24"/>
          <w:szCs w:val="24"/>
        </w:rPr>
        <w:t>of Similar Information</w:t>
      </w:r>
    </w:p>
    <w:p w:rsidR="00A42A2F" w:rsidRDefault="000E3CB2" w:rsidP="0059176C">
      <w:pPr>
        <w:pStyle w:val="Default"/>
        <w:ind w:right="140" w:firstLine="720"/>
      </w:pPr>
      <w:r w:rsidRPr="006633B8">
        <w:t xml:space="preserve">The data collection proposed for this pilot study </w:t>
      </w:r>
      <w:r w:rsidR="006633B8">
        <w:t>of</w:t>
      </w:r>
      <w:r w:rsidR="00DC5F69">
        <w:t xml:space="preserve"> peer recovery support service</w:t>
      </w:r>
      <w:r w:rsidRPr="006633B8">
        <w:t xml:space="preserve"> providers is not available elsewhere, is not duplicative, and is seen as critically valuable for t</w:t>
      </w:r>
      <w:r w:rsidR="006633B8">
        <w:t xml:space="preserve">echnical assistance and support </w:t>
      </w:r>
      <w:r w:rsidRPr="006633B8">
        <w:t xml:space="preserve">of peer recovery services </w:t>
      </w:r>
      <w:r w:rsidR="006633B8">
        <w:t>provided to behavioral health systems by BRSS TACS</w:t>
      </w:r>
      <w:r w:rsidRPr="006633B8">
        <w:t xml:space="preserve">. </w:t>
      </w:r>
      <w:r w:rsidR="00A42A2F">
        <w:t xml:space="preserve"> Given the present </w:t>
      </w:r>
      <w:r w:rsidR="002F671A">
        <w:t>health</w:t>
      </w:r>
      <w:r w:rsidR="00A42A2F">
        <w:t xml:space="preserve"> policy landscape- most notably,</w:t>
      </w:r>
      <w:r w:rsidR="002F671A">
        <w:t xml:space="preserve"> the pass</w:t>
      </w:r>
      <w:r w:rsidR="00FE3E7D">
        <w:t>age of the Affordable Care Act</w:t>
      </w:r>
      <w:r w:rsidR="00A42A2F">
        <w:t xml:space="preserve"> -</w:t>
      </w:r>
      <w:r w:rsidR="00FE3E7D">
        <w:t xml:space="preserve"> and the continued growth of </w:t>
      </w:r>
      <w:r w:rsidR="00154E67">
        <w:t xml:space="preserve">peer support services, </w:t>
      </w:r>
      <w:r w:rsidR="00A42A2F">
        <w:t>t</w:t>
      </w:r>
      <w:r w:rsidR="00686BF6">
        <w:t>he findings from the proposed pi</w:t>
      </w:r>
      <w:r w:rsidR="00D324CC">
        <w:t>lot</w:t>
      </w:r>
      <w:r w:rsidR="00154E67">
        <w:t xml:space="preserve"> can </w:t>
      </w:r>
      <w:r w:rsidR="00EE518D">
        <w:t xml:space="preserve">provide updated information about the </w:t>
      </w:r>
      <w:r w:rsidR="00A42A2F">
        <w:t>current strategies</w:t>
      </w:r>
      <w:r w:rsidR="00EE518D">
        <w:t xml:space="preserve"> </w:t>
      </w:r>
      <w:r w:rsidR="008B60D2">
        <w:t xml:space="preserve">and challenges </w:t>
      </w:r>
      <w:r w:rsidR="00EE518D">
        <w:t xml:space="preserve">of </w:t>
      </w:r>
      <w:r w:rsidR="00360C2D">
        <w:t xml:space="preserve">state and local </w:t>
      </w:r>
      <w:r w:rsidR="00EE518D">
        <w:t xml:space="preserve">behavioral health systems </w:t>
      </w:r>
      <w:r w:rsidR="00A42A2F">
        <w:t xml:space="preserve">to implement, finance, and sustain peer recovery services. </w:t>
      </w:r>
    </w:p>
    <w:p w:rsidR="00613E54" w:rsidRDefault="00613E54" w:rsidP="00EE0B84">
      <w:pPr>
        <w:pStyle w:val="Default"/>
        <w:ind w:right="140"/>
      </w:pPr>
    </w:p>
    <w:p w:rsidR="00386493" w:rsidRDefault="00DC5F69" w:rsidP="0059176C">
      <w:pPr>
        <w:pStyle w:val="Default"/>
        <w:ind w:right="140" w:firstLine="720"/>
      </w:pPr>
      <w:r>
        <w:t xml:space="preserve">Although </w:t>
      </w:r>
      <w:r w:rsidR="00F920B9">
        <w:t>two earlier snapsh</w:t>
      </w:r>
      <w:r w:rsidR="00A1768A">
        <w:t>ots</w:t>
      </w:r>
      <w:r w:rsidR="00F920B9">
        <w:t xml:space="preserve"> of peer recovery support services </w:t>
      </w:r>
      <w:r w:rsidR="00360C2D">
        <w:t xml:space="preserve">were </w:t>
      </w:r>
      <w:r w:rsidR="00613E54">
        <w:t>conducted</w:t>
      </w:r>
      <w:r w:rsidR="008B60D2">
        <w:t xml:space="preserve"> on behalf of SAMHSA</w:t>
      </w:r>
      <w:r>
        <w:t>, they are</w:t>
      </w:r>
      <w:r w:rsidR="00613E54">
        <w:t xml:space="preserve"> limited t</w:t>
      </w:r>
      <w:r w:rsidR="00032E73">
        <w:t>o a</w:t>
      </w:r>
      <w:r w:rsidR="00360C2D">
        <w:t xml:space="preserve"> siloed </w:t>
      </w:r>
      <w:r w:rsidR="00032E73">
        <w:t xml:space="preserve">examination of </w:t>
      </w:r>
      <w:r w:rsidR="003900B7">
        <w:t>the financ</w:t>
      </w:r>
      <w:r w:rsidR="009B1ACE">
        <w:t>ing</w:t>
      </w:r>
      <w:r w:rsidR="003900B7">
        <w:t xml:space="preserve"> of </w:t>
      </w:r>
      <w:r w:rsidR="00032E73">
        <w:t>peer re</w:t>
      </w:r>
      <w:r w:rsidR="003900B7">
        <w:t>covery services</w:t>
      </w:r>
      <w:r w:rsidR="00032E73">
        <w:t xml:space="preserve"> for addiction</w:t>
      </w:r>
      <w:r w:rsidR="00B1488C">
        <w:t xml:space="preserve"> (</w:t>
      </w:r>
      <w:r w:rsidR="00A1768A">
        <w:t>2010)</w:t>
      </w:r>
      <w:r>
        <w:t xml:space="preserve"> </w:t>
      </w:r>
      <w:r w:rsidR="00360C2D">
        <w:t xml:space="preserve">and </w:t>
      </w:r>
      <w:r w:rsidR="00032E73">
        <w:t>mental health</w:t>
      </w:r>
      <w:r w:rsidR="00B1488C">
        <w:t xml:space="preserve"> (</w:t>
      </w:r>
      <w:r w:rsidR="00A1768A">
        <w:t>2012)</w:t>
      </w:r>
      <w:r w:rsidR="00032E73">
        <w:t>.</w:t>
      </w:r>
      <w:r w:rsidR="00613E54">
        <w:t xml:space="preserve">  </w:t>
      </w:r>
      <w:r w:rsidR="0001343B">
        <w:t xml:space="preserve">The proposed pilot aims to provide a </w:t>
      </w:r>
      <w:r w:rsidR="00D65135">
        <w:t xml:space="preserve">broader </w:t>
      </w:r>
      <w:r w:rsidR="0001343B">
        <w:t>portrait of the state of peer recovery support services for both addiction and mental health</w:t>
      </w:r>
      <w:r w:rsidR="003900B7">
        <w:t xml:space="preserve"> within the context of the Affordable Care Act.</w:t>
      </w:r>
    </w:p>
    <w:p w:rsidR="00386493" w:rsidRDefault="00386493" w:rsidP="00EE0B84">
      <w:pPr>
        <w:pStyle w:val="Default"/>
        <w:ind w:right="140"/>
      </w:pPr>
    </w:p>
    <w:p w:rsidR="00EE0B84" w:rsidRDefault="008B60D2" w:rsidP="0059176C">
      <w:pPr>
        <w:pStyle w:val="Default"/>
        <w:ind w:right="140" w:firstLine="720"/>
      </w:pPr>
      <w:r>
        <w:t>Additionally, efforts</w:t>
      </w:r>
      <w:r w:rsidR="000E3CB2" w:rsidRPr="006633B8">
        <w:t xml:space="preserve"> were made to </w:t>
      </w:r>
      <w:r w:rsidR="009E6A99">
        <w:t xml:space="preserve">utilize </w:t>
      </w:r>
      <w:r w:rsidR="000E3CB2" w:rsidRPr="006633B8">
        <w:t>valid questions for ascertaining operations and funding structures of peer recovery support services</w:t>
      </w:r>
      <w:r w:rsidR="009E6A99">
        <w:t xml:space="preserve">. </w:t>
      </w:r>
      <w:r w:rsidR="009B1ACE">
        <w:t>T</w:t>
      </w:r>
      <w:r w:rsidR="009E6A99">
        <w:t xml:space="preserve">he questions </w:t>
      </w:r>
      <w:r w:rsidR="009B1ACE">
        <w:t>in</w:t>
      </w:r>
      <w:r w:rsidR="009E6A99">
        <w:t xml:space="preserve"> the interview guide for the proposed pilot w</w:t>
      </w:r>
      <w:r w:rsidR="009B1ACE">
        <w:t>ere</w:t>
      </w:r>
      <w:r w:rsidR="009E6A99">
        <w:t xml:space="preserve"> developed in collaboration with the committee members of  SAMHSA’s strategic initiative for recovery services. </w:t>
      </w:r>
    </w:p>
    <w:p w:rsidR="00EE0B84" w:rsidRDefault="00EE0B84" w:rsidP="00EE0B84">
      <w:pPr>
        <w:pStyle w:val="Default"/>
        <w:ind w:right="140"/>
      </w:pPr>
    </w:p>
    <w:p w:rsidR="000E3CB2" w:rsidRPr="00EE0B84" w:rsidRDefault="00DC09FB" w:rsidP="00EE0B84">
      <w:pPr>
        <w:pStyle w:val="Default"/>
        <w:ind w:right="140"/>
        <w:rPr>
          <w:i/>
        </w:rPr>
      </w:pPr>
      <w:r>
        <w:rPr>
          <w:b/>
          <w:i/>
        </w:rPr>
        <w:t>A5.</w:t>
      </w:r>
      <w:r>
        <w:rPr>
          <w:b/>
          <w:i/>
        </w:rPr>
        <w:tab/>
        <w:t xml:space="preserve">Impact on Small Businesses or Other </w:t>
      </w:r>
      <w:r w:rsidR="000E3CB2" w:rsidRPr="00EE0B84">
        <w:rPr>
          <w:b/>
          <w:i/>
        </w:rPr>
        <w:t>Small Entities</w:t>
      </w:r>
    </w:p>
    <w:p w:rsidR="006F7FAC" w:rsidRDefault="006F7FAC" w:rsidP="0059176C">
      <w:pPr>
        <w:pStyle w:val="Default"/>
        <w:ind w:right="140" w:firstLine="720"/>
        <w:outlineLvl w:val="0"/>
      </w:pPr>
    </w:p>
    <w:p w:rsidR="000E3CB2" w:rsidRPr="006633B8" w:rsidRDefault="000E3CB2" w:rsidP="0059176C">
      <w:pPr>
        <w:pStyle w:val="Default"/>
        <w:ind w:right="140" w:firstLine="720"/>
        <w:outlineLvl w:val="0"/>
      </w:pPr>
      <w:r w:rsidRPr="006633B8">
        <w:t xml:space="preserve">The participating organizations vary from small entities to large provider organizations or </w:t>
      </w:r>
      <w:r w:rsidR="006948BA">
        <w:t xml:space="preserve">State </w:t>
      </w:r>
      <w:r w:rsidRPr="006633B8">
        <w:t>agencies.  Every effort has been made to minimize the number of data items collected from programs to the least required to accomplish the objectives of the effort</w:t>
      </w:r>
      <w:r w:rsidR="00DC09FB">
        <w:t>.</w:t>
      </w:r>
      <w:r w:rsidRPr="006633B8">
        <w:t xml:space="preserve"> </w:t>
      </w:r>
    </w:p>
    <w:p w:rsidR="000E3CB2" w:rsidRPr="006633B8" w:rsidRDefault="000E3CB2" w:rsidP="000E3CB2">
      <w:pPr>
        <w:pStyle w:val="Default"/>
        <w:ind w:right="140"/>
        <w:outlineLvl w:val="0"/>
        <w:rPr>
          <w:iCs/>
          <w:color w:val="auto"/>
        </w:rPr>
      </w:pPr>
    </w:p>
    <w:p w:rsidR="000E3CB2" w:rsidRPr="00EE0B84" w:rsidRDefault="00DC09FB" w:rsidP="00EE0B84">
      <w:pPr>
        <w:spacing w:before="144" w:after="144" w:line="240" w:lineRule="auto"/>
        <w:ind w:left="-300" w:right="144" w:firstLine="30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A6.</w:t>
      </w:r>
      <w:r>
        <w:rPr>
          <w:rFonts w:ascii="Times New Roman" w:eastAsia="Times New Roman" w:hAnsi="Times New Roman"/>
          <w:b/>
          <w:i/>
          <w:sz w:val="24"/>
          <w:szCs w:val="24"/>
        </w:rPr>
        <w:tab/>
        <w:t xml:space="preserve">Consequences of Collecting the </w:t>
      </w:r>
      <w:r w:rsidR="000E3CB2" w:rsidRPr="00EE0B84">
        <w:rPr>
          <w:rFonts w:ascii="Times New Roman" w:eastAsia="Times New Roman" w:hAnsi="Times New Roman"/>
          <w:b/>
          <w:i/>
          <w:sz w:val="24"/>
          <w:szCs w:val="24"/>
        </w:rPr>
        <w:t>Information Less Frequently</w:t>
      </w:r>
    </w:p>
    <w:p w:rsidR="000E3CB2" w:rsidRDefault="000E3CB2" w:rsidP="0059176C">
      <w:pPr>
        <w:pStyle w:val="Default"/>
        <w:ind w:left="60" w:right="140" w:firstLine="660"/>
      </w:pPr>
      <w:r w:rsidRPr="006633B8">
        <w:t>As this is a proposed pilot study, the scheduled data collection will occur only once. Each respondent is asked to respond to questions and follow</w:t>
      </w:r>
      <w:r w:rsidR="00360C2D">
        <w:t>-</w:t>
      </w:r>
      <w:r w:rsidRPr="006633B8">
        <w:t>up probes during one interview.</w:t>
      </w:r>
      <w:r w:rsidR="00CD3C27">
        <w:t xml:space="preserve"> </w:t>
      </w:r>
      <w:r w:rsidR="003931C6">
        <w:t xml:space="preserve">However, if the need arises where some respondents need additional time to respond or elaborate further </w:t>
      </w:r>
      <w:r w:rsidR="00360C2D">
        <w:t xml:space="preserve">on </w:t>
      </w:r>
      <w:r w:rsidR="003931C6">
        <w:t>a particular question, they will be given an additional week to submit their responses electronically via email to the principal investigator. The questions flagged by representatives for a later response will be noted in the thank you email sent to representatives for their participation in the study</w:t>
      </w:r>
    </w:p>
    <w:p w:rsidR="000244BF" w:rsidRPr="006633B8" w:rsidRDefault="000244BF" w:rsidP="000E3CB2">
      <w:pPr>
        <w:pStyle w:val="Default"/>
        <w:ind w:left="60" w:right="140"/>
      </w:pPr>
    </w:p>
    <w:p w:rsidR="000E3CB2" w:rsidRPr="00EE0B84" w:rsidRDefault="00DC09FB" w:rsidP="00EE0B84">
      <w:pPr>
        <w:pStyle w:val="Default"/>
        <w:ind w:left="-300" w:right="140" w:firstLine="300"/>
        <w:rPr>
          <w:b/>
          <w:bCs/>
          <w:i/>
        </w:rPr>
      </w:pPr>
      <w:r>
        <w:rPr>
          <w:b/>
          <w:bCs/>
          <w:i/>
        </w:rPr>
        <w:t>A7.</w:t>
      </w:r>
      <w:r>
        <w:rPr>
          <w:b/>
          <w:bCs/>
          <w:i/>
        </w:rPr>
        <w:tab/>
        <w:t xml:space="preserve">Consistency with </w:t>
      </w:r>
      <w:r w:rsidR="000E3CB2" w:rsidRPr="00EE0B84">
        <w:rPr>
          <w:b/>
          <w:bCs/>
          <w:i/>
        </w:rPr>
        <w:t xml:space="preserve">the Guidelines in 5 CFR 1320.5(d) (2) </w:t>
      </w:r>
    </w:p>
    <w:p w:rsidR="000E3CB2" w:rsidRPr="006633B8" w:rsidRDefault="000E3CB2" w:rsidP="000E3CB2">
      <w:pPr>
        <w:pStyle w:val="Default"/>
        <w:ind w:right="140"/>
      </w:pPr>
    </w:p>
    <w:p w:rsidR="000E3CB2" w:rsidRPr="006633B8" w:rsidRDefault="000E3CB2" w:rsidP="0059176C">
      <w:pPr>
        <w:pStyle w:val="Default"/>
        <w:ind w:right="140" w:firstLine="720"/>
        <w:outlineLvl w:val="0"/>
      </w:pPr>
      <w:r w:rsidRPr="006633B8">
        <w:t xml:space="preserve">This information collection fully complies with 5 CFR 1320.5(d) (2).  </w:t>
      </w:r>
    </w:p>
    <w:p w:rsidR="003E2EE7" w:rsidRDefault="003E2EE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:rsidR="000E3CB2" w:rsidRPr="00EE0B84" w:rsidRDefault="00DC09FB" w:rsidP="00EE0B84">
      <w:pPr>
        <w:pStyle w:val="Default"/>
        <w:ind w:left="-300" w:right="140" w:firstLine="300"/>
        <w:rPr>
          <w:i/>
          <w:color w:val="FF0000"/>
        </w:rPr>
      </w:pPr>
      <w:r w:rsidRPr="006F7FAC">
        <w:rPr>
          <w:b/>
          <w:bCs/>
          <w:i/>
        </w:rPr>
        <w:lastRenderedPageBreak/>
        <w:t>A8</w:t>
      </w:r>
      <w:r>
        <w:rPr>
          <w:b/>
          <w:bCs/>
          <w:i/>
        </w:rPr>
        <w:t>.</w:t>
      </w:r>
      <w:r>
        <w:rPr>
          <w:b/>
          <w:bCs/>
          <w:i/>
        </w:rPr>
        <w:tab/>
      </w:r>
      <w:r w:rsidR="000E3CB2" w:rsidRPr="00EE0B84">
        <w:rPr>
          <w:b/>
          <w:bCs/>
          <w:i/>
        </w:rPr>
        <w:t>Consultation Outside the Agency</w:t>
      </w:r>
      <w:r w:rsidR="000E3CB2" w:rsidRPr="00EE0B84">
        <w:rPr>
          <w:b/>
          <w:bCs/>
          <w:i/>
          <w:color w:val="FF0000"/>
        </w:rPr>
        <w:t xml:space="preserve"> </w:t>
      </w:r>
    </w:p>
    <w:p w:rsidR="006F7FAC" w:rsidRDefault="0059176C" w:rsidP="000E3CB2">
      <w:pPr>
        <w:pStyle w:val="Default"/>
        <w:ind w:right="140"/>
      </w:pPr>
      <w:r>
        <w:t xml:space="preserve"> </w:t>
      </w:r>
      <w:r>
        <w:tab/>
      </w:r>
      <w:r w:rsidR="00DC09FB">
        <w:tab/>
      </w:r>
    </w:p>
    <w:p w:rsidR="000E3CB2" w:rsidRDefault="00DC09FB" w:rsidP="006F7FAC">
      <w:pPr>
        <w:pStyle w:val="Default"/>
        <w:ind w:right="140" w:firstLine="720"/>
      </w:pPr>
      <w:r>
        <w:t xml:space="preserve">The notice required by 5 CFR 1320.8(d) was published in the Federal Register on </w:t>
      </w:r>
      <w:r w:rsidR="00893652">
        <w:t xml:space="preserve">December </w:t>
      </w:r>
      <w:r w:rsidR="00530E73">
        <w:t>2</w:t>
      </w:r>
      <w:r w:rsidR="005D099D">
        <w:t>4</w:t>
      </w:r>
      <w:r>
        <w:t>, 201</w:t>
      </w:r>
      <w:r w:rsidR="00893652">
        <w:t>3</w:t>
      </w:r>
      <w:r>
        <w:t xml:space="preserve"> (7</w:t>
      </w:r>
      <w:r w:rsidR="00893652">
        <w:t>8</w:t>
      </w:r>
      <w:r>
        <w:t xml:space="preserve"> FR </w:t>
      </w:r>
      <w:r w:rsidR="005D099D">
        <w:t>77693</w:t>
      </w:r>
      <w:r>
        <w:t xml:space="preserve">).  </w:t>
      </w:r>
      <w:r w:rsidR="005D099D">
        <w:t>No comments were received.</w:t>
      </w:r>
    </w:p>
    <w:p w:rsidR="0059176C" w:rsidRPr="006633B8" w:rsidRDefault="0059176C" w:rsidP="000E3CB2">
      <w:pPr>
        <w:pStyle w:val="Default"/>
        <w:ind w:right="140"/>
      </w:pPr>
    </w:p>
    <w:p w:rsidR="000E3CB2" w:rsidRPr="007C5401" w:rsidRDefault="00DC09FB" w:rsidP="007C5401">
      <w:pPr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 w:val="24"/>
          <w:szCs w:val="24"/>
        </w:rPr>
      </w:pPr>
      <w:r w:rsidRPr="006F7FAC">
        <w:rPr>
          <w:rFonts w:ascii="Times New Roman" w:hAnsi="Times New Roman" w:cs="Times New Roman"/>
          <w:b/>
          <w:i/>
          <w:sz w:val="24"/>
          <w:szCs w:val="24"/>
        </w:rPr>
        <w:t>A9.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0E3CB2" w:rsidRPr="00EE0B84">
        <w:rPr>
          <w:rFonts w:ascii="Times New Roman" w:hAnsi="Times New Roman" w:cs="Times New Roman"/>
          <w:b/>
          <w:i/>
          <w:sz w:val="24"/>
          <w:szCs w:val="24"/>
        </w:rPr>
        <w:t>Payments to Respondents</w:t>
      </w:r>
    </w:p>
    <w:p w:rsidR="000E3CB2" w:rsidRPr="00EE0B84" w:rsidRDefault="000E3CB2" w:rsidP="0089365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EE0B84">
        <w:rPr>
          <w:rFonts w:ascii="Times New Roman" w:hAnsi="Times New Roman" w:cs="Times New Roman"/>
          <w:sz w:val="24"/>
          <w:szCs w:val="24"/>
        </w:rPr>
        <w:t xml:space="preserve">Respondents will not receive </w:t>
      </w:r>
      <w:r w:rsidR="006F7FAC">
        <w:rPr>
          <w:rFonts w:ascii="Times New Roman" w:hAnsi="Times New Roman" w:cs="Times New Roman"/>
          <w:sz w:val="24"/>
          <w:szCs w:val="24"/>
        </w:rPr>
        <w:t>any payments</w:t>
      </w:r>
      <w:r w:rsidRPr="00EE0B84">
        <w:rPr>
          <w:rFonts w:ascii="Times New Roman" w:hAnsi="Times New Roman" w:cs="Times New Roman"/>
          <w:sz w:val="24"/>
          <w:szCs w:val="24"/>
        </w:rPr>
        <w:t>.</w:t>
      </w:r>
    </w:p>
    <w:p w:rsidR="005D099D" w:rsidRDefault="005D099D" w:rsidP="00EE0B84">
      <w:pPr>
        <w:ind w:left="-300"/>
        <w:rPr>
          <w:rFonts w:ascii="Times New Roman" w:hAnsi="Times New Roman"/>
          <w:b/>
          <w:sz w:val="24"/>
          <w:szCs w:val="24"/>
        </w:rPr>
      </w:pPr>
    </w:p>
    <w:p w:rsidR="000E3CB2" w:rsidRPr="00EE0B84" w:rsidRDefault="000E3CB2" w:rsidP="00EE0B84">
      <w:pPr>
        <w:ind w:left="-300"/>
        <w:rPr>
          <w:rFonts w:ascii="Times New Roman" w:hAnsi="Times New Roman"/>
          <w:b/>
          <w:i/>
          <w:sz w:val="24"/>
          <w:szCs w:val="24"/>
        </w:rPr>
      </w:pPr>
      <w:r w:rsidRPr="00EE0B84">
        <w:rPr>
          <w:rFonts w:ascii="Times New Roman" w:hAnsi="Times New Roman"/>
          <w:b/>
          <w:sz w:val="24"/>
          <w:szCs w:val="24"/>
        </w:rPr>
        <w:t xml:space="preserve"> </w:t>
      </w:r>
      <w:r w:rsidR="00EE0B84">
        <w:rPr>
          <w:rFonts w:ascii="Times New Roman" w:hAnsi="Times New Roman"/>
          <w:b/>
          <w:sz w:val="24"/>
          <w:szCs w:val="24"/>
        </w:rPr>
        <w:tab/>
      </w:r>
      <w:r w:rsidR="006F7FAC" w:rsidRPr="006F7FAC">
        <w:rPr>
          <w:rFonts w:ascii="Times New Roman" w:hAnsi="Times New Roman"/>
          <w:b/>
          <w:i/>
          <w:sz w:val="24"/>
          <w:szCs w:val="24"/>
        </w:rPr>
        <w:t>A10.</w:t>
      </w:r>
      <w:r w:rsidR="006F7FAC">
        <w:rPr>
          <w:rFonts w:ascii="Times New Roman" w:hAnsi="Times New Roman"/>
          <w:b/>
          <w:sz w:val="24"/>
          <w:szCs w:val="24"/>
        </w:rPr>
        <w:tab/>
      </w:r>
      <w:r w:rsidRPr="00EE0B84">
        <w:rPr>
          <w:rFonts w:ascii="Times New Roman" w:hAnsi="Times New Roman"/>
          <w:b/>
          <w:i/>
          <w:sz w:val="24"/>
          <w:szCs w:val="24"/>
        </w:rPr>
        <w:t xml:space="preserve">Assurance of Confidentiality </w:t>
      </w:r>
    </w:p>
    <w:p w:rsidR="000E3CB2" w:rsidRPr="006633B8" w:rsidRDefault="000E3CB2" w:rsidP="0059176C">
      <w:pPr>
        <w:pStyle w:val="Default"/>
        <w:ind w:right="140" w:firstLine="720"/>
        <w:rPr>
          <w:color w:val="auto"/>
        </w:rPr>
      </w:pPr>
      <w:r w:rsidRPr="006633B8">
        <w:rPr>
          <w:color w:val="auto"/>
        </w:rPr>
        <w:t>SAMHSA has concurred that this collection of data is subject IRB review, hence consent for participation in this study will be obtained.</w:t>
      </w:r>
      <w:r w:rsidR="003E2EE7">
        <w:rPr>
          <w:color w:val="auto"/>
        </w:rPr>
        <w:t xml:space="preserve"> </w:t>
      </w:r>
      <w:r w:rsidR="003E2EE7" w:rsidRPr="006B76B5">
        <w:rPr>
          <w:color w:val="auto"/>
        </w:rPr>
        <w:t>IRB approval for the proposed study is currently under review.</w:t>
      </w:r>
      <w:r w:rsidRPr="006B76B5">
        <w:rPr>
          <w:color w:val="auto"/>
        </w:rPr>
        <w:t xml:space="preserve"> </w:t>
      </w:r>
    </w:p>
    <w:p w:rsidR="000E3CB2" w:rsidRPr="006633B8" w:rsidRDefault="000E3CB2" w:rsidP="000E3CB2">
      <w:pPr>
        <w:pStyle w:val="Default"/>
        <w:ind w:right="140"/>
        <w:rPr>
          <w:color w:val="auto"/>
        </w:rPr>
      </w:pPr>
    </w:p>
    <w:p w:rsidR="000E3CB2" w:rsidRPr="006633B8" w:rsidRDefault="000E3CB2" w:rsidP="0059176C">
      <w:pPr>
        <w:pStyle w:val="Default"/>
        <w:ind w:right="140" w:firstLine="720"/>
      </w:pPr>
      <w:r w:rsidRPr="006633B8">
        <w:t xml:space="preserve">Participation in this data collection is voluntary. All data collection </w:t>
      </w:r>
      <w:r w:rsidR="00755DF0" w:rsidRPr="003E2EE7">
        <w:t>form</w:t>
      </w:r>
      <w:r w:rsidR="009B1ACE" w:rsidRPr="003E2EE7">
        <w:t>s</w:t>
      </w:r>
      <w:r w:rsidR="00755DF0" w:rsidRPr="003E2EE7">
        <w:t xml:space="preserve"> inform</w:t>
      </w:r>
      <w:r w:rsidRPr="006633B8">
        <w:t xml:space="preserve"> respondents that privacy is protected and that they are free to skip any question that they do not wish to answer. </w:t>
      </w:r>
      <w:r w:rsidR="00F4647C">
        <w:t xml:space="preserve">Personal identifiers will be removed from the data, and the data will be aggregated. </w:t>
      </w:r>
      <w:r w:rsidRPr="006633B8">
        <w:t xml:space="preserve">Additionally, all data collection forms include the purpose of the information collection, intended use of the information, and that this activity is sponsored by the </w:t>
      </w:r>
      <w:r w:rsidR="00F4647C">
        <w:t>f</w:t>
      </w:r>
      <w:r w:rsidRPr="006633B8">
        <w:t xml:space="preserve">ederal </w:t>
      </w:r>
      <w:r w:rsidR="00F4647C">
        <w:t>g</w:t>
      </w:r>
      <w:r w:rsidRPr="006633B8">
        <w:t>overnment. There will be no generalized national estimates.</w:t>
      </w:r>
    </w:p>
    <w:p w:rsidR="000E3CB2" w:rsidRPr="006633B8" w:rsidRDefault="000E3CB2" w:rsidP="000E3CB2">
      <w:pPr>
        <w:pStyle w:val="Default"/>
        <w:ind w:right="140"/>
      </w:pPr>
    </w:p>
    <w:p w:rsidR="000E3CB2" w:rsidRPr="00BC4A0E" w:rsidRDefault="00BC4A0E" w:rsidP="00BC4A0E">
      <w:pPr>
        <w:pStyle w:val="Default"/>
        <w:tabs>
          <w:tab w:val="left" w:pos="0"/>
        </w:tabs>
        <w:ind w:left="-300" w:right="140"/>
        <w:rPr>
          <w:i/>
        </w:rPr>
      </w:pPr>
      <w:r>
        <w:rPr>
          <w:b/>
          <w:bCs/>
        </w:rPr>
        <w:tab/>
      </w:r>
      <w:r w:rsidR="006F7FAC" w:rsidRPr="006F7FAC">
        <w:rPr>
          <w:b/>
          <w:bCs/>
          <w:i/>
        </w:rPr>
        <w:t>A11.</w:t>
      </w:r>
      <w:r w:rsidR="006F7FAC">
        <w:rPr>
          <w:b/>
          <w:bCs/>
        </w:rPr>
        <w:tab/>
      </w:r>
      <w:r w:rsidR="006F7FAC">
        <w:rPr>
          <w:b/>
          <w:bCs/>
          <w:i/>
        </w:rPr>
        <w:t xml:space="preserve">Questions of a </w:t>
      </w:r>
      <w:r w:rsidR="000E3CB2" w:rsidRPr="00BC4A0E">
        <w:rPr>
          <w:b/>
          <w:bCs/>
          <w:i/>
        </w:rPr>
        <w:t xml:space="preserve">Sensitive Nature </w:t>
      </w:r>
    </w:p>
    <w:p w:rsidR="000E3CB2" w:rsidRPr="006633B8" w:rsidRDefault="000E3CB2" w:rsidP="000E3CB2">
      <w:pPr>
        <w:pStyle w:val="Default"/>
        <w:ind w:right="140"/>
      </w:pPr>
    </w:p>
    <w:p w:rsidR="000E3CB2" w:rsidRPr="006633B8" w:rsidRDefault="000E3CB2" w:rsidP="0059176C">
      <w:pPr>
        <w:pStyle w:val="Default"/>
        <w:ind w:right="140" w:firstLine="720"/>
      </w:pPr>
      <w:r w:rsidRPr="006633B8">
        <w:t xml:space="preserve">There are no questions of a sensitive nature included in this proposed data collection. </w:t>
      </w:r>
    </w:p>
    <w:p w:rsidR="000E3CB2" w:rsidRPr="006633B8" w:rsidRDefault="000E3CB2" w:rsidP="000E3CB2">
      <w:pPr>
        <w:pStyle w:val="Default"/>
        <w:ind w:right="140"/>
        <w:rPr>
          <w:highlight w:val="green"/>
        </w:rPr>
      </w:pPr>
    </w:p>
    <w:p w:rsidR="000E3CB2" w:rsidRPr="006633B8" w:rsidRDefault="000E3CB2" w:rsidP="0059176C">
      <w:pPr>
        <w:pStyle w:val="Default"/>
        <w:ind w:right="140" w:firstLine="720"/>
      </w:pPr>
      <w:r w:rsidRPr="006633B8">
        <w:t xml:space="preserve">Respondents will participate and use standard informed consent processes that have been </w:t>
      </w:r>
      <w:r w:rsidR="00F4647C">
        <w:t xml:space="preserve">approved by an </w:t>
      </w:r>
      <w:r w:rsidRPr="003E2EE7">
        <w:t>IRB</w:t>
      </w:r>
      <w:r w:rsidRPr="006633B8">
        <w:t xml:space="preserve"> for this project. All consent forms will inform respondents </w:t>
      </w:r>
      <w:r w:rsidR="00BE0810">
        <w:t>as to</w:t>
      </w:r>
      <w:r w:rsidRPr="006633B8">
        <w:t xml:space="preserve"> 1) The name of the agency that is involved in the information collection; 2) The purpose of the information collection and the uses which will be made of the results; and 3) Whether providing the information is voluntary, required to obtain or retain a benefit, or mandatory.  </w:t>
      </w:r>
    </w:p>
    <w:p w:rsidR="000E3CB2" w:rsidRPr="006633B8" w:rsidRDefault="000E3CB2" w:rsidP="000E3CB2">
      <w:pPr>
        <w:pStyle w:val="Default"/>
        <w:ind w:right="140"/>
      </w:pPr>
    </w:p>
    <w:p w:rsidR="00BC4A0E" w:rsidRDefault="000E3CB2" w:rsidP="00BC4A0E">
      <w:pPr>
        <w:pStyle w:val="Default"/>
        <w:ind w:left="-300" w:right="140"/>
        <w:rPr>
          <w:b/>
          <w:i/>
        </w:rPr>
      </w:pPr>
      <w:r w:rsidRPr="006633B8">
        <w:rPr>
          <w:b/>
        </w:rPr>
        <w:t xml:space="preserve"> </w:t>
      </w:r>
      <w:r w:rsidR="00BC4A0E">
        <w:rPr>
          <w:b/>
        </w:rPr>
        <w:tab/>
      </w:r>
      <w:r w:rsidR="006F7FAC" w:rsidRPr="006F7FAC">
        <w:rPr>
          <w:b/>
          <w:i/>
        </w:rPr>
        <w:t>A12.</w:t>
      </w:r>
      <w:r w:rsidR="006F7FAC">
        <w:rPr>
          <w:b/>
        </w:rPr>
        <w:tab/>
      </w:r>
      <w:r w:rsidR="006F7FAC">
        <w:rPr>
          <w:b/>
          <w:i/>
        </w:rPr>
        <w:t xml:space="preserve">Estimates of Annualized Hour </w:t>
      </w:r>
      <w:r w:rsidR="00BC4A0E" w:rsidRPr="00BC4A0E">
        <w:rPr>
          <w:b/>
          <w:i/>
        </w:rPr>
        <w:t>Burden</w:t>
      </w:r>
    </w:p>
    <w:p w:rsidR="0083698D" w:rsidRPr="00BC4A0E" w:rsidRDefault="0083698D" w:rsidP="00BC4A0E">
      <w:pPr>
        <w:pStyle w:val="Default"/>
        <w:ind w:left="-300" w:right="140"/>
        <w:rPr>
          <w:b/>
          <w:i/>
        </w:rPr>
      </w:pPr>
    </w:p>
    <w:p w:rsidR="00744944" w:rsidRPr="00E240CE" w:rsidRDefault="00BC4A0E" w:rsidP="00744944">
      <w:pPr>
        <w:pStyle w:val="BodyText2"/>
        <w:spacing w:line="240" w:lineRule="auto"/>
        <w:rPr>
          <w:sz w:val="24"/>
          <w:highlight w:val="yellow"/>
        </w:rPr>
      </w:pPr>
      <w:r w:rsidRPr="00BC4A0E">
        <w:rPr>
          <w:rFonts w:ascii="Times New Roman" w:hAnsi="Times New Roman"/>
          <w:sz w:val="24"/>
          <w:szCs w:val="24"/>
        </w:rPr>
        <w:tab/>
      </w:r>
      <w:r w:rsidR="0059176C">
        <w:rPr>
          <w:rFonts w:ascii="Times New Roman" w:hAnsi="Times New Roman"/>
          <w:sz w:val="24"/>
          <w:szCs w:val="24"/>
        </w:rPr>
        <w:tab/>
      </w:r>
      <w:r w:rsidRPr="00BC4A0E">
        <w:rPr>
          <w:rFonts w:ascii="Times New Roman" w:hAnsi="Times New Roman"/>
          <w:sz w:val="24"/>
          <w:szCs w:val="24"/>
        </w:rPr>
        <w:t xml:space="preserve">It is estimated that the total number of respondents for the proposed pilot study will be forty. The total hour burden will be </w:t>
      </w:r>
      <w:r w:rsidR="000A6277">
        <w:rPr>
          <w:rFonts w:ascii="Times New Roman" w:hAnsi="Times New Roman"/>
          <w:sz w:val="24"/>
          <w:szCs w:val="24"/>
        </w:rPr>
        <w:t>20</w:t>
      </w:r>
      <w:r w:rsidR="00834318">
        <w:rPr>
          <w:rFonts w:ascii="Times New Roman" w:hAnsi="Times New Roman"/>
          <w:sz w:val="24"/>
          <w:szCs w:val="24"/>
        </w:rPr>
        <w:t xml:space="preserve"> </w:t>
      </w:r>
      <w:r w:rsidR="00482970">
        <w:rPr>
          <w:rFonts w:ascii="Times New Roman" w:hAnsi="Times New Roman"/>
          <w:sz w:val="24"/>
          <w:szCs w:val="24"/>
        </w:rPr>
        <w:t>hours</w:t>
      </w:r>
      <w:r w:rsidRPr="00BC4A0E">
        <w:rPr>
          <w:rFonts w:ascii="Times New Roman" w:hAnsi="Times New Roman"/>
          <w:sz w:val="24"/>
          <w:szCs w:val="24"/>
        </w:rPr>
        <w:t>. There will be no direct cost to representatives of the behavioral health systems interviewed.  Total hour of burden was estimated using the average hourly wage</w:t>
      </w:r>
      <w:r w:rsidR="00744944">
        <w:rPr>
          <w:rFonts w:ascii="Times New Roman" w:hAnsi="Times New Roman"/>
          <w:sz w:val="24"/>
          <w:szCs w:val="24"/>
        </w:rPr>
        <w:t xml:space="preserve"> ($ 18.37)</w:t>
      </w:r>
      <w:r w:rsidRPr="00BC4A0E">
        <w:rPr>
          <w:rFonts w:ascii="Times New Roman" w:hAnsi="Times New Roman"/>
          <w:sz w:val="24"/>
          <w:szCs w:val="24"/>
        </w:rPr>
        <w:t xml:space="preserve"> for miscellaneous community and social service specialists </w:t>
      </w:r>
      <w:r w:rsidR="00744944">
        <w:rPr>
          <w:rFonts w:ascii="Times New Roman" w:hAnsi="Times New Roman"/>
          <w:sz w:val="24"/>
          <w:szCs w:val="24"/>
        </w:rPr>
        <w:t xml:space="preserve"> from the publicly available data (May 2012) of the Occupational Employment Statistics Survey (OES), a mail survey that measures occupational employment for wage and salary workers in non-farm </w:t>
      </w:r>
      <w:r w:rsidR="00744944" w:rsidRPr="00744944">
        <w:rPr>
          <w:rFonts w:ascii="Times New Roman" w:hAnsi="Times New Roman" w:cs="Times New Roman"/>
          <w:sz w:val="24"/>
        </w:rPr>
        <w:t>establishments in the US.  The OES collects data from over 1.2 million business establishments through six semiannual panels over a three year period.  It is sponsored by the Department of Labor, Bureau of Labor Statistics, and uses the OMB-required occupational classification system (the Standard Occupational System (SOC).</w:t>
      </w:r>
      <w:r w:rsidR="00744944" w:rsidRPr="00744944">
        <w:rPr>
          <w:sz w:val="24"/>
        </w:rPr>
        <w:t xml:space="preserve"> </w:t>
      </w:r>
    </w:p>
    <w:p w:rsidR="00BC4A0E" w:rsidRDefault="00BC4A0E" w:rsidP="00BC4A0E">
      <w:pPr>
        <w:ind w:left="-30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1415"/>
        <w:gridCol w:w="1329"/>
        <w:gridCol w:w="1188"/>
        <w:gridCol w:w="1136"/>
        <w:gridCol w:w="1032"/>
        <w:gridCol w:w="1009"/>
        <w:gridCol w:w="1016"/>
      </w:tblGrid>
      <w:tr w:rsidR="00BC4A0E" w:rsidTr="006F7FAC">
        <w:tc>
          <w:tcPr>
            <w:tcW w:w="1451" w:type="dxa"/>
          </w:tcPr>
          <w:p w:rsidR="00BC4A0E" w:rsidRPr="00EE7AB9" w:rsidRDefault="00BC4A0E" w:rsidP="00B6311B">
            <w:pPr>
              <w:rPr>
                <w:rFonts w:ascii="Times New Roman" w:hAnsi="Times New Roman" w:cs="Times New Roman"/>
                <w:b/>
              </w:rPr>
            </w:pPr>
            <w:r w:rsidRPr="00EE7AB9">
              <w:rPr>
                <w:rFonts w:ascii="Times New Roman" w:hAnsi="Times New Roman" w:cs="Times New Roman"/>
                <w:b/>
              </w:rPr>
              <w:lastRenderedPageBreak/>
              <w:t>Form Name</w:t>
            </w:r>
          </w:p>
        </w:tc>
        <w:tc>
          <w:tcPr>
            <w:tcW w:w="1415" w:type="dxa"/>
          </w:tcPr>
          <w:p w:rsidR="00BC4A0E" w:rsidRPr="00EE7AB9" w:rsidRDefault="00BC4A0E" w:rsidP="00B6311B">
            <w:pPr>
              <w:rPr>
                <w:rFonts w:ascii="Times New Roman" w:hAnsi="Times New Roman" w:cs="Times New Roman"/>
                <w:b/>
              </w:rPr>
            </w:pPr>
            <w:r w:rsidRPr="00EE7AB9">
              <w:rPr>
                <w:rFonts w:ascii="Times New Roman" w:hAnsi="Times New Roman" w:cs="Times New Roman"/>
                <w:b/>
              </w:rPr>
              <w:t># of Respondents</w:t>
            </w:r>
          </w:p>
        </w:tc>
        <w:tc>
          <w:tcPr>
            <w:tcW w:w="1329" w:type="dxa"/>
          </w:tcPr>
          <w:p w:rsidR="00BC4A0E" w:rsidRPr="00EE7AB9" w:rsidRDefault="00BC4A0E" w:rsidP="00B6311B">
            <w:pPr>
              <w:rPr>
                <w:rFonts w:ascii="Times New Roman" w:hAnsi="Times New Roman" w:cs="Times New Roman"/>
                <w:b/>
              </w:rPr>
            </w:pPr>
            <w:r w:rsidRPr="00EE7AB9">
              <w:rPr>
                <w:rFonts w:ascii="Times New Roman" w:hAnsi="Times New Roman" w:cs="Times New Roman"/>
                <w:b/>
              </w:rPr>
              <w:t>Responses per Respondent</w:t>
            </w:r>
          </w:p>
        </w:tc>
        <w:tc>
          <w:tcPr>
            <w:tcW w:w="1188" w:type="dxa"/>
          </w:tcPr>
          <w:p w:rsidR="00BC4A0E" w:rsidRPr="00EE7AB9" w:rsidRDefault="00BC4A0E" w:rsidP="00B6311B">
            <w:pPr>
              <w:rPr>
                <w:rFonts w:ascii="Times New Roman" w:hAnsi="Times New Roman" w:cs="Times New Roman"/>
                <w:b/>
              </w:rPr>
            </w:pPr>
            <w:r w:rsidRPr="00EE7AB9">
              <w:rPr>
                <w:rFonts w:ascii="Times New Roman" w:hAnsi="Times New Roman" w:cs="Times New Roman"/>
                <w:b/>
              </w:rPr>
              <w:t>Total Responses</w:t>
            </w:r>
          </w:p>
        </w:tc>
        <w:tc>
          <w:tcPr>
            <w:tcW w:w="1136" w:type="dxa"/>
          </w:tcPr>
          <w:p w:rsidR="00BC4A0E" w:rsidRPr="00EE7AB9" w:rsidRDefault="00BC4A0E" w:rsidP="00B6311B">
            <w:pPr>
              <w:rPr>
                <w:rFonts w:ascii="Times New Roman" w:hAnsi="Times New Roman" w:cs="Times New Roman"/>
                <w:b/>
              </w:rPr>
            </w:pPr>
            <w:r w:rsidRPr="00EE7AB9">
              <w:rPr>
                <w:rFonts w:ascii="Times New Roman" w:hAnsi="Times New Roman" w:cs="Times New Roman"/>
                <w:b/>
              </w:rPr>
              <w:t>Hours per Response</w:t>
            </w:r>
          </w:p>
        </w:tc>
        <w:tc>
          <w:tcPr>
            <w:tcW w:w="1032" w:type="dxa"/>
          </w:tcPr>
          <w:p w:rsidR="00BC4A0E" w:rsidRPr="00EE7AB9" w:rsidRDefault="00BC4A0E" w:rsidP="00B6311B">
            <w:pPr>
              <w:rPr>
                <w:rFonts w:ascii="Times New Roman" w:hAnsi="Times New Roman" w:cs="Times New Roman"/>
                <w:b/>
              </w:rPr>
            </w:pPr>
            <w:r w:rsidRPr="00EE7AB9">
              <w:rPr>
                <w:rFonts w:ascii="Times New Roman" w:hAnsi="Times New Roman" w:cs="Times New Roman"/>
                <w:b/>
              </w:rPr>
              <w:t>Total Hour Burden</w:t>
            </w:r>
          </w:p>
        </w:tc>
        <w:tc>
          <w:tcPr>
            <w:tcW w:w="1009" w:type="dxa"/>
          </w:tcPr>
          <w:p w:rsidR="00BC4A0E" w:rsidRPr="00EE7AB9" w:rsidRDefault="00BC4A0E" w:rsidP="00B6311B">
            <w:pPr>
              <w:rPr>
                <w:rFonts w:ascii="Times New Roman" w:hAnsi="Times New Roman" w:cs="Times New Roman"/>
                <w:b/>
              </w:rPr>
            </w:pPr>
            <w:r w:rsidRPr="00EE7AB9">
              <w:rPr>
                <w:rFonts w:ascii="Times New Roman" w:hAnsi="Times New Roman" w:cs="Times New Roman"/>
                <w:b/>
              </w:rPr>
              <w:t>Hourly Wage Cost</w:t>
            </w:r>
          </w:p>
        </w:tc>
        <w:tc>
          <w:tcPr>
            <w:tcW w:w="1016" w:type="dxa"/>
          </w:tcPr>
          <w:p w:rsidR="00BC4A0E" w:rsidRPr="00EE7AB9" w:rsidRDefault="00BC4A0E" w:rsidP="00B6311B">
            <w:pPr>
              <w:rPr>
                <w:rFonts w:ascii="Times New Roman" w:hAnsi="Times New Roman" w:cs="Times New Roman"/>
                <w:b/>
              </w:rPr>
            </w:pPr>
            <w:r w:rsidRPr="00EE7AB9">
              <w:rPr>
                <w:rFonts w:ascii="Times New Roman" w:hAnsi="Times New Roman" w:cs="Times New Roman"/>
                <w:b/>
              </w:rPr>
              <w:t>Total Hour Cost($)</w:t>
            </w:r>
          </w:p>
        </w:tc>
      </w:tr>
      <w:tr w:rsidR="00BC4A0E" w:rsidTr="006F7FAC">
        <w:tc>
          <w:tcPr>
            <w:tcW w:w="1451" w:type="dxa"/>
          </w:tcPr>
          <w:p w:rsidR="00BC4A0E" w:rsidRPr="00EE7AB9" w:rsidRDefault="00BC4A0E" w:rsidP="00B6311B">
            <w:pPr>
              <w:rPr>
                <w:rFonts w:ascii="Times New Roman" w:hAnsi="Times New Roman" w:cs="Times New Roman"/>
              </w:rPr>
            </w:pPr>
            <w:r w:rsidRPr="00EE7AB9">
              <w:rPr>
                <w:rFonts w:ascii="Times New Roman" w:hAnsi="Times New Roman" w:cs="Times New Roman"/>
              </w:rPr>
              <w:t>Structured Interview Questionnaire</w:t>
            </w:r>
          </w:p>
        </w:tc>
        <w:tc>
          <w:tcPr>
            <w:tcW w:w="1415" w:type="dxa"/>
          </w:tcPr>
          <w:p w:rsidR="00BC4A0E" w:rsidRPr="00EE7AB9" w:rsidRDefault="00BC4A0E" w:rsidP="00B6311B">
            <w:pPr>
              <w:rPr>
                <w:rFonts w:ascii="Times New Roman" w:hAnsi="Times New Roman" w:cs="Times New Roman"/>
              </w:rPr>
            </w:pPr>
            <w:r w:rsidRPr="00EE7AB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29" w:type="dxa"/>
          </w:tcPr>
          <w:p w:rsidR="00BC4A0E" w:rsidRPr="00EE7AB9" w:rsidRDefault="008C6CA9" w:rsidP="00B63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8" w:type="dxa"/>
          </w:tcPr>
          <w:p w:rsidR="00BC4A0E" w:rsidRPr="00EE7AB9" w:rsidRDefault="008C6CA9" w:rsidP="00B63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6" w:type="dxa"/>
          </w:tcPr>
          <w:p w:rsidR="00BC4A0E" w:rsidRPr="00EE7AB9" w:rsidRDefault="00BC4A0E" w:rsidP="002849C2">
            <w:pPr>
              <w:rPr>
                <w:rFonts w:ascii="Times New Roman" w:hAnsi="Times New Roman" w:cs="Times New Roman"/>
              </w:rPr>
            </w:pPr>
            <w:r w:rsidRPr="00107FBE">
              <w:rPr>
                <w:rFonts w:ascii="Times New Roman" w:hAnsi="Times New Roman" w:cs="Times New Roman"/>
              </w:rPr>
              <w:t>.5</w:t>
            </w:r>
            <w:r w:rsidR="002849C2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1032" w:type="dxa"/>
          </w:tcPr>
          <w:p w:rsidR="00BC4A0E" w:rsidRPr="00EE7AB9" w:rsidRDefault="008C6CA9" w:rsidP="00B63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9" w:type="dxa"/>
          </w:tcPr>
          <w:p w:rsidR="00BC4A0E" w:rsidRPr="00EE7AB9" w:rsidRDefault="00BC4A0E" w:rsidP="00B6311B">
            <w:pPr>
              <w:rPr>
                <w:rFonts w:ascii="Times New Roman" w:hAnsi="Times New Roman" w:cs="Times New Roman"/>
              </w:rPr>
            </w:pPr>
            <w:r w:rsidRPr="00107FBE">
              <w:rPr>
                <w:rFonts w:ascii="Times New Roman" w:hAnsi="Times New Roman" w:cs="Times New Roman"/>
              </w:rPr>
              <w:t>$18.37</w:t>
            </w:r>
          </w:p>
        </w:tc>
        <w:tc>
          <w:tcPr>
            <w:tcW w:w="1016" w:type="dxa"/>
          </w:tcPr>
          <w:p w:rsidR="00BC4A0E" w:rsidRPr="00EE7AB9" w:rsidRDefault="00D50C5B" w:rsidP="00B6311B">
            <w:pPr>
              <w:rPr>
                <w:rFonts w:ascii="Times New Roman" w:hAnsi="Times New Roman" w:cs="Times New Roman"/>
              </w:rPr>
            </w:pPr>
            <w:r w:rsidRPr="00EE7AB9">
              <w:rPr>
                <w:rFonts w:ascii="Times New Roman" w:hAnsi="Times New Roman" w:cs="Times New Roman"/>
              </w:rPr>
              <w:t>367.40</w:t>
            </w:r>
          </w:p>
        </w:tc>
      </w:tr>
    </w:tbl>
    <w:p w:rsidR="00E240CE" w:rsidRPr="00F45707" w:rsidRDefault="00E240CE" w:rsidP="00E240CE">
      <w:pPr>
        <w:pStyle w:val="BodyText2"/>
        <w:spacing w:line="240" w:lineRule="auto"/>
        <w:rPr>
          <w:sz w:val="20"/>
          <w:szCs w:val="20"/>
        </w:rPr>
      </w:pPr>
      <w:r w:rsidRPr="00F45707">
        <w:rPr>
          <w:color w:val="000000"/>
          <w:sz w:val="20"/>
          <w:szCs w:val="20"/>
          <w:vertAlign w:val="superscript"/>
        </w:rPr>
        <w:t>1</w:t>
      </w:r>
      <w:r w:rsidRPr="00F45707">
        <w:rPr>
          <w:color w:val="000000"/>
          <w:sz w:val="20"/>
          <w:szCs w:val="20"/>
        </w:rPr>
        <w:t xml:space="preserve"> Department of Labor, Bureau of Labor Statistics, Occupational Employment Statistics Survey (OES), May 2012.</w:t>
      </w:r>
    </w:p>
    <w:p w:rsidR="00E240CE" w:rsidRDefault="00E240CE" w:rsidP="00E240CE">
      <w:pPr>
        <w:pStyle w:val="NoSpacing"/>
      </w:pPr>
    </w:p>
    <w:p w:rsidR="000E3CB2" w:rsidRPr="00BC4A0E" w:rsidRDefault="006F7FAC" w:rsidP="00BC4A0E">
      <w:pPr>
        <w:spacing w:before="144" w:after="144" w:line="240" w:lineRule="auto"/>
        <w:ind w:left="-300" w:right="144" w:firstLine="30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A13.</w:t>
      </w:r>
      <w:r>
        <w:rPr>
          <w:rFonts w:ascii="Times New Roman" w:hAnsi="Times New Roman"/>
          <w:b/>
          <w:bCs/>
          <w:i/>
          <w:sz w:val="24"/>
          <w:szCs w:val="24"/>
        </w:rPr>
        <w:tab/>
      </w:r>
      <w:r w:rsidR="000E3CB2" w:rsidRPr="00BC4A0E">
        <w:rPr>
          <w:rFonts w:ascii="Times New Roman" w:hAnsi="Times New Roman"/>
          <w:b/>
          <w:bCs/>
          <w:i/>
          <w:sz w:val="24"/>
          <w:szCs w:val="24"/>
        </w:rPr>
        <w:t>Estimates of Annualized Cost Burden to Respondents</w:t>
      </w:r>
    </w:p>
    <w:p w:rsidR="000E3CB2" w:rsidRPr="006633B8" w:rsidRDefault="00906A2F" w:rsidP="006F7FAC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are no </w:t>
      </w:r>
      <w:r w:rsidR="000E3CB2" w:rsidRPr="006633B8">
        <w:rPr>
          <w:rFonts w:ascii="Times New Roman" w:hAnsi="Times New Roman"/>
          <w:sz w:val="24"/>
          <w:szCs w:val="24"/>
        </w:rPr>
        <w:t xml:space="preserve">capital, startup, operational, or maintenance costs to respondents. </w:t>
      </w:r>
    </w:p>
    <w:p w:rsidR="000E3CB2" w:rsidRPr="00BC4A0E" w:rsidRDefault="006F7FAC" w:rsidP="00BC4A0E">
      <w:pPr>
        <w:pStyle w:val="Default"/>
        <w:ind w:left="-300" w:firstLine="300"/>
        <w:rPr>
          <w:i/>
        </w:rPr>
      </w:pPr>
      <w:r>
        <w:rPr>
          <w:b/>
          <w:i/>
        </w:rPr>
        <w:t>A14.</w:t>
      </w:r>
      <w:r>
        <w:rPr>
          <w:b/>
          <w:i/>
        </w:rPr>
        <w:tab/>
      </w:r>
      <w:r w:rsidR="000E3CB2" w:rsidRPr="00BC4A0E">
        <w:rPr>
          <w:b/>
          <w:i/>
        </w:rPr>
        <w:t>Annualized Cost to the Federal Government</w:t>
      </w:r>
      <w:r w:rsidR="000E3CB2" w:rsidRPr="00BC4A0E">
        <w:rPr>
          <w:i/>
        </w:rPr>
        <w:t xml:space="preserve"> </w:t>
      </w:r>
    </w:p>
    <w:p w:rsidR="00906A2F" w:rsidRDefault="00906A2F" w:rsidP="0059176C">
      <w:pPr>
        <w:pStyle w:val="Default"/>
        <w:ind w:firstLine="720"/>
        <w:rPr>
          <w:color w:val="auto"/>
          <w:sz w:val="22"/>
          <w:szCs w:val="22"/>
        </w:rPr>
      </w:pPr>
    </w:p>
    <w:p w:rsidR="00DA0D8D" w:rsidRDefault="00DA0D8D" w:rsidP="0059176C">
      <w:pPr>
        <w:pStyle w:val="Default"/>
        <w:ind w:firstLine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</w:t>
      </w:r>
      <w:r w:rsidRPr="000F507F">
        <w:rPr>
          <w:color w:val="auto"/>
          <w:sz w:val="22"/>
          <w:szCs w:val="22"/>
        </w:rPr>
        <w:t>he GS-</w:t>
      </w:r>
      <w:r w:rsidR="001167FB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 xml:space="preserve"> level</w:t>
      </w:r>
      <w:r w:rsidRPr="000F507F">
        <w:rPr>
          <w:color w:val="auto"/>
          <w:sz w:val="22"/>
          <w:szCs w:val="22"/>
        </w:rPr>
        <w:t xml:space="preserve"> </w:t>
      </w:r>
      <w:r w:rsidR="00AB25AF">
        <w:rPr>
          <w:color w:val="auto"/>
          <w:sz w:val="22"/>
          <w:szCs w:val="22"/>
        </w:rPr>
        <w:t xml:space="preserve">Public </w:t>
      </w:r>
      <w:r w:rsidR="00562D92">
        <w:rPr>
          <w:color w:val="auto"/>
          <w:sz w:val="22"/>
          <w:szCs w:val="22"/>
        </w:rPr>
        <w:t xml:space="preserve">Health Advisor </w:t>
      </w:r>
      <w:r w:rsidRPr="000F507F">
        <w:rPr>
          <w:color w:val="auto"/>
          <w:sz w:val="22"/>
          <w:szCs w:val="22"/>
        </w:rPr>
        <w:t xml:space="preserve">principally involved in the </w:t>
      </w:r>
      <w:r>
        <w:rPr>
          <w:color w:val="auto"/>
          <w:sz w:val="22"/>
          <w:szCs w:val="22"/>
        </w:rPr>
        <w:t>program</w:t>
      </w:r>
      <w:r w:rsidRPr="000F507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will spend</w:t>
      </w:r>
      <w:r w:rsidRPr="000F507F">
        <w:rPr>
          <w:color w:val="auto"/>
          <w:sz w:val="22"/>
          <w:szCs w:val="22"/>
        </w:rPr>
        <w:t xml:space="preserve"> on average approximately </w:t>
      </w:r>
      <w:r w:rsidR="00562D92">
        <w:rPr>
          <w:color w:val="auto"/>
          <w:sz w:val="22"/>
          <w:szCs w:val="22"/>
        </w:rPr>
        <w:t>3</w:t>
      </w:r>
      <w:r w:rsidRPr="00195F5D">
        <w:rPr>
          <w:color w:val="auto"/>
          <w:sz w:val="22"/>
          <w:szCs w:val="22"/>
        </w:rPr>
        <w:t>% of his/her time (</w:t>
      </w:r>
      <w:r w:rsidR="00562D92">
        <w:rPr>
          <w:color w:val="auto"/>
          <w:sz w:val="22"/>
          <w:szCs w:val="22"/>
        </w:rPr>
        <w:t>1</w:t>
      </w:r>
      <w:r w:rsidRPr="00195F5D">
        <w:rPr>
          <w:color w:val="auto"/>
          <w:sz w:val="22"/>
          <w:szCs w:val="22"/>
        </w:rPr>
        <w:t xml:space="preserve">.5 hours weekly) </w:t>
      </w:r>
      <w:r w:rsidR="00562D92">
        <w:rPr>
          <w:color w:val="auto"/>
          <w:sz w:val="22"/>
          <w:szCs w:val="22"/>
        </w:rPr>
        <w:t xml:space="preserve">conducting </w:t>
      </w:r>
      <w:r w:rsidRPr="00195F5D">
        <w:rPr>
          <w:color w:val="auto"/>
          <w:sz w:val="22"/>
          <w:szCs w:val="22"/>
        </w:rPr>
        <w:t xml:space="preserve">various </w:t>
      </w:r>
      <w:r w:rsidR="00562D92">
        <w:rPr>
          <w:color w:val="auto"/>
          <w:sz w:val="22"/>
          <w:szCs w:val="22"/>
        </w:rPr>
        <w:t>research and support activities related to this project.</w:t>
      </w:r>
      <w:r w:rsidRPr="00195F5D">
        <w:rPr>
          <w:color w:val="auto"/>
          <w:sz w:val="22"/>
          <w:szCs w:val="22"/>
        </w:rPr>
        <w:t xml:space="preserve"> On an annualized basis this would be the equivalent of $</w:t>
      </w:r>
      <w:r w:rsidR="00562D92">
        <w:rPr>
          <w:color w:val="auto"/>
          <w:sz w:val="22"/>
          <w:szCs w:val="22"/>
        </w:rPr>
        <w:t>1,247</w:t>
      </w:r>
      <w:r w:rsidRPr="00195F5D">
        <w:rPr>
          <w:color w:val="auto"/>
          <w:sz w:val="22"/>
          <w:szCs w:val="22"/>
        </w:rPr>
        <w:t xml:space="preserve"> in</w:t>
      </w:r>
      <w:r w:rsidRPr="000F507F">
        <w:rPr>
          <w:color w:val="auto"/>
          <w:sz w:val="22"/>
          <w:szCs w:val="22"/>
        </w:rPr>
        <w:t xml:space="preserve"> federal employee personnel costs (based on an annualized GS-</w:t>
      </w:r>
      <w:r w:rsidR="00562D92">
        <w:rPr>
          <w:color w:val="auto"/>
          <w:sz w:val="22"/>
          <w:szCs w:val="22"/>
        </w:rPr>
        <w:t>9</w:t>
      </w:r>
      <w:r w:rsidRPr="000F507F">
        <w:rPr>
          <w:color w:val="auto"/>
          <w:sz w:val="22"/>
          <w:szCs w:val="22"/>
        </w:rPr>
        <w:t xml:space="preserve"> salary of $</w:t>
      </w:r>
      <w:r w:rsidR="00562D92">
        <w:rPr>
          <w:color w:val="auto"/>
          <w:sz w:val="22"/>
          <w:szCs w:val="22"/>
        </w:rPr>
        <w:t>41,563</w:t>
      </w:r>
      <w:r w:rsidRPr="000F507F">
        <w:rPr>
          <w:color w:val="auto"/>
          <w:sz w:val="22"/>
          <w:szCs w:val="22"/>
        </w:rPr>
        <w:t>)</w:t>
      </w:r>
      <w:r>
        <w:rPr>
          <w:color w:val="auto"/>
          <w:sz w:val="22"/>
          <w:szCs w:val="22"/>
        </w:rPr>
        <w:t>.</w:t>
      </w:r>
      <w:r w:rsidRPr="000F507F">
        <w:rPr>
          <w:color w:val="auto"/>
          <w:sz w:val="22"/>
          <w:szCs w:val="22"/>
        </w:rPr>
        <w:t xml:space="preserve"> </w:t>
      </w:r>
      <w:r w:rsidR="00562D92">
        <w:rPr>
          <w:color w:val="auto"/>
          <w:sz w:val="22"/>
          <w:szCs w:val="22"/>
        </w:rPr>
        <w:t>Transcribing an hour-long interview will cost approximately $3,576 (based on transcription at $1.49 per minute).</w:t>
      </w:r>
      <w:r w:rsidR="0059176C"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>The annualized cost to the government is</w:t>
      </w:r>
      <w:r w:rsidRPr="000F507F">
        <w:rPr>
          <w:color w:val="auto"/>
          <w:sz w:val="22"/>
          <w:szCs w:val="22"/>
        </w:rPr>
        <w:t xml:space="preserve"> </w:t>
      </w:r>
      <w:r w:rsidRPr="00EF00EC">
        <w:rPr>
          <w:color w:val="auto"/>
          <w:sz w:val="22"/>
          <w:szCs w:val="22"/>
        </w:rPr>
        <w:t>$</w:t>
      </w:r>
      <w:r w:rsidR="00562D92">
        <w:rPr>
          <w:color w:val="auto"/>
          <w:sz w:val="22"/>
          <w:szCs w:val="22"/>
        </w:rPr>
        <w:t>4,823</w:t>
      </w:r>
      <w:r w:rsidRPr="00EF00EC">
        <w:rPr>
          <w:color w:val="auto"/>
          <w:sz w:val="22"/>
          <w:szCs w:val="22"/>
        </w:rPr>
        <w:t>.</w:t>
      </w:r>
      <w:r w:rsidR="00360C2D">
        <w:rPr>
          <w:color w:val="auto"/>
          <w:sz w:val="22"/>
          <w:szCs w:val="22"/>
        </w:rPr>
        <w:t xml:space="preserve"> The GS-9 level staff will be supervised by a more senior staff member, Beda Jean-Francois</w:t>
      </w:r>
      <w:r w:rsidR="001C6539">
        <w:rPr>
          <w:color w:val="auto"/>
          <w:sz w:val="22"/>
          <w:szCs w:val="22"/>
        </w:rPr>
        <w:t>.</w:t>
      </w:r>
    </w:p>
    <w:p w:rsidR="0059176C" w:rsidRDefault="0059176C" w:rsidP="0059176C">
      <w:pPr>
        <w:pStyle w:val="Default"/>
        <w:ind w:firstLine="720"/>
        <w:rPr>
          <w:color w:val="auto"/>
          <w:sz w:val="22"/>
          <w:szCs w:val="22"/>
        </w:rPr>
      </w:pPr>
    </w:p>
    <w:p w:rsidR="000E3CB2" w:rsidRPr="00D41F96" w:rsidRDefault="006F7FAC" w:rsidP="00D41F96">
      <w:pPr>
        <w:spacing w:before="144" w:after="144" w:line="240" w:lineRule="auto"/>
        <w:ind w:left="-300" w:right="144" w:firstLine="30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A15.</w:t>
      </w:r>
      <w:r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="000E3CB2" w:rsidRPr="00D41F96">
        <w:rPr>
          <w:rFonts w:ascii="Times New Roman" w:eastAsia="Times New Roman" w:hAnsi="Times New Roman"/>
          <w:b/>
          <w:i/>
          <w:sz w:val="24"/>
          <w:szCs w:val="24"/>
        </w:rPr>
        <w:t xml:space="preserve">Change in Burden </w:t>
      </w:r>
    </w:p>
    <w:p w:rsidR="000E3CB2" w:rsidRDefault="000E3CB2" w:rsidP="00EF379E">
      <w:pPr>
        <w:pStyle w:val="Default"/>
        <w:outlineLvl w:val="0"/>
        <w:rPr>
          <w:color w:val="auto"/>
        </w:rPr>
      </w:pPr>
      <w:r w:rsidRPr="006633B8">
        <w:rPr>
          <w:color w:val="auto"/>
        </w:rPr>
        <w:t xml:space="preserve"> </w:t>
      </w:r>
      <w:r w:rsidR="0059176C">
        <w:rPr>
          <w:color w:val="auto"/>
        </w:rPr>
        <w:tab/>
      </w:r>
      <w:r w:rsidRPr="006633B8">
        <w:t>This is a new project</w:t>
      </w:r>
      <w:r w:rsidRPr="006633B8">
        <w:rPr>
          <w:color w:val="auto"/>
        </w:rPr>
        <w:t>.</w:t>
      </w:r>
      <w:r w:rsidR="00EF379E">
        <w:rPr>
          <w:color w:val="auto"/>
        </w:rPr>
        <w:t xml:space="preserve"> </w:t>
      </w:r>
    </w:p>
    <w:p w:rsidR="00864AAE" w:rsidRDefault="00864AAE" w:rsidP="00EF379E">
      <w:pPr>
        <w:pStyle w:val="Default"/>
        <w:outlineLvl w:val="0"/>
        <w:rPr>
          <w:color w:val="auto"/>
        </w:rPr>
      </w:pPr>
    </w:p>
    <w:p w:rsidR="000E3CB2" w:rsidRPr="00C4162E" w:rsidRDefault="006F7FAC" w:rsidP="00864AAE">
      <w:pPr>
        <w:pStyle w:val="Default"/>
        <w:ind w:left="-300" w:right="140" w:firstLine="300"/>
        <w:outlineLvl w:val="0"/>
        <w:rPr>
          <w:b/>
          <w:bCs/>
          <w:i/>
        </w:rPr>
      </w:pPr>
      <w:r>
        <w:rPr>
          <w:b/>
          <w:bCs/>
          <w:i/>
        </w:rPr>
        <w:t>A16.</w:t>
      </w:r>
      <w:r>
        <w:rPr>
          <w:b/>
          <w:bCs/>
          <w:i/>
        </w:rPr>
        <w:tab/>
        <w:t xml:space="preserve">Time Schedule, </w:t>
      </w:r>
      <w:r w:rsidR="000E3CB2" w:rsidRPr="00C4162E">
        <w:rPr>
          <w:b/>
          <w:bCs/>
          <w:i/>
        </w:rPr>
        <w:t xml:space="preserve">Publication, and Analysis Plans </w:t>
      </w:r>
    </w:p>
    <w:p w:rsidR="00906A2F" w:rsidRDefault="00C20E73" w:rsidP="000E3CB2">
      <w:pPr>
        <w:pStyle w:val="Default"/>
        <w:ind w:left="60" w:right="140"/>
        <w:outlineLvl w:val="0"/>
        <w:rPr>
          <w:color w:val="auto"/>
        </w:rPr>
      </w:pPr>
      <w:r>
        <w:rPr>
          <w:color w:val="auto"/>
        </w:rPr>
        <w:tab/>
      </w:r>
    </w:p>
    <w:p w:rsidR="00C20E73" w:rsidRDefault="00C20E73" w:rsidP="00906A2F">
      <w:pPr>
        <w:pStyle w:val="Default"/>
        <w:ind w:left="60" w:right="140" w:firstLine="660"/>
        <w:outlineLvl w:val="0"/>
        <w:rPr>
          <w:color w:val="auto"/>
        </w:rPr>
      </w:pPr>
      <w:r>
        <w:rPr>
          <w:color w:val="auto"/>
        </w:rPr>
        <w:t xml:space="preserve">The data collected from the structured interview will be analyzed and interpreted to produce </w:t>
      </w:r>
      <w:r w:rsidR="00A62127">
        <w:rPr>
          <w:color w:val="auto"/>
        </w:rPr>
        <w:t>preliminary</w:t>
      </w:r>
      <w:r w:rsidR="0083698D">
        <w:rPr>
          <w:color w:val="auto"/>
        </w:rPr>
        <w:t xml:space="preserve"> briefing of </w:t>
      </w:r>
      <w:r w:rsidR="00A62127">
        <w:rPr>
          <w:color w:val="auto"/>
        </w:rPr>
        <w:t xml:space="preserve">results and </w:t>
      </w:r>
      <w:r>
        <w:rPr>
          <w:color w:val="auto"/>
        </w:rPr>
        <w:t>a final study report to BRSS TACS. A timetable for data collection, analysis, and reporting is noted below</w:t>
      </w:r>
      <w:r w:rsidR="00CA4DB1">
        <w:rPr>
          <w:color w:val="auto"/>
        </w:rPr>
        <w:t>.</w:t>
      </w:r>
    </w:p>
    <w:p w:rsidR="00C20E73" w:rsidRDefault="00C20E73" w:rsidP="000E3CB2">
      <w:pPr>
        <w:pStyle w:val="Default"/>
        <w:ind w:left="60" w:right="140"/>
        <w:outlineLvl w:val="0"/>
        <w:rPr>
          <w:color w:val="auto"/>
        </w:rPr>
      </w:pP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4758"/>
        <w:gridCol w:w="4758"/>
      </w:tblGrid>
      <w:tr w:rsidR="00C20E73" w:rsidTr="00415145">
        <w:tc>
          <w:tcPr>
            <w:tcW w:w="4758" w:type="dxa"/>
          </w:tcPr>
          <w:p w:rsidR="00C20E73" w:rsidRPr="00CA4DB1" w:rsidRDefault="00C20E73" w:rsidP="000E3CB2">
            <w:pPr>
              <w:pStyle w:val="Default"/>
              <w:ind w:right="140"/>
              <w:outlineLvl w:val="0"/>
              <w:rPr>
                <w:b/>
                <w:color w:val="auto"/>
                <w:sz w:val="22"/>
                <w:szCs w:val="22"/>
              </w:rPr>
            </w:pPr>
            <w:r w:rsidRPr="00CA4DB1">
              <w:rPr>
                <w:b/>
                <w:color w:val="auto"/>
                <w:sz w:val="22"/>
                <w:szCs w:val="22"/>
              </w:rPr>
              <w:t>Activity</w:t>
            </w:r>
          </w:p>
        </w:tc>
        <w:tc>
          <w:tcPr>
            <w:tcW w:w="4758" w:type="dxa"/>
          </w:tcPr>
          <w:p w:rsidR="00C20E73" w:rsidRPr="00CA4DB1" w:rsidRDefault="00C20E73" w:rsidP="000E3CB2">
            <w:pPr>
              <w:pStyle w:val="Default"/>
              <w:ind w:right="140"/>
              <w:outlineLvl w:val="0"/>
              <w:rPr>
                <w:b/>
                <w:color w:val="auto"/>
                <w:sz w:val="22"/>
                <w:szCs w:val="22"/>
              </w:rPr>
            </w:pPr>
            <w:r w:rsidRPr="00CA4DB1">
              <w:rPr>
                <w:b/>
                <w:color w:val="auto"/>
                <w:sz w:val="22"/>
                <w:szCs w:val="22"/>
              </w:rPr>
              <w:t>Expected Date of Completion</w:t>
            </w:r>
          </w:p>
        </w:tc>
      </w:tr>
      <w:tr w:rsidR="00E41CDA" w:rsidTr="00415145">
        <w:tc>
          <w:tcPr>
            <w:tcW w:w="4758" w:type="dxa"/>
          </w:tcPr>
          <w:p w:rsidR="00E41CDA" w:rsidRDefault="00280E11" w:rsidP="00CC6191">
            <w:pPr>
              <w:pStyle w:val="Default"/>
              <w:ind w:right="140"/>
              <w:outlineLv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In-house </w:t>
            </w:r>
            <w:r w:rsidR="00E41CDA">
              <w:rPr>
                <w:color w:val="auto"/>
                <w:sz w:val="22"/>
                <w:szCs w:val="22"/>
              </w:rPr>
              <w:t>pre</w:t>
            </w:r>
            <w:r w:rsidR="00360C2D">
              <w:rPr>
                <w:color w:val="auto"/>
                <w:sz w:val="22"/>
                <w:szCs w:val="22"/>
              </w:rPr>
              <w:t>-</w:t>
            </w:r>
            <w:r w:rsidR="00E41CDA">
              <w:rPr>
                <w:color w:val="auto"/>
                <w:sz w:val="22"/>
                <w:szCs w:val="22"/>
              </w:rPr>
              <w:t>testing of interview questionnaire</w:t>
            </w:r>
          </w:p>
        </w:tc>
        <w:tc>
          <w:tcPr>
            <w:tcW w:w="4758" w:type="dxa"/>
          </w:tcPr>
          <w:p w:rsidR="00E41CDA" w:rsidRDefault="00E41CDA" w:rsidP="00A62127">
            <w:pPr>
              <w:pStyle w:val="Default"/>
              <w:ind w:right="140"/>
              <w:outlineLv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month following OMB approval</w:t>
            </w:r>
          </w:p>
        </w:tc>
      </w:tr>
      <w:tr w:rsidR="00C20E73" w:rsidTr="00415145">
        <w:tc>
          <w:tcPr>
            <w:tcW w:w="4758" w:type="dxa"/>
          </w:tcPr>
          <w:p w:rsidR="00C20E73" w:rsidRPr="00CA4DB1" w:rsidRDefault="00A62127" w:rsidP="00A62127">
            <w:pPr>
              <w:pStyle w:val="Default"/>
              <w:ind w:right="140"/>
              <w:outlineLv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Pilot study invitation is sent to state mental health agencies &amp; organizations in each public health region to create a sample pool of respondents</w:t>
            </w:r>
            <w:r w:rsidR="00415145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758" w:type="dxa"/>
          </w:tcPr>
          <w:p w:rsidR="00C20E73" w:rsidRPr="00CA4DB1" w:rsidRDefault="00360C2D" w:rsidP="00473204">
            <w:pPr>
              <w:pStyle w:val="Default"/>
              <w:ind w:right="140"/>
              <w:outlineLv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 </w:t>
            </w:r>
            <w:r w:rsidR="00473204">
              <w:rPr>
                <w:color w:val="auto"/>
                <w:sz w:val="22"/>
                <w:szCs w:val="22"/>
              </w:rPr>
              <w:t xml:space="preserve">month </w:t>
            </w:r>
            <w:r w:rsidR="00A62127">
              <w:rPr>
                <w:color w:val="auto"/>
                <w:sz w:val="22"/>
                <w:szCs w:val="22"/>
              </w:rPr>
              <w:t xml:space="preserve">following OMB approval </w:t>
            </w:r>
          </w:p>
        </w:tc>
      </w:tr>
      <w:tr w:rsidR="00C20E73" w:rsidTr="00415145">
        <w:tc>
          <w:tcPr>
            <w:tcW w:w="4758" w:type="dxa"/>
          </w:tcPr>
          <w:p w:rsidR="00C20E73" w:rsidRPr="00CA4DB1" w:rsidRDefault="00A62127" w:rsidP="000E3CB2">
            <w:pPr>
              <w:pStyle w:val="Default"/>
              <w:ind w:right="140"/>
              <w:outlineLv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Sample pool of respondents is finalized and appointments for interviews are set for collection of data</w:t>
            </w:r>
            <w:r w:rsidR="00415145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758" w:type="dxa"/>
          </w:tcPr>
          <w:p w:rsidR="00C20E73" w:rsidRPr="00CA4DB1" w:rsidRDefault="00360C2D" w:rsidP="000E3CB2">
            <w:pPr>
              <w:pStyle w:val="Default"/>
              <w:ind w:right="140"/>
              <w:outlineLv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 </w:t>
            </w:r>
            <w:r w:rsidR="00A62127">
              <w:rPr>
                <w:color w:val="auto"/>
                <w:sz w:val="22"/>
                <w:szCs w:val="22"/>
              </w:rPr>
              <w:t>months following OMB approval</w:t>
            </w:r>
          </w:p>
        </w:tc>
      </w:tr>
      <w:tr w:rsidR="0059176C" w:rsidTr="00415145">
        <w:tc>
          <w:tcPr>
            <w:tcW w:w="4758" w:type="dxa"/>
          </w:tcPr>
          <w:p w:rsidR="0059176C" w:rsidRDefault="0059176C" w:rsidP="000E3CB2">
            <w:pPr>
              <w:pStyle w:val="Default"/>
              <w:ind w:right="140"/>
              <w:outlineLv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Phone interviews and follow-up data collection activities, as needed</w:t>
            </w:r>
          </w:p>
        </w:tc>
        <w:tc>
          <w:tcPr>
            <w:tcW w:w="4758" w:type="dxa"/>
          </w:tcPr>
          <w:p w:rsidR="0059176C" w:rsidRDefault="00360C2D" w:rsidP="000E3CB2">
            <w:pPr>
              <w:pStyle w:val="Default"/>
              <w:ind w:right="140"/>
              <w:outlineLv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2-3</w:t>
            </w:r>
            <w:r w:rsidR="0059176C">
              <w:rPr>
                <w:color w:val="auto"/>
                <w:sz w:val="22"/>
                <w:szCs w:val="22"/>
              </w:rPr>
              <w:t xml:space="preserve"> months following OMB approval</w:t>
            </w:r>
          </w:p>
        </w:tc>
      </w:tr>
      <w:tr w:rsidR="00C20E73" w:rsidTr="00415145">
        <w:tc>
          <w:tcPr>
            <w:tcW w:w="4758" w:type="dxa"/>
          </w:tcPr>
          <w:p w:rsidR="00C20E73" w:rsidRPr="00CA4DB1" w:rsidRDefault="00415145" w:rsidP="000E3CB2">
            <w:pPr>
              <w:pStyle w:val="Default"/>
              <w:ind w:right="140"/>
              <w:outlineLv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Data analysis</w:t>
            </w:r>
          </w:p>
        </w:tc>
        <w:tc>
          <w:tcPr>
            <w:tcW w:w="4758" w:type="dxa"/>
          </w:tcPr>
          <w:p w:rsidR="00C20E73" w:rsidRPr="00CA4DB1" w:rsidRDefault="00360C2D" w:rsidP="000E3CB2">
            <w:pPr>
              <w:pStyle w:val="Default"/>
              <w:ind w:right="140"/>
              <w:outlineLv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3-4</w:t>
            </w:r>
            <w:r w:rsidR="00280E11">
              <w:rPr>
                <w:color w:val="auto"/>
                <w:sz w:val="22"/>
                <w:szCs w:val="22"/>
              </w:rPr>
              <w:t xml:space="preserve"> </w:t>
            </w:r>
            <w:r w:rsidR="00415145">
              <w:rPr>
                <w:color w:val="auto"/>
                <w:sz w:val="22"/>
                <w:szCs w:val="22"/>
              </w:rPr>
              <w:t xml:space="preserve"> months following OMB approval</w:t>
            </w:r>
          </w:p>
        </w:tc>
      </w:tr>
      <w:tr w:rsidR="00C20E73" w:rsidTr="00415145">
        <w:tc>
          <w:tcPr>
            <w:tcW w:w="4758" w:type="dxa"/>
          </w:tcPr>
          <w:p w:rsidR="00C20E73" w:rsidRPr="00CA4DB1" w:rsidRDefault="00415145" w:rsidP="000E3CB2">
            <w:pPr>
              <w:pStyle w:val="Default"/>
              <w:ind w:right="140"/>
              <w:outlineLv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Preliminary briefing of results</w:t>
            </w:r>
          </w:p>
        </w:tc>
        <w:tc>
          <w:tcPr>
            <w:tcW w:w="4758" w:type="dxa"/>
          </w:tcPr>
          <w:p w:rsidR="00C20E73" w:rsidRPr="00CA4DB1" w:rsidRDefault="00360C2D" w:rsidP="000E3CB2">
            <w:pPr>
              <w:pStyle w:val="Default"/>
              <w:ind w:right="140"/>
              <w:outlineLv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5  </w:t>
            </w:r>
            <w:r w:rsidR="00415145">
              <w:rPr>
                <w:color w:val="auto"/>
                <w:sz w:val="22"/>
                <w:szCs w:val="22"/>
              </w:rPr>
              <w:t>months following OMB approval</w:t>
            </w:r>
          </w:p>
        </w:tc>
      </w:tr>
      <w:tr w:rsidR="00C20E73" w:rsidTr="00415145">
        <w:tc>
          <w:tcPr>
            <w:tcW w:w="4758" w:type="dxa"/>
          </w:tcPr>
          <w:p w:rsidR="00C20E73" w:rsidRPr="00CA4DB1" w:rsidRDefault="00415145" w:rsidP="000E3CB2">
            <w:pPr>
              <w:pStyle w:val="Default"/>
              <w:ind w:right="140"/>
              <w:outlineLv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Final Report</w:t>
            </w:r>
          </w:p>
        </w:tc>
        <w:tc>
          <w:tcPr>
            <w:tcW w:w="4758" w:type="dxa"/>
          </w:tcPr>
          <w:p w:rsidR="00C20E73" w:rsidRPr="00CA4DB1" w:rsidRDefault="001C6539" w:rsidP="000E3CB2">
            <w:pPr>
              <w:pStyle w:val="Default"/>
              <w:ind w:right="140"/>
              <w:outlineLvl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6</w:t>
            </w:r>
            <w:r w:rsidR="00360C2D">
              <w:rPr>
                <w:color w:val="auto"/>
                <w:sz w:val="22"/>
                <w:szCs w:val="22"/>
              </w:rPr>
              <w:t xml:space="preserve"> </w:t>
            </w:r>
            <w:r w:rsidR="00415145">
              <w:rPr>
                <w:color w:val="auto"/>
                <w:sz w:val="22"/>
                <w:szCs w:val="22"/>
              </w:rPr>
              <w:t>months following OMB approval</w:t>
            </w:r>
          </w:p>
        </w:tc>
      </w:tr>
    </w:tbl>
    <w:p w:rsidR="00035DD4" w:rsidRDefault="00035DD4" w:rsidP="000E3CB2">
      <w:pPr>
        <w:pStyle w:val="Default"/>
        <w:ind w:left="60" w:right="140"/>
        <w:outlineLvl w:val="0"/>
        <w:rPr>
          <w:color w:val="auto"/>
        </w:rPr>
      </w:pPr>
    </w:p>
    <w:p w:rsidR="00C20E73" w:rsidRDefault="006F7FAC" w:rsidP="000E3CB2">
      <w:pPr>
        <w:pStyle w:val="Default"/>
        <w:ind w:left="60" w:right="140"/>
        <w:outlineLvl w:val="0"/>
        <w:rPr>
          <w:b/>
          <w:i/>
          <w:color w:val="auto"/>
        </w:rPr>
      </w:pPr>
      <w:r>
        <w:rPr>
          <w:b/>
          <w:i/>
          <w:color w:val="auto"/>
        </w:rPr>
        <w:tab/>
      </w:r>
      <w:r w:rsidR="00C20E73" w:rsidRPr="00C20E73">
        <w:rPr>
          <w:b/>
          <w:i/>
          <w:color w:val="auto"/>
        </w:rPr>
        <w:t>Analysis Plan</w:t>
      </w:r>
      <w:r w:rsidR="00C20E73" w:rsidRPr="00C20E73">
        <w:rPr>
          <w:b/>
          <w:i/>
          <w:color w:val="auto"/>
        </w:rPr>
        <w:tab/>
      </w:r>
    </w:p>
    <w:p w:rsidR="0036247F" w:rsidRDefault="0036247F" w:rsidP="000E3CB2">
      <w:pPr>
        <w:pStyle w:val="Default"/>
        <w:ind w:left="60" w:right="140"/>
        <w:outlineLvl w:val="0"/>
        <w:rPr>
          <w:color w:val="auto"/>
        </w:rPr>
      </w:pPr>
      <w:r>
        <w:rPr>
          <w:b/>
          <w:i/>
          <w:color w:val="auto"/>
        </w:rPr>
        <w:tab/>
      </w:r>
    </w:p>
    <w:p w:rsidR="0036247F" w:rsidRDefault="0036247F" w:rsidP="005A1BF4">
      <w:pPr>
        <w:pStyle w:val="Default"/>
        <w:ind w:left="-300" w:firstLine="300"/>
        <w:rPr>
          <w:color w:val="auto"/>
        </w:rPr>
      </w:pPr>
      <w:r>
        <w:rPr>
          <w:color w:val="auto"/>
        </w:rPr>
        <w:lastRenderedPageBreak/>
        <w:tab/>
        <w:t xml:space="preserve">The </w:t>
      </w:r>
      <w:r w:rsidR="00322D9B">
        <w:rPr>
          <w:color w:val="auto"/>
        </w:rPr>
        <w:t>research design for the propose</w:t>
      </w:r>
      <w:r w:rsidR="00F63A17">
        <w:rPr>
          <w:color w:val="auto"/>
        </w:rPr>
        <w:t>d</w:t>
      </w:r>
      <w:r w:rsidR="00322D9B">
        <w:rPr>
          <w:color w:val="auto"/>
        </w:rPr>
        <w:t xml:space="preserve"> study is qualitative. </w:t>
      </w:r>
      <w:r w:rsidR="00DD6DFE">
        <w:rPr>
          <w:color w:val="auto"/>
        </w:rPr>
        <w:t xml:space="preserve">Content analysis will be utilized to identify </w:t>
      </w:r>
      <w:r w:rsidR="00322D9B">
        <w:rPr>
          <w:color w:val="auto"/>
        </w:rPr>
        <w:t>the themes generated for the five core questions outlined earlier in the background section of this document.</w:t>
      </w:r>
      <w:r w:rsidR="00DD6DFE">
        <w:rPr>
          <w:color w:val="auto"/>
        </w:rPr>
        <w:t xml:space="preserve"> </w:t>
      </w:r>
      <w:r w:rsidR="00CB3B65">
        <w:rPr>
          <w:color w:val="auto"/>
        </w:rPr>
        <w:t>Commonalities and disagreements</w:t>
      </w:r>
      <w:r w:rsidR="007A040E">
        <w:rPr>
          <w:color w:val="auto"/>
        </w:rPr>
        <w:t xml:space="preserve"> among the themes across respondents of state and organiza</w:t>
      </w:r>
      <w:r w:rsidR="00DF184F">
        <w:rPr>
          <w:color w:val="auto"/>
        </w:rPr>
        <w:t xml:space="preserve">tional agencies of </w:t>
      </w:r>
      <w:r w:rsidR="007A040E">
        <w:rPr>
          <w:color w:val="auto"/>
        </w:rPr>
        <w:t xml:space="preserve">mental health and </w:t>
      </w:r>
      <w:r w:rsidR="00CB3B65">
        <w:rPr>
          <w:color w:val="auto"/>
        </w:rPr>
        <w:t xml:space="preserve">substance abuse will be noted. </w:t>
      </w:r>
      <w:r w:rsidR="00E17732">
        <w:rPr>
          <w:color w:val="auto"/>
        </w:rPr>
        <w:t xml:space="preserve">To validate the content of themes identified, inter-rater agreement will </w:t>
      </w:r>
      <w:r w:rsidR="005A1BF4">
        <w:rPr>
          <w:color w:val="auto"/>
        </w:rPr>
        <w:t xml:space="preserve">be established </w:t>
      </w:r>
      <w:r w:rsidR="00E17732">
        <w:rPr>
          <w:color w:val="auto"/>
        </w:rPr>
        <w:t>with two raters –the GS-9 level public health advisor</w:t>
      </w:r>
      <w:r w:rsidR="005A1BF4">
        <w:rPr>
          <w:color w:val="auto"/>
        </w:rPr>
        <w:t xml:space="preserve"> and senior staff supervisor (Beda Jean-Francois)</w:t>
      </w:r>
      <w:r w:rsidR="00E17732">
        <w:rPr>
          <w:color w:val="auto"/>
        </w:rPr>
        <w:t xml:space="preserve"> identified</w:t>
      </w:r>
      <w:r w:rsidR="005A1BF4">
        <w:rPr>
          <w:color w:val="auto"/>
        </w:rPr>
        <w:t xml:space="preserve"> under the section, </w:t>
      </w:r>
      <w:r w:rsidR="005A1BF4" w:rsidRPr="005A1BF4">
        <w:t>Annualized Cost to the Federal Government</w:t>
      </w:r>
      <w:r w:rsidR="005A1BF4">
        <w:t xml:space="preserve">. </w:t>
      </w:r>
      <w:r w:rsidR="00DF184F">
        <w:rPr>
          <w:color w:val="auto"/>
        </w:rPr>
        <w:t>Descriptive data, where appropriate</w:t>
      </w:r>
      <w:r w:rsidR="001347B7">
        <w:rPr>
          <w:color w:val="auto"/>
        </w:rPr>
        <w:t>,</w:t>
      </w:r>
      <w:r w:rsidR="00DF184F">
        <w:rPr>
          <w:color w:val="auto"/>
        </w:rPr>
        <w:t xml:space="preserve"> will be reported. For example, frequency tables can be created for the listing of peer roles, service activities, and service settings across the agencies and organizations </w:t>
      </w:r>
      <w:r w:rsidR="001347B7">
        <w:rPr>
          <w:color w:val="auto"/>
        </w:rPr>
        <w:t>reporting within each state</w:t>
      </w:r>
      <w:r w:rsidR="00DF184F">
        <w:rPr>
          <w:color w:val="auto"/>
        </w:rPr>
        <w:t xml:space="preserve">. </w:t>
      </w:r>
    </w:p>
    <w:p w:rsidR="001843DF" w:rsidRPr="005A1BF4" w:rsidRDefault="001843DF" w:rsidP="005A1BF4">
      <w:pPr>
        <w:pStyle w:val="Default"/>
        <w:ind w:left="-300" w:firstLine="300"/>
      </w:pPr>
    </w:p>
    <w:p w:rsidR="00893652" w:rsidRDefault="00906A2F" w:rsidP="006269CE">
      <w:pPr>
        <w:pStyle w:val="Default"/>
        <w:ind w:left="60" w:right="140"/>
        <w:outlineLvl w:val="0"/>
        <w:rPr>
          <w:b/>
          <w:i/>
        </w:rPr>
      </w:pPr>
      <w:r>
        <w:rPr>
          <w:b/>
          <w:i/>
        </w:rPr>
        <w:t>A1</w:t>
      </w:r>
      <w:r w:rsidR="001843DF">
        <w:rPr>
          <w:b/>
          <w:i/>
        </w:rPr>
        <w:t>7</w:t>
      </w:r>
      <w:r>
        <w:rPr>
          <w:b/>
          <w:i/>
        </w:rPr>
        <w:t>.</w:t>
      </w:r>
      <w:r>
        <w:rPr>
          <w:b/>
          <w:i/>
        </w:rPr>
        <w:tab/>
      </w:r>
      <w:r w:rsidR="000E3CB2" w:rsidRPr="00EF379E">
        <w:rPr>
          <w:b/>
          <w:i/>
        </w:rPr>
        <w:t>Display of OMB Expiration Date</w:t>
      </w:r>
    </w:p>
    <w:p w:rsidR="000E3CB2" w:rsidRPr="00EF379E" w:rsidRDefault="000E3CB2" w:rsidP="006269CE">
      <w:pPr>
        <w:pStyle w:val="Default"/>
        <w:ind w:left="60" w:right="140"/>
        <w:outlineLvl w:val="0"/>
        <w:rPr>
          <w:b/>
          <w:i/>
        </w:rPr>
      </w:pPr>
      <w:r w:rsidRPr="00EF379E">
        <w:rPr>
          <w:b/>
          <w:i/>
        </w:rPr>
        <w:t xml:space="preserve"> </w:t>
      </w:r>
    </w:p>
    <w:p w:rsidR="000E3CB2" w:rsidRPr="006633B8" w:rsidRDefault="000E3CB2" w:rsidP="00893652">
      <w:pPr>
        <w:pStyle w:val="Default"/>
        <w:ind w:right="140" w:firstLine="720"/>
        <w:outlineLvl w:val="0"/>
        <w:rPr>
          <w:color w:val="auto"/>
        </w:rPr>
      </w:pPr>
      <w:r w:rsidRPr="006633B8">
        <w:rPr>
          <w:color w:val="auto"/>
        </w:rPr>
        <w:t>The expiration date for OMB approval will be displayed.</w:t>
      </w:r>
    </w:p>
    <w:p w:rsidR="000E3CB2" w:rsidRPr="006633B8" w:rsidRDefault="000E3CB2" w:rsidP="000E3CB2">
      <w:pPr>
        <w:pStyle w:val="Default"/>
        <w:ind w:left="720" w:right="140"/>
        <w:outlineLvl w:val="0"/>
        <w:rPr>
          <w:color w:val="auto"/>
        </w:rPr>
      </w:pPr>
      <w:r w:rsidRPr="006633B8">
        <w:rPr>
          <w:color w:val="auto"/>
        </w:rPr>
        <w:t xml:space="preserve"> </w:t>
      </w:r>
    </w:p>
    <w:p w:rsidR="000E3CB2" w:rsidRPr="00EF379E" w:rsidRDefault="00906A2F" w:rsidP="00EF379E">
      <w:pPr>
        <w:spacing w:before="144" w:after="144" w:line="240" w:lineRule="auto"/>
        <w:ind w:right="144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A1</w:t>
      </w:r>
      <w:r w:rsidR="001843DF">
        <w:rPr>
          <w:rFonts w:ascii="Times New Roman" w:eastAsia="Times New Roman" w:hAnsi="Times New Roman"/>
          <w:b/>
          <w:i/>
          <w:sz w:val="24"/>
          <w:szCs w:val="24"/>
        </w:rPr>
        <w:t>8</w:t>
      </w:r>
      <w:r>
        <w:rPr>
          <w:rFonts w:ascii="Times New Roman" w:eastAsia="Times New Roman" w:hAnsi="Times New Roman"/>
          <w:b/>
          <w:i/>
          <w:sz w:val="24"/>
          <w:szCs w:val="24"/>
        </w:rPr>
        <w:t>.</w:t>
      </w:r>
      <w:r>
        <w:rPr>
          <w:rFonts w:ascii="Times New Roman" w:eastAsia="Times New Roman" w:hAnsi="Times New Roman"/>
          <w:b/>
          <w:i/>
          <w:sz w:val="24"/>
          <w:szCs w:val="24"/>
        </w:rPr>
        <w:tab/>
        <w:t xml:space="preserve">Exceptions to Certification for </w:t>
      </w:r>
      <w:r w:rsidR="000E3CB2" w:rsidRPr="00EF379E">
        <w:rPr>
          <w:rFonts w:ascii="Times New Roman" w:eastAsia="Times New Roman" w:hAnsi="Times New Roman"/>
          <w:b/>
          <w:i/>
          <w:sz w:val="24"/>
          <w:szCs w:val="24"/>
        </w:rPr>
        <w:t>Paperwork Reduction Act Submissions</w:t>
      </w:r>
    </w:p>
    <w:p w:rsidR="000E3CB2" w:rsidRDefault="000E3CB2" w:rsidP="009D7A12">
      <w:pPr>
        <w:pStyle w:val="Default"/>
        <w:ind w:right="140" w:firstLine="720"/>
        <w:rPr>
          <w:color w:val="auto"/>
        </w:rPr>
      </w:pPr>
      <w:r w:rsidRPr="006633B8">
        <w:rPr>
          <w:color w:val="auto"/>
        </w:rPr>
        <w:t xml:space="preserve">This collection of information involves no exceptions to the Certification for Paperwork Reduction Act Submissions.  </w:t>
      </w:r>
    </w:p>
    <w:p w:rsidR="000E3CB2" w:rsidRPr="006633B8" w:rsidRDefault="000E3CB2" w:rsidP="000E3CB2">
      <w:pPr>
        <w:pStyle w:val="Default"/>
        <w:ind w:right="140"/>
        <w:outlineLvl w:val="0"/>
        <w:rPr>
          <w:iCs/>
          <w:color w:val="auto"/>
        </w:rPr>
      </w:pPr>
    </w:p>
    <w:p w:rsidR="00B1488C" w:rsidRPr="00B1488C" w:rsidRDefault="000E3CB2" w:rsidP="001843DF">
      <w:pPr>
        <w:pStyle w:val="Default"/>
        <w:ind w:right="140" w:hanging="450"/>
      </w:pPr>
      <w:r w:rsidRPr="006633B8">
        <w:rPr>
          <w:b/>
          <w:bCs/>
          <w:color w:val="auto"/>
        </w:rPr>
        <w:t xml:space="preserve">  </w:t>
      </w:r>
      <w:bookmarkStart w:id="0" w:name="_GoBack"/>
      <w:bookmarkEnd w:id="0"/>
    </w:p>
    <w:sectPr w:rsidR="00B1488C" w:rsidRPr="00B1488C" w:rsidSect="0076054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0E6" w:rsidRDefault="00D900E6" w:rsidP="002F0599">
      <w:pPr>
        <w:spacing w:after="0" w:line="240" w:lineRule="auto"/>
      </w:pPr>
      <w:r>
        <w:separator/>
      </w:r>
    </w:p>
  </w:endnote>
  <w:endnote w:type="continuationSeparator" w:id="0">
    <w:p w:rsidR="00D900E6" w:rsidRDefault="00D900E6" w:rsidP="002F0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43114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441D" w:rsidRDefault="003C38D8">
        <w:pPr>
          <w:pStyle w:val="Footer"/>
          <w:jc w:val="center"/>
        </w:pPr>
        <w:r>
          <w:fldChar w:fldCharType="begin"/>
        </w:r>
        <w:r w:rsidR="002C441D">
          <w:instrText xml:space="preserve"> PAGE   \* MERGEFORMAT </w:instrText>
        </w:r>
        <w:r>
          <w:fldChar w:fldCharType="separate"/>
        </w:r>
        <w:r w:rsidR="001843D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C441D" w:rsidRDefault="002C44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0E6" w:rsidRDefault="00D900E6" w:rsidP="002F0599">
      <w:pPr>
        <w:spacing w:after="0" w:line="240" w:lineRule="auto"/>
      </w:pPr>
      <w:r>
        <w:separator/>
      </w:r>
    </w:p>
  </w:footnote>
  <w:footnote w:type="continuationSeparator" w:id="0">
    <w:p w:rsidR="00D900E6" w:rsidRDefault="00D900E6" w:rsidP="002F0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143A"/>
    <w:multiLevelType w:val="hybridMultilevel"/>
    <w:tmpl w:val="16808826"/>
    <w:lvl w:ilvl="0" w:tplc="C1648F7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210E56B2"/>
    <w:multiLevelType w:val="hybridMultilevel"/>
    <w:tmpl w:val="550051A0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CC81D83"/>
    <w:multiLevelType w:val="hybridMultilevel"/>
    <w:tmpl w:val="3404E3DC"/>
    <w:lvl w:ilvl="0" w:tplc="8FB4990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83231"/>
    <w:multiLevelType w:val="hybridMultilevel"/>
    <w:tmpl w:val="65502A1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2431A0"/>
    <w:multiLevelType w:val="hybridMultilevel"/>
    <w:tmpl w:val="296A46EE"/>
    <w:lvl w:ilvl="0" w:tplc="113EEB1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354AFE"/>
    <w:multiLevelType w:val="hybridMultilevel"/>
    <w:tmpl w:val="690A1158"/>
    <w:lvl w:ilvl="0" w:tplc="9746D432">
      <w:start w:val="1"/>
      <w:numFmt w:val="decimal"/>
      <w:lvlText w:val="%1."/>
      <w:lvlJc w:val="left"/>
      <w:pPr>
        <w:ind w:left="6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780" w:hanging="360"/>
      </w:pPr>
    </w:lvl>
    <w:lvl w:ilvl="2" w:tplc="0409001B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6">
    <w:nsid w:val="52C067A3"/>
    <w:multiLevelType w:val="hybridMultilevel"/>
    <w:tmpl w:val="15386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13308"/>
    <w:multiLevelType w:val="hybridMultilevel"/>
    <w:tmpl w:val="9FCA9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A1890"/>
    <w:multiLevelType w:val="hybridMultilevel"/>
    <w:tmpl w:val="423EAB50"/>
    <w:lvl w:ilvl="0" w:tplc="3AF8C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51"/>
    <w:rsid w:val="0001343B"/>
    <w:rsid w:val="000244BF"/>
    <w:rsid w:val="00032E73"/>
    <w:rsid w:val="0003521A"/>
    <w:rsid w:val="00035DD4"/>
    <w:rsid w:val="0004222A"/>
    <w:rsid w:val="00045C8C"/>
    <w:rsid w:val="0005014E"/>
    <w:rsid w:val="0005617B"/>
    <w:rsid w:val="00067B9C"/>
    <w:rsid w:val="00073E39"/>
    <w:rsid w:val="000A6277"/>
    <w:rsid w:val="000A6450"/>
    <w:rsid w:val="000B5445"/>
    <w:rsid w:val="000D5DAB"/>
    <w:rsid w:val="000D648E"/>
    <w:rsid w:val="000E3CB2"/>
    <w:rsid w:val="000F33D6"/>
    <w:rsid w:val="000F3663"/>
    <w:rsid w:val="000F4B7A"/>
    <w:rsid w:val="00100D62"/>
    <w:rsid w:val="0010381C"/>
    <w:rsid w:val="00104C58"/>
    <w:rsid w:val="00106567"/>
    <w:rsid w:val="00107FBE"/>
    <w:rsid w:val="001167FB"/>
    <w:rsid w:val="001204E9"/>
    <w:rsid w:val="00124656"/>
    <w:rsid w:val="001347B7"/>
    <w:rsid w:val="00154E67"/>
    <w:rsid w:val="00160E9B"/>
    <w:rsid w:val="00175046"/>
    <w:rsid w:val="001843DF"/>
    <w:rsid w:val="00184C8A"/>
    <w:rsid w:val="0018606A"/>
    <w:rsid w:val="001C20AB"/>
    <w:rsid w:val="001C6539"/>
    <w:rsid w:val="001E54D5"/>
    <w:rsid w:val="00211328"/>
    <w:rsid w:val="00215755"/>
    <w:rsid w:val="002545C8"/>
    <w:rsid w:val="00266E1A"/>
    <w:rsid w:val="00271514"/>
    <w:rsid w:val="00276842"/>
    <w:rsid w:val="00280E11"/>
    <w:rsid w:val="002849C2"/>
    <w:rsid w:val="002A0D0A"/>
    <w:rsid w:val="002B37F9"/>
    <w:rsid w:val="002C441D"/>
    <w:rsid w:val="002C5F24"/>
    <w:rsid w:val="002D406B"/>
    <w:rsid w:val="002D782D"/>
    <w:rsid w:val="002F0599"/>
    <w:rsid w:val="002F671A"/>
    <w:rsid w:val="00300DC6"/>
    <w:rsid w:val="003144CA"/>
    <w:rsid w:val="00322D9B"/>
    <w:rsid w:val="0033013F"/>
    <w:rsid w:val="00344770"/>
    <w:rsid w:val="00347964"/>
    <w:rsid w:val="00350FB2"/>
    <w:rsid w:val="003564BE"/>
    <w:rsid w:val="00357C62"/>
    <w:rsid w:val="00360C2D"/>
    <w:rsid w:val="0036247F"/>
    <w:rsid w:val="00362C90"/>
    <w:rsid w:val="00374835"/>
    <w:rsid w:val="00386493"/>
    <w:rsid w:val="003900B7"/>
    <w:rsid w:val="00392FD9"/>
    <w:rsid w:val="003931C6"/>
    <w:rsid w:val="00394141"/>
    <w:rsid w:val="003A73E0"/>
    <w:rsid w:val="003B288C"/>
    <w:rsid w:val="003B6AE1"/>
    <w:rsid w:val="003C0478"/>
    <w:rsid w:val="003C1E1C"/>
    <w:rsid w:val="003C38D8"/>
    <w:rsid w:val="003C6B9E"/>
    <w:rsid w:val="003E2EE7"/>
    <w:rsid w:val="003E3367"/>
    <w:rsid w:val="003F2DD4"/>
    <w:rsid w:val="003F69BF"/>
    <w:rsid w:val="004050F0"/>
    <w:rsid w:val="0041447D"/>
    <w:rsid w:val="00415145"/>
    <w:rsid w:val="00440CC9"/>
    <w:rsid w:val="00443DFD"/>
    <w:rsid w:val="00457F6C"/>
    <w:rsid w:val="00473204"/>
    <w:rsid w:val="00482970"/>
    <w:rsid w:val="0049055B"/>
    <w:rsid w:val="004937C9"/>
    <w:rsid w:val="004B0424"/>
    <w:rsid w:val="004B22CF"/>
    <w:rsid w:val="004D2B5B"/>
    <w:rsid w:val="004F312C"/>
    <w:rsid w:val="004F4D87"/>
    <w:rsid w:val="004F68A3"/>
    <w:rsid w:val="00501A52"/>
    <w:rsid w:val="00503A51"/>
    <w:rsid w:val="00515649"/>
    <w:rsid w:val="00516008"/>
    <w:rsid w:val="00517F16"/>
    <w:rsid w:val="00521147"/>
    <w:rsid w:val="00530E73"/>
    <w:rsid w:val="00532E92"/>
    <w:rsid w:val="005379C5"/>
    <w:rsid w:val="00560638"/>
    <w:rsid w:val="00562D92"/>
    <w:rsid w:val="0056723A"/>
    <w:rsid w:val="00586E1B"/>
    <w:rsid w:val="0059176C"/>
    <w:rsid w:val="005A1BF4"/>
    <w:rsid w:val="005A77A9"/>
    <w:rsid w:val="005B5B5A"/>
    <w:rsid w:val="005D099D"/>
    <w:rsid w:val="005E0B86"/>
    <w:rsid w:val="005F376E"/>
    <w:rsid w:val="00600D83"/>
    <w:rsid w:val="00605D6C"/>
    <w:rsid w:val="00611CC6"/>
    <w:rsid w:val="00613E54"/>
    <w:rsid w:val="006245DE"/>
    <w:rsid w:val="006269CE"/>
    <w:rsid w:val="006553B4"/>
    <w:rsid w:val="006633B8"/>
    <w:rsid w:val="00676BB7"/>
    <w:rsid w:val="00680A3F"/>
    <w:rsid w:val="00686BF6"/>
    <w:rsid w:val="006948BA"/>
    <w:rsid w:val="006B76B5"/>
    <w:rsid w:val="006F7FAC"/>
    <w:rsid w:val="00726218"/>
    <w:rsid w:val="0072682E"/>
    <w:rsid w:val="00741C41"/>
    <w:rsid w:val="00742563"/>
    <w:rsid w:val="00744944"/>
    <w:rsid w:val="00744AE8"/>
    <w:rsid w:val="00746047"/>
    <w:rsid w:val="00752739"/>
    <w:rsid w:val="00755DF0"/>
    <w:rsid w:val="00760543"/>
    <w:rsid w:val="00767F14"/>
    <w:rsid w:val="00771E05"/>
    <w:rsid w:val="007A040E"/>
    <w:rsid w:val="007A2C64"/>
    <w:rsid w:val="007C0F5F"/>
    <w:rsid w:val="007C4A85"/>
    <w:rsid w:val="007C5401"/>
    <w:rsid w:val="007D07B6"/>
    <w:rsid w:val="007D0DC1"/>
    <w:rsid w:val="007D3340"/>
    <w:rsid w:val="007E05BC"/>
    <w:rsid w:val="00804EDF"/>
    <w:rsid w:val="0081400A"/>
    <w:rsid w:val="00834318"/>
    <w:rsid w:val="0083698D"/>
    <w:rsid w:val="0084439B"/>
    <w:rsid w:val="00860C39"/>
    <w:rsid w:val="00864AAE"/>
    <w:rsid w:val="00864F33"/>
    <w:rsid w:val="00865CDD"/>
    <w:rsid w:val="00881305"/>
    <w:rsid w:val="00893652"/>
    <w:rsid w:val="008A2274"/>
    <w:rsid w:val="008B0765"/>
    <w:rsid w:val="008B60D2"/>
    <w:rsid w:val="008C6CA9"/>
    <w:rsid w:val="008D1CFB"/>
    <w:rsid w:val="008D5AD2"/>
    <w:rsid w:val="008E0BAF"/>
    <w:rsid w:val="00906A2F"/>
    <w:rsid w:val="00917500"/>
    <w:rsid w:val="0092323A"/>
    <w:rsid w:val="009246FC"/>
    <w:rsid w:val="00944513"/>
    <w:rsid w:val="00966E85"/>
    <w:rsid w:val="009745D0"/>
    <w:rsid w:val="0097688F"/>
    <w:rsid w:val="00984966"/>
    <w:rsid w:val="00984B9E"/>
    <w:rsid w:val="0098554D"/>
    <w:rsid w:val="0099206A"/>
    <w:rsid w:val="009954A4"/>
    <w:rsid w:val="009B0F4D"/>
    <w:rsid w:val="009B1ACE"/>
    <w:rsid w:val="009B50C2"/>
    <w:rsid w:val="009C66A5"/>
    <w:rsid w:val="009C7582"/>
    <w:rsid w:val="009C7D14"/>
    <w:rsid w:val="009D7A12"/>
    <w:rsid w:val="009E35FC"/>
    <w:rsid w:val="009E6A99"/>
    <w:rsid w:val="00A12378"/>
    <w:rsid w:val="00A1768A"/>
    <w:rsid w:val="00A2072A"/>
    <w:rsid w:val="00A2194A"/>
    <w:rsid w:val="00A40AC9"/>
    <w:rsid w:val="00A421CF"/>
    <w:rsid w:val="00A42A2F"/>
    <w:rsid w:val="00A44C54"/>
    <w:rsid w:val="00A62127"/>
    <w:rsid w:val="00A65E62"/>
    <w:rsid w:val="00A81C72"/>
    <w:rsid w:val="00A9189A"/>
    <w:rsid w:val="00AA10FE"/>
    <w:rsid w:val="00AA30A6"/>
    <w:rsid w:val="00AB25AF"/>
    <w:rsid w:val="00AE2FD0"/>
    <w:rsid w:val="00AE35A4"/>
    <w:rsid w:val="00AF06C2"/>
    <w:rsid w:val="00AF7951"/>
    <w:rsid w:val="00AF7EB2"/>
    <w:rsid w:val="00B023A7"/>
    <w:rsid w:val="00B1488C"/>
    <w:rsid w:val="00B161E0"/>
    <w:rsid w:val="00B27876"/>
    <w:rsid w:val="00B30B9F"/>
    <w:rsid w:val="00B36BC6"/>
    <w:rsid w:val="00B474C0"/>
    <w:rsid w:val="00B5643F"/>
    <w:rsid w:val="00B6311B"/>
    <w:rsid w:val="00B640FA"/>
    <w:rsid w:val="00BA68B4"/>
    <w:rsid w:val="00BB26E2"/>
    <w:rsid w:val="00BB4864"/>
    <w:rsid w:val="00BC4A0E"/>
    <w:rsid w:val="00BC674F"/>
    <w:rsid w:val="00BE0810"/>
    <w:rsid w:val="00BE15AF"/>
    <w:rsid w:val="00C00FEC"/>
    <w:rsid w:val="00C0443B"/>
    <w:rsid w:val="00C06EF3"/>
    <w:rsid w:val="00C07FD3"/>
    <w:rsid w:val="00C20E73"/>
    <w:rsid w:val="00C31CE4"/>
    <w:rsid w:val="00C36DCA"/>
    <w:rsid w:val="00C4162E"/>
    <w:rsid w:val="00C43C87"/>
    <w:rsid w:val="00C61369"/>
    <w:rsid w:val="00C62EA1"/>
    <w:rsid w:val="00C6343C"/>
    <w:rsid w:val="00C670F0"/>
    <w:rsid w:val="00C72B42"/>
    <w:rsid w:val="00C75A0A"/>
    <w:rsid w:val="00C87A89"/>
    <w:rsid w:val="00C95B1A"/>
    <w:rsid w:val="00CA1299"/>
    <w:rsid w:val="00CA1A1E"/>
    <w:rsid w:val="00CA4DB1"/>
    <w:rsid w:val="00CB0422"/>
    <w:rsid w:val="00CB0D70"/>
    <w:rsid w:val="00CB3B65"/>
    <w:rsid w:val="00CB7188"/>
    <w:rsid w:val="00CC6191"/>
    <w:rsid w:val="00CD0DA2"/>
    <w:rsid w:val="00CD1718"/>
    <w:rsid w:val="00CD3C27"/>
    <w:rsid w:val="00CD60E3"/>
    <w:rsid w:val="00CE49EB"/>
    <w:rsid w:val="00CE4D21"/>
    <w:rsid w:val="00D26084"/>
    <w:rsid w:val="00D324CC"/>
    <w:rsid w:val="00D41F96"/>
    <w:rsid w:val="00D4527C"/>
    <w:rsid w:val="00D456CA"/>
    <w:rsid w:val="00D50C5B"/>
    <w:rsid w:val="00D56BCF"/>
    <w:rsid w:val="00D65135"/>
    <w:rsid w:val="00D655D7"/>
    <w:rsid w:val="00D854EA"/>
    <w:rsid w:val="00D870ED"/>
    <w:rsid w:val="00D900E6"/>
    <w:rsid w:val="00DA0D8D"/>
    <w:rsid w:val="00DA0DD5"/>
    <w:rsid w:val="00DB08B2"/>
    <w:rsid w:val="00DC09FB"/>
    <w:rsid w:val="00DC26E3"/>
    <w:rsid w:val="00DC5F69"/>
    <w:rsid w:val="00DD6DFE"/>
    <w:rsid w:val="00DF10EF"/>
    <w:rsid w:val="00DF184F"/>
    <w:rsid w:val="00E06D9A"/>
    <w:rsid w:val="00E17732"/>
    <w:rsid w:val="00E240CE"/>
    <w:rsid w:val="00E35289"/>
    <w:rsid w:val="00E41CDA"/>
    <w:rsid w:val="00E547B6"/>
    <w:rsid w:val="00E7259B"/>
    <w:rsid w:val="00E817B4"/>
    <w:rsid w:val="00E87C1D"/>
    <w:rsid w:val="00EB3C7E"/>
    <w:rsid w:val="00EB5CAF"/>
    <w:rsid w:val="00EC4A75"/>
    <w:rsid w:val="00EE0B84"/>
    <w:rsid w:val="00EE518D"/>
    <w:rsid w:val="00EE7AB9"/>
    <w:rsid w:val="00EF379E"/>
    <w:rsid w:val="00F01381"/>
    <w:rsid w:val="00F04C73"/>
    <w:rsid w:val="00F0750D"/>
    <w:rsid w:val="00F173B4"/>
    <w:rsid w:val="00F22293"/>
    <w:rsid w:val="00F375F0"/>
    <w:rsid w:val="00F4647C"/>
    <w:rsid w:val="00F63A17"/>
    <w:rsid w:val="00F6482A"/>
    <w:rsid w:val="00F761BC"/>
    <w:rsid w:val="00F82D82"/>
    <w:rsid w:val="00F920B9"/>
    <w:rsid w:val="00FC4F74"/>
    <w:rsid w:val="00FD26FF"/>
    <w:rsid w:val="00FD7757"/>
    <w:rsid w:val="00FE2472"/>
    <w:rsid w:val="00FE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F0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F05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0599"/>
    <w:pPr>
      <w:spacing w:after="0" w:line="240" w:lineRule="auto"/>
      <w:ind w:left="720"/>
      <w:contextualSpacing/>
    </w:pPr>
    <w:rPr>
      <w:rFonts w:ascii="Tms Rmn" w:eastAsia="Times New Roman" w:hAnsi="Tms Rm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0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599"/>
  </w:style>
  <w:style w:type="paragraph" w:styleId="Footer">
    <w:name w:val="footer"/>
    <w:basedOn w:val="Normal"/>
    <w:link w:val="FooterChar"/>
    <w:uiPriority w:val="99"/>
    <w:unhideWhenUsed/>
    <w:rsid w:val="002F0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599"/>
  </w:style>
  <w:style w:type="paragraph" w:styleId="NoSpacing">
    <w:name w:val="No Spacing"/>
    <w:uiPriority w:val="1"/>
    <w:qFormat/>
    <w:rsid w:val="002768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C2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0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0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0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0AB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uiPriority w:val="99"/>
    <w:rsid w:val="004B0424"/>
    <w:pPr>
      <w:autoSpaceDE w:val="0"/>
      <w:autoSpaceDN w:val="0"/>
      <w:adjustRightInd w:val="0"/>
      <w:spacing w:after="0" w:line="553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M7">
    <w:name w:val="CM7"/>
    <w:basedOn w:val="Normal"/>
    <w:next w:val="Normal"/>
    <w:uiPriority w:val="99"/>
    <w:rsid w:val="004B0424"/>
    <w:pPr>
      <w:autoSpaceDE w:val="0"/>
      <w:autoSpaceDN w:val="0"/>
      <w:adjustRightInd w:val="0"/>
      <w:spacing w:after="0" w:line="553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M8">
    <w:name w:val="CM8"/>
    <w:basedOn w:val="Normal"/>
    <w:next w:val="Normal"/>
    <w:uiPriority w:val="99"/>
    <w:rsid w:val="004B0424"/>
    <w:pPr>
      <w:autoSpaceDE w:val="0"/>
      <w:autoSpaceDN w:val="0"/>
      <w:adjustRightInd w:val="0"/>
      <w:spacing w:after="0" w:line="553" w:lineRule="atLeast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62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3C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CB2"/>
    <w:rPr>
      <w:color w:val="0000FF"/>
      <w:u w:val="single"/>
    </w:rPr>
  </w:style>
  <w:style w:type="paragraph" w:styleId="Revision">
    <w:name w:val="Revision"/>
    <w:hidden/>
    <w:uiPriority w:val="99"/>
    <w:semiHidden/>
    <w:rsid w:val="00726218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E240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240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F0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F05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0599"/>
    <w:pPr>
      <w:spacing w:after="0" w:line="240" w:lineRule="auto"/>
      <w:ind w:left="720"/>
      <w:contextualSpacing/>
    </w:pPr>
    <w:rPr>
      <w:rFonts w:ascii="Tms Rmn" w:eastAsia="Times New Roman" w:hAnsi="Tms Rm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0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599"/>
  </w:style>
  <w:style w:type="paragraph" w:styleId="Footer">
    <w:name w:val="footer"/>
    <w:basedOn w:val="Normal"/>
    <w:link w:val="FooterChar"/>
    <w:uiPriority w:val="99"/>
    <w:unhideWhenUsed/>
    <w:rsid w:val="002F0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599"/>
  </w:style>
  <w:style w:type="paragraph" w:styleId="NoSpacing">
    <w:name w:val="No Spacing"/>
    <w:uiPriority w:val="1"/>
    <w:qFormat/>
    <w:rsid w:val="002768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C2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0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0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0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0AB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uiPriority w:val="99"/>
    <w:rsid w:val="004B0424"/>
    <w:pPr>
      <w:autoSpaceDE w:val="0"/>
      <w:autoSpaceDN w:val="0"/>
      <w:adjustRightInd w:val="0"/>
      <w:spacing w:after="0" w:line="553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M7">
    <w:name w:val="CM7"/>
    <w:basedOn w:val="Normal"/>
    <w:next w:val="Normal"/>
    <w:uiPriority w:val="99"/>
    <w:rsid w:val="004B0424"/>
    <w:pPr>
      <w:autoSpaceDE w:val="0"/>
      <w:autoSpaceDN w:val="0"/>
      <w:adjustRightInd w:val="0"/>
      <w:spacing w:after="0" w:line="553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M8">
    <w:name w:val="CM8"/>
    <w:basedOn w:val="Normal"/>
    <w:next w:val="Normal"/>
    <w:uiPriority w:val="99"/>
    <w:rsid w:val="004B0424"/>
    <w:pPr>
      <w:autoSpaceDE w:val="0"/>
      <w:autoSpaceDN w:val="0"/>
      <w:adjustRightInd w:val="0"/>
      <w:spacing w:after="0" w:line="553" w:lineRule="atLeast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62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3C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CB2"/>
    <w:rPr>
      <w:color w:val="0000FF"/>
      <w:u w:val="single"/>
    </w:rPr>
  </w:style>
  <w:style w:type="paragraph" w:styleId="Revision">
    <w:name w:val="Revision"/>
    <w:hidden/>
    <w:uiPriority w:val="99"/>
    <w:semiHidden/>
    <w:rsid w:val="00726218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E240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24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2564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Jean-Francois, Jean (SAMHSA) (CTR)</dc:creator>
  <cp:lastModifiedBy>Windows User</cp:lastModifiedBy>
  <cp:revision>2</cp:revision>
  <cp:lastPrinted>2013-12-12T18:02:00Z</cp:lastPrinted>
  <dcterms:created xsi:type="dcterms:W3CDTF">2014-03-05T13:40:00Z</dcterms:created>
  <dcterms:modified xsi:type="dcterms:W3CDTF">2014-03-05T13:40:00Z</dcterms:modified>
</cp:coreProperties>
</file>