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7AE8D" w14:textId="77777777" w:rsidR="007D4A48" w:rsidRDefault="007D4A48" w:rsidP="00C93CCC">
      <w:pPr>
        <w:jc w:val="center"/>
        <w:rPr>
          <w:b/>
        </w:rPr>
      </w:pPr>
      <w:r>
        <w:rPr>
          <w:b/>
        </w:rPr>
        <w:t>Supporting Statement A</w:t>
      </w:r>
    </w:p>
    <w:p w14:paraId="241029E8" w14:textId="77777777" w:rsidR="007D4A48" w:rsidRDefault="007D4A48" w:rsidP="00C93CCC">
      <w:pPr>
        <w:jc w:val="center"/>
        <w:rPr>
          <w:b/>
        </w:rPr>
      </w:pPr>
    </w:p>
    <w:p w14:paraId="1B2480D6" w14:textId="77777777" w:rsidR="00C93CCC" w:rsidRDefault="00C93CCC" w:rsidP="00C93CCC">
      <w:pPr>
        <w:jc w:val="center"/>
        <w:rPr>
          <w:b/>
        </w:rPr>
      </w:pPr>
      <w:r>
        <w:rPr>
          <w:b/>
        </w:rPr>
        <w:t>Customer Surveys Generic Clearance</w:t>
      </w:r>
    </w:p>
    <w:p w14:paraId="626F61E0" w14:textId="77777777" w:rsidR="00C93CCC" w:rsidRDefault="004E19A1" w:rsidP="00C93CCC">
      <w:pPr>
        <w:jc w:val="center"/>
        <w:rPr>
          <w:b/>
        </w:rPr>
      </w:pPr>
      <w:proofErr w:type="gramStart"/>
      <w:r>
        <w:rPr>
          <w:b/>
        </w:rPr>
        <w:t>f</w:t>
      </w:r>
      <w:r w:rsidR="00C93CCC">
        <w:rPr>
          <w:b/>
        </w:rPr>
        <w:t>or</w:t>
      </w:r>
      <w:proofErr w:type="gramEnd"/>
      <w:r w:rsidR="00C93CCC">
        <w:rPr>
          <w:b/>
        </w:rPr>
        <w:t xml:space="preserve"> the </w:t>
      </w:r>
    </w:p>
    <w:p w14:paraId="660AC58C" w14:textId="77777777" w:rsidR="00C93CCC" w:rsidRDefault="00C93CCC" w:rsidP="00C93CCC">
      <w:pPr>
        <w:jc w:val="center"/>
        <w:rPr>
          <w:b/>
        </w:rPr>
      </w:pPr>
      <w:r>
        <w:rPr>
          <w:b/>
        </w:rPr>
        <w:t>National Center for Health Statistics</w:t>
      </w:r>
    </w:p>
    <w:p w14:paraId="4649750F" w14:textId="77777777" w:rsidR="004E19A1" w:rsidRDefault="004E19A1" w:rsidP="00C93CCC">
      <w:pPr>
        <w:jc w:val="center"/>
        <w:rPr>
          <w:b/>
        </w:rPr>
      </w:pPr>
      <w:r>
        <w:rPr>
          <w:b/>
        </w:rPr>
        <w:t>Generic IC</w:t>
      </w:r>
      <w:r w:rsidR="007D4A48">
        <w:rPr>
          <w:b/>
        </w:rPr>
        <w:t>:</w:t>
      </w:r>
    </w:p>
    <w:p w14:paraId="65321600" w14:textId="77777777" w:rsidR="00F02549" w:rsidRDefault="007D4A48" w:rsidP="00C93CCC">
      <w:pPr>
        <w:jc w:val="center"/>
        <w:rPr>
          <w:b/>
        </w:rPr>
      </w:pPr>
      <w:r w:rsidRPr="007D4A48">
        <w:rPr>
          <w:b/>
        </w:rPr>
        <w:t xml:space="preserve">Feedback Survey of persons registered for the </w:t>
      </w:r>
    </w:p>
    <w:p w14:paraId="637A5900" w14:textId="0A65D92C" w:rsidR="007D4A48" w:rsidRDefault="007D4A48" w:rsidP="00C93CCC">
      <w:pPr>
        <w:jc w:val="center"/>
        <w:rPr>
          <w:b/>
        </w:rPr>
      </w:pPr>
      <w:r w:rsidRPr="007D4A48">
        <w:rPr>
          <w:b/>
        </w:rPr>
        <w:t xml:space="preserve">NCHS </w:t>
      </w:r>
      <w:r w:rsidR="001423A8" w:rsidRPr="007D4A48">
        <w:rPr>
          <w:b/>
        </w:rPr>
        <w:t>201</w:t>
      </w:r>
      <w:r w:rsidR="001423A8">
        <w:rPr>
          <w:b/>
        </w:rPr>
        <w:t xml:space="preserve">5 </w:t>
      </w:r>
      <w:r w:rsidRPr="007D4A48">
        <w:rPr>
          <w:b/>
        </w:rPr>
        <w:t>National Conference on Health Statistics</w:t>
      </w:r>
      <w:r>
        <w:rPr>
          <w:b/>
        </w:rPr>
        <w:t xml:space="preserve"> </w:t>
      </w:r>
    </w:p>
    <w:p w14:paraId="67B549A9" w14:textId="77777777" w:rsidR="007D4A48" w:rsidRPr="007D4A48" w:rsidRDefault="007D4A48" w:rsidP="00C93CCC">
      <w:pPr>
        <w:jc w:val="center"/>
        <w:rPr>
          <w:b/>
        </w:rPr>
      </w:pPr>
    </w:p>
    <w:p w14:paraId="30D7D17B" w14:textId="34275D46" w:rsidR="00C93CCC" w:rsidRDefault="00C93CCC" w:rsidP="00C93CCC">
      <w:pPr>
        <w:jc w:val="center"/>
        <w:rPr>
          <w:b/>
        </w:rPr>
      </w:pPr>
      <w:r>
        <w:rPr>
          <w:b/>
        </w:rPr>
        <w:t>OMB No. 0920-0729</w:t>
      </w:r>
      <w:r>
        <w:rPr>
          <w:b/>
        </w:rPr>
        <w:br/>
        <w:t xml:space="preserve">(Expires </w:t>
      </w:r>
      <w:r w:rsidR="00042390">
        <w:rPr>
          <w:b/>
        </w:rPr>
        <w:t>May 31</w:t>
      </w:r>
      <w:r w:rsidR="00114C0F">
        <w:rPr>
          <w:b/>
        </w:rPr>
        <w:t>,</w:t>
      </w:r>
      <w:r>
        <w:rPr>
          <w:b/>
        </w:rPr>
        <w:t xml:space="preserve"> </w:t>
      </w:r>
      <w:r w:rsidRPr="00114C0F">
        <w:rPr>
          <w:b/>
        </w:rPr>
        <w:t>20</w:t>
      </w:r>
      <w:r w:rsidR="00364B58" w:rsidRPr="00114C0F">
        <w:rPr>
          <w:b/>
        </w:rPr>
        <w:t>1</w:t>
      </w:r>
      <w:r w:rsidR="00042390">
        <w:rPr>
          <w:b/>
        </w:rPr>
        <w:t>7</w:t>
      </w:r>
      <w:r w:rsidRPr="00114C0F">
        <w:rPr>
          <w:b/>
        </w:rPr>
        <w:t>)</w:t>
      </w:r>
      <w:r w:rsidR="00364B58">
        <w:rPr>
          <w:b/>
        </w:rPr>
        <w:t xml:space="preserve"> </w:t>
      </w:r>
    </w:p>
    <w:p w14:paraId="628C238A" w14:textId="77777777" w:rsidR="004E19A1" w:rsidRDefault="004E19A1" w:rsidP="00C93CCC">
      <w:pPr>
        <w:jc w:val="center"/>
        <w:rPr>
          <w:b/>
        </w:rPr>
      </w:pPr>
    </w:p>
    <w:p w14:paraId="353C4664" w14:textId="77777777" w:rsidR="004E19A1" w:rsidRDefault="004E19A1" w:rsidP="00C93CCC">
      <w:pPr>
        <w:jc w:val="center"/>
        <w:rPr>
          <w:b/>
        </w:rPr>
      </w:pPr>
    </w:p>
    <w:p w14:paraId="64653B53" w14:textId="77777777" w:rsidR="00C93CCC" w:rsidRDefault="00C93CCC" w:rsidP="00C93CCC">
      <w:pPr>
        <w:jc w:val="center"/>
        <w:rPr>
          <w:b/>
        </w:rPr>
      </w:pPr>
      <w:r>
        <w:rPr>
          <w:b/>
        </w:rPr>
        <w:t>Contact Information</w:t>
      </w:r>
    </w:p>
    <w:p w14:paraId="1AA1C68E" w14:textId="77777777" w:rsidR="00114C0F" w:rsidRDefault="00114C0F" w:rsidP="00C93CCC">
      <w:pPr>
        <w:jc w:val="center"/>
        <w:rPr>
          <w:b/>
        </w:rPr>
      </w:pPr>
    </w:p>
    <w:p w14:paraId="4B4B0289" w14:textId="494DECEA" w:rsidR="00C93CCC" w:rsidRDefault="00F02549" w:rsidP="004E19A1">
      <w:pPr>
        <w:spacing w:before="240"/>
        <w:jc w:val="center"/>
        <w:rPr>
          <w:b/>
        </w:rPr>
      </w:pPr>
      <w:r>
        <w:rPr>
          <w:b/>
        </w:rPr>
        <w:t>H</w:t>
      </w:r>
      <w:r w:rsidR="001423A8">
        <w:rPr>
          <w:b/>
        </w:rPr>
        <w:t>an</w:t>
      </w:r>
      <w:r>
        <w:rPr>
          <w:b/>
        </w:rPr>
        <w:t>yu</w:t>
      </w:r>
      <w:r w:rsidR="001423A8">
        <w:rPr>
          <w:b/>
        </w:rPr>
        <w:t xml:space="preserve"> Ni, Ph.D.</w:t>
      </w:r>
    </w:p>
    <w:p w14:paraId="17AD3084" w14:textId="11A2B2B4" w:rsidR="00C93CCC" w:rsidRDefault="001423A8" w:rsidP="00C93CCC">
      <w:pPr>
        <w:jc w:val="center"/>
        <w:rPr>
          <w:b/>
        </w:rPr>
      </w:pPr>
      <w:r>
        <w:rPr>
          <w:b/>
        </w:rPr>
        <w:t>Co-Chair, 2015 National Conference on Health Statistics</w:t>
      </w:r>
    </w:p>
    <w:p w14:paraId="6A2AFD42" w14:textId="77777777" w:rsidR="00C93CCC" w:rsidRDefault="00C93CCC" w:rsidP="00C93CCC">
      <w:pPr>
        <w:jc w:val="center"/>
        <w:rPr>
          <w:b/>
        </w:rPr>
      </w:pPr>
      <w:r>
        <w:rPr>
          <w:b/>
        </w:rPr>
        <w:t>National Center for Health Statistics</w:t>
      </w:r>
    </w:p>
    <w:p w14:paraId="0E42CDDB" w14:textId="77777777" w:rsidR="00C93CCC" w:rsidRDefault="00C93CCC" w:rsidP="00C93CCC">
      <w:pPr>
        <w:jc w:val="center"/>
        <w:rPr>
          <w:b/>
        </w:rPr>
      </w:pPr>
      <w:r>
        <w:rPr>
          <w:b/>
        </w:rPr>
        <w:t>3311 Toledo Rd</w:t>
      </w:r>
    </w:p>
    <w:p w14:paraId="33E00E38" w14:textId="77777777" w:rsidR="00C93CCC" w:rsidRDefault="00C93CCC" w:rsidP="00C93CCC">
      <w:pPr>
        <w:jc w:val="center"/>
        <w:rPr>
          <w:b/>
        </w:rPr>
      </w:pPr>
      <w:r>
        <w:rPr>
          <w:b/>
        </w:rPr>
        <w:t>Hyattsville MD 20782</w:t>
      </w:r>
    </w:p>
    <w:p w14:paraId="358E5502" w14:textId="29AE69D4" w:rsidR="00C93CCC" w:rsidRDefault="00C93CCC" w:rsidP="00C93CCC">
      <w:pPr>
        <w:jc w:val="center"/>
        <w:rPr>
          <w:b/>
        </w:rPr>
      </w:pPr>
      <w:r>
        <w:rPr>
          <w:b/>
        </w:rPr>
        <w:t>301-458-</w:t>
      </w:r>
      <w:r w:rsidR="001423A8">
        <w:rPr>
          <w:b/>
        </w:rPr>
        <w:t>4432</w:t>
      </w:r>
    </w:p>
    <w:p w14:paraId="305FFF53" w14:textId="231EA1F8" w:rsidR="00C93CCC" w:rsidRDefault="00721728" w:rsidP="00C93CCC">
      <w:pPr>
        <w:jc w:val="center"/>
        <w:rPr>
          <w:b/>
        </w:rPr>
      </w:pPr>
      <w:hyperlink r:id="rId7" w:history="1">
        <w:r w:rsidR="00042390">
          <w:rPr>
            <w:rStyle w:val="Hyperlink"/>
            <w:b/>
          </w:rPr>
          <w:t>hcn0</w:t>
        </w:r>
        <w:r w:rsidR="00042390" w:rsidRPr="00427924">
          <w:rPr>
            <w:rStyle w:val="Hyperlink"/>
            <w:b/>
          </w:rPr>
          <w:t>@cdc.gov</w:t>
        </w:r>
      </w:hyperlink>
    </w:p>
    <w:p w14:paraId="6DD2E592" w14:textId="59FFBB0F" w:rsidR="00C93CCC" w:rsidRDefault="001423A8" w:rsidP="00C93CCC">
      <w:pPr>
        <w:jc w:val="center"/>
        <w:rPr>
          <w:b/>
        </w:rPr>
      </w:pPr>
      <w:r>
        <w:rPr>
          <w:b/>
        </w:rPr>
        <w:t>7</w:t>
      </w:r>
      <w:r w:rsidR="000D4D11">
        <w:rPr>
          <w:b/>
        </w:rPr>
        <w:t>/</w:t>
      </w:r>
      <w:r w:rsidR="00F02549">
        <w:rPr>
          <w:b/>
        </w:rPr>
        <w:t>2</w:t>
      </w:r>
      <w:r w:rsidR="00AA65EB">
        <w:rPr>
          <w:b/>
        </w:rPr>
        <w:t>7</w:t>
      </w:r>
      <w:r w:rsidR="004E19A1">
        <w:rPr>
          <w:b/>
        </w:rPr>
        <w:t>/201</w:t>
      </w:r>
      <w:r>
        <w:rPr>
          <w:b/>
        </w:rPr>
        <w:t>5</w:t>
      </w:r>
    </w:p>
    <w:p w14:paraId="4EBE0ABF" w14:textId="77777777" w:rsidR="00C93CCC" w:rsidRDefault="00C93CCC">
      <w:pPr>
        <w:rPr>
          <w:b/>
        </w:rPr>
      </w:pPr>
      <w:r>
        <w:rPr>
          <w:b/>
        </w:rPr>
        <w:br w:type="page"/>
      </w:r>
    </w:p>
    <w:p w14:paraId="6BAF3333" w14:textId="77777777" w:rsidR="00C93CCC" w:rsidRPr="00AC67D1" w:rsidRDefault="00C93CCC" w:rsidP="00C93CCC">
      <w:pPr>
        <w:rPr>
          <w:b/>
          <w:u w:val="single"/>
        </w:rPr>
      </w:pPr>
      <w:r w:rsidRPr="00AC67D1">
        <w:rPr>
          <w:b/>
          <w:u w:val="single"/>
        </w:rPr>
        <w:lastRenderedPageBreak/>
        <w:t>A. Justification</w:t>
      </w:r>
    </w:p>
    <w:p w14:paraId="73B51C92" w14:textId="77777777" w:rsidR="00C93CCC" w:rsidRPr="00AC67D1" w:rsidRDefault="00C93CCC" w:rsidP="00C93CCC">
      <w:pPr>
        <w:rPr>
          <w:b/>
        </w:rPr>
      </w:pPr>
      <w:r>
        <w:rPr>
          <w:b/>
        </w:rPr>
        <w:t xml:space="preserve"> 1.</w:t>
      </w:r>
      <w:r>
        <w:rPr>
          <w:b/>
        </w:rPr>
        <w:tab/>
      </w:r>
      <w:r w:rsidRPr="00AC67D1">
        <w:rPr>
          <w:b/>
        </w:rPr>
        <w:t>Circumstances Making the Collection of Information Necessary</w:t>
      </w:r>
    </w:p>
    <w:p w14:paraId="0616145D" w14:textId="3BFFF548" w:rsidR="00C93CCC" w:rsidRDefault="001423A8" w:rsidP="00C93CCC">
      <w:r>
        <w:t>Most recently</w:t>
      </w:r>
      <w:r w:rsidR="00C93CCC">
        <w:t xml:space="preserve"> </w:t>
      </w:r>
      <w:r w:rsidR="00D957BC">
        <w:t>the National Center for Health Statistics (</w:t>
      </w:r>
      <w:r w:rsidR="00C93CCC">
        <w:t>NCHS</w:t>
      </w:r>
      <w:r w:rsidR="00D957BC">
        <w:t>)</w:t>
      </w:r>
      <w:r w:rsidR="00C93CCC">
        <w:t xml:space="preserve"> received OMB approval</w:t>
      </w:r>
      <w:r w:rsidR="008D57AC">
        <w:t xml:space="preserve"> </w:t>
      </w:r>
      <w:r>
        <w:t xml:space="preserve">on 05/14/14 </w:t>
      </w:r>
      <w:r w:rsidR="00650C4E">
        <w:t xml:space="preserve">for </w:t>
      </w:r>
      <w:r>
        <w:t xml:space="preserve">the </w:t>
      </w:r>
      <w:r w:rsidR="00650C4E">
        <w:t xml:space="preserve">Customer Surveys Generic </w:t>
      </w:r>
      <w:r w:rsidR="008D57AC">
        <w:t>Clearance</w:t>
      </w:r>
      <w:r w:rsidR="00650C4E">
        <w:t xml:space="preserve"> (OMB No. 0920-0729, EXPIRES 0</w:t>
      </w:r>
      <w:r>
        <w:t>5</w:t>
      </w:r>
      <w:r w:rsidR="00650C4E">
        <w:t>/3</w:t>
      </w:r>
      <w:r>
        <w:t>1</w:t>
      </w:r>
      <w:r w:rsidR="00650C4E">
        <w:t>/201</w:t>
      </w:r>
      <w:r>
        <w:t>7</w:t>
      </w:r>
      <w:r w:rsidR="00650C4E">
        <w:t>)</w:t>
      </w:r>
      <w:r w:rsidR="00D957BC">
        <w:t xml:space="preserve"> </w:t>
      </w:r>
      <w:r w:rsidR="00650C4E">
        <w:t>to conduct voluntary surveys to assess strengths in agency products and services</w:t>
      </w:r>
      <w:r w:rsidR="00D957BC">
        <w:t xml:space="preserve"> and to obtain</w:t>
      </w:r>
      <w:r w:rsidR="00C93CCC">
        <w:t xml:space="preserve"> feedback on the development, implementation</w:t>
      </w:r>
      <w:r w:rsidR="00C618FA">
        <w:t>,</w:t>
      </w:r>
      <w:r w:rsidR="00C93CCC">
        <w:t xml:space="preserve"> and satisfaction regarding public health services, products, communication campaigns and information.</w:t>
      </w:r>
    </w:p>
    <w:p w14:paraId="1817E910" w14:textId="77777777" w:rsidR="00C93CCC" w:rsidRDefault="00C93CCC" w:rsidP="00C93CCC">
      <w:r>
        <w:t xml:space="preserve">Under this approval, OMB has agreed to expedite </w:t>
      </w:r>
      <w:r w:rsidR="004E19A1">
        <w:t xml:space="preserve">generic IC </w:t>
      </w:r>
      <w:r>
        <w:t>review of proposals for data collections and OMB will generally review such requests within ten business days.</w:t>
      </w:r>
    </w:p>
    <w:p w14:paraId="6854C3E8" w14:textId="77777777" w:rsidR="00D957BC" w:rsidRDefault="00C93CCC" w:rsidP="00C93CCC">
      <w:r>
        <w:t xml:space="preserve">The specific </w:t>
      </w:r>
      <w:r w:rsidR="004E19A1">
        <w:t xml:space="preserve">generic IC </w:t>
      </w:r>
      <w:r>
        <w:t>project</w:t>
      </w:r>
      <w:r w:rsidR="00D957BC">
        <w:t>s</w:t>
      </w:r>
      <w:r w:rsidR="004E19A1">
        <w:t xml:space="preserve"> for this clearance are</w:t>
      </w:r>
      <w:r>
        <w:t xml:space="preserve">:  </w:t>
      </w:r>
    </w:p>
    <w:p w14:paraId="16EC84DC" w14:textId="657198B4" w:rsidR="00D957BC" w:rsidRDefault="00D957BC" w:rsidP="00D957BC">
      <w:pPr>
        <w:numPr>
          <w:ilvl w:val="0"/>
          <w:numId w:val="2"/>
        </w:numPr>
      </w:pPr>
      <w:r>
        <w:t xml:space="preserve">Conduct a </w:t>
      </w:r>
      <w:bookmarkStart w:id="0" w:name="_GoBack"/>
      <w:r w:rsidR="00C93CCC" w:rsidRPr="00186F49">
        <w:t xml:space="preserve">Feedback Survey of </w:t>
      </w:r>
      <w:r>
        <w:t xml:space="preserve">persons registered for the NCHS </w:t>
      </w:r>
      <w:r w:rsidR="001423A8">
        <w:t>2015</w:t>
      </w:r>
      <w:r w:rsidR="00C93CCC" w:rsidRPr="00186F49">
        <w:t>National Conference on Health Statistics</w:t>
      </w:r>
      <w:bookmarkEnd w:id="0"/>
      <w:r>
        <w:t>;</w:t>
      </w:r>
      <w:r w:rsidR="001423A8">
        <w:t xml:space="preserve"> and</w:t>
      </w:r>
    </w:p>
    <w:p w14:paraId="357287CA" w14:textId="55C156BB" w:rsidR="00C93CCC" w:rsidRDefault="00D957BC" w:rsidP="00F02549">
      <w:pPr>
        <w:numPr>
          <w:ilvl w:val="0"/>
          <w:numId w:val="2"/>
        </w:numPr>
        <w:rPr>
          <w:b/>
        </w:rPr>
      </w:pPr>
      <w:r>
        <w:t>Conduct</w:t>
      </w:r>
      <w:r w:rsidR="00C93CCC" w:rsidRPr="00186F49">
        <w:t xml:space="preserve"> a subset or slightly modified version of </w:t>
      </w:r>
      <w:r>
        <w:t>the feedback survey</w:t>
      </w:r>
      <w:r w:rsidR="00C93CCC" w:rsidRPr="00186F49">
        <w:t xml:space="preserve"> from attendees at other conferences where NCHS is represented, such as the annual meeting of the American Public Health Association or</w:t>
      </w:r>
      <w:r>
        <w:t xml:space="preserve"> the Joint Statistical Meetings</w:t>
      </w:r>
      <w:r w:rsidR="001423A8">
        <w:t>.</w:t>
      </w:r>
      <w:r w:rsidR="00C93CCC">
        <w:t xml:space="preserve">  </w:t>
      </w:r>
      <w:r w:rsidR="00C93CCC" w:rsidRPr="00B25794">
        <w:t xml:space="preserve">  </w:t>
      </w:r>
    </w:p>
    <w:p w14:paraId="05D01180" w14:textId="77777777" w:rsidR="00C93CCC" w:rsidRDefault="00C93CCC" w:rsidP="00C93CCC">
      <w:pPr>
        <w:rPr>
          <w:b/>
        </w:rPr>
      </w:pPr>
      <w:r>
        <w:rPr>
          <w:b/>
        </w:rPr>
        <w:t xml:space="preserve"> 2.</w:t>
      </w:r>
      <w:r>
        <w:rPr>
          <w:b/>
        </w:rPr>
        <w:tab/>
      </w:r>
      <w:r w:rsidRPr="00AC67D1">
        <w:rPr>
          <w:b/>
        </w:rPr>
        <w:t>Purpose and Use of Information Collection</w:t>
      </w:r>
    </w:p>
    <w:p w14:paraId="1A3C090F" w14:textId="77777777" w:rsidR="00C93CCC" w:rsidRDefault="00C93CCC" w:rsidP="00C93CCC">
      <w:r>
        <w:t xml:space="preserve">NCHS places the highest priority on providing quality products and services to </w:t>
      </w:r>
      <w:r w:rsidR="00D957BC">
        <w:t>its customers. Results from these</w:t>
      </w:r>
      <w:r>
        <w:t xml:space="preserve"> survey</w:t>
      </w:r>
      <w:r w:rsidR="00D957BC">
        <w:t>s</w:t>
      </w:r>
      <w:r>
        <w:t xml:space="preserve"> will be used to identify strengths and weaknesses in current products and services and to refine and improve them by implementing modifications that are practical and feasible. Information obtained will guide NCHS management in program planning.</w:t>
      </w:r>
    </w:p>
    <w:p w14:paraId="4CD633CD" w14:textId="31D6F234" w:rsidR="00C93CCC" w:rsidRDefault="00C93CCC" w:rsidP="00C93CCC">
      <w:pPr>
        <w:rPr>
          <w:b/>
        </w:rPr>
      </w:pPr>
      <w:r>
        <w:rPr>
          <w:b/>
        </w:rPr>
        <w:t>3.</w:t>
      </w:r>
      <w:r>
        <w:rPr>
          <w:b/>
        </w:rPr>
        <w:tab/>
        <w:t>Use of Improved Information Technology and Burden Reduction</w:t>
      </w:r>
    </w:p>
    <w:p w14:paraId="508E1677" w14:textId="14DA28E8" w:rsidR="00C93CCC" w:rsidRDefault="00C93CCC" w:rsidP="00C93CCC">
      <w:r>
        <w:t>The survey will employ the newest information technology to collect and analyze data. Respondents will submit their responses electronically</w:t>
      </w:r>
      <w:r w:rsidR="00BD35CD">
        <w:t xml:space="preserve"> (when possible)</w:t>
      </w:r>
      <w:r>
        <w:t xml:space="preserve">; and these responses will be tallied electronically and put into a database by survey software. Electronic collection will minimize the burden on survey respondents and facilitate the most rapid processing of survey results. This, in turn, provides NCHS the quickest means for making improvements based on customer feedback. </w:t>
      </w:r>
      <w:r w:rsidR="00BD35CD" w:rsidRPr="00BD35CD">
        <w:t xml:space="preserve">The self-selected group of attendees at various professional conferences who visit the NCHS exhibit or NCHS-sponsored sessions may participate via a paper survey, via website, or other method.  </w:t>
      </w:r>
    </w:p>
    <w:p w14:paraId="7600A8A5" w14:textId="77777777" w:rsidR="00D006EB" w:rsidRDefault="00D006EB" w:rsidP="00D006EB">
      <w:pPr>
        <w:outlineLvl w:val="0"/>
        <w:rPr>
          <w:b/>
          <w:bCs/>
        </w:rPr>
      </w:pPr>
      <w:r>
        <w:t xml:space="preserve">4.  </w:t>
      </w:r>
      <w:r>
        <w:rPr>
          <w:b/>
          <w:bCs/>
        </w:rPr>
        <w:t>Efforts to Identify Duplication and Use of Similar Information</w:t>
      </w:r>
    </w:p>
    <w:p w14:paraId="1252C4D8" w14:textId="77777777" w:rsidR="00D006EB" w:rsidRDefault="00D006EB" w:rsidP="00D006EB">
      <w:r>
        <w:rPr>
          <w:b/>
          <w:bCs/>
        </w:rPr>
        <w:t xml:space="preserve"> </w:t>
      </w:r>
      <w:r>
        <w:t xml:space="preserve">There are no current broad-based data available on customer satisfaction with NCHS products and services. </w:t>
      </w:r>
    </w:p>
    <w:p w14:paraId="364736EF" w14:textId="77777777" w:rsidR="00BD35CD" w:rsidRDefault="00BD35CD" w:rsidP="00D006EB">
      <w:pPr>
        <w:outlineLvl w:val="0"/>
      </w:pPr>
    </w:p>
    <w:p w14:paraId="0C565289" w14:textId="77777777" w:rsidR="00D006EB" w:rsidRDefault="00D006EB" w:rsidP="00D006EB">
      <w:pPr>
        <w:outlineLvl w:val="0"/>
        <w:rPr>
          <w:b/>
          <w:bCs/>
        </w:rPr>
      </w:pPr>
      <w:r>
        <w:lastRenderedPageBreak/>
        <w:t xml:space="preserve">5.  </w:t>
      </w:r>
      <w:r>
        <w:rPr>
          <w:b/>
          <w:bCs/>
        </w:rPr>
        <w:t>Impact on Small Businesses or Other Small Entities</w:t>
      </w:r>
    </w:p>
    <w:p w14:paraId="66A910DB" w14:textId="77777777" w:rsidR="00D006EB" w:rsidRDefault="00D006EB" w:rsidP="00D006EB">
      <w:r>
        <w:t xml:space="preserve">In as much as a few small businesses may be included in the audience for some surveys, they should not be not adversely affected by the customer surveys. The number of questions will be held to the absolute minimum for the intended use of the data. Form design and the electronic data collection methodology will further minimize respondent burden.  </w:t>
      </w:r>
    </w:p>
    <w:p w14:paraId="7EF89F82" w14:textId="77777777" w:rsidR="00D006EB" w:rsidRDefault="00D006EB" w:rsidP="00D006EB">
      <w:pPr>
        <w:outlineLvl w:val="0"/>
        <w:rPr>
          <w:b/>
          <w:bCs/>
        </w:rPr>
      </w:pPr>
      <w:r>
        <w:t xml:space="preserve">6.  </w:t>
      </w:r>
      <w:r>
        <w:rPr>
          <w:b/>
          <w:bCs/>
        </w:rPr>
        <w:t>Consequences of Collecting the Information Less Frequently</w:t>
      </w:r>
    </w:p>
    <w:p w14:paraId="230C4B65" w14:textId="12F787E9" w:rsidR="00D006EB" w:rsidRDefault="00D006EB" w:rsidP="00D006EB">
      <w:r>
        <w:t>Th</w:t>
      </w:r>
      <w:r w:rsidR="002A5633">
        <w:t>is</w:t>
      </w:r>
      <w:r>
        <w:t xml:space="preserve"> survey </w:t>
      </w:r>
      <w:r w:rsidR="002A5633">
        <w:t>is a</w:t>
      </w:r>
      <w:r>
        <w:t xml:space="preserve"> vehicle to examine public perception of NCHS' ability to respond in a timely manner to the needs of its customers. Collection of information routinely and systematically enhances its utility in monitoring customer satisfaction and in identifying problems and needs so as to make changes and improve products and services.  The planned surveys are expected to be one-time surveys or surveys updated at selected intervals. There are no legal obstacles to reduce the burden.  </w:t>
      </w:r>
    </w:p>
    <w:p w14:paraId="19CCE882" w14:textId="77777777" w:rsidR="00BD35CD" w:rsidRPr="00BD35CD" w:rsidRDefault="00BD35CD" w:rsidP="00BD35CD">
      <w:pPr>
        <w:outlineLvl w:val="0"/>
        <w:rPr>
          <w:b/>
          <w:bCs/>
        </w:rPr>
      </w:pPr>
      <w:bookmarkStart w:id="1" w:name="OLE_LINK7"/>
      <w:bookmarkStart w:id="2" w:name="OLE_LINK8"/>
      <w:r w:rsidRPr="00BD35CD">
        <w:t xml:space="preserve">7.  </w:t>
      </w:r>
      <w:r w:rsidRPr="00BD35CD">
        <w:rPr>
          <w:b/>
          <w:bCs/>
        </w:rPr>
        <w:t xml:space="preserve">Specific Circumstances Relating to the Guidelines of 5 CFR 1320.5  </w:t>
      </w:r>
    </w:p>
    <w:p w14:paraId="6500773A" w14:textId="77777777" w:rsidR="00BD35CD" w:rsidRPr="00BD35CD" w:rsidRDefault="00BD35CD" w:rsidP="00BD35CD">
      <w:pPr>
        <w:outlineLvl w:val="0"/>
      </w:pPr>
      <w:r w:rsidRPr="00BD35CD">
        <w:t>This request fully complies with the regulation 5 CFR 1320.5.</w:t>
      </w:r>
    </w:p>
    <w:bookmarkEnd w:id="1"/>
    <w:bookmarkEnd w:id="2"/>
    <w:p w14:paraId="29B51D43" w14:textId="77777777" w:rsidR="007D4A48" w:rsidRDefault="007D4A48" w:rsidP="007D4A48">
      <w:pPr>
        <w:outlineLvl w:val="0"/>
        <w:rPr>
          <w:b/>
        </w:rPr>
      </w:pPr>
      <w:r>
        <w:t xml:space="preserve">8.  </w:t>
      </w:r>
      <w:r>
        <w:rPr>
          <w:b/>
        </w:rPr>
        <w:t xml:space="preserve">Comments in Response to the Federal Register Notice and Efforts to Consult Outside Agency  </w:t>
      </w:r>
    </w:p>
    <w:p w14:paraId="7F4A038D" w14:textId="6C25B48D" w:rsidR="00BD35CD" w:rsidRPr="00BD35CD" w:rsidRDefault="00BD35CD" w:rsidP="00BD35CD">
      <w:pPr>
        <w:numPr>
          <w:ilvl w:val="0"/>
          <w:numId w:val="3"/>
        </w:numPr>
        <w:outlineLvl w:val="0"/>
        <w:rPr>
          <w:rFonts w:ascii="Times New Roman" w:eastAsia="Times New Roman" w:hAnsi="Times New Roman"/>
          <w:sz w:val="24"/>
          <w:szCs w:val="24"/>
        </w:rPr>
      </w:pPr>
      <w:r w:rsidRPr="00BD35CD">
        <w:rPr>
          <w:rFonts w:ascii="Times New Roman" w:eastAsia="Times New Roman" w:hAnsi="Times New Roman"/>
          <w:sz w:val="24"/>
          <w:szCs w:val="24"/>
        </w:rPr>
        <w:t>Federal Register Notice</w:t>
      </w:r>
    </w:p>
    <w:p w14:paraId="57B156E1" w14:textId="77777777" w:rsidR="00BD35CD" w:rsidRPr="00BD35CD" w:rsidRDefault="00BD35CD" w:rsidP="00BD35CD">
      <w:pPr>
        <w:outlineLvl w:val="0"/>
        <w:rPr>
          <w:rFonts w:ascii="Times New Roman" w:eastAsia="Times New Roman" w:hAnsi="Times New Roman"/>
          <w:sz w:val="24"/>
          <w:szCs w:val="24"/>
        </w:rPr>
      </w:pPr>
      <w:r w:rsidRPr="00BD35CD">
        <w:rPr>
          <w:rFonts w:ascii="Times New Roman" w:eastAsia="Times New Roman" w:hAnsi="Times New Roman"/>
          <w:sz w:val="24"/>
          <w:szCs w:val="24"/>
        </w:rPr>
        <w:t xml:space="preserve">The 60-day notice for the ICR was published in the </w:t>
      </w:r>
      <w:r w:rsidRPr="00BD35CD">
        <w:rPr>
          <w:rFonts w:ascii="Times New Roman" w:eastAsia="Times New Roman" w:hAnsi="Times New Roman"/>
          <w:i/>
          <w:sz w:val="24"/>
          <w:szCs w:val="24"/>
        </w:rPr>
        <w:t>Federal Register</w:t>
      </w:r>
      <w:r w:rsidRPr="00BD35CD">
        <w:rPr>
          <w:rFonts w:ascii="Times New Roman" w:eastAsia="Times New Roman" w:hAnsi="Times New Roman"/>
          <w:sz w:val="24"/>
          <w:szCs w:val="24"/>
        </w:rPr>
        <w:t>, Vol. 78, No. 227, October 25, 2013, pp. 7030270302.  One public comment was received and the standard CDC response was sent.</w:t>
      </w:r>
    </w:p>
    <w:p w14:paraId="495EEB3A" w14:textId="77777777" w:rsidR="00BD35CD" w:rsidRPr="00BD35CD" w:rsidRDefault="00BD35CD" w:rsidP="00BD35CD">
      <w:pPr>
        <w:numPr>
          <w:ilvl w:val="0"/>
          <w:numId w:val="3"/>
        </w:numPr>
        <w:outlineLvl w:val="0"/>
        <w:rPr>
          <w:rFonts w:ascii="Times New Roman" w:eastAsia="Times New Roman" w:hAnsi="Times New Roman"/>
          <w:sz w:val="24"/>
          <w:szCs w:val="24"/>
        </w:rPr>
      </w:pPr>
      <w:r w:rsidRPr="00BD35CD">
        <w:rPr>
          <w:rFonts w:ascii="Times New Roman" w:eastAsia="Times New Roman" w:hAnsi="Times New Roman"/>
          <w:sz w:val="24"/>
          <w:szCs w:val="24"/>
        </w:rPr>
        <w:t>Consultation</w:t>
      </w:r>
    </w:p>
    <w:p w14:paraId="27706DBC" w14:textId="77777777" w:rsidR="00BD35CD" w:rsidRPr="00BD35CD" w:rsidRDefault="00BD35CD" w:rsidP="00BD35CD">
      <w:pPr>
        <w:outlineLvl w:val="0"/>
        <w:rPr>
          <w:rFonts w:ascii="Times New Roman" w:eastAsia="Times New Roman" w:hAnsi="Times New Roman"/>
          <w:b/>
          <w:sz w:val="24"/>
          <w:szCs w:val="24"/>
        </w:rPr>
      </w:pPr>
      <w:r w:rsidRPr="00BD35CD">
        <w:rPr>
          <w:rFonts w:ascii="Times New Roman" w:eastAsia="Times New Roman" w:hAnsi="Times New Roman"/>
          <w:sz w:val="24"/>
          <w:szCs w:val="24"/>
        </w:rPr>
        <w:t>Only internal consultation will be involved in this project.</w:t>
      </w:r>
    </w:p>
    <w:p w14:paraId="138F4D63" w14:textId="77777777" w:rsidR="007D4A48" w:rsidRDefault="007D4A48" w:rsidP="007D4A48">
      <w:pPr>
        <w:outlineLvl w:val="0"/>
        <w:rPr>
          <w:b/>
          <w:bCs/>
        </w:rPr>
      </w:pPr>
      <w:r>
        <w:t xml:space="preserve">9.  </w:t>
      </w:r>
      <w:r>
        <w:rPr>
          <w:b/>
          <w:bCs/>
        </w:rPr>
        <w:t xml:space="preserve">Explanation of Any Payment or Gift to Respondents  </w:t>
      </w:r>
    </w:p>
    <w:p w14:paraId="7B989A0A" w14:textId="77777777" w:rsidR="007D4A48" w:rsidRDefault="007D4A48" w:rsidP="007D4A48">
      <w:pPr>
        <w:outlineLvl w:val="0"/>
      </w:pPr>
      <w:r>
        <w:t>This collection of information does not involve any payment or gift to respondents.</w:t>
      </w:r>
    </w:p>
    <w:p w14:paraId="441C9F8D" w14:textId="77777777" w:rsidR="007F2722" w:rsidRPr="00BD35CD" w:rsidRDefault="007F2722" w:rsidP="007F2722">
      <w:pPr>
        <w:outlineLvl w:val="0"/>
        <w:rPr>
          <w:b/>
          <w:bCs/>
        </w:rPr>
      </w:pPr>
      <w:r w:rsidRPr="00BD35CD">
        <w:rPr>
          <w:b/>
        </w:rPr>
        <w:t xml:space="preserve">10.  </w:t>
      </w:r>
      <w:r w:rsidRPr="00BD35CD">
        <w:rPr>
          <w:b/>
          <w:bCs/>
        </w:rPr>
        <w:t xml:space="preserve">Assurance of Confidentiality Provided to Respondents  </w:t>
      </w:r>
    </w:p>
    <w:p w14:paraId="7191DD4D" w14:textId="03869617" w:rsidR="007F2722" w:rsidRPr="00BD35CD" w:rsidRDefault="00BD35CD" w:rsidP="00BD35CD">
      <w:pPr>
        <w:outlineLvl w:val="0"/>
      </w:pPr>
      <w:r w:rsidRPr="00BD35CD">
        <w:rPr>
          <w:bCs/>
        </w:rPr>
        <w:t>This survey does not collect confidential information.</w:t>
      </w:r>
    </w:p>
    <w:p w14:paraId="03E3C95D" w14:textId="77777777" w:rsidR="007F2722" w:rsidRDefault="007F2722" w:rsidP="007F2722">
      <w:r>
        <w:rPr>
          <w:u w:val="single"/>
        </w:rPr>
        <w:t>Privacy Impact Assessment</w:t>
      </w:r>
    </w:p>
    <w:p w14:paraId="54B0A7F6" w14:textId="2FAFDCC4" w:rsidR="007F2722" w:rsidRDefault="007F2722" w:rsidP="007F2722">
      <w:r>
        <w:t xml:space="preserve">The NCHS IRB has determined that customer satisfaction surveys do not require their review and approval.  </w:t>
      </w:r>
    </w:p>
    <w:p w14:paraId="18286488" w14:textId="77777777" w:rsidR="000A3994" w:rsidRDefault="000A3994" w:rsidP="00C93CCC">
      <w:pPr>
        <w:ind w:left="720" w:hanging="720"/>
        <w:rPr>
          <w:b/>
        </w:rPr>
      </w:pPr>
    </w:p>
    <w:p w14:paraId="5D38B5AA" w14:textId="77777777" w:rsidR="00BD35CD" w:rsidRDefault="00BD35CD" w:rsidP="00C93CCC">
      <w:pPr>
        <w:ind w:left="720" w:hanging="720"/>
        <w:rPr>
          <w:b/>
        </w:rPr>
      </w:pPr>
    </w:p>
    <w:p w14:paraId="60A578EA" w14:textId="77777777" w:rsidR="00C93CCC" w:rsidRDefault="004E19A1" w:rsidP="00C93CCC">
      <w:pPr>
        <w:ind w:left="720" w:hanging="720"/>
        <w:rPr>
          <w:b/>
        </w:rPr>
      </w:pPr>
      <w:r>
        <w:rPr>
          <w:b/>
        </w:rPr>
        <w:lastRenderedPageBreak/>
        <w:t>12</w:t>
      </w:r>
      <w:r w:rsidR="00C93CCC" w:rsidRPr="003C51E0">
        <w:rPr>
          <w:b/>
        </w:rPr>
        <w:t>.</w:t>
      </w:r>
      <w:r w:rsidR="00C93CCC" w:rsidRPr="003C51E0">
        <w:rPr>
          <w:b/>
        </w:rPr>
        <w:tab/>
        <w:t>Estimates of Annualized Burden Hours and Costs</w:t>
      </w:r>
    </w:p>
    <w:p w14:paraId="2F9D44EC" w14:textId="6AF5123D" w:rsidR="00C93CCC" w:rsidRDefault="00C93CCC" w:rsidP="00C93CCC">
      <w:r w:rsidRPr="003C51E0">
        <w:t>A database of more than 1,000 registered 201</w:t>
      </w:r>
      <w:r w:rsidR="00406AD3">
        <w:t>5</w:t>
      </w:r>
      <w:r w:rsidRPr="003C51E0">
        <w:t xml:space="preserve"> National Conference on Health Statistics participants will receive an electronic survey (Attachment A) of </w:t>
      </w:r>
      <w:r w:rsidR="004931C7">
        <w:t xml:space="preserve">a maximum of </w:t>
      </w:r>
      <w:r w:rsidRPr="003C51E0">
        <w:t>9 questions (some questions may be skipped depending on responses) about the 201</w:t>
      </w:r>
      <w:r w:rsidR="00406AD3">
        <w:t>5</w:t>
      </w:r>
      <w:r w:rsidRPr="003C51E0">
        <w:t xml:space="preserve"> National Conference on Health Statistics and other NCHS programs, products and services. The voluntary </w:t>
      </w:r>
      <w:r w:rsidR="004468B8" w:rsidRPr="004931C7">
        <w:t>NCHS Feedback S</w:t>
      </w:r>
      <w:r w:rsidRPr="004931C7">
        <w:t>urvey</w:t>
      </w:r>
      <w:r w:rsidRPr="003C51E0">
        <w:t xml:space="preserve"> will run for at least 1 month (time period may be exceeded, based on number of respondents).  </w:t>
      </w:r>
      <w:bookmarkStart w:id="3" w:name="OLE_LINK3"/>
      <w:bookmarkStart w:id="4" w:name="OLE_LINK4"/>
      <w:r w:rsidRPr="003C51E0">
        <w:t>Based on previous information, there is an estimated 20% response rate to the survey over a 1 month period. The expected number to comple</w:t>
      </w:r>
      <w:r w:rsidR="004931C7">
        <w:t>te the survey is approximately 3</w:t>
      </w:r>
      <w:r w:rsidRPr="003C51E0">
        <w:t>00, with an additional 700 responses expected from other conference venues.  The average burden to complete the survey is 8 minutes for a total burden at all conferences of 133 hours</w:t>
      </w:r>
      <w:r>
        <w:t xml:space="preserve"> (see Table 1)</w:t>
      </w:r>
      <w:r w:rsidRPr="003C51E0">
        <w:t xml:space="preserve">.  </w:t>
      </w:r>
    </w:p>
    <w:bookmarkEnd w:id="3"/>
    <w:bookmarkEnd w:id="4"/>
    <w:p w14:paraId="7281F028" w14:textId="77777777" w:rsidR="00C93CCC" w:rsidRPr="004468B8" w:rsidRDefault="00C93CCC" w:rsidP="00C93CCC">
      <w:pPr>
        <w:outlineLvl w:val="0"/>
        <w:rPr>
          <w:b/>
          <w:color w:val="FF0000"/>
        </w:rPr>
      </w:pPr>
      <w:r>
        <w:rPr>
          <w:b/>
        </w:rPr>
        <w:t xml:space="preserve">Table 1. Estimate of Annualized </w:t>
      </w:r>
      <w:r w:rsidRPr="003C51E0">
        <w:rPr>
          <w:b/>
        </w:rPr>
        <w:t xml:space="preserve">Burden Hours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1084"/>
        <w:gridCol w:w="1478"/>
        <w:gridCol w:w="1478"/>
        <w:gridCol w:w="1391"/>
        <w:gridCol w:w="1424"/>
      </w:tblGrid>
      <w:tr w:rsidR="00C93CCC" w:rsidRPr="00414AAC" w14:paraId="779983F6" w14:textId="77777777" w:rsidTr="00BD35CD">
        <w:trPr>
          <w:trHeight w:val="2087"/>
        </w:trPr>
        <w:tc>
          <w:tcPr>
            <w:tcW w:w="2069" w:type="dxa"/>
            <w:vAlign w:val="center"/>
          </w:tcPr>
          <w:p w14:paraId="7DE71AE0" w14:textId="77777777" w:rsidR="00C93CCC" w:rsidRPr="00414AAC" w:rsidRDefault="00C93CCC" w:rsidP="00414AAC">
            <w:pPr>
              <w:jc w:val="center"/>
              <w:rPr>
                <w:b/>
                <w:sz w:val="21"/>
                <w:szCs w:val="21"/>
              </w:rPr>
            </w:pPr>
          </w:p>
          <w:p w14:paraId="25FEF664" w14:textId="77777777" w:rsidR="00C93CCC" w:rsidRPr="00414AAC" w:rsidRDefault="00C93CCC" w:rsidP="00414AAC">
            <w:pPr>
              <w:jc w:val="center"/>
              <w:rPr>
                <w:b/>
                <w:sz w:val="21"/>
                <w:szCs w:val="21"/>
              </w:rPr>
            </w:pPr>
          </w:p>
          <w:p w14:paraId="413F2D46" w14:textId="77777777" w:rsidR="00C93CCC" w:rsidRPr="00414AAC" w:rsidRDefault="00C93CCC" w:rsidP="00414AAC">
            <w:pPr>
              <w:jc w:val="center"/>
              <w:rPr>
                <w:sz w:val="21"/>
                <w:szCs w:val="21"/>
              </w:rPr>
            </w:pPr>
            <w:r w:rsidRPr="00414AAC">
              <w:rPr>
                <w:sz w:val="21"/>
                <w:szCs w:val="21"/>
              </w:rPr>
              <w:t>Type of Respondent</w:t>
            </w:r>
          </w:p>
          <w:p w14:paraId="2FB8B331" w14:textId="77777777" w:rsidR="00C93CCC" w:rsidRPr="00414AAC" w:rsidRDefault="00C93CCC" w:rsidP="00414AAC">
            <w:pPr>
              <w:jc w:val="center"/>
              <w:rPr>
                <w:b/>
                <w:sz w:val="21"/>
                <w:szCs w:val="21"/>
              </w:rPr>
            </w:pPr>
          </w:p>
          <w:p w14:paraId="5BBF33B1" w14:textId="77777777" w:rsidR="00C93CCC" w:rsidRPr="00414AAC" w:rsidRDefault="00C93CCC" w:rsidP="00414AAC">
            <w:pPr>
              <w:jc w:val="center"/>
              <w:rPr>
                <w:b/>
                <w:sz w:val="21"/>
                <w:szCs w:val="21"/>
              </w:rPr>
            </w:pPr>
          </w:p>
        </w:tc>
        <w:tc>
          <w:tcPr>
            <w:tcW w:w="1084" w:type="dxa"/>
            <w:vAlign w:val="center"/>
          </w:tcPr>
          <w:p w14:paraId="512F05C9" w14:textId="77777777" w:rsidR="00C93CCC" w:rsidRPr="00414AAC" w:rsidRDefault="00C93CCC" w:rsidP="00414AAC">
            <w:pPr>
              <w:jc w:val="center"/>
              <w:rPr>
                <w:sz w:val="21"/>
                <w:szCs w:val="21"/>
              </w:rPr>
            </w:pPr>
            <w:r w:rsidRPr="00414AAC">
              <w:rPr>
                <w:sz w:val="21"/>
                <w:szCs w:val="21"/>
              </w:rPr>
              <w:t>Form Name</w:t>
            </w:r>
          </w:p>
        </w:tc>
        <w:tc>
          <w:tcPr>
            <w:tcW w:w="1478" w:type="dxa"/>
            <w:vAlign w:val="center"/>
          </w:tcPr>
          <w:p w14:paraId="13FDCCDC" w14:textId="77777777" w:rsidR="00C93CCC" w:rsidRPr="00414AAC" w:rsidRDefault="00C93CCC" w:rsidP="00414AAC">
            <w:pPr>
              <w:jc w:val="center"/>
              <w:rPr>
                <w:sz w:val="21"/>
                <w:szCs w:val="21"/>
              </w:rPr>
            </w:pPr>
            <w:r w:rsidRPr="00414AAC">
              <w:rPr>
                <w:sz w:val="21"/>
                <w:szCs w:val="21"/>
              </w:rPr>
              <w:t>Number of</w:t>
            </w:r>
          </w:p>
          <w:p w14:paraId="0AA8C96D" w14:textId="77777777" w:rsidR="00C93CCC" w:rsidRPr="00414AAC" w:rsidRDefault="00C93CCC" w:rsidP="00414AAC">
            <w:pPr>
              <w:jc w:val="center"/>
              <w:rPr>
                <w:sz w:val="21"/>
                <w:szCs w:val="21"/>
              </w:rPr>
            </w:pPr>
            <w:r w:rsidRPr="00414AAC">
              <w:rPr>
                <w:sz w:val="21"/>
                <w:szCs w:val="21"/>
              </w:rPr>
              <w:t>Respondents</w:t>
            </w:r>
          </w:p>
        </w:tc>
        <w:tc>
          <w:tcPr>
            <w:tcW w:w="1478" w:type="dxa"/>
            <w:vAlign w:val="center"/>
          </w:tcPr>
          <w:p w14:paraId="0844023D" w14:textId="77777777" w:rsidR="00C93CCC" w:rsidRPr="00414AAC" w:rsidRDefault="00C93CCC" w:rsidP="00414AAC">
            <w:pPr>
              <w:jc w:val="center"/>
              <w:rPr>
                <w:sz w:val="21"/>
                <w:szCs w:val="21"/>
              </w:rPr>
            </w:pPr>
          </w:p>
          <w:p w14:paraId="34169502" w14:textId="77777777" w:rsidR="00C93CCC" w:rsidRPr="00414AAC" w:rsidRDefault="00C93CCC" w:rsidP="00414AAC">
            <w:pPr>
              <w:jc w:val="center"/>
              <w:rPr>
                <w:sz w:val="21"/>
                <w:szCs w:val="21"/>
              </w:rPr>
            </w:pPr>
            <w:r w:rsidRPr="00414AAC">
              <w:rPr>
                <w:sz w:val="21"/>
                <w:szCs w:val="21"/>
              </w:rPr>
              <w:t>Number of</w:t>
            </w:r>
          </w:p>
          <w:p w14:paraId="615F4611" w14:textId="77777777" w:rsidR="00C93CCC" w:rsidRPr="00414AAC" w:rsidRDefault="00C93CCC" w:rsidP="00414AAC">
            <w:pPr>
              <w:jc w:val="center"/>
              <w:rPr>
                <w:sz w:val="21"/>
                <w:szCs w:val="21"/>
              </w:rPr>
            </w:pPr>
            <w:r w:rsidRPr="00414AAC">
              <w:rPr>
                <w:sz w:val="21"/>
                <w:szCs w:val="21"/>
              </w:rPr>
              <w:t>responses/</w:t>
            </w:r>
          </w:p>
          <w:p w14:paraId="1F0FD9F0" w14:textId="77777777" w:rsidR="00C93CCC" w:rsidRPr="00414AAC" w:rsidRDefault="00C93CCC" w:rsidP="00414AAC">
            <w:pPr>
              <w:jc w:val="center"/>
              <w:rPr>
                <w:sz w:val="21"/>
                <w:szCs w:val="21"/>
              </w:rPr>
            </w:pPr>
            <w:r w:rsidRPr="00414AAC">
              <w:rPr>
                <w:sz w:val="21"/>
                <w:szCs w:val="21"/>
              </w:rPr>
              <w:t>respondent</w:t>
            </w:r>
          </w:p>
        </w:tc>
        <w:tc>
          <w:tcPr>
            <w:tcW w:w="1391" w:type="dxa"/>
            <w:vAlign w:val="center"/>
          </w:tcPr>
          <w:p w14:paraId="3E2884E9" w14:textId="77777777" w:rsidR="00C93CCC" w:rsidRPr="00414AAC" w:rsidRDefault="00C93CCC" w:rsidP="00414AAC">
            <w:pPr>
              <w:jc w:val="center"/>
              <w:rPr>
                <w:sz w:val="21"/>
                <w:szCs w:val="21"/>
              </w:rPr>
            </w:pPr>
          </w:p>
          <w:p w14:paraId="337FA561" w14:textId="77777777" w:rsidR="00C93CCC" w:rsidRPr="00414AAC" w:rsidRDefault="00C93CCC" w:rsidP="00414AAC">
            <w:pPr>
              <w:jc w:val="center"/>
              <w:rPr>
                <w:sz w:val="21"/>
                <w:szCs w:val="21"/>
              </w:rPr>
            </w:pPr>
            <w:r w:rsidRPr="00414AAC">
              <w:rPr>
                <w:sz w:val="21"/>
                <w:szCs w:val="21"/>
              </w:rPr>
              <w:t>Average Burden/ response</w:t>
            </w:r>
          </w:p>
          <w:p w14:paraId="42F83FB2" w14:textId="77777777" w:rsidR="00C93CCC" w:rsidRPr="00414AAC" w:rsidRDefault="00C93CCC" w:rsidP="00414AAC">
            <w:pPr>
              <w:jc w:val="center"/>
              <w:rPr>
                <w:sz w:val="21"/>
                <w:szCs w:val="21"/>
              </w:rPr>
            </w:pPr>
            <w:r w:rsidRPr="00414AAC">
              <w:rPr>
                <w:sz w:val="21"/>
                <w:szCs w:val="21"/>
              </w:rPr>
              <w:t>(in hours)</w:t>
            </w:r>
          </w:p>
        </w:tc>
        <w:tc>
          <w:tcPr>
            <w:tcW w:w="1424" w:type="dxa"/>
            <w:vAlign w:val="center"/>
          </w:tcPr>
          <w:p w14:paraId="34FCD251" w14:textId="77777777" w:rsidR="00C93CCC" w:rsidRPr="00414AAC" w:rsidRDefault="00C93CCC" w:rsidP="00414AAC">
            <w:pPr>
              <w:tabs>
                <w:tab w:val="left" w:pos="1498"/>
              </w:tabs>
              <w:jc w:val="center"/>
              <w:rPr>
                <w:sz w:val="21"/>
                <w:szCs w:val="21"/>
              </w:rPr>
            </w:pPr>
          </w:p>
          <w:p w14:paraId="621D48D6" w14:textId="77777777" w:rsidR="00C93CCC" w:rsidRPr="00414AAC" w:rsidRDefault="00C93CCC" w:rsidP="00414AAC">
            <w:pPr>
              <w:tabs>
                <w:tab w:val="left" w:pos="1498"/>
              </w:tabs>
              <w:jc w:val="center"/>
              <w:rPr>
                <w:sz w:val="21"/>
                <w:szCs w:val="21"/>
              </w:rPr>
            </w:pPr>
            <w:r w:rsidRPr="00414AAC">
              <w:rPr>
                <w:sz w:val="21"/>
                <w:szCs w:val="21"/>
              </w:rPr>
              <w:t>Response</w:t>
            </w:r>
          </w:p>
          <w:p w14:paraId="18802AA9" w14:textId="77777777" w:rsidR="00C93CCC" w:rsidRPr="00414AAC" w:rsidRDefault="00C93CCC" w:rsidP="00414AAC">
            <w:pPr>
              <w:tabs>
                <w:tab w:val="left" w:pos="1498"/>
              </w:tabs>
              <w:jc w:val="center"/>
              <w:rPr>
                <w:sz w:val="21"/>
                <w:szCs w:val="21"/>
              </w:rPr>
            </w:pPr>
            <w:r w:rsidRPr="00414AAC">
              <w:rPr>
                <w:sz w:val="21"/>
                <w:szCs w:val="21"/>
              </w:rPr>
              <w:t>Burden</w:t>
            </w:r>
          </w:p>
          <w:p w14:paraId="07F164F9" w14:textId="77777777" w:rsidR="00C93CCC" w:rsidRPr="00414AAC" w:rsidRDefault="00C93CCC" w:rsidP="00414AAC">
            <w:pPr>
              <w:tabs>
                <w:tab w:val="left" w:pos="1498"/>
              </w:tabs>
              <w:jc w:val="center"/>
              <w:rPr>
                <w:sz w:val="21"/>
                <w:szCs w:val="21"/>
              </w:rPr>
            </w:pPr>
            <w:r w:rsidRPr="00414AAC">
              <w:rPr>
                <w:sz w:val="21"/>
                <w:szCs w:val="21"/>
              </w:rPr>
              <w:t>(in hours)</w:t>
            </w:r>
          </w:p>
          <w:p w14:paraId="52BB542F" w14:textId="77777777" w:rsidR="00C93CCC" w:rsidRPr="00414AAC" w:rsidRDefault="00C93CCC" w:rsidP="00414AAC">
            <w:pPr>
              <w:tabs>
                <w:tab w:val="left" w:pos="1498"/>
              </w:tabs>
              <w:jc w:val="center"/>
              <w:rPr>
                <w:sz w:val="21"/>
                <w:szCs w:val="21"/>
              </w:rPr>
            </w:pPr>
          </w:p>
        </w:tc>
      </w:tr>
      <w:tr w:rsidR="00C93CCC" w:rsidRPr="00414AAC" w14:paraId="79DAD9D3" w14:textId="77777777" w:rsidTr="00BD35CD">
        <w:tc>
          <w:tcPr>
            <w:tcW w:w="2069" w:type="dxa"/>
            <w:vAlign w:val="center"/>
          </w:tcPr>
          <w:p w14:paraId="57685BFE" w14:textId="77777777" w:rsidR="00C93CCC" w:rsidRPr="00414AAC" w:rsidRDefault="00C93CCC" w:rsidP="00414AAC">
            <w:pPr>
              <w:spacing w:line="120" w:lineRule="exact"/>
              <w:jc w:val="center"/>
              <w:rPr>
                <w:sz w:val="21"/>
                <w:szCs w:val="21"/>
              </w:rPr>
            </w:pPr>
          </w:p>
          <w:p w14:paraId="599E0134" w14:textId="77777777" w:rsidR="00C93CCC" w:rsidRPr="00414AAC" w:rsidRDefault="00C93CCC" w:rsidP="00414AAC">
            <w:pPr>
              <w:spacing w:after="58"/>
              <w:jc w:val="center"/>
              <w:rPr>
                <w:sz w:val="21"/>
                <w:szCs w:val="21"/>
              </w:rPr>
            </w:pPr>
            <w:r w:rsidRPr="00414AAC">
              <w:rPr>
                <w:sz w:val="21"/>
                <w:szCs w:val="21"/>
              </w:rPr>
              <w:t>Conference registrants/attendees</w:t>
            </w:r>
          </w:p>
        </w:tc>
        <w:tc>
          <w:tcPr>
            <w:tcW w:w="1084" w:type="dxa"/>
            <w:vAlign w:val="center"/>
          </w:tcPr>
          <w:p w14:paraId="1DA1113E" w14:textId="77777777" w:rsidR="00C93CCC" w:rsidRPr="00414AAC" w:rsidRDefault="00C93CCC" w:rsidP="00414AAC">
            <w:pPr>
              <w:spacing w:after="58"/>
              <w:jc w:val="center"/>
              <w:rPr>
                <w:sz w:val="21"/>
                <w:szCs w:val="21"/>
              </w:rPr>
            </w:pPr>
            <w:r w:rsidRPr="00414AAC">
              <w:rPr>
                <w:sz w:val="21"/>
                <w:szCs w:val="21"/>
              </w:rPr>
              <w:t>NCHS Feedback Survey</w:t>
            </w:r>
          </w:p>
        </w:tc>
        <w:tc>
          <w:tcPr>
            <w:tcW w:w="1478" w:type="dxa"/>
            <w:vAlign w:val="center"/>
          </w:tcPr>
          <w:p w14:paraId="471F39D6" w14:textId="77777777" w:rsidR="00C93CCC" w:rsidRPr="00414AAC" w:rsidRDefault="00C93CCC" w:rsidP="00414AAC">
            <w:pPr>
              <w:spacing w:after="58"/>
              <w:jc w:val="center"/>
              <w:rPr>
                <w:sz w:val="21"/>
                <w:szCs w:val="21"/>
              </w:rPr>
            </w:pPr>
            <w:r w:rsidRPr="00414AAC">
              <w:rPr>
                <w:sz w:val="21"/>
                <w:szCs w:val="21"/>
              </w:rPr>
              <w:t>1,000</w:t>
            </w:r>
          </w:p>
        </w:tc>
        <w:tc>
          <w:tcPr>
            <w:tcW w:w="1478" w:type="dxa"/>
            <w:vAlign w:val="center"/>
          </w:tcPr>
          <w:p w14:paraId="13FA9711" w14:textId="77777777" w:rsidR="00C93CCC" w:rsidRPr="00414AAC" w:rsidRDefault="00C93CCC" w:rsidP="00414AAC">
            <w:pPr>
              <w:spacing w:after="58"/>
              <w:jc w:val="center"/>
              <w:rPr>
                <w:sz w:val="21"/>
                <w:szCs w:val="21"/>
              </w:rPr>
            </w:pPr>
            <w:r w:rsidRPr="00414AAC">
              <w:rPr>
                <w:sz w:val="21"/>
                <w:szCs w:val="21"/>
              </w:rPr>
              <w:t>1</w:t>
            </w:r>
          </w:p>
        </w:tc>
        <w:tc>
          <w:tcPr>
            <w:tcW w:w="1391" w:type="dxa"/>
            <w:vAlign w:val="center"/>
          </w:tcPr>
          <w:p w14:paraId="0F82363A" w14:textId="77777777" w:rsidR="00C93CCC" w:rsidRPr="00414AAC" w:rsidRDefault="00C93CCC" w:rsidP="00414AAC">
            <w:pPr>
              <w:spacing w:after="58"/>
              <w:jc w:val="center"/>
              <w:rPr>
                <w:sz w:val="21"/>
                <w:szCs w:val="21"/>
              </w:rPr>
            </w:pPr>
            <w:r w:rsidRPr="00414AAC">
              <w:rPr>
                <w:sz w:val="21"/>
                <w:szCs w:val="21"/>
              </w:rPr>
              <w:t>8/60</w:t>
            </w:r>
          </w:p>
        </w:tc>
        <w:tc>
          <w:tcPr>
            <w:tcW w:w="1424" w:type="dxa"/>
            <w:vAlign w:val="center"/>
          </w:tcPr>
          <w:p w14:paraId="11671AC0" w14:textId="77777777" w:rsidR="00C93CCC" w:rsidRPr="00414AAC" w:rsidRDefault="00C93CCC" w:rsidP="00414AAC">
            <w:pPr>
              <w:tabs>
                <w:tab w:val="left" w:pos="1498"/>
              </w:tabs>
              <w:spacing w:after="58"/>
              <w:jc w:val="center"/>
              <w:rPr>
                <w:sz w:val="21"/>
                <w:szCs w:val="21"/>
              </w:rPr>
            </w:pPr>
          </w:p>
          <w:p w14:paraId="3B79FCC2" w14:textId="77777777" w:rsidR="00C93CCC" w:rsidRPr="00414AAC" w:rsidRDefault="00C93CCC" w:rsidP="00414AAC">
            <w:pPr>
              <w:tabs>
                <w:tab w:val="left" w:pos="1498"/>
              </w:tabs>
              <w:spacing w:after="58"/>
              <w:jc w:val="center"/>
              <w:rPr>
                <w:sz w:val="21"/>
                <w:szCs w:val="21"/>
              </w:rPr>
            </w:pPr>
            <w:r w:rsidRPr="00414AAC">
              <w:rPr>
                <w:sz w:val="21"/>
                <w:szCs w:val="21"/>
              </w:rPr>
              <w:t>133</w:t>
            </w:r>
          </w:p>
          <w:p w14:paraId="51E2837B" w14:textId="77777777" w:rsidR="00C93CCC" w:rsidRPr="00414AAC" w:rsidRDefault="00C93CCC" w:rsidP="00414AAC">
            <w:pPr>
              <w:tabs>
                <w:tab w:val="left" w:pos="1498"/>
              </w:tabs>
              <w:spacing w:after="58"/>
              <w:jc w:val="center"/>
              <w:rPr>
                <w:sz w:val="21"/>
                <w:szCs w:val="21"/>
              </w:rPr>
            </w:pPr>
          </w:p>
        </w:tc>
      </w:tr>
    </w:tbl>
    <w:p w14:paraId="6775AF5F" w14:textId="77777777" w:rsidR="00C93CCC" w:rsidRDefault="00C93CCC" w:rsidP="00C93CCC">
      <w:pPr>
        <w:rPr>
          <w:b/>
        </w:rPr>
      </w:pPr>
    </w:p>
    <w:p w14:paraId="28D5AED2" w14:textId="77777777" w:rsidR="00E76334" w:rsidRDefault="00E76334" w:rsidP="00E76334">
      <w:pPr>
        <w:outlineLvl w:val="0"/>
        <w:rPr>
          <w:b/>
          <w:bCs/>
        </w:rPr>
      </w:pPr>
      <w:r>
        <w:t xml:space="preserve">13.  </w:t>
      </w:r>
      <w:r>
        <w:rPr>
          <w:b/>
          <w:bCs/>
        </w:rPr>
        <w:t xml:space="preserve">Estimates of Other Total Annual Cost Burden to Respondents or Record Keepers  </w:t>
      </w:r>
    </w:p>
    <w:p w14:paraId="28A089EE" w14:textId="77777777" w:rsidR="00E76334" w:rsidRPr="00E76334" w:rsidRDefault="00E76334" w:rsidP="00E76334">
      <w:pPr>
        <w:outlineLvl w:val="0"/>
        <w:rPr>
          <w:b/>
          <w:bCs/>
        </w:rPr>
      </w:pPr>
      <w:r>
        <w:t>There are no additional costs to the respondents. There are no costs other than their time to participate in the voluntary survey.</w:t>
      </w:r>
    </w:p>
    <w:p w14:paraId="31D8288F" w14:textId="77777777" w:rsidR="00E76334" w:rsidRDefault="00E76334" w:rsidP="00E76334">
      <w:pPr>
        <w:outlineLvl w:val="0"/>
        <w:rPr>
          <w:b/>
          <w:bCs/>
        </w:rPr>
      </w:pPr>
      <w:r>
        <w:t xml:space="preserve">14.  </w:t>
      </w:r>
      <w:r>
        <w:rPr>
          <w:b/>
          <w:bCs/>
        </w:rPr>
        <w:t xml:space="preserve">Annualized Cost to the Federal Government  </w:t>
      </w:r>
    </w:p>
    <w:p w14:paraId="4C98B929" w14:textId="3F6FE1F2" w:rsidR="00E76334" w:rsidRDefault="001016F1" w:rsidP="00E76334">
      <w:r>
        <w:t>The nominal cost for Survey Monkey is already included in an annual agency fee.  It is expected that collecting and analyzing the data will cost NCHS about $</w:t>
      </w:r>
      <w:r w:rsidR="00BD35CD">
        <w:t>20</w:t>
      </w:r>
      <w:r>
        <w:t xml:space="preserve">,000.  </w:t>
      </w:r>
    </w:p>
    <w:p w14:paraId="1A04311D" w14:textId="77777777" w:rsidR="00E76334" w:rsidRDefault="00E76334" w:rsidP="00E76334">
      <w:pPr>
        <w:outlineLvl w:val="0"/>
        <w:rPr>
          <w:b/>
          <w:bCs/>
        </w:rPr>
      </w:pPr>
      <w:r>
        <w:t xml:space="preserve">15.  </w:t>
      </w:r>
      <w:r>
        <w:rPr>
          <w:b/>
          <w:bCs/>
        </w:rPr>
        <w:t xml:space="preserve">Explanation for Program Changes or Adjustments  </w:t>
      </w:r>
    </w:p>
    <w:p w14:paraId="2DDCE97F" w14:textId="77777777" w:rsidR="00E76334" w:rsidRDefault="00E76334" w:rsidP="00E76334">
      <w:pPr>
        <w:outlineLvl w:val="0"/>
      </w:pPr>
      <w:r>
        <w:t>This is a generic IC.  There are no program changes or adjustments.</w:t>
      </w:r>
    </w:p>
    <w:p w14:paraId="2F34195C" w14:textId="77777777" w:rsidR="00BD35CD" w:rsidRDefault="00BD35CD" w:rsidP="00C93CCC">
      <w:pPr>
        <w:ind w:left="720" w:hanging="720"/>
        <w:rPr>
          <w:b/>
        </w:rPr>
      </w:pPr>
    </w:p>
    <w:p w14:paraId="780C0BA6" w14:textId="77777777" w:rsidR="00BD35CD" w:rsidRDefault="00BD35CD" w:rsidP="00C93CCC">
      <w:pPr>
        <w:ind w:left="720" w:hanging="720"/>
        <w:rPr>
          <w:b/>
        </w:rPr>
      </w:pPr>
    </w:p>
    <w:p w14:paraId="0EF67D50" w14:textId="10580ABA" w:rsidR="00C93CCC" w:rsidRDefault="004E19A1" w:rsidP="00C93CCC">
      <w:pPr>
        <w:ind w:left="720" w:hanging="720"/>
        <w:rPr>
          <w:b/>
        </w:rPr>
      </w:pPr>
      <w:r>
        <w:rPr>
          <w:b/>
        </w:rPr>
        <w:lastRenderedPageBreak/>
        <w:t>16</w:t>
      </w:r>
      <w:r w:rsidR="00C93CCC">
        <w:rPr>
          <w:b/>
        </w:rPr>
        <w:t>.</w:t>
      </w:r>
      <w:r w:rsidR="00C93CCC">
        <w:rPr>
          <w:b/>
        </w:rPr>
        <w:tab/>
        <w:t>Plans for Tabulation and Publication and Project Time Schedule</w:t>
      </w:r>
    </w:p>
    <w:p w14:paraId="2132272D" w14:textId="04F9A0E0" w:rsidR="0019200C" w:rsidRDefault="00650C4E" w:rsidP="0019200C">
      <w:r>
        <w:t>Data collected will be analyzed to inform NCHS planning activities. The information is for internal use only. Summary data may be provided to OMB and DHHS; however no publications are planned</w:t>
      </w:r>
      <w:r w:rsidR="007D4A48">
        <w:t xml:space="preserve">.  The </w:t>
      </w:r>
      <w:r w:rsidR="0019200C">
        <w:t xml:space="preserve">Feedback survey will commence within 2 </w:t>
      </w:r>
      <w:r w:rsidR="007D4A48">
        <w:t>weeks of clearance</w:t>
      </w:r>
      <w:r w:rsidR="0019200C">
        <w:t xml:space="preserve">.   </w:t>
      </w:r>
      <w:r w:rsidR="0019200C" w:rsidRPr="00B25794">
        <w:t xml:space="preserve">  </w:t>
      </w:r>
      <w:r w:rsidR="0019200C">
        <w:t xml:space="preserve">  </w:t>
      </w:r>
    </w:p>
    <w:p w14:paraId="1C15BD45" w14:textId="77777777" w:rsidR="00C93CCC" w:rsidRDefault="00C93CCC" w:rsidP="00C93CCC"/>
    <w:p w14:paraId="090AC454" w14:textId="77777777" w:rsidR="007D4A48" w:rsidRDefault="007D4A48" w:rsidP="007D4A48">
      <w:pPr>
        <w:jc w:val="center"/>
        <w:rPr>
          <w:b/>
        </w:rPr>
      </w:pPr>
    </w:p>
    <w:p w14:paraId="7D1A9032" w14:textId="77777777" w:rsidR="00B17B7A" w:rsidRPr="003C51E0" w:rsidRDefault="00B17B7A" w:rsidP="000D4D11"/>
    <w:p w14:paraId="7F1ACB84" w14:textId="77777777" w:rsidR="00C93CCC" w:rsidRPr="00C93CCC" w:rsidRDefault="00C93CCC" w:rsidP="00C93CCC">
      <w:pPr>
        <w:jc w:val="center"/>
        <w:rPr>
          <w:b/>
        </w:rPr>
      </w:pPr>
    </w:p>
    <w:sectPr w:rsidR="00C93CCC" w:rsidRPr="00C93CCC" w:rsidSect="00691CE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E7980" w14:textId="77777777" w:rsidR="0084625E" w:rsidRDefault="0084625E" w:rsidP="00E76334">
      <w:pPr>
        <w:spacing w:after="0" w:line="240" w:lineRule="auto"/>
      </w:pPr>
      <w:r>
        <w:separator/>
      </w:r>
    </w:p>
  </w:endnote>
  <w:endnote w:type="continuationSeparator" w:id="0">
    <w:p w14:paraId="0BBB0075" w14:textId="77777777" w:rsidR="0084625E" w:rsidRDefault="0084625E" w:rsidP="00E76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CA020" w14:textId="77777777" w:rsidR="00721728" w:rsidRDefault="007217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8EE77" w14:textId="77777777" w:rsidR="00BC0250" w:rsidRDefault="00BC0250">
    <w:pPr>
      <w:pStyle w:val="Footer"/>
      <w:jc w:val="right"/>
    </w:pPr>
    <w:r>
      <w:fldChar w:fldCharType="begin"/>
    </w:r>
    <w:r>
      <w:instrText xml:space="preserve"> PAGE   \* MERGEFORMAT </w:instrText>
    </w:r>
    <w:r>
      <w:fldChar w:fldCharType="separate"/>
    </w:r>
    <w:r w:rsidR="00721728">
      <w:rPr>
        <w:noProof/>
      </w:rPr>
      <w:t>2</w:t>
    </w:r>
    <w:r>
      <w:fldChar w:fldCharType="end"/>
    </w:r>
  </w:p>
  <w:p w14:paraId="2F812CF0" w14:textId="77777777" w:rsidR="00BC0250" w:rsidRDefault="00BC02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B42D6" w14:textId="77777777" w:rsidR="00721728" w:rsidRDefault="007217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E0C80" w14:textId="77777777" w:rsidR="0084625E" w:rsidRDefault="0084625E" w:rsidP="00E76334">
      <w:pPr>
        <w:spacing w:after="0" w:line="240" w:lineRule="auto"/>
      </w:pPr>
      <w:r>
        <w:separator/>
      </w:r>
    </w:p>
  </w:footnote>
  <w:footnote w:type="continuationSeparator" w:id="0">
    <w:p w14:paraId="3BC30F26" w14:textId="77777777" w:rsidR="0084625E" w:rsidRDefault="0084625E" w:rsidP="00E763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16230" w14:textId="77777777" w:rsidR="00721728" w:rsidRDefault="007217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19820" w14:textId="77777777" w:rsidR="00721728" w:rsidRDefault="007217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2BFA9" w14:textId="77777777" w:rsidR="00721728" w:rsidRDefault="007217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F509A"/>
    <w:multiLevelType w:val="hybridMultilevel"/>
    <w:tmpl w:val="E7A0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596777"/>
    <w:multiLevelType w:val="hybridMultilevel"/>
    <w:tmpl w:val="36EA01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984D18"/>
    <w:multiLevelType w:val="hybridMultilevel"/>
    <w:tmpl w:val="2A16E47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CCC"/>
    <w:rsid w:val="00042390"/>
    <w:rsid w:val="000816C4"/>
    <w:rsid w:val="000A3994"/>
    <w:rsid w:val="000D4D11"/>
    <w:rsid w:val="001016F1"/>
    <w:rsid w:val="00114C0F"/>
    <w:rsid w:val="001423A8"/>
    <w:rsid w:val="0019200C"/>
    <w:rsid w:val="00247580"/>
    <w:rsid w:val="002A2C8D"/>
    <w:rsid w:val="002A5633"/>
    <w:rsid w:val="00364B58"/>
    <w:rsid w:val="00393414"/>
    <w:rsid w:val="00406AD3"/>
    <w:rsid w:val="00414AAC"/>
    <w:rsid w:val="004468B8"/>
    <w:rsid w:val="00464F45"/>
    <w:rsid w:val="00465A67"/>
    <w:rsid w:val="00482634"/>
    <w:rsid w:val="004931C7"/>
    <w:rsid w:val="004E19A1"/>
    <w:rsid w:val="005749DF"/>
    <w:rsid w:val="00596F6F"/>
    <w:rsid w:val="005C2B97"/>
    <w:rsid w:val="00635C82"/>
    <w:rsid w:val="00650C4E"/>
    <w:rsid w:val="00691CE7"/>
    <w:rsid w:val="006A0980"/>
    <w:rsid w:val="006A6F94"/>
    <w:rsid w:val="00721728"/>
    <w:rsid w:val="007425DC"/>
    <w:rsid w:val="007D4A48"/>
    <w:rsid w:val="007F2722"/>
    <w:rsid w:val="0084625E"/>
    <w:rsid w:val="00872EAB"/>
    <w:rsid w:val="008D57AC"/>
    <w:rsid w:val="00A11C84"/>
    <w:rsid w:val="00AA65EB"/>
    <w:rsid w:val="00B17B7A"/>
    <w:rsid w:val="00BC0250"/>
    <w:rsid w:val="00BD35CD"/>
    <w:rsid w:val="00C002F6"/>
    <w:rsid w:val="00C618FA"/>
    <w:rsid w:val="00C93CCC"/>
    <w:rsid w:val="00D006EB"/>
    <w:rsid w:val="00D80D83"/>
    <w:rsid w:val="00D957BC"/>
    <w:rsid w:val="00E0753D"/>
    <w:rsid w:val="00E51EEE"/>
    <w:rsid w:val="00E76334"/>
    <w:rsid w:val="00ED2111"/>
    <w:rsid w:val="00F02549"/>
    <w:rsid w:val="00F2341A"/>
    <w:rsid w:val="00F3720F"/>
    <w:rsid w:val="00F60477"/>
    <w:rsid w:val="00F952DE"/>
    <w:rsid w:val="00FD0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626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C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3CCC"/>
    <w:rPr>
      <w:color w:val="0000FF"/>
      <w:u w:val="single"/>
    </w:rPr>
  </w:style>
  <w:style w:type="paragraph" w:styleId="ListParagraph">
    <w:name w:val="List Paragraph"/>
    <w:basedOn w:val="Normal"/>
    <w:uiPriority w:val="34"/>
    <w:qFormat/>
    <w:rsid w:val="00635C82"/>
    <w:pPr>
      <w:spacing w:after="0" w:line="240" w:lineRule="auto"/>
      <w:ind w:left="720"/>
      <w:contextualSpacing/>
    </w:pPr>
    <w:rPr>
      <w:rFonts w:ascii="Times New Roman" w:eastAsia="Times New Roman" w:hAnsi="Times New Roman"/>
      <w:sz w:val="24"/>
      <w:szCs w:val="24"/>
    </w:rPr>
  </w:style>
  <w:style w:type="character" w:styleId="CommentReference">
    <w:name w:val="annotation reference"/>
    <w:uiPriority w:val="99"/>
    <w:semiHidden/>
    <w:unhideWhenUsed/>
    <w:rsid w:val="004468B8"/>
    <w:rPr>
      <w:sz w:val="16"/>
      <w:szCs w:val="16"/>
    </w:rPr>
  </w:style>
  <w:style w:type="paragraph" w:styleId="CommentText">
    <w:name w:val="annotation text"/>
    <w:basedOn w:val="Normal"/>
    <w:link w:val="CommentTextChar"/>
    <w:uiPriority w:val="99"/>
    <w:semiHidden/>
    <w:unhideWhenUsed/>
    <w:rsid w:val="004468B8"/>
    <w:pPr>
      <w:spacing w:line="240" w:lineRule="auto"/>
    </w:pPr>
    <w:rPr>
      <w:sz w:val="20"/>
      <w:szCs w:val="20"/>
    </w:rPr>
  </w:style>
  <w:style w:type="character" w:customStyle="1" w:styleId="CommentTextChar">
    <w:name w:val="Comment Text Char"/>
    <w:link w:val="CommentText"/>
    <w:uiPriority w:val="99"/>
    <w:semiHidden/>
    <w:rsid w:val="004468B8"/>
    <w:rPr>
      <w:sz w:val="20"/>
      <w:szCs w:val="20"/>
    </w:rPr>
  </w:style>
  <w:style w:type="paragraph" w:styleId="CommentSubject">
    <w:name w:val="annotation subject"/>
    <w:basedOn w:val="CommentText"/>
    <w:next w:val="CommentText"/>
    <w:link w:val="CommentSubjectChar"/>
    <w:uiPriority w:val="99"/>
    <w:semiHidden/>
    <w:unhideWhenUsed/>
    <w:rsid w:val="004468B8"/>
    <w:rPr>
      <w:b/>
      <w:bCs/>
    </w:rPr>
  </w:style>
  <w:style w:type="character" w:customStyle="1" w:styleId="CommentSubjectChar">
    <w:name w:val="Comment Subject Char"/>
    <w:link w:val="CommentSubject"/>
    <w:uiPriority w:val="99"/>
    <w:semiHidden/>
    <w:rsid w:val="004468B8"/>
    <w:rPr>
      <w:b/>
      <w:bCs/>
      <w:sz w:val="20"/>
      <w:szCs w:val="20"/>
    </w:rPr>
  </w:style>
  <w:style w:type="paragraph" w:styleId="BalloonText">
    <w:name w:val="Balloon Text"/>
    <w:basedOn w:val="Normal"/>
    <w:link w:val="BalloonTextChar"/>
    <w:uiPriority w:val="99"/>
    <w:semiHidden/>
    <w:unhideWhenUsed/>
    <w:rsid w:val="004468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468B8"/>
    <w:rPr>
      <w:rFonts w:ascii="Tahoma" w:hAnsi="Tahoma" w:cs="Tahoma"/>
      <w:sz w:val="16"/>
      <w:szCs w:val="16"/>
    </w:rPr>
  </w:style>
  <w:style w:type="paragraph" w:styleId="Header">
    <w:name w:val="header"/>
    <w:basedOn w:val="Normal"/>
    <w:link w:val="HeaderChar"/>
    <w:uiPriority w:val="99"/>
    <w:unhideWhenUsed/>
    <w:rsid w:val="00E76334"/>
    <w:pPr>
      <w:tabs>
        <w:tab w:val="center" w:pos="4680"/>
        <w:tab w:val="right" w:pos="9360"/>
      </w:tabs>
    </w:pPr>
  </w:style>
  <w:style w:type="character" w:customStyle="1" w:styleId="HeaderChar">
    <w:name w:val="Header Char"/>
    <w:link w:val="Header"/>
    <w:uiPriority w:val="99"/>
    <w:rsid w:val="00E76334"/>
    <w:rPr>
      <w:sz w:val="22"/>
      <w:szCs w:val="22"/>
    </w:rPr>
  </w:style>
  <w:style w:type="paragraph" w:styleId="Footer">
    <w:name w:val="footer"/>
    <w:basedOn w:val="Normal"/>
    <w:link w:val="FooterChar"/>
    <w:uiPriority w:val="99"/>
    <w:unhideWhenUsed/>
    <w:rsid w:val="00E76334"/>
    <w:pPr>
      <w:tabs>
        <w:tab w:val="center" w:pos="4680"/>
        <w:tab w:val="right" w:pos="9360"/>
      </w:tabs>
    </w:pPr>
  </w:style>
  <w:style w:type="character" w:customStyle="1" w:styleId="FooterChar">
    <w:name w:val="Footer Char"/>
    <w:link w:val="Footer"/>
    <w:uiPriority w:val="99"/>
    <w:rsid w:val="00E76334"/>
    <w:rPr>
      <w:sz w:val="22"/>
      <w:szCs w:val="22"/>
    </w:rPr>
  </w:style>
  <w:style w:type="paragraph" w:styleId="Revision">
    <w:name w:val="Revision"/>
    <w:hidden/>
    <w:uiPriority w:val="99"/>
    <w:semiHidden/>
    <w:rsid w:val="00406AD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23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cook@cdc.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1021</Words>
  <Characters>5820</Characters>
  <Application>Microsoft Office Word</Application>
  <DocSecurity>0</DocSecurity>
  <Lines>48</Lines>
  <Paragraphs>13</Paragraphs>
  <ScaleCrop>false</ScaleCrop>
  <Company/>
  <LinksUpToDate>false</LinksUpToDate>
  <CharactersWithSpaces>6828</CharactersWithSpaces>
  <SharedDoc>false</SharedDoc>
  <HLinks>
    <vt:vector size="6" baseType="variant">
      <vt:variant>
        <vt:i4>196643</vt:i4>
      </vt:variant>
      <vt:variant>
        <vt:i4>0</vt:i4>
      </vt:variant>
      <vt:variant>
        <vt:i4>0</vt:i4>
      </vt:variant>
      <vt:variant>
        <vt:i4>5</vt:i4>
      </vt:variant>
      <vt:variant>
        <vt:lpwstr>mailto:tcook@cdc.gov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2015-07-28T21:00:00Z</dcterms:created>
  <dcterms:modified xsi:type="dcterms:W3CDTF">2015-07-28T21:01:00Z</dcterms:modified>
</cp:coreProperties>
</file>