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BF" w:rsidRDefault="007170BF" w:rsidP="00340CF7">
      <w:pPr>
        <w:spacing w:after="0" w:line="240" w:lineRule="auto"/>
        <w:jc w:val="center"/>
        <w:rPr>
          <w:rFonts w:ascii="Times New Roman" w:eastAsia="Times New Roman" w:hAnsi="Times New Roman" w:cs="Times New Roman"/>
          <w:b/>
          <w:sz w:val="28"/>
          <w:szCs w:val="28"/>
        </w:rPr>
      </w:pPr>
    </w:p>
    <w:p w:rsidR="007170BF" w:rsidRDefault="007170BF" w:rsidP="00340CF7">
      <w:pPr>
        <w:spacing w:after="0" w:line="240" w:lineRule="auto"/>
        <w:jc w:val="center"/>
        <w:rPr>
          <w:rFonts w:ascii="Times New Roman" w:eastAsia="Times New Roman" w:hAnsi="Times New Roman" w:cs="Times New Roman"/>
          <w:b/>
          <w:sz w:val="28"/>
          <w:szCs w:val="28"/>
        </w:rPr>
      </w:pPr>
    </w:p>
    <w:p w:rsidR="007170BF" w:rsidRDefault="007170BF" w:rsidP="00340CF7">
      <w:pPr>
        <w:spacing w:after="0" w:line="240" w:lineRule="auto"/>
        <w:jc w:val="center"/>
        <w:rPr>
          <w:rFonts w:ascii="Times New Roman" w:eastAsia="Times New Roman" w:hAnsi="Times New Roman" w:cs="Times New Roman"/>
          <w:b/>
          <w:sz w:val="28"/>
          <w:szCs w:val="28"/>
        </w:rPr>
      </w:pPr>
    </w:p>
    <w:p w:rsidR="007170BF" w:rsidRDefault="007170BF" w:rsidP="00340CF7">
      <w:pPr>
        <w:spacing w:after="0" w:line="240" w:lineRule="auto"/>
        <w:jc w:val="center"/>
        <w:rPr>
          <w:rFonts w:ascii="Times New Roman" w:eastAsia="Times New Roman" w:hAnsi="Times New Roman" w:cs="Times New Roman"/>
          <w:b/>
          <w:sz w:val="28"/>
          <w:szCs w:val="28"/>
        </w:rPr>
      </w:pPr>
    </w:p>
    <w:p w:rsidR="007170BF" w:rsidRDefault="007170BF" w:rsidP="00340CF7">
      <w:pPr>
        <w:spacing w:after="0" w:line="240" w:lineRule="auto"/>
        <w:jc w:val="center"/>
        <w:rPr>
          <w:rFonts w:ascii="Times New Roman" w:eastAsia="Times New Roman" w:hAnsi="Times New Roman" w:cs="Times New Roman"/>
          <w:b/>
          <w:sz w:val="28"/>
          <w:szCs w:val="28"/>
        </w:rPr>
      </w:pPr>
    </w:p>
    <w:p w:rsidR="00F20BDD" w:rsidRPr="00F20BDD" w:rsidRDefault="00F20BDD" w:rsidP="00F20BDD">
      <w:pPr>
        <w:spacing w:after="0" w:line="240" w:lineRule="auto"/>
        <w:jc w:val="center"/>
        <w:rPr>
          <w:rFonts w:ascii="Times New Roman" w:eastAsia="Times New Roman" w:hAnsi="Times New Roman" w:cs="Times New Roman"/>
          <w:b/>
          <w:sz w:val="28"/>
          <w:szCs w:val="28"/>
        </w:rPr>
      </w:pPr>
      <w:r w:rsidRPr="00F20BDD">
        <w:rPr>
          <w:rFonts w:ascii="Times New Roman" w:eastAsia="Times New Roman" w:hAnsi="Times New Roman" w:cs="Times New Roman"/>
          <w:b/>
          <w:sz w:val="28"/>
          <w:szCs w:val="28"/>
        </w:rPr>
        <w:t>Personal Flotation Devices (PFDs) and Commercial Fishermen: Preconceptions and Evaluations in Actual Use</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p>
    <w:p w:rsidR="00F20BDD" w:rsidRPr="00F20BDD" w:rsidRDefault="00F20BDD" w:rsidP="00F20BDD">
      <w:pPr>
        <w:spacing w:after="0" w:line="240" w:lineRule="auto"/>
        <w:jc w:val="center"/>
        <w:rPr>
          <w:rFonts w:ascii="Times New Roman" w:eastAsia="Times New Roman" w:hAnsi="Times New Roman" w:cs="Times New Roman"/>
          <w:sz w:val="24"/>
          <w:szCs w:val="24"/>
        </w:rPr>
      </w:pPr>
      <w:r w:rsidRPr="00F20BDD">
        <w:rPr>
          <w:rFonts w:ascii="Times New Roman" w:eastAsia="Times New Roman" w:hAnsi="Times New Roman" w:cs="Times New Roman"/>
          <w:sz w:val="24"/>
          <w:szCs w:val="24"/>
        </w:rPr>
        <w:t>Request for Office of Management and Budget Review and Approval for Federally Sponsored Information Collection</w:t>
      </w:r>
    </w:p>
    <w:p w:rsidR="00F20BDD" w:rsidRPr="00F20BDD" w:rsidRDefault="00F20BDD" w:rsidP="00F20BDD">
      <w:pPr>
        <w:spacing w:after="0" w:line="240" w:lineRule="auto"/>
        <w:jc w:val="center"/>
        <w:rPr>
          <w:rFonts w:ascii="Times New Roman" w:eastAsia="Times New Roman" w:hAnsi="Times New Roman" w:cs="Times New Roman"/>
          <w:sz w:val="24"/>
          <w:szCs w:val="24"/>
        </w:rPr>
      </w:pPr>
    </w:p>
    <w:p w:rsidR="00F20BDD" w:rsidRPr="00F20BDD" w:rsidRDefault="00F20BDD" w:rsidP="00F20BDD">
      <w:pPr>
        <w:spacing w:after="0" w:line="240" w:lineRule="auto"/>
        <w:jc w:val="center"/>
        <w:rPr>
          <w:rFonts w:ascii="Times New Roman" w:eastAsia="Times New Roman" w:hAnsi="Times New Roman" w:cs="Times New Roman"/>
          <w:sz w:val="24"/>
          <w:szCs w:val="24"/>
        </w:rPr>
      </w:pPr>
      <w:r w:rsidRPr="00F20BDD">
        <w:rPr>
          <w:rFonts w:ascii="Times New Roman" w:eastAsia="Times New Roman" w:hAnsi="Times New Roman" w:cs="Times New Roman"/>
          <w:sz w:val="24"/>
          <w:szCs w:val="24"/>
        </w:rPr>
        <w:t>Reinstatement with Change of Previously Approved Package</w:t>
      </w:r>
    </w:p>
    <w:p w:rsidR="00F20BDD" w:rsidRPr="00F20BDD" w:rsidRDefault="00F20BDD" w:rsidP="00F20BDD">
      <w:pPr>
        <w:spacing w:after="0" w:line="240" w:lineRule="auto"/>
        <w:jc w:val="center"/>
        <w:rPr>
          <w:rFonts w:ascii="Times New Roman" w:eastAsia="Times New Roman" w:hAnsi="Times New Roman" w:cs="Times New Roman"/>
          <w:sz w:val="24"/>
          <w:szCs w:val="24"/>
        </w:rPr>
      </w:pPr>
      <w:r w:rsidRPr="00F20BDD">
        <w:rPr>
          <w:rFonts w:ascii="Times New Roman" w:eastAsia="Times New Roman" w:hAnsi="Times New Roman" w:cs="Times New Roman"/>
          <w:sz w:val="24"/>
          <w:szCs w:val="24"/>
        </w:rPr>
        <w:t>0920-0787</w:t>
      </w:r>
    </w:p>
    <w:p w:rsidR="00F20BDD" w:rsidRPr="00F20BDD" w:rsidRDefault="00F20BDD" w:rsidP="00F20BDD">
      <w:pPr>
        <w:spacing w:after="0" w:line="240" w:lineRule="auto"/>
        <w:rPr>
          <w:rFonts w:ascii="Times New Roman" w:eastAsia="Times New Roman" w:hAnsi="Times New Roman" w:cs="Times New Roman"/>
          <w:b/>
          <w:sz w:val="28"/>
          <w:szCs w:val="28"/>
        </w:rPr>
      </w:pPr>
    </w:p>
    <w:p w:rsidR="00F20BDD" w:rsidRPr="00F20BDD" w:rsidRDefault="00F20BDD" w:rsidP="00F20BDD">
      <w:pPr>
        <w:spacing w:after="0" w:line="240" w:lineRule="auto"/>
        <w:jc w:val="center"/>
        <w:rPr>
          <w:rFonts w:ascii="Times New Roman" w:eastAsia="Times New Roman" w:hAnsi="Times New Roman" w:cs="Times New Roman"/>
          <w:b/>
          <w:sz w:val="28"/>
          <w:szCs w:val="28"/>
        </w:rPr>
      </w:pPr>
      <w:r w:rsidRPr="00F20BDD">
        <w:rPr>
          <w:rFonts w:ascii="Times New Roman" w:eastAsia="Times New Roman" w:hAnsi="Times New Roman" w:cs="Times New Roman"/>
          <w:b/>
          <w:sz w:val="28"/>
          <w:szCs w:val="28"/>
        </w:rPr>
        <w:t>Supporting Statement A</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p>
    <w:p w:rsidR="00F20BDD" w:rsidRPr="00F20BDD" w:rsidRDefault="00F20BDD" w:rsidP="00F20BDD">
      <w:pPr>
        <w:spacing w:after="0" w:line="240" w:lineRule="auto"/>
        <w:jc w:val="center"/>
        <w:rPr>
          <w:rFonts w:ascii="Times New Roman" w:eastAsia="Times New Roman" w:hAnsi="Times New Roman" w:cs="Times New Roman"/>
          <w:b/>
          <w:sz w:val="24"/>
          <w:szCs w:val="24"/>
        </w:rPr>
      </w:pPr>
    </w:p>
    <w:p w:rsidR="00F20BDD" w:rsidRPr="00F20BDD" w:rsidRDefault="00F20BDD" w:rsidP="00F20BDD">
      <w:pPr>
        <w:spacing w:after="0" w:line="240" w:lineRule="auto"/>
        <w:jc w:val="center"/>
        <w:rPr>
          <w:rFonts w:ascii="Times New Roman" w:eastAsia="Times New Roman" w:hAnsi="Times New Roman" w:cs="Times New Roman"/>
          <w:b/>
          <w:sz w:val="24"/>
          <w:szCs w:val="24"/>
        </w:rPr>
      </w:pPr>
      <w:r w:rsidRPr="00F20BDD">
        <w:rPr>
          <w:rFonts w:ascii="Times New Roman" w:eastAsia="Times New Roman" w:hAnsi="Times New Roman" w:cs="Times New Roman"/>
          <w:b/>
          <w:sz w:val="24"/>
          <w:szCs w:val="24"/>
        </w:rPr>
        <w:t>National Institute for Occupational Safety and Health (NIOSH)</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p>
    <w:p w:rsidR="00F20BDD" w:rsidRPr="00F20BDD" w:rsidRDefault="00F20BDD" w:rsidP="00F20BDD">
      <w:pPr>
        <w:spacing w:after="0" w:line="240" w:lineRule="auto"/>
        <w:jc w:val="center"/>
        <w:rPr>
          <w:rFonts w:ascii="Times New Roman" w:eastAsia="Times New Roman" w:hAnsi="Times New Roman" w:cs="Times New Roman"/>
          <w:b/>
          <w:sz w:val="24"/>
          <w:szCs w:val="24"/>
        </w:rPr>
      </w:pPr>
      <w:r w:rsidRPr="00F20BDD">
        <w:rPr>
          <w:rFonts w:ascii="Times New Roman" w:eastAsia="Times New Roman" w:hAnsi="Times New Roman" w:cs="Times New Roman"/>
          <w:b/>
          <w:sz w:val="24"/>
          <w:szCs w:val="24"/>
        </w:rPr>
        <w:t xml:space="preserve"> Alaska Field Station</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r w:rsidRPr="00F20BDD">
        <w:rPr>
          <w:rFonts w:ascii="Times New Roman" w:eastAsia="Times New Roman" w:hAnsi="Times New Roman" w:cs="Times New Roman"/>
          <w:b/>
          <w:sz w:val="24"/>
          <w:szCs w:val="24"/>
        </w:rPr>
        <w:t>4230 University Drive Suite 310</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r w:rsidRPr="00F20BDD">
        <w:rPr>
          <w:rFonts w:ascii="Times New Roman" w:eastAsia="Times New Roman" w:hAnsi="Times New Roman" w:cs="Times New Roman"/>
          <w:b/>
          <w:sz w:val="24"/>
          <w:szCs w:val="24"/>
        </w:rPr>
        <w:t>Anchorage, Alaska 99508</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p>
    <w:p w:rsidR="00F20BDD" w:rsidRPr="00F20BDD" w:rsidRDefault="00F20BDD" w:rsidP="00F20BDD">
      <w:pPr>
        <w:spacing w:after="0" w:line="240" w:lineRule="auto"/>
        <w:jc w:val="center"/>
        <w:rPr>
          <w:rFonts w:ascii="Times New Roman" w:eastAsia="Times New Roman" w:hAnsi="Times New Roman" w:cs="Times New Roman"/>
          <w:b/>
          <w:sz w:val="24"/>
          <w:szCs w:val="24"/>
        </w:rPr>
      </w:pPr>
      <w:r w:rsidRPr="00F20BDD">
        <w:rPr>
          <w:rFonts w:ascii="Times New Roman" w:eastAsia="Times New Roman" w:hAnsi="Times New Roman" w:cs="Times New Roman"/>
          <w:b/>
          <w:sz w:val="24"/>
          <w:szCs w:val="24"/>
        </w:rPr>
        <w:t>Project Officer: Christy Forrester</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r w:rsidRPr="00F20BDD">
        <w:rPr>
          <w:rFonts w:ascii="Times New Roman" w:eastAsia="Times New Roman" w:hAnsi="Times New Roman" w:cs="Times New Roman"/>
          <w:b/>
          <w:sz w:val="24"/>
          <w:szCs w:val="24"/>
        </w:rPr>
        <w:t>Phone: (202)245-0687</w:t>
      </w:r>
    </w:p>
    <w:p w:rsidR="00F20BDD" w:rsidRPr="00F20BDD" w:rsidRDefault="00F20BDD" w:rsidP="00F20BDD">
      <w:pPr>
        <w:spacing w:after="0" w:line="240" w:lineRule="auto"/>
        <w:jc w:val="center"/>
        <w:rPr>
          <w:rFonts w:ascii="Times New Roman" w:eastAsia="Times New Roman" w:hAnsi="Times New Roman" w:cs="Times New Roman"/>
          <w:b/>
          <w:sz w:val="24"/>
          <w:szCs w:val="24"/>
        </w:rPr>
      </w:pPr>
      <w:r w:rsidRPr="00F20BDD">
        <w:rPr>
          <w:rFonts w:ascii="Times New Roman" w:eastAsia="Times New Roman" w:hAnsi="Times New Roman" w:cs="Times New Roman"/>
          <w:b/>
          <w:sz w:val="24"/>
          <w:szCs w:val="24"/>
        </w:rPr>
        <w:t>E-mail: cforrester@cdc.gov</w:t>
      </w:r>
    </w:p>
    <w:p w:rsidR="00F20BDD" w:rsidRPr="00F20BDD" w:rsidRDefault="00F20BDD" w:rsidP="00F20BDD">
      <w:pPr>
        <w:spacing w:after="0" w:line="240" w:lineRule="auto"/>
        <w:jc w:val="center"/>
        <w:rPr>
          <w:rFonts w:ascii="Times New Roman" w:eastAsia="Times New Roman" w:hAnsi="Times New Roman" w:cs="Times New Roman"/>
          <w:b/>
          <w:sz w:val="28"/>
          <w:szCs w:val="28"/>
        </w:rPr>
      </w:pPr>
    </w:p>
    <w:p w:rsidR="00F20BDD" w:rsidRPr="00F20BDD" w:rsidRDefault="00F20BDD" w:rsidP="00F20BDD">
      <w:pPr>
        <w:spacing w:after="0" w:line="240" w:lineRule="auto"/>
        <w:jc w:val="center"/>
        <w:rPr>
          <w:rFonts w:ascii="Times New Roman" w:eastAsia="Times New Roman" w:hAnsi="Times New Roman" w:cs="Times New Roman"/>
          <w:b/>
          <w:sz w:val="28"/>
          <w:szCs w:val="28"/>
        </w:rPr>
      </w:pPr>
    </w:p>
    <w:p w:rsidR="00F20BDD" w:rsidRPr="00F20BDD" w:rsidRDefault="00510B61" w:rsidP="00F20BD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March 12</w:t>
      </w:r>
      <w:r w:rsidR="00F20BDD" w:rsidRPr="00F20BDD">
        <w:rPr>
          <w:rFonts w:ascii="Times New Roman" w:eastAsia="Times New Roman" w:hAnsi="Times New Roman" w:cs="Times New Roman"/>
          <w:sz w:val="28"/>
          <w:szCs w:val="28"/>
        </w:rPr>
        <w:t>, 201</w:t>
      </w:r>
      <w:r w:rsidR="00F20BDD">
        <w:rPr>
          <w:rFonts w:ascii="Times New Roman" w:eastAsia="Times New Roman" w:hAnsi="Times New Roman" w:cs="Times New Roman"/>
          <w:sz w:val="28"/>
          <w:szCs w:val="28"/>
        </w:rPr>
        <w:t>4</w:t>
      </w:r>
    </w:p>
    <w:p w:rsidR="00340CF7" w:rsidRPr="00340CF7" w:rsidRDefault="00340CF7" w:rsidP="00340CF7">
      <w:pPr>
        <w:spacing w:after="0" w:line="240" w:lineRule="auto"/>
        <w:jc w:val="center"/>
        <w:rPr>
          <w:rFonts w:ascii="Times New Roman" w:eastAsia="Times New Roman" w:hAnsi="Times New Roman" w:cs="Times New Roman"/>
          <w:b/>
          <w:sz w:val="28"/>
          <w:szCs w:val="28"/>
        </w:rPr>
      </w:pPr>
    </w:p>
    <w:p w:rsidR="007170BF" w:rsidRDefault="007170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0B4562" w:rsidRPr="000B4562" w:rsidRDefault="000B4562" w:rsidP="000B4562">
      <w:pPr>
        <w:keepNext/>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sidRPr="000B4562">
        <w:rPr>
          <w:rFonts w:ascii="Times New Roman" w:eastAsia="Times New Roman" w:hAnsi="Times New Roman" w:cs="Times New Roman"/>
          <w:b/>
          <w:bCs/>
          <w:sz w:val="24"/>
          <w:szCs w:val="24"/>
        </w:rPr>
        <w:lastRenderedPageBreak/>
        <w:t>Table of Contents</w:t>
      </w:r>
      <w:r w:rsidRPr="000B4562">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089876C" wp14:editId="671D3F74">
                <wp:simplePos x="0" y="0"/>
                <wp:positionH relativeFrom="column">
                  <wp:posOffset>5715000</wp:posOffset>
                </wp:positionH>
                <wp:positionV relativeFrom="paragraph">
                  <wp:posOffset>8343900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65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O0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MFMjtHgCAAD6BAAADgAA&#10;AAAAAAAAAAAAAAAuAgAAZHJzL2Uyb0RvYy54bWxQSwECLQAUAAYACAAAACEAOexVFN0AAAANAQAA&#10;DwAAAAAAAAAAAAAAAADSBAAAZHJzL2Rvd25yZXYueG1sUEsFBgAAAAAEAAQA8wAAANwFAAAAAA==&#10;" stroked="f"/>
            </w:pict>
          </mc:Fallback>
        </mc:AlternateContent>
      </w:r>
    </w:p>
    <w:p w:rsidR="000B4562" w:rsidRPr="000B4562" w:rsidRDefault="000B4562" w:rsidP="000B4562">
      <w:pPr>
        <w:widowControl w:val="0"/>
        <w:autoSpaceDE w:val="0"/>
        <w:autoSpaceDN w:val="0"/>
        <w:adjustRightInd w:val="0"/>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lang w:val="en-CA"/>
        </w:rPr>
        <w:fldChar w:fldCharType="begin"/>
      </w:r>
      <w:r w:rsidRPr="000B4562">
        <w:rPr>
          <w:rFonts w:ascii="Times New Roman" w:eastAsia="Times New Roman" w:hAnsi="Times New Roman" w:cs="Times New Roman"/>
          <w:sz w:val="24"/>
          <w:szCs w:val="24"/>
          <w:lang w:val="en-CA"/>
        </w:rPr>
        <w:instrText xml:space="preserve"> SEQ CHAPTER \h \r 1</w:instrText>
      </w:r>
      <w:r w:rsidRPr="000B4562">
        <w:rPr>
          <w:rFonts w:ascii="Times New Roman" w:eastAsia="Times New Roman" w:hAnsi="Times New Roman" w:cs="Times New Roman"/>
          <w:sz w:val="24"/>
          <w:szCs w:val="24"/>
          <w:lang w:val="en-CA"/>
        </w:rPr>
        <w:fldChar w:fldCharType="end"/>
      </w:r>
      <w:r w:rsidRPr="000B4562">
        <w:rPr>
          <w:rFonts w:ascii="Times New Roman" w:eastAsia="Times New Roman" w:hAnsi="Times New Roman" w:cs="Times New Roman"/>
          <w:sz w:val="24"/>
          <w:szCs w:val="24"/>
        </w:rPr>
        <w:fldChar w:fldCharType="begin"/>
      </w:r>
      <w:r w:rsidRPr="000B4562">
        <w:rPr>
          <w:rFonts w:ascii="Times New Roman" w:eastAsia="Times New Roman" w:hAnsi="Times New Roman" w:cs="Times New Roman"/>
          <w:sz w:val="24"/>
          <w:szCs w:val="24"/>
        </w:rPr>
        <w:instrText>TOC \f</w:instrText>
      </w:r>
      <w:r w:rsidRPr="000B4562">
        <w:rPr>
          <w:rFonts w:ascii="Times New Roman" w:eastAsia="Times New Roman" w:hAnsi="Times New Roman" w:cs="Times New Roman"/>
          <w:sz w:val="24"/>
          <w:szCs w:val="24"/>
        </w:rPr>
        <w:fldChar w:fldCharType="separate"/>
      </w:r>
      <w:r w:rsidRPr="000B4562">
        <w:rPr>
          <w:rFonts w:ascii="Times New Roman" w:eastAsia="Times New Roman" w:hAnsi="Times New Roman" w:cs="Times New Roman"/>
          <w:b/>
          <w:bCs/>
          <w:sz w:val="24"/>
          <w:szCs w:val="24"/>
        </w:rPr>
        <w:t>A.  Justification</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    Circumstances Making the Collection of Information Necessary</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2.    Purpose and Use of Information Collection</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3.    Use of Improved Information Technology and Burden Reduction</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4.    Efforts to Identify Duplication and Use of Similar Information</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5.    Impact on Small Businesses or Other Small Entities</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6.    Consequences of Collecting the Information Less Frequently</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7.    Special Circumstances Relating to the Guidelines of 5 CFR 1320.5</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8.    Comments in Response to the Federal Register Notice and Efforts to Consult Outside the Agency</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9.    Explanation of Any Payment or Gift to Respondents</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10.  Assurance of Confidentiality Provided to Respondents</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11.  Justification for Sensitive Questions</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12.  Estimates of Annualized Burden Hours and Costs</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13.  Estimates of Other Total Annual Cost Burden to Respondents or Record Keepers/Capital Costs</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14.  Annualized Cost to the Government</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15.  Explanation for Program Changes or Adjustments</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16.  Plans for Tabulation and Publication and Project Time Schedule</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17.  Reason(s) Display of OMB Expiration Date is Inappropriate</w:t>
      </w:r>
    </w:p>
    <w:p w:rsidR="000B4562" w:rsidRPr="000B4562" w:rsidRDefault="000B4562" w:rsidP="000B4562">
      <w:pPr>
        <w:widowControl w:val="0"/>
        <w:tabs>
          <w:tab w:val="right" w:leader="dot" w:pos="9360"/>
        </w:tabs>
        <w:autoSpaceDE w:val="0"/>
        <w:autoSpaceDN w:val="0"/>
        <w:adjustRightInd w:val="0"/>
        <w:spacing w:after="0" w:line="240" w:lineRule="auto"/>
        <w:ind w:left="1440" w:hanging="72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18.  Exceptions to Certification for Paperwork Reduction Act Submissions</w:t>
      </w:r>
    </w:p>
    <w:p w:rsidR="000B4562" w:rsidRPr="000B4562" w:rsidRDefault="000B4562" w:rsidP="000B4562">
      <w:pPr>
        <w:widowControl w:val="0"/>
        <w:autoSpaceDE w:val="0"/>
        <w:autoSpaceDN w:val="0"/>
        <w:adjustRightInd w:val="0"/>
        <w:spacing w:after="0" w:line="240" w:lineRule="auto"/>
        <w:rPr>
          <w:rFonts w:ascii="Times New Roman" w:eastAsia="Times New Roman" w:hAnsi="Times New Roman" w:cs="Times New Roman"/>
          <w:sz w:val="24"/>
          <w:szCs w:val="24"/>
        </w:rPr>
      </w:pPr>
    </w:p>
    <w:p w:rsidR="000B4562" w:rsidRPr="000B4562" w:rsidRDefault="000B4562" w:rsidP="000B4562">
      <w:pPr>
        <w:widowControl w:val="0"/>
        <w:tabs>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ab/>
      </w:r>
      <w:r w:rsidRPr="000B4562">
        <w:rPr>
          <w:rFonts w:ascii="Times New Roman" w:eastAsia="Times New Roman" w:hAnsi="Times New Roman" w:cs="Times New Roman"/>
          <w:sz w:val="24"/>
          <w:szCs w:val="24"/>
        </w:rPr>
        <w:fldChar w:fldCharType="end"/>
      </w:r>
    </w:p>
    <w:p w:rsidR="000B4562" w:rsidRPr="000B4562" w:rsidRDefault="000B4562" w:rsidP="000B4562">
      <w:pPr>
        <w:widowControl w:val="0"/>
        <w:tabs>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Attachments</w:t>
      </w:r>
    </w:p>
    <w:p w:rsidR="000B4562" w:rsidRPr="000B4562" w:rsidRDefault="000B4562" w:rsidP="000B4562">
      <w:pPr>
        <w:widowControl w:val="0"/>
        <w:tabs>
          <w:tab w:val="left" w:pos="720"/>
          <w:tab w:val="left" w:pos="1440"/>
          <w:tab w:val="left" w:pos="2160"/>
        </w:tabs>
        <w:autoSpaceDE w:val="0"/>
        <w:autoSpaceDN w:val="0"/>
        <w:adjustRightInd w:val="0"/>
        <w:spacing w:after="0" w:line="240" w:lineRule="auto"/>
        <w:ind w:left="2160" w:hanging="216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rPr>
        <w:t>Attachment 1</w:t>
      </w:r>
      <w:r w:rsidRPr="000B4562">
        <w:rPr>
          <w:rFonts w:ascii="Times New Roman" w:eastAsia="Times New Roman" w:hAnsi="Times New Roman" w:cs="Times New Roman"/>
          <w:sz w:val="24"/>
          <w:szCs w:val="24"/>
        </w:rPr>
        <w:tab/>
      </w:r>
      <w:r w:rsidRPr="000B4562">
        <w:rPr>
          <w:rFonts w:ascii="Times New Roman" w:eastAsia="Times New Roman" w:hAnsi="Times New Roman" w:cs="Times New Roman"/>
          <w:sz w:val="24"/>
          <w:szCs w:val="24"/>
        </w:rPr>
        <w:tab/>
      </w:r>
      <w:r w:rsidR="0065619E" w:rsidRPr="0065619E">
        <w:rPr>
          <w:rFonts w:ascii="Times New Roman" w:eastAsia="Times New Roman" w:hAnsi="Times New Roman" w:cs="Times New Roman"/>
          <w:sz w:val="24"/>
          <w:szCs w:val="24"/>
        </w:rPr>
        <w:t>Section 20(a)(1) Occupational Safety and Health Act of 1970</w:t>
      </w:r>
    </w:p>
    <w:p w:rsidR="000B4562" w:rsidRPr="000B4562" w:rsidRDefault="000B4562" w:rsidP="000B4562">
      <w:pPr>
        <w:autoSpaceDE w:val="0"/>
        <w:autoSpaceDN w:val="0"/>
        <w:adjustRightInd w:val="0"/>
        <w:spacing w:after="0" w:line="240" w:lineRule="auto"/>
        <w:ind w:left="2880" w:hanging="2160"/>
        <w:rPr>
          <w:rFonts w:ascii="Times New Roman" w:eastAsia="Times New Roman" w:hAnsi="Times New Roman" w:cs="Times New Roman"/>
          <w:bCs/>
          <w:sz w:val="24"/>
          <w:szCs w:val="24"/>
        </w:rPr>
      </w:pPr>
      <w:r>
        <w:rPr>
          <w:rFonts w:ascii="Times New Roman" w:eastAsia="Times New Roman" w:hAnsi="Times New Roman" w:cs="Times New Roman"/>
          <w:sz w:val="24"/>
          <w:szCs w:val="24"/>
        </w:rPr>
        <w:t>Attachment 2</w:t>
      </w:r>
      <w:r w:rsidRPr="000B4562">
        <w:rPr>
          <w:rFonts w:ascii="Times New Roman" w:eastAsia="Times New Roman" w:hAnsi="Times New Roman" w:cs="Times New Roman"/>
          <w:sz w:val="24"/>
          <w:szCs w:val="24"/>
        </w:rPr>
        <w:tab/>
      </w:r>
      <w:r>
        <w:rPr>
          <w:rFonts w:ascii="Times New Roman" w:eastAsia="Times New Roman" w:hAnsi="Times New Roman" w:cs="Times New Roman"/>
          <w:bCs/>
          <w:sz w:val="24"/>
          <w:szCs w:val="24"/>
        </w:rPr>
        <w:t>60-day Federal Register Notice</w:t>
      </w:r>
    </w:p>
    <w:p w:rsidR="000B4562" w:rsidRPr="000B4562" w:rsidRDefault="000B4562" w:rsidP="000B4562">
      <w:pPr>
        <w:widowControl w:val="0"/>
        <w:tabs>
          <w:tab w:val="left" w:pos="720"/>
          <w:tab w:val="left" w:pos="1440"/>
          <w:tab w:val="left" w:pos="2160"/>
        </w:tabs>
        <w:autoSpaceDE w:val="0"/>
        <w:autoSpaceDN w:val="0"/>
        <w:adjustRightInd w:val="0"/>
        <w:spacing w:after="0" w:line="240" w:lineRule="auto"/>
        <w:ind w:left="2160" w:hanging="2160"/>
        <w:rPr>
          <w:rFonts w:ascii="Times New Roman" w:eastAsia="Times New Roman" w:hAnsi="Times New Roman" w:cs="Times New Roman"/>
          <w:sz w:val="24"/>
          <w:szCs w:val="24"/>
          <w:lang w:bidi="en-US"/>
        </w:rPr>
      </w:pP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rPr>
        <w:t>Attachment 3</w:t>
      </w: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NIOSH Statement on Commercial Fishing Vessel Safety</w:t>
      </w:r>
    </w:p>
    <w:p w:rsidR="000B4562" w:rsidRPr="000B4562" w:rsidRDefault="000B4562" w:rsidP="000B4562">
      <w:pPr>
        <w:widowControl w:val="0"/>
        <w:tabs>
          <w:tab w:val="left" w:pos="720"/>
          <w:tab w:val="left" w:pos="1440"/>
          <w:tab w:val="left" w:pos="2160"/>
        </w:tabs>
        <w:autoSpaceDE w:val="0"/>
        <w:autoSpaceDN w:val="0"/>
        <w:adjustRightInd w:val="0"/>
        <w:spacing w:after="0" w:line="240" w:lineRule="auto"/>
        <w:ind w:left="2160" w:hanging="2160"/>
        <w:rPr>
          <w:rFonts w:ascii="Times New Roman" w:eastAsia="Times New Roman" w:hAnsi="Times New Roman" w:cs="Times New Roman"/>
          <w:sz w:val="24"/>
          <w:szCs w:val="24"/>
          <w:lang w:bidi="en-US"/>
        </w:rPr>
      </w:pPr>
      <w:r w:rsidRPr="000B4562">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Attachment 4</w:t>
      </w:r>
      <w:r w:rsidRPr="000B4562">
        <w:rPr>
          <w:rFonts w:ascii="Times New Roman" w:eastAsia="Times New Roman" w:hAnsi="Times New Roman" w:cs="Times New Roman"/>
          <w:sz w:val="24"/>
          <w:szCs w:val="24"/>
          <w:lang w:bidi="en-US"/>
        </w:rPr>
        <w:tab/>
      </w:r>
      <w:r w:rsidRPr="000B4562">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 xml:space="preserve">Public Comments and Responses to 60-day FRN </w:t>
      </w:r>
    </w:p>
    <w:p w:rsidR="000B4562" w:rsidRPr="000B4562" w:rsidRDefault="000B4562" w:rsidP="000B4562">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rPr>
        <w:t>Attachment 5</w:t>
      </w:r>
      <w:r w:rsidRPr="000B4562">
        <w:rPr>
          <w:rFonts w:ascii="Times New Roman" w:eastAsia="Times New Roman" w:hAnsi="Times New Roman" w:cs="Times New Roman"/>
          <w:sz w:val="24"/>
          <w:szCs w:val="24"/>
        </w:rPr>
        <w:tab/>
      </w: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lang w:bidi="en-US"/>
        </w:rPr>
        <w:t>Informed Consent</w:t>
      </w:r>
    </w:p>
    <w:p w:rsidR="000B4562" w:rsidRPr="000B4562" w:rsidRDefault="000B4562" w:rsidP="000B4562">
      <w:pPr>
        <w:widowControl w:val="0"/>
        <w:autoSpaceDE w:val="0"/>
        <w:autoSpaceDN w:val="0"/>
        <w:adjustRightInd w:val="0"/>
        <w:spacing w:after="0" w:line="240" w:lineRule="auto"/>
        <w:rPr>
          <w:rFonts w:ascii="Times New Roman" w:eastAsia="Times New Roman" w:hAnsi="Times New Roman" w:cs="Times New Roman"/>
          <w:sz w:val="24"/>
          <w:szCs w:val="24"/>
          <w:lang w:bidi="en-US"/>
        </w:rPr>
      </w:pPr>
      <w:r w:rsidRPr="000B4562">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Attachment 6</w:t>
      </w:r>
      <w:r>
        <w:rPr>
          <w:rFonts w:ascii="Times New Roman" w:eastAsia="Times New Roman" w:hAnsi="Times New Roman" w:cs="Times New Roman"/>
          <w:sz w:val="24"/>
          <w:szCs w:val="24"/>
          <w:lang w:bidi="en-US"/>
        </w:rPr>
        <w:tab/>
      </w:r>
      <w:r>
        <w:rPr>
          <w:rFonts w:ascii="Times New Roman" w:eastAsia="Times New Roman" w:hAnsi="Times New Roman" w:cs="Times New Roman"/>
          <w:sz w:val="24"/>
          <w:szCs w:val="24"/>
          <w:lang w:bidi="en-US"/>
        </w:rPr>
        <w:tab/>
        <w:t>Survey Instrument</w:t>
      </w:r>
    </w:p>
    <w:p w:rsidR="000B4562" w:rsidRPr="000B4562" w:rsidRDefault="000B4562" w:rsidP="000B4562">
      <w:pPr>
        <w:widowControl w:val="0"/>
        <w:tabs>
          <w:tab w:val="left" w:pos="720"/>
          <w:tab w:val="left" w:pos="1440"/>
          <w:tab w:val="left" w:pos="2160"/>
        </w:tabs>
        <w:autoSpaceDE w:val="0"/>
        <w:autoSpaceDN w:val="0"/>
        <w:adjustRightInd w:val="0"/>
        <w:spacing w:after="0" w:line="240" w:lineRule="auto"/>
        <w:ind w:left="2160" w:hanging="216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rPr>
        <w:t>Attachment 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HSRB</w:t>
      </w:r>
    </w:p>
    <w:p w:rsidR="000B4562" w:rsidRPr="000B4562" w:rsidRDefault="000B4562" w:rsidP="000B4562">
      <w:pPr>
        <w:widowControl w:val="0"/>
        <w:tabs>
          <w:tab w:val="left" w:pos="720"/>
          <w:tab w:val="left" w:pos="1440"/>
          <w:tab w:val="left" w:pos="2160"/>
        </w:tabs>
        <w:autoSpaceDE w:val="0"/>
        <w:autoSpaceDN w:val="0"/>
        <w:adjustRightInd w:val="0"/>
        <w:spacing w:after="0" w:line="240" w:lineRule="auto"/>
        <w:ind w:left="2160" w:hanging="216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rPr>
        <w:t>Attachment 8</w:t>
      </w:r>
      <w:r w:rsidRPr="000B4562">
        <w:rPr>
          <w:rFonts w:ascii="Times New Roman" w:eastAsia="Times New Roman" w:hAnsi="Times New Roman" w:cs="Times New Roman"/>
          <w:sz w:val="24"/>
          <w:szCs w:val="24"/>
        </w:rPr>
        <w:tab/>
      </w:r>
      <w:r w:rsidRPr="000B4562">
        <w:rPr>
          <w:rFonts w:ascii="Times New Roman" w:eastAsia="Times New Roman" w:hAnsi="Times New Roman" w:cs="Times New Roman"/>
          <w:sz w:val="24"/>
          <w:szCs w:val="24"/>
        </w:rPr>
        <w:tab/>
      </w:r>
      <w:r>
        <w:rPr>
          <w:rFonts w:ascii="Times New Roman" w:eastAsia="Times New Roman" w:hAnsi="Times New Roman" w:cs="Times New Roman"/>
          <w:sz w:val="24"/>
          <w:szCs w:val="24"/>
        </w:rPr>
        <w:t>Peer Review Comments and Responses</w:t>
      </w:r>
    </w:p>
    <w:p w:rsidR="000B4562" w:rsidRPr="000B4562" w:rsidRDefault="000B4562" w:rsidP="000B4562">
      <w:pPr>
        <w:widowControl w:val="0"/>
        <w:tabs>
          <w:tab w:val="left" w:pos="720"/>
          <w:tab w:val="left" w:pos="1440"/>
          <w:tab w:val="left" w:pos="2160"/>
        </w:tabs>
        <w:autoSpaceDE w:val="0"/>
        <w:autoSpaceDN w:val="0"/>
        <w:adjustRightInd w:val="0"/>
        <w:spacing w:after="0" w:line="240" w:lineRule="auto"/>
        <w:ind w:left="2160" w:hanging="2160"/>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 xml:space="preserve"> </w:t>
      </w:r>
    </w:p>
    <w:p w:rsidR="000B4562" w:rsidRPr="000B4562" w:rsidRDefault="000B4562" w:rsidP="000B4562">
      <w:pPr>
        <w:spacing w:after="0" w:line="240" w:lineRule="auto"/>
        <w:rPr>
          <w:rFonts w:ascii="Times New Roman" w:eastAsia="Times New Roman" w:hAnsi="Times New Roman" w:cs="Times New Roman"/>
          <w:sz w:val="28"/>
          <w:szCs w:val="28"/>
        </w:rPr>
      </w:pPr>
    </w:p>
    <w:p w:rsidR="000B4562" w:rsidRDefault="000B4562"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65619E" w:rsidRDefault="0065619E" w:rsidP="007170BF">
      <w:pPr>
        <w:spacing w:after="0" w:line="240" w:lineRule="auto"/>
        <w:jc w:val="center"/>
        <w:rPr>
          <w:rFonts w:ascii="Times New Roman" w:eastAsia="Times New Roman" w:hAnsi="Times New Roman" w:cs="Times New Roman"/>
          <w:b/>
          <w:sz w:val="28"/>
          <w:szCs w:val="28"/>
        </w:rPr>
      </w:pPr>
    </w:p>
    <w:p w:rsidR="000B4562" w:rsidRDefault="000B4562" w:rsidP="007170BF">
      <w:pPr>
        <w:spacing w:after="0" w:line="240" w:lineRule="auto"/>
        <w:jc w:val="center"/>
        <w:rPr>
          <w:rFonts w:ascii="Times New Roman" w:eastAsia="Times New Roman" w:hAnsi="Times New Roman" w:cs="Times New Roman"/>
          <w:b/>
          <w:sz w:val="28"/>
          <w:szCs w:val="28"/>
        </w:rPr>
      </w:pPr>
    </w:p>
    <w:p w:rsidR="00340CF7" w:rsidRPr="00340CF7" w:rsidRDefault="00340CF7" w:rsidP="007170BF">
      <w:pPr>
        <w:spacing w:after="0" w:line="240" w:lineRule="auto"/>
        <w:jc w:val="center"/>
        <w:rPr>
          <w:rFonts w:ascii="Times New Roman" w:eastAsia="Times New Roman" w:hAnsi="Times New Roman" w:cs="Times New Roman"/>
          <w:b/>
          <w:sz w:val="28"/>
          <w:szCs w:val="28"/>
        </w:rPr>
      </w:pPr>
      <w:r w:rsidRPr="00340CF7">
        <w:rPr>
          <w:rFonts w:ascii="Times New Roman" w:eastAsia="Times New Roman" w:hAnsi="Times New Roman" w:cs="Times New Roman"/>
          <w:b/>
          <w:sz w:val="28"/>
          <w:szCs w:val="28"/>
        </w:rPr>
        <w:t>SUPPORTING STATEMENT FOR REQUEST FOR OMB APPROVAL</w:t>
      </w:r>
    </w:p>
    <w:p w:rsidR="00340CF7" w:rsidRPr="00340CF7" w:rsidRDefault="00340CF7" w:rsidP="00340CF7">
      <w:pPr>
        <w:spacing w:after="0" w:line="240" w:lineRule="auto"/>
        <w:rPr>
          <w:rFonts w:ascii="Times New Roman" w:eastAsia="Times New Roman" w:hAnsi="Times New Roman" w:cs="Times New Roman"/>
          <w:b/>
          <w:sz w:val="28"/>
          <w:szCs w:val="28"/>
        </w:rPr>
      </w:pPr>
    </w:p>
    <w:p w:rsidR="00340CF7" w:rsidRPr="00340CF7" w:rsidRDefault="00340CF7" w:rsidP="00340CF7">
      <w:pPr>
        <w:spacing w:after="0" w:line="240" w:lineRule="auto"/>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 xml:space="preserve">A.  </w:t>
      </w:r>
      <w:r w:rsidRPr="00A3720C">
        <w:rPr>
          <w:rFonts w:ascii="Times New Roman" w:eastAsia="Times New Roman" w:hAnsi="Times New Roman" w:cs="Times New Roman"/>
          <w:b/>
          <w:sz w:val="24"/>
          <w:szCs w:val="24"/>
          <w:u w:val="single"/>
        </w:rPr>
        <w:t>JUSTIFICATION</w:t>
      </w:r>
    </w:p>
    <w:p w:rsidR="00A3720C" w:rsidRPr="00A3720C" w:rsidRDefault="00A3720C" w:rsidP="00A3720C">
      <w:pPr>
        <w:spacing w:after="0" w:line="240" w:lineRule="auto"/>
        <w:rPr>
          <w:rFonts w:ascii="Times New Roman" w:eastAsia="Times New Roman" w:hAnsi="Times New Roman" w:cs="Times New Roman"/>
          <w:sz w:val="24"/>
          <w:szCs w:val="24"/>
        </w:rPr>
      </w:pPr>
    </w:p>
    <w:p w:rsidR="00340CF7" w:rsidRPr="00A3720C" w:rsidRDefault="00A3720C" w:rsidP="00A3720C">
      <w:pPr>
        <w:spacing w:after="0" w:line="240" w:lineRule="auto"/>
        <w:rPr>
          <w:rFonts w:ascii="Times New Roman" w:eastAsia="Times New Roman" w:hAnsi="Times New Roman" w:cs="Times New Roman"/>
          <w:b/>
          <w:sz w:val="24"/>
          <w:szCs w:val="24"/>
        </w:rPr>
      </w:pPr>
      <w:r w:rsidRPr="00A3720C">
        <w:rPr>
          <w:rFonts w:ascii="Times New Roman" w:eastAsia="Times New Roman" w:hAnsi="Times New Roman" w:cs="Times New Roman"/>
          <w:b/>
          <w:sz w:val="24"/>
          <w:szCs w:val="24"/>
        </w:rPr>
        <w:t>1.  Circumstances Making the Collection of Information Necessary</w:t>
      </w:r>
    </w:p>
    <w:p w:rsidR="00A3720C" w:rsidRPr="00340CF7" w:rsidRDefault="00A3720C" w:rsidP="00A3720C">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This</w:t>
      </w:r>
      <w:r w:rsidR="00A3720C">
        <w:rPr>
          <w:rFonts w:ascii="Times New Roman" w:eastAsia="Times New Roman" w:hAnsi="Times New Roman" w:cs="Times New Roman"/>
          <w:sz w:val="24"/>
          <w:szCs w:val="24"/>
        </w:rPr>
        <w:t xml:space="preserve"> Information Collection Request (ICR)</w:t>
      </w:r>
      <w:r w:rsidRPr="00340CF7">
        <w:rPr>
          <w:rFonts w:ascii="Times New Roman" w:eastAsia="Times New Roman" w:hAnsi="Times New Roman" w:cs="Times New Roman"/>
          <w:sz w:val="24"/>
          <w:szCs w:val="24"/>
        </w:rPr>
        <w:t xml:space="preserve"> is a reinstatement</w:t>
      </w:r>
      <w:r w:rsidR="00A3720C">
        <w:rPr>
          <w:rFonts w:ascii="Times New Roman" w:eastAsia="Times New Roman" w:hAnsi="Times New Roman" w:cs="Times New Roman"/>
          <w:sz w:val="24"/>
          <w:szCs w:val="24"/>
        </w:rPr>
        <w:t xml:space="preserve"> with changes requesting two</w:t>
      </w:r>
      <w:r w:rsidRPr="00340CF7">
        <w:rPr>
          <w:rFonts w:ascii="Times New Roman" w:eastAsia="Times New Roman" w:hAnsi="Times New Roman" w:cs="Times New Roman"/>
          <w:sz w:val="24"/>
          <w:szCs w:val="24"/>
        </w:rPr>
        <w:t xml:space="preserve"> years of OMB approval to follow up Personal Flotation Devices (PFDs) and Commercial Fishermen: Preconceptions and Evaluations in Actual Use </w:t>
      </w:r>
      <w:r w:rsidR="00A3720C">
        <w:rPr>
          <w:rFonts w:ascii="Times New Roman" w:eastAsia="Times New Roman" w:hAnsi="Times New Roman" w:cs="Times New Roman"/>
          <w:sz w:val="24"/>
          <w:szCs w:val="24"/>
        </w:rPr>
        <w:t>(</w:t>
      </w:r>
      <w:r w:rsidR="00A3720C" w:rsidRPr="00A3720C">
        <w:rPr>
          <w:rFonts w:ascii="Times New Roman" w:eastAsia="Times New Roman" w:hAnsi="Times New Roman" w:cs="Times New Roman"/>
          <w:sz w:val="24"/>
          <w:szCs w:val="24"/>
        </w:rPr>
        <w:t>OMB# 0920-07</w:t>
      </w:r>
      <w:r w:rsidR="00A3720C">
        <w:rPr>
          <w:rFonts w:ascii="Times New Roman" w:eastAsia="Times New Roman" w:hAnsi="Times New Roman" w:cs="Times New Roman"/>
          <w:sz w:val="24"/>
          <w:szCs w:val="24"/>
        </w:rPr>
        <w:t>87, expiration date: 08/31/2010)</w:t>
      </w:r>
      <w:r w:rsidRPr="00340CF7">
        <w:rPr>
          <w:rFonts w:ascii="Times New Roman" w:eastAsia="Times New Roman" w:hAnsi="Times New Roman" w:cs="Times New Roman"/>
          <w:sz w:val="24"/>
          <w:szCs w:val="24"/>
        </w:rPr>
        <w:t xml:space="preserve">.  </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0B4562" w:rsidP="00340C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National Institute for Occupational Safety and Health (</w:t>
      </w:r>
      <w:r w:rsidR="00A3720C" w:rsidRPr="00A3720C">
        <w:rPr>
          <w:rFonts w:ascii="Times New Roman" w:eastAsia="Times New Roman" w:hAnsi="Times New Roman" w:cs="Times New Roman"/>
          <w:sz w:val="24"/>
          <w:szCs w:val="24"/>
        </w:rPr>
        <w:t>NIOSH</w:t>
      </w:r>
      <w:r>
        <w:rPr>
          <w:rFonts w:ascii="Times New Roman" w:eastAsia="Times New Roman" w:hAnsi="Times New Roman" w:cs="Times New Roman"/>
          <w:sz w:val="24"/>
          <w:szCs w:val="24"/>
        </w:rPr>
        <w:t>)</w:t>
      </w:r>
      <w:r w:rsidR="00A3720C" w:rsidRPr="00A3720C">
        <w:rPr>
          <w:rFonts w:ascii="Times New Roman" w:eastAsia="Times New Roman" w:hAnsi="Times New Roman" w:cs="Times New Roman"/>
          <w:sz w:val="24"/>
          <w:szCs w:val="24"/>
        </w:rPr>
        <w:t xml:space="preserve"> has the responsibility under P.L. 91-596 Section 20 (Attachment 1: Section 20(a)(1) Occupational Safety and Health Act of 1970) to conduct research relating to innovative methods, techniques, and approaches for dealing with occupational safety and health problems.  The NIOSH Alaska Pacific Office is a leader in commercial fishing safety research in Alaska and has received project funds from the National Occupational Research Agenda (NORA) to expand the research program to other fishing regions in the US.</w:t>
      </w:r>
    </w:p>
    <w:p w:rsidR="00340CF7" w:rsidRPr="00340CF7" w:rsidRDefault="00340CF7" w:rsidP="00340CF7">
      <w:pPr>
        <w:spacing w:after="0" w:line="240" w:lineRule="auto"/>
        <w:rPr>
          <w:rFonts w:ascii="Times New Roman" w:eastAsia="Times New Roman" w:hAnsi="Times New Roman" w:cs="Times New Roman"/>
          <w:b/>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This research fits into CDC’s broader research agenda by contributing to the following CDC Health Protection Goal: </w:t>
      </w:r>
      <w:r w:rsidRPr="00340CF7">
        <w:rPr>
          <w:rFonts w:ascii="Times New Roman" w:eastAsia="Times New Roman" w:hAnsi="Times New Roman" w:cs="Times New Roman"/>
          <w:bCs/>
          <w:sz w:val="24"/>
          <w:szCs w:val="24"/>
        </w:rPr>
        <w:t>Healthy Workplaces:</w:t>
      </w:r>
      <w:r w:rsidRPr="00340CF7">
        <w:rPr>
          <w:rFonts w:ascii="Times New Roman" w:eastAsia="Times New Roman" w:hAnsi="Times New Roman" w:cs="Times New Roman"/>
          <w:b/>
          <w:bCs/>
          <w:sz w:val="24"/>
          <w:szCs w:val="24"/>
        </w:rPr>
        <w:t xml:space="preserve"> </w:t>
      </w:r>
      <w:r w:rsidRPr="00340CF7">
        <w:rPr>
          <w:rFonts w:ascii="Times New Roman" w:eastAsia="Times New Roman" w:hAnsi="Times New Roman" w:cs="Times New Roman"/>
          <w:sz w:val="24"/>
          <w:szCs w:val="24"/>
        </w:rPr>
        <w:t>Promote and protect the health and safety of people who work by preventing workplace-related fatalities, illnesses, injuries, and personal health risks.</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Commercial fishing is the most dangerous occupation in the United States, with a fatality rate of 127 per 100,000 fishermen in 2011, over 30 times higher than the national average for all workers (BLS, 2011).  Drowning due to vessels sinking and falls overboard is the leading cause of death for commercial fishermen.  Drowning prevention is one of the highest priorities for those who work to make the industry safer.  Preventing fishermen from entering the water is the surest way of reducing the number of drowning fatalities, but given the nature of commercial fishing, this may not always be possible.  When immersion does occur, personal flotation devices (PFDs) can increase the chance that the fisherman will survive.</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Although the risk of drowning for commercial fishermen is high, most fishermen do not wear PFDs while on deck.  From 1990 to 2005 in Alaska, 71 commercial fishermen drowned after falling overboard (Lucas and Lincoln, 2007).  None of the victims were wearing a PFD, and sadly, many were within minutes of being rescued when they lost their strength, sank and drowned.  </w:t>
      </w:r>
      <w:r w:rsidR="000307BE">
        <w:rPr>
          <w:rFonts w:ascii="Times New Roman" w:eastAsia="Times New Roman" w:hAnsi="Times New Roman" w:cs="Times New Roman"/>
          <w:sz w:val="24"/>
          <w:szCs w:val="24"/>
        </w:rPr>
        <w:t>Man of th</w:t>
      </w:r>
      <w:r w:rsidRPr="00340CF7">
        <w:rPr>
          <w:rFonts w:ascii="Times New Roman" w:eastAsia="Times New Roman" w:hAnsi="Times New Roman" w:cs="Times New Roman"/>
          <w:sz w:val="24"/>
          <w:szCs w:val="24"/>
        </w:rPr>
        <w:t>ose deaths could have clearly been prevented if the victims had been wearing a PFD.</w:t>
      </w:r>
      <w:r w:rsidR="000307BE">
        <w:rPr>
          <w:rFonts w:ascii="Times New Roman" w:eastAsia="Times New Roman" w:hAnsi="Times New Roman" w:cs="Times New Roman"/>
          <w:sz w:val="24"/>
          <w:szCs w:val="24"/>
        </w:rPr>
        <w:t xml:space="preserve">  According to the most recently reported mortality statistics, among the </w:t>
      </w:r>
      <w:r w:rsidRPr="00340CF7">
        <w:rPr>
          <w:rFonts w:ascii="Times New Roman" w:eastAsia="Times New Roman" w:hAnsi="Times New Roman" w:cs="Times New Roman"/>
          <w:sz w:val="24"/>
          <w:szCs w:val="24"/>
        </w:rPr>
        <w:t xml:space="preserve">191 </w:t>
      </w:r>
      <w:r w:rsidR="000307BE">
        <w:rPr>
          <w:rFonts w:ascii="Times New Roman" w:eastAsia="Times New Roman" w:hAnsi="Times New Roman" w:cs="Times New Roman"/>
          <w:sz w:val="24"/>
          <w:szCs w:val="24"/>
        </w:rPr>
        <w:t xml:space="preserve">U.S. commercial </w:t>
      </w:r>
      <w:r w:rsidRPr="00340CF7">
        <w:rPr>
          <w:rFonts w:ascii="Times New Roman" w:eastAsia="Times New Roman" w:hAnsi="Times New Roman" w:cs="Times New Roman"/>
          <w:sz w:val="24"/>
          <w:szCs w:val="24"/>
        </w:rPr>
        <w:t xml:space="preserve">fishermen </w:t>
      </w:r>
      <w:r w:rsidR="000307BE">
        <w:rPr>
          <w:rFonts w:ascii="Times New Roman" w:eastAsia="Times New Roman" w:hAnsi="Times New Roman" w:cs="Times New Roman"/>
          <w:sz w:val="24"/>
          <w:szCs w:val="24"/>
        </w:rPr>
        <w:t xml:space="preserve">who </w:t>
      </w:r>
      <w:r w:rsidRPr="00340CF7">
        <w:rPr>
          <w:rFonts w:ascii="Times New Roman" w:eastAsia="Times New Roman" w:hAnsi="Times New Roman" w:cs="Times New Roman"/>
          <w:sz w:val="24"/>
          <w:szCs w:val="24"/>
        </w:rPr>
        <w:t>drowned a</w:t>
      </w:r>
      <w:r w:rsidR="000307BE">
        <w:rPr>
          <w:rFonts w:ascii="Times New Roman" w:eastAsia="Times New Roman" w:hAnsi="Times New Roman" w:cs="Times New Roman"/>
          <w:sz w:val="24"/>
          <w:szCs w:val="24"/>
        </w:rPr>
        <w:t xml:space="preserve">s a result of falling overboard between 2000 and 2012 only one was wearing a life jacket </w:t>
      </w:r>
      <w:r w:rsidRPr="00340CF7">
        <w:rPr>
          <w:rFonts w:ascii="Times New Roman" w:eastAsia="Times New Roman" w:hAnsi="Times New Roman" w:cs="Times New Roman"/>
          <w:sz w:val="24"/>
          <w:szCs w:val="24"/>
        </w:rPr>
        <w:t>(NIOSH, 2013).</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There is an urgent need to increase PFD usage among commercial fishermen.  A study of commercial fishing fatalities in Alaska found that from 1990 to 2005, the number of fatal falls overboard did not show a decreasing trend, despite major decreases in other types of fishing fatalities (Lucas and Lincoln, 2007).  Anecdotal evidence from fishermen and marine safety </w:t>
      </w:r>
      <w:r w:rsidRPr="00340CF7">
        <w:rPr>
          <w:rFonts w:ascii="Times New Roman" w:eastAsia="Times New Roman" w:hAnsi="Times New Roman" w:cs="Times New Roman"/>
          <w:sz w:val="24"/>
          <w:szCs w:val="24"/>
        </w:rPr>
        <w:lastRenderedPageBreak/>
        <w:t xml:space="preserve">experts show that some of the most common objections among fishermen to wearing PFDs are that they are bulky, heavy, hot, and generally uncomfortable.  Fishermen have also expressed concerns that PFDs create an entanglement hazard.  Those arguments may have some merit; however, many new types and styles of PFDs have become available that appear to have overcome these complaints; but it is unknown how many commercial fishermen are aware of them, or if they are in fact more comfortable and wearable than the older styles.  </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Safety in the fishing industry has been a priority for Congress for many years.  Congress intervened to improve safety in the fishing industry in 1988 when the Commercial Fishing Industry Vessel Safety Act was passed into law (CFIVSA, P.L. 100-424).  More recently (April 25, 2007) the House Committee on Transportation and Infrastructure, Subcommittee on Coast Guard and Marine Transportation held a hearing on commercial fishing vessel safety to address the persistent safety problems in the industry.  The National Institute for Occupational Safety and Health (NIOSH) offered testimony at the hearing to describe the progress made in Alaska to improve safety in the fishing fleet, and to share how improvements implemented there could benefit other fishing regions of the United </w:t>
      </w:r>
      <w:r w:rsidR="002D7E83">
        <w:rPr>
          <w:rFonts w:ascii="Times New Roman" w:eastAsia="Times New Roman" w:hAnsi="Times New Roman" w:cs="Times New Roman"/>
          <w:sz w:val="24"/>
          <w:szCs w:val="24"/>
        </w:rPr>
        <w:t xml:space="preserve">States (Attachment </w:t>
      </w:r>
      <w:r w:rsidR="000B4562">
        <w:rPr>
          <w:rFonts w:ascii="Times New Roman" w:eastAsia="Times New Roman" w:hAnsi="Times New Roman" w:cs="Times New Roman"/>
          <w:sz w:val="24"/>
          <w:szCs w:val="24"/>
        </w:rPr>
        <w:t>3</w:t>
      </w:r>
      <w:r w:rsidRPr="00340CF7">
        <w:rPr>
          <w:rFonts w:ascii="Times New Roman" w:eastAsia="Times New Roman" w:hAnsi="Times New Roman" w:cs="Times New Roman"/>
          <w:sz w:val="24"/>
          <w:szCs w:val="24"/>
        </w:rPr>
        <w:t xml:space="preserve">: </w:t>
      </w:r>
      <w:r w:rsidR="000B4562" w:rsidRPr="000B4562">
        <w:rPr>
          <w:rFonts w:ascii="Times New Roman" w:eastAsia="Times New Roman" w:hAnsi="Times New Roman" w:cs="Times New Roman"/>
          <w:sz w:val="24"/>
          <w:szCs w:val="24"/>
        </w:rPr>
        <w:t>NIOSH Statement on Commercial Fishing Vessel Safety</w:t>
      </w:r>
      <w:r w:rsidRPr="00340CF7">
        <w:rPr>
          <w:rFonts w:ascii="Times New Roman" w:eastAsia="Times New Roman" w:hAnsi="Times New Roman" w:cs="Times New Roman"/>
          <w:sz w:val="24"/>
          <w:szCs w:val="24"/>
        </w:rPr>
        <w:t>).  The testimony emphasized the problem of falls overboard and identified PFD use as one of the most important areas to focus prevention activities.</w:t>
      </w:r>
    </w:p>
    <w:p w:rsidR="00340CF7" w:rsidRPr="00340CF7" w:rsidRDefault="00340CF7" w:rsidP="00340CF7">
      <w:pPr>
        <w:spacing w:after="0" w:line="240" w:lineRule="auto"/>
        <w:rPr>
          <w:rFonts w:ascii="Times New Roman" w:eastAsia="Times New Roman" w:hAnsi="Times New Roman" w:cs="Times New Roman"/>
          <w:color w:val="FF0000"/>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NIOSH designed a research project to address this need.  In 2008, NIOSH requested and received OMB approval to begin information collection for a project entitled, </w:t>
      </w:r>
      <w:r w:rsidRPr="00340CF7">
        <w:rPr>
          <w:rFonts w:ascii="Times New Roman" w:eastAsia="Times New Roman" w:hAnsi="Times New Roman" w:cs="Times New Roman"/>
          <w:i/>
          <w:sz w:val="24"/>
          <w:szCs w:val="24"/>
        </w:rPr>
        <w:t>Personal Flotation Devices (PFDs) and Commercial Fishermen: Preconceptions and Evaluations in Actual Use</w:t>
      </w:r>
      <w:r w:rsidRPr="00340CF7">
        <w:rPr>
          <w:rFonts w:ascii="Times New Roman" w:eastAsia="Times New Roman" w:hAnsi="Times New Roman" w:cs="Times New Roman"/>
          <w:sz w:val="24"/>
          <w:szCs w:val="24"/>
        </w:rPr>
        <w:t xml:space="preserve"> [OMB No: 0920-0787, Exp Date: 08/31/2010].  Phase 1 of the original data collection implemented a cross-sectional survey to establish a baseline understanding of perceptions of the risk of falling overboard, safety attitudes, beliefs about PFDs, use of PFDs, and experiences with falls overboard among fishermen working in Southwest and South Central Alaska fisheries.  Phase 2 assessed satisfaction with specific PFD types among a subset of the previously surveyed fishermen.  NIOSH used this baseline understanding and knowledge of satisfactory PFD designs to develop an intensive risk communication strategy to raise awareness to newer (potentially more satisfactory) PFD models, address barriers, and to encourage increased PFD use among fishermen working in Alaska.  The results of the initial data collection have been reported in the scientific literature (Lucas, et. al 2012; Lucas et. al 2013; NIOSH, 2012a-e).</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As this initial baseline was gathered in 2008-2009, a follow up assessment is needed to determine if fishermen’s perceptions, beliefs, and use of PFDs have changed or remained the same over time.  Furthermore, it is essential to evaluate the effectiveness and potential impact of ongoing communication efforts and to inform future NIOSH risk communication efforts.</w:t>
      </w:r>
    </w:p>
    <w:p w:rsidR="000B4562" w:rsidRDefault="000B4562" w:rsidP="00340CF7">
      <w:pPr>
        <w:spacing w:after="0" w:line="240" w:lineRule="auto"/>
        <w:rPr>
          <w:rFonts w:ascii="Times New Roman" w:eastAsia="Times New Roman" w:hAnsi="Times New Roman" w:cs="Times New Roman"/>
          <w:sz w:val="24"/>
          <w:szCs w:val="24"/>
        </w:rPr>
      </w:pPr>
    </w:p>
    <w:p w:rsidR="000B4562" w:rsidRPr="000B4562" w:rsidRDefault="000B4562" w:rsidP="000B4562">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 xml:space="preserve">In Phase 1 of the original protocol, the Fishing for Facts: Survey of Fishermen’s Opinions about the Risks of Falls Overboard and PFDs, conducted during 2008-2009, provided baseline information on fishermen’s perceptions of the risk of falling overboard, safety attitudes, beliefs about PFDs, PFD use, and experiences with falls overboard among fishermen working in Southwest and South Central Alaskan fisheries.  In Phase 2, an evaluation of specific PFD types in actual use was conducted to determine fishermen’s likes and dislikes regarding contemporary PFD styles.  Through this initial work, NIOSH gained a baseline understanding of potential determinants for PFD use and determined the availability of satisfactory PFD styles for a variety </w:t>
      </w:r>
      <w:r w:rsidRPr="000B4562">
        <w:rPr>
          <w:rFonts w:ascii="Times New Roman" w:eastAsia="Times New Roman" w:hAnsi="Times New Roman" w:cs="Times New Roman"/>
          <w:sz w:val="24"/>
          <w:szCs w:val="24"/>
        </w:rPr>
        <w:lastRenderedPageBreak/>
        <w:t xml:space="preserve">of fishing gear types.  Based on these results, NIOSH was equipped to develop several evidence-based communication products intended to raise awareness of the newer and more satisfactory models of PFDs as well as to address barriers to PFD use with the continued goal of increasing PFD use among commercial fishermen.  The current information collection request seeks to reinstate survey data collection to reassess population-wide perceptions of the risk of falling overboard, safety attitudes, beliefs about PFDs, use of PFDs, and experiences with falls overboard as well as potential exposure to and influence of NIOSH risk communication interventions among fishermen working Alaskan fisheries.  Continued monitoring of shifts or persistence in fishermen’s perceptions and beliefs will not only provide key information to evaluate the effectiveness of ongoing communication efforts, but also provide a measure of progress toward the goal of increased PFD use among commercial fishermen. As with the original data collection, this proposed data collection directly addresses the repeated recommendation by NIOSH that all commercial fishermen wear PFDs while on deck (NIOSH, 1994; 1997; 2002). </w:t>
      </w:r>
    </w:p>
    <w:p w:rsidR="000B4562" w:rsidRPr="000B4562" w:rsidRDefault="000B4562" w:rsidP="000B4562">
      <w:pPr>
        <w:spacing w:after="0" w:line="240" w:lineRule="auto"/>
        <w:rPr>
          <w:rFonts w:ascii="Times New Roman" w:eastAsia="Times New Roman" w:hAnsi="Times New Roman" w:cs="Times New Roman"/>
          <w:sz w:val="24"/>
          <w:szCs w:val="24"/>
        </w:rPr>
      </w:pPr>
    </w:p>
    <w:p w:rsidR="000B4562" w:rsidRPr="000B4562" w:rsidRDefault="000B4562" w:rsidP="000B4562">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The following are changes from the original submission:</w:t>
      </w:r>
    </w:p>
    <w:p w:rsidR="000B4562" w:rsidRPr="000B4562" w:rsidRDefault="000B4562" w:rsidP="000B4562">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1)</w:t>
      </w:r>
      <w:r w:rsidRPr="000B4562">
        <w:rPr>
          <w:rFonts w:ascii="Times New Roman" w:eastAsia="Times New Roman" w:hAnsi="Times New Roman" w:cs="Times New Roman"/>
          <w:sz w:val="24"/>
          <w:szCs w:val="24"/>
        </w:rPr>
        <w:tab/>
        <w:t>Reduction in sample size</w:t>
      </w:r>
      <w:r w:rsidR="00090952">
        <w:rPr>
          <w:rFonts w:ascii="Times New Roman" w:eastAsia="Times New Roman" w:hAnsi="Times New Roman" w:cs="Times New Roman"/>
          <w:sz w:val="24"/>
          <w:szCs w:val="24"/>
        </w:rPr>
        <w:t xml:space="preserve">. </w:t>
      </w:r>
      <w:r w:rsidRPr="000B4562">
        <w:rPr>
          <w:rFonts w:ascii="Times New Roman" w:eastAsia="Times New Roman" w:hAnsi="Times New Roman" w:cs="Times New Roman"/>
          <w:sz w:val="24"/>
          <w:szCs w:val="24"/>
        </w:rPr>
        <w:t>While it would be ideal to continue to monitor and evaluate fishermen fishing all four gear types involved in the original data collection (pots, gillnet, longline, and trawl), the cost is prohibitive.  Per the initial data analysis (baseline) and fatality risk estimates, the focus has been narrowed to two particularly gear types:  Bristol Bay salmon gillnet fishermen and Bering Sea/Aleutian Island crab fishermen.  Specifically, these gear types were selected based upon the high rate of work-related drowning fatalities and self-reported low PFD use.</w:t>
      </w:r>
      <w:r w:rsidR="00415313">
        <w:rPr>
          <w:rFonts w:ascii="Times New Roman" w:eastAsia="Times New Roman" w:hAnsi="Times New Roman" w:cs="Times New Roman"/>
          <w:sz w:val="24"/>
          <w:szCs w:val="24"/>
        </w:rPr>
        <w:t xml:space="preserve"> </w:t>
      </w:r>
    </w:p>
    <w:p w:rsidR="000B4562" w:rsidRPr="000B4562" w:rsidRDefault="000B4562" w:rsidP="000B4562">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2)</w:t>
      </w:r>
      <w:r w:rsidRPr="000B4562">
        <w:rPr>
          <w:rFonts w:ascii="Times New Roman" w:eastAsia="Times New Roman" w:hAnsi="Times New Roman" w:cs="Times New Roman"/>
          <w:sz w:val="24"/>
          <w:szCs w:val="24"/>
        </w:rPr>
        <w:tab/>
        <w:t>Data collection system.</w:t>
      </w:r>
    </w:p>
    <w:p w:rsidR="000B4562" w:rsidRPr="000B4562" w:rsidRDefault="000B4562" w:rsidP="000B4562">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a.</w:t>
      </w:r>
      <w:r w:rsidRPr="000B4562">
        <w:rPr>
          <w:rFonts w:ascii="Times New Roman" w:eastAsia="Times New Roman" w:hAnsi="Times New Roman" w:cs="Times New Roman"/>
          <w:sz w:val="24"/>
          <w:szCs w:val="24"/>
        </w:rPr>
        <w:tab/>
      </w:r>
      <w:r w:rsidR="008B2BBA">
        <w:rPr>
          <w:rFonts w:ascii="Times New Roman" w:eastAsia="Times New Roman" w:hAnsi="Times New Roman" w:cs="Times New Roman"/>
          <w:sz w:val="24"/>
          <w:szCs w:val="24"/>
        </w:rPr>
        <w:t>Modification to the Data Collection Instrument [</w:t>
      </w:r>
      <w:r w:rsidRPr="000B4562">
        <w:rPr>
          <w:rFonts w:ascii="Times New Roman" w:eastAsia="Times New Roman" w:hAnsi="Times New Roman" w:cs="Times New Roman"/>
          <w:sz w:val="24"/>
          <w:szCs w:val="24"/>
        </w:rPr>
        <w:t>Phase 1 Survey – Fishermen’s Opinions about the Risk of Falls Overboard and PFDs</w:t>
      </w:r>
      <w:r w:rsidR="008B2BBA">
        <w:rPr>
          <w:rFonts w:ascii="Times New Roman" w:eastAsia="Times New Roman" w:hAnsi="Times New Roman" w:cs="Times New Roman"/>
          <w:sz w:val="24"/>
          <w:szCs w:val="24"/>
        </w:rPr>
        <w:t>]</w:t>
      </w:r>
      <w:r w:rsidR="00516642">
        <w:rPr>
          <w:rFonts w:ascii="Times New Roman" w:eastAsia="Times New Roman" w:hAnsi="Times New Roman" w:cs="Times New Roman"/>
          <w:sz w:val="24"/>
          <w:szCs w:val="24"/>
        </w:rPr>
        <w:t xml:space="preserve">.  </w:t>
      </w:r>
      <w:r w:rsidRPr="000B4562">
        <w:rPr>
          <w:rFonts w:ascii="Times New Roman" w:eastAsia="Times New Roman" w:hAnsi="Times New Roman" w:cs="Times New Roman"/>
          <w:sz w:val="24"/>
          <w:szCs w:val="24"/>
        </w:rPr>
        <w:t>Slight modification of the survey instrument involved the elimination of questions deemed inconsequential through previous analyses and the addition of questions to account for the potential exposure to and influence of interim NIOSH communication intervention efforts.  The exact questions on can be found in Attachment 6 (Survey Instrument).</w:t>
      </w:r>
    </w:p>
    <w:p w:rsidR="008B2BBA" w:rsidRDefault="000B4562" w:rsidP="00340CF7">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b.</w:t>
      </w:r>
      <w:r w:rsidRPr="000B4562">
        <w:rPr>
          <w:rFonts w:ascii="Times New Roman" w:eastAsia="Times New Roman" w:hAnsi="Times New Roman" w:cs="Times New Roman"/>
          <w:sz w:val="24"/>
          <w:szCs w:val="24"/>
        </w:rPr>
        <w:tab/>
        <w:t>Phase 2 Evaluation of Actual PFD Use: The original OMB-approved information collection included a survey evaluation of actual PFD use</w:t>
      </w:r>
      <w:r w:rsidR="00F26AF3">
        <w:rPr>
          <w:rFonts w:ascii="Times New Roman" w:eastAsia="Times New Roman" w:hAnsi="Times New Roman" w:cs="Times New Roman"/>
          <w:sz w:val="24"/>
          <w:szCs w:val="24"/>
        </w:rPr>
        <w:t xml:space="preserve">.  </w:t>
      </w:r>
      <w:r w:rsidRPr="000B4562">
        <w:rPr>
          <w:rFonts w:ascii="Times New Roman" w:eastAsia="Times New Roman" w:hAnsi="Times New Roman" w:cs="Times New Roman"/>
          <w:sz w:val="24"/>
          <w:szCs w:val="24"/>
        </w:rPr>
        <w:t>NIOSH is not seeking to reinstate this portion of the data collection system as the purpose (identifying PFD style preferences among fishermen) has been accomplished.  Thus, this data collection is deemed complete.</w:t>
      </w:r>
      <w:r w:rsidR="008D0F62">
        <w:rPr>
          <w:rFonts w:ascii="Times New Roman" w:eastAsia="Times New Roman" w:hAnsi="Times New Roman" w:cs="Times New Roman"/>
          <w:sz w:val="24"/>
          <w:szCs w:val="24"/>
        </w:rPr>
        <w:t xml:space="preserve">  Thus, the </w:t>
      </w:r>
      <w:r w:rsidR="001C7C23">
        <w:rPr>
          <w:rFonts w:ascii="Times New Roman" w:eastAsia="Times New Roman" w:hAnsi="Times New Roman" w:cs="Times New Roman"/>
          <w:sz w:val="24"/>
          <w:szCs w:val="24"/>
        </w:rPr>
        <w:t xml:space="preserve">total burden </w:t>
      </w:r>
      <w:r w:rsidR="00F74A77">
        <w:rPr>
          <w:rFonts w:ascii="Times New Roman" w:eastAsia="Times New Roman" w:hAnsi="Times New Roman" w:cs="Times New Roman"/>
          <w:sz w:val="24"/>
          <w:szCs w:val="24"/>
        </w:rPr>
        <w:t xml:space="preserve">hours </w:t>
      </w:r>
      <w:r w:rsidR="008D0F62">
        <w:rPr>
          <w:rFonts w:ascii="Times New Roman" w:eastAsia="Times New Roman" w:hAnsi="Times New Roman" w:cs="Times New Roman"/>
          <w:sz w:val="24"/>
          <w:szCs w:val="24"/>
        </w:rPr>
        <w:t xml:space="preserve">will be reduced from 200 </w:t>
      </w:r>
      <w:r w:rsidR="001C7C23">
        <w:rPr>
          <w:rFonts w:ascii="Times New Roman" w:eastAsia="Times New Roman" w:hAnsi="Times New Roman" w:cs="Times New Roman"/>
          <w:sz w:val="24"/>
          <w:szCs w:val="24"/>
        </w:rPr>
        <w:t xml:space="preserve">(original OMB-approved ICR) </w:t>
      </w:r>
      <w:r w:rsidR="008D0F62">
        <w:rPr>
          <w:rFonts w:ascii="Times New Roman" w:eastAsia="Times New Roman" w:hAnsi="Times New Roman" w:cs="Times New Roman"/>
          <w:sz w:val="24"/>
          <w:szCs w:val="24"/>
        </w:rPr>
        <w:t xml:space="preserve">to </w:t>
      </w:r>
      <w:r w:rsidR="001F4E38">
        <w:rPr>
          <w:rFonts w:ascii="Times New Roman" w:eastAsia="Times New Roman" w:hAnsi="Times New Roman" w:cs="Times New Roman"/>
          <w:sz w:val="24"/>
          <w:szCs w:val="24"/>
        </w:rPr>
        <w:t>134</w:t>
      </w:r>
      <w:r w:rsidR="001C7C23">
        <w:rPr>
          <w:rFonts w:ascii="Times New Roman" w:eastAsia="Times New Roman" w:hAnsi="Times New Roman" w:cs="Times New Roman"/>
          <w:sz w:val="24"/>
          <w:szCs w:val="24"/>
        </w:rPr>
        <w:t xml:space="preserve"> </w:t>
      </w:r>
      <w:r w:rsidR="00F74A77">
        <w:rPr>
          <w:rFonts w:ascii="Times New Roman" w:eastAsia="Times New Roman" w:hAnsi="Times New Roman" w:cs="Times New Roman"/>
          <w:sz w:val="24"/>
          <w:szCs w:val="24"/>
        </w:rPr>
        <w:t>(this reinstatement ICR)</w:t>
      </w:r>
      <w:r w:rsidR="008D0F62">
        <w:rPr>
          <w:rFonts w:ascii="Times New Roman" w:eastAsia="Times New Roman" w:hAnsi="Times New Roman" w:cs="Times New Roman"/>
          <w:sz w:val="24"/>
          <w:szCs w:val="24"/>
        </w:rPr>
        <w:t>.</w:t>
      </w:r>
    </w:p>
    <w:p w:rsidR="002B400D" w:rsidRPr="00340CF7" w:rsidRDefault="002B400D" w:rsidP="00340CF7">
      <w:pPr>
        <w:spacing w:after="0" w:line="240" w:lineRule="auto"/>
        <w:rPr>
          <w:rFonts w:ascii="Times New Roman" w:eastAsia="Times New Roman" w:hAnsi="Times New Roman" w:cs="Times New Roman"/>
          <w:sz w:val="24"/>
          <w:szCs w:val="24"/>
        </w:rPr>
      </w:pPr>
      <w:bookmarkStart w:id="0" w:name="_GoBack"/>
      <w:bookmarkEnd w:id="0"/>
    </w:p>
    <w:p w:rsidR="00340CF7" w:rsidRPr="000B4562" w:rsidRDefault="00340CF7" w:rsidP="00340CF7">
      <w:pPr>
        <w:spacing w:after="0" w:line="240" w:lineRule="auto"/>
        <w:rPr>
          <w:rFonts w:ascii="Times New Roman" w:eastAsia="Times New Roman" w:hAnsi="Times New Roman" w:cs="Times New Roman"/>
          <w:b/>
          <w:i/>
          <w:iCs/>
          <w:sz w:val="24"/>
          <w:szCs w:val="24"/>
        </w:rPr>
      </w:pPr>
      <w:r w:rsidRPr="000B4562">
        <w:rPr>
          <w:rFonts w:ascii="Times New Roman" w:eastAsia="Times New Roman" w:hAnsi="Times New Roman" w:cs="Times New Roman"/>
          <w:b/>
          <w:sz w:val="24"/>
          <w:szCs w:val="24"/>
        </w:rPr>
        <w:t>Privacy Impact Assessment Information</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This information collection request (reinstatement with change) uses methodology developed for the original OMB-approved survey of fishermen’s perceptions, attitudes, and beliefs regarding PFDs.  Like the original survey, the follow up survey entails in-person administration by researchers to a sample of fishermen in Southwest Alaska.  However, due to funding limitations, the population under study has been narrowed to focus on two particular populations:  Bristol Bay salmon gillnet fishermen and Bering Sea/Aleutian Island crab fishermen.  These populations </w:t>
      </w:r>
      <w:r w:rsidRPr="00340CF7">
        <w:rPr>
          <w:rFonts w:ascii="Times New Roman" w:eastAsia="Times New Roman" w:hAnsi="Times New Roman" w:cs="Times New Roman"/>
          <w:sz w:val="24"/>
          <w:szCs w:val="24"/>
        </w:rPr>
        <w:lastRenderedPageBreak/>
        <w:t xml:space="preserve">were selected based upon the high rate of work-related drowning fatalities and self-reported low rate of PFD use.  </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In addition, the data collection system has been slightly modified to eliminate those questions deemed inconsequential in previous analyses and add questions to account for potential exposure to and influence of ongoing risk communication efforts.  The step-by-step procedure for selecting the sample and administering the surveys is outlined in Part B, Section 2 starting on page 15 of this protocol.</w:t>
      </w:r>
    </w:p>
    <w:p w:rsidR="00340CF7" w:rsidRPr="00340CF7" w:rsidRDefault="00340CF7" w:rsidP="00340CF7">
      <w:pPr>
        <w:spacing w:after="0" w:line="240" w:lineRule="auto"/>
        <w:rPr>
          <w:rFonts w:ascii="Times New Roman" w:eastAsia="Times New Roman" w:hAnsi="Times New Roman" w:cs="Times New Roman"/>
          <w:b/>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In general, the items of information to be collected on the survey are the same as the original survey data collection, including: demographic and vessel/fishery information, fishermen’s experiences with and perceptions of falls overboard, safety attitudes, and opinions about PFDs.  Slight modification of the survey instrument involved the elimination of questions deemed inconsequential through previous analyses and the addition of questions to account for the potential influence of interim NIOSH communication intervention efforts.</w:t>
      </w:r>
      <w:r w:rsidRPr="00340CF7">
        <w:rPr>
          <w:rFonts w:ascii="Times New Roman" w:eastAsia="Times New Roman" w:hAnsi="Times New Roman" w:cs="Times New Roman"/>
          <w:color w:val="FF0000"/>
          <w:sz w:val="24"/>
          <w:szCs w:val="24"/>
        </w:rPr>
        <w:t xml:space="preserve">  </w:t>
      </w:r>
      <w:r w:rsidRPr="00340CF7">
        <w:rPr>
          <w:rFonts w:ascii="Times New Roman" w:eastAsia="Times New Roman" w:hAnsi="Times New Roman" w:cs="Times New Roman"/>
          <w:sz w:val="24"/>
          <w:szCs w:val="24"/>
        </w:rPr>
        <w:t>The exac</w:t>
      </w:r>
      <w:r w:rsidR="002D7E83">
        <w:rPr>
          <w:rFonts w:ascii="Times New Roman" w:eastAsia="Times New Roman" w:hAnsi="Times New Roman" w:cs="Times New Roman"/>
          <w:sz w:val="24"/>
          <w:szCs w:val="24"/>
        </w:rPr>
        <w:t>t questions on can be found in A</w:t>
      </w:r>
      <w:r w:rsidRPr="00340CF7">
        <w:rPr>
          <w:rFonts w:ascii="Times New Roman" w:eastAsia="Times New Roman" w:hAnsi="Times New Roman" w:cs="Times New Roman"/>
          <w:sz w:val="24"/>
          <w:szCs w:val="24"/>
        </w:rPr>
        <w:t xml:space="preserve">ttachment </w:t>
      </w:r>
      <w:r w:rsidR="002D7E83">
        <w:rPr>
          <w:rFonts w:ascii="Times New Roman" w:eastAsia="Times New Roman" w:hAnsi="Times New Roman" w:cs="Times New Roman"/>
          <w:sz w:val="24"/>
          <w:szCs w:val="24"/>
        </w:rPr>
        <w:t>6</w:t>
      </w:r>
      <w:r w:rsidR="00975F19">
        <w:rPr>
          <w:rFonts w:ascii="Times New Roman" w:eastAsia="Times New Roman" w:hAnsi="Times New Roman" w:cs="Times New Roman"/>
          <w:sz w:val="24"/>
          <w:szCs w:val="24"/>
        </w:rPr>
        <w:t xml:space="preserve"> (Survey Instrument)</w:t>
      </w:r>
      <w:r w:rsidRPr="00340CF7">
        <w:rPr>
          <w:rFonts w:ascii="Times New Roman" w:eastAsia="Times New Roman" w:hAnsi="Times New Roman" w:cs="Times New Roman"/>
          <w:sz w:val="24"/>
          <w:szCs w:val="24"/>
        </w:rPr>
        <w:t>.</w:t>
      </w:r>
      <w:r w:rsidR="000B4562">
        <w:rPr>
          <w:rFonts w:ascii="Times New Roman" w:eastAsia="Times New Roman" w:hAnsi="Times New Roman" w:cs="Times New Roman"/>
          <w:sz w:val="24"/>
          <w:szCs w:val="24"/>
        </w:rPr>
        <w:t xml:space="preserve"> </w:t>
      </w:r>
      <w:r w:rsidRPr="00340CF7">
        <w:rPr>
          <w:rFonts w:ascii="Times New Roman" w:eastAsia="Times New Roman" w:hAnsi="Times New Roman" w:cs="Times New Roman"/>
          <w:sz w:val="24"/>
          <w:szCs w:val="24"/>
        </w:rPr>
        <w:t>No individually identifiable information will be collected.</w:t>
      </w:r>
    </w:p>
    <w:p w:rsidR="00340CF7" w:rsidRPr="00340CF7" w:rsidRDefault="00340CF7" w:rsidP="00340CF7">
      <w:pPr>
        <w:spacing w:after="0" w:line="240" w:lineRule="auto"/>
        <w:rPr>
          <w:rFonts w:ascii="Times New Roman" w:eastAsia="Times New Roman" w:hAnsi="Times New Roman" w:cs="Times New Roman"/>
          <w:sz w:val="24"/>
          <w:szCs w:val="24"/>
        </w:rPr>
      </w:pPr>
    </w:p>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There is not a website associated with this data collection.</w:t>
      </w:r>
    </w:p>
    <w:p w:rsidR="00340CF7" w:rsidRPr="00340CF7" w:rsidRDefault="00340CF7" w:rsidP="00340CF7">
      <w:pPr>
        <w:spacing w:after="0" w:line="240" w:lineRule="auto"/>
        <w:rPr>
          <w:rFonts w:ascii="Times New Roman" w:eastAsia="Times New Roman" w:hAnsi="Times New Roman" w:cs="Times New Roman"/>
          <w:b/>
          <w:sz w:val="24"/>
          <w:szCs w:val="24"/>
        </w:rPr>
      </w:pPr>
    </w:p>
    <w:p w:rsidR="00340CF7" w:rsidRPr="000B4562" w:rsidRDefault="000B4562" w:rsidP="00340C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340CF7" w:rsidRPr="000B4562">
        <w:rPr>
          <w:rFonts w:ascii="Times New Roman" w:eastAsia="Times New Roman" w:hAnsi="Times New Roman" w:cs="Times New Roman"/>
          <w:b/>
          <w:sz w:val="24"/>
          <w:szCs w:val="24"/>
        </w:rPr>
        <w:t>Purpose and Use of Information Collection</w:t>
      </w:r>
    </w:p>
    <w:p w:rsidR="00340CF7" w:rsidRPr="000B4562" w:rsidRDefault="00340CF7" w:rsidP="00340CF7">
      <w:pPr>
        <w:spacing w:after="0" w:line="240" w:lineRule="auto"/>
        <w:rPr>
          <w:rFonts w:ascii="Times New Roman" w:eastAsia="Times New Roman" w:hAnsi="Times New Roman" w:cs="Times New Roman"/>
          <w:sz w:val="24"/>
          <w:szCs w:val="24"/>
        </w:rPr>
      </w:pPr>
    </w:p>
    <w:p w:rsidR="00340CF7" w:rsidRPr="000B4562" w:rsidRDefault="00340CF7" w:rsidP="00340CF7">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The purpose of this study is to assess fishermen’s perceptions of the risk of falling overboard, safety attitudes, beliefs about PFDs, use of PFDs, and experiences with falls overboard.  NIOSH initiated this effort with the original data collection –taking the first steps to increasing PFD use among commercial fishermen by understanding fishermen’s perspectives, such as the reasons for not wearing PFDs.  With the empirical data in hand, NIOSH selected the two highest risk fisheries and designed targeted interventions to address these fishermen’s concerns and the barriers that are currently in place.  Reinstatement of this information collection request will not only provide a means by which to monitor changes or persistence in population-wide PFD perceptions and use, but will provide essential information to gauge potential exposure and influence of these interim risk communication efforts.  This study addresses the repeated recommendation by NIOSH that all commercial fishermen wear PFDs while on deck (NIOSH, 1994; 1997; 2002).</w:t>
      </w:r>
    </w:p>
    <w:p w:rsidR="00340CF7" w:rsidRPr="000B4562" w:rsidRDefault="00340CF7" w:rsidP="00340CF7">
      <w:pPr>
        <w:spacing w:after="0" w:line="240" w:lineRule="auto"/>
        <w:rPr>
          <w:rFonts w:ascii="Times New Roman" w:eastAsia="Times New Roman" w:hAnsi="Times New Roman" w:cs="Times New Roman"/>
          <w:sz w:val="24"/>
          <w:szCs w:val="24"/>
        </w:rPr>
      </w:pPr>
    </w:p>
    <w:p w:rsidR="00340CF7" w:rsidRPr="000B4562" w:rsidRDefault="00340CF7" w:rsidP="00340CF7">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Specifically, NIOSH requests approval to reinstate the Phase 1 survey data collection system – administering the slightly modified survey two times over a period of two years – once per fishing season (in 2014 and  in 2015).  This follow up information collection does not seek to employ repeated measures of the same individual – but population-wide sampling of particular sites over the course of next 2 seasons.  No personally identifiable information will be gathered.  Therefore, there is no way to identify or predict if an individual sampled in 2014 will again be sampled in 2015.</w:t>
      </w:r>
    </w:p>
    <w:p w:rsidR="00340CF7" w:rsidRPr="000B4562" w:rsidRDefault="00340CF7" w:rsidP="00340CF7">
      <w:pPr>
        <w:spacing w:after="0" w:line="240" w:lineRule="auto"/>
        <w:rPr>
          <w:rFonts w:ascii="Times New Roman" w:eastAsia="Times New Roman" w:hAnsi="Times New Roman" w:cs="Times New Roman"/>
          <w:sz w:val="24"/>
          <w:szCs w:val="24"/>
        </w:rPr>
      </w:pPr>
    </w:p>
    <w:p w:rsidR="00340CF7" w:rsidRPr="000B4562" w:rsidRDefault="00340CF7" w:rsidP="00340CF7">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The resulting information from the proposed survey data collection will be used in the same manner as the original survey data collection, including the following:</w:t>
      </w:r>
    </w:p>
    <w:p w:rsidR="00340CF7" w:rsidRPr="000B4562" w:rsidRDefault="00340CF7" w:rsidP="00340CF7">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lastRenderedPageBreak/>
        <w:t xml:space="preserve">1.  </w:t>
      </w:r>
      <w:r w:rsidRPr="000B4562">
        <w:rPr>
          <w:rFonts w:ascii="Times New Roman" w:eastAsia="Times New Roman" w:hAnsi="Times New Roman" w:cs="Times New Roman"/>
          <w:sz w:val="24"/>
          <w:szCs w:val="24"/>
        </w:rPr>
        <w:tab/>
        <w:t>Results will be shared by NIOSH personnel with marine safety organizations involved with training fishermen.  The information will help them understand and resolve the barriers that fishermen have regarding safety and wearing PFDs.</w:t>
      </w:r>
    </w:p>
    <w:p w:rsidR="00340CF7" w:rsidRPr="000B4562" w:rsidRDefault="00340CF7" w:rsidP="00340CF7">
      <w:pPr>
        <w:tabs>
          <w:tab w:val="left" w:pos="48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48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2.</w:t>
      </w:r>
      <w:r w:rsidRPr="000B4562">
        <w:rPr>
          <w:rFonts w:ascii="Times New Roman" w:eastAsia="Times New Roman" w:hAnsi="Times New Roman" w:cs="Times New Roman"/>
          <w:sz w:val="24"/>
          <w:szCs w:val="24"/>
        </w:rPr>
        <w:tab/>
        <w:t>Results of survey will be published by NIOSH personnel in peer-reviewed journals to contribute to the body of scientific knowledge surrounding commercial fishing safety and drowning prevention.</w:t>
      </w:r>
    </w:p>
    <w:p w:rsidR="00340CF7" w:rsidRPr="000B4562" w:rsidRDefault="00340CF7" w:rsidP="00340CF7">
      <w:pPr>
        <w:tabs>
          <w:tab w:val="left" w:pos="48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48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3.</w:t>
      </w:r>
      <w:r w:rsidRPr="000B4562">
        <w:rPr>
          <w:rFonts w:ascii="Times New Roman" w:eastAsia="Times New Roman" w:hAnsi="Times New Roman" w:cs="Times New Roman"/>
          <w:sz w:val="24"/>
          <w:szCs w:val="24"/>
        </w:rPr>
        <w:tab/>
        <w:t>Results will inform ongoing and future NIOSH risk communication strategies to improve PFD use and prevent drowning among commercial fishermen.</w:t>
      </w: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r w:rsidRPr="000B4562">
        <w:rPr>
          <w:rFonts w:ascii="Times New Roman" w:eastAsia="Times New Roman" w:hAnsi="Times New Roman" w:cs="Times New Roman"/>
          <w:b/>
          <w:sz w:val="24"/>
          <w:szCs w:val="24"/>
        </w:rPr>
        <w:t xml:space="preserve">Privacy Impact Assessment Information </w:t>
      </w: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 xml:space="preserve">As evidenced in the original data analyses, the majority of commercial fishermen do not wear PFDs while working.  One possible reason is the perception that PFDs are uncomfortable and not suited for the rigors of the fishing environment. Another reason may be the belief that PFDs introduce an entanglement hazard while working.  The baseline data collection provided insights, such as these, to inform the development of communication intervention efforts to </w:t>
      </w:r>
      <w:r w:rsidR="00A55ED9" w:rsidRPr="000B4562">
        <w:rPr>
          <w:rFonts w:ascii="Times New Roman" w:eastAsia="Times New Roman" w:hAnsi="Times New Roman" w:cs="Times New Roman"/>
          <w:sz w:val="24"/>
          <w:szCs w:val="24"/>
        </w:rPr>
        <w:t>improve PFD use among fishermen.</w:t>
      </w:r>
      <w:r w:rsidRPr="000B4562">
        <w:rPr>
          <w:rFonts w:ascii="Times New Roman" w:eastAsia="Times New Roman" w:hAnsi="Times New Roman" w:cs="Times New Roman"/>
          <w:sz w:val="24"/>
          <w:szCs w:val="24"/>
        </w:rPr>
        <w:t xml:space="preserve">  This information had never been collected in the past and has not been re-evaluated since the original NIOSH survey.  Solid data are needed to effectively communicate the risk and make safety improvements in this industry.  Research-based interventions not only require the initial collection of baseline data about the problem to guide the design phase, but also ongoing data collection throughout the process to monitor changes or persistence in perceptions, beliefs, and use; to determine progress or impact of ongoing risk communication efforts; and to inform future risk communication interventions.</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rPr>
        <w:t>Data will be analyzed and the results disseminated to fishermen, marine safety organizations, PFD manufacturers, and other researchers in the field of occupational safety.  Results will only be released in aggregate form.  No sensitive information is being collected, and data collection will have little effect on respondents’ privacy since we are only collecting data on their perceptions of PFDs, and the recognition and impact of risk communication efforts.  N</w:t>
      </w:r>
      <w:r w:rsidRPr="000B4562">
        <w:rPr>
          <w:rFonts w:ascii="Times New Roman" w:eastAsia="Times New Roman" w:hAnsi="Times New Roman" w:cs="Times New Roman"/>
          <w:sz w:val="24"/>
          <w:szCs w:val="24"/>
          <w:lang w:eastAsia="ja-JP"/>
        </w:rPr>
        <w:t>o individually identifiable information will be collected.</w:t>
      </w:r>
    </w:p>
    <w:p w:rsidR="00340CF7" w:rsidRPr="000B4562" w:rsidRDefault="00340CF7" w:rsidP="00340CF7">
      <w:pPr>
        <w:tabs>
          <w:tab w:val="left" w:pos="0"/>
        </w:tabs>
        <w:spacing w:after="0" w:line="240" w:lineRule="auto"/>
        <w:rPr>
          <w:rFonts w:ascii="Times New Roman" w:eastAsia="Times New Roman" w:hAnsi="Times New Roman" w:cs="Times New Roman"/>
          <w:color w:val="FF0000"/>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r w:rsidRPr="000B4562">
        <w:rPr>
          <w:rFonts w:ascii="Times New Roman" w:eastAsia="Times New Roman" w:hAnsi="Times New Roman" w:cs="Times New Roman"/>
          <w:b/>
          <w:sz w:val="24"/>
          <w:szCs w:val="24"/>
        </w:rPr>
        <w:t>3.  Use of Improved Technology and Burden Reduction</w:t>
      </w: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color w:val="FF0000"/>
          <w:sz w:val="24"/>
          <w:szCs w:val="24"/>
        </w:rPr>
      </w:pPr>
      <w:r w:rsidRPr="000B4562">
        <w:rPr>
          <w:rFonts w:ascii="Times New Roman" w:eastAsia="Times New Roman" w:hAnsi="Times New Roman" w:cs="Times New Roman"/>
          <w:sz w:val="24"/>
          <w:szCs w:val="24"/>
        </w:rPr>
        <w:t>Only those data necessary for the purposes of this study will be collected in the survey.  A thorough literature review was conducted, as well as a review of other available data sources, and only questions providing information unavailable from other sources were included in the survey instrument.</w:t>
      </w:r>
    </w:p>
    <w:p w:rsidR="00340CF7" w:rsidRPr="000B4562" w:rsidRDefault="00340CF7" w:rsidP="00340CF7">
      <w:pPr>
        <w:tabs>
          <w:tab w:val="left" w:pos="0"/>
        </w:tabs>
        <w:spacing w:after="0" w:line="240" w:lineRule="auto"/>
        <w:rPr>
          <w:rFonts w:ascii="Times New Roman" w:eastAsia="Times New Roman" w:hAnsi="Times New Roman" w:cs="Times New Roman"/>
          <w:color w:val="FF0000"/>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All of the survey respondents and evaluation participants are located in rural Alaska, where internet access is often expensive, slow, or simply not available.  Additionally, commercial fishermen are isolated on their vessels for extended periods of time.  Using the internet as a primary survey approach is either not possible or would increase both the time and monetary burden on our respondents.</w:t>
      </w: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b/>
          <w:sz w:val="24"/>
          <w:szCs w:val="24"/>
        </w:rPr>
        <w:lastRenderedPageBreak/>
        <w:t>4.  Efforts to Identify Duplication and Use of Similar Information</w:t>
      </w:r>
    </w:p>
    <w:p w:rsidR="00340CF7" w:rsidRPr="00340CF7" w:rsidRDefault="00340CF7" w:rsidP="00340CF7">
      <w:pPr>
        <w:tabs>
          <w:tab w:val="left" w:pos="0"/>
        </w:tabs>
        <w:spacing w:after="0" w:line="240" w:lineRule="auto"/>
        <w:rPr>
          <w:rFonts w:ascii="Times New Roman" w:eastAsia="Times New Roman" w:hAnsi="Times New Roman" w:cs="Times New Roman"/>
          <w:b/>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An exhaustive literature search failed to reveal any studies (besides the original NIOSH survey) that analyzed commercial fishermen’s risk perceptions and safety attitudes about falls overboard, their beliefs about PFDs, or their evaluations of PFDs while working.  There have been four studies conducted since 1998 that tested and rated PFDs for recreational boaters.  One study was conducted by Consumer Reports and the other three were conducted by BoatUS.  These evaluations of PFDs for recreational boaters are useful in helping to design the present study; however, the differences between recreational boaters and commercial fishermen are large enough that the results of one group cannot be generalized to the other.  Additionally, there are several new PFDs available now that were not on the market at the time of the recreational PFD evaluations.</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  In 1998, BoatUS staff tested seven models of inflatable PFDs for performance, in-water comfort, and features.  Inflatable PFDs have a cartridge of compressed gas that inflates a bladder when activated.</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  In 1999, Consumer Reports had six testers wear 25 different PFDs in and out of the water and rated their performance, comfort, and features.  Most of the PFDs tested were inherently buoyant foam-core vests, and seven were inflatable PFDs.</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3.  In 2000, BoatUS examined four more models of inflatable PFDs.  The testers compared the types of inflation mechanisms, colors, reflective tape, cost, and weight.</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4.  Most recently (2004), BoatUS tested seven belt pack style inflatable PFDs for out-of-water wearability, in-water comfort, sense of security, and ease of repacking.</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Although these PFD tests were for recreational boating, involved few participants, and may be outdated given the rapid evolution of inflatable PFDs, they do have value for the current study.  They provide many different ideas for rating methods and identify important features to test.  They may also aid in selecting styles and models to test on commercial fishermen in this study.</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PFDs are a form of Personal Protective Equipment (PPE).  The literature review identified many studies of workers in industries other than commercial fishing which examined the comfort and product satisfaction of many types of PPE, such as respirators, eye protection, and helmets.</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In a study of Latino farm workers in Illinois and Michigan, Forst et al. (2006) explored worker’s reasons for wearing or not wearing safety glasses.  The researchers distributed glasses to workers for two seasons and observed and questioned those who wore them and those who did not.  The most common reasons for not wearing the safety glasses were misperception of risk, perceived lack of protection, discomfort, undesirable appearance, interference with visual acuity, and the absence of a mandate from employers.  The study was able to make several recommendations for ways to improve safety glasses; for example, reducing fogging, improving comfort and fit, and including bands to hold glasses on.  </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lastRenderedPageBreak/>
        <w:t xml:space="preserve">Dissatisfaction with PPE was also studied by Akbar-Khanzadeh (1998) among workers at a metal refining plant.  The researchers questioned workers about their satisfaction with seven types of PPE, and reasons for dissatisfaction. Like the Latino farm workers, they believed the PPE was not needed, created a new hazard, interfered with work, was too heavy, was hard to wear, irritated skin, and had an undesirable appearance.  </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Salazar et al. (2001) studied the factors affecting hazardous waste workers’ use of respirators.  The researchers interviewed and administered a written survey to 255 workers in order to measure their beliefs and attitudes about the use of respirators.  The study found that the factors for use were mostly based on knowledge, beliefs and attitudes.  Factors for non-use were mostly physical comfort complaints like communication impairment, personal comfort, and effect on vision.  </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There is evidence that workers can adapt to initial feelings of discomfort in PPE when it is worn regularly.  Abeysekera and Shahnavaz (1990) tested this with Sri Lankan workers’ wearing of safety helmets.  Workers were asked to wear safety helmets six hours a day for 30 days, with incentives and supervision to insure compliance.  Ratings of wearability improved in the areas of hotness, harness pain, fit, and inconvenience during the one month period.  The authors concluded that adaptation to initial discomfort in PPE is possible if the device is worn consistently for at least one month.  </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In the studies reviewed above, common reasons given for non-use of PPE included discomfort, misperceptions of risk, and negative attitudes about PPE efficacy.  Among commercial fishermen, there may be similar perceptions and attitudes.  Fishermen may feel that a PFD will be uncomfortable and impede them in their work.  There may also be concern that a PFD not designed for their working conditions could endanger them by restricting their movements, or by being an entanglement hazard.</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The proposed research will extend the previously OMB-approved information collection to more narrowly and specifically understand perspectives among fishermen operating two gear types in Southwest Alaska:  Bristol Bay salmon gillnet fishermen and Bering Sea/Aleutian Island crab fishermen.  Specifically, these gear types were selected based upon the high rate of work-related drowning fatalities and self-reported low rate of PFD use.  No similar information collection system currently exists to evaluate changes or persistence in these fishermen’s perceptions of the risk of falling overboard, safety attitudes, beliefs about PFDs, and experiences with falls overboard, much less the potential exposure to and influence of interim risk communication intervention activities.</w:t>
      </w:r>
    </w:p>
    <w:p w:rsidR="00340CF7" w:rsidRPr="000B4562" w:rsidRDefault="00340CF7" w:rsidP="00340CF7">
      <w:pPr>
        <w:tabs>
          <w:tab w:val="left" w:pos="0"/>
        </w:tabs>
        <w:spacing w:after="0" w:line="240" w:lineRule="auto"/>
        <w:rPr>
          <w:rFonts w:ascii="Times New Roman" w:eastAsia="Times New Roman" w:hAnsi="Times New Roman" w:cs="Times New Roman"/>
          <w:color w:val="FF0000"/>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r w:rsidRPr="000B4562">
        <w:rPr>
          <w:rFonts w:ascii="Times New Roman" w:eastAsia="Times New Roman" w:hAnsi="Times New Roman" w:cs="Times New Roman"/>
          <w:b/>
          <w:sz w:val="24"/>
          <w:szCs w:val="24"/>
        </w:rPr>
        <w:t>5.  Impact on Small Businesses or Other Small Entities</w:t>
      </w: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The fishermen that will be included in this study are considered to be small businesses.  As with the previous OMB-approved information collection, we are keeping the length of questionnaire as short as possible to minimize the amount of time required to complete it.</w:t>
      </w:r>
    </w:p>
    <w:p w:rsidR="00340CF7" w:rsidRPr="000B4562"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r w:rsidRPr="000B4562">
        <w:rPr>
          <w:rFonts w:ascii="Times New Roman" w:eastAsia="Times New Roman" w:hAnsi="Times New Roman" w:cs="Times New Roman"/>
          <w:b/>
          <w:sz w:val="24"/>
          <w:szCs w:val="24"/>
        </w:rPr>
        <w:t>6.  Consequences of Collecting the Information Less Frequently</w:t>
      </w: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rPr>
      </w:pP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lastRenderedPageBreak/>
        <w:t>Solid data are needed to make safety improvements in this industry – particularly to ensure that risk communication message are accurately and effectively targeted to address the unique concerns of the individual fisheries and gear types.  Baseline data about the problem were first collected (original OMB-approved data collection) to inform the development of communication</w:t>
      </w:r>
      <w:r w:rsidRPr="00340CF7">
        <w:rPr>
          <w:rFonts w:ascii="Times New Roman" w:eastAsia="Times New Roman" w:hAnsi="Times New Roman" w:cs="Times New Roman"/>
          <w:sz w:val="24"/>
          <w:szCs w:val="24"/>
        </w:rPr>
        <w:t xml:space="preserve"> interventions and to enhance the possibility of a positive impact.  Additional survey data collection is needed to evaluate changes in or persistence of the problem to gauge progress of ongoing communication efforts and potential impact.  Additional data points might be desirable, but to keep the burden on respondents at a minimum, information collections will be limited to one survey administration per fishing season for two seasons.</w:t>
      </w:r>
    </w:p>
    <w:p w:rsidR="00340CF7" w:rsidRPr="00340CF7" w:rsidRDefault="00340CF7" w:rsidP="00340CF7">
      <w:pPr>
        <w:tabs>
          <w:tab w:val="left" w:pos="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t>7.  Special Circumstances Relating to the Guidelines of 5 CFR 1320.5</w:t>
      </w:r>
    </w:p>
    <w:p w:rsidR="00340CF7" w:rsidRPr="000B4562" w:rsidRDefault="00340CF7" w:rsidP="00340CF7">
      <w:pPr>
        <w:tabs>
          <w:tab w:val="left" w:pos="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There are no special circumstances.  This request fully complies with the guidelines of 5 CFR 1320.5.</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b/>
          <w:sz w:val="24"/>
          <w:szCs w:val="24"/>
          <w:lang w:eastAsia="ja-JP"/>
        </w:rPr>
        <w:t>8.</w:t>
      </w:r>
      <w:r w:rsidRPr="000B4562">
        <w:rPr>
          <w:rFonts w:ascii="Times New Roman" w:eastAsia="Times New Roman" w:hAnsi="Times New Roman" w:cs="Times New Roman"/>
          <w:b/>
          <w:sz w:val="24"/>
          <w:szCs w:val="24"/>
          <w:lang w:eastAsia="ja-JP"/>
        </w:rPr>
        <w:tab/>
        <w:t>Comments in Response to the Federal Register Notice and Efforts to Consult Outside the Agency</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iCs/>
          <w:sz w:val="24"/>
          <w:szCs w:val="24"/>
          <w:lang w:eastAsia="ja-JP"/>
        </w:rPr>
      </w:pPr>
      <w:r w:rsidRPr="000B4562">
        <w:rPr>
          <w:rFonts w:ascii="Times New Roman" w:eastAsia="Times New Roman" w:hAnsi="Times New Roman" w:cs="Times New Roman"/>
          <w:sz w:val="24"/>
          <w:szCs w:val="24"/>
          <w:lang w:eastAsia="ja-JP"/>
        </w:rPr>
        <w:t xml:space="preserve">A.  </w:t>
      </w:r>
      <w:r w:rsidR="00B91527" w:rsidRPr="000B4562">
        <w:rPr>
          <w:rFonts w:ascii="Times New Roman" w:eastAsia="Times New Roman" w:hAnsi="Times New Roman" w:cs="Times New Roman"/>
          <w:sz w:val="24"/>
          <w:szCs w:val="24"/>
          <w:lang w:eastAsia="ja-JP"/>
        </w:rPr>
        <w:t xml:space="preserve">A 60-day Federal Register Notice was published in the Federal Register on October </w:t>
      </w:r>
      <w:r w:rsidR="002D7E83" w:rsidRPr="000B4562">
        <w:rPr>
          <w:rFonts w:ascii="Times New Roman" w:eastAsia="Times New Roman" w:hAnsi="Times New Roman" w:cs="Times New Roman"/>
          <w:sz w:val="24"/>
          <w:szCs w:val="24"/>
          <w:lang w:eastAsia="ja-JP"/>
        </w:rPr>
        <w:t>3</w:t>
      </w:r>
      <w:r w:rsidR="00B91527" w:rsidRPr="000B4562">
        <w:rPr>
          <w:rFonts w:ascii="Times New Roman" w:eastAsia="Times New Roman" w:hAnsi="Times New Roman" w:cs="Times New Roman"/>
          <w:sz w:val="24"/>
          <w:szCs w:val="24"/>
          <w:lang w:eastAsia="ja-JP"/>
        </w:rPr>
        <w:t>, 2013, vol.</w:t>
      </w:r>
      <w:r w:rsidR="002D7E83" w:rsidRPr="000B4562">
        <w:rPr>
          <w:rFonts w:ascii="Times New Roman" w:eastAsia="Times New Roman" w:hAnsi="Times New Roman" w:cs="Times New Roman"/>
          <w:sz w:val="24"/>
          <w:szCs w:val="24"/>
          <w:lang w:eastAsia="ja-JP"/>
        </w:rPr>
        <w:t>78</w:t>
      </w:r>
      <w:r w:rsidR="00B91527" w:rsidRPr="000B4562">
        <w:rPr>
          <w:rFonts w:ascii="Times New Roman" w:eastAsia="Times New Roman" w:hAnsi="Times New Roman" w:cs="Times New Roman"/>
          <w:sz w:val="24"/>
          <w:szCs w:val="24"/>
          <w:lang w:eastAsia="ja-JP"/>
        </w:rPr>
        <w:t xml:space="preserve">, No. </w:t>
      </w:r>
      <w:r w:rsidR="002D7E83" w:rsidRPr="000B4562">
        <w:rPr>
          <w:rFonts w:ascii="Times New Roman" w:eastAsia="Times New Roman" w:hAnsi="Times New Roman" w:cs="Times New Roman"/>
          <w:sz w:val="24"/>
          <w:szCs w:val="24"/>
          <w:lang w:eastAsia="ja-JP"/>
        </w:rPr>
        <w:t>192</w:t>
      </w:r>
      <w:r w:rsidR="00B91527" w:rsidRPr="000B4562">
        <w:rPr>
          <w:rFonts w:ascii="Times New Roman" w:eastAsia="Times New Roman" w:hAnsi="Times New Roman" w:cs="Times New Roman"/>
          <w:sz w:val="24"/>
          <w:szCs w:val="24"/>
          <w:lang w:eastAsia="ja-JP"/>
        </w:rPr>
        <w:t xml:space="preserve">, pp. </w:t>
      </w:r>
      <w:r w:rsidR="002D7E83" w:rsidRPr="000B4562">
        <w:rPr>
          <w:rFonts w:ascii="Times New Roman" w:eastAsia="Times New Roman" w:hAnsi="Times New Roman" w:cs="Times New Roman"/>
          <w:sz w:val="24"/>
          <w:szCs w:val="24"/>
          <w:lang w:eastAsia="ja-JP"/>
        </w:rPr>
        <w:t>61363</w:t>
      </w:r>
      <w:r w:rsidR="00B91527" w:rsidRPr="000B4562">
        <w:rPr>
          <w:rFonts w:ascii="Times New Roman" w:eastAsia="Times New Roman" w:hAnsi="Times New Roman" w:cs="Times New Roman"/>
          <w:sz w:val="24"/>
          <w:szCs w:val="24"/>
          <w:lang w:eastAsia="ja-JP"/>
        </w:rPr>
        <w:t>-</w:t>
      </w:r>
      <w:r w:rsidR="002D7E83" w:rsidRPr="000B4562">
        <w:rPr>
          <w:rFonts w:ascii="Times New Roman" w:eastAsia="Times New Roman" w:hAnsi="Times New Roman" w:cs="Times New Roman"/>
          <w:sz w:val="24"/>
          <w:szCs w:val="24"/>
          <w:lang w:eastAsia="ja-JP"/>
        </w:rPr>
        <w:t>61364</w:t>
      </w:r>
      <w:r w:rsidR="00B91527" w:rsidRPr="000B4562">
        <w:rPr>
          <w:rFonts w:ascii="Times New Roman" w:eastAsia="Times New Roman" w:hAnsi="Times New Roman" w:cs="Times New Roman"/>
          <w:sz w:val="24"/>
          <w:szCs w:val="24"/>
          <w:lang w:eastAsia="ja-JP"/>
        </w:rPr>
        <w:t xml:space="preserve"> (Attachment </w:t>
      </w:r>
      <w:r w:rsidR="0065619E">
        <w:rPr>
          <w:rFonts w:ascii="Times New Roman" w:eastAsia="Times New Roman" w:hAnsi="Times New Roman" w:cs="Times New Roman"/>
          <w:sz w:val="24"/>
          <w:szCs w:val="24"/>
          <w:lang w:eastAsia="ja-JP"/>
        </w:rPr>
        <w:t>2</w:t>
      </w:r>
      <w:r w:rsidR="00B91527" w:rsidRPr="000B4562">
        <w:rPr>
          <w:rFonts w:ascii="Times New Roman" w:eastAsia="Times New Roman" w:hAnsi="Times New Roman" w:cs="Times New Roman"/>
          <w:sz w:val="24"/>
          <w:szCs w:val="24"/>
          <w:lang w:eastAsia="ja-JP"/>
        </w:rPr>
        <w:t xml:space="preserve">: Federal Register Notice).  One comment was received from the public (Attachment 4: Public Comments and Responses to </w:t>
      </w:r>
      <w:r w:rsidR="002D7E83" w:rsidRPr="000B4562">
        <w:rPr>
          <w:rFonts w:ascii="Times New Roman" w:eastAsia="Times New Roman" w:hAnsi="Times New Roman" w:cs="Times New Roman"/>
          <w:sz w:val="24"/>
          <w:szCs w:val="24"/>
          <w:lang w:eastAsia="ja-JP"/>
        </w:rPr>
        <w:t>the Federal Register Notice</w:t>
      </w:r>
      <w:r w:rsidR="00B91527" w:rsidRPr="000B4562">
        <w:rPr>
          <w:rFonts w:ascii="Times New Roman" w:eastAsia="Times New Roman" w:hAnsi="Times New Roman" w:cs="Times New Roman"/>
          <w:sz w:val="24"/>
          <w:szCs w:val="24"/>
          <w:lang w:eastAsia="ja-JP"/>
        </w:rPr>
        <w:t>).  No changes were made to the proposed project based on this response, as the public comment did not relate to the utility and scope as proposed.</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B.  The study reinstatement proposal </w:t>
      </w:r>
      <w:r w:rsidR="00B91527" w:rsidRPr="000B4562">
        <w:rPr>
          <w:rFonts w:ascii="Times New Roman" w:eastAsia="Times New Roman" w:hAnsi="Times New Roman" w:cs="Times New Roman"/>
          <w:sz w:val="24"/>
          <w:szCs w:val="24"/>
          <w:lang w:eastAsia="ja-JP"/>
        </w:rPr>
        <w:t>was</w:t>
      </w:r>
      <w:r w:rsidRPr="000B4562">
        <w:rPr>
          <w:rFonts w:ascii="Times New Roman" w:eastAsia="Times New Roman" w:hAnsi="Times New Roman" w:cs="Times New Roman"/>
          <w:sz w:val="24"/>
          <w:szCs w:val="24"/>
          <w:lang w:eastAsia="ja-JP"/>
        </w:rPr>
        <w:t xml:space="preserve"> peer reviewed by two experts in the field of commercial fishing safety outside of CDC (Attachment </w:t>
      </w:r>
      <w:r w:rsidR="0065619E">
        <w:rPr>
          <w:rFonts w:ascii="Times New Roman" w:eastAsia="Times New Roman" w:hAnsi="Times New Roman" w:cs="Times New Roman"/>
          <w:sz w:val="24"/>
          <w:szCs w:val="24"/>
          <w:lang w:eastAsia="ja-JP"/>
        </w:rPr>
        <w:t>8</w:t>
      </w:r>
      <w:r w:rsidRPr="000B4562">
        <w:rPr>
          <w:rFonts w:ascii="Times New Roman" w:eastAsia="Times New Roman" w:hAnsi="Times New Roman" w:cs="Times New Roman"/>
          <w:sz w:val="24"/>
          <w:szCs w:val="24"/>
          <w:lang w:eastAsia="ja-JP"/>
        </w:rPr>
        <w:t>: Peer Review</w:t>
      </w:r>
      <w:r w:rsidR="002D7E83" w:rsidRPr="000B4562">
        <w:rPr>
          <w:rFonts w:ascii="Times New Roman" w:eastAsia="Times New Roman" w:hAnsi="Times New Roman" w:cs="Times New Roman"/>
          <w:sz w:val="24"/>
          <w:szCs w:val="24"/>
          <w:lang w:eastAsia="ja-JP"/>
        </w:rPr>
        <w:t xml:space="preserve"> Comments with Responses</w:t>
      </w:r>
      <w:r w:rsidRPr="000B4562">
        <w:rPr>
          <w:rFonts w:ascii="Times New Roman" w:eastAsia="Times New Roman" w:hAnsi="Times New Roman" w:cs="Times New Roman"/>
          <w:sz w:val="24"/>
          <w:szCs w:val="24"/>
          <w:lang w:eastAsia="ja-JP"/>
        </w:rPr>
        <w:t xml:space="preserve">).  Their feedback </w:t>
      </w:r>
      <w:r w:rsidR="00B91527" w:rsidRPr="000B4562">
        <w:rPr>
          <w:rFonts w:ascii="Times New Roman" w:eastAsia="Times New Roman" w:hAnsi="Times New Roman" w:cs="Times New Roman"/>
          <w:sz w:val="24"/>
          <w:szCs w:val="24"/>
          <w:lang w:eastAsia="ja-JP"/>
        </w:rPr>
        <w:t>was</w:t>
      </w:r>
      <w:r w:rsidRPr="000B4562">
        <w:rPr>
          <w:rFonts w:ascii="Times New Roman" w:eastAsia="Times New Roman" w:hAnsi="Times New Roman" w:cs="Times New Roman"/>
          <w:sz w:val="24"/>
          <w:szCs w:val="24"/>
          <w:lang w:eastAsia="ja-JP"/>
        </w:rPr>
        <w:t xml:space="preserve"> integrated into the stud</w:t>
      </w:r>
      <w:r w:rsidR="00B91527" w:rsidRPr="000B4562">
        <w:rPr>
          <w:rFonts w:ascii="Times New Roman" w:eastAsia="Times New Roman" w:hAnsi="Times New Roman" w:cs="Times New Roman"/>
          <w:sz w:val="24"/>
          <w:szCs w:val="24"/>
          <w:lang w:eastAsia="ja-JP"/>
        </w:rPr>
        <w:t xml:space="preserve">y protocol.  In addition, NIOSH consulted </w:t>
      </w:r>
      <w:r w:rsidRPr="000B4562">
        <w:rPr>
          <w:rFonts w:ascii="Times New Roman" w:eastAsia="Times New Roman" w:hAnsi="Times New Roman" w:cs="Times New Roman"/>
          <w:sz w:val="24"/>
          <w:szCs w:val="24"/>
          <w:lang w:eastAsia="ja-JP"/>
        </w:rPr>
        <w:t>with the following industry representatives, government agencies, and marine safety organizations:</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340CF7" w:rsidP="00340CF7">
      <w:pPr>
        <w:numPr>
          <w:ilvl w:val="0"/>
          <w:numId w:val="4"/>
        </w:num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2013, Jerry Dzugan, Director, Alaska Marine Safety Education Association (AMSEA), Sitka, Alaska (Phone: 907-747-3287, email: director@amsea.org).</w:t>
      </w:r>
    </w:p>
    <w:p w:rsidR="00340CF7" w:rsidRPr="000B4562" w:rsidRDefault="00340CF7" w:rsidP="00340CF7">
      <w:pPr>
        <w:numPr>
          <w:ilvl w:val="0"/>
          <w:numId w:val="4"/>
        </w:num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2013, Karen Conrad, Executive Director, North Pacific Fishing Vessel Owners Association (NPFVOA), Seattle, Washington (</w:t>
      </w:r>
      <w:r w:rsidR="00B91527" w:rsidRPr="000B4562">
        <w:rPr>
          <w:rFonts w:ascii="Times New Roman" w:eastAsia="Times New Roman" w:hAnsi="Times New Roman" w:cs="Times New Roman"/>
          <w:sz w:val="24"/>
          <w:szCs w:val="24"/>
          <w:lang w:eastAsia="ja-JP"/>
        </w:rPr>
        <w:t>Phone: 206-285-3385, email: karen@npfvoa.org).</w:t>
      </w:r>
    </w:p>
    <w:p w:rsidR="00340CF7" w:rsidRPr="000B4562" w:rsidRDefault="003D3B6D" w:rsidP="00340CF7">
      <w:pPr>
        <w:numPr>
          <w:ilvl w:val="0"/>
          <w:numId w:val="4"/>
        </w:num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2013, </w:t>
      </w:r>
      <w:r w:rsidR="00340CF7" w:rsidRPr="000B4562">
        <w:rPr>
          <w:rFonts w:ascii="Times New Roman" w:eastAsia="Times New Roman" w:hAnsi="Times New Roman" w:cs="Times New Roman"/>
          <w:sz w:val="24"/>
          <w:szCs w:val="24"/>
          <w:lang w:eastAsia="ja-JP"/>
        </w:rPr>
        <w:t xml:space="preserve">Mark Gleason, Executive Director, </w:t>
      </w:r>
      <w:r w:rsidR="00B91527" w:rsidRPr="000B4562">
        <w:rPr>
          <w:rFonts w:ascii="Times New Roman" w:eastAsia="Times New Roman" w:hAnsi="Times New Roman" w:cs="Times New Roman"/>
          <w:sz w:val="24"/>
          <w:szCs w:val="24"/>
          <w:lang w:eastAsia="ja-JP"/>
        </w:rPr>
        <w:t xml:space="preserve">Alaska </w:t>
      </w:r>
      <w:r w:rsidR="00340CF7" w:rsidRPr="000B4562">
        <w:rPr>
          <w:rFonts w:ascii="Times New Roman" w:eastAsia="Times New Roman" w:hAnsi="Times New Roman" w:cs="Times New Roman"/>
          <w:sz w:val="24"/>
          <w:szCs w:val="24"/>
          <w:lang w:eastAsia="ja-JP"/>
        </w:rPr>
        <w:t>Bering Sea Crabbers Association</w:t>
      </w:r>
      <w:r w:rsidR="00B91527" w:rsidRPr="000B4562">
        <w:rPr>
          <w:rFonts w:ascii="Times New Roman" w:eastAsia="Times New Roman" w:hAnsi="Times New Roman" w:cs="Times New Roman"/>
          <w:sz w:val="24"/>
          <w:szCs w:val="24"/>
          <w:lang w:eastAsia="ja-JP"/>
        </w:rPr>
        <w:t xml:space="preserve"> (Phone: 206-783-0188, email: markgleason@gmail.com).</w:t>
      </w:r>
    </w:p>
    <w:p w:rsidR="00340CF7" w:rsidRPr="000B4562" w:rsidRDefault="00340CF7" w:rsidP="00340CF7">
      <w:pPr>
        <w:numPr>
          <w:ilvl w:val="0"/>
          <w:numId w:val="4"/>
        </w:num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2013, Ken </w:t>
      </w:r>
      <w:r w:rsidR="00B91527" w:rsidRPr="000B4562">
        <w:rPr>
          <w:rFonts w:ascii="Times New Roman" w:eastAsia="Times New Roman" w:hAnsi="Times New Roman" w:cs="Times New Roman"/>
          <w:sz w:val="24"/>
          <w:szCs w:val="24"/>
          <w:lang w:eastAsia="ja-JP"/>
        </w:rPr>
        <w:t>Lawrenson</w:t>
      </w:r>
      <w:r w:rsidRPr="000B4562">
        <w:rPr>
          <w:rFonts w:ascii="Times New Roman" w:eastAsia="Times New Roman" w:hAnsi="Times New Roman" w:cs="Times New Roman"/>
          <w:sz w:val="24"/>
          <w:szCs w:val="24"/>
          <w:lang w:eastAsia="ja-JP"/>
        </w:rPr>
        <w:t>, District 17 Fishing Vessel Safety Coordinator, United States Coast Guard (USCG), Alameda, California (</w:t>
      </w:r>
      <w:r w:rsidR="00B91527" w:rsidRPr="000B4562">
        <w:rPr>
          <w:rFonts w:ascii="Times New Roman" w:eastAsia="Times New Roman" w:hAnsi="Times New Roman" w:cs="Times New Roman"/>
          <w:sz w:val="24"/>
          <w:szCs w:val="24"/>
          <w:lang w:eastAsia="ja-JP"/>
        </w:rPr>
        <w:t>Phone: 907-463-2810, email: Kenneth.lawrenson@uscg.mil)</w:t>
      </w:r>
      <w:r w:rsidRPr="000B4562">
        <w:rPr>
          <w:rFonts w:ascii="Times New Roman" w:eastAsia="Times New Roman" w:hAnsi="Times New Roman" w:cs="Times New Roman"/>
          <w:sz w:val="24"/>
          <w:szCs w:val="24"/>
          <w:lang w:eastAsia="ja-JP"/>
        </w:rPr>
        <w:t>.</w:t>
      </w:r>
    </w:p>
    <w:p w:rsidR="00340CF7" w:rsidRPr="000B4562" w:rsidRDefault="00340CF7" w:rsidP="00340CF7">
      <w:pPr>
        <w:tabs>
          <w:tab w:val="left" w:pos="360"/>
        </w:tabs>
        <w:spacing w:after="0" w:line="240" w:lineRule="auto"/>
        <w:rPr>
          <w:rFonts w:ascii="Times New Roman" w:eastAsia="Times New Roman" w:hAnsi="Times New Roman" w:cs="Times New Roman"/>
          <w:i/>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t>9.  Explanation of Any Payment or Gift to Respondents</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No payments will be made to respondents of the survey.</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lastRenderedPageBreak/>
        <w:t>10.  Assurance of Confidentiality Provided to Respondents</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No information in identifiable form will be collected from respondents.  Respondents will be asked to provide general demographic information such as age (but not birth date) and type of gear fished (but not employer) in the survey.   The survey will be administered only once to each respondent and therefore there will be no need to collect contact information for follow-up.  The survey will be administered by NIOSH researchers.  All data will be recorded on standard forms and belongs exclusively to NIOSH.</w:t>
      </w:r>
    </w:p>
    <w:p w:rsidR="00A11B14" w:rsidRPr="000B4562" w:rsidRDefault="00A11B14" w:rsidP="00340CF7">
      <w:pPr>
        <w:tabs>
          <w:tab w:val="left" w:pos="360"/>
        </w:tabs>
        <w:spacing w:after="0" w:line="240" w:lineRule="auto"/>
        <w:rPr>
          <w:rFonts w:ascii="Times New Roman" w:eastAsia="Times New Roman" w:hAnsi="Times New Roman" w:cs="Times New Roman"/>
          <w:sz w:val="24"/>
          <w:szCs w:val="24"/>
          <w:lang w:eastAsia="ja-JP"/>
        </w:rPr>
      </w:pPr>
    </w:p>
    <w:p w:rsidR="00B36DC0" w:rsidRPr="000B4562" w:rsidRDefault="00B36DC0" w:rsidP="00B36DC0">
      <w:pPr>
        <w:tabs>
          <w:tab w:val="left" w:pos="360"/>
        </w:tabs>
        <w:spacing w:after="0" w:line="240" w:lineRule="auto"/>
        <w:rPr>
          <w:rFonts w:ascii="Times New Roman" w:eastAsia="Times New Roman" w:hAnsi="Times New Roman" w:cs="Times New Roman"/>
          <w:color w:val="FF0000"/>
          <w:sz w:val="24"/>
          <w:szCs w:val="24"/>
          <w:lang w:eastAsia="ja-JP"/>
        </w:rPr>
      </w:pPr>
      <w:r w:rsidRPr="000B4562">
        <w:rPr>
          <w:rFonts w:ascii="Times New Roman" w:eastAsia="Times New Roman" w:hAnsi="Times New Roman" w:cs="Times New Roman"/>
          <w:sz w:val="24"/>
          <w:szCs w:val="24"/>
          <w:lang w:eastAsia="ja-JP"/>
        </w:rPr>
        <w:t xml:space="preserve">This study protocol and attached consent document was approved by the NIOSH IRB on January 8, 2014 (Attachment </w:t>
      </w:r>
      <w:r w:rsidR="0065619E">
        <w:rPr>
          <w:rFonts w:ascii="Times New Roman" w:eastAsia="Times New Roman" w:hAnsi="Times New Roman" w:cs="Times New Roman"/>
          <w:sz w:val="24"/>
          <w:szCs w:val="24"/>
          <w:lang w:eastAsia="ja-JP"/>
        </w:rPr>
        <w:t>7</w:t>
      </w:r>
      <w:r w:rsidRPr="000B4562">
        <w:rPr>
          <w:rFonts w:ascii="Times New Roman" w:eastAsia="Times New Roman" w:hAnsi="Times New Roman" w:cs="Times New Roman"/>
          <w:sz w:val="24"/>
          <w:szCs w:val="24"/>
          <w:lang w:eastAsia="ja-JP"/>
        </w:rPr>
        <w:t>: HSRB Form 1379).</w:t>
      </w:r>
    </w:p>
    <w:p w:rsidR="00B36DC0" w:rsidRPr="000B4562" w:rsidRDefault="00B36DC0" w:rsidP="00821230">
      <w:pPr>
        <w:tabs>
          <w:tab w:val="left" w:pos="360"/>
        </w:tabs>
        <w:spacing w:after="0" w:line="240" w:lineRule="auto"/>
        <w:rPr>
          <w:rFonts w:ascii="Times New Roman" w:eastAsia="Times New Roman" w:hAnsi="Times New Roman" w:cs="Times New Roman"/>
          <w:sz w:val="24"/>
          <w:szCs w:val="24"/>
          <w:lang w:eastAsia="ja-JP"/>
        </w:rPr>
      </w:pPr>
    </w:p>
    <w:p w:rsidR="00821230" w:rsidRPr="000B4562" w:rsidRDefault="00A11B14" w:rsidP="00821230">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A waiver of </w:t>
      </w:r>
      <w:r w:rsidR="00866884" w:rsidRPr="000B4562">
        <w:rPr>
          <w:rFonts w:ascii="Times New Roman" w:eastAsia="Times New Roman" w:hAnsi="Times New Roman" w:cs="Times New Roman"/>
          <w:sz w:val="24"/>
          <w:szCs w:val="24"/>
          <w:lang w:eastAsia="ja-JP"/>
        </w:rPr>
        <w:t xml:space="preserve">documentation of </w:t>
      </w:r>
      <w:r w:rsidRPr="000B4562">
        <w:rPr>
          <w:rFonts w:ascii="Times New Roman" w:eastAsia="Times New Roman" w:hAnsi="Times New Roman" w:cs="Times New Roman"/>
          <w:sz w:val="24"/>
          <w:szCs w:val="24"/>
          <w:lang w:eastAsia="ja-JP"/>
        </w:rPr>
        <w:t xml:space="preserve">informed consent for respondents </w:t>
      </w:r>
      <w:r w:rsidR="00B36DC0" w:rsidRPr="000B4562">
        <w:rPr>
          <w:rFonts w:ascii="Times New Roman" w:eastAsia="Times New Roman" w:hAnsi="Times New Roman" w:cs="Times New Roman"/>
          <w:sz w:val="24"/>
          <w:szCs w:val="24"/>
          <w:lang w:eastAsia="ja-JP"/>
        </w:rPr>
        <w:t xml:space="preserve">was granted by the NIOSH IRB </w:t>
      </w:r>
      <w:r w:rsidRPr="000B4562">
        <w:rPr>
          <w:rFonts w:ascii="Times New Roman" w:eastAsia="Times New Roman" w:hAnsi="Times New Roman" w:cs="Times New Roman"/>
          <w:sz w:val="24"/>
          <w:szCs w:val="24"/>
          <w:lang w:eastAsia="ja-JP"/>
        </w:rPr>
        <w:t xml:space="preserve">based </w:t>
      </w:r>
      <w:r w:rsidR="00866884" w:rsidRPr="000B4562">
        <w:rPr>
          <w:rFonts w:ascii="Times New Roman" w:eastAsia="Times New Roman" w:hAnsi="Times New Roman" w:cs="Times New Roman"/>
          <w:sz w:val="24"/>
          <w:szCs w:val="24"/>
          <w:lang w:eastAsia="ja-JP"/>
        </w:rPr>
        <w:t xml:space="preserve">on </w:t>
      </w:r>
      <w:r w:rsidR="00942315" w:rsidRPr="000B4562">
        <w:rPr>
          <w:rFonts w:ascii="Times New Roman" w:eastAsia="Times New Roman" w:hAnsi="Times New Roman" w:cs="Times New Roman"/>
          <w:sz w:val="24"/>
          <w:szCs w:val="24"/>
          <w:lang w:eastAsia="ja-JP"/>
        </w:rPr>
        <w:t>45</w:t>
      </w:r>
      <w:r w:rsidR="00866884" w:rsidRPr="000B4562">
        <w:rPr>
          <w:rFonts w:ascii="Times New Roman" w:eastAsia="Times New Roman" w:hAnsi="Times New Roman" w:cs="Times New Roman"/>
          <w:sz w:val="24"/>
          <w:szCs w:val="24"/>
          <w:lang w:eastAsia="ja-JP"/>
        </w:rPr>
        <w:t>CFR 46.117 (c)</w:t>
      </w:r>
      <w:r w:rsidR="00161121" w:rsidRPr="000B4562">
        <w:rPr>
          <w:rFonts w:ascii="Times New Roman" w:eastAsia="Times New Roman" w:hAnsi="Times New Roman" w:cs="Times New Roman"/>
          <w:sz w:val="24"/>
          <w:szCs w:val="24"/>
          <w:lang w:eastAsia="ja-JP"/>
        </w:rPr>
        <w:t xml:space="preserve"> (2)</w:t>
      </w:r>
      <w:r w:rsidR="00866884" w:rsidRPr="000B4562">
        <w:rPr>
          <w:rFonts w:ascii="Times New Roman" w:eastAsia="Times New Roman" w:hAnsi="Times New Roman" w:cs="Times New Roman"/>
          <w:sz w:val="24"/>
          <w:szCs w:val="24"/>
          <w:lang w:eastAsia="ja-JP"/>
        </w:rPr>
        <w:t xml:space="preserve"> which states that an IRB may waive the requirement for the investigator to obtain a signed consent form for some or all subjects if</w:t>
      </w:r>
      <w:r w:rsidR="00D37F5A" w:rsidRPr="000B4562">
        <w:rPr>
          <w:rFonts w:ascii="Times New Roman" w:eastAsia="Times New Roman" w:hAnsi="Times New Roman" w:cs="Times New Roman"/>
          <w:sz w:val="24"/>
          <w:szCs w:val="24"/>
          <w:lang w:eastAsia="ja-JP"/>
        </w:rPr>
        <w:t xml:space="preserve"> </w:t>
      </w:r>
      <w:r w:rsidR="00866884" w:rsidRPr="000B4562">
        <w:rPr>
          <w:rFonts w:ascii="Times New Roman" w:eastAsia="Times New Roman" w:hAnsi="Times New Roman" w:cs="Times New Roman"/>
          <w:sz w:val="24"/>
          <w:szCs w:val="24"/>
          <w:lang w:eastAsia="ja-JP"/>
        </w:rPr>
        <w:t xml:space="preserve">the research presents no more than minimal risk of harm to subjects and involves no procedures for which written consent is normally required </w:t>
      </w:r>
      <w:r w:rsidR="001A58EF" w:rsidRPr="000B4562">
        <w:rPr>
          <w:rFonts w:ascii="Times New Roman" w:eastAsia="Times New Roman" w:hAnsi="Times New Roman" w:cs="Times New Roman"/>
          <w:sz w:val="24"/>
          <w:szCs w:val="24"/>
          <w:lang w:eastAsia="ja-JP"/>
        </w:rPr>
        <w:t xml:space="preserve">outside of the research context (for documentation of waiver, see Attachment 8: HSRB Form 1379, page 2 – NIOSH HSRB Chair signature line). </w:t>
      </w:r>
    </w:p>
    <w:p w:rsidR="00161121" w:rsidRPr="000B4562" w:rsidRDefault="00161121" w:rsidP="00DE7485">
      <w:pPr>
        <w:tabs>
          <w:tab w:val="left" w:pos="360"/>
        </w:tabs>
        <w:spacing w:after="0" w:line="240" w:lineRule="auto"/>
        <w:rPr>
          <w:rFonts w:ascii="Times New Roman" w:eastAsia="Times New Roman" w:hAnsi="Times New Roman" w:cs="Times New Roman"/>
          <w:sz w:val="24"/>
          <w:szCs w:val="24"/>
          <w:lang w:eastAsia="ja-JP"/>
        </w:rPr>
      </w:pPr>
    </w:p>
    <w:p w:rsidR="00DE7485" w:rsidRPr="000B4562" w:rsidRDefault="00161121" w:rsidP="00DE7485">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This research introduces no </w:t>
      </w:r>
      <w:r w:rsidR="00821230" w:rsidRPr="000B4562">
        <w:rPr>
          <w:rFonts w:ascii="Times New Roman" w:eastAsia="Times New Roman" w:hAnsi="Times New Roman" w:cs="Times New Roman"/>
          <w:sz w:val="24"/>
          <w:szCs w:val="24"/>
          <w:lang w:eastAsia="ja-JP"/>
        </w:rPr>
        <w:t>potential risks to respondents</w:t>
      </w:r>
      <w:r w:rsidR="0089149D" w:rsidRPr="000B4562">
        <w:rPr>
          <w:rFonts w:ascii="Times New Roman" w:eastAsia="Times New Roman" w:hAnsi="Times New Roman" w:cs="Times New Roman"/>
          <w:sz w:val="24"/>
          <w:szCs w:val="24"/>
          <w:lang w:eastAsia="ja-JP"/>
        </w:rPr>
        <w:t xml:space="preserve"> and no procedures for which written consent is normally required outside of the research context.</w:t>
      </w:r>
      <w:r w:rsidR="00821230" w:rsidRPr="000B4562">
        <w:rPr>
          <w:rFonts w:ascii="Times New Roman" w:eastAsia="Times New Roman" w:hAnsi="Times New Roman" w:cs="Times New Roman"/>
          <w:sz w:val="24"/>
          <w:szCs w:val="24"/>
          <w:lang w:eastAsia="ja-JP"/>
        </w:rPr>
        <w:t xml:space="preserve"> </w:t>
      </w:r>
      <w:r w:rsidR="0089149D" w:rsidRPr="000B4562">
        <w:rPr>
          <w:rFonts w:ascii="Times New Roman" w:eastAsia="Times New Roman" w:hAnsi="Times New Roman" w:cs="Times New Roman"/>
          <w:sz w:val="24"/>
          <w:szCs w:val="24"/>
          <w:lang w:eastAsia="ja-JP"/>
        </w:rPr>
        <w:t xml:space="preserve"> </w:t>
      </w:r>
      <w:r w:rsidR="00821230" w:rsidRPr="000B4562">
        <w:rPr>
          <w:rFonts w:ascii="Times New Roman" w:eastAsia="Times New Roman" w:hAnsi="Times New Roman" w:cs="Times New Roman"/>
          <w:sz w:val="24"/>
          <w:szCs w:val="24"/>
          <w:lang w:eastAsia="ja-JP"/>
        </w:rPr>
        <w:t xml:space="preserve"> Fishermen will </w:t>
      </w:r>
      <w:r w:rsidR="00DE7485" w:rsidRPr="000B4562">
        <w:rPr>
          <w:rFonts w:ascii="Times New Roman" w:eastAsia="Times New Roman" w:hAnsi="Times New Roman" w:cs="Times New Roman"/>
          <w:sz w:val="24"/>
          <w:szCs w:val="24"/>
          <w:lang w:eastAsia="ja-JP"/>
        </w:rPr>
        <w:t xml:space="preserve">only </w:t>
      </w:r>
      <w:r w:rsidR="00821230" w:rsidRPr="000B4562">
        <w:rPr>
          <w:rFonts w:ascii="Times New Roman" w:eastAsia="Times New Roman" w:hAnsi="Times New Roman" w:cs="Times New Roman"/>
          <w:sz w:val="24"/>
          <w:szCs w:val="24"/>
          <w:lang w:eastAsia="ja-JP"/>
        </w:rPr>
        <w:t xml:space="preserve">be asked to complete a short survey that asks only non-intrusive questions about their perceptions and opinions.  </w:t>
      </w:r>
      <w:r w:rsidR="00DE7485" w:rsidRPr="000B4562">
        <w:rPr>
          <w:rFonts w:ascii="Times New Roman" w:eastAsia="Times New Roman" w:hAnsi="Times New Roman" w:cs="Times New Roman"/>
          <w:sz w:val="24"/>
          <w:szCs w:val="24"/>
          <w:lang w:eastAsia="ja-JP"/>
        </w:rPr>
        <w:t>There are no sensitive questions, and no identifying questions.</w:t>
      </w:r>
    </w:p>
    <w:p w:rsidR="0089149D" w:rsidRPr="000B4562" w:rsidRDefault="0089149D" w:rsidP="00821230">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DE7485"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A copy of the complete consent form will be provided to respondents</w:t>
      </w:r>
      <w:r w:rsidR="009C3381" w:rsidRPr="000B4562">
        <w:rPr>
          <w:rFonts w:ascii="Times New Roman" w:eastAsia="Times New Roman" w:hAnsi="Times New Roman" w:cs="Times New Roman"/>
          <w:sz w:val="24"/>
          <w:szCs w:val="24"/>
          <w:lang w:eastAsia="ja-JP"/>
        </w:rPr>
        <w:t xml:space="preserve"> (Attachment 5: Informed Consent)</w:t>
      </w:r>
      <w:r w:rsidRPr="000B4562">
        <w:rPr>
          <w:rFonts w:ascii="Times New Roman" w:eastAsia="Times New Roman" w:hAnsi="Times New Roman" w:cs="Times New Roman"/>
          <w:sz w:val="24"/>
          <w:szCs w:val="24"/>
          <w:lang w:eastAsia="ja-JP"/>
        </w:rPr>
        <w:t>.</w:t>
      </w:r>
    </w:p>
    <w:p w:rsidR="0089149D" w:rsidRPr="000B4562" w:rsidRDefault="0089149D" w:rsidP="00340CF7">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Privacy Impact Assessment Information </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No IIF is being collected</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p>
    <w:p w:rsidR="007170BF" w:rsidRPr="000B4562" w:rsidRDefault="007170BF" w:rsidP="00340CF7">
      <w:pPr>
        <w:tabs>
          <w:tab w:val="left" w:pos="360"/>
        </w:tabs>
        <w:spacing w:after="0" w:line="240" w:lineRule="auto"/>
        <w:rPr>
          <w:rFonts w:ascii="Times New Roman" w:eastAsia="Times New Roman" w:hAnsi="Times New Roman" w:cs="Times New Roman"/>
          <w:b/>
          <w:sz w:val="24"/>
          <w:szCs w:val="24"/>
          <w:lang w:eastAsia="ja-JP"/>
        </w:rPr>
      </w:pPr>
    </w:p>
    <w:p w:rsidR="007170BF" w:rsidRPr="000B4562" w:rsidRDefault="007170BF"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t>11.  Justification for Sensitive Questions</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No questions of a sensitive nature will be asked.  Because participation is entirely voluntary, respondents may skip any survey items they do not wish to answer.  The demographic items to be gathered are standard in social science research.</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r w:rsidRPr="000B4562">
        <w:rPr>
          <w:rFonts w:ascii="Times New Roman" w:eastAsia="Times New Roman" w:hAnsi="Times New Roman" w:cs="Times New Roman"/>
          <w:b/>
          <w:sz w:val="24"/>
          <w:szCs w:val="24"/>
        </w:rPr>
        <w:t>12.  Estimates of Annualized Burden Hours and Costs</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p>
    <w:p w:rsidR="002D072E" w:rsidRDefault="00340CF7" w:rsidP="00340CF7">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 xml:space="preserve">There is only one type of respondent involved with this study - fishermen.  </w:t>
      </w:r>
      <w:r w:rsidR="00F911B6">
        <w:rPr>
          <w:rFonts w:ascii="Times New Roman" w:eastAsia="Times New Roman" w:hAnsi="Times New Roman" w:cs="Times New Roman"/>
          <w:sz w:val="24"/>
          <w:szCs w:val="24"/>
        </w:rPr>
        <w:t>As previously discussed</w:t>
      </w:r>
      <w:r w:rsidR="00D23367">
        <w:rPr>
          <w:rFonts w:ascii="Times New Roman" w:eastAsia="Times New Roman" w:hAnsi="Times New Roman" w:cs="Times New Roman"/>
          <w:sz w:val="24"/>
          <w:szCs w:val="24"/>
        </w:rPr>
        <w:t xml:space="preserve"> in Section A1,</w:t>
      </w:r>
      <w:r w:rsidR="00F911B6">
        <w:rPr>
          <w:rFonts w:ascii="Times New Roman" w:eastAsia="Times New Roman" w:hAnsi="Times New Roman" w:cs="Times New Roman"/>
          <w:sz w:val="24"/>
          <w:szCs w:val="24"/>
        </w:rPr>
        <w:t xml:space="preserve"> </w:t>
      </w:r>
      <w:r w:rsidR="002D072E">
        <w:rPr>
          <w:rFonts w:ascii="Times New Roman" w:eastAsia="Times New Roman" w:hAnsi="Times New Roman" w:cs="Times New Roman"/>
          <w:sz w:val="24"/>
          <w:szCs w:val="24"/>
        </w:rPr>
        <w:t>there has been a decrease in the burden hours due to the completion of one phase of the initial information collection.  The goals of Phase II</w:t>
      </w:r>
      <w:r w:rsidR="002D072E" w:rsidRPr="002D072E">
        <w:rPr>
          <w:rFonts w:ascii="Times New Roman" w:eastAsia="Times New Roman" w:hAnsi="Times New Roman" w:cs="Times New Roman"/>
          <w:sz w:val="24"/>
          <w:szCs w:val="24"/>
        </w:rPr>
        <w:t xml:space="preserve"> (identifying PFD style preferences among fishermen) has been accomplished</w:t>
      </w:r>
      <w:r w:rsidR="002D072E">
        <w:rPr>
          <w:rFonts w:ascii="Times New Roman" w:eastAsia="Times New Roman" w:hAnsi="Times New Roman" w:cs="Times New Roman"/>
          <w:sz w:val="24"/>
          <w:szCs w:val="24"/>
        </w:rPr>
        <w:t xml:space="preserve"> and</w:t>
      </w:r>
      <w:r w:rsidR="002D072E" w:rsidRPr="002D072E">
        <w:rPr>
          <w:rFonts w:ascii="Times New Roman" w:eastAsia="Times New Roman" w:hAnsi="Times New Roman" w:cs="Times New Roman"/>
          <w:sz w:val="24"/>
          <w:szCs w:val="24"/>
        </w:rPr>
        <w:t xml:space="preserve"> th</w:t>
      </w:r>
      <w:r w:rsidR="002D072E">
        <w:rPr>
          <w:rFonts w:ascii="Times New Roman" w:eastAsia="Times New Roman" w:hAnsi="Times New Roman" w:cs="Times New Roman"/>
          <w:sz w:val="24"/>
          <w:szCs w:val="24"/>
        </w:rPr>
        <w:t xml:space="preserve">ere is no need to reinstate this data collection.  </w:t>
      </w:r>
      <w:r w:rsidR="002D072E" w:rsidRPr="002D072E">
        <w:rPr>
          <w:rFonts w:ascii="Times New Roman" w:eastAsia="Times New Roman" w:hAnsi="Times New Roman" w:cs="Times New Roman"/>
          <w:sz w:val="24"/>
          <w:szCs w:val="24"/>
        </w:rPr>
        <w:t>Thus, the total burden hours will be reduced from 200</w:t>
      </w:r>
      <w:r w:rsidR="00DD4BCA">
        <w:rPr>
          <w:rFonts w:ascii="Times New Roman" w:eastAsia="Times New Roman" w:hAnsi="Times New Roman" w:cs="Times New Roman"/>
          <w:sz w:val="24"/>
          <w:szCs w:val="24"/>
        </w:rPr>
        <w:t xml:space="preserve"> hours which was originally approved,</w:t>
      </w:r>
      <w:r w:rsidR="002D072E" w:rsidRPr="002D072E">
        <w:rPr>
          <w:rFonts w:ascii="Times New Roman" w:eastAsia="Times New Roman" w:hAnsi="Times New Roman" w:cs="Times New Roman"/>
          <w:sz w:val="24"/>
          <w:szCs w:val="24"/>
        </w:rPr>
        <w:t xml:space="preserve"> to 134 </w:t>
      </w:r>
      <w:r w:rsidR="00DD4BCA">
        <w:rPr>
          <w:rFonts w:ascii="Times New Roman" w:eastAsia="Times New Roman" w:hAnsi="Times New Roman" w:cs="Times New Roman"/>
          <w:sz w:val="24"/>
          <w:szCs w:val="24"/>
        </w:rPr>
        <w:t>hours.</w:t>
      </w:r>
    </w:p>
    <w:p w:rsidR="0049053A" w:rsidRDefault="0049053A" w:rsidP="0049053A">
      <w:pPr>
        <w:tabs>
          <w:tab w:val="left" w:pos="360"/>
        </w:tabs>
        <w:spacing w:after="0" w:line="240" w:lineRule="auto"/>
      </w:pPr>
      <w:r>
        <w:rPr>
          <w:rFonts w:ascii="Times New Roman" w:eastAsia="Times New Roman" w:hAnsi="Times New Roman" w:cs="Times New Roman"/>
          <w:sz w:val="24"/>
          <w:szCs w:val="24"/>
        </w:rPr>
        <w:lastRenderedPageBreak/>
        <w:t>In addition,</w:t>
      </w:r>
      <w:r w:rsidRPr="0049053A">
        <w:t xml:space="preserve"> </w:t>
      </w:r>
      <w:r>
        <w:rPr>
          <w:rFonts w:ascii="Times New Roman" w:eastAsia="Times New Roman" w:hAnsi="Times New Roman" w:cs="Times New Roman"/>
          <w:sz w:val="24"/>
          <w:szCs w:val="24"/>
        </w:rPr>
        <w:t>t</w:t>
      </w:r>
      <w:r w:rsidRPr="0049053A">
        <w:rPr>
          <w:rFonts w:ascii="Times New Roman" w:eastAsia="Times New Roman" w:hAnsi="Times New Roman" w:cs="Times New Roman"/>
          <w:sz w:val="24"/>
          <w:szCs w:val="24"/>
        </w:rPr>
        <w:t xml:space="preserve">he survey has been slightly modified to eliminate questions deemed inconsequential during the original analyses and add questions to account for exposure to and influence of NIOSH risk communication efforts.  </w:t>
      </w:r>
      <w:r w:rsidR="00D97712" w:rsidRPr="00340CF7">
        <w:rPr>
          <w:rFonts w:ascii="Times New Roman" w:eastAsia="Times New Roman" w:hAnsi="Times New Roman" w:cs="Times New Roman"/>
          <w:sz w:val="24"/>
          <w:szCs w:val="24"/>
        </w:rPr>
        <w:t>The original survey was pilot tested with eight fishermen volunteers.  The pilot respondents reported that they h</w:t>
      </w:r>
      <w:r w:rsidR="00D97712">
        <w:rPr>
          <w:rFonts w:ascii="Times New Roman" w:eastAsia="Times New Roman" w:hAnsi="Times New Roman" w:cs="Times New Roman"/>
          <w:sz w:val="24"/>
          <w:szCs w:val="24"/>
        </w:rPr>
        <w:t xml:space="preserve">ad ready-made answers to all of the short questions and </w:t>
      </w:r>
      <w:r w:rsidR="00D97712" w:rsidRPr="00340CF7">
        <w:rPr>
          <w:rFonts w:ascii="Times New Roman" w:eastAsia="Times New Roman" w:hAnsi="Times New Roman" w:cs="Times New Roman"/>
          <w:sz w:val="24"/>
          <w:szCs w:val="24"/>
        </w:rPr>
        <w:t>checking the provided answer boxes was a fast and simple process.</w:t>
      </w:r>
      <w:r w:rsidR="00D97712">
        <w:rPr>
          <w:rFonts w:ascii="Times New Roman" w:eastAsia="Times New Roman" w:hAnsi="Times New Roman" w:cs="Times New Roman"/>
          <w:sz w:val="24"/>
          <w:szCs w:val="24"/>
        </w:rPr>
        <w:t xml:space="preserve">  </w:t>
      </w:r>
      <w:r w:rsidR="00D97712" w:rsidRPr="005C2D18">
        <w:rPr>
          <w:rFonts w:ascii="Times New Roman" w:eastAsia="Times New Roman" w:hAnsi="Times New Roman" w:cs="Times New Roman"/>
          <w:sz w:val="24"/>
          <w:szCs w:val="24"/>
        </w:rPr>
        <w:t>This wa</w:t>
      </w:r>
      <w:r w:rsidR="00D97712">
        <w:rPr>
          <w:rFonts w:ascii="Times New Roman" w:eastAsia="Times New Roman" w:hAnsi="Times New Roman" w:cs="Times New Roman"/>
          <w:sz w:val="24"/>
          <w:szCs w:val="24"/>
        </w:rPr>
        <w:t>s confirmed during the original</w:t>
      </w:r>
      <w:r w:rsidR="00D97712" w:rsidRPr="00D97712">
        <w:t xml:space="preserve"> </w:t>
      </w:r>
      <w:r w:rsidR="00D97712" w:rsidRPr="00D97712">
        <w:rPr>
          <w:rFonts w:ascii="Times New Roman" w:eastAsia="Times New Roman" w:hAnsi="Times New Roman" w:cs="Times New Roman"/>
          <w:sz w:val="24"/>
          <w:szCs w:val="24"/>
        </w:rPr>
        <w:t xml:space="preserve">administration of the survey (2008-2009). </w:t>
      </w:r>
      <w:r w:rsidR="00D97712">
        <w:rPr>
          <w:rFonts w:ascii="Times New Roman" w:eastAsia="Times New Roman" w:hAnsi="Times New Roman" w:cs="Times New Roman"/>
          <w:sz w:val="24"/>
          <w:szCs w:val="24"/>
        </w:rPr>
        <w:t xml:space="preserve"> </w:t>
      </w:r>
      <w:r w:rsidRPr="0049053A">
        <w:rPr>
          <w:rFonts w:ascii="Times New Roman" w:eastAsia="Times New Roman" w:hAnsi="Times New Roman" w:cs="Times New Roman"/>
          <w:sz w:val="24"/>
          <w:szCs w:val="24"/>
        </w:rPr>
        <w:t>Given that the questions were similarly structured (i.e., checked answer boxes), it has been determined t</w:t>
      </w:r>
      <w:r w:rsidR="00D97712" w:rsidRPr="00D97712">
        <w:rPr>
          <w:rFonts w:ascii="Times New Roman" w:eastAsia="Times New Roman" w:hAnsi="Times New Roman" w:cs="Times New Roman"/>
          <w:sz w:val="24"/>
          <w:szCs w:val="24"/>
        </w:rPr>
        <w:t>hat the time burden will remain the same.</w:t>
      </w:r>
    </w:p>
    <w:p w:rsidR="00D02326" w:rsidRDefault="00D02326" w:rsidP="0049053A">
      <w:pPr>
        <w:tabs>
          <w:tab w:val="left" w:pos="360"/>
        </w:tabs>
        <w:spacing w:after="0" w:line="240" w:lineRule="auto"/>
        <w:rPr>
          <w:rFonts w:ascii="Times New Roman" w:eastAsia="Times New Roman" w:hAnsi="Times New Roman" w:cs="Times New Roman"/>
          <w:sz w:val="24"/>
          <w:szCs w:val="24"/>
        </w:rPr>
      </w:pPr>
    </w:p>
    <w:p w:rsidR="00340CF7" w:rsidRDefault="00340CF7" w:rsidP="00D97712">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There are two data collection points (once per season) covered by this information collection request.  A total of four hundred (400) fishermen will be asked to comple</w:t>
      </w:r>
      <w:r w:rsidR="00975F19" w:rsidRPr="000B4562">
        <w:rPr>
          <w:rFonts w:ascii="Times New Roman" w:eastAsia="Times New Roman" w:hAnsi="Times New Roman" w:cs="Times New Roman"/>
          <w:sz w:val="24"/>
          <w:szCs w:val="24"/>
        </w:rPr>
        <w:t>te a questionnaire</w:t>
      </w:r>
      <w:r w:rsidR="00975F19">
        <w:rPr>
          <w:rFonts w:ascii="Times New Roman" w:eastAsia="Times New Roman" w:hAnsi="Times New Roman" w:cs="Times New Roman"/>
          <w:sz w:val="24"/>
          <w:szCs w:val="24"/>
        </w:rPr>
        <w:t xml:space="preserve"> (Attachment 6</w:t>
      </w:r>
      <w:r w:rsidRPr="00340CF7">
        <w:rPr>
          <w:rFonts w:ascii="Times New Roman" w:eastAsia="Times New Roman" w:hAnsi="Times New Roman" w:cs="Times New Roman"/>
          <w:sz w:val="24"/>
          <w:szCs w:val="24"/>
        </w:rPr>
        <w:t xml:space="preserve">: </w:t>
      </w:r>
      <w:r w:rsidR="00975F19">
        <w:rPr>
          <w:rFonts w:ascii="Times New Roman" w:eastAsia="Times New Roman" w:hAnsi="Times New Roman" w:cs="Times New Roman"/>
          <w:sz w:val="24"/>
          <w:szCs w:val="24"/>
        </w:rPr>
        <w:t>Survey Instrument</w:t>
      </w:r>
      <w:r w:rsidRPr="00340CF7">
        <w:rPr>
          <w:rFonts w:ascii="Times New Roman" w:eastAsia="Times New Roman" w:hAnsi="Times New Roman" w:cs="Times New Roman"/>
          <w:sz w:val="24"/>
          <w:szCs w:val="24"/>
        </w:rPr>
        <w:t xml:space="preserve">) that may take up to 20 minutes to complete (Table I).  </w:t>
      </w:r>
    </w:p>
    <w:p w:rsidR="00D97712" w:rsidRPr="00340CF7" w:rsidRDefault="00D97712" w:rsidP="00D97712">
      <w:pPr>
        <w:tabs>
          <w:tab w:val="left" w:pos="36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Table I. Estimated Annualized Burden Hours</w:t>
      </w:r>
    </w:p>
    <w:tbl>
      <w:tblPr>
        <w:tblW w:w="94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636"/>
        <w:gridCol w:w="1560"/>
        <w:gridCol w:w="1440"/>
        <w:gridCol w:w="1324"/>
        <w:gridCol w:w="1080"/>
      </w:tblGrid>
      <w:tr w:rsidR="00340CF7" w:rsidRPr="00340CF7" w:rsidTr="00DD4C31">
        <w:trPr>
          <w:jc w:val="center"/>
        </w:trPr>
        <w:tc>
          <w:tcPr>
            <w:tcW w:w="144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Type of Respondent</w:t>
            </w:r>
          </w:p>
        </w:tc>
        <w:tc>
          <w:tcPr>
            <w:tcW w:w="2636"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 xml:space="preserve">Form </w:t>
            </w:r>
          </w:p>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Name</w:t>
            </w:r>
          </w:p>
        </w:tc>
        <w:tc>
          <w:tcPr>
            <w:tcW w:w="156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No. of Respondents</w:t>
            </w:r>
          </w:p>
        </w:tc>
        <w:tc>
          <w:tcPr>
            <w:tcW w:w="144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No. Responses per Respondent</w:t>
            </w:r>
          </w:p>
        </w:tc>
        <w:tc>
          <w:tcPr>
            <w:tcW w:w="1324"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Average Burden per Response   (in hours)</w:t>
            </w:r>
          </w:p>
        </w:tc>
        <w:tc>
          <w:tcPr>
            <w:tcW w:w="108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Total Burden Hours</w:t>
            </w:r>
          </w:p>
        </w:tc>
      </w:tr>
      <w:tr w:rsidR="00340CF7" w:rsidRPr="00340CF7" w:rsidTr="00DD4C31">
        <w:trPr>
          <w:jc w:val="center"/>
        </w:trPr>
        <w:tc>
          <w:tcPr>
            <w:tcW w:w="144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Fishermen</w:t>
            </w:r>
          </w:p>
        </w:tc>
        <w:tc>
          <w:tcPr>
            <w:tcW w:w="2636"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2014 Fishing Season: Fishing for Facts: A survey of fishermen’s opinions about the risk of falls overboard and PFDs</w:t>
            </w:r>
          </w:p>
        </w:tc>
        <w:tc>
          <w:tcPr>
            <w:tcW w:w="156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200</w:t>
            </w:r>
          </w:p>
        </w:tc>
        <w:tc>
          <w:tcPr>
            <w:tcW w:w="144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w:t>
            </w:r>
          </w:p>
        </w:tc>
        <w:tc>
          <w:tcPr>
            <w:tcW w:w="1324"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20/60</w:t>
            </w:r>
          </w:p>
        </w:tc>
        <w:tc>
          <w:tcPr>
            <w:tcW w:w="108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67</w:t>
            </w:r>
          </w:p>
        </w:tc>
      </w:tr>
      <w:tr w:rsidR="00340CF7" w:rsidRPr="00340CF7" w:rsidTr="00DD4C31">
        <w:trPr>
          <w:jc w:val="center"/>
        </w:trPr>
        <w:tc>
          <w:tcPr>
            <w:tcW w:w="144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Fishermen</w:t>
            </w:r>
          </w:p>
        </w:tc>
        <w:tc>
          <w:tcPr>
            <w:tcW w:w="2636"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2015 Fishing Season: Fishing for Facts: A survey of fishermen’s opinions about the risk of falls overboard and PFDs</w:t>
            </w:r>
          </w:p>
        </w:tc>
        <w:tc>
          <w:tcPr>
            <w:tcW w:w="156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200</w:t>
            </w:r>
          </w:p>
        </w:tc>
        <w:tc>
          <w:tcPr>
            <w:tcW w:w="144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w:t>
            </w:r>
          </w:p>
        </w:tc>
        <w:tc>
          <w:tcPr>
            <w:tcW w:w="1324"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20/60</w:t>
            </w:r>
          </w:p>
        </w:tc>
        <w:tc>
          <w:tcPr>
            <w:tcW w:w="108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67</w:t>
            </w:r>
          </w:p>
        </w:tc>
      </w:tr>
      <w:tr w:rsidR="00340CF7" w:rsidRPr="00340CF7" w:rsidTr="00DD4C31">
        <w:trPr>
          <w:jc w:val="center"/>
        </w:trPr>
        <w:tc>
          <w:tcPr>
            <w:tcW w:w="8400" w:type="dxa"/>
            <w:gridSpan w:val="5"/>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b/>
                <w:sz w:val="24"/>
                <w:szCs w:val="24"/>
              </w:rPr>
              <w:t>Total</w:t>
            </w:r>
          </w:p>
        </w:tc>
        <w:tc>
          <w:tcPr>
            <w:tcW w:w="1080" w:type="dxa"/>
            <w:shd w:val="clear" w:color="auto" w:fill="auto"/>
          </w:tcPr>
          <w:p w:rsidR="00340CF7" w:rsidRPr="00340CF7" w:rsidRDefault="00F233ED" w:rsidP="00340CF7">
            <w:pPr>
              <w:tabs>
                <w:tab w:val="left" w:pos="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w:t>
            </w:r>
          </w:p>
        </w:tc>
      </w:tr>
    </w:tbl>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p>
    <w:p w:rsidR="007170BF" w:rsidRDefault="007170BF" w:rsidP="00340CF7">
      <w:pPr>
        <w:tabs>
          <w:tab w:val="left" w:pos="360"/>
        </w:tabs>
        <w:spacing w:after="0" w:line="240" w:lineRule="auto"/>
        <w:rPr>
          <w:rFonts w:ascii="Times New Roman" w:eastAsia="Times New Roman" w:hAnsi="Times New Roman" w:cs="Times New Roman"/>
          <w:sz w:val="24"/>
          <w:szCs w:val="24"/>
        </w:rPr>
      </w:pPr>
    </w:p>
    <w:p w:rsidR="007170BF" w:rsidRDefault="007170BF" w:rsidP="00340CF7">
      <w:pPr>
        <w:tabs>
          <w:tab w:val="left" w:pos="360"/>
        </w:tabs>
        <w:spacing w:after="0" w:line="240" w:lineRule="auto"/>
        <w:rPr>
          <w:rFonts w:ascii="Times New Roman" w:eastAsia="Times New Roman" w:hAnsi="Times New Roman" w:cs="Times New Roman"/>
          <w:sz w:val="24"/>
          <w:szCs w:val="24"/>
        </w:rPr>
      </w:pPr>
    </w:p>
    <w:p w:rsidR="00DD4C31" w:rsidRDefault="00DD4C31" w:rsidP="00340CF7">
      <w:pPr>
        <w:tabs>
          <w:tab w:val="left" w:pos="36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Table II. Estimated Annualized Burden Costs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523"/>
        <w:gridCol w:w="1430"/>
        <w:gridCol w:w="1281"/>
        <w:gridCol w:w="1196"/>
        <w:gridCol w:w="1178"/>
        <w:gridCol w:w="1430"/>
      </w:tblGrid>
      <w:tr w:rsidR="00340CF7" w:rsidRPr="00340CF7" w:rsidTr="00DD4C31">
        <w:trPr>
          <w:jc w:val="center"/>
        </w:trPr>
        <w:tc>
          <w:tcPr>
            <w:tcW w:w="143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Type of Respondent</w:t>
            </w:r>
          </w:p>
        </w:tc>
        <w:tc>
          <w:tcPr>
            <w:tcW w:w="1523"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No. of Respondents</w:t>
            </w:r>
          </w:p>
        </w:tc>
        <w:tc>
          <w:tcPr>
            <w:tcW w:w="143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No. Responses per Respondent</w:t>
            </w:r>
          </w:p>
        </w:tc>
        <w:tc>
          <w:tcPr>
            <w:tcW w:w="1281"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Average Burden per Response (in hours)</w:t>
            </w:r>
          </w:p>
        </w:tc>
        <w:tc>
          <w:tcPr>
            <w:tcW w:w="1196"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Total Burden Hours</w:t>
            </w:r>
          </w:p>
        </w:tc>
        <w:tc>
          <w:tcPr>
            <w:tcW w:w="1178"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Hourly Wage Rate</w:t>
            </w:r>
            <w:r w:rsidRPr="00340CF7">
              <w:rPr>
                <w:rFonts w:ascii="Times New Roman" w:eastAsia="Times New Roman" w:hAnsi="Times New Roman" w:cs="Times New Roman"/>
                <w:b/>
                <w:sz w:val="24"/>
                <w:szCs w:val="24"/>
                <w:vertAlign w:val="superscript"/>
              </w:rPr>
              <w:t>1</w:t>
            </w:r>
          </w:p>
        </w:tc>
        <w:tc>
          <w:tcPr>
            <w:tcW w:w="143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Total Respondent Costs</w:t>
            </w:r>
          </w:p>
        </w:tc>
      </w:tr>
      <w:tr w:rsidR="00340CF7" w:rsidRPr="00340CF7" w:rsidTr="00DD4C31">
        <w:trPr>
          <w:jc w:val="center"/>
        </w:trPr>
        <w:tc>
          <w:tcPr>
            <w:tcW w:w="143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Fishermen (Survey, 2014)</w:t>
            </w:r>
          </w:p>
        </w:tc>
        <w:tc>
          <w:tcPr>
            <w:tcW w:w="1523"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200</w:t>
            </w:r>
          </w:p>
        </w:tc>
        <w:tc>
          <w:tcPr>
            <w:tcW w:w="143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w:t>
            </w:r>
          </w:p>
        </w:tc>
        <w:tc>
          <w:tcPr>
            <w:tcW w:w="1281"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20/60</w:t>
            </w:r>
          </w:p>
        </w:tc>
        <w:tc>
          <w:tcPr>
            <w:tcW w:w="1196"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67</w:t>
            </w:r>
          </w:p>
        </w:tc>
        <w:tc>
          <w:tcPr>
            <w:tcW w:w="1178"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$17.74</w:t>
            </w:r>
          </w:p>
        </w:tc>
        <w:tc>
          <w:tcPr>
            <w:tcW w:w="143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$1189</w:t>
            </w:r>
          </w:p>
        </w:tc>
      </w:tr>
      <w:tr w:rsidR="00340CF7" w:rsidRPr="00340CF7" w:rsidTr="00DD4C31">
        <w:trPr>
          <w:jc w:val="center"/>
        </w:trPr>
        <w:tc>
          <w:tcPr>
            <w:tcW w:w="1430" w:type="dxa"/>
            <w:shd w:val="clear" w:color="auto" w:fill="auto"/>
          </w:tcPr>
          <w:p w:rsidR="00340CF7" w:rsidRPr="00340CF7" w:rsidRDefault="00340CF7" w:rsidP="00340CF7">
            <w:pPr>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Fishermen </w:t>
            </w:r>
            <w:r w:rsidRPr="00340CF7">
              <w:rPr>
                <w:rFonts w:ascii="Times New Roman" w:eastAsia="Times New Roman" w:hAnsi="Times New Roman" w:cs="Times New Roman"/>
                <w:sz w:val="24"/>
                <w:szCs w:val="24"/>
              </w:rPr>
              <w:lastRenderedPageBreak/>
              <w:t>(Survey, 2015)</w:t>
            </w:r>
          </w:p>
        </w:tc>
        <w:tc>
          <w:tcPr>
            <w:tcW w:w="1523" w:type="dxa"/>
            <w:shd w:val="clear" w:color="auto" w:fill="auto"/>
          </w:tcPr>
          <w:p w:rsidR="00340CF7" w:rsidRPr="00340CF7" w:rsidRDefault="00340CF7" w:rsidP="00340CF7">
            <w:pPr>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lastRenderedPageBreak/>
              <w:t>200</w:t>
            </w:r>
          </w:p>
        </w:tc>
        <w:tc>
          <w:tcPr>
            <w:tcW w:w="1430" w:type="dxa"/>
            <w:shd w:val="clear" w:color="auto" w:fill="auto"/>
          </w:tcPr>
          <w:p w:rsidR="00340CF7" w:rsidRPr="00340CF7" w:rsidRDefault="00340CF7" w:rsidP="00340CF7">
            <w:pPr>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w:t>
            </w:r>
          </w:p>
        </w:tc>
        <w:tc>
          <w:tcPr>
            <w:tcW w:w="1281" w:type="dxa"/>
            <w:shd w:val="clear" w:color="auto" w:fill="auto"/>
          </w:tcPr>
          <w:p w:rsidR="00340CF7" w:rsidRPr="00340CF7" w:rsidRDefault="00340CF7" w:rsidP="00340CF7">
            <w:pPr>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20/60</w:t>
            </w:r>
          </w:p>
        </w:tc>
        <w:tc>
          <w:tcPr>
            <w:tcW w:w="1196" w:type="dxa"/>
            <w:shd w:val="clear" w:color="auto" w:fill="auto"/>
          </w:tcPr>
          <w:p w:rsidR="00340CF7" w:rsidRPr="00340CF7" w:rsidRDefault="00340CF7" w:rsidP="00340CF7">
            <w:pPr>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67</w:t>
            </w:r>
          </w:p>
        </w:tc>
        <w:tc>
          <w:tcPr>
            <w:tcW w:w="1178" w:type="dxa"/>
            <w:shd w:val="clear" w:color="auto" w:fill="auto"/>
          </w:tcPr>
          <w:p w:rsidR="00340CF7" w:rsidRPr="00340CF7" w:rsidRDefault="00340CF7" w:rsidP="00340CF7">
            <w:pPr>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$17.74</w:t>
            </w:r>
          </w:p>
        </w:tc>
        <w:tc>
          <w:tcPr>
            <w:tcW w:w="1430" w:type="dxa"/>
            <w:shd w:val="clear" w:color="auto" w:fill="auto"/>
          </w:tcPr>
          <w:p w:rsidR="00340CF7" w:rsidRPr="00340CF7" w:rsidRDefault="00340CF7" w:rsidP="00340CF7">
            <w:pPr>
              <w:spacing w:after="0" w:line="240" w:lineRule="auto"/>
              <w:jc w:val="center"/>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$1189</w:t>
            </w:r>
          </w:p>
        </w:tc>
      </w:tr>
      <w:tr w:rsidR="00340CF7" w:rsidRPr="00340CF7" w:rsidTr="00DD4C31">
        <w:trPr>
          <w:jc w:val="center"/>
        </w:trPr>
        <w:tc>
          <w:tcPr>
            <w:tcW w:w="8038" w:type="dxa"/>
            <w:gridSpan w:val="6"/>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b/>
                <w:sz w:val="24"/>
                <w:szCs w:val="24"/>
              </w:rPr>
              <w:lastRenderedPageBreak/>
              <w:t>Total</w:t>
            </w:r>
          </w:p>
        </w:tc>
        <w:tc>
          <w:tcPr>
            <w:tcW w:w="1430" w:type="dxa"/>
            <w:shd w:val="clear" w:color="auto" w:fill="auto"/>
          </w:tcPr>
          <w:p w:rsidR="00340CF7" w:rsidRPr="00340CF7" w:rsidRDefault="00340CF7" w:rsidP="00340CF7">
            <w:pPr>
              <w:tabs>
                <w:tab w:val="left" w:pos="360"/>
              </w:tabs>
              <w:spacing w:after="0" w:line="240" w:lineRule="auto"/>
              <w:jc w:val="center"/>
              <w:rPr>
                <w:rFonts w:ascii="Times New Roman" w:eastAsia="Times New Roman" w:hAnsi="Times New Roman" w:cs="Times New Roman"/>
                <w:b/>
                <w:sz w:val="24"/>
                <w:szCs w:val="24"/>
              </w:rPr>
            </w:pPr>
            <w:r w:rsidRPr="00340CF7">
              <w:rPr>
                <w:rFonts w:ascii="Times New Roman" w:eastAsia="Times New Roman" w:hAnsi="Times New Roman" w:cs="Times New Roman"/>
                <w:b/>
                <w:sz w:val="24"/>
                <w:szCs w:val="24"/>
              </w:rPr>
              <w:t>$2378</w:t>
            </w:r>
          </w:p>
        </w:tc>
      </w:tr>
    </w:tbl>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vertAlign w:val="superscript"/>
        </w:rPr>
        <w:t>1</w:t>
      </w:r>
      <w:r w:rsidRPr="000B4562">
        <w:rPr>
          <w:rFonts w:ascii="Times New Roman" w:eastAsia="Times New Roman" w:hAnsi="Times New Roman" w:cs="Times New Roman"/>
          <w:sz w:val="24"/>
          <w:szCs w:val="24"/>
        </w:rPr>
        <w:t>Source: Alaska Dept. of Labor and Workforce Development</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b/>
          <w:sz w:val="24"/>
          <w:szCs w:val="24"/>
        </w:rPr>
        <w:t>13.  Estimates of Other Total Annual Cost Burden to Respondents or Record Keepers</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None</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color w:val="FF0000"/>
          <w:sz w:val="24"/>
          <w:szCs w:val="24"/>
        </w:rPr>
      </w:pPr>
      <w:r w:rsidRPr="000B4562">
        <w:rPr>
          <w:rFonts w:ascii="Times New Roman" w:eastAsia="Times New Roman" w:hAnsi="Times New Roman" w:cs="Times New Roman"/>
          <w:b/>
          <w:sz w:val="24"/>
          <w:szCs w:val="24"/>
        </w:rPr>
        <w:t xml:space="preserve">14.  Annualized Cost to the Government </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rPr>
        <w:t>The total cost of this study to the Federal government will be approximately $96,000 over an estimated 24-month period of data collection and analysis.  This figure includes labor and material costs, which are further described in the project plan and budget for the NORA funded project “</w:t>
      </w:r>
      <w:r w:rsidRPr="000B4562">
        <w:rPr>
          <w:rFonts w:ascii="Times New Roman" w:eastAsia="Times New Roman" w:hAnsi="Times New Roman" w:cs="Times New Roman"/>
          <w:sz w:val="24"/>
          <w:szCs w:val="24"/>
          <w:lang w:eastAsia="ja-JP"/>
        </w:rPr>
        <w:t>Reducing Fatalities Due to Falls Overboard.”</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               Table III. Cost to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60"/>
      </w:tblGrid>
      <w:tr w:rsidR="00340CF7" w:rsidRPr="000B4562" w:rsidTr="00DD4C31">
        <w:trPr>
          <w:jc w:val="center"/>
        </w:trPr>
        <w:tc>
          <w:tcPr>
            <w:tcW w:w="4788" w:type="dxa"/>
            <w:shd w:val="clear" w:color="auto" w:fill="auto"/>
          </w:tcPr>
          <w:p w:rsidR="00340CF7" w:rsidRPr="000B4562" w:rsidRDefault="00340CF7" w:rsidP="00340CF7">
            <w:pPr>
              <w:tabs>
                <w:tab w:val="left" w:pos="360"/>
              </w:tabs>
              <w:spacing w:after="0" w:line="240" w:lineRule="auto"/>
              <w:jc w:val="center"/>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t>Project Item</w:t>
            </w:r>
          </w:p>
        </w:tc>
        <w:tc>
          <w:tcPr>
            <w:tcW w:w="2760" w:type="dxa"/>
            <w:shd w:val="clear" w:color="auto" w:fill="auto"/>
          </w:tcPr>
          <w:p w:rsidR="00340CF7" w:rsidRPr="000B4562" w:rsidRDefault="00340CF7" w:rsidP="00340CF7">
            <w:pPr>
              <w:tabs>
                <w:tab w:val="left" w:pos="360"/>
              </w:tabs>
              <w:spacing w:after="0" w:line="240" w:lineRule="auto"/>
              <w:jc w:val="center"/>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t>Cost</w:t>
            </w:r>
          </w:p>
        </w:tc>
      </w:tr>
      <w:tr w:rsidR="00340CF7" w:rsidRPr="000B4562" w:rsidTr="00DD4C31">
        <w:trPr>
          <w:jc w:val="center"/>
        </w:trPr>
        <w:tc>
          <w:tcPr>
            <w:tcW w:w="4788" w:type="dxa"/>
            <w:shd w:val="clear" w:color="auto" w:fill="auto"/>
          </w:tcPr>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Personnel salaries and benefits</w:t>
            </w:r>
          </w:p>
        </w:tc>
        <w:tc>
          <w:tcPr>
            <w:tcW w:w="2760" w:type="dxa"/>
            <w:shd w:val="clear" w:color="auto" w:fill="auto"/>
          </w:tcPr>
          <w:p w:rsidR="00340CF7" w:rsidRPr="000B4562" w:rsidRDefault="00340CF7" w:rsidP="00340CF7">
            <w:pPr>
              <w:tabs>
                <w:tab w:val="left" w:pos="360"/>
              </w:tabs>
              <w:spacing w:after="0" w:line="240" w:lineRule="auto"/>
              <w:jc w:val="right"/>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80,000</w:t>
            </w:r>
          </w:p>
        </w:tc>
      </w:tr>
      <w:tr w:rsidR="00340CF7" w:rsidRPr="000B4562" w:rsidTr="00DD4C31">
        <w:trPr>
          <w:jc w:val="center"/>
        </w:trPr>
        <w:tc>
          <w:tcPr>
            <w:tcW w:w="4788" w:type="dxa"/>
            <w:shd w:val="clear" w:color="auto" w:fill="auto"/>
          </w:tcPr>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Travel</w:t>
            </w:r>
          </w:p>
        </w:tc>
        <w:tc>
          <w:tcPr>
            <w:tcW w:w="2760" w:type="dxa"/>
            <w:shd w:val="clear" w:color="auto" w:fill="auto"/>
          </w:tcPr>
          <w:p w:rsidR="00340CF7" w:rsidRPr="000B4562" w:rsidRDefault="00340CF7" w:rsidP="00340CF7">
            <w:pPr>
              <w:tabs>
                <w:tab w:val="left" w:pos="360"/>
              </w:tabs>
              <w:spacing w:after="0" w:line="240" w:lineRule="auto"/>
              <w:jc w:val="right"/>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15,000</w:t>
            </w:r>
          </w:p>
        </w:tc>
      </w:tr>
      <w:tr w:rsidR="00340CF7" w:rsidRPr="000B4562" w:rsidTr="00DD4C31">
        <w:trPr>
          <w:jc w:val="center"/>
        </w:trPr>
        <w:tc>
          <w:tcPr>
            <w:tcW w:w="4788" w:type="dxa"/>
            <w:shd w:val="clear" w:color="auto" w:fill="auto"/>
          </w:tcPr>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Materials</w:t>
            </w:r>
          </w:p>
        </w:tc>
        <w:tc>
          <w:tcPr>
            <w:tcW w:w="2760" w:type="dxa"/>
            <w:shd w:val="clear" w:color="auto" w:fill="auto"/>
          </w:tcPr>
          <w:p w:rsidR="00340CF7" w:rsidRPr="000B4562" w:rsidRDefault="00340CF7" w:rsidP="00340CF7">
            <w:pPr>
              <w:tabs>
                <w:tab w:val="left" w:pos="360"/>
              </w:tabs>
              <w:spacing w:after="0" w:line="240" w:lineRule="auto"/>
              <w:jc w:val="right"/>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1,000</w:t>
            </w:r>
          </w:p>
        </w:tc>
      </w:tr>
      <w:tr w:rsidR="00340CF7" w:rsidRPr="000B4562" w:rsidTr="00DD4C31">
        <w:trPr>
          <w:jc w:val="center"/>
        </w:trPr>
        <w:tc>
          <w:tcPr>
            <w:tcW w:w="4788" w:type="dxa"/>
            <w:shd w:val="clear" w:color="auto" w:fill="auto"/>
          </w:tcPr>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Total cost to government</w:t>
            </w:r>
          </w:p>
        </w:tc>
        <w:tc>
          <w:tcPr>
            <w:tcW w:w="2760" w:type="dxa"/>
            <w:shd w:val="clear" w:color="auto" w:fill="auto"/>
          </w:tcPr>
          <w:p w:rsidR="00340CF7" w:rsidRPr="000B4562" w:rsidRDefault="00340CF7" w:rsidP="00340CF7">
            <w:pPr>
              <w:tabs>
                <w:tab w:val="left" w:pos="360"/>
              </w:tabs>
              <w:spacing w:after="0" w:line="240" w:lineRule="auto"/>
              <w:jc w:val="right"/>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96,000</w:t>
            </w:r>
          </w:p>
        </w:tc>
      </w:tr>
    </w:tbl>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t>15.  Explanation for Program Changes or Adjustments</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 xml:space="preserve">A “reinstatement with change” is specifically requested to reflect a narrowing of the focus to two Southwest Alaska fisheries as well as slight modifications to the survey instrument involving the elimination of questions deemed inconsequential through previous analyses and the addition of questions to account for potential exposure to and influence of interim NIOSH communication intervention efforts.  The exact questions on can be found in </w:t>
      </w:r>
      <w:r w:rsidR="00975F19" w:rsidRPr="000B4562">
        <w:rPr>
          <w:rFonts w:ascii="Times New Roman" w:eastAsia="Times New Roman" w:hAnsi="Times New Roman" w:cs="Times New Roman"/>
          <w:sz w:val="24"/>
          <w:szCs w:val="24"/>
          <w:lang w:eastAsia="ja-JP"/>
        </w:rPr>
        <w:t>Attachment 6 (Survey Instrument)</w:t>
      </w:r>
      <w:r w:rsidRPr="000B4562">
        <w:rPr>
          <w:rFonts w:ascii="Times New Roman" w:eastAsia="Times New Roman" w:hAnsi="Times New Roman" w:cs="Times New Roman"/>
          <w:sz w:val="24"/>
          <w:szCs w:val="24"/>
          <w:lang w:eastAsia="ja-JP"/>
        </w:rPr>
        <w:t>.</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sz w:val="24"/>
          <w:szCs w:val="24"/>
          <w:lang w:eastAsia="ja-JP"/>
        </w:rPr>
        <w:t>In addition, the original OMB-approved information collection included a survey evaluation of actual PFD use</w:t>
      </w:r>
      <w:r w:rsidR="00D02326">
        <w:rPr>
          <w:rFonts w:ascii="Times New Roman" w:eastAsia="Times New Roman" w:hAnsi="Times New Roman" w:cs="Times New Roman"/>
          <w:sz w:val="24"/>
          <w:szCs w:val="24"/>
          <w:lang w:eastAsia="ja-JP"/>
        </w:rPr>
        <w:t xml:space="preserve"> (Phase II)</w:t>
      </w:r>
      <w:r w:rsidRPr="000B4562">
        <w:rPr>
          <w:rFonts w:ascii="Times New Roman" w:eastAsia="Times New Roman" w:hAnsi="Times New Roman" w:cs="Times New Roman"/>
          <w:sz w:val="24"/>
          <w:szCs w:val="24"/>
          <w:lang w:eastAsia="ja-JP"/>
        </w:rPr>
        <w:t xml:space="preserve">.  NIOSH is not seeking to reinstate this portion of the data collection system as the purpose (identifying PFD style preferences among fishermen) has been accomplished.  </w:t>
      </w:r>
      <w:r w:rsidR="008D44EB">
        <w:rPr>
          <w:rFonts w:ascii="Times New Roman" w:eastAsia="Times New Roman" w:hAnsi="Times New Roman" w:cs="Times New Roman"/>
          <w:sz w:val="24"/>
          <w:szCs w:val="24"/>
          <w:lang w:eastAsia="ja-JP"/>
        </w:rPr>
        <w:t xml:space="preserve">Thus, there will be a decrease in burden </w:t>
      </w:r>
      <w:r w:rsidR="00D02326" w:rsidRPr="00D02326">
        <w:rPr>
          <w:rFonts w:ascii="Times New Roman" w:eastAsia="Times New Roman" w:hAnsi="Times New Roman" w:cs="Times New Roman"/>
          <w:sz w:val="24"/>
          <w:szCs w:val="24"/>
          <w:lang w:eastAsia="ja-JP"/>
        </w:rPr>
        <w:t xml:space="preserve">from 200 </w:t>
      </w:r>
      <w:r w:rsidR="00DD4BCA">
        <w:rPr>
          <w:rFonts w:ascii="Times New Roman" w:eastAsia="Times New Roman" w:hAnsi="Times New Roman" w:cs="Times New Roman"/>
          <w:sz w:val="24"/>
          <w:szCs w:val="24"/>
          <w:lang w:eastAsia="ja-JP"/>
        </w:rPr>
        <w:t xml:space="preserve">hours which was originally approved, </w:t>
      </w:r>
      <w:r w:rsidR="00D02326" w:rsidRPr="00D02326">
        <w:rPr>
          <w:rFonts w:ascii="Times New Roman" w:eastAsia="Times New Roman" w:hAnsi="Times New Roman" w:cs="Times New Roman"/>
          <w:sz w:val="24"/>
          <w:szCs w:val="24"/>
          <w:lang w:eastAsia="ja-JP"/>
        </w:rPr>
        <w:t>to 134</w:t>
      </w:r>
      <w:r w:rsidR="00DD4BCA">
        <w:rPr>
          <w:rFonts w:ascii="Times New Roman" w:eastAsia="Times New Roman" w:hAnsi="Times New Roman" w:cs="Times New Roman"/>
          <w:sz w:val="24"/>
          <w:szCs w:val="24"/>
          <w:lang w:eastAsia="ja-JP"/>
        </w:rPr>
        <w:t xml:space="preserve"> hours.</w:t>
      </w:r>
    </w:p>
    <w:p w:rsidR="002B400D" w:rsidRDefault="002B400D"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0B4562">
        <w:rPr>
          <w:rFonts w:ascii="Times New Roman" w:eastAsia="Times New Roman" w:hAnsi="Times New Roman" w:cs="Times New Roman"/>
          <w:b/>
          <w:sz w:val="24"/>
          <w:szCs w:val="24"/>
          <w:lang w:eastAsia="ja-JP"/>
        </w:rPr>
        <w:t>16.  Plans for Tabulation and Publication and Project Time Schedule</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lang w:eastAsia="ja-JP"/>
        </w:rPr>
        <w:t>The time schedule for this study is outlined in Table IV at the end of this section.  There will be two data collection points at each location, once per season, over two fishing seasons (2014 and 2015).  A</w:t>
      </w:r>
      <w:r w:rsidRPr="000B4562">
        <w:rPr>
          <w:rFonts w:ascii="Times New Roman" w:eastAsia="Times New Roman" w:hAnsi="Times New Roman" w:cs="Times New Roman"/>
          <w:sz w:val="24"/>
          <w:szCs w:val="24"/>
        </w:rPr>
        <w:t xml:space="preserve"> questionnaire will be administered to fishermen to collect data on risk perceptions, safety attitudes, and beliefs about PFDs as well as exposure and impact of PFD risk communication efforts.  The sample size for each survey administration is 200 fishermen (100 at each site).  </w:t>
      </w:r>
    </w:p>
    <w:p w:rsidR="00340CF7" w:rsidRPr="000B4562" w:rsidRDefault="00340CF7" w:rsidP="00340CF7">
      <w:pPr>
        <w:tabs>
          <w:tab w:val="left" w:pos="360"/>
        </w:tabs>
        <w:spacing w:after="0" w:line="240" w:lineRule="auto"/>
        <w:rPr>
          <w:rFonts w:ascii="Times New Roman" w:eastAsia="Times New Roman" w:hAnsi="Times New Roman" w:cs="Times New Roman"/>
          <w:color w:val="FF0000"/>
          <w:sz w:val="24"/>
          <w:szCs w:val="24"/>
        </w:rPr>
      </w:pPr>
    </w:p>
    <w:p w:rsidR="00340CF7" w:rsidRPr="000B4562" w:rsidRDefault="00340CF7" w:rsidP="00340CF7">
      <w:pPr>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Similar to the previous OMB-approved information collection, the survey data will be coded and entered into a dataset for analysis.  The analyses will include descriptive statistics and tabulation of responses to each of the questions on fishermen’s perceptions and attitudes regarding the risks of falling overboard, and the advantages and disadvantages of PFDs, as well as exposure to and potential influence of risk communication messages.</w:t>
      </w:r>
    </w:p>
    <w:p w:rsidR="00340CF7" w:rsidRPr="000B4562" w:rsidRDefault="00340CF7" w:rsidP="00340CF7">
      <w:pPr>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4365"/>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The results of this study will be published in a peer-reviewed journal to disseminate the findings to the scientific community.  Findings will also be published in fishing industry newsletters and magazines.</w:t>
      </w:r>
    </w:p>
    <w:p w:rsidR="00340CF7" w:rsidRPr="00340CF7" w:rsidRDefault="00340CF7" w:rsidP="00340CF7">
      <w:pPr>
        <w:tabs>
          <w:tab w:val="left" w:pos="4365"/>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lang w:eastAsia="ja-JP"/>
        </w:rPr>
        <w:t xml:space="preserve">  </w:t>
      </w:r>
    </w:p>
    <w:p w:rsidR="00340CF7" w:rsidRPr="00340CF7" w:rsidRDefault="00340CF7" w:rsidP="00340CF7">
      <w:pPr>
        <w:tabs>
          <w:tab w:val="left" w:pos="4365"/>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 xml:space="preserve">          </w:t>
      </w:r>
      <w:r w:rsidRPr="00340CF7">
        <w:rPr>
          <w:rFonts w:ascii="Times New Roman" w:eastAsia="Times New Roman" w:hAnsi="Times New Roman" w:cs="Times New Roman"/>
          <w:sz w:val="24"/>
          <w:szCs w:val="24"/>
          <w:lang w:eastAsia="ja-JP"/>
        </w:rPr>
        <w:t>Table IV. Project Time Table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400"/>
      </w:tblGrid>
      <w:tr w:rsidR="00340CF7" w:rsidRPr="00340CF7" w:rsidTr="00DD4C31">
        <w:trPr>
          <w:jc w:val="center"/>
        </w:trPr>
        <w:tc>
          <w:tcPr>
            <w:tcW w:w="576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340CF7">
              <w:rPr>
                <w:rFonts w:ascii="Times New Roman" w:eastAsia="Times New Roman" w:hAnsi="Times New Roman" w:cs="Times New Roman"/>
                <w:b/>
                <w:sz w:val="24"/>
                <w:szCs w:val="24"/>
                <w:lang w:eastAsia="ja-JP"/>
              </w:rPr>
              <w:t>Activity</w:t>
            </w:r>
          </w:p>
        </w:tc>
        <w:tc>
          <w:tcPr>
            <w:tcW w:w="240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b/>
                <w:sz w:val="24"/>
                <w:szCs w:val="24"/>
                <w:lang w:eastAsia="ja-JP"/>
              </w:rPr>
            </w:pPr>
            <w:r w:rsidRPr="00340CF7">
              <w:rPr>
                <w:rFonts w:ascii="Times New Roman" w:eastAsia="Times New Roman" w:hAnsi="Times New Roman" w:cs="Times New Roman"/>
                <w:b/>
                <w:sz w:val="24"/>
                <w:szCs w:val="24"/>
                <w:lang w:eastAsia="ja-JP"/>
              </w:rPr>
              <w:t>Time Schedule</w:t>
            </w:r>
          </w:p>
        </w:tc>
      </w:tr>
      <w:tr w:rsidR="00340CF7" w:rsidRPr="00340CF7" w:rsidTr="00DD4C31">
        <w:trPr>
          <w:jc w:val="center"/>
        </w:trPr>
        <w:tc>
          <w:tcPr>
            <w:tcW w:w="576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2014 Administration of survey to summer fisheries (Gillnet vessels)</w:t>
            </w:r>
          </w:p>
        </w:tc>
        <w:tc>
          <w:tcPr>
            <w:tcW w:w="240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1 month after OMB approval</w:t>
            </w:r>
          </w:p>
        </w:tc>
      </w:tr>
      <w:tr w:rsidR="00340CF7" w:rsidRPr="00340CF7" w:rsidTr="00DD4C31">
        <w:trPr>
          <w:jc w:val="center"/>
        </w:trPr>
        <w:tc>
          <w:tcPr>
            <w:tcW w:w="576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2014 Administration of phase 1 survey to winter fisheries (Pot-gear/crab vessels)</w:t>
            </w:r>
          </w:p>
        </w:tc>
        <w:tc>
          <w:tcPr>
            <w:tcW w:w="240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5 months after OMB approval</w:t>
            </w:r>
          </w:p>
        </w:tc>
      </w:tr>
      <w:tr w:rsidR="00340CF7" w:rsidRPr="00340CF7" w:rsidTr="00DD4C31">
        <w:trPr>
          <w:jc w:val="center"/>
        </w:trPr>
        <w:tc>
          <w:tcPr>
            <w:tcW w:w="576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2015Administration of survey to summer fisheries (Gillnet vessels)</w:t>
            </w:r>
          </w:p>
        </w:tc>
        <w:tc>
          <w:tcPr>
            <w:tcW w:w="240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13 months after OMB approval</w:t>
            </w:r>
          </w:p>
        </w:tc>
      </w:tr>
      <w:tr w:rsidR="00340CF7" w:rsidRPr="00340CF7" w:rsidTr="00DD4C31">
        <w:trPr>
          <w:jc w:val="center"/>
        </w:trPr>
        <w:tc>
          <w:tcPr>
            <w:tcW w:w="576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2015 Administration of survey to winter fisheries (Pot-gear/crab vessels)</w:t>
            </w:r>
          </w:p>
        </w:tc>
        <w:tc>
          <w:tcPr>
            <w:tcW w:w="240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17 months after OMB approval</w:t>
            </w:r>
          </w:p>
        </w:tc>
      </w:tr>
      <w:tr w:rsidR="00340CF7" w:rsidRPr="00340CF7" w:rsidTr="00DD4C31">
        <w:trPr>
          <w:jc w:val="center"/>
        </w:trPr>
        <w:tc>
          <w:tcPr>
            <w:tcW w:w="576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Data coding and analysis</w:t>
            </w:r>
          </w:p>
        </w:tc>
        <w:tc>
          <w:tcPr>
            <w:tcW w:w="2400" w:type="dxa"/>
            <w:shd w:val="clear" w:color="auto" w:fill="auto"/>
          </w:tcPr>
          <w:p w:rsidR="00340CF7" w:rsidRPr="00340CF7"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340CF7">
              <w:rPr>
                <w:rFonts w:ascii="Times New Roman" w:eastAsia="Times New Roman" w:hAnsi="Times New Roman" w:cs="Times New Roman"/>
                <w:sz w:val="24"/>
                <w:szCs w:val="24"/>
                <w:lang w:eastAsia="ja-JP"/>
              </w:rPr>
              <w:t>18-24 months after OMB approval</w:t>
            </w:r>
          </w:p>
        </w:tc>
      </w:tr>
      <w:tr w:rsidR="00340CF7" w:rsidRPr="000B4562" w:rsidTr="00DD4C31">
        <w:trPr>
          <w:jc w:val="center"/>
        </w:trPr>
        <w:tc>
          <w:tcPr>
            <w:tcW w:w="5760" w:type="dxa"/>
            <w:shd w:val="clear" w:color="auto" w:fill="auto"/>
          </w:tcPr>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Initial reporting/publication</w:t>
            </w:r>
          </w:p>
        </w:tc>
        <w:tc>
          <w:tcPr>
            <w:tcW w:w="2400" w:type="dxa"/>
            <w:shd w:val="clear" w:color="auto" w:fill="auto"/>
          </w:tcPr>
          <w:p w:rsidR="00340CF7" w:rsidRPr="000B4562" w:rsidRDefault="00340CF7" w:rsidP="00340CF7">
            <w:pPr>
              <w:tabs>
                <w:tab w:val="left" w:pos="360"/>
              </w:tabs>
              <w:spacing w:after="0" w:line="240" w:lineRule="auto"/>
              <w:rPr>
                <w:rFonts w:ascii="Times New Roman" w:eastAsia="Times New Roman" w:hAnsi="Times New Roman" w:cs="Times New Roman"/>
                <w:sz w:val="24"/>
                <w:szCs w:val="24"/>
                <w:lang w:eastAsia="ja-JP"/>
              </w:rPr>
            </w:pPr>
            <w:r w:rsidRPr="000B4562">
              <w:rPr>
                <w:rFonts w:ascii="Times New Roman" w:eastAsia="Times New Roman" w:hAnsi="Times New Roman" w:cs="Times New Roman"/>
                <w:sz w:val="24"/>
                <w:szCs w:val="24"/>
                <w:lang w:eastAsia="ja-JP"/>
              </w:rPr>
              <w:t>24-30 months after OMB approval</w:t>
            </w:r>
          </w:p>
        </w:tc>
      </w:tr>
    </w:tbl>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lang w:eastAsia="ja-JP"/>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r w:rsidRPr="000B4562">
        <w:rPr>
          <w:rFonts w:ascii="Times New Roman" w:eastAsia="Times New Roman" w:hAnsi="Times New Roman" w:cs="Times New Roman"/>
          <w:b/>
          <w:sz w:val="24"/>
          <w:szCs w:val="24"/>
        </w:rPr>
        <w:t>17.  Reason(s) Display of OMB Expiration Date is Inappropriate</w:t>
      </w:r>
    </w:p>
    <w:p w:rsidR="00340CF7" w:rsidRPr="000B4562" w:rsidRDefault="00340CF7" w:rsidP="00340CF7">
      <w:pPr>
        <w:tabs>
          <w:tab w:val="left" w:pos="360"/>
        </w:tabs>
        <w:spacing w:after="0" w:line="240" w:lineRule="auto"/>
        <w:rPr>
          <w:rFonts w:ascii="Times New Roman" w:eastAsia="Times New Roman" w:hAnsi="Times New Roman" w:cs="Times New Roman"/>
          <w:b/>
          <w:sz w:val="24"/>
          <w:szCs w:val="24"/>
        </w:rPr>
      </w:pP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r w:rsidRPr="000B4562">
        <w:rPr>
          <w:rFonts w:ascii="Times New Roman" w:eastAsia="Times New Roman" w:hAnsi="Times New Roman" w:cs="Times New Roman"/>
          <w:sz w:val="24"/>
          <w:szCs w:val="24"/>
        </w:rPr>
        <w:t>The OMB expiration date will be displayed.</w:t>
      </w:r>
    </w:p>
    <w:p w:rsidR="00340CF7" w:rsidRPr="000B4562" w:rsidRDefault="00340CF7" w:rsidP="00340CF7">
      <w:pPr>
        <w:tabs>
          <w:tab w:val="left" w:pos="360"/>
        </w:tabs>
        <w:spacing w:after="0" w:line="240" w:lineRule="auto"/>
        <w:rPr>
          <w:rFonts w:ascii="Times New Roman" w:eastAsia="Times New Roman" w:hAnsi="Times New Roman" w:cs="Times New Roman"/>
          <w:sz w:val="24"/>
          <w:szCs w:val="24"/>
        </w:rPr>
      </w:pPr>
    </w:p>
    <w:p w:rsidR="00340CF7" w:rsidRPr="00340CF7" w:rsidRDefault="00340CF7" w:rsidP="00340CF7">
      <w:pPr>
        <w:tabs>
          <w:tab w:val="left" w:pos="360"/>
        </w:tabs>
        <w:spacing w:after="0" w:line="240" w:lineRule="auto"/>
        <w:rPr>
          <w:rFonts w:ascii="Times New Roman" w:eastAsia="Times New Roman" w:hAnsi="Times New Roman" w:cs="Times New Roman"/>
          <w:b/>
          <w:sz w:val="24"/>
          <w:szCs w:val="24"/>
        </w:rPr>
      </w:pPr>
      <w:r w:rsidRPr="000B4562">
        <w:rPr>
          <w:rFonts w:ascii="Times New Roman" w:eastAsia="Times New Roman" w:hAnsi="Times New Roman" w:cs="Times New Roman"/>
          <w:b/>
          <w:sz w:val="24"/>
          <w:szCs w:val="24"/>
        </w:rPr>
        <w:t>18.  Exceptions to Certification for</w:t>
      </w:r>
      <w:r w:rsidRPr="00340CF7">
        <w:rPr>
          <w:rFonts w:ascii="Times New Roman" w:eastAsia="Times New Roman" w:hAnsi="Times New Roman" w:cs="Times New Roman"/>
          <w:b/>
          <w:sz w:val="24"/>
          <w:szCs w:val="24"/>
        </w:rPr>
        <w:t xml:space="preserve"> Paperwork Reduction Act Submissions</w:t>
      </w:r>
    </w:p>
    <w:p w:rsidR="00340CF7" w:rsidRPr="00340CF7" w:rsidRDefault="00340CF7" w:rsidP="00340CF7">
      <w:pPr>
        <w:tabs>
          <w:tab w:val="left" w:pos="360"/>
        </w:tabs>
        <w:spacing w:after="0" w:line="240" w:lineRule="auto"/>
        <w:rPr>
          <w:rFonts w:ascii="Times New Roman" w:eastAsia="Times New Roman" w:hAnsi="Times New Roman" w:cs="Times New Roman"/>
          <w:b/>
          <w:sz w:val="24"/>
          <w:szCs w:val="24"/>
        </w:rPr>
      </w:pPr>
    </w:p>
    <w:p w:rsidR="002B55F9" w:rsidRDefault="00340CF7" w:rsidP="00340CF7">
      <w:pPr>
        <w:tabs>
          <w:tab w:val="left" w:pos="360"/>
        </w:tabs>
        <w:spacing w:after="0" w:line="240" w:lineRule="auto"/>
        <w:rPr>
          <w:rFonts w:ascii="Times New Roman" w:eastAsia="Times New Roman" w:hAnsi="Times New Roman" w:cs="Times New Roman"/>
          <w:sz w:val="24"/>
          <w:szCs w:val="24"/>
        </w:rPr>
      </w:pPr>
      <w:r w:rsidRPr="00340CF7">
        <w:rPr>
          <w:rFonts w:ascii="Times New Roman" w:eastAsia="Times New Roman" w:hAnsi="Times New Roman" w:cs="Times New Roman"/>
          <w:sz w:val="24"/>
          <w:szCs w:val="24"/>
        </w:rPr>
        <w:t>There are no exceptions to the certification.</w:t>
      </w:r>
    </w:p>
    <w:p w:rsidR="002B55F9" w:rsidRDefault="002B55F9">
      <w:pPr>
        <w:rPr>
          <w:rFonts w:ascii="Times New Roman" w:eastAsia="Times New Roman" w:hAnsi="Times New Roman" w:cs="Times New Roman"/>
          <w:sz w:val="24"/>
          <w:szCs w:val="24"/>
        </w:rPr>
      </w:pPr>
    </w:p>
    <w:p w:rsidR="008F7C47" w:rsidRDefault="008F7C47">
      <w:pPr>
        <w:rPr>
          <w:rFonts w:ascii="Times New Roman" w:eastAsia="Times New Roman" w:hAnsi="Times New Roman" w:cs="Times New Roman"/>
          <w:sz w:val="24"/>
          <w:szCs w:val="24"/>
        </w:rPr>
      </w:pPr>
    </w:p>
    <w:p w:rsidR="008F7C47" w:rsidRDefault="008F7C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F7C47" w:rsidRPr="002B55F9" w:rsidRDefault="008F7C47" w:rsidP="008F7C47">
      <w:pPr>
        <w:tabs>
          <w:tab w:val="left" w:pos="360"/>
        </w:tabs>
        <w:spacing w:after="0" w:line="240" w:lineRule="auto"/>
        <w:rPr>
          <w:rFonts w:ascii="Times New Roman" w:eastAsia="Times New Roman" w:hAnsi="Times New Roman" w:cs="Times New Roman"/>
          <w:b/>
          <w:sz w:val="24"/>
          <w:szCs w:val="24"/>
        </w:rPr>
      </w:pPr>
      <w:r w:rsidRPr="002B55F9">
        <w:rPr>
          <w:rFonts w:ascii="Times New Roman" w:eastAsia="Times New Roman" w:hAnsi="Times New Roman" w:cs="Times New Roman"/>
          <w:b/>
          <w:sz w:val="24"/>
          <w:szCs w:val="24"/>
        </w:rPr>
        <w:lastRenderedPageBreak/>
        <w:t>REFERENCES</w:t>
      </w:r>
    </w:p>
    <w:p w:rsidR="008F7C47" w:rsidRPr="002B55F9" w:rsidRDefault="008F7C47" w:rsidP="008F7C47">
      <w:pPr>
        <w:tabs>
          <w:tab w:val="left" w:pos="360"/>
        </w:tabs>
        <w:spacing w:after="0" w:line="240" w:lineRule="auto"/>
        <w:rPr>
          <w:rFonts w:ascii="Times New Roman" w:eastAsia="Times New Roman" w:hAnsi="Times New Roman" w:cs="Times New Roman"/>
          <w:b/>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Abeysekera J, Shahnavaz H. 1990. Adaptation to discomfort in personal protective devices: an example with safety helmets. Ergonomics 33(2):137-145.</w:t>
      </w:r>
    </w:p>
    <w:p w:rsidR="008F7C47" w:rsidRPr="002B55F9" w:rsidRDefault="008F7C47" w:rsidP="008F7C47">
      <w:pPr>
        <w:tabs>
          <w:tab w:val="left" w:pos="360"/>
        </w:tabs>
        <w:spacing w:after="0" w:line="240" w:lineRule="auto"/>
        <w:rPr>
          <w:rFonts w:ascii="Times New Roman" w:eastAsia="Times New Roman" w:hAnsi="Times New Roman" w:cs="Times New Roman"/>
          <w:b/>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Akbar-Khanzadeh F. 1998. Factors contributing to discomfort or dissatisfaction as a result of wearing personal protective equipment. J Human Ergol 27(1,2):70-75.</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Akbar-Khanzadeh F, Bisesi M. 1995. Comfort of personal protective equipment. Applied Ergonomincs 26(3):195-198.</w:t>
      </w:r>
    </w:p>
    <w:p w:rsidR="008F7C47" w:rsidRPr="002B55F9" w:rsidRDefault="008F7C47" w:rsidP="008F7C47">
      <w:pPr>
        <w:tabs>
          <w:tab w:val="left" w:pos="360"/>
        </w:tabs>
        <w:spacing w:after="0" w:line="240" w:lineRule="auto"/>
        <w:rPr>
          <w:rFonts w:ascii="Times New Roman" w:eastAsia="Times New Roman" w:hAnsi="Times New Roman" w:cs="Times New Roman"/>
          <w:b/>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BLS. 2011. National census of fatal occupational injuries in 2011.  Washington (DC): United States Department of Labor, Bureau of Labor Statistics. Available from http://www.bls.gov/iif/oshcfoi1.htm</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BoatUS. 1998. Inflatable life jackets make the grade. Foundation Findings Report # 30, May 1998. Available from http://www.boatus.com/foundation/findings/inflatablepfd.htm</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BoatUS. 2000. What to know before they blow. Foundation Findings Report # 30C, July 2000. Available from http://www.boatus.com/foundation/findings/floatingonair.htm</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BoatUS. 2004. How much is that belt pack in the window? Foundation Findings Report # 37 &amp; 38, January 2004. Available from http://www.boatus.com/foundation/findings/findings38/ default.htm.htm</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Consumer Reports. 1999. Keep your head above water: How to find a life jacket that’s comfortable on board, safe in use. May 1999 issue pp. 30-34.</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Forst L, Noth I, Lacey S, Bauer S, Skinner S, Tetrea R, Zanoni J. 2006. Barriers and benefits of protective eyewear use by latino farm workers. Journal of Agromedicine 11(2): 11-17.</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Lucas DL, Lincoln JM. 2007. Fatal falls overboard on commercial fishing vessels in Alaska. Am J Ind Med 50: 962-968.</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Lucas DL, Lincoln JM, Somervell PD, Teske TD. 2012. Worker satisfaction with personal flotation devices (PFDs) in the fishing industry: evaluations in actual use. Applied Ergon., 43: 747–752.</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Lucas DL, Lincoln JM, Carozza SE, Bovbjerg VE, Kincl LD, Teske TD, Somervell PD, Anderson PJ. 2013. Predictors of personal flotation device (PFD) use among workers in the Alaska commercial fishing industry. Safety Science 53: 177-185.</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1994. Preventing drownings of commercial fishermen. Cincinnati (OH): National Institute for Occupational Safety and Health. Pub. No. 94-107. 9p.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lastRenderedPageBreak/>
        <w:t>NIOSH. 1997. Commercial fishing fatalities in Alaska – Risk factors and prevention strategies. Cincinnati (OH): National Institute for Occupational Safety and Health. Pub. No. 97-163. 24 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2002. Surveillance and prevention of occupational injuries in Alaska: A decade of progress, 1990-1999. Cincinnati(OH): National Institute for Occupational Safety and Health. Pub. No. 2002-15. 49 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2012a. PFDs That Work: Crabbers. Cincinnati (OH): National Institute for Occupational Safety and Health. Pub. No. 2013-106. 2 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2012b. PFDs That Work: Gillnetters. Cincinnati (OH): National Institute for Occupational Safety and Health. Pub. No. 2013-107. 2 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2012c. PFDs That Work: Longliners. Cincinnati (OH): National Institute for Occupational Safety and Health. Pub. No. 2013-108. 2 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2012d. PFDs That Work: Trawlers. Cincinnati (OH): National Institute for Occupational Safety and Health. Pub. No. 2013-109. 2 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2012e. PFDs That Work: Overview. Cincinnati (OH): National Institute for Occupational Safety and Health. Pub. No. 2013-131. 2 p.</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NIOSH (2013). Commercial fishing incident database. System queried by staff at the Alaska Pacific Office on September 19, 2013.</w:t>
      </w:r>
    </w:p>
    <w:p w:rsidR="008F7C47" w:rsidRPr="002B55F9" w:rsidRDefault="008F7C47" w:rsidP="008F7C47">
      <w:pPr>
        <w:tabs>
          <w:tab w:val="left" w:pos="360"/>
        </w:tabs>
        <w:spacing w:after="0" w:line="240" w:lineRule="auto"/>
        <w:rPr>
          <w:rFonts w:ascii="Times New Roman" w:eastAsia="Times New Roman" w:hAnsi="Times New Roman" w:cs="Times New Roman"/>
          <w:sz w:val="24"/>
          <w:szCs w:val="24"/>
        </w:rPr>
      </w:pPr>
    </w:p>
    <w:p w:rsidR="008F7C47" w:rsidRDefault="008F7C47" w:rsidP="00D747FF">
      <w:pPr>
        <w:tabs>
          <w:tab w:val="left" w:pos="360"/>
        </w:tabs>
        <w:spacing w:after="0" w:line="240" w:lineRule="auto"/>
        <w:rPr>
          <w:rFonts w:ascii="Times New Roman" w:eastAsia="Times New Roman" w:hAnsi="Times New Roman" w:cs="Times New Roman"/>
          <w:sz w:val="24"/>
          <w:szCs w:val="24"/>
        </w:rPr>
      </w:pPr>
      <w:r w:rsidRPr="002B55F9">
        <w:rPr>
          <w:rFonts w:ascii="Times New Roman" w:eastAsia="Times New Roman" w:hAnsi="Times New Roman" w:cs="Times New Roman"/>
          <w:sz w:val="24"/>
          <w:szCs w:val="24"/>
        </w:rPr>
        <w:t>Salazar M, Connon C, Takaro T, Beaudet N, Barnhart S. 2001. An evaluation of factors affecting hazardous waste workers’ use of respiratory protective equipment. AIHAJ 62:236-245.</w:t>
      </w:r>
      <w:r w:rsidR="00D747FF">
        <w:rPr>
          <w:rFonts w:ascii="Times New Roman" w:eastAsia="Times New Roman" w:hAnsi="Times New Roman" w:cs="Times New Roman"/>
          <w:sz w:val="24"/>
          <w:szCs w:val="24"/>
        </w:rPr>
        <w:t xml:space="preserve"> </w:t>
      </w:r>
    </w:p>
    <w:sectPr w:rsidR="008F7C47" w:rsidSect="002F2F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9DB" w:rsidRDefault="002209DB">
      <w:pPr>
        <w:spacing w:after="0" w:line="240" w:lineRule="auto"/>
      </w:pPr>
      <w:r>
        <w:separator/>
      </w:r>
    </w:p>
  </w:endnote>
  <w:endnote w:type="continuationSeparator" w:id="0">
    <w:p w:rsidR="002209DB" w:rsidRDefault="0022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256037"/>
      <w:docPartObj>
        <w:docPartGallery w:val="Page Numbers (Bottom of Page)"/>
        <w:docPartUnique/>
      </w:docPartObj>
    </w:sdtPr>
    <w:sdtEndPr>
      <w:rPr>
        <w:noProof/>
      </w:rPr>
    </w:sdtEndPr>
    <w:sdtContent>
      <w:p w:rsidR="002F2F96" w:rsidRDefault="002F2F96">
        <w:pPr>
          <w:pStyle w:val="Footer"/>
          <w:jc w:val="right"/>
        </w:pPr>
        <w:r>
          <w:fldChar w:fldCharType="begin"/>
        </w:r>
        <w:r>
          <w:instrText xml:space="preserve"> PAGE   \* MERGEFORMAT </w:instrText>
        </w:r>
        <w:r>
          <w:fldChar w:fldCharType="separate"/>
        </w:r>
        <w:r w:rsidR="00CD2C79">
          <w:rPr>
            <w:noProof/>
          </w:rPr>
          <w:t>5</w:t>
        </w:r>
        <w:r>
          <w:rPr>
            <w:noProof/>
          </w:rPr>
          <w:fldChar w:fldCharType="end"/>
        </w:r>
      </w:p>
    </w:sdtContent>
  </w:sdt>
  <w:p w:rsidR="002F2F96" w:rsidRDefault="002F2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9DB" w:rsidRDefault="002209DB">
      <w:pPr>
        <w:spacing w:after="0" w:line="240" w:lineRule="auto"/>
      </w:pPr>
      <w:r>
        <w:separator/>
      </w:r>
    </w:p>
  </w:footnote>
  <w:footnote w:type="continuationSeparator" w:id="0">
    <w:p w:rsidR="002209DB" w:rsidRDefault="00220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CDC"/>
    <w:multiLevelType w:val="hybridMultilevel"/>
    <w:tmpl w:val="E500EC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B712ACB"/>
    <w:multiLevelType w:val="hybridMultilevel"/>
    <w:tmpl w:val="C8200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81203"/>
    <w:multiLevelType w:val="hybridMultilevel"/>
    <w:tmpl w:val="5C3E41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DAB193A"/>
    <w:multiLevelType w:val="hybridMultilevel"/>
    <w:tmpl w:val="EA8E1024"/>
    <w:lvl w:ilvl="0" w:tplc="D0A00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C43E0"/>
    <w:multiLevelType w:val="hybridMultilevel"/>
    <w:tmpl w:val="B41C1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67110"/>
    <w:multiLevelType w:val="multilevel"/>
    <w:tmpl w:val="4AC038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35333C3"/>
    <w:multiLevelType w:val="hybridMultilevel"/>
    <w:tmpl w:val="07B27316"/>
    <w:lvl w:ilvl="0" w:tplc="890068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35E55"/>
    <w:multiLevelType w:val="hybridMultilevel"/>
    <w:tmpl w:val="7E18F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F65EC7"/>
    <w:multiLevelType w:val="hybridMultilevel"/>
    <w:tmpl w:val="A59494A8"/>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97754"/>
    <w:multiLevelType w:val="hybridMultilevel"/>
    <w:tmpl w:val="667032C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4C33C9"/>
    <w:multiLevelType w:val="hybridMultilevel"/>
    <w:tmpl w:val="32044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C37C84"/>
    <w:multiLevelType w:val="hybridMultilevel"/>
    <w:tmpl w:val="4AC03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45703C"/>
    <w:multiLevelType w:val="hybridMultilevel"/>
    <w:tmpl w:val="4162BC3A"/>
    <w:lvl w:ilvl="0" w:tplc="D99859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E42F9"/>
    <w:multiLevelType w:val="hybridMultilevel"/>
    <w:tmpl w:val="BBA8CB14"/>
    <w:lvl w:ilvl="0" w:tplc="1518A8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C6045"/>
    <w:multiLevelType w:val="hybridMultilevel"/>
    <w:tmpl w:val="31001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03423"/>
    <w:multiLevelType w:val="hybridMultilevel"/>
    <w:tmpl w:val="D01A157C"/>
    <w:lvl w:ilvl="0" w:tplc="84C6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FF1293"/>
    <w:multiLevelType w:val="hybridMultilevel"/>
    <w:tmpl w:val="135E667A"/>
    <w:lvl w:ilvl="0" w:tplc="928C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41557"/>
    <w:multiLevelType w:val="hybridMultilevel"/>
    <w:tmpl w:val="352E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47CA3"/>
    <w:multiLevelType w:val="hybridMultilevel"/>
    <w:tmpl w:val="8C62F0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5A2E68"/>
    <w:multiLevelType w:val="hybridMultilevel"/>
    <w:tmpl w:val="25A6D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433BB7"/>
    <w:multiLevelType w:val="hybridMultilevel"/>
    <w:tmpl w:val="309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97BC4"/>
    <w:multiLevelType w:val="hybridMultilevel"/>
    <w:tmpl w:val="3A7AEA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67267F"/>
    <w:multiLevelType w:val="hybridMultilevel"/>
    <w:tmpl w:val="03368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0"/>
  </w:num>
  <w:num w:numId="3">
    <w:abstractNumId w:val="22"/>
  </w:num>
  <w:num w:numId="4">
    <w:abstractNumId w:val="19"/>
  </w:num>
  <w:num w:numId="5">
    <w:abstractNumId w:val="11"/>
  </w:num>
  <w:num w:numId="6">
    <w:abstractNumId w:val="5"/>
  </w:num>
  <w:num w:numId="7">
    <w:abstractNumId w:val="9"/>
  </w:num>
  <w:num w:numId="8">
    <w:abstractNumId w:val="0"/>
  </w:num>
  <w:num w:numId="9">
    <w:abstractNumId w:val="2"/>
  </w:num>
  <w:num w:numId="10">
    <w:abstractNumId w:val="18"/>
  </w:num>
  <w:num w:numId="11">
    <w:abstractNumId w:val="15"/>
  </w:num>
  <w:num w:numId="12">
    <w:abstractNumId w:val="3"/>
  </w:num>
  <w:num w:numId="13">
    <w:abstractNumId w:val="20"/>
  </w:num>
  <w:num w:numId="14">
    <w:abstractNumId w:val="12"/>
  </w:num>
  <w:num w:numId="15">
    <w:abstractNumId w:val="6"/>
  </w:num>
  <w:num w:numId="16">
    <w:abstractNumId w:val="17"/>
  </w:num>
  <w:num w:numId="17">
    <w:abstractNumId w:val="14"/>
  </w:num>
  <w:num w:numId="18">
    <w:abstractNumId w:val="4"/>
  </w:num>
  <w:num w:numId="19">
    <w:abstractNumId w:val="7"/>
  </w:num>
  <w:num w:numId="20">
    <w:abstractNumId w:val="13"/>
  </w:num>
  <w:num w:numId="21">
    <w:abstractNumId w:val="1"/>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F7"/>
    <w:rsid w:val="00012496"/>
    <w:rsid w:val="000307BE"/>
    <w:rsid w:val="00066EBA"/>
    <w:rsid w:val="000843DB"/>
    <w:rsid w:val="00090952"/>
    <w:rsid w:val="000B4562"/>
    <w:rsid w:val="000C50FE"/>
    <w:rsid w:val="00161121"/>
    <w:rsid w:val="0019270A"/>
    <w:rsid w:val="001A58EF"/>
    <w:rsid w:val="001C7C23"/>
    <w:rsid w:val="001F4E38"/>
    <w:rsid w:val="002209DB"/>
    <w:rsid w:val="00247836"/>
    <w:rsid w:val="002576E9"/>
    <w:rsid w:val="00286898"/>
    <w:rsid w:val="002B2BB2"/>
    <w:rsid w:val="002B400D"/>
    <w:rsid w:val="002B55F9"/>
    <w:rsid w:val="002D072E"/>
    <w:rsid w:val="002D7E83"/>
    <w:rsid w:val="002F2F96"/>
    <w:rsid w:val="00340CF7"/>
    <w:rsid w:val="00362738"/>
    <w:rsid w:val="0038439F"/>
    <w:rsid w:val="003A5185"/>
    <w:rsid w:val="003D3B6D"/>
    <w:rsid w:val="003F1CA6"/>
    <w:rsid w:val="00415313"/>
    <w:rsid w:val="00450ACA"/>
    <w:rsid w:val="004527AD"/>
    <w:rsid w:val="0049053A"/>
    <w:rsid w:val="004B0C7C"/>
    <w:rsid w:val="00510B61"/>
    <w:rsid w:val="005120BC"/>
    <w:rsid w:val="00513070"/>
    <w:rsid w:val="00516642"/>
    <w:rsid w:val="005624DB"/>
    <w:rsid w:val="00570006"/>
    <w:rsid w:val="005C2D18"/>
    <w:rsid w:val="006032F7"/>
    <w:rsid w:val="00627426"/>
    <w:rsid w:val="0065619E"/>
    <w:rsid w:val="006F1E86"/>
    <w:rsid w:val="00711B71"/>
    <w:rsid w:val="007170BF"/>
    <w:rsid w:val="0075678A"/>
    <w:rsid w:val="00821230"/>
    <w:rsid w:val="00866884"/>
    <w:rsid w:val="00874A98"/>
    <w:rsid w:val="0089149D"/>
    <w:rsid w:val="008B2BBA"/>
    <w:rsid w:val="008D0F62"/>
    <w:rsid w:val="008D44EB"/>
    <w:rsid w:val="008E1570"/>
    <w:rsid w:val="008E52AD"/>
    <w:rsid w:val="008F7C47"/>
    <w:rsid w:val="009302AE"/>
    <w:rsid w:val="00942315"/>
    <w:rsid w:val="00975F19"/>
    <w:rsid w:val="009C3381"/>
    <w:rsid w:val="00A11B14"/>
    <w:rsid w:val="00A3720C"/>
    <w:rsid w:val="00A55196"/>
    <w:rsid w:val="00A55ED9"/>
    <w:rsid w:val="00A902F2"/>
    <w:rsid w:val="00B11239"/>
    <w:rsid w:val="00B11A2E"/>
    <w:rsid w:val="00B24196"/>
    <w:rsid w:val="00B36DC0"/>
    <w:rsid w:val="00B46FD8"/>
    <w:rsid w:val="00B76928"/>
    <w:rsid w:val="00B85860"/>
    <w:rsid w:val="00B91527"/>
    <w:rsid w:val="00C972B2"/>
    <w:rsid w:val="00CA67B3"/>
    <w:rsid w:val="00CD2C79"/>
    <w:rsid w:val="00CD7131"/>
    <w:rsid w:val="00CF3947"/>
    <w:rsid w:val="00D02326"/>
    <w:rsid w:val="00D23367"/>
    <w:rsid w:val="00D37F5A"/>
    <w:rsid w:val="00D747FF"/>
    <w:rsid w:val="00D97712"/>
    <w:rsid w:val="00DB5697"/>
    <w:rsid w:val="00DD4BCA"/>
    <w:rsid w:val="00DD4C31"/>
    <w:rsid w:val="00DE7485"/>
    <w:rsid w:val="00E31CA4"/>
    <w:rsid w:val="00E92C5A"/>
    <w:rsid w:val="00F1212A"/>
    <w:rsid w:val="00F13AB6"/>
    <w:rsid w:val="00F20BDD"/>
    <w:rsid w:val="00F233ED"/>
    <w:rsid w:val="00F26AF3"/>
    <w:rsid w:val="00F410F5"/>
    <w:rsid w:val="00F5140D"/>
    <w:rsid w:val="00F74A77"/>
    <w:rsid w:val="00F911B6"/>
    <w:rsid w:val="00F9482C"/>
    <w:rsid w:val="00F97D77"/>
    <w:rsid w:val="00FB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uiPriority w:val="99"/>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340CF7"/>
  </w:style>
  <w:style w:type="table" w:styleId="TableGrid">
    <w:name w:val="Table Grid"/>
    <w:basedOn w:val="TableNormal"/>
    <w:rsid w:val="00340C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40CF7"/>
    <w:rPr>
      <w:color w:val="0000FF"/>
      <w:u w:val="single"/>
    </w:rPr>
  </w:style>
  <w:style w:type="paragraph" w:styleId="BalloonText">
    <w:name w:val="Balloon Text"/>
    <w:basedOn w:val="Normal"/>
    <w:link w:val="BalloonTextChar"/>
    <w:semiHidden/>
    <w:rsid w:val="00340C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40CF7"/>
    <w:rPr>
      <w:rFonts w:ascii="Tahoma" w:eastAsia="Times New Roman" w:hAnsi="Tahoma" w:cs="Tahoma"/>
      <w:sz w:val="16"/>
      <w:szCs w:val="16"/>
    </w:rPr>
  </w:style>
  <w:style w:type="character" w:styleId="CommentReference">
    <w:name w:val="annotation reference"/>
    <w:semiHidden/>
    <w:rsid w:val="00340CF7"/>
    <w:rPr>
      <w:sz w:val="16"/>
      <w:szCs w:val="16"/>
    </w:rPr>
  </w:style>
  <w:style w:type="paragraph" w:styleId="CommentText">
    <w:name w:val="annotation text"/>
    <w:basedOn w:val="Normal"/>
    <w:link w:val="CommentTextChar"/>
    <w:semiHidden/>
    <w:rsid w:val="00340C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40C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40CF7"/>
    <w:rPr>
      <w:b/>
      <w:bCs/>
    </w:rPr>
  </w:style>
  <w:style w:type="character" w:customStyle="1" w:styleId="CommentSubjectChar">
    <w:name w:val="Comment Subject Char"/>
    <w:basedOn w:val="CommentTextChar"/>
    <w:link w:val="CommentSubject"/>
    <w:semiHidden/>
    <w:rsid w:val="00340CF7"/>
    <w:rPr>
      <w:rFonts w:ascii="Times New Roman" w:eastAsia="Times New Roman" w:hAnsi="Times New Roman" w:cs="Times New Roman"/>
      <w:b/>
      <w:bCs/>
      <w:sz w:val="20"/>
      <w:szCs w:val="20"/>
    </w:rPr>
  </w:style>
  <w:style w:type="paragraph" w:styleId="Footer">
    <w:name w:val="footer"/>
    <w:basedOn w:val="Normal"/>
    <w:link w:val="FooterChar"/>
    <w:uiPriority w:val="99"/>
    <w:rsid w:val="00340C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40CF7"/>
    <w:rPr>
      <w:rFonts w:ascii="Times New Roman" w:eastAsia="Times New Roman" w:hAnsi="Times New Roman" w:cs="Times New Roman"/>
      <w:sz w:val="24"/>
      <w:szCs w:val="24"/>
    </w:rPr>
  </w:style>
  <w:style w:type="character" w:styleId="PageNumber">
    <w:name w:val="page number"/>
    <w:basedOn w:val="DefaultParagraphFont"/>
    <w:rsid w:val="00340CF7"/>
  </w:style>
  <w:style w:type="paragraph" w:styleId="Title">
    <w:name w:val="Title"/>
    <w:basedOn w:val="Normal"/>
    <w:link w:val="TitleChar"/>
    <w:qFormat/>
    <w:rsid w:val="00340CF7"/>
    <w:pPr>
      <w:pBdr>
        <w:bottom w:val="single" w:sz="4" w:space="1" w:color="auto"/>
      </w:pBdr>
      <w:spacing w:after="0" w:line="240" w:lineRule="auto"/>
      <w:jc w:val="center"/>
    </w:pPr>
    <w:rPr>
      <w:rFonts w:ascii="Times" w:eastAsia="Times New Roman" w:hAnsi="Times" w:cs="Times New Roman"/>
      <w:i/>
      <w:sz w:val="28"/>
      <w:szCs w:val="20"/>
    </w:rPr>
  </w:style>
  <w:style w:type="character" w:customStyle="1" w:styleId="TitleChar">
    <w:name w:val="Title Char"/>
    <w:basedOn w:val="DefaultParagraphFont"/>
    <w:link w:val="Title"/>
    <w:rsid w:val="00340CF7"/>
    <w:rPr>
      <w:rFonts w:ascii="Times" w:eastAsia="Times New Roman" w:hAnsi="Times" w:cs="Times New Roman"/>
      <w:i/>
      <w:sz w:val="28"/>
      <w:szCs w:val="20"/>
    </w:rPr>
  </w:style>
  <w:style w:type="paragraph" w:styleId="Header">
    <w:name w:val="header"/>
    <w:basedOn w:val="Normal"/>
    <w:link w:val="HeaderChar"/>
    <w:uiPriority w:val="99"/>
    <w:unhideWhenUsed/>
    <w:rsid w:val="00627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26"/>
  </w:style>
  <w:style w:type="paragraph" w:styleId="ListParagraph">
    <w:name w:val="List Paragraph"/>
    <w:basedOn w:val="Normal"/>
    <w:uiPriority w:val="34"/>
    <w:qFormat/>
    <w:rsid w:val="00866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07935">
      <w:bodyDiv w:val="1"/>
      <w:marLeft w:val="0"/>
      <w:marRight w:val="0"/>
      <w:marTop w:val="0"/>
      <w:marBottom w:val="0"/>
      <w:divBdr>
        <w:top w:val="none" w:sz="0" w:space="0" w:color="auto"/>
        <w:left w:val="none" w:sz="0" w:space="0" w:color="auto"/>
        <w:bottom w:val="none" w:sz="0" w:space="0" w:color="auto"/>
        <w:right w:val="none" w:sz="0" w:space="0" w:color="auto"/>
      </w:divBdr>
    </w:div>
    <w:div w:id="20743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23E8A-10BC-4E1A-BA94-91680AB3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5836</Words>
  <Characters>33269</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Forrester</dc:creator>
  <cp:lastModifiedBy>Sims, Thelma (CDC/OD/OADS)</cp:lastModifiedBy>
  <cp:revision>2</cp:revision>
  <cp:lastPrinted>2014-01-09T16:07:00Z</cp:lastPrinted>
  <dcterms:created xsi:type="dcterms:W3CDTF">2014-03-12T17:10:00Z</dcterms:created>
  <dcterms:modified xsi:type="dcterms:W3CDTF">2014-03-12T17:10:00Z</dcterms:modified>
</cp:coreProperties>
</file>