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C3" w:rsidRDefault="00A729C3" w:rsidP="00A729C3">
      <w:pPr>
        <w:jc w:val="center"/>
        <w:rPr>
          <w:bCs/>
        </w:rPr>
      </w:pPr>
    </w:p>
    <w:p w:rsidR="006F263B" w:rsidRPr="00B91242" w:rsidRDefault="006F263B" w:rsidP="00E979CC">
      <w:pPr>
        <w:rPr>
          <w:bCs/>
          <w:sz w:val="28"/>
          <w:szCs w:val="28"/>
        </w:rPr>
      </w:pPr>
    </w:p>
    <w:p w:rsidR="006F263B" w:rsidRPr="00B91242" w:rsidRDefault="006F263B" w:rsidP="00E979CC">
      <w:pPr>
        <w:rPr>
          <w:bCs/>
          <w:sz w:val="28"/>
          <w:szCs w:val="28"/>
        </w:rPr>
      </w:pPr>
      <w:r w:rsidRPr="00B91242">
        <w:rPr>
          <w:bCs/>
          <w:sz w:val="28"/>
          <w:szCs w:val="28"/>
        </w:rPr>
        <w:t>Supporting Statement A</w:t>
      </w:r>
    </w:p>
    <w:p w:rsidR="006F263B" w:rsidRPr="001F47D8" w:rsidRDefault="006F263B" w:rsidP="00E979CC">
      <w:pPr>
        <w:rPr>
          <w:b/>
          <w:sz w:val="28"/>
          <w:szCs w:val="28"/>
        </w:rPr>
      </w:pPr>
    </w:p>
    <w:p w:rsidR="006F263B" w:rsidRPr="001F47D8" w:rsidRDefault="006F263B" w:rsidP="00E979CC">
      <w:pPr>
        <w:rPr>
          <w:b/>
          <w:sz w:val="28"/>
          <w:szCs w:val="28"/>
        </w:rPr>
      </w:pPr>
    </w:p>
    <w:p w:rsidR="005D3D26" w:rsidRPr="001F47D8" w:rsidRDefault="006F263B" w:rsidP="00E979CC">
      <w:pPr>
        <w:rPr>
          <w:sz w:val="28"/>
          <w:szCs w:val="28"/>
        </w:rPr>
      </w:pPr>
      <w:r w:rsidRPr="001F47D8">
        <w:rPr>
          <w:sz w:val="28"/>
          <w:szCs w:val="28"/>
        </w:rPr>
        <w:t>Centers for Disease Control and Prevention (CDC) Secure Public</w:t>
      </w:r>
      <w:r w:rsidR="00AA6B13" w:rsidRPr="001F47D8">
        <w:rPr>
          <w:sz w:val="28"/>
          <w:szCs w:val="28"/>
        </w:rPr>
        <w:t xml:space="preserve"> </w:t>
      </w:r>
      <w:r w:rsidRPr="001F47D8">
        <w:rPr>
          <w:sz w:val="28"/>
          <w:szCs w:val="28"/>
        </w:rPr>
        <w:t>Health Emergency Response Communications Network (</w:t>
      </w:r>
      <w:proofErr w:type="spellStart"/>
      <w:r w:rsidRPr="001F47D8">
        <w:rPr>
          <w:sz w:val="28"/>
          <w:szCs w:val="28"/>
        </w:rPr>
        <w:t>Epi</w:t>
      </w:r>
      <w:proofErr w:type="spellEnd"/>
      <w:r w:rsidRPr="001F47D8">
        <w:rPr>
          <w:sz w:val="28"/>
          <w:szCs w:val="28"/>
        </w:rPr>
        <w:t>-X)</w:t>
      </w:r>
    </w:p>
    <w:p w:rsidR="001D4EA6" w:rsidRPr="001F47D8" w:rsidRDefault="001D4EA6" w:rsidP="00E979CC">
      <w:pPr>
        <w:rPr>
          <w:sz w:val="28"/>
          <w:szCs w:val="28"/>
        </w:rPr>
      </w:pPr>
    </w:p>
    <w:p w:rsidR="001D4EA6" w:rsidRPr="001F47D8" w:rsidRDefault="005D3D26" w:rsidP="00E979CC">
      <w:pPr>
        <w:rPr>
          <w:bCs/>
          <w:sz w:val="28"/>
          <w:szCs w:val="28"/>
        </w:rPr>
      </w:pPr>
      <w:r w:rsidRPr="001F47D8">
        <w:rPr>
          <w:sz w:val="28"/>
          <w:szCs w:val="28"/>
        </w:rPr>
        <w:t>OMB Control No. 0920-0636</w:t>
      </w:r>
      <w:r w:rsidR="001D4EA6" w:rsidRPr="001F47D8">
        <w:rPr>
          <w:bCs/>
          <w:sz w:val="28"/>
          <w:szCs w:val="28"/>
        </w:rPr>
        <w:t xml:space="preserve">  </w:t>
      </w:r>
      <w:r w:rsidR="003C625A">
        <w:rPr>
          <w:bCs/>
          <w:sz w:val="28"/>
          <w:szCs w:val="28"/>
        </w:rPr>
        <w:tab/>
      </w:r>
      <w:r w:rsidR="001B27BA" w:rsidRPr="001F47D8">
        <w:rPr>
          <w:bCs/>
          <w:sz w:val="28"/>
          <w:szCs w:val="28"/>
        </w:rPr>
        <w:t xml:space="preserve">Expiration </w:t>
      </w:r>
      <w:r w:rsidR="001D4EA6" w:rsidRPr="001F47D8">
        <w:rPr>
          <w:bCs/>
          <w:sz w:val="28"/>
          <w:szCs w:val="28"/>
        </w:rPr>
        <w:t>05/31/2014</w:t>
      </w:r>
    </w:p>
    <w:p w:rsidR="006F263B" w:rsidRPr="001F47D8" w:rsidRDefault="006F263B" w:rsidP="00E979CC">
      <w:pPr>
        <w:rPr>
          <w:b/>
          <w:bCs/>
          <w:sz w:val="28"/>
          <w:szCs w:val="28"/>
        </w:rPr>
      </w:pPr>
    </w:p>
    <w:p w:rsidR="006F263B" w:rsidRPr="001F47D8" w:rsidRDefault="006F263B" w:rsidP="00E979CC">
      <w:pPr>
        <w:pStyle w:val="NoSpacing"/>
        <w:rPr>
          <w:sz w:val="28"/>
          <w:szCs w:val="28"/>
        </w:rPr>
      </w:pPr>
      <w:r w:rsidRPr="001F47D8">
        <w:rPr>
          <w:sz w:val="28"/>
          <w:szCs w:val="28"/>
        </w:rPr>
        <w:t>Revision</w:t>
      </w:r>
    </w:p>
    <w:p w:rsidR="006F4A5F" w:rsidRPr="001F47D8" w:rsidRDefault="006F4A5F" w:rsidP="00E979CC">
      <w:pPr>
        <w:pStyle w:val="NoSpacing"/>
        <w:rPr>
          <w:sz w:val="28"/>
          <w:szCs w:val="28"/>
        </w:rPr>
      </w:pPr>
    </w:p>
    <w:p w:rsidR="00AA6B13" w:rsidRPr="001F47D8" w:rsidRDefault="00AA6B13" w:rsidP="00AA6B13">
      <w:pPr>
        <w:tabs>
          <w:tab w:val="left" w:pos="-1440"/>
        </w:tabs>
        <w:spacing w:line="276" w:lineRule="auto"/>
        <w:rPr>
          <w:bCs/>
          <w:sz w:val="28"/>
          <w:szCs w:val="28"/>
        </w:rPr>
      </w:pPr>
      <w:r w:rsidRPr="001F47D8">
        <w:rPr>
          <w:bCs/>
          <w:sz w:val="28"/>
          <w:szCs w:val="28"/>
        </w:rPr>
        <w:t>February</w:t>
      </w:r>
      <w:r w:rsidR="00125B6B" w:rsidRPr="001F47D8">
        <w:rPr>
          <w:bCs/>
          <w:sz w:val="28"/>
          <w:szCs w:val="28"/>
        </w:rPr>
        <w:t xml:space="preserve"> </w:t>
      </w:r>
      <w:r w:rsidR="002D33BE">
        <w:rPr>
          <w:bCs/>
          <w:sz w:val="28"/>
          <w:szCs w:val="28"/>
        </w:rPr>
        <w:t>6</w:t>
      </w:r>
      <w:r w:rsidRPr="001F47D8">
        <w:rPr>
          <w:bCs/>
          <w:sz w:val="28"/>
          <w:szCs w:val="28"/>
        </w:rPr>
        <w:t>, 2014</w:t>
      </w:r>
    </w:p>
    <w:p w:rsidR="006F263B" w:rsidRPr="001F47D8" w:rsidRDefault="006F263B" w:rsidP="00E979CC">
      <w:pPr>
        <w:rPr>
          <w:b/>
          <w:sz w:val="28"/>
          <w:szCs w:val="28"/>
        </w:rPr>
      </w:pPr>
    </w:p>
    <w:p w:rsidR="006F263B" w:rsidRPr="001F47D8" w:rsidRDefault="006F263B" w:rsidP="001F47D8">
      <w:pPr>
        <w:rPr>
          <w:bCs/>
          <w:sz w:val="28"/>
          <w:szCs w:val="28"/>
        </w:rPr>
      </w:pPr>
      <w:r w:rsidRPr="001F47D8">
        <w:rPr>
          <w:bCs/>
          <w:sz w:val="28"/>
          <w:szCs w:val="28"/>
        </w:rPr>
        <w:t>Centers for Disease Control and Prevention</w:t>
      </w:r>
    </w:p>
    <w:p w:rsidR="006F263B" w:rsidRPr="001F47D8" w:rsidRDefault="006F263B" w:rsidP="001F47D8">
      <w:pPr>
        <w:rPr>
          <w:sz w:val="28"/>
          <w:szCs w:val="28"/>
        </w:rPr>
      </w:pPr>
      <w:r w:rsidRPr="001F47D8">
        <w:rPr>
          <w:sz w:val="28"/>
          <w:szCs w:val="28"/>
        </w:rPr>
        <w:t xml:space="preserve">Office of Public Health Preparedness and Response </w:t>
      </w:r>
    </w:p>
    <w:p w:rsidR="006F263B" w:rsidRPr="001F47D8" w:rsidRDefault="005D3D26" w:rsidP="001F47D8">
      <w:pPr>
        <w:tabs>
          <w:tab w:val="left" w:pos="-1440"/>
        </w:tabs>
        <w:rPr>
          <w:bCs/>
          <w:sz w:val="28"/>
          <w:szCs w:val="28"/>
        </w:rPr>
      </w:pPr>
      <w:r w:rsidRPr="001F47D8">
        <w:rPr>
          <w:bCs/>
          <w:sz w:val="28"/>
          <w:szCs w:val="28"/>
        </w:rPr>
        <w:t>Division of Emergency Operations</w:t>
      </w:r>
    </w:p>
    <w:p w:rsidR="00F65A68" w:rsidRPr="001F47D8" w:rsidRDefault="00F65A68" w:rsidP="00E979CC">
      <w:pPr>
        <w:tabs>
          <w:tab w:val="left" w:pos="-1440"/>
        </w:tabs>
        <w:spacing w:line="276" w:lineRule="auto"/>
        <w:rPr>
          <w:sz w:val="28"/>
          <w:szCs w:val="28"/>
        </w:rPr>
      </w:pPr>
    </w:p>
    <w:p w:rsidR="006F263B" w:rsidRPr="001F47D8" w:rsidRDefault="005D3D26" w:rsidP="00E979CC">
      <w:pPr>
        <w:tabs>
          <w:tab w:val="left" w:pos="-1440"/>
        </w:tabs>
        <w:spacing w:line="276" w:lineRule="auto"/>
        <w:rPr>
          <w:bCs/>
          <w:sz w:val="28"/>
          <w:szCs w:val="28"/>
        </w:rPr>
      </w:pPr>
      <w:r w:rsidRPr="001F47D8">
        <w:rPr>
          <w:sz w:val="28"/>
          <w:szCs w:val="28"/>
        </w:rPr>
        <w:t>Mark Wooster, PhD</w:t>
      </w:r>
    </w:p>
    <w:p w:rsidR="006F263B" w:rsidRPr="001F47D8" w:rsidRDefault="006F263B" w:rsidP="00E979CC">
      <w:pPr>
        <w:tabs>
          <w:tab w:val="left" w:pos="-1440"/>
        </w:tabs>
        <w:spacing w:line="276" w:lineRule="auto"/>
        <w:rPr>
          <w:bCs/>
          <w:sz w:val="28"/>
          <w:szCs w:val="28"/>
        </w:rPr>
      </w:pPr>
      <w:r w:rsidRPr="001F47D8">
        <w:rPr>
          <w:sz w:val="28"/>
          <w:szCs w:val="28"/>
        </w:rPr>
        <w:t>(404) 639-</w:t>
      </w:r>
      <w:r w:rsidR="00DA7566" w:rsidRPr="001F47D8">
        <w:rPr>
          <w:sz w:val="28"/>
          <w:szCs w:val="28"/>
        </w:rPr>
        <w:t>3227</w:t>
      </w:r>
      <w:r w:rsidRPr="001F47D8">
        <w:rPr>
          <w:bCs/>
          <w:sz w:val="28"/>
          <w:szCs w:val="28"/>
        </w:rPr>
        <w:t xml:space="preserve"> </w:t>
      </w:r>
    </w:p>
    <w:p w:rsidR="006F263B" w:rsidRPr="001F47D8" w:rsidRDefault="0029265D" w:rsidP="00E979CC">
      <w:pPr>
        <w:tabs>
          <w:tab w:val="left" w:pos="-1440"/>
        </w:tabs>
        <w:spacing w:line="276" w:lineRule="auto"/>
        <w:rPr>
          <w:sz w:val="28"/>
          <w:szCs w:val="28"/>
        </w:rPr>
      </w:pPr>
      <w:r w:rsidRPr="001F47D8">
        <w:rPr>
          <w:sz w:val="28"/>
          <w:szCs w:val="28"/>
        </w:rPr>
        <w:t>got1@cdc.gov</w:t>
      </w:r>
    </w:p>
    <w:p w:rsidR="006F263B" w:rsidRPr="001F47D8" w:rsidRDefault="006F263B" w:rsidP="00E979CC">
      <w:pPr>
        <w:tabs>
          <w:tab w:val="left" w:pos="-1440"/>
        </w:tabs>
        <w:spacing w:line="276" w:lineRule="auto"/>
        <w:rPr>
          <w:rStyle w:val="Hyperlink"/>
          <w:sz w:val="28"/>
          <w:szCs w:val="28"/>
        </w:rPr>
      </w:pPr>
    </w:p>
    <w:p w:rsidR="00E979CC" w:rsidRPr="001F47D8" w:rsidRDefault="00E979CC" w:rsidP="00E979CC">
      <w:pPr>
        <w:tabs>
          <w:tab w:val="left" w:pos="-1440"/>
        </w:tabs>
        <w:spacing w:line="276" w:lineRule="auto"/>
        <w:rPr>
          <w:bCs/>
          <w:sz w:val="28"/>
          <w:szCs w:val="28"/>
        </w:rPr>
      </w:pPr>
      <w:r w:rsidRPr="001F47D8">
        <w:rPr>
          <w:bCs/>
          <w:sz w:val="28"/>
          <w:szCs w:val="28"/>
        </w:rPr>
        <w:t>Jacqueline Burkholder, PhD</w:t>
      </w:r>
    </w:p>
    <w:p w:rsidR="00E979CC" w:rsidRPr="001F47D8" w:rsidRDefault="00E979CC" w:rsidP="00E979CC">
      <w:pPr>
        <w:tabs>
          <w:tab w:val="left" w:pos="-1440"/>
        </w:tabs>
        <w:spacing w:line="276" w:lineRule="auto"/>
        <w:rPr>
          <w:bCs/>
          <w:sz w:val="28"/>
          <w:szCs w:val="28"/>
        </w:rPr>
      </w:pPr>
      <w:r w:rsidRPr="001F47D8">
        <w:rPr>
          <w:bCs/>
          <w:sz w:val="28"/>
          <w:szCs w:val="28"/>
        </w:rPr>
        <w:t>(404) 775-1560</w:t>
      </w:r>
    </w:p>
    <w:p w:rsidR="00E979CC" w:rsidRPr="001F47D8" w:rsidRDefault="00E979CC" w:rsidP="00E979CC">
      <w:pPr>
        <w:tabs>
          <w:tab w:val="left" w:pos="-1440"/>
        </w:tabs>
        <w:spacing w:line="276" w:lineRule="auto"/>
        <w:rPr>
          <w:bCs/>
          <w:sz w:val="28"/>
          <w:szCs w:val="28"/>
        </w:rPr>
      </w:pPr>
      <w:r w:rsidRPr="001F47D8">
        <w:rPr>
          <w:bCs/>
          <w:sz w:val="28"/>
          <w:szCs w:val="28"/>
        </w:rPr>
        <w:t>jib0@cdc.gov</w:t>
      </w:r>
    </w:p>
    <w:p w:rsidR="00E979CC" w:rsidRPr="001F47D8" w:rsidRDefault="00E979CC" w:rsidP="00E979CC">
      <w:pPr>
        <w:tabs>
          <w:tab w:val="left" w:pos="-1440"/>
        </w:tabs>
        <w:spacing w:line="276" w:lineRule="auto"/>
        <w:rPr>
          <w:bCs/>
          <w:sz w:val="28"/>
          <w:szCs w:val="28"/>
        </w:rPr>
      </w:pPr>
    </w:p>
    <w:p w:rsidR="00E979CC" w:rsidRPr="001F47D8" w:rsidRDefault="00E979CC" w:rsidP="00E979CC">
      <w:pPr>
        <w:tabs>
          <w:tab w:val="left" w:pos="-1440"/>
        </w:tabs>
        <w:spacing w:line="276" w:lineRule="auto"/>
        <w:rPr>
          <w:bCs/>
          <w:sz w:val="28"/>
          <w:szCs w:val="28"/>
        </w:rPr>
      </w:pPr>
      <w:r w:rsidRPr="001F47D8">
        <w:rPr>
          <w:bCs/>
          <w:sz w:val="28"/>
          <w:szCs w:val="28"/>
        </w:rPr>
        <w:t xml:space="preserve">Amanda </w:t>
      </w:r>
      <w:proofErr w:type="spellStart"/>
      <w:r w:rsidRPr="001F47D8">
        <w:rPr>
          <w:bCs/>
          <w:sz w:val="28"/>
          <w:szCs w:val="28"/>
        </w:rPr>
        <w:t>Evanson</w:t>
      </w:r>
      <w:proofErr w:type="spellEnd"/>
    </w:p>
    <w:p w:rsidR="00E979CC" w:rsidRPr="001F47D8" w:rsidRDefault="00E979CC" w:rsidP="00E979CC">
      <w:pPr>
        <w:tabs>
          <w:tab w:val="left" w:pos="-1440"/>
        </w:tabs>
        <w:spacing w:line="276" w:lineRule="auto"/>
        <w:rPr>
          <w:bCs/>
          <w:sz w:val="28"/>
          <w:szCs w:val="28"/>
        </w:rPr>
      </w:pPr>
      <w:r w:rsidRPr="001F47D8">
        <w:rPr>
          <w:bCs/>
          <w:sz w:val="28"/>
          <w:szCs w:val="28"/>
        </w:rPr>
        <w:t>(404) 639-3113</w:t>
      </w:r>
    </w:p>
    <w:p w:rsidR="00AA6B13" w:rsidRPr="001F47D8" w:rsidRDefault="00AA6B13" w:rsidP="00E979CC">
      <w:pPr>
        <w:tabs>
          <w:tab w:val="left" w:pos="-1440"/>
        </w:tabs>
        <w:spacing w:line="276" w:lineRule="auto"/>
        <w:rPr>
          <w:bCs/>
          <w:sz w:val="28"/>
          <w:szCs w:val="28"/>
        </w:rPr>
      </w:pPr>
      <w:r w:rsidRPr="001F47D8">
        <w:rPr>
          <w:bCs/>
          <w:sz w:val="28"/>
          <w:szCs w:val="28"/>
        </w:rPr>
        <w:t>afe0@cdc.gov</w:t>
      </w:r>
    </w:p>
    <w:p w:rsidR="00AA6B13" w:rsidRPr="001F47D8" w:rsidRDefault="00AA6B13" w:rsidP="00E979CC">
      <w:pPr>
        <w:tabs>
          <w:tab w:val="left" w:pos="-1440"/>
        </w:tabs>
        <w:spacing w:line="276" w:lineRule="auto"/>
        <w:rPr>
          <w:bCs/>
          <w:sz w:val="28"/>
          <w:szCs w:val="28"/>
        </w:rPr>
      </w:pPr>
    </w:p>
    <w:p w:rsidR="00E979CC" w:rsidRPr="001F47D8" w:rsidRDefault="00E979CC" w:rsidP="00E979CC">
      <w:pPr>
        <w:tabs>
          <w:tab w:val="left" w:pos="-1440"/>
        </w:tabs>
        <w:spacing w:line="276" w:lineRule="auto"/>
        <w:rPr>
          <w:bCs/>
          <w:sz w:val="28"/>
          <w:szCs w:val="28"/>
        </w:rPr>
      </w:pPr>
      <w:r w:rsidRPr="001F47D8">
        <w:rPr>
          <w:bCs/>
          <w:sz w:val="28"/>
          <w:szCs w:val="28"/>
        </w:rPr>
        <w:t>Marinda Logan, MPH</w:t>
      </w:r>
    </w:p>
    <w:p w:rsidR="00E979CC" w:rsidRPr="001F47D8" w:rsidRDefault="00E979CC" w:rsidP="00E979CC">
      <w:pPr>
        <w:tabs>
          <w:tab w:val="left" w:pos="-1440"/>
        </w:tabs>
        <w:spacing w:line="276" w:lineRule="auto"/>
        <w:rPr>
          <w:bCs/>
          <w:sz w:val="28"/>
          <w:szCs w:val="28"/>
        </w:rPr>
      </w:pPr>
      <w:r w:rsidRPr="001F47D8">
        <w:rPr>
          <w:bCs/>
          <w:sz w:val="28"/>
          <w:szCs w:val="28"/>
        </w:rPr>
        <w:t>(404) 639-7072</w:t>
      </w:r>
    </w:p>
    <w:p w:rsidR="00E979CC" w:rsidRPr="001F47D8" w:rsidRDefault="00E979CC" w:rsidP="00E979CC">
      <w:pPr>
        <w:tabs>
          <w:tab w:val="left" w:pos="-1440"/>
        </w:tabs>
        <w:spacing w:line="276" w:lineRule="auto"/>
        <w:rPr>
          <w:bCs/>
          <w:sz w:val="28"/>
          <w:szCs w:val="28"/>
        </w:rPr>
      </w:pPr>
      <w:r w:rsidRPr="001F47D8">
        <w:rPr>
          <w:bCs/>
          <w:sz w:val="28"/>
          <w:szCs w:val="28"/>
        </w:rPr>
        <w:t xml:space="preserve">mwl8@cdc.gov </w:t>
      </w:r>
    </w:p>
    <w:p w:rsidR="00E979CC" w:rsidRPr="00AA6B13" w:rsidRDefault="00E979CC" w:rsidP="00E979CC">
      <w:pPr>
        <w:tabs>
          <w:tab w:val="left" w:pos="-1440"/>
        </w:tabs>
        <w:spacing w:line="276" w:lineRule="auto"/>
        <w:rPr>
          <w:bCs/>
        </w:rPr>
      </w:pPr>
    </w:p>
    <w:p w:rsidR="006F263B" w:rsidRPr="00E979CC" w:rsidRDefault="006F263B" w:rsidP="00A729C3">
      <w:pPr>
        <w:jc w:val="center"/>
        <w:rPr>
          <w:bCs/>
          <w:sz w:val="22"/>
          <w:szCs w:val="22"/>
        </w:rPr>
      </w:pPr>
    </w:p>
    <w:p w:rsidR="00A729C3" w:rsidRDefault="00A729C3" w:rsidP="00A729C3">
      <w:pPr>
        <w:jc w:val="center"/>
        <w:rPr>
          <w:bCs/>
        </w:rPr>
      </w:pPr>
    </w:p>
    <w:p w:rsidR="00A729C3" w:rsidRDefault="00A729C3" w:rsidP="009752DA">
      <w:pPr>
        <w:rPr>
          <w:bCs/>
        </w:rPr>
      </w:pPr>
    </w:p>
    <w:p w:rsidR="00A729C3" w:rsidRDefault="00A729C3" w:rsidP="009752DA">
      <w:pPr>
        <w:rPr>
          <w:bCs/>
        </w:rPr>
      </w:pPr>
    </w:p>
    <w:p w:rsidR="00B452FA" w:rsidRPr="001252DF" w:rsidRDefault="00B452FA" w:rsidP="00B452FA">
      <w:pPr>
        <w:spacing w:line="360" w:lineRule="auto"/>
        <w:rPr>
          <w:b/>
        </w:rPr>
      </w:pPr>
      <w:r w:rsidRPr="001252DF">
        <w:rPr>
          <w:b/>
        </w:rPr>
        <w:lastRenderedPageBreak/>
        <w:t>Table of Contents</w:t>
      </w:r>
    </w:p>
    <w:p w:rsidR="00B452FA" w:rsidRPr="001252DF" w:rsidRDefault="00B452FA" w:rsidP="00B452FA">
      <w:pPr>
        <w:numPr>
          <w:ilvl w:val="0"/>
          <w:numId w:val="30"/>
        </w:numPr>
        <w:tabs>
          <w:tab w:val="right" w:pos="8550"/>
        </w:tabs>
        <w:spacing w:line="360" w:lineRule="auto"/>
      </w:pPr>
      <w:r w:rsidRPr="001252DF">
        <w:t>Circumstances Making the Collection of Information Necessary</w:t>
      </w:r>
      <w:r w:rsidRPr="001252DF">
        <w:tab/>
      </w:r>
      <w:r w:rsidR="007C61B3" w:rsidRPr="001252DF">
        <w:t>4</w:t>
      </w:r>
    </w:p>
    <w:p w:rsidR="00B452FA" w:rsidRPr="001252DF" w:rsidRDefault="00B452FA" w:rsidP="00B452FA">
      <w:pPr>
        <w:numPr>
          <w:ilvl w:val="0"/>
          <w:numId w:val="30"/>
        </w:numPr>
        <w:tabs>
          <w:tab w:val="right" w:pos="8550"/>
        </w:tabs>
        <w:spacing w:line="360" w:lineRule="auto"/>
      </w:pPr>
      <w:r w:rsidRPr="001252DF">
        <w:t>Purpose and Use of the Information Collection</w:t>
      </w:r>
      <w:r w:rsidRPr="001252DF">
        <w:tab/>
      </w:r>
      <w:r w:rsidR="007C61B3" w:rsidRPr="001252DF">
        <w:t>9</w:t>
      </w:r>
    </w:p>
    <w:p w:rsidR="00B452FA" w:rsidRPr="001252DF" w:rsidRDefault="00B452FA" w:rsidP="00B452FA">
      <w:pPr>
        <w:numPr>
          <w:ilvl w:val="0"/>
          <w:numId w:val="30"/>
        </w:numPr>
        <w:tabs>
          <w:tab w:val="right" w:pos="8550"/>
        </w:tabs>
        <w:spacing w:line="360" w:lineRule="auto"/>
      </w:pPr>
      <w:r w:rsidRPr="001252DF">
        <w:t>Use of Improved Information Technology and Burden Reduction</w:t>
      </w:r>
      <w:r w:rsidRPr="001252DF">
        <w:tab/>
      </w:r>
      <w:r w:rsidR="007C61B3" w:rsidRPr="001252DF">
        <w:t>12</w:t>
      </w:r>
    </w:p>
    <w:p w:rsidR="00B452FA" w:rsidRPr="001252DF" w:rsidRDefault="00B452FA" w:rsidP="00B452FA">
      <w:pPr>
        <w:numPr>
          <w:ilvl w:val="0"/>
          <w:numId w:val="30"/>
        </w:numPr>
        <w:tabs>
          <w:tab w:val="right" w:pos="8550"/>
        </w:tabs>
        <w:spacing w:line="360" w:lineRule="auto"/>
      </w:pPr>
      <w:r w:rsidRPr="001252DF">
        <w:t>Efforts to Identify Duplication and Use of Similar Information</w:t>
      </w:r>
      <w:r w:rsidRPr="001252DF">
        <w:tab/>
      </w:r>
      <w:r w:rsidR="007C61B3" w:rsidRPr="001252DF">
        <w:t>12</w:t>
      </w:r>
    </w:p>
    <w:p w:rsidR="00B452FA" w:rsidRPr="001252DF" w:rsidRDefault="00B452FA" w:rsidP="00B452FA">
      <w:pPr>
        <w:numPr>
          <w:ilvl w:val="0"/>
          <w:numId w:val="30"/>
        </w:numPr>
        <w:tabs>
          <w:tab w:val="right" w:pos="8550"/>
        </w:tabs>
        <w:spacing w:line="360" w:lineRule="auto"/>
      </w:pPr>
      <w:r w:rsidRPr="001252DF">
        <w:t>Impact on small Businesses or Other Small Entities</w:t>
      </w:r>
      <w:r w:rsidRPr="001252DF">
        <w:tab/>
      </w:r>
      <w:r w:rsidR="007C61B3" w:rsidRPr="001252DF">
        <w:t>13</w:t>
      </w:r>
    </w:p>
    <w:p w:rsidR="00B452FA" w:rsidRPr="001252DF" w:rsidRDefault="00B452FA" w:rsidP="00B452FA">
      <w:pPr>
        <w:numPr>
          <w:ilvl w:val="0"/>
          <w:numId w:val="30"/>
        </w:numPr>
        <w:tabs>
          <w:tab w:val="right" w:pos="8550"/>
        </w:tabs>
        <w:spacing w:line="360" w:lineRule="auto"/>
      </w:pPr>
      <w:r w:rsidRPr="001252DF">
        <w:t>Consequences of Collecting the Information Less Frequently</w:t>
      </w:r>
      <w:r w:rsidRPr="001252DF">
        <w:tab/>
      </w:r>
      <w:r w:rsidR="007C61B3" w:rsidRPr="001252DF">
        <w:t>13</w:t>
      </w:r>
    </w:p>
    <w:p w:rsidR="00B452FA" w:rsidRPr="001252DF" w:rsidRDefault="00B452FA" w:rsidP="00B452FA">
      <w:pPr>
        <w:numPr>
          <w:ilvl w:val="0"/>
          <w:numId w:val="30"/>
        </w:numPr>
        <w:tabs>
          <w:tab w:val="right" w:pos="8550"/>
        </w:tabs>
        <w:spacing w:line="360" w:lineRule="auto"/>
      </w:pPr>
      <w:r w:rsidRPr="001252DF">
        <w:t>Special Circumstances Relating to the Guidelines of 5 CFR 1320.5</w:t>
      </w:r>
      <w:r w:rsidRPr="001252DF">
        <w:tab/>
      </w:r>
      <w:r w:rsidR="007C61B3" w:rsidRPr="001252DF">
        <w:t>13</w:t>
      </w:r>
    </w:p>
    <w:p w:rsidR="00B452FA" w:rsidRPr="001252DF" w:rsidRDefault="00B452FA" w:rsidP="00B452FA">
      <w:pPr>
        <w:numPr>
          <w:ilvl w:val="0"/>
          <w:numId w:val="30"/>
        </w:numPr>
        <w:tabs>
          <w:tab w:val="right" w:pos="8550"/>
        </w:tabs>
        <w:spacing w:line="360" w:lineRule="auto"/>
      </w:pPr>
      <w:r w:rsidRPr="001252DF">
        <w:t>Comments in Response to the Federal Register Notice and Efforts</w:t>
      </w:r>
      <w:r w:rsidRPr="001252DF">
        <w:tab/>
      </w:r>
      <w:r w:rsidR="007C61B3" w:rsidRPr="001252DF">
        <w:t>13</w:t>
      </w:r>
      <w:r w:rsidRPr="001252DF">
        <w:t xml:space="preserve"> </w:t>
      </w:r>
    </w:p>
    <w:p w:rsidR="00B452FA" w:rsidRPr="001252DF" w:rsidRDefault="00B452FA" w:rsidP="00B452FA">
      <w:pPr>
        <w:tabs>
          <w:tab w:val="right" w:pos="8550"/>
        </w:tabs>
        <w:spacing w:line="360" w:lineRule="auto"/>
        <w:ind w:firstLine="720"/>
      </w:pPr>
      <w:proofErr w:type="gramStart"/>
      <w:r w:rsidRPr="001252DF">
        <w:t>to</w:t>
      </w:r>
      <w:proofErr w:type="gramEnd"/>
      <w:r w:rsidRPr="001252DF">
        <w:t xml:space="preserve"> Consult Outside the Agency</w:t>
      </w:r>
    </w:p>
    <w:p w:rsidR="00B452FA" w:rsidRPr="001252DF" w:rsidRDefault="00B452FA" w:rsidP="00B452FA">
      <w:pPr>
        <w:numPr>
          <w:ilvl w:val="0"/>
          <w:numId w:val="30"/>
        </w:numPr>
        <w:tabs>
          <w:tab w:val="right" w:pos="8550"/>
        </w:tabs>
        <w:spacing w:line="360" w:lineRule="auto"/>
      </w:pPr>
      <w:r w:rsidRPr="001252DF">
        <w:t>Explanation of Any Payment or Gift to Respondents</w:t>
      </w:r>
      <w:r w:rsidRPr="001252DF">
        <w:tab/>
      </w:r>
      <w:r w:rsidR="007C61B3" w:rsidRPr="001252DF">
        <w:t>13</w:t>
      </w:r>
    </w:p>
    <w:p w:rsidR="00B452FA" w:rsidRPr="001252DF" w:rsidRDefault="00B452FA" w:rsidP="00B452FA">
      <w:pPr>
        <w:numPr>
          <w:ilvl w:val="0"/>
          <w:numId w:val="30"/>
        </w:numPr>
        <w:tabs>
          <w:tab w:val="right" w:pos="8550"/>
        </w:tabs>
        <w:spacing w:line="360" w:lineRule="auto"/>
      </w:pPr>
      <w:r w:rsidRPr="001252DF">
        <w:t>Assurance of Confidentiality Provided to Respondents</w:t>
      </w:r>
      <w:r w:rsidRPr="001252DF">
        <w:tab/>
      </w:r>
      <w:r w:rsidR="008451ED" w:rsidRPr="001252DF">
        <w:t>14</w:t>
      </w:r>
    </w:p>
    <w:p w:rsidR="00B452FA" w:rsidRPr="001252DF" w:rsidRDefault="00B452FA" w:rsidP="00B452FA">
      <w:pPr>
        <w:numPr>
          <w:ilvl w:val="0"/>
          <w:numId w:val="30"/>
        </w:numPr>
        <w:tabs>
          <w:tab w:val="right" w:pos="8550"/>
        </w:tabs>
        <w:spacing w:line="360" w:lineRule="auto"/>
      </w:pPr>
      <w:r w:rsidRPr="001252DF">
        <w:t>Justification for Sensitive Questions</w:t>
      </w:r>
      <w:r w:rsidRPr="001252DF">
        <w:tab/>
      </w:r>
      <w:r w:rsidR="008451ED" w:rsidRPr="001252DF">
        <w:t>15</w:t>
      </w:r>
    </w:p>
    <w:p w:rsidR="00B452FA" w:rsidRPr="001252DF" w:rsidRDefault="00B452FA" w:rsidP="00B452FA">
      <w:pPr>
        <w:numPr>
          <w:ilvl w:val="0"/>
          <w:numId w:val="30"/>
        </w:numPr>
        <w:tabs>
          <w:tab w:val="right" w:pos="8550"/>
        </w:tabs>
        <w:spacing w:line="360" w:lineRule="auto"/>
      </w:pPr>
      <w:r w:rsidRPr="001252DF">
        <w:t>Estimates of Annualized Burden Hours and Costs</w:t>
      </w:r>
      <w:r w:rsidRPr="001252DF">
        <w:tab/>
      </w:r>
      <w:r w:rsidR="008451ED" w:rsidRPr="001252DF">
        <w:t>15</w:t>
      </w:r>
    </w:p>
    <w:p w:rsidR="00B452FA" w:rsidRPr="001252DF" w:rsidRDefault="00B452FA" w:rsidP="00B452FA">
      <w:pPr>
        <w:numPr>
          <w:ilvl w:val="0"/>
          <w:numId w:val="30"/>
        </w:numPr>
        <w:tabs>
          <w:tab w:val="right" w:pos="8550"/>
        </w:tabs>
        <w:spacing w:line="360" w:lineRule="auto"/>
      </w:pPr>
      <w:r w:rsidRPr="001252DF">
        <w:t>Estimates of Other Total Annual Cost Burden to Respondents and Record</w:t>
      </w:r>
      <w:r w:rsidRPr="001252DF">
        <w:tab/>
      </w:r>
      <w:r w:rsidR="005D0CF9" w:rsidRPr="001252DF">
        <w:t>16</w:t>
      </w:r>
    </w:p>
    <w:p w:rsidR="00B452FA" w:rsidRPr="001252DF" w:rsidRDefault="00B452FA" w:rsidP="00B452FA">
      <w:pPr>
        <w:tabs>
          <w:tab w:val="right" w:pos="8550"/>
        </w:tabs>
        <w:spacing w:line="360" w:lineRule="auto"/>
        <w:ind w:firstLine="720"/>
      </w:pPr>
      <w:r w:rsidRPr="001252DF">
        <w:t>Keepers</w:t>
      </w:r>
    </w:p>
    <w:p w:rsidR="00B452FA" w:rsidRPr="001252DF" w:rsidRDefault="00B452FA" w:rsidP="00B452FA">
      <w:pPr>
        <w:numPr>
          <w:ilvl w:val="0"/>
          <w:numId w:val="30"/>
        </w:numPr>
        <w:tabs>
          <w:tab w:val="right" w:pos="8550"/>
        </w:tabs>
        <w:spacing w:line="360" w:lineRule="auto"/>
      </w:pPr>
      <w:r w:rsidRPr="001252DF">
        <w:t>Annualized Cost to the Federal Government</w:t>
      </w:r>
      <w:r w:rsidRPr="001252DF">
        <w:tab/>
      </w:r>
      <w:r w:rsidR="005D0CF9" w:rsidRPr="001252DF">
        <w:t>16</w:t>
      </w:r>
    </w:p>
    <w:p w:rsidR="00B452FA" w:rsidRPr="001252DF" w:rsidRDefault="00B452FA" w:rsidP="00B452FA">
      <w:pPr>
        <w:numPr>
          <w:ilvl w:val="0"/>
          <w:numId w:val="30"/>
        </w:numPr>
        <w:tabs>
          <w:tab w:val="right" w:pos="8550"/>
        </w:tabs>
        <w:spacing w:line="360" w:lineRule="auto"/>
      </w:pPr>
      <w:r w:rsidRPr="001252DF">
        <w:t>Explanation for Program Changes or Adjustments</w:t>
      </w:r>
      <w:r w:rsidRPr="001252DF">
        <w:tab/>
      </w:r>
      <w:r w:rsidR="00B16061" w:rsidRPr="001252DF">
        <w:t>17</w:t>
      </w:r>
    </w:p>
    <w:p w:rsidR="00B452FA" w:rsidRPr="001252DF" w:rsidRDefault="00B452FA" w:rsidP="00B452FA">
      <w:pPr>
        <w:numPr>
          <w:ilvl w:val="0"/>
          <w:numId w:val="30"/>
        </w:numPr>
        <w:tabs>
          <w:tab w:val="right" w:pos="8550"/>
        </w:tabs>
        <w:spacing w:line="360" w:lineRule="auto"/>
      </w:pPr>
      <w:r w:rsidRPr="001252DF">
        <w:t>Plans for Tabulation and Publication and Project Time Schedule</w:t>
      </w:r>
      <w:r w:rsidRPr="001252DF">
        <w:tab/>
      </w:r>
      <w:r w:rsidR="00B16061" w:rsidRPr="001252DF">
        <w:t>17</w:t>
      </w:r>
    </w:p>
    <w:p w:rsidR="00B452FA" w:rsidRPr="001252DF" w:rsidRDefault="00B452FA" w:rsidP="00B452FA">
      <w:pPr>
        <w:numPr>
          <w:ilvl w:val="0"/>
          <w:numId w:val="30"/>
        </w:numPr>
        <w:tabs>
          <w:tab w:val="right" w:pos="8550"/>
        </w:tabs>
        <w:spacing w:line="360" w:lineRule="auto"/>
      </w:pPr>
      <w:r w:rsidRPr="001252DF">
        <w:t>Reason(s) Display of OMB Expiration Date is Inappropriate</w:t>
      </w:r>
      <w:r w:rsidR="004D3053" w:rsidRPr="001252DF">
        <w:tab/>
        <w:t>18</w:t>
      </w:r>
    </w:p>
    <w:p w:rsidR="00B452FA" w:rsidRPr="001252DF" w:rsidRDefault="00B452FA" w:rsidP="00B452FA">
      <w:pPr>
        <w:numPr>
          <w:ilvl w:val="0"/>
          <w:numId w:val="30"/>
        </w:numPr>
        <w:tabs>
          <w:tab w:val="right" w:pos="8550"/>
        </w:tabs>
        <w:spacing w:line="360" w:lineRule="auto"/>
      </w:pPr>
      <w:r w:rsidRPr="001252DF">
        <w:t>Exceptions to Certification for Paperwork Reduction Act Submissions</w:t>
      </w:r>
      <w:r w:rsidR="004D3053" w:rsidRPr="001252DF">
        <w:tab/>
        <w:t>18</w:t>
      </w:r>
    </w:p>
    <w:p w:rsidR="00164F1D" w:rsidRPr="001252DF" w:rsidRDefault="00164F1D" w:rsidP="009752DA">
      <w:pPr>
        <w:rPr>
          <w:bCs/>
        </w:rPr>
      </w:pPr>
    </w:p>
    <w:p w:rsidR="00354F2E" w:rsidRPr="001252DF" w:rsidRDefault="00354F2E" w:rsidP="00354F2E">
      <w:pPr>
        <w:spacing w:line="360" w:lineRule="auto"/>
        <w:rPr>
          <w:b/>
        </w:rPr>
      </w:pPr>
      <w:r w:rsidRPr="001252DF">
        <w:rPr>
          <w:b/>
        </w:rPr>
        <w:t>List of Attachments</w:t>
      </w:r>
    </w:p>
    <w:p w:rsidR="00354F2E" w:rsidRPr="001252DF" w:rsidRDefault="00354F2E" w:rsidP="00354F2E">
      <w:pPr>
        <w:spacing w:line="360" w:lineRule="auto"/>
        <w:rPr>
          <w:b/>
        </w:rPr>
      </w:pPr>
    </w:p>
    <w:p w:rsidR="00354F2E" w:rsidRPr="001252DF" w:rsidRDefault="0065086A" w:rsidP="00354F2E">
      <w:pPr>
        <w:tabs>
          <w:tab w:val="right" w:pos="8640"/>
        </w:tabs>
        <w:spacing w:line="360" w:lineRule="auto"/>
      </w:pPr>
      <w:r>
        <w:t>Authorizing Legislation</w:t>
      </w:r>
      <w:r w:rsidR="004D52F5">
        <w:t xml:space="preserve"> (</w:t>
      </w:r>
      <w:r w:rsidR="004D52F5" w:rsidRPr="00B94399">
        <w:rPr>
          <w:bCs/>
        </w:rPr>
        <w:t>Public Health Service Act (42 USC 241)</w:t>
      </w:r>
      <w:r w:rsidR="003B3EB4">
        <w:tab/>
        <w:t>Attachment A</w:t>
      </w:r>
    </w:p>
    <w:p w:rsidR="00354F2E" w:rsidRPr="001252DF" w:rsidRDefault="00354F2E" w:rsidP="00354F2E">
      <w:pPr>
        <w:tabs>
          <w:tab w:val="right" w:pos="8640"/>
        </w:tabs>
        <w:spacing w:line="360" w:lineRule="auto"/>
      </w:pPr>
      <w:r w:rsidRPr="001252DF">
        <w:t>60 Day Federal Register Notice</w:t>
      </w:r>
      <w:r w:rsidRPr="001252DF">
        <w:tab/>
        <w:t>Attachment B</w:t>
      </w:r>
    </w:p>
    <w:p w:rsidR="00354F2E" w:rsidRPr="001252DF" w:rsidRDefault="00295BEF" w:rsidP="00354F2E">
      <w:pPr>
        <w:tabs>
          <w:tab w:val="right" w:pos="8640"/>
        </w:tabs>
        <w:spacing w:line="360" w:lineRule="auto"/>
      </w:pPr>
      <w:r w:rsidRPr="00295BEF">
        <w:rPr>
          <w:i/>
        </w:rPr>
        <w:t>Determination of Applicability of Human Subjects Regulations</w:t>
      </w:r>
      <w:r w:rsidR="007232F5">
        <w:t xml:space="preserve"> </w:t>
      </w:r>
      <w:r w:rsidR="007232F5">
        <w:tab/>
        <w:t>Attachment C</w:t>
      </w:r>
    </w:p>
    <w:p w:rsidR="001252DF" w:rsidRDefault="001252DF" w:rsidP="007D51D0">
      <w:pPr>
        <w:tabs>
          <w:tab w:val="right" w:pos="8640"/>
        </w:tabs>
        <w:spacing w:line="360" w:lineRule="auto"/>
      </w:pPr>
    </w:p>
    <w:p w:rsidR="00464875" w:rsidRDefault="00464875" w:rsidP="007D51D0">
      <w:pPr>
        <w:tabs>
          <w:tab w:val="right" w:pos="8640"/>
        </w:tabs>
        <w:spacing w:line="360" w:lineRule="auto"/>
      </w:pPr>
    </w:p>
    <w:p w:rsidR="008E71B5" w:rsidRDefault="008E71B5" w:rsidP="007D51D0">
      <w:pPr>
        <w:tabs>
          <w:tab w:val="right" w:pos="8640"/>
        </w:tabs>
        <w:spacing w:line="360" w:lineRule="auto"/>
      </w:pPr>
    </w:p>
    <w:p w:rsidR="00AD7A72" w:rsidRPr="001252DF" w:rsidRDefault="00AD7A72" w:rsidP="007D51D0">
      <w:pPr>
        <w:tabs>
          <w:tab w:val="right" w:pos="8640"/>
        </w:tabs>
        <w:spacing w:line="360" w:lineRule="auto"/>
      </w:pPr>
    </w:p>
    <w:p w:rsidR="00A729C3" w:rsidRPr="009752DA" w:rsidRDefault="00A729C3" w:rsidP="009752DA"/>
    <w:p w:rsidR="00644872" w:rsidRPr="00BE1EC6" w:rsidRDefault="00BE1EC6" w:rsidP="00BE1EC6">
      <w:pPr>
        <w:pStyle w:val="ListParagraph"/>
        <w:numPr>
          <w:ilvl w:val="0"/>
          <w:numId w:val="1"/>
        </w:numPr>
        <w:rPr>
          <w:b/>
          <w:bCs/>
          <w:sz w:val="28"/>
          <w:szCs w:val="28"/>
        </w:rPr>
      </w:pPr>
      <w:r w:rsidRPr="00BE1EC6">
        <w:rPr>
          <w:b/>
          <w:bCs/>
          <w:sz w:val="28"/>
          <w:szCs w:val="28"/>
        </w:rPr>
        <w:t>Justification</w:t>
      </w:r>
    </w:p>
    <w:p w:rsidR="00BE1EC6" w:rsidRPr="00BE1EC6" w:rsidRDefault="00BE1EC6" w:rsidP="00BE1EC6">
      <w:pPr>
        <w:pStyle w:val="ListParagraph"/>
        <w:ind w:left="1080"/>
        <w:rPr>
          <w:b/>
          <w:bCs/>
          <w:sz w:val="28"/>
          <w:szCs w:val="28"/>
        </w:rPr>
      </w:pPr>
    </w:p>
    <w:p w:rsidR="00644872" w:rsidRPr="00C6650B" w:rsidRDefault="00644872" w:rsidP="00B73724">
      <w:pPr>
        <w:numPr>
          <w:ilvl w:val="1"/>
          <w:numId w:val="1"/>
        </w:numPr>
        <w:tabs>
          <w:tab w:val="clear" w:pos="1980"/>
          <w:tab w:val="num" w:pos="360"/>
        </w:tabs>
        <w:ind w:left="720" w:hanging="360"/>
        <w:rPr>
          <w:b/>
          <w:bCs/>
          <w:sz w:val="28"/>
          <w:szCs w:val="28"/>
        </w:rPr>
      </w:pPr>
      <w:r w:rsidRPr="00C6650B">
        <w:rPr>
          <w:b/>
          <w:bCs/>
          <w:sz w:val="28"/>
          <w:szCs w:val="28"/>
        </w:rPr>
        <w:t>Circumstances Making the Collection of Information Necessary</w:t>
      </w:r>
    </w:p>
    <w:p w:rsidR="00AD6B89" w:rsidRPr="00C6650B" w:rsidRDefault="00AD6B89" w:rsidP="00AD6B89">
      <w:pPr>
        <w:rPr>
          <w:b/>
          <w:bCs/>
          <w:sz w:val="28"/>
          <w:szCs w:val="28"/>
        </w:rPr>
      </w:pPr>
    </w:p>
    <w:p w:rsidR="005D57BC" w:rsidRPr="00453ED2" w:rsidRDefault="000748EB" w:rsidP="005D5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C6650B">
        <w:rPr>
          <w:bCs/>
        </w:rPr>
        <w:t>Th</w:t>
      </w:r>
      <w:r w:rsidR="00815BD1">
        <w:rPr>
          <w:bCs/>
        </w:rPr>
        <w:t xml:space="preserve">is is a request for revisions to </w:t>
      </w:r>
      <w:r w:rsidR="00CE46BE">
        <w:rPr>
          <w:bCs/>
        </w:rPr>
        <w:t>Office of Management and Budget (</w:t>
      </w:r>
      <w:r w:rsidR="00815BD1">
        <w:rPr>
          <w:bCs/>
        </w:rPr>
        <w:t>OMB</w:t>
      </w:r>
      <w:r w:rsidR="00CE46BE">
        <w:rPr>
          <w:bCs/>
        </w:rPr>
        <w:t>)</w:t>
      </w:r>
      <w:r w:rsidR="00815BD1">
        <w:rPr>
          <w:bCs/>
        </w:rPr>
        <w:t xml:space="preserve"> Control No. 0920-0636: </w:t>
      </w:r>
      <w:r w:rsidR="00815BD1" w:rsidRPr="00EE683B">
        <w:rPr>
          <w:bCs/>
          <w:i/>
        </w:rPr>
        <w:t xml:space="preserve">Centers for Disease Control and Prevention (CDC) Secure </w:t>
      </w:r>
      <w:r w:rsidR="00815BD1" w:rsidRPr="00663B4C">
        <w:rPr>
          <w:bCs/>
          <w:i/>
        </w:rPr>
        <w:t>Public Health Emergency Response</w:t>
      </w:r>
      <w:r w:rsidR="00815BD1" w:rsidRPr="00EE683B">
        <w:rPr>
          <w:bCs/>
          <w:i/>
        </w:rPr>
        <w:t xml:space="preserve"> Communications Network (</w:t>
      </w:r>
      <w:proofErr w:type="spellStart"/>
      <w:r w:rsidR="00815BD1" w:rsidRPr="00EE683B">
        <w:rPr>
          <w:bCs/>
          <w:i/>
        </w:rPr>
        <w:t>Epi</w:t>
      </w:r>
      <w:proofErr w:type="spellEnd"/>
      <w:r w:rsidR="00815BD1" w:rsidRPr="00EE683B">
        <w:rPr>
          <w:bCs/>
          <w:i/>
        </w:rPr>
        <w:t>-X)</w:t>
      </w:r>
      <w:r w:rsidR="00815BD1">
        <w:rPr>
          <w:bCs/>
          <w:i/>
        </w:rPr>
        <w:t xml:space="preserve">.  </w:t>
      </w:r>
      <w:r w:rsidR="00815BD1" w:rsidRPr="008A5F90">
        <w:rPr>
          <w:bCs/>
        </w:rPr>
        <w:t xml:space="preserve">This generic </w:t>
      </w:r>
      <w:r w:rsidR="00280BBF">
        <w:rPr>
          <w:bCs/>
        </w:rPr>
        <w:t>I</w:t>
      </w:r>
      <w:r w:rsidR="00815BD1" w:rsidRPr="008A5F90">
        <w:rPr>
          <w:bCs/>
        </w:rPr>
        <w:t xml:space="preserve">nformation </w:t>
      </w:r>
      <w:r w:rsidR="00280BBF">
        <w:rPr>
          <w:bCs/>
        </w:rPr>
        <w:t>C</w:t>
      </w:r>
      <w:r w:rsidR="00815BD1" w:rsidRPr="008A5F90">
        <w:rPr>
          <w:bCs/>
        </w:rPr>
        <w:t xml:space="preserve">ollection </w:t>
      </w:r>
      <w:r w:rsidR="00280BBF">
        <w:rPr>
          <w:bCs/>
        </w:rPr>
        <w:t>R</w:t>
      </w:r>
      <w:r w:rsidR="00815BD1" w:rsidRPr="008A5F90">
        <w:rPr>
          <w:bCs/>
        </w:rPr>
        <w:t>equest</w:t>
      </w:r>
      <w:r w:rsidR="00280BBF">
        <w:rPr>
          <w:bCs/>
        </w:rPr>
        <w:t xml:space="preserve"> (ICR)</w:t>
      </w:r>
      <w:r w:rsidR="00815BD1" w:rsidRPr="008A5F90">
        <w:rPr>
          <w:bCs/>
        </w:rPr>
        <w:t xml:space="preserve"> has been revised to</w:t>
      </w:r>
      <w:r w:rsidR="00804EBE">
        <w:rPr>
          <w:bCs/>
        </w:rPr>
        <w:t xml:space="preserve"> reflect the following changes:  1</w:t>
      </w:r>
      <w:r w:rsidR="00D4400D">
        <w:rPr>
          <w:bCs/>
        </w:rPr>
        <w:t>) remove</w:t>
      </w:r>
      <w:r w:rsidR="00804EBE">
        <w:rPr>
          <w:bCs/>
        </w:rPr>
        <w:t xml:space="preserve"> </w:t>
      </w:r>
      <w:r w:rsidR="005378A8">
        <w:rPr>
          <w:bCs/>
        </w:rPr>
        <w:t xml:space="preserve">verbiage limiting </w:t>
      </w:r>
      <w:r w:rsidR="00605DEA">
        <w:rPr>
          <w:bCs/>
        </w:rPr>
        <w:t>data collection to activation of the Incident Management Structure</w:t>
      </w:r>
      <w:r w:rsidR="005679E7">
        <w:rPr>
          <w:bCs/>
        </w:rPr>
        <w:t xml:space="preserve"> (IMS)</w:t>
      </w:r>
      <w:r w:rsidR="007663BF">
        <w:rPr>
          <w:bCs/>
        </w:rPr>
        <w:t>,</w:t>
      </w:r>
      <w:r w:rsidR="006E4D45">
        <w:rPr>
          <w:bCs/>
        </w:rPr>
        <w:t xml:space="preserve"> </w:t>
      </w:r>
      <w:r w:rsidR="00605DEA">
        <w:rPr>
          <w:bCs/>
        </w:rPr>
        <w:t xml:space="preserve">2) </w:t>
      </w:r>
      <w:r w:rsidR="005838FF">
        <w:rPr>
          <w:bCs/>
        </w:rPr>
        <w:t>broaden</w:t>
      </w:r>
      <w:r w:rsidR="00605DEA">
        <w:rPr>
          <w:bCs/>
        </w:rPr>
        <w:t xml:space="preserve"> categories under which data may be collected</w:t>
      </w:r>
      <w:r w:rsidR="00084790">
        <w:rPr>
          <w:bCs/>
        </w:rPr>
        <w:t xml:space="preserve"> to i</w:t>
      </w:r>
      <w:r w:rsidR="00B9188F">
        <w:rPr>
          <w:bCs/>
        </w:rPr>
        <w:t>ncrease</w:t>
      </w:r>
      <w:r w:rsidR="00084790">
        <w:rPr>
          <w:bCs/>
        </w:rPr>
        <w:t xml:space="preserve"> </w:t>
      </w:r>
      <w:r w:rsidR="002D2DC0">
        <w:rPr>
          <w:bCs/>
        </w:rPr>
        <w:t xml:space="preserve">its </w:t>
      </w:r>
      <w:r w:rsidR="00084790">
        <w:rPr>
          <w:bCs/>
        </w:rPr>
        <w:t>utilization</w:t>
      </w:r>
      <w:r w:rsidR="006D514C">
        <w:rPr>
          <w:bCs/>
        </w:rPr>
        <w:t>,</w:t>
      </w:r>
      <w:r w:rsidR="002B742D">
        <w:rPr>
          <w:bCs/>
        </w:rPr>
        <w:t xml:space="preserve"> </w:t>
      </w:r>
      <w:r w:rsidR="00C37E9B">
        <w:rPr>
          <w:bCs/>
        </w:rPr>
        <w:t>and 3</w:t>
      </w:r>
      <w:r w:rsidR="00B9188F">
        <w:rPr>
          <w:bCs/>
        </w:rPr>
        <w:t xml:space="preserve">) </w:t>
      </w:r>
      <w:r w:rsidR="003F2661">
        <w:rPr>
          <w:bCs/>
        </w:rPr>
        <w:t>provide</w:t>
      </w:r>
      <w:r w:rsidR="00B9188F">
        <w:rPr>
          <w:bCs/>
        </w:rPr>
        <w:t xml:space="preserve"> </w:t>
      </w:r>
      <w:r w:rsidR="003F2661">
        <w:rPr>
          <w:bCs/>
        </w:rPr>
        <w:t>clarity</w:t>
      </w:r>
      <w:r w:rsidR="00027AF6">
        <w:rPr>
          <w:bCs/>
        </w:rPr>
        <w:t xml:space="preserve"> regarding </w:t>
      </w:r>
      <w:r w:rsidR="0071126B">
        <w:rPr>
          <w:bCs/>
        </w:rPr>
        <w:t xml:space="preserve">the </w:t>
      </w:r>
      <w:r w:rsidR="00027AF6">
        <w:rPr>
          <w:bCs/>
        </w:rPr>
        <w:t>data elements</w:t>
      </w:r>
      <w:r w:rsidR="003F2661">
        <w:rPr>
          <w:bCs/>
        </w:rPr>
        <w:t xml:space="preserve">. </w:t>
      </w:r>
      <w:r w:rsidR="00917BF2">
        <w:t xml:space="preserve">CDC </w:t>
      </w:r>
      <w:r w:rsidR="005D57BC" w:rsidRPr="00453ED2">
        <w:t xml:space="preserve">is requesting a </w:t>
      </w:r>
      <w:r w:rsidR="005D57BC">
        <w:t xml:space="preserve">three </w:t>
      </w:r>
      <w:r w:rsidR="005D57BC" w:rsidRPr="00453ED2">
        <w:t>year approval for this data collection</w:t>
      </w:r>
      <w:r w:rsidR="005D57BC">
        <w:t>.</w:t>
      </w:r>
    </w:p>
    <w:p w:rsidR="000748EB" w:rsidRDefault="000748EB" w:rsidP="00C6650B">
      <w:pPr>
        <w:rPr>
          <w:bCs/>
        </w:rPr>
      </w:pPr>
    </w:p>
    <w:p w:rsidR="00953FD1" w:rsidRDefault="00953FD1" w:rsidP="00C6650B">
      <w:pPr>
        <w:rPr>
          <w:bCs/>
        </w:rPr>
      </w:pPr>
      <w:r w:rsidRPr="00C6650B">
        <w:rPr>
          <w:bCs/>
          <w:u w:val="single"/>
        </w:rPr>
        <w:t>Background</w:t>
      </w:r>
    </w:p>
    <w:p w:rsidR="00953FD1" w:rsidRPr="00C6650B" w:rsidRDefault="00953FD1" w:rsidP="00C6650B">
      <w:pPr>
        <w:rPr>
          <w:bCs/>
        </w:rPr>
      </w:pPr>
    </w:p>
    <w:p w:rsidR="00953FD1" w:rsidRPr="00C6650B" w:rsidRDefault="00953FD1" w:rsidP="00953FD1">
      <w:r>
        <w:rPr>
          <w:bCs/>
          <w:i/>
        </w:rPr>
        <w:t>The Epidemic Information Exchange (</w:t>
      </w:r>
      <w:proofErr w:type="spellStart"/>
      <w:r w:rsidRPr="00C6650B">
        <w:rPr>
          <w:bCs/>
          <w:i/>
        </w:rPr>
        <w:t>Epi</w:t>
      </w:r>
      <w:proofErr w:type="spellEnd"/>
      <w:r w:rsidRPr="00C6650B">
        <w:rPr>
          <w:bCs/>
          <w:i/>
        </w:rPr>
        <w:t>-X</w:t>
      </w:r>
      <w:r>
        <w:rPr>
          <w:bCs/>
          <w:i/>
        </w:rPr>
        <w:t>)</w:t>
      </w:r>
      <w:r w:rsidRPr="00C6650B">
        <w:rPr>
          <w:bCs/>
          <w:i/>
        </w:rPr>
        <w:t xml:space="preserve"> is </w:t>
      </w:r>
      <w:r w:rsidRPr="00C6650B">
        <w:rPr>
          <w:bCs/>
        </w:rPr>
        <w:t xml:space="preserve">CDC’s Web-based communication system for securely communicating </w:t>
      </w:r>
      <w:r>
        <w:rPr>
          <w:bCs/>
        </w:rPr>
        <w:t xml:space="preserve">in immediate anticipation </w:t>
      </w:r>
      <w:r w:rsidR="006B7582">
        <w:rPr>
          <w:bCs/>
        </w:rPr>
        <w:t>of,</w:t>
      </w:r>
      <w:r w:rsidR="006B7582" w:rsidRPr="00C6650B">
        <w:rPr>
          <w:bCs/>
        </w:rPr>
        <w:t xml:space="preserve"> during</w:t>
      </w:r>
      <w:r w:rsidR="006B7582">
        <w:rPr>
          <w:bCs/>
        </w:rPr>
        <w:t xml:space="preserve"> and</w:t>
      </w:r>
      <w:r w:rsidR="00C82550">
        <w:rPr>
          <w:bCs/>
        </w:rPr>
        <w:t xml:space="preserve"> following </w:t>
      </w:r>
      <w:r w:rsidRPr="00C6650B">
        <w:rPr>
          <w:bCs/>
        </w:rPr>
        <w:t>public health emergencies that have multi-jurisdictional impact</w:t>
      </w:r>
      <w:r>
        <w:rPr>
          <w:bCs/>
        </w:rPr>
        <w:t>s</w:t>
      </w:r>
      <w:r w:rsidRPr="00C6650B">
        <w:rPr>
          <w:bCs/>
        </w:rPr>
        <w:t xml:space="preserve"> and implications.  </w:t>
      </w:r>
      <w:r w:rsidRPr="00C6650B">
        <w:t xml:space="preserve"> The incidents of </w:t>
      </w:r>
      <w:r>
        <w:t xml:space="preserve">September 11, 2001 </w:t>
      </w:r>
      <w:r w:rsidRPr="00C6650B">
        <w:t>illustrated the need for an encrypted and secure communications system that would permit CDC to communicate urgently with partners at the state and local levels, and to notify them 24/7, when necessary. Similarly,</w:t>
      </w:r>
      <w:r w:rsidRPr="00C6650B">
        <w:rPr>
          <w:i/>
          <w:iCs/>
        </w:rPr>
        <w:t xml:space="preserve"> </w:t>
      </w:r>
      <w:proofErr w:type="spellStart"/>
      <w:r w:rsidRPr="00C6650B">
        <w:rPr>
          <w:i/>
          <w:iCs/>
        </w:rPr>
        <w:t>Epi</w:t>
      </w:r>
      <w:proofErr w:type="spellEnd"/>
      <w:r w:rsidRPr="00C6650B">
        <w:rPr>
          <w:i/>
          <w:iCs/>
        </w:rPr>
        <w:t xml:space="preserve">-X </w:t>
      </w:r>
      <w:r w:rsidRPr="00C6650B">
        <w:t>was specifically designed to provide public health decision-makers at the state and local levels a secure, reliable tool for communicating sensitive, unusual, or urgent public health incidents to neighboring jurisdictions as well as to CDC.  The system was also designed to generate a request for epidemiologic assistance (</w:t>
      </w:r>
      <w:proofErr w:type="spellStart"/>
      <w:r w:rsidRPr="00C6650B">
        <w:t>Epi</w:t>
      </w:r>
      <w:proofErr w:type="spellEnd"/>
      <w:r w:rsidRPr="00C6650B">
        <w:t>-Aid) from CDC using a secure, paperless environment.</w:t>
      </w:r>
    </w:p>
    <w:p w:rsidR="00953FD1" w:rsidRPr="00C6650B" w:rsidRDefault="00953FD1" w:rsidP="00953FD1">
      <w:pPr>
        <w:rPr>
          <w:bCs/>
        </w:rPr>
      </w:pPr>
      <w:r w:rsidRPr="00C6650B">
        <w:rPr>
          <w:sz w:val="20"/>
          <w:szCs w:val="20"/>
        </w:rPr>
        <w:t> </w:t>
      </w:r>
    </w:p>
    <w:p w:rsidR="00953FD1" w:rsidRPr="00C6650B" w:rsidRDefault="00953FD1" w:rsidP="00953FD1">
      <w:pPr>
        <w:rPr>
          <w:bCs/>
        </w:rPr>
      </w:pPr>
      <w:proofErr w:type="spellStart"/>
      <w:r w:rsidRPr="00C6650B">
        <w:rPr>
          <w:bCs/>
          <w:i/>
        </w:rPr>
        <w:t>Epi</w:t>
      </w:r>
      <w:proofErr w:type="spellEnd"/>
      <w:r w:rsidRPr="00C6650B">
        <w:rPr>
          <w:bCs/>
          <w:i/>
        </w:rPr>
        <w:t>-X</w:t>
      </w:r>
      <w:r w:rsidRPr="00C6650B">
        <w:rPr>
          <w:bCs/>
        </w:rPr>
        <w:t xml:space="preserve"> designers have developed functionalities that permit targeting of critical outbreak information to specific public health authorities who can act quickly to prevent the spread of diseases and other emergencies in multi-jurisdictional settings, such as those that could occur during an influenza pandemic, infection of food and water resources, and natural disasters. </w:t>
      </w:r>
    </w:p>
    <w:p w:rsidR="00953FD1" w:rsidRDefault="00953FD1" w:rsidP="00C6650B">
      <w:pPr>
        <w:rPr>
          <w:bCs/>
        </w:rPr>
      </w:pPr>
    </w:p>
    <w:p w:rsidR="003A1947" w:rsidRPr="00C6650B" w:rsidRDefault="005679E7" w:rsidP="00C6650B">
      <w:pPr>
        <w:rPr>
          <w:bCs/>
        </w:rPr>
      </w:pPr>
      <w:r>
        <w:rPr>
          <w:bCs/>
        </w:rPr>
        <w:t xml:space="preserve">There is a need to expand </w:t>
      </w:r>
      <w:r w:rsidR="007A6F8A">
        <w:rPr>
          <w:bCs/>
        </w:rPr>
        <w:t xml:space="preserve">information </w:t>
      </w:r>
      <w:r w:rsidR="0089647C">
        <w:rPr>
          <w:bCs/>
        </w:rPr>
        <w:t>collection beyond</w:t>
      </w:r>
      <w:r>
        <w:rPr>
          <w:bCs/>
        </w:rPr>
        <w:t xml:space="preserve"> activation of the </w:t>
      </w:r>
      <w:r w:rsidR="001E6DC2">
        <w:rPr>
          <w:bCs/>
        </w:rPr>
        <w:t>IMS because e</w:t>
      </w:r>
      <w:r w:rsidR="00977E9D">
        <w:rPr>
          <w:bCs/>
        </w:rPr>
        <w:t>ach</w:t>
      </w:r>
      <w:r w:rsidR="001E6DC2">
        <w:rPr>
          <w:bCs/>
        </w:rPr>
        <w:t xml:space="preserve"> public health </w:t>
      </w:r>
      <w:r w:rsidR="00977E9D">
        <w:rPr>
          <w:bCs/>
        </w:rPr>
        <w:t>incident</w:t>
      </w:r>
      <w:r w:rsidR="001E6DC2">
        <w:rPr>
          <w:bCs/>
        </w:rPr>
        <w:t xml:space="preserve"> doesn’t warrant activation of the Emergency Operations Center (EOC).  </w:t>
      </w:r>
      <w:r w:rsidR="004C7C82">
        <w:rPr>
          <w:bCs/>
        </w:rPr>
        <w:t>Public health incident</w:t>
      </w:r>
      <w:r w:rsidR="00365227">
        <w:rPr>
          <w:bCs/>
        </w:rPr>
        <w:t>s</w:t>
      </w:r>
      <w:r w:rsidR="004C7C82">
        <w:rPr>
          <w:bCs/>
        </w:rPr>
        <w:t xml:space="preserve"> can include any outbreak or public health </w:t>
      </w:r>
      <w:r w:rsidR="002C5553">
        <w:rPr>
          <w:bCs/>
        </w:rPr>
        <w:t>emergency</w:t>
      </w:r>
      <w:r w:rsidR="004C7C82">
        <w:rPr>
          <w:bCs/>
        </w:rPr>
        <w:t xml:space="preserve">.  </w:t>
      </w:r>
      <w:r w:rsidR="000F41D9">
        <w:rPr>
          <w:bCs/>
        </w:rPr>
        <w:t xml:space="preserve">There are only two other mechanisms at CDC </w:t>
      </w:r>
      <w:r w:rsidR="00EE2506">
        <w:rPr>
          <w:bCs/>
        </w:rPr>
        <w:t>that allow</w:t>
      </w:r>
      <w:r w:rsidR="000F41D9">
        <w:rPr>
          <w:bCs/>
        </w:rPr>
        <w:t xml:space="preserve"> </w:t>
      </w:r>
      <w:r w:rsidR="00EE2506">
        <w:rPr>
          <w:bCs/>
        </w:rPr>
        <w:t xml:space="preserve"> </w:t>
      </w:r>
      <w:r w:rsidR="0089647C">
        <w:rPr>
          <w:bCs/>
        </w:rPr>
        <w:t xml:space="preserve">information </w:t>
      </w:r>
      <w:r w:rsidR="00EE2506">
        <w:rPr>
          <w:bCs/>
        </w:rPr>
        <w:t>collection</w:t>
      </w:r>
      <w:r w:rsidR="000F41D9">
        <w:rPr>
          <w:bCs/>
        </w:rPr>
        <w:t xml:space="preserve"> during a public health incident, OMB Control No. 0920-0008 </w:t>
      </w:r>
      <w:r w:rsidR="00040792">
        <w:rPr>
          <w:bCs/>
        </w:rPr>
        <w:t>Epidemiological</w:t>
      </w:r>
      <w:r w:rsidR="006635C1">
        <w:rPr>
          <w:bCs/>
        </w:rPr>
        <w:t xml:space="preserve"> Assistance (</w:t>
      </w:r>
      <w:proofErr w:type="spellStart"/>
      <w:r w:rsidR="006635C1">
        <w:rPr>
          <w:bCs/>
        </w:rPr>
        <w:t>Epi</w:t>
      </w:r>
      <w:proofErr w:type="spellEnd"/>
      <w:r w:rsidR="006635C1">
        <w:rPr>
          <w:bCs/>
        </w:rPr>
        <w:t>-Aid) which expires</w:t>
      </w:r>
      <w:r w:rsidR="000F41D9">
        <w:rPr>
          <w:bCs/>
        </w:rPr>
        <w:t xml:space="preserve">  7/31/2014 and the </w:t>
      </w:r>
      <w:r w:rsidR="000F41D9" w:rsidRPr="008A5F90">
        <w:t>National Childhood Vaccine Injury Act (Public Law 99-660) “</w:t>
      </w:r>
      <w:r w:rsidR="009E35E9">
        <w:t>v</w:t>
      </w:r>
      <w:r w:rsidR="000F41D9" w:rsidRPr="008A5F90">
        <w:t xml:space="preserve">accine </w:t>
      </w:r>
      <w:r w:rsidR="009E35E9">
        <w:t>w</w:t>
      </w:r>
      <w:r w:rsidR="000F41D9" w:rsidRPr="008A5F90">
        <w:t>aiver.”</w:t>
      </w:r>
      <w:r w:rsidR="000F41D9">
        <w:rPr>
          <w:rFonts w:ascii="Arial" w:hAnsi="Arial" w:cs="Arial"/>
          <w:sz w:val="20"/>
          <w:szCs w:val="20"/>
        </w:rPr>
        <w:t xml:space="preserve"> </w:t>
      </w:r>
      <w:r w:rsidR="000355A9" w:rsidRPr="008A5F90">
        <w:t xml:space="preserve">This generic </w:t>
      </w:r>
      <w:r w:rsidR="00105C4F">
        <w:t>ICR</w:t>
      </w:r>
      <w:r w:rsidR="000355A9" w:rsidRPr="008A5F90">
        <w:t xml:space="preserve"> is the bridge between th</w:t>
      </w:r>
      <w:r w:rsidR="00976792">
        <w:t>ose</w:t>
      </w:r>
      <w:r w:rsidR="000355A9" w:rsidRPr="008A5F90">
        <w:t xml:space="preserve"> two mechanisms until other </w:t>
      </w:r>
      <w:r w:rsidR="00105C4F">
        <w:t xml:space="preserve">ICRs </w:t>
      </w:r>
      <w:r w:rsidR="000355A9" w:rsidRPr="008A5F90">
        <w:t>are developed.</w:t>
      </w:r>
      <w:r w:rsidR="000F41D9" w:rsidRPr="008A5F90">
        <w:t xml:space="preserve"> </w:t>
      </w:r>
      <w:r w:rsidR="000F41D9" w:rsidRPr="00B02C4F">
        <w:rPr>
          <w:bCs/>
        </w:rPr>
        <w:t xml:space="preserve"> </w:t>
      </w:r>
      <w:r w:rsidR="00CC6B83" w:rsidRPr="00C6650B">
        <w:rPr>
          <w:bCs/>
        </w:rPr>
        <w:t>The effectiveness and efficiency of CDC’s respon</w:t>
      </w:r>
      <w:r w:rsidR="00DA344C" w:rsidRPr="00C6650B">
        <w:rPr>
          <w:bCs/>
        </w:rPr>
        <w:t>se</w:t>
      </w:r>
      <w:r w:rsidR="00CC6B83" w:rsidRPr="00C6650B">
        <w:rPr>
          <w:bCs/>
        </w:rPr>
        <w:t xml:space="preserve"> to any public health </w:t>
      </w:r>
      <w:r w:rsidR="00D804CC" w:rsidRPr="00C6650B">
        <w:rPr>
          <w:bCs/>
        </w:rPr>
        <w:t>incident</w:t>
      </w:r>
      <w:r w:rsidR="00CC6B83" w:rsidRPr="00C6650B">
        <w:rPr>
          <w:bCs/>
        </w:rPr>
        <w:t xml:space="preserve"> </w:t>
      </w:r>
      <w:r w:rsidR="00DA344C" w:rsidRPr="00C6650B">
        <w:rPr>
          <w:bCs/>
        </w:rPr>
        <w:t xml:space="preserve">depends </w:t>
      </w:r>
      <w:r w:rsidR="00CC6B83" w:rsidRPr="00C6650B">
        <w:rPr>
          <w:bCs/>
        </w:rPr>
        <w:t xml:space="preserve">on information </w:t>
      </w:r>
      <w:r w:rsidR="00DA344C" w:rsidRPr="00C6650B">
        <w:rPr>
          <w:bCs/>
        </w:rPr>
        <w:t xml:space="preserve">at the agency’s disposal </w:t>
      </w:r>
      <w:r w:rsidR="00CC6B83" w:rsidRPr="00C6650B">
        <w:rPr>
          <w:bCs/>
        </w:rPr>
        <w:t>to characterize</w:t>
      </w:r>
      <w:r w:rsidR="00DA344C" w:rsidRPr="00C6650B">
        <w:rPr>
          <w:bCs/>
        </w:rPr>
        <w:t xml:space="preserve"> and monitor </w:t>
      </w:r>
      <w:r w:rsidR="00CC6B83" w:rsidRPr="00C6650B">
        <w:rPr>
          <w:bCs/>
        </w:rPr>
        <w:t xml:space="preserve">the </w:t>
      </w:r>
      <w:r w:rsidR="00D804CC" w:rsidRPr="00C6650B">
        <w:rPr>
          <w:bCs/>
        </w:rPr>
        <w:t>incident</w:t>
      </w:r>
      <w:r w:rsidR="00DA344C" w:rsidRPr="00C6650B">
        <w:rPr>
          <w:bCs/>
        </w:rPr>
        <w:t xml:space="preserve">, </w:t>
      </w:r>
      <w:r w:rsidR="00CC6B83" w:rsidRPr="00C6650B">
        <w:rPr>
          <w:bCs/>
        </w:rPr>
        <w:t xml:space="preserve">make </w:t>
      </w:r>
      <w:r w:rsidR="00DA344C" w:rsidRPr="00C6650B">
        <w:rPr>
          <w:bCs/>
        </w:rPr>
        <w:t xml:space="preserve">timely </w:t>
      </w:r>
      <w:r w:rsidR="00CC6B83" w:rsidRPr="00C6650B">
        <w:rPr>
          <w:bCs/>
        </w:rPr>
        <w:t>decisions</w:t>
      </w:r>
      <w:r w:rsidR="003A3125" w:rsidRPr="00C6650B">
        <w:rPr>
          <w:bCs/>
        </w:rPr>
        <w:t>,</w:t>
      </w:r>
      <w:r w:rsidR="00DA344C" w:rsidRPr="00C6650B">
        <w:rPr>
          <w:bCs/>
        </w:rPr>
        <w:t xml:space="preserve"> and</w:t>
      </w:r>
      <w:r w:rsidR="005B045C" w:rsidRPr="00C6650B">
        <w:rPr>
          <w:bCs/>
        </w:rPr>
        <w:t xml:space="preserve"> </w:t>
      </w:r>
      <w:r w:rsidR="00CC6B83" w:rsidRPr="00C6650B">
        <w:rPr>
          <w:bCs/>
        </w:rPr>
        <w:t>take appropriate action</w:t>
      </w:r>
      <w:r w:rsidR="005B045C" w:rsidRPr="00C6650B">
        <w:rPr>
          <w:bCs/>
        </w:rPr>
        <w:t>s</w:t>
      </w:r>
      <w:r w:rsidR="00CC6B83" w:rsidRPr="00C6650B">
        <w:rPr>
          <w:bCs/>
        </w:rPr>
        <w:t xml:space="preserve"> to pr</w:t>
      </w:r>
      <w:r w:rsidR="00D804CC" w:rsidRPr="00C6650B">
        <w:rPr>
          <w:bCs/>
        </w:rPr>
        <w:t xml:space="preserve">event </w:t>
      </w:r>
      <w:r w:rsidR="00CC6B83" w:rsidRPr="00C6650B">
        <w:rPr>
          <w:bCs/>
        </w:rPr>
        <w:t xml:space="preserve">or reduce the impact of </w:t>
      </w:r>
      <w:r w:rsidR="0032602D" w:rsidRPr="00C6650B">
        <w:rPr>
          <w:bCs/>
        </w:rPr>
        <w:t xml:space="preserve">the </w:t>
      </w:r>
      <w:r w:rsidR="00D804CC" w:rsidRPr="00C6650B">
        <w:rPr>
          <w:bCs/>
        </w:rPr>
        <w:t>incident</w:t>
      </w:r>
      <w:r w:rsidR="00DB6188" w:rsidRPr="00C6650B">
        <w:rPr>
          <w:bCs/>
        </w:rPr>
        <w:t>.</w:t>
      </w:r>
    </w:p>
    <w:p w:rsidR="003A1947" w:rsidRPr="00C6650B" w:rsidRDefault="003A1947" w:rsidP="00C6650B">
      <w:pPr>
        <w:rPr>
          <w:bCs/>
        </w:rPr>
      </w:pPr>
    </w:p>
    <w:p w:rsidR="003322AF" w:rsidRPr="00C6650B" w:rsidRDefault="00174BF4" w:rsidP="00C6650B">
      <w:pPr>
        <w:rPr>
          <w:bCs/>
        </w:rPr>
      </w:pPr>
      <w:r w:rsidRPr="00C6650B">
        <w:rPr>
          <w:bCs/>
        </w:rPr>
        <w:t xml:space="preserve">Available information </w:t>
      </w:r>
      <w:r w:rsidR="00D261CB">
        <w:rPr>
          <w:bCs/>
        </w:rPr>
        <w:t xml:space="preserve">in anticipation of, </w:t>
      </w:r>
      <w:r w:rsidRPr="00C6650B">
        <w:rPr>
          <w:bCs/>
        </w:rPr>
        <w:t>during</w:t>
      </w:r>
      <w:r w:rsidR="00D261CB">
        <w:rPr>
          <w:bCs/>
        </w:rPr>
        <w:t xml:space="preserve"> and </w:t>
      </w:r>
      <w:r w:rsidR="00EA25D9">
        <w:rPr>
          <w:bCs/>
        </w:rPr>
        <w:t>following</w:t>
      </w:r>
      <w:r w:rsidR="00EA25D9" w:rsidRPr="00C6650B">
        <w:rPr>
          <w:bCs/>
        </w:rPr>
        <w:t xml:space="preserve"> public</w:t>
      </w:r>
      <w:r w:rsidR="00CC6B83" w:rsidRPr="00C6650B">
        <w:rPr>
          <w:bCs/>
        </w:rPr>
        <w:t xml:space="preserve"> health </w:t>
      </w:r>
      <w:r w:rsidR="00D804CC" w:rsidRPr="00C6650B">
        <w:rPr>
          <w:bCs/>
        </w:rPr>
        <w:t>incident</w:t>
      </w:r>
      <w:r w:rsidR="00CC6B83" w:rsidRPr="00C6650B">
        <w:rPr>
          <w:bCs/>
        </w:rPr>
        <w:t xml:space="preserve"> response</w:t>
      </w:r>
      <w:r w:rsidR="00772D7E" w:rsidRPr="00C6650B">
        <w:rPr>
          <w:bCs/>
        </w:rPr>
        <w:t>s</w:t>
      </w:r>
      <w:r w:rsidR="003322AF" w:rsidRPr="00C6650B">
        <w:rPr>
          <w:bCs/>
        </w:rPr>
        <w:t xml:space="preserve"> is </w:t>
      </w:r>
      <w:r w:rsidR="00CC6B83" w:rsidRPr="00C6650B">
        <w:rPr>
          <w:bCs/>
        </w:rPr>
        <w:t xml:space="preserve">often incomplete, </w:t>
      </w:r>
      <w:r w:rsidR="0032602D" w:rsidRPr="00C6650B">
        <w:rPr>
          <w:bCs/>
        </w:rPr>
        <w:t xml:space="preserve">is </w:t>
      </w:r>
      <w:r w:rsidR="00DB6188" w:rsidRPr="00C6650B">
        <w:rPr>
          <w:bCs/>
        </w:rPr>
        <w:t>not</w:t>
      </w:r>
      <w:r w:rsidR="00CC6B83" w:rsidRPr="00C6650B">
        <w:rPr>
          <w:bCs/>
        </w:rPr>
        <w:t xml:space="preserve"> </w:t>
      </w:r>
      <w:r w:rsidR="00CD70E8" w:rsidRPr="00C6650B">
        <w:rPr>
          <w:bCs/>
        </w:rPr>
        <w:t>easily</w:t>
      </w:r>
      <w:r w:rsidR="0032602D" w:rsidRPr="00C6650B">
        <w:rPr>
          <w:bCs/>
        </w:rPr>
        <w:t xml:space="preserve"> </w:t>
      </w:r>
      <w:r w:rsidR="00CC6B83" w:rsidRPr="00C6650B">
        <w:rPr>
          <w:bCs/>
        </w:rPr>
        <w:t>validated</w:t>
      </w:r>
      <w:r w:rsidR="00DB6188" w:rsidRPr="00C6650B">
        <w:rPr>
          <w:bCs/>
        </w:rPr>
        <w:t xml:space="preserve"> by state and local health authorities</w:t>
      </w:r>
      <w:r w:rsidR="00CC6B83" w:rsidRPr="00C6650B">
        <w:rPr>
          <w:bCs/>
        </w:rPr>
        <w:t xml:space="preserve">, and </w:t>
      </w:r>
      <w:r w:rsidR="00652E18" w:rsidRPr="00C6650B">
        <w:rPr>
          <w:bCs/>
        </w:rPr>
        <w:t xml:space="preserve">is </w:t>
      </w:r>
      <w:r w:rsidR="00CC6B83" w:rsidRPr="00C6650B">
        <w:rPr>
          <w:bCs/>
        </w:rPr>
        <w:t>sometimes conflicting.  This lack of reliable information often creates</w:t>
      </w:r>
      <w:r w:rsidR="003322AF" w:rsidRPr="00C6650B">
        <w:rPr>
          <w:bCs/>
        </w:rPr>
        <w:t xml:space="preserve"> a high level of uncertainty</w:t>
      </w:r>
      <w:r w:rsidR="00CC6B83" w:rsidRPr="00C6650B">
        <w:rPr>
          <w:bCs/>
        </w:rPr>
        <w:t xml:space="preserve"> </w:t>
      </w:r>
      <w:r w:rsidR="005B045C" w:rsidRPr="00C6650B">
        <w:rPr>
          <w:bCs/>
        </w:rPr>
        <w:t>with</w:t>
      </w:r>
      <w:r w:rsidR="00CC6B83" w:rsidRPr="00C6650B">
        <w:rPr>
          <w:bCs/>
        </w:rPr>
        <w:t xml:space="preserve"> potential negative impact</w:t>
      </w:r>
      <w:r w:rsidR="0032602D" w:rsidRPr="00C6650B">
        <w:rPr>
          <w:bCs/>
        </w:rPr>
        <w:t>s</w:t>
      </w:r>
      <w:r w:rsidR="00CC6B83" w:rsidRPr="00C6650B">
        <w:rPr>
          <w:bCs/>
        </w:rPr>
        <w:t xml:space="preserve"> on </w:t>
      </w:r>
      <w:r w:rsidR="009D68F0" w:rsidRPr="00C6650B">
        <w:rPr>
          <w:bCs/>
        </w:rPr>
        <w:t xml:space="preserve">public health </w:t>
      </w:r>
      <w:r w:rsidR="00CC6B83" w:rsidRPr="00C6650B">
        <w:rPr>
          <w:bCs/>
        </w:rPr>
        <w:t>response operations</w:t>
      </w:r>
      <w:r w:rsidR="003322AF" w:rsidRPr="00C6650B">
        <w:rPr>
          <w:bCs/>
        </w:rPr>
        <w:t>.</w:t>
      </w:r>
    </w:p>
    <w:p w:rsidR="003322AF" w:rsidRPr="00C6650B" w:rsidRDefault="003322AF" w:rsidP="00C6650B">
      <w:pPr>
        <w:rPr>
          <w:bCs/>
        </w:rPr>
      </w:pPr>
    </w:p>
    <w:p w:rsidR="003322AF" w:rsidRPr="00C6650B" w:rsidRDefault="003322AF" w:rsidP="00C6650B">
      <w:pPr>
        <w:rPr>
          <w:bCs/>
        </w:rPr>
      </w:pPr>
      <w:r w:rsidRPr="00C6650B">
        <w:rPr>
          <w:bCs/>
        </w:rPr>
        <w:t xml:space="preserve">Secure communications with CDC’s </w:t>
      </w:r>
      <w:r w:rsidR="00FA3EA5">
        <w:t>s</w:t>
      </w:r>
      <w:r w:rsidR="00F83812" w:rsidRPr="00C45666">
        <w:t xml:space="preserve">tate, </w:t>
      </w:r>
      <w:r w:rsidR="00FA3EA5">
        <w:t>l</w:t>
      </w:r>
      <w:r w:rsidR="00F83812" w:rsidRPr="00C45666">
        <w:t xml:space="preserve">ocal, </w:t>
      </w:r>
      <w:r w:rsidR="00FA3EA5">
        <w:t>t</w:t>
      </w:r>
      <w:r w:rsidR="00F83812" w:rsidRPr="00C45666">
        <w:t xml:space="preserve">erritorial, and </w:t>
      </w:r>
      <w:r w:rsidR="00FA3EA5">
        <w:t>t</w:t>
      </w:r>
      <w:r w:rsidR="00F83812" w:rsidRPr="00C45666">
        <w:t>ribal</w:t>
      </w:r>
      <w:r w:rsidRPr="00C6650B">
        <w:rPr>
          <w:bCs/>
        </w:rPr>
        <w:t xml:space="preserve"> </w:t>
      </w:r>
      <w:r w:rsidR="00652E18" w:rsidRPr="00C6650B">
        <w:rPr>
          <w:bCs/>
        </w:rPr>
        <w:t>p</w:t>
      </w:r>
      <w:r w:rsidRPr="00C6650B">
        <w:rPr>
          <w:bCs/>
        </w:rPr>
        <w:t xml:space="preserve">ublic </w:t>
      </w:r>
      <w:r w:rsidR="00652E18" w:rsidRPr="00C6650B">
        <w:rPr>
          <w:bCs/>
        </w:rPr>
        <w:t>h</w:t>
      </w:r>
      <w:r w:rsidRPr="00C6650B">
        <w:rPr>
          <w:bCs/>
        </w:rPr>
        <w:t xml:space="preserve">ealth </w:t>
      </w:r>
      <w:r w:rsidR="00652E18" w:rsidRPr="00C6650B">
        <w:rPr>
          <w:bCs/>
        </w:rPr>
        <w:t>p</w:t>
      </w:r>
      <w:r w:rsidRPr="00C6650B">
        <w:rPr>
          <w:bCs/>
        </w:rPr>
        <w:t>artners is essent</w:t>
      </w:r>
      <w:r w:rsidR="005F5BF2" w:rsidRPr="00C6650B">
        <w:rPr>
          <w:bCs/>
        </w:rPr>
        <w:t xml:space="preserve">ial </w:t>
      </w:r>
      <w:r w:rsidRPr="00C6650B">
        <w:rPr>
          <w:bCs/>
        </w:rPr>
        <w:t xml:space="preserve">to </w:t>
      </w:r>
      <w:r w:rsidR="004E003C">
        <w:rPr>
          <w:bCs/>
        </w:rPr>
        <w:t>resolve conflicting</w:t>
      </w:r>
      <w:r w:rsidR="00A1640A" w:rsidRPr="00C6650B">
        <w:rPr>
          <w:bCs/>
        </w:rPr>
        <w:t xml:space="preserve"> information, </w:t>
      </w:r>
      <w:r w:rsidRPr="00C6650B">
        <w:rPr>
          <w:bCs/>
        </w:rPr>
        <w:t>validate</w:t>
      </w:r>
      <w:r w:rsidR="00A1640A" w:rsidRPr="00C6650B">
        <w:rPr>
          <w:bCs/>
        </w:rPr>
        <w:t xml:space="preserve"> </w:t>
      </w:r>
      <w:r w:rsidR="00D804CC" w:rsidRPr="00C6650B">
        <w:rPr>
          <w:bCs/>
        </w:rPr>
        <w:t>incident</w:t>
      </w:r>
      <w:r w:rsidR="00A1640A" w:rsidRPr="00C6650B">
        <w:rPr>
          <w:bCs/>
        </w:rPr>
        <w:t xml:space="preserve"> status</w:t>
      </w:r>
      <w:r w:rsidRPr="00C6650B">
        <w:rPr>
          <w:bCs/>
        </w:rPr>
        <w:t xml:space="preserve">, and </w:t>
      </w:r>
      <w:r w:rsidR="003A3125" w:rsidRPr="00C6650B">
        <w:rPr>
          <w:bCs/>
        </w:rPr>
        <w:t>establish and maintain situation</w:t>
      </w:r>
      <w:r w:rsidR="004E003C">
        <w:rPr>
          <w:bCs/>
        </w:rPr>
        <w:t>al</w:t>
      </w:r>
      <w:r w:rsidR="003A3125" w:rsidRPr="00C6650B">
        <w:rPr>
          <w:bCs/>
        </w:rPr>
        <w:t xml:space="preserve"> awareness</w:t>
      </w:r>
      <w:r w:rsidR="00A1640A" w:rsidRPr="00C6650B">
        <w:rPr>
          <w:bCs/>
        </w:rPr>
        <w:t xml:space="preserve">. Reliable, secure communications are essential for the agency </w:t>
      </w:r>
      <w:r w:rsidR="00772D7E" w:rsidRPr="00C6650B">
        <w:rPr>
          <w:bCs/>
        </w:rPr>
        <w:t>to gain and maintain accurate situation</w:t>
      </w:r>
      <w:r w:rsidR="004E003C">
        <w:rPr>
          <w:bCs/>
        </w:rPr>
        <w:t>al</w:t>
      </w:r>
      <w:r w:rsidR="00772D7E" w:rsidRPr="00C6650B">
        <w:rPr>
          <w:bCs/>
        </w:rPr>
        <w:t xml:space="preserve"> </w:t>
      </w:r>
      <w:r w:rsidR="00CC6B83" w:rsidRPr="00C6650B">
        <w:rPr>
          <w:bCs/>
        </w:rPr>
        <w:t>awareness</w:t>
      </w:r>
      <w:r w:rsidR="00772D7E" w:rsidRPr="00C6650B">
        <w:rPr>
          <w:bCs/>
        </w:rPr>
        <w:t xml:space="preserve">, make informed </w:t>
      </w:r>
      <w:r w:rsidR="00CC6B83" w:rsidRPr="00C6650B">
        <w:rPr>
          <w:bCs/>
        </w:rPr>
        <w:t>decisions</w:t>
      </w:r>
      <w:r w:rsidR="00A1640A" w:rsidRPr="00C6650B">
        <w:rPr>
          <w:bCs/>
        </w:rPr>
        <w:t>,</w:t>
      </w:r>
      <w:r w:rsidR="00772D7E" w:rsidRPr="00C6650B">
        <w:rPr>
          <w:bCs/>
        </w:rPr>
        <w:t xml:space="preserve"> and </w:t>
      </w:r>
      <w:r w:rsidR="00652E18" w:rsidRPr="00C6650B">
        <w:rPr>
          <w:bCs/>
        </w:rPr>
        <w:t xml:space="preserve">to </w:t>
      </w:r>
      <w:r w:rsidR="00772D7E" w:rsidRPr="00C6650B">
        <w:rPr>
          <w:bCs/>
        </w:rPr>
        <w:t xml:space="preserve">respond in the most </w:t>
      </w:r>
      <w:r w:rsidR="00CC6B83" w:rsidRPr="00C6650B">
        <w:rPr>
          <w:bCs/>
        </w:rPr>
        <w:t>appropriate</w:t>
      </w:r>
      <w:r w:rsidR="00772D7E" w:rsidRPr="00C6650B">
        <w:rPr>
          <w:bCs/>
        </w:rPr>
        <w:t xml:space="preserve"> manner possible</w:t>
      </w:r>
      <w:r w:rsidR="00652E18" w:rsidRPr="00C6650B">
        <w:rPr>
          <w:bCs/>
        </w:rPr>
        <w:t xml:space="preserve"> in order to</w:t>
      </w:r>
      <w:r w:rsidR="00772D7E" w:rsidRPr="00C6650B">
        <w:rPr>
          <w:bCs/>
        </w:rPr>
        <w:t xml:space="preserve"> </w:t>
      </w:r>
      <w:r w:rsidR="00CC6B83" w:rsidRPr="00C6650B">
        <w:rPr>
          <w:bCs/>
        </w:rPr>
        <w:t>minimize</w:t>
      </w:r>
      <w:r w:rsidR="00772D7E" w:rsidRPr="00C6650B">
        <w:rPr>
          <w:bCs/>
        </w:rPr>
        <w:t xml:space="preserve"> the impact of a</w:t>
      </w:r>
      <w:r w:rsidR="00DB6188" w:rsidRPr="00C6650B">
        <w:rPr>
          <w:bCs/>
        </w:rPr>
        <w:t>n</w:t>
      </w:r>
      <w:r w:rsidR="00772D7E" w:rsidRPr="00C6650B">
        <w:rPr>
          <w:bCs/>
        </w:rPr>
        <w:t xml:space="preserve"> </w:t>
      </w:r>
      <w:r w:rsidR="00D804CC" w:rsidRPr="00C6650B">
        <w:rPr>
          <w:bCs/>
        </w:rPr>
        <w:t>incident</w:t>
      </w:r>
      <w:r w:rsidR="00CD70E8" w:rsidRPr="00C6650B">
        <w:rPr>
          <w:bCs/>
        </w:rPr>
        <w:t xml:space="preserve"> </w:t>
      </w:r>
      <w:r w:rsidR="00772D7E" w:rsidRPr="00C6650B">
        <w:rPr>
          <w:bCs/>
        </w:rPr>
        <w:t>on the public health of the United States</w:t>
      </w:r>
      <w:r w:rsidR="007330DE" w:rsidRPr="00C6650B">
        <w:rPr>
          <w:bCs/>
        </w:rPr>
        <w:t>.</w:t>
      </w:r>
      <w:r w:rsidR="00772D7E" w:rsidRPr="00C6650B">
        <w:rPr>
          <w:bCs/>
        </w:rPr>
        <w:t xml:space="preserve"> </w:t>
      </w:r>
    </w:p>
    <w:p w:rsidR="00947FCC" w:rsidRDefault="00947FCC" w:rsidP="00953FD1">
      <w:pPr>
        <w:rPr>
          <w:bCs/>
        </w:rPr>
      </w:pPr>
    </w:p>
    <w:p w:rsidR="00506807" w:rsidRPr="00C6650B" w:rsidRDefault="00DD7953" w:rsidP="00C6650B">
      <w:r w:rsidRPr="00C6650B">
        <w:rPr>
          <w:bCs/>
        </w:rPr>
        <w:t>CDC has recognized</w:t>
      </w:r>
      <w:r w:rsidR="00562274" w:rsidRPr="00C6650B">
        <w:rPr>
          <w:bCs/>
        </w:rPr>
        <w:t xml:space="preserve"> a</w:t>
      </w:r>
      <w:r w:rsidR="00AE27F8" w:rsidRPr="00C6650B">
        <w:rPr>
          <w:bCs/>
        </w:rPr>
        <w:t xml:space="preserve"> need to</w:t>
      </w:r>
      <w:r w:rsidR="002F3286" w:rsidRPr="00C6650B">
        <w:rPr>
          <w:bCs/>
        </w:rPr>
        <w:t xml:space="preserve"> </w:t>
      </w:r>
      <w:r w:rsidR="00685B1E" w:rsidRPr="00C6650B">
        <w:rPr>
          <w:bCs/>
        </w:rPr>
        <w:t>expand</w:t>
      </w:r>
      <w:r w:rsidR="00A164A2" w:rsidRPr="00C6650B">
        <w:rPr>
          <w:bCs/>
        </w:rPr>
        <w:t xml:space="preserve"> </w:t>
      </w:r>
      <w:r w:rsidR="002F3286" w:rsidRPr="00C6650B">
        <w:rPr>
          <w:bCs/>
        </w:rPr>
        <w:t xml:space="preserve">the use of </w:t>
      </w:r>
      <w:proofErr w:type="spellStart"/>
      <w:r w:rsidR="002F3286" w:rsidRPr="00C6650B">
        <w:rPr>
          <w:bCs/>
          <w:i/>
        </w:rPr>
        <w:t>Epi</w:t>
      </w:r>
      <w:proofErr w:type="spellEnd"/>
      <w:r w:rsidR="002F3286" w:rsidRPr="00C6650B">
        <w:rPr>
          <w:bCs/>
          <w:i/>
        </w:rPr>
        <w:t>-X</w:t>
      </w:r>
      <w:r w:rsidR="002F3286" w:rsidRPr="00C6650B">
        <w:rPr>
          <w:bCs/>
        </w:rPr>
        <w:t xml:space="preserve"> to collect </w:t>
      </w:r>
      <w:r w:rsidRPr="00C6650B">
        <w:rPr>
          <w:bCs/>
        </w:rPr>
        <w:t xml:space="preserve">specific </w:t>
      </w:r>
      <w:r w:rsidR="001C056D" w:rsidRPr="00C6650B">
        <w:rPr>
          <w:bCs/>
        </w:rPr>
        <w:t xml:space="preserve">response related </w:t>
      </w:r>
      <w:r w:rsidRPr="00C6650B">
        <w:rPr>
          <w:bCs/>
        </w:rPr>
        <w:t xml:space="preserve">information </w:t>
      </w:r>
      <w:r w:rsidR="00C9310A">
        <w:rPr>
          <w:bCs/>
        </w:rPr>
        <w:t xml:space="preserve">in anticipation of, </w:t>
      </w:r>
      <w:r w:rsidRPr="00C6650B">
        <w:rPr>
          <w:bCs/>
        </w:rPr>
        <w:t xml:space="preserve">during </w:t>
      </w:r>
      <w:r w:rsidR="00C9310A">
        <w:rPr>
          <w:bCs/>
        </w:rPr>
        <w:t xml:space="preserve">and following </w:t>
      </w:r>
      <w:r w:rsidR="002F3286" w:rsidRPr="00C6650B">
        <w:rPr>
          <w:bCs/>
        </w:rPr>
        <w:t xml:space="preserve">public health </w:t>
      </w:r>
      <w:r w:rsidR="00780E88" w:rsidRPr="00C6650B">
        <w:rPr>
          <w:bCs/>
        </w:rPr>
        <w:t>emergencies</w:t>
      </w:r>
      <w:r w:rsidR="00562274" w:rsidRPr="00C6650B">
        <w:rPr>
          <w:bCs/>
        </w:rPr>
        <w:t>.</w:t>
      </w:r>
      <w:r w:rsidR="004920E6" w:rsidRPr="00C6650B">
        <w:rPr>
          <w:bCs/>
        </w:rPr>
        <w:t xml:space="preserve">  </w:t>
      </w:r>
      <w:r w:rsidR="00F83812">
        <w:rPr>
          <w:bCs/>
        </w:rPr>
        <w:t>P</w:t>
      </w:r>
      <w:r w:rsidR="004920E6" w:rsidRPr="00C6650B">
        <w:rPr>
          <w:bCs/>
        </w:rPr>
        <w:t>roposed data collection instrument</w:t>
      </w:r>
      <w:r w:rsidR="002F3286" w:rsidRPr="00C6650B">
        <w:rPr>
          <w:bCs/>
        </w:rPr>
        <w:t>s</w:t>
      </w:r>
      <w:r w:rsidR="004920E6" w:rsidRPr="00C6650B">
        <w:rPr>
          <w:bCs/>
        </w:rPr>
        <w:t xml:space="preserve"> </w:t>
      </w:r>
      <w:r w:rsidR="00F83812">
        <w:rPr>
          <w:bCs/>
        </w:rPr>
        <w:t xml:space="preserve">under this </w:t>
      </w:r>
      <w:r w:rsidR="007B7CAE">
        <w:rPr>
          <w:bCs/>
        </w:rPr>
        <w:t>generic</w:t>
      </w:r>
      <w:r w:rsidR="00F83812">
        <w:rPr>
          <w:bCs/>
        </w:rPr>
        <w:t xml:space="preserve"> ICR</w:t>
      </w:r>
      <w:r w:rsidR="004920E6" w:rsidRPr="00C6650B">
        <w:rPr>
          <w:bCs/>
        </w:rPr>
        <w:t xml:space="preserve"> </w:t>
      </w:r>
      <w:r w:rsidR="00F83812">
        <w:rPr>
          <w:bCs/>
        </w:rPr>
        <w:t xml:space="preserve">will be </w:t>
      </w:r>
      <w:r w:rsidR="002F3286" w:rsidRPr="00C6650B">
        <w:rPr>
          <w:bCs/>
        </w:rPr>
        <w:t xml:space="preserve">designed to </w:t>
      </w:r>
      <w:r w:rsidR="008E1705" w:rsidRPr="00C6650B">
        <w:rPr>
          <w:bCs/>
        </w:rPr>
        <w:t xml:space="preserve">ensure ready access to </w:t>
      </w:r>
      <w:r w:rsidR="002F3286" w:rsidRPr="00C6650B">
        <w:rPr>
          <w:bCs/>
        </w:rPr>
        <w:t xml:space="preserve">public health and disease </w:t>
      </w:r>
      <w:r w:rsidR="00CC6B83" w:rsidRPr="00C6650B">
        <w:rPr>
          <w:bCs/>
        </w:rPr>
        <w:t>epidemiology</w:t>
      </w:r>
      <w:r w:rsidR="002F3286" w:rsidRPr="00C6650B">
        <w:rPr>
          <w:bCs/>
        </w:rPr>
        <w:t xml:space="preserve"> </w:t>
      </w:r>
      <w:r w:rsidR="00CC6B83" w:rsidRPr="00C6650B">
        <w:rPr>
          <w:bCs/>
        </w:rPr>
        <w:t xml:space="preserve">information </w:t>
      </w:r>
      <w:r w:rsidR="00DD6A48">
        <w:rPr>
          <w:bCs/>
        </w:rPr>
        <w:t xml:space="preserve">in anticipation </w:t>
      </w:r>
      <w:r w:rsidR="00920075">
        <w:rPr>
          <w:bCs/>
        </w:rPr>
        <w:t>of,</w:t>
      </w:r>
      <w:r w:rsidR="00DD6A48">
        <w:rPr>
          <w:bCs/>
        </w:rPr>
        <w:t xml:space="preserve"> during and </w:t>
      </w:r>
      <w:r w:rsidR="00F83812">
        <w:rPr>
          <w:bCs/>
        </w:rPr>
        <w:t>following a public health incident emergency response</w:t>
      </w:r>
      <w:r w:rsidR="00665880">
        <w:rPr>
          <w:bCs/>
        </w:rPr>
        <w:t>.</w:t>
      </w:r>
      <w:r w:rsidR="00506807" w:rsidRPr="00C6650B">
        <w:rPr>
          <w:bCs/>
        </w:rPr>
        <w:t xml:space="preserve">  </w:t>
      </w:r>
      <w:r w:rsidR="00953FD1" w:rsidRPr="00B94399">
        <w:rPr>
          <w:bCs/>
        </w:rPr>
        <w:t xml:space="preserve">Authorized </w:t>
      </w:r>
      <w:r w:rsidR="00A63713" w:rsidRPr="00B94399">
        <w:rPr>
          <w:bCs/>
        </w:rPr>
        <w:t>o</w:t>
      </w:r>
      <w:r w:rsidR="00953FD1" w:rsidRPr="00B94399">
        <w:rPr>
          <w:bCs/>
        </w:rPr>
        <w:t xml:space="preserve">fficials from state and local health departments </w:t>
      </w:r>
      <w:r w:rsidR="008133E2" w:rsidRPr="00B94399">
        <w:rPr>
          <w:bCs/>
        </w:rPr>
        <w:t>affected</w:t>
      </w:r>
      <w:r w:rsidR="00953FD1" w:rsidRPr="00B94399">
        <w:rPr>
          <w:bCs/>
        </w:rPr>
        <w:t xml:space="preserve"> by the public health incident will be </w:t>
      </w:r>
      <w:r w:rsidR="00506807" w:rsidRPr="00B94399">
        <w:t xml:space="preserve">informed of this data collection first through an </w:t>
      </w:r>
      <w:proofErr w:type="spellStart"/>
      <w:r w:rsidR="00DA6BE4" w:rsidRPr="00B94399">
        <w:rPr>
          <w:i/>
          <w:iCs/>
        </w:rPr>
        <w:t>Epi</w:t>
      </w:r>
      <w:proofErr w:type="spellEnd"/>
      <w:r w:rsidR="00506807" w:rsidRPr="00B94399">
        <w:rPr>
          <w:i/>
          <w:iCs/>
        </w:rPr>
        <w:t>-X</w:t>
      </w:r>
      <w:r w:rsidR="00506807" w:rsidRPr="00B94399">
        <w:t xml:space="preserve">  Facilitator, who will work closely with </w:t>
      </w:r>
      <w:proofErr w:type="spellStart"/>
      <w:r w:rsidR="00DA6BE4" w:rsidRPr="00B94399">
        <w:rPr>
          <w:i/>
          <w:iCs/>
        </w:rPr>
        <w:t>Epi</w:t>
      </w:r>
      <w:proofErr w:type="spellEnd"/>
      <w:r w:rsidR="00506807" w:rsidRPr="00B94399">
        <w:rPr>
          <w:i/>
          <w:iCs/>
        </w:rPr>
        <w:t>-X</w:t>
      </w:r>
      <w:r w:rsidR="00506807" w:rsidRPr="00B94399">
        <w:t xml:space="preserve"> program staff </w:t>
      </w:r>
      <w:r w:rsidR="00715D09" w:rsidRPr="00B94399">
        <w:t xml:space="preserve">and the </w:t>
      </w:r>
      <w:proofErr w:type="spellStart"/>
      <w:r w:rsidR="00715D09" w:rsidRPr="00B94399">
        <w:rPr>
          <w:i/>
          <w:color w:val="000000"/>
        </w:rPr>
        <w:t>Epi</w:t>
      </w:r>
      <w:proofErr w:type="spellEnd"/>
      <w:r w:rsidR="00715D09" w:rsidRPr="00B94399">
        <w:rPr>
          <w:i/>
          <w:color w:val="000000"/>
        </w:rPr>
        <w:t>-X</w:t>
      </w:r>
      <w:r w:rsidR="00715D09" w:rsidRPr="00B94399">
        <w:rPr>
          <w:color w:val="000000"/>
        </w:rPr>
        <w:t xml:space="preserve"> Information Collection Request Liaison (EICRL)</w:t>
      </w:r>
      <w:r w:rsidR="00715D09" w:rsidRPr="00B94399">
        <w:t xml:space="preserve"> </w:t>
      </w:r>
      <w:r w:rsidR="00506807" w:rsidRPr="00B94399">
        <w:t xml:space="preserve">to ensure that </w:t>
      </w:r>
      <w:proofErr w:type="spellStart"/>
      <w:r w:rsidR="00DA6BE4" w:rsidRPr="00B94399">
        <w:rPr>
          <w:i/>
          <w:iCs/>
        </w:rPr>
        <w:t>Epi</w:t>
      </w:r>
      <w:proofErr w:type="spellEnd"/>
      <w:r w:rsidR="00506807" w:rsidRPr="00B94399">
        <w:rPr>
          <w:i/>
          <w:iCs/>
        </w:rPr>
        <w:t>-X</w:t>
      </w:r>
      <w:r w:rsidR="00506807" w:rsidRPr="00B94399">
        <w:t xml:space="preserve"> </w:t>
      </w:r>
      <w:r w:rsidR="00D804CC" w:rsidRPr="00B94399">
        <w:t>incident</w:t>
      </w:r>
      <w:r w:rsidR="006D345D" w:rsidRPr="00B94399">
        <w:t xml:space="preserve"> specific </w:t>
      </w:r>
      <w:r w:rsidR="003A447D" w:rsidRPr="00B94399">
        <w:t>I</w:t>
      </w:r>
      <w:r w:rsidR="00E20EB5" w:rsidRPr="00B94399">
        <w:t xml:space="preserve">nformation </w:t>
      </w:r>
      <w:r w:rsidR="003A447D" w:rsidRPr="00B94399">
        <w:t>C</w:t>
      </w:r>
      <w:r w:rsidR="00E20EB5" w:rsidRPr="00B94399">
        <w:t>ollections</w:t>
      </w:r>
      <w:r w:rsidR="003A447D" w:rsidRPr="00B94399">
        <w:t xml:space="preserve"> (IC)</w:t>
      </w:r>
      <w:r w:rsidR="00430458" w:rsidRPr="00B94399">
        <w:t xml:space="preserve"> </w:t>
      </w:r>
      <w:r w:rsidR="004E003C" w:rsidRPr="00B94399">
        <w:t>are</w:t>
      </w:r>
      <w:r w:rsidR="00430458" w:rsidRPr="00B94399">
        <w:t xml:space="preserve"> </w:t>
      </w:r>
      <w:r w:rsidR="00506807" w:rsidRPr="00B94399">
        <w:t xml:space="preserve"> understood</w:t>
      </w:r>
      <w:r w:rsidR="00F53516" w:rsidRPr="00B94399">
        <w:t xml:space="preserve">. </w:t>
      </w:r>
      <w:r w:rsidR="00680898">
        <w:t xml:space="preserve">The Office of Public Health Preparedness and Response will delegate the OMB Paperwork Reduction </w:t>
      </w:r>
      <w:r w:rsidR="009E2CDD">
        <w:t>Act Coordinator in the Office of</w:t>
      </w:r>
      <w:r w:rsidR="00680898">
        <w:t xml:space="preserve"> Science and Public Health Practice to serve the role of “</w:t>
      </w:r>
      <w:proofErr w:type="spellStart"/>
      <w:r w:rsidR="00680898" w:rsidRPr="00680898">
        <w:rPr>
          <w:i/>
        </w:rPr>
        <w:t>Epi</w:t>
      </w:r>
      <w:proofErr w:type="spellEnd"/>
      <w:r w:rsidR="00680898" w:rsidRPr="00680898">
        <w:rPr>
          <w:i/>
        </w:rPr>
        <w:t>-X</w:t>
      </w:r>
      <w:r w:rsidR="00680898">
        <w:t xml:space="preserve"> EICRL.</w:t>
      </w:r>
      <w:r w:rsidR="00055065">
        <w:t>”</w:t>
      </w:r>
      <w:r w:rsidR="00680898">
        <w:t xml:space="preserve">  The EICRL will manage the </w:t>
      </w:r>
      <w:proofErr w:type="spellStart"/>
      <w:r w:rsidR="00680898" w:rsidRPr="00680898">
        <w:rPr>
          <w:i/>
        </w:rPr>
        <w:t>Epi</w:t>
      </w:r>
      <w:proofErr w:type="spellEnd"/>
      <w:r w:rsidR="00680898" w:rsidRPr="00680898">
        <w:rPr>
          <w:i/>
        </w:rPr>
        <w:t>-X</w:t>
      </w:r>
      <w:r w:rsidR="00680898">
        <w:t xml:space="preserve"> emergency response clearance process for information collections and work with the </w:t>
      </w:r>
      <w:proofErr w:type="spellStart"/>
      <w:r w:rsidR="00680898" w:rsidRPr="00680898">
        <w:rPr>
          <w:i/>
        </w:rPr>
        <w:t>Epi</w:t>
      </w:r>
      <w:proofErr w:type="spellEnd"/>
      <w:r w:rsidR="00680898" w:rsidRPr="00680898">
        <w:rPr>
          <w:i/>
        </w:rPr>
        <w:t>-X</w:t>
      </w:r>
      <w:r w:rsidR="00680898">
        <w:t xml:space="preserve"> program staff.  </w:t>
      </w:r>
      <w:r w:rsidR="005A6528" w:rsidRPr="00B94399">
        <w:t>The survey instrument</w:t>
      </w:r>
      <w:r w:rsidR="006D345D" w:rsidRPr="00B94399">
        <w:t>s</w:t>
      </w:r>
      <w:r w:rsidR="005A6528" w:rsidRPr="00B94399">
        <w:t xml:space="preserve"> will contain </w:t>
      </w:r>
      <w:r w:rsidR="00506807" w:rsidRPr="00B94399">
        <w:t>specific questions</w:t>
      </w:r>
      <w:r w:rsidR="00F53516" w:rsidRPr="00B94399">
        <w:t xml:space="preserve"> </w:t>
      </w:r>
      <w:r w:rsidR="00CC6B83" w:rsidRPr="00B94399">
        <w:t>relevant</w:t>
      </w:r>
      <w:r w:rsidR="00F53516" w:rsidRPr="00B94399">
        <w:t xml:space="preserve"> to the current and ongoing public </w:t>
      </w:r>
      <w:r w:rsidR="00CC6B83" w:rsidRPr="00B94399">
        <w:t>health</w:t>
      </w:r>
      <w:r w:rsidR="00F53516" w:rsidRPr="00B94399">
        <w:t xml:space="preserve"> </w:t>
      </w:r>
      <w:r w:rsidR="00D804CC" w:rsidRPr="00B94399">
        <w:t>incident</w:t>
      </w:r>
      <w:r w:rsidR="00F53516" w:rsidRPr="00B94399">
        <w:t xml:space="preserve"> and response</w:t>
      </w:r>
      <w:r w:rsidR="00CC6B83" w:rsidRPr="00B94399">
        <w:t xml:space="preserve"> activities</w:t>
      </w:r>
      <w:r w:rsidR="00953FD1" w:rsidRPr="00B94399">
        <w:t xml:space="preserve"> and be administered only through </w:t>
      </w:r>
      <w:proofErr w:type="spellStart"/>
      <w:r w:rsidR="00953FD1" w:rsidRPr="00B94399">
        <w:rPr>
          <w:i/>
        </w:rPr>
        <w:t>Epi</w:t>
      </w:r>
      <w:proofErr w:type="spellEnd"/>
      <w:r w:rsidR="00953FD1" w:rsidRPr="00B94399">
        <w:rPr>
          <w:i/>
        </w:rPr>
        <w:t>-X</w:t>
      </w:r>
      <w:r w:rsidR="00953FD1" w:rsidRPr="00B94399">
        <w:t xml:space="preserve"> as a web-based communication system</w:t>
      </w:r>
      <w:r w:rsidR="00F53516" w:rsidRPr="00B94399">
        <w:t xml:space="preserve">. </w:t>
      </w:r>
      <w:r w:rsidR="00506807" w:rsidRPr="00B94399">
        <w:t xml:space="preserve"> </w:t>
      </w:r>
      <w:r w:rsidR="00953FD1" w:rsidRPr="00B94399">
        <w:rPr>
          <w:bCs/>
        </w:rPr>
        <w:t xml:space="preserve">Dissemination of information </w:t>
      </w:r>
      <w:r w:rsidR="00E027EB" w:rsidRPr="00B94399">
        <w:rPr>
          <w:bCs/>
        </w:rPr>
        <w:t xml:space="preserve">in anticipation of, </w:t>
      </w:r>
      <w:r w:rsidR="00953FD1" w:rsidRPr="00B94399">
        <w:rPr>
          <w:bCs/>
        </w:rPr>
        <w:t xml:space="preserve">during </w:t>
      </w:r>
      <w:r w:rsidR="00E027EB" w:rsidRPr="00B94399">
        <w:rPr>
          <w:bCs/>
        </w:rPr>
        <w:t xml:space="preserve">and following </w:t>
      </w:r>
      <w:r w:rsidR="00953FD1" w:rsidRPr="00B94399">
        <w:rPr>
          <w:bCs/>
        </w:rPr>
        <w:t>public health emergencies is an integral part of the overall mission of the CDC and is authorized by the Public Health Service Act (42 USC 241) (</w:t>
      </w:r>
      <w:r w:rsidR="002C4B7F">
        <w:rPr>
          <w:bCs/>
        </w:rPr>
        <w:t>Attachment A</w:t>
      </w:r>
      <w:r w:rsidR="00953FD1" w:rsidRPr="00B94399">
        <w:rPr>
          <w:bCs/>
        </w:rPr>
        <w:t>).</w:t>
      </w:r>
    </w:p>
    <w:p w:rsidR="00FB7553" w:rsidRPr="00EE328E" w:rsidRDefault="00506807" w:rsidP="00C6650B">
      <w:r w:rsidRPr="00C6650B">
        <w:rPr>
          <w:i/>
          <w:iCs/>
          <w:color w:val="000080"/>
          <w:sz w:val="20"/>
          <w:szCs w:val="20"/>
        </w:rPr>
        <w:t> </w:t>
      </w:r>
      <w:bookmarkStart w:id="0" w:name="_Toc245779334"/>
    </w:p>
    <w:p w:rsidR="00FB7553" w:rsidRPr="00C45666" w:rsidRDefault="00FB7553" w:rsidP="00FB7553">
      <w:r w:rsidRPr="00C45666">
        <w:t xml:space="preserve">This generic </w:t>
      </w:r>
      <w:r w:rsidR="00B834DB">
        <w:t>ICR</w:t>
      </w:r>
      <w:r w:rsidRPr="00C45666">
        <w:t xml:space="preserve"> is intended to answer questions of immediate public health importance </w:t>
      </w:r>
      <w:r w:rsidR="00103BAE">
        <w:t xml:space="preserve">in anticipation of, </w:t>
      </w:r>
      <w:r w:rsidRPr="00C45666">
        <w:t xml:space="preserve">during </w:t>
      </w:r>
      <w:r w:rsidR="00103BAE">
        <w:t xml:space="preserve">and following </w:t>
      </w:r>
      <w:r w:rsidRPr="00C45666">
        <w:t>public health emergenc</w:t>
      </w:r>
      <w:r>
        <w:t>y responses</w:t>
      </w:r>
      <w:r w:rsidR="00163A61">
        <w:t xml:space="preserve">. </w:t>
      </w:r>
      <w:r w:rsidR="00953FD1">
        <w:t>When deciding whether a su</w:t>
      </w:r>
      <w:r w:rsidR="00FC2A72">
        <w:t xml:space="preserve">rvey under the </w:t>
      </w:r>
      <w:proofErr w:type="spellStart"/>
      <w:r w:rsidR="00FC2A72">
        <w:rPr>
          <w:i/>
        </w:rPr>
        <w:t>Epi</w:t>
      </w:r>
      <w:proofErr w:type="spellEnd"/>
      <w:r w:rsidR="00FC2A72">
        <w:rPr>
          <w:i/>
        </w:rPr>
        <w:t xml:space="preserve">-X </w:t>
      </w:r>
      <w:r w:rsidR="00FC2A72">
        <w:t>ICR is</w:t>
      </w:r>
      <w:r w:rsidR="00953FD1">
        <w:t xml:space="preserve"> needed, CDC will </w:t>
      </w:r>
      <w:r w:rsidRPr="00C45666">
        <w:t xml:space="preserve">first </w:t>
      </w:r>
      <w:r w:rsidR="00953FD1">
        <w:t xml:space="preserve">look </w:t>
      </w:r>
      <w:r w:rsidRPr="00C45666">
        <w:t xml:space="preserve">to data already collected by CDC or its partners.  It is important to note that CDC efforts under this generic clearance will not be duplicative of information collections already conducted by </w:t>
      </w:r>
      <w:r w:rsidR="003631DF">
        <w:t xml:space="preserve">CDC or </w:t>
      </w:r>
      <w:r w:rsidRPr="00C45666">
        <w:t xml:space="preserve">other public health organizations. The resulting burden </w:t>
      </w:r>
      <w:r w:rsidR="00FC2A72">
        <w:t xml:space="preserve">estimate </w:t>
      </w:r>
      <w:r w:rsidRPr="00C45666">
        <w:t>is an upper-bound estimate and will be adjusted as appropriate as CDC uses the collection.</w:t>
      </w:r>
      <w:r w:rsidR="00195D66">
        <w:t xml:space="preserve"> In order to ensure that </w:t>
      </w:r>
      <w:r w:rsidR="00C85035">
        <w:t>timely</w:t>
      </w:r>
      <w:r w:rsidR="00195D66">
        <w:t xml:space="preserve"> information </w:t>
      </w:r>
      <w:r w:rsidR="00C85035">
        <w:t xml:space="preserve">is collected </w:t>
      </w:r>
      <w:r w:rsidR="00195D66">
        <w:t xml:space="preserve">from </w:t>
      </w:r>
      <w:r w:rsidR="008F7926">
        <w:t>registered users</w:t>
      </w:r>
      <w:r w:rsidR="00195D66">
        <w:t xml:space="preserve">, this generic ICR will not be limited for use only during activation of </w:t>
      </w:r>
      <w:r w:rsidR="007A6EEE">
        <w:t xml:space="preserve">the IMS structure. </w:t>
      </w:r>
      <w:r w:rsidR="00195D66">
        <w:t xml:space="preserve"> </w:t>
      </w:r>
    </w:p>
    <w:p w:rsidR="00682BCF" w:rsidRDefault="00682BCF" w:rsidP="00682BCF">
      <w:pPr>
        <w:pStyle w:val="Heading2"/>
        <w:rPr>
          <w:rFonts w:ascii="Times New Roman" w:hAnsi="Times New Roman" w:cs="Times New Roman"/>
          <w:b w:val="0"/>
          <w:color w:val="000000"/>
          <w:sz w:val="24"/>
          <w:szCs w:val="24"/>
        </w:rPr>
      </w:pPr>
      <w:bookmarkStart w:id="1" w:name="_Toc379453698"/>
      <w:r w:rsidRPr="00A637DF">
        <w:rPr>
          <w:rFonts w:ascii="Times New Roman" w:hAnsi="Times New Roman" w:cs="Times New Roman"/>
          <w:b w:val="0"/>
          <w:color w:val="000000"/>
          <w:sz w:val="24"/>
          <w:szCs w:val="24"/>
        </w:rPr>
        <w:t xml:space="preserve">The </w:t>
      </w:r>
      <w:r w:rsidR="004055C5">
        <w:rPr>
          <w:rFonts w:ascii="Times New Roman" w:hAnsi="Times New Roman" w:cs="Times New Roman"/>
          <w:b w:val="0"/>
          <w:color w:val="000000"/>
          <w:sz w:val="24"/>
          <w:szCs w:val="24"/>
        </w:rPr>
        <w:t>ICR</w:t>
      </w:r>
      <w:r w:rsidRPr="00A637DF">
        <w:rPr>
          <w:rFonts w:ascii="Times New Roman" w:hAnsi="Times New Roman" w:cs="Times New Roman"/>
          <w:b w:val="0"/>
          <w:color w:val="000000"/>
          <w:sz w:val="24"/>
          <w:szCs w:val="24"/>
        </w:rPr>
        <w:t xml:space="preserve"> process will include but may not be limited to: 1) </w:t>
      </w:r>
      <w:r w:rsidR="00A72BA2">
        <w:rPr>
          <w:rFonts w:ascii="Times New Roman" w:hAnsi="Times New Roman" w:cs="Times New Roman"/>
          <w:b w:val="0"/>
          <w:color w:val="000000"/>
          <w:sz w:val="24"/>
          <w:szCs w:val="24"/>
        </w:rPr>
        <w:t>d</w:t>
      </w:r>
      <w:r w:rsidRPr="00A637DF">
        <w:rPr>
          <w:rFonts w:ascii="Times New Roman" w:hAnsi="Times New Roman" w:cs="Times New Roman"/>
          <w:b w:val="0"/>
          <w:color w:val="000000"/>
          <w:sz w:val="24"/>
          <w:szCs w:val="24"/>
        </w:rPr>
        <w:t xml:space="preserve">escription of a sample (e.g., </w:t>
      </w:r>
      <w:r w:rsidR="00774B67">
        <w:rPr>
          <w:rFonts w:ascii="Times New Roman" w:hAnsi="Times New Roman" w:cs="Times New Roman"/>
          <w:b w:val="0"/>
          <w:color w:val="000000"/>
          <w:sz w:val="24"/>
          <w:szCs w:val="24"/>
        </w:rPr>
        <w:t>all 50 states or some sample),</w:t>
      </w:r>
      <w:r w:rsidRPr="00A637DF">
        <w:rPr>
          <w:rFonts w:ascii="Times New Roman" w:hAnsi="Times New Roman" w:cs="Times New Roman"/>
          <w:b w:val="0"/>
          <w:color w:val="000000"/>
          <w:sz w:val="24"/>
          <w:szCs w:val="24"/>
        </w:rPr>
        <w:t xml:space="preserve"> 2) </w:t>
      </w:r>
      <w:r w:rsidR="00A72BA2">
        <w:rPr>
          <w:rFonts w:ascii="Times New Roman" w:hAnsi="Times New Roman" w:cs="Times New Roman"/>
          <w:b w:val="0"/>
          <w:color w:val="000000"/>
          <w:sz w:val="24"/>
          <w:szCs w:val="24"/>
        </w:rPr>
        <w:t>d</w:t>
      </w:r>
      <w:r w:rsidRPr="00A637DF">
        <w:rPr>
          <w:rFonts w:ascii="Times New Roman" w:hAnsi="Times New Roman" w:cs="Times New Roman"/>
          <w:b w:val="0"/>
          <w:color w:val="000000"/>
          <w:sz w:val="24"/>
          <w:szCs w:val="24"/>
        </w:rPr>
        <w:t xml:space="preserve">escription of </w:t>
      </w:r>
      <w:r w:rsidR="00A72BA2">
        <w:rPr>
          <w:rFonts w:ascii="Times New Roman" w:hAnsi="Times New Roman" w:cs="Times New Roman"/>
          <w:b w:val="0"/>
          <w:color w:val="000000"/>
          <w:sz w:val="24"/>
          <w:szCs w:val="24"/>
        </w:rPr>
        <w:t>n</w:t>
      </w:r>
      <w:r w:rsidRPr="00A637DF">
        <w:rPr>
          <w:rFonts w:ascii="Times New Roman" w:hAnsi="Times New Roman" w:cs="Times New Roman"/>
          <w:b w:val="0"/>
          <w:color w:val="000000"/>
          <w:sz w:val="24"/>
          <w:szCs w:val="24"/>
        </w:rPr>
        <w:t xml:space="preserve">eed and </w:t>
      </w:r>
      <w:r w:rsidR="00A72BA2">
        <w:rPr>
          <w:rFonts w:ascii="Times New Roman" w:hAnsi="Times New Roman" w:cs="Times New Roman"/>
          <w:b w:val="0"/>
          <w:color w:val="000000"/>
          <w:sz w:val="24"/>
          <w:szCs w:val="24"/>
        </w:rPr>
        <w:t>p</w:t>
      </w:r>
      <w:r w:rsidRPr="00A637DF">
        <w:rPr>
          <w:rFonts w:ascii="Times New Roman" w:hAnsi="Times New Roman" w:cs="Times New Roman"/>
          <w:b w:val="0"/>
          <w:color w:val="000000"/>
          <w:sz w:val="24"/>
          <w:szCs w:val="24"/>
        </w:rPr>
        <w:t xml:space="preserve">urpose </w:t>
      </w:r>
      <w:r w:rsidR="00A72BA2">
        <w:rPr>
          <w:rFonts w:ascii="Times New Roman" w:hAnsi="Times New Roman" w:cs="Times New Roman"/>
          <w:b w:val="0"/>
          <w:color w:val="000000"/>
          <w:sz w:val="24"/>
          <w:szCs w:val="24"/>
        </w:rPr>
        <w:t>p</w:t>
      </w:r>
      <w:r w:rsidRPr="00A637DF">
        <w:rPr>
          <w:rFonts w:ascii="Times New Roman" w:hAnsi="Times New Roman" w:cs="Times New Roman"/>
          <w:b w:val="0"/>
          <w:color w:val="000000"/>
          <w:sz w:val="24"/>
          <w:szCs w:val="24"/>
        </w:rPr>
        <w:t xml:space="preserve">roposed </w:t>
      </w:r>
      <w:r w:rsidR="00A72BA2">
        <w:rPr>
          <w:rFonts w:ascii="Times New Roman" w:hAnsi="Times New Roman" w:cs="Times New Roman"/>
          <w:b w:val="0"/>
          <w:color w:val="000000"/>
          <w:sz w:val="24"/>
          <w:szCs w:val="24"/>
        </w:rPr>
        <w:t>w</w:t>
      </w:r>
      <w:r w:rsidRPr="00A637DF">
        <w:rPr>
          <w:rFonts w:ascii="Times New Roman" w:hAnsi="Times New Roman" w:cs="Times New Roman"/>
          <w:b w:val="0"/>
          <w:color w:val="000000"/>
          <w:sz w:val="24"/>
          <w:szCs w:val="24"/>
        </w:rPr>
        <w:t xml:space="preserve">ork (or </w:t>
      </w:r>
      <w:r w:rsidR="00A72BA2">
        <w:rPr>
          <w:rFonts w:ascii="Times New Roman" w:hAnsi="Times New Roman" w:cs="Times New Roman"/>
          <w:b w:val="0"/>
          <w:color w:val="000000"/>
          <w:sz w:val="24"/>
          <w:szCs w:val="24"/>
        </w:rPr>
        <w:t>statement of work</w:t>
      </w:r>
      <w:r w:rsidR="00774B67">
        <w:rPr>
          <w:rFonts w:ascii="Times New Roman" w:hAnsi="Times New Roman" w:cs="Times New Roman"/>
          <w:b w:val="0"/>
          <w:color w:val="000000"/>
          <w:sz w:val="24"/>
          <w:szCs w:val="24"/>
        </w:rPr>
        <w:t>),</w:t>
      </w:r>
      <w:r w:rsidRPr="00A637DF">
        <w:rPr>
          <w:rFonts w:ascii="Times New Roman" w:hAnsi="Times New Roman" w:cs="Times New Roman"/>
          <w:b w:val="0"/>
          <w:color w:val="000000"/>
          <w:sz w:val="24"/>
          <w:szCs w:val="24"/>
        </w:rPr>
        <w:t xml:space="preserve"> 3) </w:t>
      </w:r>
      <w:r w:rsidR="00A72BA2">
        <w:rPr>
          <w:rFonts w:ascii="Times New Roman" w:hAnsi="Times New Roman" w:cs="Times New Roman"/>
          <w:b w:val="0"/>
          <w:color w:val="000000"/>
          <w:sz w:val="24"/>
          <w:szCs w:val="24"/>
        </w:rPr>
        <w:t>s</w:t>
      </w:r>
      <w:r w:rsidRPr="00A637DF">
        <w:rPr>
          <w:rFonts w:ascii="Times New Roman" w:hAnsi="Times New Roman" w:cs="Times New Roman"/>
          <w:b w:val="0"/>
          <w:color w:val="000000"/>
          <w:sz w:val="24"/>
          <w:szCs w:val="24"/>
        </w:rPr>
        <w:t>ampling methods an</w:t>
      </w:r>
      <w:r>
        <w:rPr>
          <w:rFonts w:ascii="Times New Roman" w:hAnsi="Times New Roman" w:cs="Times New Roman"/>
          <w:b w:val="0"/>
          <w:color w:val="000000"/>
          <w:sz w:val="24"/>
          <w:szCs w:val="24"/>
        </w:rPr>
        <w:t>d the target respondent (e.g., Food Safety O</w:t>
      </w:r>
      <w:r w:rsidRPr="00A637DF">
        <w:rPr>
          <w:rFonts w:ascii="Times New Roman" w:hAnsi="Times New Roman" w:cs="Times New Roman"/>
          <w:b w:val="0"/>
          <w:color w:val="000000"/>
          <w:sz w:val="24"/>
          <w:szCs w:val="24"/>
        </w:rPr>
        <w:t xml:space="preserve">fficer), 4) </w:t>
      </w:r>
      <w:r w:rsidR="00A72BA2">
        <w:rPr>
          <w:rFonts w:ascii="Times New Roman" w:hAnsi="Times New Roman" w:cs="Times New Roman"/>
          <w:b w:val="0"/>
          <w:color w:val="000000"/>
          <w:sz w:val="24"/>
          <w:szCs w:val="24"/>
        </w:rPr>
        <w:t>d</w:t>
      </w:r>
      <w:r>
        <w:rPr>
          <w:rFonts w:ascii="Times New Roman" w:hAnsi="Times New Roman" w:cs="Times New Roman"/>
          <w:b w:val="0"/>
          <w:color w:val="000000"/>
          <w:sz w:val="24"/>
          <w:szCs w:val="24"/>
        </w:rPr>
        <w:t xml:space="preserve">ata </w:t>
      </w:r>
      <w:r w:rsidR="00A72BA2">
        <w:rPr>
          <w:rFonts w:ascii="Times New Roman" w:hAnsi="Times New Roman" w:cs="Times New Roman"/>
          <w:b w:val="0"/>
          <w:color w:val="000000"/>
          <w:sz w:val="24"/>
          <w:szCs w:val="24"/>
        </w:rPr>
        <w:t>c</w:t>
      </w:r>
      <w:r>
        <w:rPr>
          <w:rFonts w:ascii="Times New Roman" w:hAnsi="Times New Roman" w:cs="Times New Roman"/>
          <w:b w:val="0"/>
          <w:color w:val="000000"/>
          <w:sz w:val="24"/>
          <w:szCs w:val="24"/>
        </w:rPr>
        <w:t>ollection instruments</w:t>
      </w:r>
      <w:r w:rsidRPr="00A637DF">
        <w:rPr>
          <w:rFonts w:ascii="Times New Roman" w:hAnsi="Times New Roman" w:cs="Times New Roman"/>
          <w:b w:val="0"/>
          <w:color w:val="000000"/>
          <w:sz w:val="24"/>
          <w:szCs w:val="24"/>
        </w:rPr>
        <w:t xml:space="preserve"> and 5) </w:t>
      </w:r>
      <w:r w:rsidR="00A72BA2">
        <w:rPr>
          <w:rFonts w:ascii="Times New Roman" w:hAnsi="Times New Roman" w:cs="Times New Roman"/>
          <w:b w:val="0"/>
          <w:color w:val="000000"/>
          <w:sz w:val="24"/>
          <w:szCs w:val="24"/>
        </w:rPr>
        <w:t>e</w:t>
      </w:r>
      <w:r w:rsidRPr="00A637DF">
        <w:rPr>
          <w:rFonts w:ascii="Times New Roman" w:hAnsi="Times New Roman" w:cs="Times New Roman"/>
          <w:b w:val="0"/>
          <w:color w:val="000000"/>
          <w:sz w:val="24"/>
          <w:szCs w:val="24"/>
        </w:rPr>
        <w:t>stimate of response burden.</w:t>
      </w:r>
      <w:bookmarkEnd w:id="1"/>
      <w:r w:rsidRPr="00A637DF">
        <w:rPr>
          <w:rFonts w:ascii="Times New Roman" w:hAnsi="Times New Roman" w:cs="Times New Roman"/>
          <w:b w:val="0"/>
          <w:color w:val="000000"/>
          <w:sz w:val="24"/>
          <w:szCs w:val="24"/>
        </w:rPr>
        <w:t xml:space="preserve"> </w:t>
      </w:r>
    </w:p>
    <w:p w:rsidR="008B3F55" w:rsidRDefault="008B3F55" w:rsidP="00682E92"/>
    <w:p w:rsidR="006158E8" w:rsidRDefault="006158E8" w:rsidP="00682E92"/>
    <w:p w:rsidR="000C62D1" w:rsidRDefault="000C62D1" w:rsidP="00682E92"/>
    <w:p w:rsidR="000C62D1" w:rsidRDefault="000C62D1" w:rsidP="00682E92"/>
    <w:p w:rsidR="000C62D1" w:rsidRDefault="000C62D1" w:rsidP="00682E92"/>
    <w:p w:rsidR="006158E8" w:rsidRPr="00C45666" w:rsidRDefault="006158E8" w:rsidP="00682E92"/>
    <w:p w:rsidR="00062B16" w:rsidRDefault="00682E92" w:rsidP="00E002B6">
      <w:r w:rsidRPr="00C45666">
        <w:lastRenderedPageBreak/>
        <w:t>The numbers and types of activations are of course unpredictable, however, Tab</w:t>
      </w:r>
      <w:r w:rsidR="009535DE">
        <w:t>le 1 pro</w:t>
      </w:r>
      <w:r w:rsidR="0072626B">
        <w:t>vides examples</w:t>
      </w:r>
      <w:r w:rsidR="009535DE">
        <w:t xml:space="preserve"> of CDC public health incidents</w:t>
      </w:r>
      <w:r w:rsidRPr="00C45666">
        <w:t xml:space="preserve"> for the </w:t>
      </w:r>
      <w:r w:rsidR="00585173">
        <w:t>p</w:t>
      </w:r>
      <w:r w:rsidRPr="00C45666">
        <w:t xml:space="preserve">ast </w:t>
      </w:r>
      <w:r w:rsidR="00CD4475">
        <w:t>three</w:t>
      </w:r>
      <w:r w:rsidRPr="00C45666">
        <w:t xml:space="preserve"> years.</w:t>
      </w:r>
    </w:p>
    <w:p w:rsidR="003A3125" w:rsidRPr="006B626E" w:rsidRDefault="00FB7553" w:rsidP="00C6650B">
      <w:proofErr w:type="gramStart"/>
      <w:r>
        <w:rPr>
          <w:b/>
        </w:rPr>
        <w:t>Table 1.</w:t>
      </w:r>
      <w:proofErr w:type="gramEnd"/>
      <w:r>
        <w:rPr>
          <w:b/>
        </w:rPr>
        <w:t xml:space="preserve"> </w:t>
      </w:r>
      <w:r w:rsidRPr="009935B8">
        <w:rPr>
          <w:b/>
        </w:rPr>
        <w:t xml:space="preserve">CDC </w:t>
      </w:r>
      <w:r w:rsidR="00035437">
        <w:rPr>
          <w:b/>
        </w:rPr>
        <w:t>Activations and Supported Events January 1, 200</w:t>
      </w:r>
      <w:r w:rsidR="00CD4475">
        <w:rPr>
          <w:b/>
        </w:rPr>
        <w:t>9</w:t>
      </w:r>
      <w:r w:rsidR="00465635">
        <w:rPr>
          <w:b/>
        </w:rPr>
        <w:t xml:space="preserve"> to </w:t>
      </w:r>
      <w:r w:rsidR="009B793D">
        <w:rPr>
          <w:b/>
        </w:rPr>
        <w:t>August 30, 2013</w:t>
      </w:r>
    </w:p>
    <w:p w:rsidR="00682BCF" w:rsidRDefault="00682BCF" w:rsidP="003A3125">
      <w:pPr>
        <w:rPr>
          <w:u w:val="single"/>
        </w:rPr>
      </w:pPr>
    </w:p>
    <w:tbl>
      <w:tblPr>
        <w:tblStyle w:val="TableGrid"/>
        <w:tblpPr w:leftFromText="180" w:rightFromText="180" w:vertAnchor="page" w:horzAnchor="margin" w:tblpY="2650"/>
        <w:tblW w:w="9594" w:type="dxa"/>
        <w:tblLook w:val="04A0" w:firstRow="1" w:lastRow="0" w:firstColumn="1" w:lastColumn="0" w:noHBand="0" w:noVBand="1"/>
      </w:tblPr>
      <w:tblGrid>
        <w:gridCol w:w="5778"/>
        <w:gridCol w:w="1710"/>
        <w:gridCol w:w="2106"/>
      </w:tblGrid>
      <w:tr w:rsidR="000C62D1" w:rsidRPr="009935B8" w:rsidTr="000C62D1">
        <w:tc>
          <w:tcPr>
            <w:tcW w:w="5778" w:type="dxa"/>
          </w:tcPr>
          <w:bookmarkEnd w:id="0"/>
          <w:p w:rsidR="000C62D1" w:rsidRPr="009935B8" w:rsidRDefault="000C62D1" w:rsidP="000C62D1">
            <w:pPr>
              <w:tabs>
                <w:tab w:val="right" w:pos="2178"/>
              </w:tabs>
              <w:rPr>
                <w:b/>
              </w:rPr>
            </w:pPr>
            <w:r w:rsidRPr="009935B8">
              <w:rPr>
                <w:b/>
              </w:rPr>
              <w:t>Response</w:t>
            </w:r>
            <w:r w:rsidRPr="009935B8">
              <w:rPr>
                <w:b/>
              </w:rPr>
              <w:tab/>
            </w:r>
          </w:p>
        </w:tc>
        <w:tc>
          <w:tcPr>
            <w:tcW w:w="1710" w:type="dxa"/>
          </w:tcPr>
          <w:p w:rsidR="000C62D1" w:rsidRPr="009935B8" w:rsidRDefault="000C62D1" w:rsidP="000C62D1">
            <w:pPr>
              <w:rPr>
                <w:b/>
              </w:rPr>
            </w:pPr>
            <w:r w:rsidRPr="009935B8">
              <w:rPr>
                <w:b/>
              </w:rPr>
              <w:t>Start Date</w:t>
            </w:r>
          </w:p>
        </w:tc>
        <w:tc>
          <w:tcPr>
            <w:tcW w:w="2106" w:type="dxa"/>
          </w:tcPr>
          <w:p w:rsidR="000C62D1" w:rsidRPr="009935B8" w:rsidRDefault="000C62D1" w:rsidP="000C62D1">
            <w:pPr>
              <w:rPr>
                <w:b/>
              </w:rPr>
            </w:pPr>
            <w:r w:rsidRPr="009935B8">
              <w:rPr>
                <w:b/>
              </w:rPr>
              <w:t>End Date</w:t>
            </w:r>
          </w:p>
        </w:tc>
      </w:tr>
      <w:tr w:rsidR="000C62D1" w:rsidRPr="009935B8" w:rsidTr="000C62D1">
        <w:tc>
          <w:tcPr>
            <w:tcW w:w="5778" w:type="dxa"/>
          </w:tcPr>
          <w:p w:rsidR="000C62D1" w:rsidRPr="009935B8" w:rsidRDefault="000C62D1" w:rsidP="000C62D1">
            <w:r>
              <w:t xml:space="preserve">Salmonella </w:t>
            </w:r>
            <w:proofErr w:type="spellStart"/>
            <w:r>
              <w:t>Typhimurium</w:t>
            </w:r>
            <w:proofErr w:type="spellEnd"/>
            <w:r>
              <w:t xml:space="preserve"> – Multi-state</w:t>
            </w:r>
          </w:p>
        </w:tc>
        <w:tc>
          <w:tcPr>
            <w:tcW w:w="1710" w:type="dxa"/>
          </w:tcPr>
          <w:p w:rsidR="000C62D1" w:rsidRPr="009935B8" w:rsidRDefault="000C62D1" w:rsidP="000C62D1">
            <w:r>
              <w:t>1/15/2009</w:t>
            </w:r>
          </w:p>
        </w:tc>
        <w:tc>
          <w:tcPr>
            <w:tcW w:w="2106" w:type="dxa"/>
          </w:tcPr>
          <w:p w:rsidR="000C62D1" w:rsidRPr="009935B8" w:rsidRDefault="000C62D1" w:rsidP="000C62D1">
            <w:r>
              <w:t>1/26/2009</w:t>
            </w:r>
          </w:p>
        </w:tc>
      </w:tr>
      <w:tr w:rsidR="000C62D1" w:rsidRPr="009935B8" w:rsidTr="000C62D1">
        <w:tc>
          <w:tcPr>
            <w:tcW w:w="5778" w:type="dxa"/>
          </w:tcPr>
          <w:p w:rsidR="000C62D1" w:rsidRPr="009935B8" w:rsidRDefault="000C62D1" w:rsidP="000C62D1">
            <w:r>
              <w:t>Varicella Outbreak – Norwalk, CT</w:t>
            </w:r>
          </w:p>
        </w:tc>
        <w:tc>
          <w:tcPr>
            <w:tcW w:w="1710" w:type="dxa"/>
          </w:tcPr>
          <w:p w:rsidR="000C62D1" w:rsidRPr="009935B8" w:rsidRDefault="000C62D1" w:rsidP="000C62D1">
            <w:r>
              <w:t>1/9/2009</w:t>
            </w:r>
          </w:p>
        </w:tc>
        <w:tc>
          <w:tcPr>
            <w:tcW w:w="2106" w:type="dxa"/>
          </w:tcPr>
          <w:p w:rsidR="000C62D1" w:rsidRPr="009935B8" w:rsidRDefault="000C62D1" w:rsidP="000C62D1">
            <w:r>
              <w:t>1/21/2009</w:t>
            </w:r>
          </w:p>
        </w:tc>
      </w:tr>
      <w:tr w:rsidR="000C62D1" w:rsidRPr="009935B8" w:rsidTr="000C62D1">
        <w:tc>
          <w:tcPr>
            <w:tcW w:w="5778" w:type="dxa"/>
          </w:tcPr>
          <w:p w:rsidR="000C62D1" w:rsidRPr="009935B8" w:rsidRDefault="000C62D1" w:rsidP="000C62D1">
            <w:r>
              <w:t>Kentucky Ice Storm</w:t>
            </w:r>
          </w:p>
        </w:tc>
        <w:tc>
          <w:tcPr>
            <w:tcW w:w="1710" w:type="dxa"/>
          </w:tcPr>
          <w:p w:rsidR="000C62D1" w:rsidRPr="009935B8" w:rsidRDefault="000C62D1" w:rsidP="000C62D1">
            <w:r>
              <w:t>1/9/2009</w:t>
            </w:r>
          </w:p>
        </w:tc>
        <w:tc>
          <w:tcPr>
            <w:tcW w:w="2106" w:type="dxa"/>
          </w:tcPr>
          <w:p w:rsidR="000C62D1" w:rsidRPr="009935B8" w:rsidRDefault="000C62D1" w:rsidP="000C62D1">
            <w:r>
              <w:t>2/11/2009</w:t>
            </w:r>
          </w:p>
        </w:tc>
      </w:tr>
      <w:tr w:rsidR="000C62D1" w:rsidRPr="009935B8" w:rsidTr="000C62D1">
        <w:tc>
          <w:tcPr>
            <w:tcW w:w="5778" w:type="dxa"/>
          </w:tcPr>
          <w:p w:rsidR="000C62D1" w:rsidRPr="009935B8" w:rsidRDefault="000C62D1" w:rsidP="000C62D1">
            <w:r>
              <w:t>Vaccine Adverse Reaction - California</w:t>
            </w:r>
          </w:p>
        </w:tc>
        <w:tc>
          <w:tcPr>
            <w:tcW w:w="1710" w:type="dxa"/>
          </w:tcPr>
          <w:p w:rsidR="000C62D1" w:rsidRPr="009935B8" w:rsidRDefault="000C62D1" w:rsidP="000C62D1">
            <w:r>
              <w:t>3/2/2009</w:t>
            </w:r>
          </w:p>
        </w:tc>
        <w:tc>
          <w:tcPr>
            <w:tcW w:w="2106" w:type="dxa"/>
          </w:tcPr>
          <w:p w:rsidR="000C62D1" w:rsidRPr="009935B8" w:rsidRDefault="000C62D1" w:rsidP="000C62D1">
            <w:r>
              <w:t>3/21/2009</w:t>
            </w:r>
          </w:p>
        </w:tc>
      </w:tr>
      <w:tr w:rsidR="000C62D1" w:rsidRPr="009935B8" w:rsidTr="000C62D1">
        <w:tc>
          <w:tcPr>
            <w:tcW w:w="5778" w:type="dxa"/>
          </w:tcPr>
          <w:p w:rsidR="000C62D1" w:rsidRPr="009935B8" w:rsidRDefault="000C62D1" w:rsidP="000C62D1">
            <w:r>
              <w:t>Red River Flooding – North Dakota</w:t>
            </w:r>
          </w:p>
        </w:tc>
        <w:tc>
          <w:tcPr>
            <w:tcW w:w="1710" w:type="dxa"/>
          </w:tcPr>
          <w:p w:rsidR="000C62D1" w:rsidRPr="009935B8" w:rsidRDefault="000C62D1" w:rsidP="000C62D1">
            <w:r>
              <w:t>3/24/2009</w:t>
            </w:r>
          </w:p>
        </w:tc>
        <w:tc>
          <w:tcPr>
            <w:tcW w:w="2106" w:type="dxa"/>
          </w:tcPr>
          <w:p w:rsidR="000C62D1" w:rsidRPr="009935B8" w:rsidRDefault="000C62D1" w:rsidP="000C62D1">
            <w:r>
              <w:t>4/3/2009</w:t>
            </w:r>
          </w:p>
        </w:tc>
      </w:tr>
      <w:tr w:rsidR="000C62D1" w:rsidRPr="009935B8" w:rsidTr="000C62D1">
        <w:tc>
          <w:tcPr>
            <w:tcW w:w="5778" w:type="dxa"/>
          </w:tcPr>
          <w:p w:rsidR="000C62D1" w:rsidRPr="009935B8" w:rsidRDefault="000C62D1" w:rsidP="000C62D1">
            <w:r>
              <w:t>2009 Pandemic H1N1 Influenza Virus</w:t>
            </w:r>
          </w:p>
        </w:tc>
        <w:tc>
          <w:tcPr>
            <w:tcW w:w="1710" w:type="dxa"/>
          </w:tcPr>
          <w:p w:rsidR="000C62D1" w:rsidRPr="009935B8" w:rsidRDefault="000C62D1" w:rsidP="000C62D1">
            <w:r>
              <w:t>4/23/2009</w:t>
            </w:r>
          </w:p>
        </w:tc>
        <w:tc>
          <w:tcPr>
            <w:tcW w:w="2106" w:type="dxa"/>
          </w:tcPr>
          <w:p w:rsidR="000C62D1" w:rsidRPr="009935B8" w:rsidRDefault="000C62D1" w:rsidP="000C62D1">
            <w:r>
              <w:t>5/10/2010</w:t>
            </w:r>
          </w:p>
        </w:tc>
      </w:tr>
      <w:tr w:rsidR="000C62D1" w:rsidRPr="009935B8" w:rsidTr="000C62D1">
        <w:tc>
          <w:tcPr>
            <w:tcW w:w="5778" w:type="dxa"/>
          </w:tcPr>
          <w:p w:rsidR="000C62D1" w:rsidRPr="009935B8" w:rsidRDefault="000C62D1" w:rsidP="000C62D1">
            <w:r>
              <w:t>E. coli 0157 Multi-state</w:t>
            </w:r>
          </w:p>
        </w:tc>
        <w:tc>
          <w:tcPr>
            <w:tcW w:w="1710" w:type="dxa"/>
          </w:tcPr>
          <w:p w:rsidR="000C62D1" w:rsidRPr="009935B8" w:rsidRDefault="000C62D1" w:rsidP="000C62D1">
            <w:r>
              <w:t>6/29/2009</w:t>
            </w:r>
          </w:p>
        </w:tc>
        <w:tc>
          <w:tcPr>
            <w:tcW w:w="2106" w:type="dxa"/>
          </w:tcPr>
          <w:p w:rsidR="000C62D1" w:rsidRPr="009935B8" w:rsidRDefault="000C62D1" w:rsidP="000C62D1">
            <w:r>
              <w:t>7/13/2009</w:t>
            </w:r>
          </w:p>
        </w:tc>
      </w:tr>
      <w:tr w:rsidR="000C62D1" w:rsidRPr="009935B8" w:rsidTr="000C62D1">
        <w:tc>
          <w:tcPr>
            <w:tcW w:w="5778" w:type="dxa"/>
          </w:tcPr>
          <w:p w:rsidR="000C62D1" w:rsidRPr="009935B8" w:rsidRDefault="000C62D1" w:rsidP="000C62D1">
            <w:proofErr w:type="spellStart"/>
            <w:r>
              <w:t>Legionaires</w:t>
            </w:r>
            <w:proofErr w:type="spellEnd"/>
            <w:r>
              <w:t xml:space="preserve"> Disease Investigation – Baltimore, MD</w:t>
            </w:r>
          </w:p>
        </w:tc>
        <w:tc>
          <w:tcPr>
            <w:tcW w:w="1710" w:type="dxa"/>
          </w:tcPr>
          <w:p w:rsidR="000C62D1" w:rsidRPr="009935B8" w:rsidRDefault="000C62D1" w:rsidP="000C62D1">
            <w:r>
              <w:t>10/20/2009</w:t>
            </w:r>
          </w:p>
        </w:tc>
        <w:tc>
          <w:tcPr>
            <w:tcW w:w="2106" w:type="dxa"/>
          </w:tcPr>
          <w:p w:rsidR="000C62D1" w:rsidRPr="009935B8" w:rsidRDefault="000C62D1" w:rsidP="000C62D1">
            <w:r>
              <w:t>11/6/2009</w:t>
            </w:r>
          </w:p>
        </w:tc>
      </w:tr>
      <w:tr w:rsidR="000C62D1" w:rsidRPr="009935B8" w:rsidTr="000C62D1">
        <w:tc>
          <w:tcPr>
            <w:tcW w:w="5778" w:type="dxa"/>
          </w:tcPr>
          <w:p w:rsidR="000C62D1" w:rsidRPr="009935B8" w:rsidRDefault="000C62D1" w:rsidP="000C62D1">
            <w:r>
              <w:t>Multidrug-Resistant Tuberculosis – Republic of Marshall Islands</w:t>
            </w:r>
          </w:p>
        </w:tc>
        <w:tc>
          <w:tcPr>
            <w:tcW w:w="1710" w:type="dxa"/>
          </w:tcPr>
          <w:p w:rsidR="000C62D1" w:rsidRPr="009935B8" w:rsidRDefault="000C62D1" w:rsidP="000C62D1">
            <w:r>
              <w:t>10/20/2009</w:t>
            </w:r>
          </w:p>
        </w:tc>
        <w:tc>
          <w:tcPr>
            <w:tcW w:w="2106" w:type="dxa"/>
          </w:tcPr>
          <w:p w:rsidR="000C62D1" w:rsidRPr="009935B8" w:rsidRDefault="000C62D1" w:rsidP="000C62D1">
            <w:r>
              <w:t>11/9/2009</w:t>
            </w:r>
          </w:p>
        </w:tc>
      </w:tr>
      <w:tr w:rsidR="000C62D1" w:rsidRPr="009935B8" w:rsidTr="000C62D1">
        <w:tc>
          <w:tcPr>
            <w:tcW w:w="5778" w:type="dxa"/>
          </w:tcPr>
          <w:p w:rsidR="000C62D1" w:rsidRPr="009935B8" w:rsidRDefault="000C62D1" w:rsidP="000C62D1">
            <w:r>
              <w:t>New Hampshire Anthrax Event – New Hampshire, MA</w:t>
            </w:r>
          </w:p>
        </w:tc>
        <w:tc>
          <w:tcPr>
            <w:tcW w:w="1710" w:type="dxa"/>
          </w:tcPr>
          <w:p w:rsidR="000C62D1" w:rsidRPr="009935B8" w:rsidRDefault="000C62D1" w:rsidP="000C62D1">
            <w:r>
              <w:t>1/5/2010</w:t>
            </w:r>
          </w:p>
        </w:tc>
        <w:tc>
          <w:tcPr>
            <w:tcW w:w="2106" w:type="dxa"/>
          </w:tcPr>
          <w:p w:rsidR="000C62D1" w:rsidRPr="009935B8" w:rsidRDefault="000C62D1" w:rsidP="000C62D1">
            <w:r>
              <w:t>1/20/2010</w:t>
            </w:r>
          </w:p>
        </w:tc>
      </w:tr>
      <w:tr w:rsidR="000C62D1" w:rsidRPr="009935B8" w:rsidTr="000C62D1">
        <w:tc>
          <w:tcPr>
            <w:tcW w:w="5778" w:type="dxa"/>
          </w:tcPr>
          <w:p w:rsidR="000C62D1" w:rsidRPr="009935B8" w:rsidRDefault="000C62D1" w:rsidP="000C62D1">
            <w:r>
              <w:t>Deepwater Horizon Incident</w:t>
            </w:r>
          </w:p>
        </w:tc>
        <w:tc>
          <w:tcPr>
            <w:tcW w:w="1710" w:type="dxa"/>
          </w:tcPr>
          <w:p w:rsidR="000C62D1" w:rsidRPr="009935B8" w:rsidRDefault="000C62D1" w:rsidP="000C62D1">
            <w:r>
              <w:t>5/10/2010</w:t>
            </w:r>
          </w:p>
        </w:tc>
        <w:tc>
          <w:tcPr>
            <w:tcW w:w="2106" w:type="dxa"/>
          </w:tcPr>
          <w:p w:rsidR="000C62D1" w:rsidRPr="009935B8" w:rsidRDefault="000C62D1" w:rsidP="000C62D1">
            <w:r>
              <w:t>8/19/2010</w:t>
            </w:r>
          </w:p>
        </w:tc>
      </w:tr>
      <w:tr w:rsidR="000C62D1" w:rsidRPr="009935B8" w:rsidTr="000C62D1">
        <w:tc>
          <w:tcPr>
            <w:tcW w:w="5778" w:type="dxa"/>
          </w:tcPr>
          <w:p w:rsidR="000C62D1" w:rsidRPr="009935B8" w:rsidRDefault="000C62D1" w:rsidP="000C62D1">
            <w:r>
              <w:t xml:space="preserve">Guillain-Barre Syndrome (GBS) Outbreak </w:t>
            </w:r>
          </w:p>
        </w:tc>
        <w:tc>
          <w:tcPr>
            <w:tcW w:w="1710" w:type="dxa"/>
          </w:tcPr>
          <w:p w:rsidR="000C62D1" w:rsidRPr="009935B8" w:rsidRDefault="000C62D1" w:rsidP="000C62D1">
            <w:r>
              <w:t>6/26/2011</w:t>
            </w:r>
          </w:p>
        </w:tc>
        <w:tc>
          <w:tcPr>
            <w:tcW w:w="2106" w:type="dxa"/>
          </w:tcPr>
          <w:p w:rsidR="000C62D1" w:rsidRPr="009935B8" w:rsidRDefault="000C62D1" w:rsidP="000C62D1">
            <w:r>
              <w:t>7/27/2011</w:t>
            </w:r>
          </w:p>
        </w:tc>
      </w:tr>
      <w:tr w:rsidR="000C62D1" w:rsidRPr="009935B8" w:rsidTr="000C62D1">
        <w:tc>
          <w:tcPr>
            <w:tcW w:w="5778" w:type="dxa"/>
          </w:tcPr>
          <w:p w:rsidR="000C62D1" w:rsidRPr="009935B8" w:rsidRDefault="000C62D1" w:rsidP="000C62D1">
            <w:r>
              <w:t>Hurricane Irene</w:t>
            </w:r>
          </w:p>
        </w:tc>
        <w:tc>
          <w:tcPr>
            <w:tcW w:w="1710" w:type="dxa"/>
          </w:tcPr>
          <w:p w:rsidR="000C62D1" w:rsidRPr="009935B8" w:rsidRDefault="000C62D1" w:rsidP="000C62D1">
            <w:r>
              <w:t>8/28/2011</w:t>
            </w:r>
          </w:p>
        </w:tc>
        <w:tc>
          <w:tcPr>
            <w:tcW w:w="2106" w:type="dxa"/>
          </w:tcPr>
          <w:p w:rsidR="000C62D1" w:rsidRPr="009935B8" w:rsidRDefault="000C62D1" w:rsidP="000C62D1">
            <w:r>
              <w:t>9/1/2011</w:t>
            </w:r>
          </w:p>
        </w:tc>
      </w:tr>
      <w:tr w:rsidR="000C62D1" w:rsidRPr="009935B8" w:rsidTr="000C62D1">
        <w:tc>
          <w:tcPr>
            <w:tcW w:w="5778" w:type="dxa"/>
          </w:tcPr>
          <w:p w:rsidR="000C62D1" w:rsidRPr="009935B8" w:rsidRDefault="000C62D1" w:rsidP="000C62D1">
            <w:r>
              <w:t xml:space="preserve">Multistate </w:t>
            </w:r>
            <w:proofErr w:type="spellStart"/>
            <w:r>
              <w:t>Listerosis</w:t>
            </w:r>
            <w:proofErr w:type="spellEnd"/>
            <w:r>
              <w:t xml:space="preserve"> Outbreak </w:t>
            </w:r>
          </w:p>
        </w:tc>
        <w:tc>
          <w:tcPr>
            <w:tcW w:w="1710" w:type="dxa"/>
          </w:tcPr>
          <w:p w:rsidR="000C62D1" w:rsidRPr="009935B8" w:rsidRDefault="000C62D1" w:rsidP="000C62D1">
            <w:r>
              <w:t>9/12/2011</w:t>
            </w:r>
          </w:p>
        </w:tc>
        <w:tc>
          <w:tcPr>
            <w:tcW w:w="2106" w:type="dxa"/>
          </w:tcPr>
          <w:p w:rsidR="000C62D1" w:rsidRPr="009935B8" w:rsidRDefault="000C62D1" w:rsidP="000C62D1">
            <w:r>
              <w:t>ongoing</w:t>
            </w:r>
          </w:p>
        </w:tc>
      </w:tr>
      <w:tr w:rsidR="000C62D1" w:rsidRPr="009935B8" w:rsidTr="000C62D1">
        <w:tc>
          <w:tcPr>
            <w:tcW w:w="5778" w:type="dxa"/>
          </w:tcPr>
          <w:p w:rsidR="000C62D1" w:rsidRPr="009935B8" w:rsidRDefault="000C62D1" w:rsidP="000C62D1">
            <w:r>
              <w:t>Positive Ricin Sample – Capital Heights, MD</w:t>
            </w:r>
          </w:p>
        </w:tc>
        <w:tc>
          <w:tcPr>
            <w:tcW w:w="1710" w:type="dxa"/>
          </w:tcPr>
          <w:p w:rsidR="000C62D1" w:rsidRPr="009935B8" w:rsidRDefault="000C62D1" w:rsidP="000C62D1">
            <w:r>
              <w:t>10/14/2011</w:t>
            </w:r>
          </w:p>
        </w:tc>
        <w:tc>
          <w:tcPr>
            <w:tcW w:w="2106" w:type="dxa"/>
          </w:tcPr>
          <w:p w:rsidR="000C62D1" w:rsidRPr="009935B8" w:rsidRDefault="000C62D1" w:rsidP="000C62D1">
            <w:r>
              <w:t>10/14/2011</w:t>
            </w:r>
          </w:p>
        </w:tc>
      </w:tr>
      <w:tr w:rsidR="000C62D1" w:rsidRPr="009935B8" w:rsidTr="000C62D1">
        <w:tc>
          <w:tcPr>
            <w:tcW w:w="5778" w:type="dxa"/>
          </w:tcPr>
          <w:p w:rsidR="000C62D1" w:rsidRPr="009935B8" w:rsidRDefault="000C62D1" w:rsidP="000C62D1">
            <w:r>
              <w:t>Polio Response</w:t>
            </w:r>
          </w:p>
        </w:tc>
        <w:tc>
          <w:tcPr>
            <w:tcW w:w="1710" w:type="dxa"/>
          </w:tcPr>
          <w:p w:rsidR="000C62D1" w:rsidRPr="009935B8" w:rsidRDefault="000C62D1" w:rsidP="000C62D1">
            <w:r>
              <w:t>12/02/2011</w:t>
            </w:r>
          </w:p>
        </w:tc>
        <w:tc>
          <w:tcPr>
            <w:tcW w:w="2106" w:type="dxa"/>
          </w:tcPr>
          <w:p w:rsidR="000C62D1" w:rsidRPr="009935B8" w:rsidRDefault="000C62D1" w:rsidP="000C62D1">
            <w:r>
              <w:t>ongoing</w:t>
            </w:r>
          </w:p>
        </w:tc>
      </w:tr>
      <w:tr w:rsidR="000C62D1" w:rsidRPr="009935B8" w:rsidTr="000C62D1">
        <w:tc>
          <w:tcPr>
            <w:tcW w:w="5778" w:type="dxa"/>
          </w:tcPr>
          <w:p w:rsidR="000C62D1" w:rsidRPr="009935B8" w:rsidRDefault="000C62D1" w:rsidP="000C62D1">
            <w:r>
              <w:t>West Nile Virus in Multiple States</w:t>
            </w:r>
          </w:p>
        </w:tc>
        <w:tc>
          <w:tcPr>
            <w:tcW w:w="1710" w:type="dxa"/>
          </w:tcPr>
          <w:p w:rsidR="000C62D1" w:rsidRPr="009935B8" w:rsidRDefault="000C62D1" w:rsidP="000C62D1">
            <w:r>
              <w:t>8/1/2012</w:t>
            </w:r>
          </w:p>
        </w:tc>
        <w:tc>
          <w:tcPr>
            <w:tcW w:w="2106" w:type="dxa"/>
          </w:tcPr>
          <w:p w:rsidR="000C62D1" w:rsidRPr="009935B8" w:rsidRDefault="000C62D1" w:rsidP="000C62D1">
            <w:r>
              <w:t>ongoing</w:t>
            </w:r>
          </w:p>
        </w:tc>
      </w:tr>
      <w:tr w:rsidR="000C62D1" w:rsidRPr="009935B8" w:rsidTr="000C62D1">
        <w:tc>
          <w:tcPr>
            <w:tcW w:w="5778" w:type="dxa"/>
          </w:tcPr>
          <w:p w:rsidR="000C62D1" w:rsidRPr="009935B8" w:rsidRDefault="000C62D1" w:rsidP="000C62D1">
            <w:r>
              <w:t>Multi State Meningitis Outbreak Response Level III</w:t>
            </w:r>
          </w:p>
        </w:tc>
        <w:tc>
          <w:tcPr>
            <w:tcW w:w="1710" w:type="dxa"/>
          </w:tcPr>
          <w:p w:rsidR="000C62D1" w:rsidRPr="009935B8" w:rsidRDefault="000C62D1" w:rsidP="000C62D1">
            <w:r>
              <w:t>10/5/2012</w:t>
            </w:r>
          </w:p>
        </w:tc>
        <w:tc>
          <w:tcPr>
            <w:tcW w:w="2106" w:type="dxa"/>
          </w:tcPr>
          <w:p w:rsidR="000C62D1" w:rsidRPr="009935B8" w:rsidRDefault="000C62D1" w:rsidP="000C62D1">
            <w:r>
              <w:t>1/9/2013</w:t>
            </w:r>
          </w:p>
        </w:tc>
      </w:tr>
      <w:tr w:rsidR="000C62D1" w:rsidRPr="009935B8" w:rsidTr="000C62D1">
        <w:tc>
          <w:tcPr>
            <w:tcW w:w="5778" w:type="dxa"/>
          </w:tcPr>
          <w:p w:rsidR="000C62D1" w:rsidRPr="009935B8" w:rsidRDefault="000C62D1" w:rsidP="000C62D1">
            <w:r>
              <w:t>Hurricane Sandy</w:t>
            </w:r>
          </w:p>
        </w:tc>
        <w:tc>
          <w:tcPr>
            <w:tcW w:w="1710" w:type="dxa"/>
          </w:tcPr>
          <w:p w:rsidR="000C62D1" w:rsidRPr="009935B8" w:rsidRDefault="000C62D1" w:rsidP="000C62D1">
            <w:r>
              <w:t>10/26/2012</w:t>
            </w:r>
          </w:p>
        </w:tc>
        <w:tc>
          <w:tcPr>
            <w:tcW w:w="2106" w:type="dxa"/>
          </w:tcPr>
          <w:p w:rsidR="000C62D1" w:rsidRPr="009935B8" w:rsidRDefault="000C62D1" w:rsidP="000C62D1">
            <w:r>
              <w:t>11/14/2012</w:t>
            </w:r>
          </w:p>
        </w:tc>
      </w:tr>
      <w:tr w:rsidR="000C62D1" w:rsidRPr="009935B8" w:rsidTr="000C62D1">
        <w:tc>
          <w:tcPr>
            <w:tcW w:w="5778" w:type="dxa"/>
          </w:tcPr>
          <w:p w:rsidR="000C62D1" w:rsidRDefault="000C62D1" w:rsidP="000C62D1">
            <w:r>
              <w:t>H7N9 Activation</w:t>
            </w:r>
          </w:p>
        </w:tc>
        <w:tc>
          <w:tcPr>
            <w:tcW w:w="1710" w:type="dxa"/>
          </w:tcPr>
          <w:p w:rsidR="000C62D1" w:rsidRDefault="000C62D1" w:rsidP="000C62D1">
            <w:r>
              <w:t>04/02/2013</w:t>
            </w:r>
          </w:p>
        </w:tc>
        <w:tc>
          <w:tcPr>
            <w:tcW w:w="2106" w:type="dxa"/>
          </w:tcPr>
          <w:p w:rsidR="000C62D1" w:rsidRDefault="000C62D1" w:rsidP="000C62D1">
            <w:r>
              <w:t>06/14/2013</w:t>
            </w:r>
          </w:p>
        </w:tc>
      </w:tr>
      <w:tr w:rsidR="000C62D1" w:rsidRPr="009935B8" w:rsidTr="000C62D1">
        <w:tc>
          <w:tcPr>
            <w:tcW w:w="5778" w:type="dxa"/>
          </w:tcPr>
          <w:p w:rsidR="000C62D1" w:rsidRDefault="000C62D1" w:rsidP="000C62D1">
            <w:r>
              <w:t>MERS-</w:t>
            </w:r>
            <w:proofErr w:type="spellStart"/>
            <w:r>
              <w:t>CoV</w:t>
            </w:r>
            <w:proofErr w:type="spellEnd"/>
          </w:p>
        </w:tc>
        <w:tc>
          <w:tcPr>
            <w:tcW w:w="1710" w:type="dxa"/>
          </w:tcPr>
          <w:p w:rsidR="000C62D1" w:rsidRDefault="000C62D1" w:rsidP="000C62D1">
            <w:r>
              <w:t>06/03/2013</w:t>
            </w:r>
          </w:p>
        </w:tc>
        <w:tc>
          <w:tcPr>
            <w:tcW w:w="2106" w:type="dxa"/>
          </w:tcPr>
          <w:p w:rsidR="000C62D1" w:rsidRDefault="000C62D1" w:rsidP="000C62D1">
            <w:r>
              <w:t>08/13/2013</w:t>
            </w:r>
          </w:p>
        </w:tc>
      </w:tr>
      <w:tr w:rsidR="000C62D1" w:rsidRPr="009935B8" w:rsidTr="000C62D1">
        <w:tc>
          <w:tcPr>
            <w:tcW w:w="5778" w:type="dxa"/>
          </w:tcPr>
          <w:p w:rsidR="000C62D1" w:rsidRDefault="000C62D1" w:rsidP="000C62D1">
            <w:proofErr w:type="spellStart"/>
            <w:r>
              <w:t>Cyclospora</w:t>
            </w:r>
            <w:proofErr w:type="spellEnd"/>
            <w:r>
              <w:t xml:space="preserve"> Outbreak</w:t>
            </w:r>
          </w:p>
        </w:tc>
        <w:tc>
          <w:tcPr>
            <w:tcW w:w="1710" w:type="dxa"/>
          </w:tcPr>
          <w:p w:rsidR="000C62D1" w:rsidRDefault="000C62D1" w:rsidP="000C62D1">
            <w:r>
              <w:t>08/09/2013</w:t>
            </w:r>
          </w:p>
        </w:tc>
        <w:tc>
          <w:tcPr>
            <w:tcW w:w="2106" w:type="dxa"/>
          </w:tcPr>
          <w:p w:rsidR="000C62D1" w:rsidRDefault="000C62D1" w:rsidP="000C62D1">
            <w:r>
              <w:t>08/30/2013</w:t>
            </w:r>
          </w:p>
        </w:tc>
      </w:tr>
    </w:tbl>
    <w:p w:rsidR="00B7513F" w:rsidRDefault="00B7513F" w:rsidP="003247E8">
      <w:pPr>
        <w:rPr>
          <w:u w:val="single"/>
        </w:rPr>
      </w:pPr>
    </w:p>
    <w:p w:rsidR="008D507A" w:rsidRDefault="008D507A" w:rsidP="003247E8">
      <w:pPr>
        <w:rPr>
          <w:u w:val="single"/>
        </w:rPr>
      </w:pPr>
    </w:p>
    <w:p w:rsidR="008D507A" w:rsidRPr="00C6650B" w:rsidRDefault="008D507A" w:rsidP="008D507A">
      <w:pPr>
        <w:rPr>
          <w:u w:val="single"/>
        </w:rPr>
      </w:pPr>
      <w:r w:rsidRPr="00C6650B">
        <w:rPr>
          <w:u w:val="single"/>
        </w:rPr>
        <w:t>Privacy Impact Assessment</w:t>
      </w:r>
    </w:p>
    <w:p w:rsidR="008D507A" w:rsidRPr="00C6650B" w:rsidRDefault="008D507A" w:rsidP="008D507A">
      <w:pPr>
        <w:rPr>
          <w:u w:val="single"/>
        </w:rPr>
      </w:pPr>
    </w:p>
    <w:p w:rsidR="008D507A" w:rsidRPr="00C6650B" w:rsidRDefault="008D507A" w:rsidP="008D507A">
      <w:pPr>
        <w:rPr>
          <w:color w:val="333333"/>
        </w:rPr>
      </w:pPr>
      <w:r w:rsidRPr="00C6650B">
        <w:rPr>
          <w:color w:val="333333"/>
        </w:rPr>
        <w:t xml:space="preserve">The most recent PIA for </w:t>
      </w:r>
      <w:proofErr w:type="spellStart"/>
      <w:r w:rsidRPr="00C6650B">
        <w:rPr>
          <w:i/>
          <w:color w:val="333333"/>
        </w:rPr>
        <w:t>Epi</w:t>
      </w:r>
      <w:proofErr w:type="spellEnd"/>
      <w:r w:rsidRPr="00C6650B">
        <w:rPr>
          <w:i/>
          <w:color w:val="333333"/>
        </w:rPr>
        <w:t>-X</w:t>
      </w:r>
      <w:r w:rsidRPr="00C6650B">
        <w:rPr>
          <w:color w:val="333333"/>
        </w:rPr>
        <w:t xml:space="preserve"> was </w:t>
      </w:r>
      <w:r>
        <w:rPr>
          <w:color w:val="333333"/>
        </w:rPr>
        <w:t>completed</w:t>
      </w:r>
      <w:r w:rsidRPr="00C6650B">
        <w:rPr>
          <w:color w:val="333333"/>
        </w:rPr>
        <w:t xml:space="preserve"> </w:t>
      </w:r>
      <w:r>
        <w:rPr>
          <w:color w:val="333333"/>
        </w:rPr>
        <w:t>on July 5, 2013.</w:t>
      </w:r>
      <w:r w:rsidRPr="00C6650B">
        <w:rPr>
          <w:color w:val="333333"/>
        </w:rPr>
        <w:t xml:space="preserve">  </w:t>
      </w:r>
    </w:p>
    <w:p w:rsidR="008D507A" w:rsidRDefault="008D507A" w:rsidP="003247E8">
      <w:pPr>
        <w:rPr>
          <w:u w:val="single"/>
        </w:rPr>
      </w:pPr>
    </w:p>
    <w:p w:rsidR="008D507A" w:rsidRDefault="008D507A" w:rsidP="003247E8">
      <w:pPr>
        <w:rPr>
          <w:u w:val="single"/>
        </w:rPr>
      </w:pPr>
    </w:p>
    <w:p w:rsidR="00E91DF2" w:rsidRPr="00C6650B" w:rsidRDefault="00D217AE" w:rsidP="003247E8">
      <w:pPr>
        <w:rPr>
          <w:u w:val="single"/>
        </w:rPr>
      </w:pPr>
      <w:r w:rsidRPr="00C6650B">
        <w:rPr>
          <w:u w:val="single"/>
        </w:rPr>
        <w:t xml:space="preserve"> </w:t>
      </w:r>
      <w:bookmarkStart w:id="2" w:name="_Toc245779335"/>
      <w:r w:rsidR="003247E8" w:rsidRPr="00C6650B">
        <w:rPr>
          <w:u w:val="single"/>
        </w:rPr>
        <w:t>Overview of the Data Collection System</w:t>
      </w:r>
      <w:bookmarkStart w:id="3" w:name="OLE_LINK1"/>
      <w:bookmarkStart w:id="4" w:name="OLE_LINK2"/>
      <w:bookmarkEnd w:id="2"/>
      <w:r w:rsidR="00E91DF2" w:rsidRPr="00C6650B">
        <w:rPr>
          <w:u w:val="single"/>
        </w:rPr>
        <w:t xml:space="preserve"> </w:t>
      </w:r>
    </w:p>
    <w:p w:rsidR="00E91DF2" w:rsidRPr="00C6650B" w:rsidRDefault="00E91DF2" w:rsidP="003247E8">
      <w:pPr>
        <w:rPr>
          <w:u w:val="single"/>
        </w:rPr>
      </w:pPr>
    </w:p>
    <w:p w:rsidR="001C056D" w:rsidRPr="00C6650B" w:rsidRDefault="00CA67FF" w:rsidP="001C056D">
      <w:r w:rsidRPr="00C6650B">
        <w:t xml:space="preserve">Data </w:t>
      </w:r>
      <w:r w:rsidR="003E4B4A">
        <w:t xml:space="preserve">will be </w:t>
      </w:r>
      <w:r w:rsidRPr="00C6650B">
        <w:t>collected under t</w:t>
      </w:r>
      <w:r w:rsidR="001C056D" w:rsidRPr="00C6650B">
        <w:t xml:space="preserve">he </w:t>
      </w:r>
      <w:proofErr w:type="spellStart"/>
      <w:r w:rsidR="001C056D" w:rsidRPr="00C6650B">
        <w:rPr>
          <w:i/>
        </w:rPr>
        <w:t>Epi</w:t>
      </w:r>
      <w:proofErr w:type="spellEnd"/>
      <w:r w:rsidR="001C056D" w:rsidRPr="00C6650B">
        <w:rPr>
          <w:i/>
        </w:rPr>
        <w:t>-X</w:t>
      </w:r>
      <w:r w:rsidRPr="00C6650B">
        <w:rPr>
          <w:i/>
        </w:rPr>
        <w:t xml:space="preserve"> </w:t>
      </w:r>
      <w:r w:rsidR="00462CF6" w:rsidRPr="008A5F90">
        <w:t>ICR</w:t>
      </w:r>
      <w:r w:rsidRPr="00C6650B">
        <w:rPr>
          <w:i/>
        </w:rPr>
        <w:t xml:space="preserve"> </w:t>
      </w:r>
      <w:r w:rsidR="003E4B4A">
        <w:t>using</w:t>
      </w:r>
      <w:r w:rsidR="001C056D" w:rsidRPr="00C6650B">
        <w:t xml:space="preserve"> a web-based tool. </w:t>
      </w:r>
      <w:r w:rsidRPr="00C6650B">
        <w:t xml:space="preserve"> This tool already is established for the current IC</w:t>
      </w:r>
      <w:r w:rsidR="00DD3333">
        <w:t>R</w:t>
      </w:r>
      <w:r w:rsidRPr="00C6650B">
        <w:t xml:space="preserve"> and has been in use since 2003. It will be adapted as needed to accommodate the data collection instruments</w:t>
      </w:r>
      <w:r w:rsidR="001E40A3">
        <w:t xml:space="preserve"> </w:t>
      </w:r>
      <w:r w:rsidR="00FB7553">
        <w:t xml:space="preserve">developed as part of this </w:t>
      </w:r>
      <w:r w:rsidR="007B7CAE">
        <w:t>generic</w:t>
      </w:r>
      <w:r w:rsidR="00FB7553">
        <w:t xml:space="preserve"> IC</w:t>
      </w:r>
      <w:r w:rsidR="00BD1841">
        <w:t>R</w:t>
      </w:r>
      <w:r w:rsidRPr="00C6650B">
        <w:t xml:space="preserve">.   </w:t>
      </w:r>
      <w:r w:rsidR="001C056D" w:rsidRPr="00C6650B">
        <w:t>Respondents will receive the survey instrument as an official CDC email, which is clearly labeled, “</w:t>
      </w:r>
      <w:proofErr w:type="spellStart"/>
      <w:r w:rsidR="001C056D" w:rsidRPr="00C6650B">
        <w:rPr>
          <w:i/>
        </w:rPr>
        <w:t>Epi</w:t>
      </w:r>
      <w:proofErr w:type="spellEnd"/>
      <w:r w:rsidR="001C056D" w:rsidRPr="00C6650B">
        <w:rPr>
          <w:i/>
        </w:rPr>
        <w:t>-X</w:t>
      </w:r>
      <w:r w:rsidR="001C056D" w:rsidRPr="00C6650B">
        <w:t xml:space="preserve"> Emergency Public Health Incident Information Request”</w:t>
      </w:r>
      <w:r w:rsidR="00AA1490">
        <w:t>.</w:t>
      </w:r>
      <w:r w:rsidR="001C056D" w:rsidRPr="00C6650B">
        <w:t xml:space="preserve"> The e-mail message would be accompanied by a link to an </w:t>
      </w:r>
      <w:proofErr w:type="spellStart"/>
      <w:r w:rsidR="001C056D" w:rsidRPr="00C6650B">
        <w:rPr>
          <w:i/>
        </w:rPr>
        <w:t>Epi</w:t>
      </w:r>
      <w:proofErr w:type="spellEnd"/>
      <w:r w:rsidR="001C056D" w:rsidRPr="00C6650B">
        <w:rPr>
          <w:i/>
        </w:rPr>
        <w:t>-X Forum</w:t>
      </w:r>
      <w:r w:rsidR="001C056D" w:rsidRPr="00C6650B">
        <w:t xml:space="preserve"> discussion web page. Respondents could choose to provide their answers to the survey questions by posting information within the discussion.</w:t>
      </w:r>
    </w:p>
    <w:bookmarkEnd w:id="3"/>
    <w:bookmarkEnd w:id="4"/>
    <w:p w:rsidR="008A6E0E" w:rsidRPr="00843281" w:rsidRDefault="00221129" w:rsidP="003247E8">
      <w:pPr>
        <w:spacing w:before="240"/>
      </w:pPr>
      <w:r w:rsidRPr="00C6650B">
        <w:lastRenderedPageBreak/>
        <w:t>T</w:t>
      </w:r>
      <w:r w:rsidR="003247E8" w:rsidRPr="00C6650B">
        <w:t>he information collected wil</w:t>
      </w:r>
      <w:r w:rsidR="00251644" w:rsidRPr="00C6650B">
        <w:t xml:space="preserve">l be maintained </w:t>
      </w:r>
      <w:r w:rsidR="00871AEE" w:rsidRPr="00C6650B">
        <w:t>indefinitely</w:t>
      </w:r>
      <w:r w:rsidR="00251644" w:rsidRPr="00C6650B">
        <w:t xml:space="preserve">.  Issues related to data security, confidentiality and informed consent are described below. </w:t>
      </w:r>
    </w:p>
    <w:p w:rsidR="003247E8" w:rsidRPr="00C6650B" w:rsidRDefault="003247E8" w:rsidP="003247E8">
      <w:pPr>
        <w:spacing w:before="240"/>
        <w:rPr>
          <w:u w:val="single"/>
        </w:rPr>
      </w:pPr>
      <w:r w:rsidRPr="00C6650B">
        <w:rPr>
          <w:u w:val="single"/>
        </w:rPr>
        <w:t xml:space="preserve">Items of Information to be </w:t>
      </w:r>
      <w:proofErr w:type="gramStart"/>
      <w:r w:rsidRPr="00C6650B">
        <w:rPr>
          <w:u w:val="single"/>
        </w:rPr>
        <w:t>Collected</w:t>
      </w:r>
      <w:proofErr w:type="gramEnd"/>
    </w:p>
    <w:p w:rsidR="003247E8" w:rsidRPr="00C6650B" w:rsidRDefault="003247E8" w:rsidP="003247E8">
      <w:pPr>
        <w:spacing w:before="240"/>
      </w:pPr>
      <w:r w:rsidRPr="00C6650B">
        <w:t xml:space="preserve">This </w:t>
      </w:r>
      <w:r w:rsidR="00FB7553">
        <w:t xml:space="preserve">generic </w:t>
      </w:r>
      <w:r w:rsidRPr="00C6650B">
        <w:t>IC</w:t>
      </w:r>
      <w:r w:rsidR="00241E04">
        <w:t>R</w:t>
      </w:r>
      <w:r w:rsidRPr="00C6650B">
        <w:t xml:space="preserve"> covers organizational or jurisdictional</w:t>
      </w:r>
      <w:r w:rsidR="00C458F3" w:rsidRPr="00C6650B">
        <w:t xml:space="preserve"> </w:t>
      </w:r>
      <w:r w:rsidRPr="00C6650B">
        <w:t>level data elements (i.e.</w:t>
      </w:r>
      <w:r w:rsidR="006C68BE">
        <w:t>,</w:t>
      </w:r>
      <w:r w:rsidRPr="00C6650B">
        <w:t xml:space="preserve"> data elements collected from state, local, tribal, and territorial levels of government and non-governmental organizations) that may be qualitative or quantitative.  These data elements may be collected </w:t>
      </w:r>
      <w:r w:rsidR="00873FDA">
        <w:t xml:space="preserve">in anticipation of, </w:t>
      </w:r>
      <w:r w:rsidRPr="00C6650B">
        <w:t>during</w:t>
      </w:r>
      <w:r w:rsidR="00873FDA">
        <w:t xml:space="preserve"> and following</w:t>
      </w:r>
      <w:r w:rsidRPr="00C6650B">
        <w:t xml:space="preserve"> the </w:t>
      </w:r>
      <w:r w:rsidR="007B3FA6">
        <w:t xml:space="preserve">public health </w:t>
      </w:r>
      <w:r w:rsidRPr="00C6650B">
        <w:t xml:space="preserve">emergency (data elements related to response </w:t>
      </w:r>
      <w:r w:rsidR="00873FDA">
        <w:t xml:space="preserve">and recovery </w:t>
      </w:r>
      <w:r w:rsidRPr="00C6650B">
        <w:t>phase</w:t>
      </w:r>
      <w:r w:rsidR="00873FDA">
        <w:t>s</w:t>
      </w:r>
      <w:r w:rsidRPr="00C6650B">
        <w:t xml:space="preserve"> of the emergency</w:t>
      </w:r>
      <w:r w:rsidR="003660BB">
        <w:t xml:space="preserve"> </w:t>
      </w:r>
      <w:r w:rsidRPr="00C6650B">
        <w:t xml:space="preserve">for intentional and non-intentional </w:t>
      </w:r>
      <w:r w:rsidR="0016043F">
        <w:t xml:space="preserve">and naturally occurring </w:t>
      </w:r>
      <w:r w:rsidR="00AE6B49" w:rsidRPr="00C6650B">
        <w:t xml:space="preserve">public health </w:t>
      </w:r>
      <w:r w:rsidRPr="00C6650B">
        <w:t xml:space="preserve">threats. </w:t>
      </w:r>
    </w:p>
    <w:p w:rsidR="003247E8" w:rsidRPr="00C6650B" w:rsidRDefault="008D5078" w:rsidP="003247E8">
      <w:pPr>
        <w:spacing w:before="240"/>
      </w:pPr>
      <w:r>
        <w:rPr>
          <w:bCs/>
        </w:rPr>
        <w:t xml:space="preserve">We have broadened the categories under which data may be collected to increase its utilization, and provided clarity regarding the data elements.  </w:t>
      </w:r>
      <w:r w:rsidR="00B60403">
        <w:rPr>
          <w:bCs/>
        </w:rPr>
        <w:t xml:space="preserve">This will allow more utility of the ICR and </w:t>
      </w:r>
      <w:r w:rsidR="00127C2E">
        <w:rPr>
          <w:bCs/>
        </w:rPr>
        <w:t>capture</w:t>
      </w:r>
      <w:r w:rsidR="00B60403">
        <w:rPr>
          <w:bCs/>
        </w:rPr>
        <w:t xml:space="preserve"> d</w:t>
      </w:r>
      <w:r w:rsidR="00666DF7">
        <w:rPr>
          <w:bCs/>
        </w:rPr>
        <w:t xml:space="preserve">ata elements that are of importance </w:t>
      </w:r>
      <w:r w:rsidR="00B60403">
        <w:rPr>
          <w:bCs/>
        </w:rPr>
        <w:t xml:space="preserve">for public health incidents. </w:t>
      </w:r>
      <w:r w:rsidRPr="00C6650B">
        <w:t xml:space="preserve"> </w:t>
      </w:r>
      <w:r w:rsidR="003247E8" w:rsidRPr="00C6650B">
        <w:t xml:space="preserve">Categories of data elements that may be collected under </w:t>
      </w:r>
      <w:r w:rsidR="006C4EB5" w:rsidRPr="00C6650B">
        <w:t>this ICR</w:t>
      </w:r>
      <w:r w:rsidR="003247E8" w:rsidRPr="00C6650B">
        <w:t xml:space="preserve"> may include, but are not limited to: data elements pertaining </w:t>
      </w:r>
      <w:r w:rsidR="006C4EB5" w:rsidRPr="00C6650B">
        <w:t xml:space="preserve">to </w:t>
      </w:r>
      <w:r w:rsidR="006C4EB5">
        <w:t>infectious</w:t>
      </w:r>
      <w:r w:rsidR="003247E8" w:rsidRPr="00C6650B">
        <w:t xml:space="preserve"> diseases, natural or manmade mass casualty </w:t>
      </w:r>
      <w:r w:rsidR="00D804CC" w:rsidRPr="00C6650B">
        <w:t>incident</w:t>
      </w:r>
      <w:r w:rsidR="003247E8" w:rsidRPr="00C6650B">
        <w:t xml:space="preserve">s, environmental health, informatics, </w:t>
      </w:r>
      <w:proofErr w:type="spellStart"/>
      <w:r w:rsidR="003247E8" w:rsidRPr="00C6650B">
        <w:t>biosurveillance</w:t>
      </w:r>
      <w:proofErr w:type="spellEnd"/>
      <w:r w:rsidR="003247E8" w:rsidRPr="00C6650B">
        <w:t>, evaluation of health communication messaging, and Strategic National Stockpile materi</w:t>
      </w:r>
      <w:r w:rsidR="00947FCC">
        <w:t>e</w:t>
      </w:r>
      <w:r w:rsidR="003247E8" w:rsidRPr="00C6650B">
        <w:t>l</w:t>
      </w:r>
      <w:r w:rsidR="00F336F6" w:rsidRPr="00C6650B">
        <w:t>.</w:t>
      </w:r>
      <w:r w:rsidR="00952FCA" w:rsidRPr="00C6650B">
        <w:t xml:space="preserve"> Example</w:t>
      </w:r>
      <w:r w:rsidR="005E7289">
        <w:t>s</w:t>
      </w:r>
      <w:r w:rsidR="00952FCA" w:rsidRPr="00C6650B">
        <w:t xml:space="preserve"> of data </w:t>
      </w:r>
      <w:r w:rsidR="00FD577C" w:rsidRPr="00C6650B">
        <w:t xml:space="preserve">elements </w:t>
      </w:r>
      <w:r w:rsidR="00FD577C">
        <w:t>categories</w:t>
      </w:r>
      <w:r w:rsidR="00952FCA" w:rsidRPr="00C6650B">
        <w:t xml:space="preserve"> </w:t>
      </w:r>
      <w:r w:rsidR="00FD577C">
        <w:t xml:space="preserve">include: </w:t>
      </w:r>
      <w:r w:rsidR="003247E8" w:rsidRPr="00C6650B">
        <w:t xml:space="preserve">  </w:t>
      </w:r>
    </w:p>
    <w:p w:rsidR="003247E8" w:rsidRDefault="00B97111" w:rsidP="003247E8">
      <w:pPr>
        <w:spacing w:before="240"/>
      </w:pPr>
      <w:r w:rsidRPr="00B97111">
        <w:rPr>
          <w:b/>
        </w:rPr>
        <w:t>Communicable Diseases</w:t>
      </w:r>
      <w:r w:rsidR="003247E8" w:rsidRPr="00C6650B">
        <w:t>:  signs and symptoms questions (e.g.</w:t>
      </w:r>
      <w:r w:rsidR="009B2033">
        <w:t>,</w:t>
      </w:r>
      <w:r w:rsidR="003247E8" w:rsidRPr="00C6650B">
        <w:t xml:space="preserve"> signs and symptoms of influenza-like illness or other signs and symptoms of the disease of interest, symptom onset), exposure history, travel history (including commercial conveyance information), vaccination status, medical history, plans for further travel during infectious period, travel companion information including vaccination status,  plans for further travel during the incubation period; flight or vessel  information; tracking of treatment or prophylactic measures and adverse </w:t>
      </w:r>
      <w:r w:rsidR="00D804CC" w:rsidRPr="00C6650B">
        <w:t>incident</w:t>
      </w:r>
      <w:r w:rsidR="003247E8" w:rsidRPr="00C6650B">
        <w:t>s to vaccination or medications; laboratory results; disease outcomes</w:t>
      </w:r>
      <w:r w:rsidR="00637E9C">
        <w:t>; monitoring social media reports about illness in communities</w:t>
      </w:r>
      <w:r w:rsidR="003247E8" w:rsidRPr="00C6650B">
        <w:t xml:space="preserve">. </w:t>
      </w:r>
    </w:p>
    <w:p w:rsidR="00B076A2" w:rsidRPr="00B076A2" w:rsidRDefault="00B076A2" w:rsidP="003247E8">
      <w:pPr>
        <w:spacing w:before="240"/>
      </w:pPr>
      <w:r w:rsidRPr="008A5F90">
        <w:rPr>
          <w:b/>
        </w:rPr>
        <w:t xml:space="preserve">Non-communicable Diseases:  </w:t>
      </w:r>
      <w:r w:rsidR="002E1B5D">
        <w:t xml:space="preserve">health status including diagnosis of chronic conditions that require ongoing medical treatment or monitoring including (but not limited to) diabetes, cancer, cardio vascular diseases, arthritis, asthma, </w:t>
      </w:r>
      <w:r w:rsidR="003D5D04">
        <w:t>c</w:t>
      </w:r>
      <w:r w:rsidR="002E1B5D">
        <w:t xml:space="preserve">hronic obstructive pulmonary disease, dementia, physical and mental disabilities and chronic kidney disease.  Information collected on these conditions should include both existence of the condition as well as current treatment plans and pharmacologic regimens.  </w:t>
      </w:r>
    </w:p>
    <w:p w:rsidR="003247E8" w:rsidRPr="00C6650B" w:rsidRDefault="003247E8" w:rsidP="003247E8">
      <w:pPr>
        <w:ind w:left="1200"/>
      </w:pPr>
    </w:p>
    <w:p w:rsidR="003247E8" w:rsidRPr="00C6650B" w:rsidRDefault="00D07176" w:rsidP="003247E8">
      <w:r>
        <w:rPr>
          <w:b/>
        </w:rPr>
        <w:t xml:space="preserve">Natural or </w:t>
      </w:r>
      <w:r w:rsidR="007F0992" w:rsidRPr="007F0992">
        <w:rPr>
          <w:b/>
        </w:rPr>
        <w:t>Manmade Mass Casualty Incidents</w:t>
      </w:r>
      <w:r w:rsidR="003247E8" w:rsidRPr="00C6650B">
        <w:t xml:space="preserve">:  circumstances of </w:t>
      </w:r>
      <w:r w:rsidR="00D804CC" w:rsidRPr="00C6650B">
        <w:t>incident</w:t>
      </w:r>
      <w:r w:rsidR="003247E8" w:rsidRPr="00C6650B">
        <w:t xml:space="preserve"> (e.g., </w:t>
      </w:r>
      <w:r>
        <w:t xml:space="preserve">tornado, hurricane, forest/range fire, </w:t>
      </w:r>
      <w:r w:rsidR="000F429D">
        <w:t>flood,</w:t>
      </w:r>
      <w:r w:rsidR="000F429D" w:rsidRPr="00C6650B">
        <w:t xml:space="preserve"> explosion</w:t>
      </w:r>
      <w:r w:rsidR="003247E8" w:rsidRPr="00C6650B">
        <w:t xml:space="preserve">, structural collapse, fire, plane crash and train crash); mechanisms of injury (e.g., </w:t>
      </w:r>
      <w:r>
        <w:t xml:space="preserve">drowning/submersion, suffocation, fall, cut/pierce, struck by/against, smoke inhalation, burn by fire/flame or hot object/substance, </w:t>
      </w:r>
      <w:r w:rsidR="003247E8" w:rsidRPr="00C6650B">
        <w:t>inhaled:  toxic gas/fumes, particulate matter; burned by:  explosion, secondary fire, chemical, unknown; and struck by fixed object:  pushed or knocked against object)</w:t>
      </w:r>
      <w:r w:rsidR="00637E9C">
        <w:t xml:space="preserve">; </w:t>
      </w:r>
      <w:r w:rsidR="00241273">
        <w:t xml:space="preserve">injury type by anatomic region; specified care received in </w:t>
      </w:r>
      <w:proofErr w:type="spellStart"/>
      <w:r w:rsidR="00241273">
        <w:t>prehospital</w:t>
      </w:r>
      <w:proofErr w:type="spellEnd"/>
      <w:r w:rsidR="00241273">
        <w:t xml:space="preserve">, hospital or rehabilitation settings; </w:t>
      </w:r>
      <w:r w:rsidR="00637E9C">
        <w:t>potential surge and lack of availability of specialized care (e.g.</w:t>
      </w:r>
      <w:r w:rsidR="009A6BAF">
        <w:t>,</w:t>
      </w:r>
      <w:r w:rsidR="00637E9C">
        <w:t xml:space="preserve"> trauma center, burn center beds available)</w:t>
      </w:r>
      <w:r w:rsidR="003247E8" w:rsidRPr="00C6650B">
        <w:t xml:space="preserve">.  </w:t>
      </w:r>
    </w:p>
    <w:p w:rsidR="003247E8" w:rsidRPr="00C6650B" w:rsidRDefault="00B97111" w:rsidP="00C458F3">
      <w:pPr>
        <w:spacing w:before="240"/>
      </w:pPr>
      <w:bookmarkStart w:id="5" w:name="OLE_LINK5"/>
      <w:bookmarkStart w:id="6" w:name="OLE_LINK6"/>
      <w:r w:rsidRPr="00B97111">
        <w:rPr>
          <w:b/>
        </w:rPr>
        <w:lastRenderedPageBreak/>
        <w:t>Environmental Healt</w:t>
      </w:r>
      <w:bookmarkEnd w:id="5"/>
      <w:bookmarkEnd w:id="6"/>
      <w:r w:rsidRPr="00B97111">
        <w:rPr>
          <w:b/>
        </w:rPr>
        <w:t>h:</w:t>
      </w:r>
      <w:r w:rsidR="003247E8" w:rsidRPr="00C6650B">
        <w:t xml:space="preserve">  </w:t>
      </w:r>
      <w:r w:rsidR="00670F93">
        <w:t xml:space="preserve">population estimates; </w:t>
      </w:r>
      <w:r w:rsidR="003247E8" w:rsidRPr="00C6650B">
        <w:t xml:space="preserve">shelters (e.g., security/law enforcement availability, hot water availability, safety of food source, availability of hand-washing facilities, adequacy of water supply, safety of water source, reported outbreaks, unusual illness/injuries, adequate number of toilets, sewage system type, adequate number of collection receptacles, adequate child/caregiver ratio, adequate number of cots/beds/mats, adequate spacing, presence of companion animals, and handicap accessibility);  </w:t>
      </w:r>
      <w:r w:rsidR="005C60CC">
        <w:t>environmental exposures and health impact secondary to natural disasters (earthquake, flood, hurricane, tornado, etc.), and extreme weather conditions (heat and cold));</w:t>
      </w:r>
      <w:r w:rsidR="005C60CC" w:rsidRPr="00C6650B">
        <w:t xml:space="preserve"> </w:t>
      </w:r>
      <w:r w:rsidR="00046DA8">
        <w:t>built environment (e.g.,</w:t>
      </w:r>
      <w:r w:rsidR="005C60CC">
        <w:t xml:space="preserve"> community planning as it relates to recovery),  personal and public safety; </w:t>
      </w:r>
      <w:r w:rsidR="003247E8" w:rsidRPr="00C6650B">
        <w:t xml:space="preserve">chemical exposures (e.g., proximity to the site of release, personal exposure description, medical history, occupational history, </w:t>
      </w:r>
      <w:r w:rsidR="00A97BF0">
        <w:t xml:space="preserve">radiation countermeasures, </w:t>
      </w:r>
      <w:r w:rsidR="003247E8" w:rsidRPr="00C6650B">
        <w:t>description of acute health effects immediately after release, personal protection equipment worn by responders or hospital workers); radiological exposures (e.g., exposure location, potential routes of contamination, radiation assessment, prodromal symptoms, radiation countermeasures; rapid response registry:  (e.g., registrant information, proxy or close friend/relative information, exposure information); exacerbation of chronic medical conditions; availability of routine pharmaceutical supplies (e.g., medications for chronic medical conditions)</w:t>
      </w:r>
      <w:r w:rsidR="00637E9C">
        <w:t>; unusual pests, plagues, damage to drinking water infrastructure, boil water notices, environmental health hazards like exposure, falls, carbon monoxide poisoning, monitoring social media reports about illness in communities</w:t>
      </w:r>
      <w:r w:rsidR="00C01BF6">
        <w:t>;</w:t>
      </w:r>
      <w:r w:rsidR="00C01BF6" w:rsidRPr="00C01BF6">
        <w:t xml:space="preserve"> </w:t>
      </w:r>
      <w:r w:rsidR="00C01BF6">
        <w:t>community experiences and perceptions</w:t>
      </w:r>
      <w:r w:rsidR="003247E8" w:rsidRPr="00C6650B">
        <w:t xml:space="preserve">.   </w:t>
      </w:r>
    </w:p>
    <w:p w:rsidR="003247E8" w:rsidRPr="00C6650B" w:rsidRDefault="00B97111" w:rsidP="003247E8">
      <w:pPr>
        <w:spacing w:before="240"/>
      </w:pPr>
      <w:r w:rsidRPr="00B97111">
        <w:rPr>
          <w:b/>
        </w:rPr>
        <w:t>Informatics</w:t>
      </w:r>
      <w:r w:rsidR="003247E8" w:rsidRPr="00C6650B">
        <w:t>:  demographics (e.g.</w:t>
      </w:r>
      <w:r w:rsidR="004A4BC6">
        <w:t>,</w:t>
      </w:r>
      <w:r w:rsidR="003247E8" w:rsidRPr="00C6650B">
        <w:t xml:space="preserve"> location, size, geographic coverage) of healthcare entities (e.g.</w:t>
      </w:r>
      <w:r w:rsidR="00B9581F">
        <w:t>,</w:t>
      </w:r>
      <w:r w:rsidR="003247E8" w:rsidRPr="00C6650B">
        <w:t xml:space="preserve"> hospitals, emergency departments</w:t>
      </w:r>
      <w:r w:rsidR="00442F0A" w:rsidRPr="00C6650B">
        <w:t>, laboratories</w:t>
      </w:r>
      <w:r w:rsidR="003247E8" w:rsidRPr="00C6650B">
        <w:t xml:space="preserve">, pharmacies); healthcare entity information/data transfer resources and capabilities; types and volume of data available. </w:t>
      </w:r>
    </w:p>
    <w:p w:rsidR="003247E8" w:rsidRPr="00C6650B" w:rsidRDefault="00B97111" w:rsidP="003247E8">
      <w:pPr>
        <w:spacing w:before="240"/>
      </w:pPr>
      <w:proofErr w:type="spellStart"/>
      <w:r w:rsidRPr="00B97111">
        <w:rPr>
          <w:b/>
        </w:rPr>
        <w:t>Biosurveillance</w:t>
      </w:r>
      <w:proofErr w:type="spellEnd"/>
      <w:r w:rsidR="003247E8" w:rsidRPr="00C6650B">
        <w:t xml:space="preserve">: syndrome definitions and algorithms, number of outpatient and emergency department visits; </w:t>
      </w:r>
      <w:r w:rsidR="00637E9C">
        <w:t>unusual illness reports received in Poison Control Centers</w:t>
      </w:r>
      <w:r w:rsidR="00637E9C" w:rsidRPr="00C6650B">
        <w:t xml:space="preserve"> </w:t>
      </w:r>
      <w:r w:rsidR="00637E9C">
        <w:t xml:space="preserve">, </w:t>
      </w:r>
      <w:r w:rsidR="003247E8" w:rsidRPr="00C6650B">
        <w:t>demographic information of cases</w:t>
      </w:r>
      <w:r w:rsidR="00C458F3" w:rsidRPr="00C6650B">
        <w:t>,</w:t>
      </w:r>
      <w:r w:rsidR="003247E8" w:rsidRPr="00C6650B">
        <w:t xml:space="preserve"> including geocoded data; patient disposition; hospitalization rates, </w:t>
      </w:r>
      <w:r w:rsidR="009E15D8">
        <w:t xml:space="preserve">emergent surgeries, </w:t>
      </w:r>
      <w:r w:rsidR="003247E8" w:rsidRPr="00C6650B">
        <w:t xml:space="preserve">ICU utilization, medical supplies availability, hospital census reports; mortality </w:t>
      </w:r>
      <w:r w:rsidR="00B936A0">
        <w:t>data</w:t>
      </w:r>
      <w:r w:rsidR="003247E8" w:rsidRPr="00C6650B">
        <w:t xml:space="preserve">; laboratory test orders and results; treatment protocols, types of surveillance systems, surveillance methods (e.g., telephone) and tools (e.g., secured data network (SDN) used.  </w:t>
      </w:r>
    </w:p>
    <w:p w:rsidR="003247E8" w:rsidRPr="00C6650B" w:rsidRDefault="00B97111" w:rsidP="003247E8">
      <w:pPr>
        <w:spacing w:before="240"/>
      </w:pPr>
      <w:r w:rsidRPr="00B97111">
        <w:rPr>
          <w:b/>
        </w:rPr>
        <w:t>Evaluation of Health Communication Messaging</w:t>
      </w:r>
      <w:r w:rsidR="003247E8" w:rsidRPr="00C6650B">
        <w:t xml:space="preserve">: receipt of CDC communications (including </w:t>
      </w:r>
      <w:r w:rsidR="00433120">
        <w:t xml:space="preserve">social media and website </w:t>
      </w:r>
      <w:r w:rsidR="003247E8" w:rsidRPr="00C6650B">
        <w:t xml:space="preserve">messages and guidance) by partners during emergency </w:t>
      </w:r>
      <w:r w:rsidR="00D804CC" w:rsidRPr="00C6650B">
        <w:t>incident</w:t>
      </w:r>
      <w:r w:rsidR="003247E8" w:rsidRPr="00C6650B">
        <w:t>s, helpfulness of messages and guidance, clarity</w:t>
      </w:r>
      <w:r w:rsidR="00433120">
        <w:t>,</w:t>
      </w:r>
      <w:r w:rsidR="00433120" w:rsidRPr="00433120">
        <w:t xml:space="preserve"> </w:t>
      </w:r>
      <w:r w:rsidR="00433120">
        <w:t>special audiences</w:t>
      </w:r>
      <w:r w:rsidR="003247E8" w:rsidRPr="00C6650B">
        <w:t xml:space="preserve"> of messages and guidance, </w:t>
      </w:r>
      <w:r w:rsidR="002B0FA7">
        <w:t xml:space="preserve">timeliness of delivery, </w:t>
      </w:r>
      <w:r w:rsidR="003247E8" w:rsidRPr="00C6650B">
        <w:t xml:space="preserve">how and if messages and guidance were used.  </w:t>
      </w:r>
    </w:p>
    <w:p w:rsidR="00E64624" w:rsidRPr="002B1EDE" w:rsidRDefault="00B97111" w:rsidP="003247E8">
      <w:pPr>
        <w:spacing w:before="240"/>
      </w:pPr>
      <w:r w:rsidRPr="00B97111">
        <w:rPr>
          <w:b/>
        </w:rPr>
        <w:t>Strategic National Stockpile</w:t>
      </w:r>
      <w:r w:rsidRPr="00B97111">
        <w:rPr>
          <w:rStyle w:val="FootnoteReference"/>
          <w:b/>
        </w:rPr>
        <w:footnoteReference w:id="1"/>
      </w:r>
      <w:r w:rsidRPr="00B97111">
        <w:rPr>
          <w:b/>
        </w:rPr>
        <w:t xml:space="preserve"> Materiel</w:t>
      </w:r>
      <w:r w:rsidR="003247E8" w:rsidRPr="00C6650B">
        <w:t>:  types of adverse reactions to countermeasures, number of adverse reactions, number of cases, types of symptoms, Investigational New Drug (IND)</w:t>
      </w:r>
      <w:r w:rsidR="00D47B08">
        <w:t xml:space="preserve"> and Emergency Use Authorization</w:t>
      </w:r>
      <w:r w:rsidR="003247E8" w:rsidRPr="00C6650B">
        <w:t xml:space="preserve"> patient information for hospitalized patients (e.g. laboratory results and medical history), medical countermeasure dashboard activity (e.g., </w:t>
      </w:r>
      <w:r w:rsidR="003247E8" w:rsidRPr="00C6650B">
        <w:lastRenderedPageBreak/>
        <w:t>pharmaceutical and medical supply manufacturers, distributors and retailers), current inventory on hand, disposition of the inventory, how inventory was stored, sub recipients of the materiel (e.g., Indian Health Service, community health centers, local public health departments, other health facilities), which sites were delivered to, how many people received the materiel</w:t>
      </w:r>
      <w:r w:rsidR="000723BE">
        <w:t xml:space="preserve"> and timeliness of delivery from the federal sites down to the local sites</w:t>
      </w:r>
      <w:r w:rsidR="00C458F3" w:rsidRPr="00C6650B">
        <w:t>.</w:t>
      </w:r>
    </w:p>
    <w:p w:rsidR="003067F2" w:rsidRDefault="003067F2" w:rsidP="003067F2">
      <w:pPr>
        <w:spacing w:before="240"/>
      </w:pPr>
      <w:r w:rsidRPr="008A5F90">
        <w:rPr>
          <w:b/>
        </w:rPr>
        <w:t xml:space="preserve">Occupational </w:t>
      </w:r>
      <w:r w:rsidR="00FE7F55">
        <w:rPr>
          <w:b/>
        </w:rPr>
        <w:t>H</w:t>
      </w:r>
      <w:r w:rsidRPr="008A5F90">
        <w:rPr>
          <w:b/>
        </w:rPr>
        <w:t>ealth:</w:t>
      </w:r>
      <w:r>
        <w:t xml:space="preserve"> morbidity and mortality reports, worker base camps issues, characteristics of the workers (e.g.</w:t>
      </w:r>
      <w:r w:rsidR="008166EB">
        <w:t>,</w:t>
      </w:r>
      <w:r>
        <w:t xml:space="preserve"> census, demographics mostly Spanish speaking low literacy etc.)</w:t>
      </w:r>
    </w:p>
    <w:p w:rsidR="00D804CC" w:rsidRPr="00C6650B" w:rsidRDefault="007B3658" w:rsidP="00C75616">
      <w:pPr>
        <w:spacing w:before="240"/>
        <w:rPr>
          <w:b/>
          <w:bCs/>
          <w:sz w:val="28"/>
          <w:szCs w:val="28"/>
        </w:rPr>
      </w:pPr>
      <w:r w:rsidRPr="00C6650B">
        <w:rPr>
          <w:b/>
          <w:bCs/>
          <w:sz w:val="28"/>
          <w:szCs w:val="28"/>
        </w:rPr>
        <w:t>2.</w:t>
      </w:r>
      <w:r w:rsidR="00C75616" w:rsidRPr="00C6650B">
        <w:rPr>
          <w:b/>
          <w:bCs/>
          <w:sz w:val="28"/>
          <w:szCs w:val="28"/>
        </w:rPr>
        <w:t xml:space="preserve">    Purpose and Use of the Information Collection</w:t>
      </w:r>
    </w:p>
    <w:p w:rsidR="00562274" w:rsidRPr="00C6650B" w:rsidRDefault="00C75616" w:rsidP="00C458F3">
      <w:pPr>
        <w:spacing w:before="240"/>
        <w:rPr>
          <w:b/>
          <w:bCs/>
        </w:rPr>
      </w:pPr>
      <w:r w:rsidRPr="00C6650B">
        <w:rPr>
          <w:bCs/>
        </w:rPr>
        <w:t>The purpose of th</w:t>
      </w:r>
      <w:r w:rsidR="00FB7553">
        <w:rPr>
          <w:bCs/>
        </w:rPr>
        <w:t xml:space="preserve">is </w:t>
      </w:r>
      <w:r w:rsidR="007B7CAE">
        <w:rPr>
          <w:bCs/>
        </w:rPr>
        <w:t xml:space="preserve">generic </w:t>
      </w:r>
      <w:r w:rsidR="007B7CAE" w:rsidRPr="00C6650B">
        <w:rPr>
          <w:bCs/>
        </w:rPr>
        <w:t>IC</w:t>
      </w:r>
      <w:r w:rsidR="000A246A">
        <w:rPr>
          <w:bCs/>
        </w:rPr>
        <w:t>R</w:t>
      </w:r>
      <w:r w:rsidRPr="00C6650B">
        <w:rPr>
          <w:bCs/>
        </w:rPr>
        <w:t xml:space="preserve"> will be to create an accurate, reliable knowledge base related to an ongoing public health emergency </w:t>
      </w:r>
      <w:r w:rsidR="00D804CC" w:rsidRPr="00C6650B">
        <w:rPr>
          <w:bCs/>
        </w:rPr>
        <w:t>incident</w:t>
      </w:r>
      <w:r w:rsidRPr="00C6650B">
        <w:rPr>
          <w:bCs/>
        </w:rPr>
        <w:t>, to ensure situation awareness by CDC</w:t>
      </w:r>
      <w:r w:rsidR="002311D2">
        <w:rPr>
          <w:bCs/>
        </w:rPr>
        <w:t>, other federal agencies,</w:t>
      </w:r>
      <w:r w:rsidRPr="00C6650B">
        <w:rPr>
          <w:bCs/>
        </w:rPr>
        <w:t xml:space="preserve"> and state</w:t>
      </w:r>
      <w:r w:rsidR="0025758D">
        <w:rPr>
          <w:bCs/>
        </w:rPr>
        <w:t xml:space="preserve">, local, territorial and tribal </w:t>
      </w:r>
      <w:r w:rsidRPr="00C6650B">
        <w:rPr>
          <w:bCs/>
        </w:rPr>
        <w:t>public health officials, to facilitate communication that will inform appropriate decision making</w:t>
      </w:r>
      <w:r w:rsidR="00C458F3" w:rsidRPr="00C6650B">
        <w:rPr>
          <w:bCs/>
        </w:rPr>
        <w:t>,</w:t>
      </w:r>
      <w:r w:rsidRPr="00C6650B">
        <w:rPr>
          <w:bCs/>
        </w:rPr>
        <w:t xml:space="preserve"> and to execute effective and efficient response activities. Ultimately, information acquired from this process will strengthen the public health communications infrastructure and </w:t>
      </w:r>
      <w:r w:rsidR="00C458F3" w:rsidRPr="00C6650B">
        <w:rPr>
          <w:bCs/>
        </w:rPr>
        <w:t>t</w:t>
      </w:r>
      <w:r w:rsidRPr="00C6650B">
        <w:rPr>
          <w:bCs/>
        </w:rPr>
        <w:t xml:space="preserve">he nation’s ability to respond </w:t>
      </w:r>
      <w:r w:rsidR="00103580" w:rsidRPr="00C6650B">
        <w:rPr>
          <w:bCs/>
        </w:rPr>
        <w:t>to multi</w:t>
      </w:r>
      <w:r w:rsidRPr="00C6650B">
        <w:rPr>
          <w:bCs/>
        </w:rPr>
        <w:t xml:space="preserve">-jurisdictional disease outbreaks, natural disasters, and bioterrorism threats. </w:t>
      </w:r>
      <w:r w:rsidRPr="00C6650B">
        <w:t xml:space="preserve">There are positive </w:t>
      </w:r>
      <w:r w:rsidR="00BF49EA" w:rsidRPr="00C6650B">
        <w:t>ben</w:t>
      </w:r>
      <w:r w:rsidR="00F336F6" w:rsidRPr="00C6650B">
        <w:t>e</w:t>
      </w:r>
      <w:r w:rsidR="00BF49EA" w:rsidRPr="00C6650B">
        <w:t>fits</w:t>
      </w:r>
      <w:r w:rsidRPr="00C6650B">
        <w:t xml:space="preserve"> of collecting the data: </w:t>
      </w:r>
    </w:p>
    <w:p w:rsidR="00642A99" w:rsidRPr="00C6650B" w:rsidRDefault="00642A99" w:rsidP="00642A99">
      <w:pPr>
        <w:spacing w:before="240"/>
      </w:pPr>
      <w:r w:rsidRPr="00C6650B">
        <w:t xml:space="preserve">1)  </w:t>
      </w:r>
      <w:r w:rsidR="00DB4C4D">
        <w:t>Many public health emergencies involve</w:t>
      </w:r>
      <w:r w:rsidRPr="00C6650B">
        <w:t xml:space="preserve"> more than one jurisdiction and uniform data are needed to drive response (e.g., which and how many resources were deployed after a hurricane affected multiple states, clinical symptoms of patients with a novel virus, etc.?) </w:t>
      </w:r>
    </w:p>
    <w:p w:rsidR="00642A99" w:rsidRPr="00C6650B" w:rsidRDefault="00642A99" w:rsidP="00642A99">
      <w:pPr>
        <w:spacing w:before="240"/>
      </w:pPr>
      <w:r w:rsidRPr="00C6650B">
        <w:t xml:space="preserve">2)  Data collected may be of benefit to other </w:t>
      </w:r>
      <w:r w:rsidR="00613644">
        <w:t>a</w:t>
      </w:r>
      <w:r w:rsidRPr="00C6650B">
        <w:t xml:space="preserve">gencies (e.g., Food and Drug Administration).  </w:t>
      </w:r>
    </w:p>
    <w:p w:rsidR="00642A99" w:rsidRPr="00C6650B" w:rsidRDefault="00642A99" w:rsidP="00642A99">
      <w:pPr>
        <w:spacing w:before="240"/>
      </w:pPr>
      <w:r w:rsidRPr="00C6650B">
        <w:t xml:space="preserve">There are negative </w:t>
      </w:r>
      <w:r w:rsidR="00952FCA" w:rsidRPr="00C6650B">
        <w:t xml:space="preserve">public health </w:t>
      </w:r>
      <w:r w:rsidRPr="00C6650B">
        <w:t>consequences of not having the data:</w:t>
      </w:r>
    </w:p>
    <w:p w:rsidR="00642A99" w:rsidRPr="00C6650B" w:rsidRDefault="00642A99" w:rsidP="00642A99">
      <w:pPr>
        <w:spacing w:before="240"/>
      </w:pPr>
      <w:r w:rsidRPr="00C6650B">
        <w:t>1)  A delay in data collection</w:t>
      </w:r>
      <w:r w:rsidR="00463481">
        <w:t xml:space="preserve"> will</w:t>
      </w:r>
      <w:r w:rsidRPr="00C6650B">
        <w:t xml:space="preserve"> result in the loss of information that </w:t>
      </w:r>
      <w:r w:rsidR="00463481">
        <w:t>will</w:t>
      </w:r>
      <w:r w:rsidRPr="00C6650B">
        <w:t xml:space="preserve"> potentially a) compromise CDC’s ability to effectively respond to the emergency,  b) be used to assist with the response or answer </w:t>
      </w:r>
      <w:r w:rsidR="00786B82">
        <w:t>evaluation</w:t>
      </w:r>
      <w:r w:rsidRPr="00C6650B">
        <w:t xml:space="preserve"> questions (e.g., how many and which staff were deployed, what duties were performed, by whom, and when during the response, and what was the impact of their involvement in the response</w:t>
      </w:r>
      <w:r w:rsidR="00C458F3" w:rsidRPr="00C6650B">
        <w:t>?</w:t>
      </w:r>
      <w:r w:rsidRPr="00C6650B">
        <w:t>)</w:t>
      </w:r>
      <w:r w:rsidR="005E7289">
        <w:t xml:space="preserve">, </w:t>
      </w:r>
      <w:r w:rsidRPr="00C6650B">
        <w:t xml:space="preserve"> </w:t>
      </w:r>
      <w:r w:rsidR="005E7289">
        <w:t>c) impair public health efforts to identify and implement lessons learned from the emergency.</w:t>
      </w:r>
    </w:p>
    <w:p w:rsidR="00824BD8" w:rsidRDefault="00263B7B" w:rsidP="00E66420">
      <w:pPr>
        <w:spacing w:before="240"/>
      </w:pPr>
      <w:r>
        <w:t>2</w:t>
      </w:r>
      <w:r w:rsidR="00642A99" w:rsidRPr="00C6650B">
        <w:t xml:space="preserve">) A delay in data collection may significantly inhibit data sharing and coordination across </w:t>
      </w:r>
      <w:r w:rsidR="00786B82">
        <w:t>f</w:t>
      </w:r>
      <w:r w:rsidR="00642A99" w:rsidRPr="00C6650B">
        <w:t xml:space="preserve">ederal, </w:t>
      </w:r>
      <w:r w:rsidR="00786B82">
        <w:t>s</w:t>
      </w:r>
      <w:r w:rsidR="00642A99" w:rsidRPr="00C6650B">
        <w:t xml:space="preserve">tate and local agencies, causing a delay in an emergent response. </w:t>
      </w:r>
    </w:p>
    <w:p w:rsidR="0025758D" w:rsidRDefault="0025758D" w:rsidP="0025758D">
      <w:r w:rsidRPr="00C45666">
        <w:t>CDC will conduct surveys across a range of public health topics using standard questionnaire administration approaches.  CDC is requesting a three-year approval for a generic clearance to assess information related to a myriad of public health emergencies</w:t>
      </w:r>
      <w:r w:rsidR="00463481">
        <w:t xml:space="preserve"> and</w:t>
      </w:r>
      <w:r w:rsidRPr="00C45666">
        <w:t xml:space="preserve"> response issues that affect </w:t>
      </w:r>
      <w:r w:rsidR="00786B82">
        <w:t>s</w:t>
      </w:r>
      <w:r w:rsidRPr="00C45666">
        <w:t xml:space="preserve">tate, </w:t>
      </w:r>
      <w:r w:rsidR="00786B82">
        <w:t>l</w:t>
      </w:r>
      <w:r w:rsidRPr="00C45666">
        <w:t xml:space="preserve">ocal, </w:t>
      </w:r>
      <w:r w:rsidR="00786B82">
        <w:t>t</w:t>
      </w:r>
      <w:r w:rsidRPr="00C45666">
        <w:t xml:space="preserve">erritorial, and </w:t>
      </w:r>
      <w:r w:rsidR="00786B82">
        <w:t>t</w:t>
      </w:r>
      <w:r w:rsidRPr="00C45666">
        <w:t>ribal</w:t>
      </w:r>
      <w:r w:rsidRPr="00C6650B">
        <w:rPr>
          <w:bCs/>
        </w:rPr>
        <w:t xml:space="preserve"> </w:t>
      </w:r>
      <w:r w:rsidRPr="00C45666">
        <w:t xml:space="preserve"> health agencies.</w:t>
      </w:r>
    </w:p>
    <w:p w:rsidR="0025758D" w:rsidRPr="00C45666" w:rsidRDefault="0025758D" w:rsidP="0025758D">
      <w:r w:rsidRPr="00C45666">
        <w:t xml:space="preserve"> </w:t>
      </w:r>
    </w:p>
    <w:p w:rsidR="0025758D" w:rsidRDefault="0025758D" w:rsidP="0025758D">
      <w:r w:rsidRPr="00C45666">
        <w:t xml:space="preserve">Information will be used to assess situational awareness of current public health emergencies, make decisions that will affect planning, response and recovery activities of subsequent emergencies, and fill gaps in knowledge that will strengthen surveillance, epidemiology, and laboratory science; better supporting efforts in states and communities. </w:t>
      </w:r>
    </w:p>
    <w:p w:rsidR="0025758D" w:rsidRPr="00C45666" w:rsidRDefault="0025758D" w:rsidP="0025758D"/>
    <w:p w:rsidR="0025758D" w:rsidRPr="00C45666" w:rsidRDefault="0025758D" w:rsidP="0025758D">
      <w:pPr>
        <w:pStyle w:val="CommentText"/>
        <w:rPr>
          <w:sz w:val="24"/>
          <w:szCs w:val="24"/>
        </w:rPr>
      </w:pPr>
      <w:r w:rsidRPr="00C45666">
        <w:rPr>
          <w:sz w:val="24"/>
          <w:szCs w:val="24"/>
        </w:rPr>
        <w:t>Respondent universe is comprised of state, tribal, local and territorial governmental officials/employees that are employed by an agency involved in provision of public health services in the United States</w:t>
      </w:r>
      <w:r w:rsidR="00E80BD3">
        <w:rPr>
          <w:sz w:val="24"/>
          <w:szCs w:val="24"/>
        </w:rPr>
        <w:t>.</w:t>
      </w:r>
      <w:r w:rsidRPr="00C45666">
        <w:rPr>
          <w:sz w:val="24"/>
          <w:szCs w:val="24"/>
        </w:rPr>
        <w:t xml:space="preserve"> That agency is represented by local, state, tribal or territorial health departments or any governmental entity with primary mission to improve public health.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The scope of data collection is limited to responsibilities and duties of governmental employees acting in their official capacity. </w:t>
      </w:r>
      <w:r w:rsidR="00677DF2" w:rsidRPr="00C45666">
        <w:rPr>
          <w:sz w:val="24"/>
          <w:szCs w:val="24"/>
        </w:rPr>
        <w:t>Thus individual d</w:t>
      </w:r>
      <w:r w:rsidR="00677DF2">
        <w:rPr>
          <w:sz w:val="24"/>
          <w:szCs w:val="24"/>
        </w:rPr>
        <w:t>ata collections that require</w:t>
      </w:r>
      <w:r w:rsidR="00F1593F">
        <w:rPr>
          <w:sz w:val="24"/>
          <w:szCs w:val="24"/>
        </w:rPr>
        <w:t xml:space="preserve"> review by </w:t>
      </w:r>
      <w:r w:rsidR="002C214B">
        <w:rPr>
          <w:sz w:val="24"/>
          <w:szCs w:val="24"/>
        </w:rPr>
        <w:t>an</w:t>
      </w:r>
      <w:r w:rsidR="00FE6897">
        <w:rPr>
          <w:sz w:val="24"/>
          <w:szCs w:val="24"/>
        </w:rPr>
        <w:t xml:space="preserve"> I</w:t>
      </w:r>
      <w:r w:rsidR="00677DF2">
        <w:rPr>
          <w:sz w:val="24"/>
          <w:szCs w:val="24"/>
        </w:rPr>
        <w:t>nstitutional</w:t>
      </w:r>
      <w:r w:rsidR="00FE6897">
        <w:rPr>
          <w:sz w:val="24"/>
          <w:szCs w:val="24"/>
        </w:rPr>
        <w:t xml:space="preserve"> Review B</w:t>
      </w:r>
      <w:r w:rsidR="00F1593F">
        <w:rPr>
          <w:sz w:val="24"/>
          <w:szCs w:val="24"/>
        </w:rPr>
        <w:t>oard</w:t>
      </w:r>
      <w:r w:rsidR="00E86BB5">
        <w:rPr>
          <w:sz w:val="24"/>
          <w:szCs w:val="24"/>
        </w:rPr>
        <w:t xml:space="preserve"> (IRB)</w:t>
      </w:r>
      <w:r w:rsidRPr="00C45666">
        <w:rPr>
          <w:sz w:val="24"/>
          <w:szCs w:val="24"/>
        </w:rPr>
        <w:t xml:space="preserve"> are not covered. OMB will decline individual data collection requests if it includes respondents that are governmental employees with official duties other than public health.</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The collection will include the following categories </w:t>
      </w:r>
      <w:r w:rsidR="007B7CAE" w:rsidRPr="00C45666">
        <w:rPr>
          <w:sz w:val="24"/>
          <w:szCs w:val="24"/>
        </w:rPr>
        <w:t>of governmental</w:t>
      </w:r>
      <w:r w:rsidRPr="00C45666">
        <w:rPr>
          <w:sz w:val="24"/>
          <w:szCs w:val="24"/>
        </w:rPr>
        <w:t xml:space="preserve"> officials: 1) </w:t>
      </w:r>
      <w:r w:rsidR="007C1D5A">
        <w:rPr>
          <w:sz w:val="24"/>
          <w:szCs w:val="24"/>
        </w:rPr>
        <w:t>s</w:t>
      </w:r>
      <w:r w:rsidRPr="00C45666">
        <w:rPr>
          <w:sz w:val="24"/>
          <w:szCs w:val="24"/>
        </w:rPr>
        <w:t xml:space="preserve">tate, </w:t>
      </w:r>
      <w:r w:rsidR="007C1D5A">
        <w:rPr>
          <w:sz w:val="24"/>
          <w:szCs w:val="24"/>
        </w:rPr>
        <w:t>t</w:t>
      </w:r>
      <w:r w:rsidRPr="00C45666">
        <w:rPr>
          <w:sz w:val="24"/>
          <w:szCs w:val="24"/>
        </w:rPr>
        <w:t xml:space="preserve">erritorial, </w:t>
      </w:r>
      <w:r w:rsidR="007C1D5A">
        <w:rPr>
          <w:sz w:val="24"/>
          <w:szCs w:val="24"/>
        </w:rPr>
        <w:t>l</w:t>
      </w:r>
      <w:r w:rsidRPr="00C45666">
        <w:rPr>
          <w:sz w:val="24"/>
          <w:szCs w:val="24"/>
        </w:rPr>
        <w:t xml:space="preserve">ocal, or </w:t>
      </w:r>
      <w:r w:rsidR="007C1D5A">
        <w:rPr>
          <w:sz w:val="24"/>
          <w:szCs w:val="24"/>
        </w:rPr>
        <w:t>t</w:t>
      </w:r>
      <w:r w:rsidRPr="00C45666">
        <w:rPr>
          <w:sz w:val="24"/>
          <w:szCs w:val="24"/>
        </w:rPr>
        <w:t xml:space="preserve">ribal </w:t>
      </w:r>
      <w:r w:rsidR="00480BA6">
        <w:rPr>
          <w:sz w:val="24"/>
          <w:szCs w:val="24"/>
        </w:rPr>
        <w:t xml:space="preserve">public health </w:t>
      </w:r>
      <w:r w:rsidR="007C1D5A">
        <w:rPr>
          <w:sz w:val="24"/>
          <w:szCs w:val="24"/>
        </w:rPr>
        <w:t>o</w:t>
      </w:r>
      <w:r w:rsidRPr="00C45666">
        <w:rPr>
          <w:sz w:val="24"/>
          <w:szCs w:val="24"/>
        </w:rPr>
        <w:t>fficials/</w:t>
      </w:r>
      <w:r w:rsidR="007C1D5A">
        <w:rPr>
          <w:sz w:val="24"/>
          <w:szCs w:val="24"/>
        </w:rPr>
        <w:t>e</w:t>
      </w:r>
      <w:r w:rsidRPr="00C45666">
        <w:rPr>
          <w:sz w:val="24"/>
          <w:szCs w:val="24"/>
        </w:rPr>
        <w:t xml:space="preserve">mployees; 2) </w:t>
      </w:r>
      <w:r w:rsidR="007C1D5A">
        <w:rPr>
          <w:sz w:val="24"/>
          <w:szCs w:val="24"/>
        </w:rPr>
        <w:t>m</w:t>
      </w:r>
      <w:r w:rsidRPr="00C45666">
        <w:rPr>
          <w:sz w:val="24"/>
          <w:szCs w:val="24"/>
        </w:rPr>
        <w:t>unicipal/</w:t>
      </w:r>
      <w:r w:rsidR="007C1D5A">
        <w:rPr>
          <w:sz w:val="24"/>
          <w:szCs w:val="24"/>
        </w:rPr>
        <w:t>c</w:t>
      </w:r>
      <w:r w:rsidRPr="00C45666">
        <w:rPr>
          <w:sz w:val="24"/>
          <w:szCs w:val="24"/>
        </w:rPr>
        <w:t xml:space="preserve">ity </w:t>
      </w:r>
      <w:r w:rsidR="00480BA6">
        <w:rPr>
          <w:sz w:val="24"/>
          <w:szCs w:val="24"/>
        </w:rPr>
        <w:t xml:space="preserve">public health </w:t>
      </w:r>
      <w:r w:rsidR="007C1D5A">
        <w:rPr>
          <w:sz w:val="24"/>
          <w:szCs w:val="24"/>
        </w:rPr>
        <w:t>e</w:t>
      </w:r>
      <w:r w:rsidRPr="00C45666">
        <w:rPr>
          <w:sz w:val="24"/>
          <w:szCs w:val="24"/>
        </w:rPr>
        <w:t xml:space="preserve">mployees.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State, territorial and tribal health officers are in a unique position to provide CDC information on jurisdiction’s public health threats, status of public health infrastructure work force and financing at state, </w:t>
      </w:r>
      <w:r>
        <w:rPr>
          <w:sz w:val="24"/>
          <w:szCs w:val="24"/>
        </w:rPr>
        <w:t xml:space="preserve">local, </w:t>
      </w:r>
      <w:r w:rsidRPr="00C45666">
        <w:rPr>
          <w:sz w:val="24"/>
          <w:szCs w:val="24"/>
        </w:rPr>
        <w:t>territorial and tribal level. For that reason CDC will survey that category if, for example, the assessment of the magnitude of a particular public health problem is needed (surveillance), or when evaluation of the jurisdiction’s capacity to respond to a particular health problem (assessment and performance management) is warranted</w:t>
      </w:r>
      <w:r w:rsidR="00E80BD3">
        <w:rPr>
          <w:sz w:val="24"/>
          <w:szCs w:val="24"/>
        </w:rPr>
        <w:t>.</w:t>
      </w:r>
      <w:r w:rsidRPr="00C45666">
        <w:rPr>
          <w:sz w:val="24"/>
          <w:szCs w:val="24"/>
        </w:rPr>
        <w:t xml:space="preserve">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County and municipal/city </w:t>
      </w:r>
      <w:r w:rsidR="00480BA6">
        <w:rPr>
          <w:sz w:val="24"/>
          <w:szCs w:val="24"/>
        </w:rPr>
        <w:t xml:space="preserve">public </w:t>
      </w:r>
      <w:r w:rsidRPr="00C45666">
        <w:rPr>
          <w:sz w:val="24"/>
          <w:szCs w:val="24"/>
        </w:rPr>
        <w:t>health employees are at the forefront of public health service delivery and emergency response. Examples of surveys for that category may include, but not be limited to assessment of their performance in provision of public health services</w:t>
      </w:r>
      <w:r w:rsidR="003D58E9">
        <w:rPr>
          <w:sz w:val="24"/>
          <w:szCs w:val="24"/>
        </w:rPr>
        <w:t xml:space="preserve">. </w:t>
      </w:r>
      <w:r w:rsidRPr="00C45666">
        <w:rPr>
          <w:sz w:val="24"/>
          <w:szCs w:val="24"/>
        </w:rPr>
        <w:t xml:space="preserve">  .  </w:t>
      </w:r>
    </w:p>
    <w:p w:rsidR="0025758D" w:rsidRPr="00C45666" w:rsidRDefault="0025758D" w:rsidP="0025758D">
      <w:pPr>
        <w:pStyle w:val="CommentText"/>
        <w:rPr>
          <w:sz w:val="24"/>
          <w:szCs w:val="24"/>
        </w:rPr>
      </w:pPr>
    </w:p>
    <w:p w:rsidR="0025758D" w:rsidRPr="00C45666" w:rsidRDefault="0025758D" w:rsidP="0025758D">
      <w:pPr>
        <w:pStyle w:val="CommentText"/>
        <w:rPr>
          <w:sz w:val="24"/>
          <w:szCs w:val="24"/>
        </w:rPr>
      </w:pPr>
      <w:r w:rsidRPr="00C45666">
        <w:rPr>
          <w:sz w:val="24"/>
          <w:szCs w:val="24"/>
        </w:rPr>
        <w:t xml:space="preserve">In general, </w:t>
      </w:r>
      <w:r w:rsidR="00E80BD3">
        <w:rPr>
          <w:sz w:val="24"/>
          <w:szCs w:val="24"/>
        </w:rPr>
        <w:t>CDC</w:t>
      </w:r>
      <w:r w:rsidRPr="00C45666">
        <w:rPr>
          <w:sz w:val="24"/>
          <w:szCs w:val="24"/>
        </w:rPr>
        <w:t xml:space="preserve"> expect</w:t>
      </w:r>
      <w:r w:rsidR="00E80BD3">
        <w:rPr>
          <w:sz w:val="24"/>
          <w:szCs w:val="24"/>
        </w:rPr>
        <w:t>s</w:t>
      </w:r>
      <w:r w:rsidRPr="00C45666">
        <w:rPr>
          <w:sz w:val="24"/>
          <w:szCs w:val="24"/>
        </w:rPr>
        <w:t xml:space="preserve"> that these collections</w:t>
      </w:r>
      <w:r w:rsidR="00C54520">
        <w:rPr>
          <w:sz w:val="24"/>
          <w:szCs w:val="24"/>
        </w:rPr>
        <w:t xml:space="preserve"> will be solicited from either </w:t>
      </w:r>
      <w:r w:rsidRPr="00C45666">
        <w:rPr>
          <w:sz w:val="24"/>
          <w:szCs w:val="24"/>
        </w:rPr>
        <w:t xml:space="preserve">officials/employees in a </w:t>
      </w:r>
      <w:r w:rsidR="00F31D54">
        <w:rPr>
          <w:sz w:val="24"/>
          <w:szCs w:val="24"/>
        </w:rPr>
        <w:t xml:space="preserve">particular </w:t>
      </w:r>
      <w:r w:rsidRPr="00C45666">
        <w:rPr>
          <w:sz w:val="24"/>
          <w:szCs w:val="24"/>
        </w:rPr>
        <w:t>category (e.g.</w:t>
      </w:r>
      <w:r w:rsidR="004C1162" w:rsidRPr="00C45666">
        <w:rPr>
          <w:sz w:val="24"/>
          <w:szCs w:val="24"/>
        </w:rPr>
        <w:t>, epidemiologists</w:t>
      </w:r>
      <w:r w:rsidRPr="00C45666">
        <w:rPr>
          <w:sz w:val="24"/>
          <w:szCs w:val="24"/>
        </w:rPr>
        <w:t xml:space="preserve">, </w:t>
      </w:r>
      <w:r w:rsidR="00F31D54">
        <w:rPr>
          <w:sz w:val="24"/>
          <w:szCs w:val="24"/>
        </w:rPr>
        <w:t xml:space="preserve">public health preparedness and response staff, etc., </w:t>
      </w:r>
      <w:r w:rsidRPr="00C45666">
        <w:rPr>
          <w:sz w:val="24"/>
          <w:szCs w:val="24"/>
        </w:rPr>
        <w:t xml:space="preserve">or to the geographic subset of professional officials/employees for which a particular health </w:t>
      </w:r>
      <w:r>
        <w:rPr>
          <w:sz w:val="24"/>
          <w:szCs w:val="24"/>
        </w:rPr>
        <w:t>emergency</w:t>
      </w:r>
      <w:r w:rsidRPr="00C45666">
        <w:rPr>
          <w:sz w:val="24"/>
          <w:szCs w:val="24"/>
        </w:rPr>
        <w:t xml:space="preserve"> was thought to be relevant (e.g., all county health employees whose counties had been affected by a disease outbreak).   This collection of information will employ statistical methods for data collection as described in section B.  </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pPr>
      <w:r w:rsidRPr="00C45666">
        <w:t xml:space="preserve">Surveys will be organized for the purpose of gathering information on administration, quality, quantity, improvement, inputs, activities, outputs, and outcomes related to delivery of public health services.  </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pPr>
      <w:r w:rsidRPr="00C45666">
        <w:t xml:space="preserve">Specific questions will be formulated around one or more of the three themes of </w:t>
      </w:r>
      <w:r w:rsidRPr="00C45666">
        <w:rPr>
          <w:bCs/>
        </w:rPr>
        <w:t>the ten essential public health services listed below:</w:t>
      </w:r>
    </w:p>
    <w:p w:rsidR="0025758D" w:rsidRPr="00C45666" w:rsidRDefault="0025758D" w:rsidP="0025758D">
      <w:pPr>
        <w:autoSpaceDE w:val="0"/>
        <w:autoSpaceDN w:val="0"/>
        <w:adjustRightInd w:val="0"/>
        <w:ind w:left="360"/>
        <w:outlineLvl w:val="0"/>
      </w:pPr>
      <w:bookmarkStart w:id="7" w:name="_Toc379453699"/>
      <w:r w:rsidRPr="00C45666">
        <w:t>Assessment:</w:t>
      </w:r>
      <w:bookmarkEnd w:id="7"/>
      <w:r w:rsidRPr="00C45666">
        <w:t xml:space="preserve"> </w:t>
      </w:r>
    </w:p>
    <w:p w:rsidR="0025758D" w:rsidRPr="00C45666" w:rsidRDefault="0025758D" w:rsidP="0025758D">
      <w:pPr>
        <w:pStyle w:val="ListParagraph"/>
        <w:numPr>
          <w:ilvl w:val="0"/>
          <w:numId w:val="25"/>
        </w:numPr>
        <w:autoSpaceDE w:val="0"/>
        <w:autoSpaceDN w:val="0"/>
        <w:adjustRightInd w:val="0"/>
        <w:outlineLvl w:val="0"/>
      </w:pPr>
      <w:bookmarkStart w:id="8" w:name="_Toc379453700"/>
      <w:r w:rsidRPr="00C45666">
        <w:t>Monitoring health status to identify community health problems</w:t>
      </w:r>
      <w:r w:rsidR="00480BA6">
        <w:t xml:space="preserve"> during a public health emergency</w:t>
      </w:r>
      <w:bookmarkEnd w:id="8"/>
    </w:p>
    <w:p w:rsidR="0025758D" w:rsidRPr="00C45666" w:rsidRDefault="0025758D" w:rsidP="0025758D">
      <w:pPr>
        <w:pStyle w:val="ListParagraph"/>
        <w:numPr>
          <w:ilvl w:val="0"/>
          <w:numId w:val="25"/>
        </w:numPr>
        <w:autoSpaceDE w:val="0"/>
        <w:autoSpaceDN w:val="0"/>
        <w:adjustRightInd w:val="0"/>
      </w:pPr>
      <w:r w:rsidRPr="00C45666">
        <w:t>Diagnosing and  investigating  health problems and health hazards in the community</w:t>
      </w:r>
      <w:r w:rsidR="00480BA6">
        <w:t xml:space="preserve"> during a public health emergency</w:t>
      </w:r>
    </w:p>
    <w:p w:rsidR="0025758D" w:rsidRPr="00C45666" w:rsidRDefault="0025758D" w:rsidP="0025758D">
      <w:pPr>
        <w:pStyle w:val="ListParagraph"/>
        <w:numPr>
          <w:ilvl w:val="0"/>
          <w:numId w:val="25"/>
        </w:numPr>
        <w:autoSpaceDE w:val="0"/>
        <w:autoSpaceDN w:val="0"/>
        <w:adjustRightInd w:val="0"/>
      </w:pPr>
      <w:r w:rsidRPr="00C45666">
        <w:lastRenderedPageBreak/>
        <w:t>Evaluating effectiveness, accessibility, and quality of personal and population-based health services</w:t>
      </w:r>
      <w:r w:rsidR="00480BA6">
        <w:t xml:space="preserve"> during a public health emergency</w:t>
      </w:r>
    </w:p>
    <w:p w:rsidR="0025758D" w:rsidRPr="00C45666" w:rsidRDefault="0025758D" w:rsidP="0025758D">
      <w:pPr>
        <w:autoSpaceDE w:val="0"/>
        <w:autoSpaceDN w:val="0"/>
        <w:adjustRightInd w:val="0"/>
        <w:ind w:left="360"/>
      </w:pPr>
    </w:p>
    <w:p w:rsidR="00C06DF4" w:rsidRDefault="00C06DF4" w:rsidP="0025758D">
      <w:pPr>
        <w:autoSpaceDE w:val="0"/>
        <w:autoSpaceDN w:val="0"/>
        <w:adjustRightInd w:val="0"/>
        <w:ind w:left="360"/>
        <w:outlineLvl w:val="0"/>
      </w:pPr>
    </w:p>
    <w:p w:rsidR="0025758D" w:rsidRPr="00C45666" w:rsidRDefault="0025758D" w:rsidP="0025758D">
      <w:pPr>
        <w:autoSpaceDE w:val="0"/>
        <w:autoSpaceDN w:val="0"/>
        <w:adjustRightInd w:val="0"/>
        <w:ind w:left="360"/>
        <w:outlineLvl w:val="0"/>
      </w:pPr>
      <w:bookmarkStart w:id="9" w:name="_Toc379453701"/>
      <w:r w:rsidRPr="00C45666">
        <w:t>Policy Development:</w:t>
      </w:r>
      <w:bookmarkEnd w:id="9"/>
    </w:p>
    <w:p w:rsidR="0025758D" w:rsidRPr="00C45666" w:rsidRDefault="0025758D" w:rsidP="0025758D">
      <w:pPr>
        <w:pStyle w:val="ListParagraph"/>
        <w:numPr>
          <w:ilvl w:val="0"/>
          <w:numId w:val="26"/>
        </w:numPr>
        <w:autoSpaceDE w:val="0"/>
        <w:autoSpaceDN w:val="0"/>
        <w:adjustRightInd w:val="0"/>
      </w:pPr>
      <w:r w:rsidRPr="00C45666">
        <w:t>Development of policies and plans that support individual and community health efforts</w:t>
      </w:r>
      <w:r w:rsidR="00480BA6" w:rsidRPr="00480BA6">
        <w:t xml:space="preserve"> </w:t>
      </w:r>
      <w:r w:rsidR="00480BA6">
        <w:t>during a public health emergency</w:t>
      </w:r>
    </w:p>
    <w:p w:rsidR="0025758D" w:rsidRPr="00C45666" w:rsidRDefault="0025758D" w:rsidP="0025758D">
      <w:pPr>
        <w:pStyle w:val="ListParagraph"/>
        <w:numPr>
          <w:ilvl w:val="0"/>
          <w:numId w:val="26"/>
        </w:numPr>
        <w:autoSpaceDE w:val="0"/>
        <w:autoSpaceDN w:val="0"/>
        <w:adjustRightInd w:val="0"/>
      </w:pPr>
      <w:r w:rsidRPr="00C45666">
        <w:t>Enforcement of laws and regulations that protect health and ensure safety</w:t>
      </w:r>
      <w:r w:rsidR="00480BA6">
        <w:t xml:space="preserve"> during a public health emergency</w:t>
      </w:r>
      <w:r w:rsidRPr="00C45666">
        <w:t>.</w:t>
      </w:r>
    </w:p>
    <w:p w:rsidR="0025758D" w:rsidRPr="00C45666" w:rsidRDefault="0025758D" w:rsidP="0025758D">
      <w:pPr>
        <w:pStyle w:val="ListParagraph"/>
        <w:numPr>
          <w:ilvl w:val="0"/>
          <w:numId w:val="26"/>
        </w:numPr>
        <w:autoSpaceDE w:val="0"/>
        <w:autoSpaceDN w:val="0"/>
        <w:adjustRightInd w:val="0"/>
      </w:pPr>
      <w:r w:rsidRPr="00C45666">
        <w:t>Research for new insights and innovative solutions to health problems</w:t>
      </w:r>
      <w:r w:rsidR="00480BA6" w:rsidRPr="00480BA6">
        <w:t xml:space="preserve"> </w:t>
      </w:r>
      <w:r w:rsidR="00480BA6">
        <w:t>during a public health emergency</w:t>
      </w:r>
    </w:p>
    <w:p w:rsidR="0025758D" w:rsidRPr="00C45666" w:rsidRDefault="0025758D" w:rsidP="0025758D">
      <w:pPr>
        <w:autoSpaceDE w:val="0"/>
        <w:autoSpaceDN w:val="0"/>
        <w:adjustRightInd w:val="0"/>
      </w:pPr>
    </w:p>
    <w:p w:rsidR="0025758D" w:rsidRPr="00C45666" w:rsidRDefault="0025758D" w:rsidP="0025758D">
      <w:pPr>
        <w:autoSpaceDE w:val="0"/>
        <w:autoSpaceDN w:val="0"/>
        <w:adjustRightInd w:val="0"/>
        <w:ind w:left="360"/>
        <w:outlineLvl w:val="0"/>
      </w:pPr>
      <w:bookmarkStart w:id="10" w:name="_Toc379453702"/>
      <w:r w:rsidRPr="00C45666">
        <w:t>Assurance:</w:t>
      </w:r>
      <w:bookmarkEnd w:id="10"/>
      <w:r w:rsidRPr="00C45666">
        <w:t xml:space="preserve"> </w:t>
      </w:r>
    </w:p>
    <w:p w:rsidR="0025758D" w:rsidRPr="00C45666" w:rsidRDefault="0025758D" w:rsidP="0025758D">
      <w:pPr>
        <w:pStyle w:val="ListParagraph"/>
        <w:numPr>
          <w:ilvl w:val="0"/>
          <w:numId w:val="28"/>
        </w:numPr>
        <w:autoSpaceDE w:val="0"/>
        <w:autoSpaceDN w:val="0"/>
        <w:adjustRightInd w:val="0"/>
        <w:outlineLvl w:val="0"/>
      </w:pPr>
      <w:bookmarkStart w:id="11" w:name="_Toc379453703"/>
      <w:r w:rsidRPr="00C45666">
        <w:t>Linking people to needed personal health services and assure the provision of health care when otherwise unavailable</w:t>
      </w:r>
      <w:r w:rsidR="00480BA6" w:rsidRPr="00480BA6">
        <w:t xml:space="preserve"> </w:t>
      </w:r>
      <w:r w:rsidR="00480BA6">
        <w:t>during a public health emergency</w:t>
      </w:r>
      <w:bookmarkEnd w:id="11"/>
    </w:p>
    <w:p w:rsidR="0025758D" w:rsidRPr="00C45666" w:rsidRDefault="0025758D" w:rsidP="0025758D">
      <w:pPr>
        <w:pStyle w:val="ListParagraph"/>
        <w:numPr>
          <w:ilvl w:val="0"/>
          <w:numId w:val="27"/>
        </w:numPr>
        <w:autoSpaceDE w:val="0"/>
        <w:autoSpaceDN w:val="0"/>
        <w:adjustRightInd w:val="0"/>
      </w:pPr>
      <w:r w:rsidRPr="00C45666">
        <w:t>Assuring a competent public health and personal health care workforce</w:t>
      </w:r>
      <w:r w:rsidR="00480BA6" w:rsidRPr="00480BA6">
        <w:t xml:space="preserve"> </w:t>
      </w:r>
      <w:r w:rsidR="00480BA6">
        <w:t>during a public health emergency</w:t>
      </w:r>
    </w:p>
    <w:p w:rsidR="0025758D" w:rsidRPr="00C45666" w:rsidRDefault="0025758D" w:rsidP="0025758D">
      <w:pPr>
        <w:pStyle w:val="ListParagraph"/>
        <w:numPr>
          <w:ilvl w:val="0"/>
          <w:numId w:val="27"/>
        </w:numPr>
        <w:autoSpaceDE w:val="0"/>
        <w:autoSpaceDN w:val="0"/>
        <w:adjustRightInd w:val="0"/>
      </w:pPr>
      <w:r w:rsidRPr="00C45666">
        <w:t>Informing, educating, and empowering  people about health issues</w:t>
      </w:r>
      <w:r w:rsidR="00480BA6" w:rsidRPr="00480BA6">
        <w:t xml:space="preserve"> </w:t>
      </w:r>
      <w:r w:rsidR="00480BA6">
        <w:t>during a public health emergency</w:t>
      </w:r>
    </w:p>
    <w:p w:rsidR="0025758D" w:rsidRPr="00C45666" w:rsidRDefault="0025758D" w:rsidP="0025758D">
      <w:pPr>
        <w:pStyle w:val="ListParagraph"/>
        <w:numPr>
          <w:ilvl w:val="0"/>
          <w:numId w:val="27"/>
        </w:numPr>
        <w:autoSpaceDE w:val="0"/>
        <w:autoSpaceDN w:val="0"/>
        <w:adjustRightInd w:val="0"/>
      </w:pPr>
      <w:r w:rsidRPr="00C45666">
        <w:t>Mobilizing community partnerships to identify and solve health problems</w:t>
      </w:r>
      <w:r w:rsidR="00480BA6" w:rsidRPr="00480BA6">
        <w:t xml:space="preserve"> </w:t>
      </w:r>
      <w:r w:rsidR="00480BA6">
        <w:t>during a public health emergency</w:t>
      </w:r>
    </w:p>
    <w:p w:rsidR="0025758D" w:rsidRPr="00C45666" w:rsidRDefault="0025758D" w:rsidP="0025758D">
      <w:pPr>
        <w:autoSpaceDE w:val="0"/>
        <w:autoSpaceDN w:val="0"/>
        <w:adjustRightInd w:val="0"/>
      </w:pPr>
    </w:p>
    <w:p w:rsidR="0025758D" w:rsidRPr="00C45666" w:rsidRDefault="0025758D" w:rsidP="0025758D">
      <w:pPr>
        <w:spacing w:before="100" w:beforeAutospacing="1" w:after="100" w:afterAutospacing="1"/>
      </w:pPr>
      <w:r w:rsidRPr="00C45666">
        <w:t>In general, CDC does not expect these collections to yield data that can be generalized, but will produce needed information regarding important health topics that affect state and local public health emergency issues.  CDC expects to use these findings to understand better the range of experiences among state, local, tribal, and territorial governmental  officials/employees and as one of many inputs into decision making.</w:t>
      </w:r>
    </w:p>
    <w:p w:rsidR="0025758D" w:rsidRPr="00C45666" w:rsidRDefault="0025758D" w:rsidP="0025758D">
      <w:r w:rsidRPr="00C45666">
        <w:t>CDC will submit the specific information collec</w:t>
      </w:r>
      <w:r w:rsidR="00D35D9B">
        <w:t>tions</w:t>
      </w:r>
      <w:r w:rsidRPr="00C45666">
        <w:t xml:space="preserve"> to OMB for review as individu</w:t>
      </w:r>
      <w:r w:rsidR="00C24240">
        <w:t xml:space="preserve">al </w:t>
      </w:r>
      <w:r w:rsidR="00C42778">
        <w:t>collections (</w:t>
      </w:r>
      <w:r w:rsidR="00C24240">
        <w:t>IC</w:t>
      </w:r>
      <w:r w:rsidR="00C42778">
        <w:t>)</w:t>
      </w:r>
      <w:r w:rsidR="00483598">
        <w:t xml:space="preserve"> under this </w:t>
      </w:r>
      <w:r w:rsidR="004F0B21">
        <w:t>g</w:t>
      </w:r>
      <w:r w:rsidRPr="00C45666">
        <w:t>eneric clearance framework. Individual submissions will include the purpose of the collection, a description of sample (e.g., all 50 states or some sample), the target respondent (e.g., food safety officer), the questions to be asked, and the response burden.  These specific information collections will be included in the PRA public docket prior to their use. OMB will review and approve an individual IC in an expedited manner. However, if the specific information collection falls outside the scope of the generic clearance or is otherwise inconsistent with the terms of the generic clearance, OMB will return the proposed information collection to the agency for additional consideration or require that the full PRA process be followed, including public notice and comment, for the review and approval</w:t>
      </w:r>
      <w:r w:rsidR="00480BA6">
        <w:t>.</w:t>
      </w:r>
    </w:p>
    <w:p w:rsidR="00B64798" w:rsidRPr="006D5827" w:rsidRDefault="0025758D" w:rsidP="00642A99">
      <w:r w:rsidRPr="00C45666">
        <w:t xml:space="preserve">  </w:t>
      </w:r>
    </w:p>
    <w:p w:rsidR="00B45CB6" w:rsidRDefault="00B45CB6" w:rsidP="00642A99">
      <w:pPr>
        <w:rPr>
          <w:i/>
          <w:u w:val="single"/>
        </w:rPr>
      </w:pPr>
    </w:p>
    <w:p w:rsidR="00642A99" w:rsidRPr="00CC46FD" w:rsidRDefault="00245F2B" w:rsidP="00642A99">
      <w:pPr>
        <w:rPr>
          <w:i/>
          <w:u w:val="single"/>
        </w:rPr>
      </w:pPr>
      <w:r w:rsidRPr="00717DE8">
        <w:rPr>
          <w:i/>
          <w:u w:val="single"/>
        </w:rPr>
        <w:t>Privacy Impact Assessment Information</w:t>
      </w:r>
      <w:r w:rsidRPr="00245F2B">
        <w:rPr>
          <w:i/>
          <w:u w:val="single"/>
        </w:rPr>
        <w:t xml:space="preserve">   </w:t>
      </w:r>
    </w:p>
    <w:p w:rsidR="00642A99" w:rsidRPr="00C6650B" w:rsidRDefault="00642A99" w:rsidP="00642A99">
      <w:pPr>
        <w:spacing w:before="240"/>
      </w:pPr>
      <w:r w:rsidRPr="00C6650B">
        <w:t>The information is being collected to provide CDC with information for all-hazards public health emergencies</w:t>
      </w:r>
      <w:r w:rsidR="00BC0104" w:rsidRPr="00C6650B">
        <w:t>.</w:t>
      </w:r>
      <w:r w:rsidRPr="00C6650B">
        <w:t xml:space="preserve"> The information may be used to provide answers to the following questions:</w:t>
      </w:r>
    </w:p>
    <w:p w:rsidR="00642A99" w:rsidRPr="00C6650B" w:rsidRDefault="00642A99" w:rsidP="00B73724">
      <w:pPr>
        <w:numPr>
          <w:ilvl w:val="0"/>
          <w:numId w:val="8"/>
        </w:numPr>
        <w:tabs>
          <w:tab w:val="clear" w:pos="780"/>
          <w:tab w:val="num" w:pos="420"/>
        </w:tabs>
        <w:spacing w:before="240"/>
      </w:pPr>
      <w:r w:rsidRPr="00C6650B">
        <w:lastRenderedPageBreak/>
        <w:t xml:space="preserve">How are public </w:t>
      </w:r>
      <w:proofErr w:type="gramStart"/>
      <w:r w:rsidRPr="00C6650B">
        <w:t>health</w:t>
      </w:r>
      <w:proofErr w:type="gramEnd"/>
      <w:r w:rsidRPr="00C6650B">
        <w:t xml:space="preserve"> emergencies coordinated and handled by the state, local government, tribal and territorial governments?</w:t>
      </w:r>
    </w:p>
    <w:p w:rsidR="00642A99" w:rsidRPr="00C6650B" w:rsidRDefault="00642A99" w:rsidP="00B73724">
      <w:pPr>
        <w:numPr>
          <w:ilvl w:val="0"/>
          <w:numId w:val="8"/>
        </w:numPr>
        <w:tabs>
          <w:tab w:val="clear" w:pos="780"/>
          <w:tab w:val="num" w:pos="420"/>
        </w:tabs>
        <w:spacing w:before="240"/>
      </w:pPr>
      <w:r w:rsidRPr="00C6650B">
        <w:t xml:space="preserve">Are the Strategic National Stockpile assets being deployed in a reasonable period of time following a public health emergency? </w:t>
      </w:r>
      <w:r w:rsidR="00206273">
        <w:t>Are follow-on assets needed based on amount of countermeasures currently on hand?</w:t>
      </w:r>
    </w:p>
    <w:p w:rsidR="00642A99" w:rsidRPr="00C6650B" w:rsidRDefault="00642A99" w:rsidP="00B73724">
      <w:pPr>
        <w:numPr>
          <w:ilvl w:val="0"/>
          <w:numId w:val="8"/>
        </w:numPr>
        <w:tabs>
          <w:tab w:val="clear" w:pos="780"/>
          <w:tab w:val="num" w:pos="420"/>
        </w:tabs>
        <w:spacing w:before="240"/>
      </w:pPr>
      <w:r w:rsidRPr="00C6650B">
        <w:t xml:space="preserve">From a public health systems perspective, how are the entities involved working together to improve recovery and response during a public health emergency?  </w:t>
      </w:r>
    </w:p>
    <w:p w:rsidR="00642A99" w:rsidRPr="00C6650B" w:rsidRDefault="00642A99" w:rsidP="00B73724">
      <w:pPr>
        <w:numPr>
          <w:ilvl w:val="0"/>
          <w:numId w:val="8"/>
        </w:numPr>
        <w:tabs>
          <w:tab w:val="clear" w:pos="780"/>
          <w:tab w:val="num" w:pos="420"/>
        </w:tabs>
        <w:spacing w:before="240"/>
      </w:pPr>
      <w:r w:rsidRPr="00C6650B">
        <w:t xml:space="preserve">During a public health </w:t>
      </w:r>
      <w:r w:rsidR="00D804CC" w:rsidRPr="00C6650B">
        <w:t>incident</w:t>
      </w:r>
      <w:r w:rsidRPr="00C6650B">
        <w:t xml:space="preserve">, how are data being integrated and exchanged to provide accurate information? </w:t>
      </w:r>
    </w:p>
    <w:p w:rsidR="00642A99" w:rsidRPr="00C6650B" w:rsidRDefault="00642A99" w:rsidP="00B73724">
      <w:pPr>
        <w:numPr>
          <w:ilvl w:val="0"/>
          <w:numId w:val="8"/>
        </w:numPr>
        <w:tabs>
          <w:tab w:val="clear" w:pos="780"/>
          <w:tab w:val="num" w:pos="420"/>
        </w:tabs>
        <w:spacing w:before="240"/>
      </w:pPr>
      <w:r w:rsidRPr="00C6650B">
        <w:t xml:space="preserve">How are unstructured data being implemented and validated during a public health emergency?  </w:t>
      </w:r>
    </w:p>
    <w:p w:rsidR="00642A99" w:rsidRPr="00C6650B" w:rsidRDefault="00642A99" w:rsidP="00B73724">
      <w:pPr>
        <w:numPr>
          <w:ilvl w:val="0"/>
          <w:numId w:val="8"/>
        </w:numPr>
        <w:tabs>
          <w:tab w:val="clear" w:pos="780"/>
          <w:tab w:val="num" w:pos="420"/>
        </w:tabs>
        <w:spacing w:before="240"/>
      </w:pPr>
      <w:r w:rsidRPr="00C6650B">
        <w:t xml:space="preserve">How are multiple forms of data and information resources being used to inform health intelligence? </w:t>
      </w:r>
    </w:p>
    <w:p w:rsidR="00642A99" w:rsidRDefault="00642A99" w:rsidP="00C458F3">
      <w:pPr>
        <w:spacing w:before="240"/>
      </w:pPr>
      <w:r w:rsidRPr="00C6650B">
        <w:t>Respondents will be advised of the nature of the activity, the length of time required for participation and that their participation is voluntary.  The purpose is to organize the information collected and use this information</w:t>
      </w:r>
      <w:r w:rsidR="003671F6">
        <w:t xml:space="preserve"> in anticipation of, during and following</w:t>
      </w:r>
      <w:r w:rsidRPr="00C6650B">
        <w:t xml:space="preserve"> a public health emergency.   </w:t>
      </w:r>
    </w:p>
    <w:p w:rsidR="00642A99" w:rsidRPr="00C6650B" w:rsidRDefault="00642A99" w:rsidP="00EC58A0">
      <w:pPr>
        <w:numPr>
          <w:ilvl w:val="0"/>
          <w:numId w:val="14"/>
        </w:numPr>
        <w:spacing w:before="240"/>
        <w:outlineLvl w:val="0"/>
        <w:rPr>
          <w:b/>
          <w:sz w:val="28"/>
          <w:szCs w:val="28"/>
        </w:rPr>
      </w:pPr>
      <w:bookmarkStart w:id="12" w:name="_Toc379453704"/>
      <w:r w:rsidRPr="00C6650B">
        <w:rPr>
          <w:b/>
          <w:sz w:val="28"/>
          <w:szCs w:val="28"/>
        </w:rPr>
        <w:t>Use of Improved Information Technology and Burden Reduction</w:t>
      </w:r>
      <w:bookmarkEnd w:id="12"/>
    </w:p>
    <w:p w:rsidR="00642A99" w:rsidRPr="00C6650B" w:rsidRDefault="00642A99" w:rsidP="00642A99">
      <w:pPr>
        <w:rPr>
          <w:sz w:val="28"/>
          <w:szCs w:val="28"/>
        </w:rPr>
      </w:pPr>
    </w:p>
    <w:p w:rsidR="006E2F58" w:rsidRPr="00C6650B" w:rsidRDefault="006E2F58" w:rsidP="002018B4">
      <w:r w:rsidRPr="00C6650B">
        <w:t>In past years</w:t>
      </w:r>
      <w:r w:rsidR="00797AA4" w:rsidRPr="00C6650B">
        <w:t>,</w:t>
      </w:r>
      <w:r w:rsidRPr="00C6650B">
        <w:t xml:space="preserve"> land-line telephone conversations were viewed as the only “secure” means of communication between </w:t>
      </w:r>
      <w:r w:rsidR="0071480D" w:rsidRPr="00C6650B">
        <w:t>e</w:t>
      </w:r>
      <w:r w:rsidRPr="00C6650B">
        <w:t xml:space="preserve">pidemiologists, </w:t>
      </w:r>
      <w:r w:rsidR="0071480D" w:rsidRPr="00C6650B">
        <w:t>h</w:t>
      </w:r>
      <w:r w:rsidRPr="00C6650B">
        <w:t xml:space="preserve">ealth </w:t>
      </w:r>
      <w:r w:rsidR="0071480D" w:rsidRPr="00C6650B">
        <w:t>o</w:t>
      </w:r>
      <w:r w:rsidRPr="00C6650B">
        <w:t xml:space="preserve">fficers, and the CDC. </w:t>
      </w:r>
      <w:proofErr w:type="spellStart"/>
      <w:r w:rsidR="00DA6BE4" w:rsidRPr="00C6650B">
        <w:rPr>
          <w:i/>
          <w:iCs/>
        </w:rPr>
        <w:t>Epi</w:t>
      </w:r>
      <w:proofErr w:type="spellEnd"/>
      <w:r w:rsidRPr="00C6650B">
        <w:rPr>
          <w:i/>
          <w:iCs/>
        </w:rPr>
        <w:t xml:space="preserve">-X </w:t>
      </w:r>
      <w:r w:rsidRPr="00C6650B">
        <w:t xml:space="preserve">is CDC’s first and only </w:t>
      </w:r>
      <w:r w:rsidR="0071480D" w:rsidRPr="00C6650B">
        <w:t xml:space="preserve">secure, encrypted </w:t>
      </w:r>
      <w:r w:rsidRPr="00C6650B">
        <w:t xml:space="preserve">network being used to </w:t>
      </w:r>
      <w:r w:rsidR="0071480D" w:rsidRPr="00C6650B">
        <w:t xml:space="preserve">convey </w:t>
      </w:r>
      <w:r w:rsidRPr="00C6650B">
        <w:t xml:space="preserve">urgent public health information between key state health officials, </w:t>
      </w:r>
      <w:r w:rsidR="0071480D" w:rsidRPr="00C6650B">
        <w:t xml:space="preserve">CDC, and HHS. </w:t>
      </w:r>
      <w:r w:rsidRPr="00C6650B">
        <w:t>The prospect of bioterrorism has</w:t>
      </w:r>
      <w:r w:rsidR="002018B4" w:rsidRPr="00C6650B">
        <w:t xml:space="preserve"> </w:t>
      </w:r>
      <w:r w:rsidRPr="00C6650B">
        <w:t>heightened the importance and necessity of this network</w:t>
      </w:r>
      <w:r w:rsidR="0071480D" w:rsidRPr="00C6650B">
        <w:t xml:space="preserve">, as has the multi-jurisdictional </w:t>
      </w:r>
      <w:r w:rsidR="00A405F2" w:rsidRPr="00C6650B">
        <w:t xml:space="preserve">public health </w:t>
      </w:r>
      <w:r w:rsidR="0071480D" w:rsidRPr="00C6650B">
        <w:t>impact of natural disasters and infectious disease outbreaks.</w:t>
      </w:r>
    </w:p>
    <w:p w:rsidR="006E2F58" w:rsidRPr="00C6650B" w:rsidRDefault="006E2F58" w:rsidP="00562274">
      <w:pPr>
        <w:rPr>
          <w:b/>
          <w:bCs/>
        </w:rPr>
      </w:pPr>
      <w:r w:rsidRPr="00C6650B">
        <w:rPr>
          <w:sz w:val="20"/>
          <w:szCs w:val="20"/>
        </w:rPr>
        <w:t> </w:t>
      </w:r>
    </w:p>
    <w:p w:rsidR="00562274" w:rsidRPr="00C6650B" w:rsidRDefault="00DA6BE4" w:rsidP="002018B4">
      <w:pPr>
        <w:rPr>
          <w:bCs/>
        </w:rPr>
      </w:pPr>
      <w:proofErr w:type="spellStart"/>
      <w:r w:rsidRPr="00C6650B">
        <w:rPr>
          <w:bCs/>
          <w:i/>
        </w:rPr>
        <w:t>Epi</w:t>
      </w:r>
      <w:proofErr w:type="spellEnd"/>
      <w:r w:rsidR="00562274" w:rsidRPr="00C6650B">
        <w:rPr>
          <w:bCs/>
          <w:i/>
        </w:rPr>
        <w:t xml:space="preserve">-X </w:t>
      </w:r>
      <w:r w:rsidR="00562274" w:rsidRPr="00C6650B">
        <w:rPr>
          <w:bCs/>
        </w:rPr>
        <w:t>was designed as a web-based network to communicate urgent public</w:t>
      </w:r>
      <w:r w:rsidR="003C40F9" w:rsidRPr="00C6650B">
        <w:rPr>
          <w:bCs/>
        </w:rPr>
        <w:t xml:space="preserve"> health information securely, in a paperless environment. All </w:t>
      </w:r>
      <w:r w:rsidR="00227FDF" w:rsidRPr="00C6650B">
        <w:rPr>
          <w:bCs/>
        </w:rPr>
        <w:t xml:space="preserve">authorized public health officials </w:t>
      </w:r>
      <w:r w:rsidR="003C40F9" w:rsidRPr="00C6650B">
        <w:rPr>
          <w:bCs/>
        </w:rPr>
        <w:t xml:space="preserve">must apply for, and be granted </w:t>
      </w:r>
      <w:r w:rsidR="00C8098F">
        <w:rPr>
          <w:bCs/>
        </w:rPr>
        <w:t xml:space="preserve">identify verification credentials through CDC’s Secure Access </w:t>
      </w:r>
      <w:proofErr w:type="spellStart"/>
      <w:r w:rsidR="00C8098F">
        <w:rPr>
          <w:bCs/>
        </w:rPr>
        <w:t>Mangement</w:t>
      </w:r>
      <w:proofErr w:type="spellEnd"/>
      <w:r w:rsidR="00C8098F">
        <w:rPr>
          <w:bCs/>
        </w:rPr>
        <w:t xml:space="preserve"> Services (SAMS) or use a valid HHS Personal Identity Verification (PIV) card to access </w:t>
      </w:r>
      <w:proofErr w:type="spellStart"/>
      <w:r w:rsidR="00C8098F" w:rsidRPr="00C8098F">
        <w:rPr>
          <w:bCs/>
          <w:i/>
        </w:rPr>
        <w:t>Epi</w:t>
      </w:r>
      <w:proofErr w:type="spellEnd"/>
      <w:r w:rsidR="00C8098F" w:rsidRPr="00C8098F">
        <w:rPr>
          <w:bCs/>
          <w:i/>
        </w:rPr>
        <w:t>-X</w:t>
      </w:r>
      <w:r w:rsidR="00C8098F">
        <w:rPr>
          <w:bCs/>
        </w:rPr>
        <w:t>.</w:t>
      </w:r>
    </w:p>
    <w:p w:rsidR="006F0AC6" w:rsidRPr="00C6650B" w:rsidRDefault="006F0AC6" w:rsidP="00E05459">
      <w:pPr>
        <w:ind w:left="360"/>
        <w:rPr>
          <w:bCs/>
          <w:color w:val="FF0000"/>
        </w:rPr>
      </w:pPr>
    </w:p>
    <w:p w:rsidR="00642A99" w:rsidRDefault="00DA6BE4" w:rsidP="00C458F3">
      <w:pPr>
        <w:rPr>
          <w:bCs/>
        </w:rPr>
      </w:pPr>
      <w:proofErr w:type="spellStart"/>
      <w:r w:rsidRPr="00C6650B">
        <w:rPr>
          <w:bCs/>
          <w:i/>
        </w:rPr>
        <w:t>Epi</w:t>
      </w:r>
      <w:proofErr w:type="spellEnd"/>
      <w:r w:rsidR="006F0AC6" w:rsidRPr="00C6650B">
        <w:rPr>
          <w:bCs/>
          <w:i/>
        </w:rPr>
        <w:t>-X</w:t>
      </w:r>
      <w:r w:rsidR="00045AC6" w:rsidRPr="00C6650B">
        <w:rPr>
          <w:bCs/>
          <w:i/>
        </w:rPr>
        <w:t xml:space="preserve"> </w:t>
      </w:r>
      <w:r w:rsidR="006F0AC6" w:rsidRPr="00C6650B">
        <w:rPr>
          <w:bCs/>
        </w:rPr>
        <w:t xml:space="preserve">will enable </w:t>
      </w:r>
      <w:r w:rsidR="00E1494A" w:rsidRPr="00C6650B">
        <w:rPr>
          <w:bCs/>
        </w:rPr>
        <w:t xml:space="preserve">state and local </w:t>
      </w:r>
      <w:r w:rsidR="006F0AC6" w:rsidRPr="00C6650B">
        <w:rPr>
          <w:bCs/>
        </w:rPr>
        <w:t>respondents to comm</w:t>
      </w:r>
      <w:r w:rsidR="00506807" w:rsidRPr="00C6650B">
        <w:rPr>
          <w:bCs/>
        </w:rPr>
        <w:t xml:space="preserve">unicate </w:t>
      </w:r>
      <w:r w:rsidR="00E1494A" w:rsidRPr="00C6650B">
        <w:rPr>
          <w:bCs/>
        </w:rPr>
        <w:t>clearly, securely</w:t>
      </w:r>
      <w:r w:rsidR="005B045C" w:rsidRPr="00C6650B">
        <w:rPr>
          <w:bCs/>
        </w:rPr>
        <w:t>, and</w:t>
      </w:r>
      <w:r w:rsidR="00E1494A" w:rsidRPr="00C6650B">
        <w:rPr>
          <w:bCs/>
        </w:rPr>
        <w:t xml:space="preserve"> specifically the information CDC requires </w:t>
      </w:r>
      <w:proofErr w:type="gramStart"/>
      <w:r w:rsidR="00E1494A" w:rsidRPr="00C6650B">
        <w:rPr>
          <w:bCs/>
        </w:rPr>
        <w:t xml:space="preserve">to </w:t>
      </w:r>
      <w:r w:rsidR="00A405F2" w:rsidRPr="00C6650B">
        <w:rPr>
          <w:bCs/>
        </w:rPr>
        <w:t>respond</w:t>
      </w:r>
      <w:proofErr w:type="gramEnd"/>
      <w:r w:rsidR="00A405F2" w:rsidRPr="00C6650B">
        <w:rPr>
          <w:bCs/>
        </w:rPr>
        <w:t xml:space="preserve"> </w:t>
      </w:r>
      <w:r w:rsidR="00E1494A" w:rsidRPr="00C6650B">
        <w:rPr>
          <w:bCs/>
        </w:rPr>
        <w:t xml:space="preserve">effectively to public health emergency </w:t>
      </w:r>
      <w:r w:rsidR="00D804CC" w:rsidRPr="00C6650B">
        <w:rPr>
          <w:bCs/>
        </w:rPr>
        <w:t>incident</w:t>
      </w:r>
      <w:r w:rsidR="00A405F2" w:rsidRPr="00C6650B">
        <w:rPr>
          <w:bCs/>
        </w:rPr>
        <w:t>s</w:t>
      </w:r>
      <w:r w:rsidR="006F0AC6" w:rsidRPr="00C6650B">
        <w:rPr>
          <w:bCs/>
        </w:rPr>
        <w:t xml:space="preserve">. </w:t>
      </w:r>
    </w:p>
    <w:p w:rsidR="00B64798" w:rsidRPr="00C6650B" w:rsidRDefault="00B64798" w:rsidP="00C458F3">
      <w:pPr>
        <w:rPr>
          <w:bCs/>
        </w:rPr>
      </w:pPr>
    </w:p>
    <w:p w:rsidR="00E05459" w:rsidRPr="00C6650B" w:rsidRDefault="00E05459" w:rsidP="00562274">
      <w:pPr>
        <w:rPr>
          <w:b/>
          <w:bCs/>
        </w:rPr>
      </w:pPr>
    </w:p>
    <w:p w:rsidR="00644872" w:rsidRPr="00C6650B" w:rsidRDefault="00644872" w:rsidP="00EC58A0">
      <w:pPr>
        <w:numPr>
          <w:ilvl w:val="0"/>
          <w:numId w:val="14"/>
        </w:numPr>
        <w:rPr>
          <w:b/>
          <w:bCs/>
          <w:sz w:val="28"/>
          <w:szCs w:val="28"/>
        </w:rPr>
      </w:pPr>
      <w:r w:rsidRPr="00C6650B">
        <w:rPr>
          <w:b/>
          <w:bCs/>
          <w:sz w:val="28"/>
          <w:szCs w:val="28"/>
        </w:rPr>
        <w:t>Efforts to Identify Duplication and Use of Similar Information</w:t>
      </w:r>
    </w:p>
    <w:p w:rsidR="003C40F9" w:rsidRPr="00C6650B" w:rsidRDefault="003C40F9" w:rsidP="003C40F9">
      <w:pPr>
        <w:rPr>
          <w:b/>
          <w:bCs/>
        </w:rPr>
      </w:pPr>
    </w:p>
    <w:p w:rsidR="00642A99" w:rsidRPr="00C6650B" w:rsidRDefault="00642A99" w:rsidP="009E3D23">
      <w:pPr>
        <w:rPr>
          <w:bCs/>
        </w:rPr>
      </w:pPr>
      <w:r w:rsidRPr="00C6650B">
        <w:t>Every effort will be made to avoid duplication</w:t>
      </w:r>
      <w:r w:rsidR="0080264B" w:rsidRPr="00C6650B">
        <w:t xml:space="preserve"> by other Federal Agencies and partner organizations (not limited to the following examples: Council of State and Territorial </w:t>
      </w:r>
      <w:r w:rsidR="0080264B" w:rsidRPr="00C6650B">
        <w:lastRenderedPageBreak/>
        <w:t>Epidemiologists (CSTE), National Association of City and County Health Officials (NACCHO), and Association of State and Territorial Health Officials (ASTHO)</w:t>
      </w:r>
      <w:r w:rsidRPr="00C6650B">
        <w:t xml:space="preserve">.  </w:t>
      </w:r>
    </w:p>
    <w:p w:rsidR="003C40F9" w:rsidRPr="00C6650B" w:rsidRDefault="00045AC6" w:rsidP="002018B4">
      <w:pPr>
        <w:rPr>
          <w:bCs/>
        </w:rPr>
      </w:pPr>
      <w:r w:rsidRPr="00C6650B">
        <w:rPr>
          <w:bCs/>
        </w:rPr>
        <w:t xml:space="preserve">An </w:t>
      </w:r>
      <w:proofErr w:type="spellStart"/>
      <w:r w:rsidRPr="00C6650B">
        <w:rPr>
          <w:bCs/>
          <w:i/>
        </w:rPr>
        <w:t>Epi</w:t>
      </w:r>
      <w:proofErr w:type="spellEnd"/>
      <w:r w:rsidRPr="00C6650B">
        <w:rPr>
          <w:bCs/>
          <w:i/>
        </w:rPr>
        <w:t>-X</w:t>
      </w:r>
      <w:r w:rsidRPr="00C6650B">
        <w:rPr>
          <w:bCs/>
        </w:rPr>
        <w:t xml:space="preserve"> </w:t>
      </w:r>
      <w:r w:rsidR="00D804CC" w:rsidRPr="00C6650B">
        <w:rPr>
          <w:bCs/>
        </w:rPr>
        <w:t>incident</w:t>
      </w:r>
      <w:r w:rsidR="00782CFC" w:rsidRPr="00C6650B">
        <w:rPr>
          <w:bCs/>
        </w:rPr>
        <w:t xml:space="preserve"> </w:t>
      </w:r>
      <w:r w:rsidRPr="00C6650B">
        <w:rPr>
          <w:bCs/>
        </w:rPr>
        <w:t xml:space="preserve">specific survey instrument will only be used during a specific public health </w:t>
      </w:r>
      <w:r w:rsidR="00CD6C99" w:rsidRPr="00C6650B">
        <w:rPr>
          <w:bCs/>
        </w:rPr>
        <w:t>incident where</w:t>
      </w:r>
      <w:r w:rsidRPr="00C6650B">
        <w:rPr>
          <w:bCs/>
        </w:rPr>
        <w:t xml:space="preserve"> secure and time sensitive </w:t>
      </w:r>
      <w:r w:rsidR="005B045C" w:rsidRPr="00C6650B">
        <w:rPr>
          <w:bCs/>
        </w:rPr>
        <w:t>communications are</w:t>
      </w:r>
      <w:r w:rsidRPr="00C6650B">
        <w:rPr>
          <w:bCs/>
        </w:rPr>
        <w:t xml:space="preserve"> needed.  </w:t>
      </w:r>
      <w:r w:rsidR="0084143D" w:rsidRPr="00C6650B">
        <w:rPr>
          <w:bCs/>
        </w:rPr>
        <w:t xml:space="preserve">Information from the survey instrument would be </w:t>
      </w:r>
      <w:r w:rsidRPr="00C6650B">
        <w:rPr>
          <w:bCs/>
        </w:rPr>
        <w:t xml:space="preserve">for that </w:t>
      </w:r>
      <w:r w:rsidR="00D804CC" w:rsidRPr="00C6650B">
        <w:rPr>
          <w:bCs/>
        </w:rPr>
        <w:t>incident</w:t>
      </w:r>
      <w:r w:rsidR="0084143D" w:rsidRPr="00C6650B">
        <w:rPr>
          <w:bCs/>
        </w:rPr>
        <w:t>.</w:t>
      </w:r>
      <w:r w:rsidRPr="00C6650B">
        <w:rPr>
          <w:bCs/>
        </w:rPr>
        <w:t xml:space="preserve"> </w:t>
      </w:r>
    </w:p>
    <w:p w:rsidR="00644872" w:rsidRPr="00C6650B" w:rsidRDefault="00644872">
      <w:pPr>
        <w:tabs>
          <w:tab w:val="left" w:pos="1080"/>
          <w:tab w:val="left" w:pos="1800"/>
        </w:tabs>
        <w:ind w:left="1800"/>
      </w:pPr>
    </w:p>
    <w:p w:rsidR="00644872" w:rsidRPr="00C6650B" w:rsidRDefault="00644872" w:rsidP="00EC58A0">
      <w:pPr>
        <w:numPr>
          <w:ilvl w:val="0"/>
          <w:numId w:val="14"/>
        </w:numPr>
        <w:rPr>
          <w:b/>
          <w:bCs/>
          <w:sz w:val="28"/>
          <w:szCs w:val="28"/>
        </w:rPr>
      </w:pPr>
      <w:r w:rsidRPr="00C6650B">
        <w:rPr>
          <w:b/>
          <w:bCs/>
          <w:sz w:val="28"/>
          <w:szCs w:val="28"/>
        </w:rPr>
        <w:t>Impact on Small Businesses or Other Small Entities</w:t>
      </w:r>
    </w:p>
    <w:p w:rsidR="003C40F9" w:rsidRPr="00C6650B" w:rsidRDefault="003C40F9" w:rsidP="003C40F9">
      <w:pPr>
        <w:rPr>
          <w:b/>
          <w:bCs/>
        </w:rPr>
      </w:pPr>
    </w:p>
    <w:p w:rsidR="003C40F9" w:rsidRPr="00C6650B" w:rsidRDefault="003C40F9" w:rsidP="0037209A">
      <w:pPr>
        <w:rPr>
          <w:bCs/>
        </w:rPr>
      </w:pPr>
      <w:r w:rsidRPr="00C6650B">
        <w:rPr>
          <w:bCs/>
        </w:rPr>
        <w:t xml:space="preserve">There will be no impact to the business </w:t>
      </w:r>
      <w:r w:rsidR="005B045C" w:rsidRPr="00C6650B">
        <w:rPr>
          <w:bCs/>
        </w:rPr>
        <w:t>sector</w:t>
      </w:r>
      <w:r w:rsidRPr="00C6650B">
        <w:rPr>
          <w:bCs/>
        </w:rPr>
        <w:t xml:space="preserve"> or other small entit</w:t>
      </w:r>
      <w:r w:rsidR="002647DE" w:rsidRPr="00C6650B">
        <w:rPr>
          <w:bCs/>
        </w:rPr>
        <w:t>ies</w:t>
      </w:r>
      <w:r w:rsidRPr="00C6650B">
        <w:rPr>
          <w:bCs/>
        </w:rPr>
        <w:t xml:space="preserve"> during the collection of information. Information will be collected only from authorized </w:t>
      </w:r>
      <w:proofErr w:type="spellStart"/>
      <w:r w:rsidRPr="00C6650B">
        <w:rPr>
          <w:bCs/>
          <w:i/>
        </w:rPr>
        <w:t>Epi</w:t>
      </w:r>
      <w:proofErr w:type="spellEnd"/>
      <w:r w:rsidRPr="00C6650B">
        <w:rPr>
          <w:bCs/>
          <w:i/>
        </w:rPr>
        <w:t>-</w:t>
      </w:r>
      <w:r w:rsidRPr="00C6650B">
        <w:rPr>
          <w:bCs/>
        </w:rPr>
        <w:t>X</w:t>
      </w:r>
      <w:r w:rsidR="00227FDF" w:rsidRPr="00C6650B">
        <w:rPr>
          <w:bCs/>
        </w:rPr>
        <w:t xml:space="preserve"> public health </w:t>
      </w:r>
      <w:r w:rsidR="0081308C" w:rsidRPr="00C6650B">
        <w:rPr>
          <w:bCs/>
        </w:rPr>
        <w:t>officials.</w:t>
      </w:r>
    </w:p>
    <w:p w:rsidR="00644872" w:rsidRPr="00C6650B" w:rsidRDefault="00644872" w:rsidP="00EA04EC">
      <w:pPr>
        <w:tabs>
          <w:tab w:val="left" w:pos="1080"/>
          <w:tab w:val="left" w:pos="1800"/>
        </w:tabs>
        <w:rPr>
          <w:b/>
          <w:bCs/>
        </w:rPr>
      </w:pPr>
    </w:p>
    <w:p w:rsidR="00E957A5" w:rsidRPr="00C6650B" w:rsidRDefault="00644872" w:rsidP="00EC58A0">
      <w:pPr>
        <w:numPr>
          <w:ilvl w:val="0"/>
          <w:numId w:val="14"/>
        </w:numPr>
        <w:rPr>
          <w:b/>
          <w:bCs/>
          <w:sz w:val="28"/>
          <w:szCs w:val="28"/>
        </w:rPr>
      </w:pPr>
      <w:r w:rsidRPr="00C6650B">
        <w:rPr>
          <w:b/>
          <w:bCs/>
          <w:sz w:val="28"/>
          <w:szCs w:val="28"/>
        </w:rPr>
        <w:t>Consequences of Collecting the Information Less Frequently</w:t>
      </w:r>
    </w:p>
    <w:p w:rsidR="00EA04EC" w:rsidRPr="00C6650B" w:rsidRDefault="00EA04EC" w:rsidP="00EA04EC">
      <w:pPr>
        <w:tabs>
          <w:tab w:val="left" w:pos="1080"/>
        </w:tabs>
        <w:ind w:left="1260"/>
        <w:rPr>
          <w:b/>
          <w:bCs/>
        </w:rPr>
      </w:pPr>
    </w:p>
    <w:p w:rsidR="00DB459D" w:rsidRPr="00C6650B" w:rsidRDefault="00642A99" w:rsidP="00DB459D">
      <w:r w:rsidRPr="00C6650B">
        <w:t xml:space="preserve">Data collection covered under this </w:t>
      </w:r>
      <w:r w:rsidR="0025758D">
        <w:t xml:space="preserve">generic </w:t>
      </w:r>
      <w:r w:rsidRPr="00C6650B">
        <w:t>IC</w:t>
      </w:r>
      <w:r w:rsidR="00860C3B">
        <w:t>R</w:t>
      </w:r>
      <w:r w:rsidRPr="00C6650B">
        <w:t xml:space="preserve"> will be related to a specific all-hazards public health emergency.  The frequency of data collection as it relates to consequences to the federal government or policy </w:t>
      </w:r>
      <w:r w:rsidR="00583DC5" w:rsidRPr="00C6650B">
        <w:t>activities will depend on the</w:t>
      </w:r>
      <w:r w:rsidR="0025758D">
        <w:t xml:space="preserve"> </w:t>
      </w:r>
      <w:r w:rsidR="007B7CAE">
        <w:t xml:space="preserve">specific </w:t>
      </w:r>
      <w:r w:rsidR="007B7CAE" w:rsidRPr="00C6650B">
        <w:t>public</w:t>
      </w:r>
      <w:r w:rsidR="00583DC5" w:rsidRPr="00C6650B">
        <w:t xml:space="preserve"> health incident.  </w:t>
      </w:r>
    </w:p>
    <w:p w:rsidR="00DB459D" w:rsidRDefault="00DB459D" w:rsidP="00E4264C">
      <w:pPr>
        <w:tabs>
          <w:tab w:val="left" w:pos="1080"/>
        </w:tabs>
        <w:rPr>
          <w:bCs/>
        </w:rPr>
      </w:pPr>
      <w:r w:rsidRPr="00C6650B">
        <w:rPr>
          <w:bCs/>
        </w:rPr>
        <w:t xml:space="preserve">The information to be collected will be for specific public health emergency </w:t>
      </w:r>
      <w:r w:rsidR="00D804CC" w:rsidRPr="00C6650B">
        <w:rPr>
          <w:bCs/>
        </w:rPr>
        <w:t>incident</w:t>
      </w:r>
      <w:r w:rsidRPr="00C6650B">
        <w:rPr>
          <w:bCs/>
        </w:rPr>
        <w:t xml:space="preserve">s. The information may serve as a baseline for future public health </w:t>
      </w:r>
      <w:r w:rsidR="00D804CC" w:rsidRPr="00C6650B">
        <w:rPr>
          <w:bCs/>
        </w:rPr>
        <w:t>incident</w:t>
      </w:r>
      <w:r w:rsidRPr="00C6650B">
        <w:rPr>
          <w:bCs/>
        </w:rPr>
        <w:t xml:space="preserve">s response surveys. </w:t>
      </w:r>
      <w:r w:rsidR="005B2411">
        <w:rPr>
          <w:bCs/>
        </w:rPr>
        <w:t xml:space="preserve">Data collection </w:t>
      </w:r>
      <w:r w:rsidR="00492DF2">
        <w:rPr>
          <w:bCs/>
        </w:rPr>
        <w:t>instruments used</w:t>
      </w:r>
      <w:r w:rsidR="0025758D">
        <w:rPr>
          <w:bCs/>
        </w:rPr>
        <w:t xml:space="preserve"> during a public health emergency response</w:t>
      </w:r>
      <w:r w:rsidRPr="00C6650B">
        <w:rPr>
          <w:bCs/>
        </w:rPr>
        <w:t xml:space="preserve"> would enhance the acceptance and use of </w:t>
      </w:r>
      <w:proofErr w:type="spellStart"/>
      <w:r w:rsidRPr="00C6650B">
        <w:rPr>
          <w:bCs/>
          <w:i/>
        </w:rPr>
        <w:t>Epi</w:t>
      </w:r>
      <w:proofErr w:type="spellEnd"/>
      <w:r w:rsidRPr="00C6650B">
        <w:rPr>
          <w:bCs/>
          <w:i/>
        </w:rPr>
        <w:t xml:space="preserve">-X </w:t>
      </w:r>
      <w:r w:rsidRPr="00C6650B">
        <w:rPr>
          <w:bCs/>
        </w:rPr>
        <w:t xml:space="preserve">as a tool for the </w:t>
      </w:r>
      <w:r w:rsidR="00BF49EA" w:rsidRPr="00C6650B">
        <w:rPr>
          <w:bCs/>
        </w:rPr>
        <w:t xml:space="preserve">collection and </w:t>
      </w:r>
      <w:r w:rsidRPr="00C6650B">
        <w:rPr>
          <w:bCs/>
        </w:rPr>
        <w:t>dissemination of critical and ongoing emergency response public health information.  There are no legal obstacles to reduce the burden.</w:t>
      </w:r>
    </w:p>
    <w:p w:rsidR="007B0D8B" w:rsidRPr="00C6650B" w:rsidRDefault="007B0D8B" w:rsidP="00E05459">
      <w:pPr>
        <w:tabs>
          <w:tab w:val="left" w:pos="1080"/>
        </w:tabs>
        <w:ind w:left="360"/>
        <w:rPr>
          <w:bCs/>
        </w:rPr>
      </w:pPr>
    </w:p>
    <w:p w:rsidR="00644872" w:rsidRPr="00C6650B" w:rsidRDefault="00644872" w:rsidP="00EC58A0">
      <w:pPr>
        <w:numPr>
          <w:ilvl w:val="0"/>
          <w:numId w:val="14"/>
        </w:numPr>
        <w:rPr>
          <w:b/>
          <w:bCs/>
          <w:sz w:val="28"/>
          <w:szCs w:val="28"/>
        </w:rPr>
      </w:pPr>
      <w:r w:rsidRPr="00C6650B">
        <w:rPr>
          <w:b/>
          <w:bCs/>
          <w:sz w:val="28"/>
          <w:szCs w:val="28"/>
        </w:rPr>
        <w:t>Special Circumstances Relating to the Guidelines of 5 CFR 1320.5</w:t>
      </w:r>
    </w:p>
    <w:p w:rsidR="007B3F21" w:rsidRPr="00C6650B" w:rsidRDefault="007B3F21" w:rsidP="007B3F21">
      <w:pPr>
        <w:rPr>
          <w:b/>
          <w:bCs/>
        </w:rPr>
      </w:pPr>
    </w:p>
    <w:p w:rsidR="00D217AE" w:rsidRPr="00C6650B" w:rsidRDefault="008F6455" w:rsidP="00D217AE">
      <w:pPr>
        <w:pStyle w:val="BodyTextIndent2"/>
        <w:tabs>
          <w:tab w:val="clear" w:pos="1080"/>
          <w:tab w:val="clear" w:pos="1800"/>
        </w:tabs>
        <w:ind w:left="0"/>
        <w:rPr>
          <w:b w:val="0"/>
          <w:bCs w:val="0"/>
        </w:rPr>
      </w:pPr>
      <w:r w:rsidRPr="00C6650B">
        <w:rPr>
          <w:b w:val="0"/>
          <w:bCs w:val="0"/>
        </w:rPr>
        <w:t xml:space="preserve">Because </w:t>
      </w:r>
      <w:r w:rsidR="00FF2787" w:rsidRPr="00C6650B">
        <w:rPr>
          <w:b w:val="0"/>
          <w:bCs w:val="0"/>
        </w:rPr>
        <w:t>public heal</w:t>
      </w:r>
      <w:r w:rsidR="00DA4CCE">
        <w:rPr>
          <w:b w:val="0"/>
          <w:bCs w:val="0"/>
        </w:rPr>
        <w:t>t</w:t>
      </w:r>
      <w:r w:rsidR="00FF2787" w:rsidRPr="00C6650B">
        <w:rPr>
          <w:b w:val="0"/>
          <w:bCs w:val="0"/>
        </w:rPr>
        <w:t xml:space="preserve">h emergency </w:t>
      </w:r>
      <w:r w:rsidR="00DB459D" w:rsidRPr="00C6650B">
        <w:rPr>
          <w:b w:val="0"/>
          <w:bCs w:val="0"/>
        </w:rPr>
        <w:t xml:space="preserve">response </w:t>
      </w:r>
      <w:r w:rsidR="00D804CC" w:rsidRPr="00C6650B">
        <w:rPr>
          <w:b w:val="0"/>
          <w:bCs w:val="0"/>
        </w:rPr>
        <w:t>incident</w:t>
      </w:r>
      <w:r w:rsidR="00DB459D" w:rsidRPr="00C6650B">
        <w:rPr>
          <w:b w:val="0"/>
          <w:bCs w:val="0"/>
        </w:rPr>
        <w:t>s are unpredictable</w:t>
      </w:r>
      <w:r w:rsidR="00B73724" w:rsidRPr="00C6650B">
        <w:rPr>
          <w:b w:val="0"/>
          <w:bCs w:val="0"/>
        </w:rPr>
        <w:t>,</w:t>
      </w:r>
      <w:r w:rsidR="00DB459D" w:rsidRPr="00C6650B">
        <w:rPr>
          <w:b w:val="0"/>
          <w:bCs w:val="0"/>
        </w:rPr>
        <w:t xml:space="preserve"> </w:t>
      </w:r>
      <w:r w:rsidRPr="00C6650B">
        <w:rPr>
          <w:b w:val="0"/>
          <w:bCs w:val="0"/>
        </w:rPr>
        <w:t xml:space="preserve">there may be circumstances that </w:t>
      </w:r>
      <w:r w:rsidR="00DB459D" w:rsidRPr="00C6650B">
        <w:rPr>
          <w:b w:val="0"/>
          <w:bCs w:val="0"/>
        </w:rPr>
        <w:t>would require the respondents to collect information as soon as possible to assist CDC and other public health agencies to</w:t>
      </w:r>
      <w:r w:rsidRPr="00C6650B">
        <w:rPr>
          <w:b w:val="0"/>
          <w:bCs w:val="0"/>
        </w:rPr>
        <w:t xml:space="preserve"> mitigate the impact of a</w:t>
      </w:r>
      <w:r w:rsidR="00D804CC" w:rsidRPr="00C6650B">
        <w:rPr>
          <w:b w:val="0"/>
          <w:bCs w:val="0"/>
        </w:rPr>
        <w:t>n</w:t>
      </w:r>
      <w:r w:rsidRPr="00C6650B">
        <w:rPr>
          <w:b w:val="0"/>
          <w:bCs w:val="0"/>
        </w:rPr>
        <w:t xml:space="preserve"> </w:t>
      </w:r>
      <w:r w:rsidR="00D804CC" w:rsidRPr="00C6650B">
        <w:rPr>
          <w:b w:val="0"/>
          <w:bCs w:val="0"/>
        </w:rPr>
        <w:t>incident</w:t>
      </w:r>
      <w:r w:rsidRPr="00C6650B">
        <w:rPr>
          <w:b w:val="0"/>
          <w:bCs w:val="0"/>
        </w:rPr>
        <w:t xml:space="preserve"> and report information more than quarterly.</w:t>
      </w:r>
      <w:r w:rsidR="00DB459D" w:rsidRPr="00C6650B">
        <w:rPr>
          <w:b w:val="0"/>
          <w:bCs w:val="0"/>
        </w:rPr>
        <w:t xml:space="preserve"> </w:t>
      </w:r>
      <w:r w:rsidR="00227FDF" w:rsidRPr="00C6650B">
        <w:rPr>
          <w:b w:val="0"/>
          <w:bCs w:val="0"/>
        </w:rPr>
        <w:t>Such situations would include for example</w:t>
      </w:r>
      <w:r w:rsidR="00B73724" w:rsidRPr="00C6650B">
        <w:rPr>
          <w:b w:val="0"/>
          <w:bCs w:val="0"/>
        </w:rPr>
        <w:t>,</w:t>
      </w:r>
      <w:r w:rsidR="00227FDF" w:rsidRPr="00C6650B">
        <w:rPr>
          <w:b w:val="0"/>
          <w:bCs w:val="0"/>
        </w:rPr>
        <w:t xml:space="preserve"> a hurricane disaster response incident and </w:t>
      </w:r>
      <w:r w:rsidR="00B73724" w:rsidRPr="00C6650B">
        <w:rPr>
          <w:b w:val="0"/>
          <w:bCs w:val="0"/>
        </w:rPr>
        <w:t xml:space="preserve">an </w:t>
      </w:r>
      <w:r w:rsidR="00227FDF" w:rsidRPr="00C6650B">
        <w:rPr>
          <w:b w:val="0"/>
          <w:bCs w:val="0"/>
        </w:rPr>
        <w:t xml:space="preserve">on-going foodborne outbreak response in the same state at the same time. </w:t>
      </w:r>
    </w:p>
    <w:p w:rsidR="00B73724" w:rsidRPr="00C6650B" w:rsidRDefault="00B73724" w:rsidP="00D217AE">
      <w:pPr>
        <w:pStyle w:val="BodyTextIndent2"/>
        <w:tabs>
          <w:tab w:val="clear" w:pos="1080"/>
          <w:tab w:val="clear" w:pos="1800"/>
        </w:tabs>
        <w:ind w:left="0"/>
        <w:rPr>
          <w:bCs w:val="0"/>
        </w:rPr>
      </w:pPr>
    </w:p>
    <w:p w:rsidR="007B3F21" w:rsidRPr="00C6650B" w:rsidRDefault="00644872" w:rsidP="00EC58A0">
      <w:pPr>
        <w:pStyle w:val="BodyTextIndent2"/>
        <w:numPr>
          <w:ilvl w:val="0"/>
          <w:numId w:val="14"/>
        </w:numPr>
        <w:tabs>
          <w:tab w:val="clear" w:pos="1080"/>
          <w:tab w:val="clear" w:pos="1800"/>
        </w:tabs>
        <w:rPr>
          <w:sz w:val="28"/>
          <w:szCs w:val="28"/>
        </w:rPr>
      </w:pPr>
      <w:r w:rsidRPr="00C6650B">
        <w:rPr>
          <w:sz w:val="28"/>
          <w:szCs w:val="28"/>
        </w:rPr>
        <w:t>Comments in Response to the Federal Register Notice and Efforts to Consult Outside</w:t>
      </w:r>
      <w:r w:rsidR="008F6455" w:rsidRPr="00C6650B">
        <w:rPr>
          <w:sz w:val="28"/>
          <w:szCs w:val="28"/>
        </w:rPr>
        <w:t xml:space="preserve"> the </w:t>
      </w:r>
      <w:r w:rsidRPr="00C6650B">
        <w:rPr>
          <w:sz w:val="28"/>
          <w:szCs w:val="28"/>
        </w:rPr>
        <w:t>Agency</w:t>
      </w:r>
    </w:p>
    <w:p w:rsidR="007B3F21" w:rsidRPr="00C6650B" w:rsidRDefault="007B3F21" w:rsidP="007B3F21">
      <w:pPr>
        <w:pStyle w:val="BodyTextIndent2"/>
        <w:tabs>
          <w:tab w:val="clear" w:pos="1080"/>
          <w:tab w:val="clear" w:pos="1800"/>
        </w:tabs>
      </w:pPr>
    </w:p>
    <w:p w:rsidR="007767CF" w:rsidRPr="00C6650B" w:rsidRDefault="008F6455" w:rsidP="00B73724">
      <w:pPr>
        <w:pStyle w:val="BodyTextIndent2"/>
        <w:tabs>
          <w:tab w:val="clear" w:pos="1800"/>
          <w:tab w:val="num" w:pos="1080"/>
        </w:tabs>
        <w:ind w:left="0"/>
        <w:rPr>
          <w:b w:val="0"/>
        </w:rPr>
      </w:pPr>
      <w:r w:rsidRPr="00C6650B">
        <w:t xml:space="preserve"> </w:t>
      </w:r>
      <w:r w:rsidR="007767CF" w:rsidRPr="00C6650B">
        <w:rPr>
          <w:b w:val="0"/>
        </w:rPr>
        <w:t xml:space="preserve">A.  A 60-Day Federal Register Notice was published in the </w:t>
      </w:r>
      <w:r w:rsidR="007767CF" w:rsidRPr="00E62353">
        <w:rPr>
          <w:b w:val="0"/>
          <w:i/>
        </w:rPr>
        <w:t>Federal Register</w:t>
      </w:r>
      <w:r w:rsidR="007767CF" w:rsidRPr="00C6650B">
        <w:rPr>
          <w:b w:val="0"/>
        </w:rPr>
        <w:t xml:space="preserve"> </w:t>
      </w:r>
      <w:r w:rsidR="00E37273" w:rsidRPr="00C6650B">
        <w:rPr>
          <w:b w:val="0"/>
        </w:rPr>
        <w:t>on,</w:t>
      </w:r>
      <w:r w:rsidR="00EE6887">
        <w:rPr>
          <w:b w:val="0"/>
        </w:rPr>
        <w:t xml:space="preserve"> month November 18</w:t>
      </w:r>
      <w:r w:rsidR="00E37273">
        <w:rPr>
          <w:b w:val="0"/>
        </w:rPr>
        <w:t>, 2013</w:t>
      </w:r>
      <w:r w:rsidR="007767CF" w:rsidRPr="00C6650B">
        <w:rPr>
          <w:b w:val="0"/>
        </w:rPr>
        <w:t xml:space="preserve">, </w:t>
      </w:r>
      <w:r w:rsidR="003A65E7">
        <w:rPr>
          <w:b w:val="0"/>
        </w:rPr>
        <w:t>V</w:t>
      </w:r>
      <w:r w:rsidR="007767CF" w:rsidRPr="00C6650B">
        <w:rPr>
          <w:b w:val="0"/>
        </w:rPr>
        <w:t xml:space="preserve">ol. </w:t>
      </w:r>
      <w:r w:rsidR="00EE6887">
        <w:rPr>
          <w:b w:val="0"/>
        </w:rPr>
        <w:t>78</w:t>
      </w:r>
      <w:r w:rsidR="007767CF" w:rsidRPr="00C6650B">
        <w:rPr>
          <w:b w:val="0"/>
        </w:rPr>
        <w:t xml:space="preserve">, No. </w:t>
      </w:r>
      <w:r w:rsidR="00EE6887">
        <w:rPr>
          <w:b w:val="0"/>
        </w:rPr>
        <w:t>222</w:t>
      </w:r>
      <w:r w:rsidR="007767CF" w:rsidRPr="00C6650B">
        <w:rPr>
          <w:b w:val="0"/>
        </w:rPr>
        <w:t xml:space="preserve">, pp. </w:t>
      </w:r>
      <w:r w:rsidR="00EE6887">
        <w:rPr>
          <w:b w:val="0"/>
        </w:rPr>
        <w:t>69090- 69092</w:t>
      </w:r>
      <w:r w:rsidR="00665880">
        <w:rPr>
          <w:b w:val="0"/>
        </w:rPr>
        <w:t xml:space="preserve"> (</w:t>
      </w:r>
      <w:r w:rsidR="007767CF" w:rsidRPr="00C6650B">
        <w:rPr>
          <w:b w:val="0"/>
        </w:rPr>
        <w:t xml:space="preserve">Attachment </w:t>
      </w:r>
      <w:r w:rsidR="00D838E4">
        <w:rPr>
          <w:b w:val="0"/>
        </w:rPr>
        <w:t>B</w:t>
      </w:r>
      <w:r w:rsidR="003051F8">
        <w:rPr>
          <w:b w:val="0"/>
        </w:rPr>
        <w:t>).  There</w:t>
      </w:r>
      <w:r w:rsidR="00491B4F">
        <w:rPr>
          <w:b w:val="0"/>
        </w:rPr>
        <w:t xml:space="preserve"> </w:t>
      </w:r>
      <w:r w:rsidR="007767CF" w:rsidRPr="00C6650B">
        <w:rPr>
          <w:b w:val="0"/>
        </w:rPr>
        <w:t>were</w:t>
      </w:r>
      <w:r w:rsidR="00DA4CCE">
        <w:rPr>
          <w:b w:val="0"/>
        </w:rPr>
        <w:t xml:space="preserve"> </w:t>
      </w:r>
      <w:r w:rsidR="007767CF" w:rsidRPr="00C6650B">
        <w:rPr>
          <w:b w:val="0"/>
        </w:rPr>
        <w:t>no public comments.</w:t>
      </w:r>
    </w:p>
    <w:p w:rsidR="007767CF" w:rsidRPr="00C6650B" w:rsidRDefault="007767CF" w:rsidP="00B73724">
      <w:pPr>
        <w:pStyle w:val="BodyTextIndent2"/>
        <w:tabs>
          <w:tab w:val="clear" w:pos="1800"/>
          <w:tab w:val="num" w:pos="1080"/>
        </w:tabs>
        <w:ind w:left="0"/>
      </w:pPr>
    </w:p>
    <w:p w:rsidR="00642A99" w:rsidRDefault="000F73A0" w:rsidP="00B73724">
      <w:r w:rsidRPr="00C6650B">
        <w:t xml:space="preserve">The program at times </w:t>
      </w:r>
      <w:r w:rsidR="00C35851" w:rsidRPr="00C6650B">
        <w:t>may consult</w:t>
      </w:r>
      <w:r w:rsidRPr="00C6650B">
        <w:t xml:space="preserve"> with </w:t>
      </w:r>
      <w:r w:rsidR="007B3658" w:rsidRPr="00C6650B">
        <w:t>individuals outside</w:t>
      </w:r>
      <w:r w:rsidRPr="00C6650B">
        <w:t xml:space="preserve"> of the agency on this data collection instrument for a specific public health incident.  Within CDC, design architects, medical epidemiologists, program analysts, </w:t>
      </w:r>
      <w:r w:rsidR="004B7A6E">
        <w:t xml:space="preserve">evaluators, research scientists, </w:t>
      </w:r>
      <w:r w:rsidRPr="00C6650B">
        <w:t xml:space="preserve">health </w:t>
      </w:r>
      <w:r w:rsidR="00420377" w:rsidRPr="00C6650B">
        <w:t xml:space="preserve">communicators </w:t>
      </w:r>
      <w:r w:rsidR="00420377">
        <w:t>and</w:t>
      </w:r>
      <w:r w:rsidR="004B7A6E">
        <w:t xml:space="preserve"> others </w:t>
      </w:r>
      <w:r w:rsidRPr="00C6650B">
        <w:t>are consulted regarding the design of the survey instruments.</w:t>
      </w:r>
      <w:r w:rsidRPr="00C6650B">
        <w:rPr>
          <w:b/>
          <w:color w:val="FF0000"/>
        </w:rPr>
        <w:t xml:space="preserve"> </w:t>
      </w:r>
      <w:r w:rsidR="00642A99" w:rsidRPr="00C6650B">
        <w:t xml:space="preserve">When necessary other Federal agencies will be consulted (e.g., Department of Homeland Security, Environmental Protection Agency, Federal Bureau of Investigation, United States Department of Agriculture and Food and Drug Administration).  </w:t>
      </w:r>
    </w:p>
    <w:p w:rsidR="00642A99" w:rsidRPr="00C6650B" w:rsidRDefault="00642A99" w:rsidP="00B73724">
      <w:pPr>
        <w:ind w:left="360"/>
      </w:pPr>
    </w:p>
    <w:p w:rsidR="00644872" w:rsidRPr="00C6650B" w:rsidRDefault="00644872" w:rsidP="00C6650B">
      <w:pPr>
        <w:numPr>
          <w:ilvl w:val="0"/>
          <w:numId w:val="14"/>
        </w:numPr>
        <w:rPr>
          <w:b/>
          <w:bCs/>
          <w:sz w:val="28"/>
          <w:szCs w:val="28"/>
        </w:rPr>
      </w:pPr>
      <w:r w:rsidRPr="00C6650B">
        <w:rPr>
          <w:b/>
          <w:bCs/>
          <w:sz w:val="28"/>
          <w:szCs w:val="28"/>
        </w:rPr>
        <w:t>Explanation of Any Payment or Gift to Respondents</w:t>
      </w:r>
    </w:p>
    <w:p w:rsidR="00B04FF1" w:rsidRPr="00C6650B" w:rsidRDefault="00B04FF1" w:rsidP="00B04FF1">
      <w:pPr>
        <w:ind w:left="360"/>
        <w:rPr>
          <w:b/>
          <w:bCs/>
          <w:sz w:val="28"/>
          <w:szCs w:val="28"/>
        </w:rPr>
      </w:pPr>
    </w:p>
    <w:p w:rsidR="007B3F21" w:rsidRPr="00C6650B" w:rsidRDefault="00FD577C" w:rsidP="008F6455">
      <w:pPr>
        <w:rPr>
          <w:bCs/>
        </w:rPr>
      </w:pPr>
      <w:r w:rsidRPr="00C6650B">
        <w:t>Respondents will</w:t>
      </w:r>
      <w:r w:rsidR="00E957A5" w:rsidRPr="00C6650B">
        <w:rPr>
          <w:bCs/>
        </w:rPr>
        <w:t xml:space="preserve"> not </w:t>
      </w:r>
      <w:r w:rsidR="0053596C">
        <w:rPr>
          <w:bCs/>
        </w:rPr>
        <w:t>be remunerated</w:t>
      </w:r>
      <w:r w:rsidR="00E957A5" w:rsidRPr="00C6650B">
        <w:rPr>
          <w:bCs/>
        </w:rPr>
        <w:t xml:space="preserve"> for their responses</w:t>
      </w:r>
      <w:r w:rsidR="006C3655" w:rsidRPr="00C6650B">
        <w:rPr>
          <w:bCs/>
        </w:rPr>
        <w:t xml:space="preserve"> or participation in the </w:t>
      </w:r>
      <w:proofErr w:type="spellStart"/>
      <w:r w:rsidR="006C3655" w:rsidRPr="00C6650B">
        <w:rPr>
          <w:bCs/>
          <w:i/>
        </w:rPr>
        <w:t>Epi</w:t>
      </w:r>
      <w:proofErr w:type="spellEnd"/>
      <w:r w:rsidR="006C3655" w:rsidRPr="00C6650B">
        <w:rPr>
          <w:bCs/>
          <w:i/>
        </w:rPr>
        <w:t>-X</w:t>
      </w:r>
      <w:r w:rsidR="006C3655" w:rsidRPr="00C6650B">
        <w:rPr>
          <w:bCs/>
        </w:rPr>
        <w:t xml:space="preserve"> system</w:t>
      </w:r>
      <w:r w:rsidR="007B3F21" w:rsidRPr="00C6650B">
        <w:rPr>
          <w:bCs/>
        </w:rPr>
        <w:t>.</w:t>
      </w:r>
    </w:p>
    <w:p w:rsidR="00644872" w:rsidRPr="00C6650B" w:rsidRDefault="00644872">
      <w:pPr>
        <w:tabs>
          <w:tab w:val="left" w:pos="1800"/>
        </w:tabs>
        <w:ind w:left="1800"/>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Assurance of Confidentiality</w:t>
      </w:r>
      <w:r w:rsidR="008E1FC2" w:rsidRPr="00C6650B">
        <w:rPr>
          <w:b/>
          <w:bCs/>
          <w:sz w:val="28"/>
          <w:szCs w:val="28"/>
        </w:rPr>
        <w:t xml:space="preserve"> Provided to Respondents</w:t>
      </w:r>
    </w:p>
    <w:p w:rsidR="007B3F21" w:rsidRPr="00C6650B" w:rsidRDefault="007B3F21" w:rsidP="007B3F21">
      <w:pPr>
        <w:rPr>
          <w:b/>
          <w:bCs/>
          <w:sz w:val="28"/>
          <w:szCs w:val="28"/>
        </w:rPr>
      </w:pPr>
    </w:p>
    <w:p w:rsidR="007B3F21" w:rsidRPr="00C6650B" w:rsidRDefault="00DA6BE4" w:rsidP="00566783">
      <w:pPr>
        <w:widowControl w:val="0"/>
        <w:rPr>
          <w:bCs/>
        </w:rPr>
      </w:pPr>
      <w:r w:rsidRPr="00C6650B">
        <w:t xml:space="preserve">The survey will collect information from </w:t>
      </w:r>
      <w:r w:rsidR="00227FDF" w:rsidRPr="00C6650B">
        <w:t>public health officials</w:t>
      </w:r>
      <w:r w:rsidRPr="00C6650B">
        <w:t xml:space="preserve"> of the CDC Secure Communications Network (</w:t>
      </w:r>
      <w:proofErr w:type="spellStart"/>
      <w:r w:rsidRPr="00C6650B">
        <w:rPr>
          <w:i/>
        </w:rPr>
        <w:t>Epi</w:t>
      </w:r>
      <w:proofErr w:type="spellEnd"/>
      <w:r w:rsidRPr="00C6650B">
        <w:rPr>
          <w:i/>
        </w:rPr>
        <w:t>-X</w:t>
      </w:r>
      <w:r w:rsidRPr="00C6650B">
        <w:t xml:space="preserve">) on </w:t>
      </w:r>
      <w:r w:rsidR="00D804CC" w:rsidRPr="00C6650B">
        <w:t>incident</w:t>
      </w:r>
      <w:r w:rsidR="00566783" w:rsidRPr="00C6650B">
        <w:t xml:space="preserve"> specific information related to public health emergency response</w:t>
      </w:r>
      <w:r w:rsidR="00B64BF2" w:rsidRPr="00C6650B">
        <w:t>.</w:t>
      </w:r>
      <w:r w:rsidRPr="00C6650B">
        <w:t xml:space="preserve">  The purpose of the information will be </w:t>
      </w:r>
      <w:r w:rsidR="00782CFC" w:rsidRPr="00C6650B">
        <w:rPr>
          <w:bCs/>
        </w:rPr>
        <w:t>to gain and maintain accurate situation awareness, make informed decisions</w:t>
      </w:r>
      <w:r w:rsidR="00B73724" w:rsidRPr="00C6650B">
        <w:rPr>
          <w:bCs/>
        </w:rPr>
        <w:t>,</w:t>
      </w:r>
      <w:r w:rsidR="00782CFC" w:rsidRPr="00C6650B">
        <w:rPr>
          <w:bCs/>
        </w:rPr>
        <w:t xml:space="preserve"> and respond in the most appropriate manner possible to minimize the impact of an </w:t>
      </w:r>
      <w:r w:rsidR="00D804CC" w:rsidRPr="00C6650B">
        <w:rPr>
          <w:bCs/>
        </w:rPr>
        <w:t>incident</w:t>
      </w:r>
      <w:r w:rsidR="00782CFC" w:rsidRPr="00C6650B">
        <w:rPr>
          <w:bCs/>
        </w:rPr>
        <w:t xml:space="preserve"> on the public health of the United States</w:t>
      </w:r>
      <w:r w:rsidRPr="00C6650B">
        <w:t xml:space="preserve">.  </w:t>
      </w:r>
      <w:r w:rsidR="0073736D" w:rsidRPr="00C6650B">
        <w:rPr>
          <w:bCs/>
        </w:rPr>
        <w:t>The</w:t>
      </w:r>
      <w:r w:rsidR="007B3F21" w:rsidRPr="00C6650B">
        <w:rPr>
          <w:bCs/>
        </w:rPr>
        <w:t xml:space="preserve"> information gathering </w:t>
      </w:r>
      <w:r w:rsidR="0073736D" w:rsidRPr="00C6650B">
        <w:rPr>
          <w:bCs/>
        </w:rPr>
        <w:t xml:space="preserve">process will occur </w:t>
      </w:r>
      <w:r w:rsidR="007B3F21" w:rsidRPr="00C6650B">
        <w:rPr>
          <w:bCs/>
        </w:rPr>
        <w:t>through web-based technology</w:t>
      </w:r>
      <w:r w:rsidR="00227FDF" w:rsidRPr="00C6650B">
        <w:rPr>
          <w:bCs/>
        </w:rPr>
        <w:t xml:space="preserve"> that connect</w:t>
      </w:r>
      <w:r w:rsidR="00E80BD3">
        <w:rPr>
          <w:bCs/>
        </w:rPr>
        <w:t>s</w:t>
      </w:r>
      <w:r w:rsidR="00227FDF" w:rsidRPr="00C6650B">
        <w:rPr>
          <w:bCs/>
        </w:rPr>
        <w:t xml:space="preserve"> authorized state and local public health officials</w:t>
      </w:r>
      <w:r w:rsidR="006C3655" w:rsidRPr="00C6650B">
        <w:rPr>
          <w:bCs/>
        </w:rPr>
        <w:t>,</w:t>
      </w:r>
      <w:r w:rsidR="007B3F21" w:rsidRPr="00C6650B">
        <w:rPr>
          <w:bCs/>
        </w:rPr>
        <w:t xml:space="preserve"> which is deemed to be secure and adheres to standard security protocols.</w:t>
      </w:r>
    </w:p>
    <w:p w:rsidR="008E1FC2" w:rsidRPr="00C6650B" w:rsidRDefault="008E1FC2" w:rsidP="00DA6BE4">
      <w:pPr>
        <w:widowControl w:val="0"/>
        <w:ind w:left="360"/>
        <w:rPr>
          <w:bCs/>
        </w:rPr>
      </w:pPr>
    </w:p>
    <w:p w:rsidR="00A3223E" w:rsidRPr="0089493C" w:rsidRDefault="00A3223E" w:rsidP="008E1FC2">
      <w:pPr>
        <w:rPr>
          <w:u w:val="single"/>
        </w:rPr>
      </w:pPr>
      <w:r w:rsidRPr="0089493C">
        <w:rPr>
          <w:u w:val="single"/>
        </w:rPr>
        <w:t>IRB Approval</w:t>
      </w:r>
    </w:p>
    <w:p w:rsidR="00A3223E" w:rsidRDefault="00A3223E" w:rsidP="008E1FC2"/>
    <w:p w:rsidR="00CA50B0" w:rsidRPr="00E27EEE" w:rsidRDefault="00A14066" w:rsidP="00E27EEE">
      <w:r>
        <w:t>IRB approval is not required</w:t>
      </w:r>
      <w:r w:rsidR="002A0327">
        <w:t xml:space="preserve"> for this data collection</w:t>
      </w:r>
      <w:r>
        <w:t>.</w:t>
      </w:r>
      <w:bookmarkStart w:id="13" w:name="_Toc245779348"/>
      <w:r w:rsidR="00FC13D1">
        <w:t xml:space="preserve">  It was determined that this is public he</w:t>
      </w:r>
      <w:r w:rsidR="000527B2">
        <w:t>alth non-research</w:t>
      </w:r>
      <w:r w:rsidR="00FC13D1">
        <w:t xml:space="preserve">. </w:t>
      </w:r>
    </w:p>
    <w:p w:rsidR="00B44A68" w:rsidRDefault="00B44A68" w:rsidP="008E1FC2">
      <w:pPr>
        <w:outlineLvl w:val="0"/>
        <w:rPr>
          <w:i/>
          <w:u w:val="single"/>
        </w:rPr>
      </w:pPr>
    </w:p>
    <w:p w:rsidR="008E1FC2" w:rsidRPr="00C571AA" w:rsidRDefault="00245F2B" w:rsidP="008E1FC2">
      <w:pPr>
        <w:outlineLvl w:val="0"/>
        <w:rPr>
          <w:u w:val="single"/>
        </w:rPr>
      </w:pPr>
      <w:bookmarkStart w:id="14" w:name="_Toc379453705"/>
      <w:r w:rsidRPr="00245F2B">
        <w:rPr>
          <w:i/>
          <w:u w:val="single"/>
        </w:rPr>
        <w:t>Privacy Impact Assessment Information</w:t>
      </w:r>
      <w:bookmarkEnd w:id="13"/>
      <w:bookmarkEnd w:id="14"/>
      <w:r w:rsidRPr="00245F2B">
        <w:rPr>
          <w:i/>
          <w:u w:val="single"/>
        </w:rPr>
        <w:t xml:space="preserve"> </w:t>
      </w:r>
    </w:p>
    <w:p w:rsidR="008E1FC2" w:rsidRPr="00C6650B" w:rsidRDefault="008E1FC2" w:rsidP="008E1FC2"/>
    <w:p w:rsidR="008E1FC2" w:rsidRDefault="008E1FC2" w:rsidP="008E1FC2">
      <w:r w:rsidRPr="00C6650B">
        <w:t>A.  This subm</w:t>
      </w:r>
      <w:r w:rsidR="00F84D33">
        <w:t>ission has been reviewed by OPHPR</w:t>
      </w:r>
      <w:r w:rsidRPr="00C6650B">
        <w:t xml:space="preserve">, who determined that the Privacy Act </w:t>
      </w:r>
      <w:r w:rsidR="008979A9" w:rsidRPr="00C6650B">
        <w:t>is</w:t>
      </w:r>
      <w:r w:rsidR="008979A9">
        <w:t xml:space="preserve"> </w:t>
      </w:r>
      <w:r w:rsidR="008979A9" w:rsidRPr="00C6650B">
        <w:t>applicable</w:t>
      </w:r>
      <w:r w:rsidRPr="00C6650B">
        <w:t xml:space="preserve">. </w:t>
      </w:r>
    </w:p>
    <w:p w:rsidR="00DA4CCE" w:rsidRPr="00C6650B" w:rsidRDefault="00DA4CCE" w:rsidP="008E1FC2"/>
    <w:p w:rsidR="0026588E" w:rsidRDefault="0026588E" w:rsidP="0026588E">
      <w:r>
        <w:t xml:space="preserve">B. </w:t>
      </w:r>
      <w:r w:rsidR="008E1FC2" w:rsidRPr="00C6650B">
        <w:t>Data will be treated in a secure manner and will not be disclosed</w:t>
      </w:r>
      <w:r w:rsidR="00442B95">
        <w:t>.</w:t>
      </w:r>
      <w:r w:rsidR="0074793A">
        <w:t xml:space="preserve"> </w:t>
      </w:r>
      <w:proofErr w:type="spellStart"/>
      <w:r w:rsidRPr="007C5440">
        <w:rPr>
          <w:i/>
        </w:rPr>
        <w:t>Epi</w:t>
      </w:r>
      <w:proofErr w:type="spellEnd"/>
      <w:r w:rsidRPr="007C5440">
        <w:rPr>
          <w:i/>
        </w:rPr>
        <w:t>-</w:t>
      </w:r>
      <w:r w:rsidR="00FD577C" w:rsidRPr="007C5440">
        <w:rPr>
          <w:i/>
        </w:rPr>
        <w:t>X is</w:t>
      </w:r>
      <w:r w:rsidRPr="007C5440">
        <w:t xml:space="preserve"> a secure, electronic communication system </w:t>
      </w:r>
      <w:r>
        <w:t>that enables</w:t>
      </w:r>
      <w:r w:rsidRPr="007C5440">
        <w:t xml:space="preserve"> local, state, and federal </w:t>
      </w:r>
      <w:r>
        <w:t xml:space="preserve">public </w:t>
      </w:r>
      <w:r w:rsidRPr="007C5440">
        <w:t xml:space="preserve">health officials </w:t>
      </w:r>
      <w:r>
        <w:t>to</w:t>
      </w:r>
      <w:r w:rsidRPr="007C5440">
        <w:t xml:space="preserve"> shar</w:t>
      </w:r>
      <w:r>
        <w:t>e</w:t>
      </w:r>
      <w:r w:rsidRPr="007C5440">
        <w:t xml:space="preserve"> information about recent outbreaks and other health events in a rapid manner. Advisement information for </w:t>
      </w:r>
      <w:proofErr w:type="spellStart"/>
      <w:r w:rsidRPr="007C5440">
        <w:rPr>
          <w:i/>
        </w:rPr>
        <w:t>Epi</w:t>
      </w:r>
      <w:proofErr w:type="spellEnd"/>
      <w:r w:rsidRPr="007C5440">
        <w:rPr>
          <w:i/>
        </w:rPr>
        <w:t>-X</w:t>
      </w:r>
      <w:r w:rsidRPr="007C5440">
        <w:t xml:space="preserve"> users in the form of a Privacy Policy Notice is located in Attachment </w:t>
      </w:r>
      <w:r w:rsidR="0025758D">
        <w:t>3</w:t>
      </w:r>
      <w:r w:rsidRPr="007C5440">
        <w:t>.</w:t>
      </w:r>
      <w:r w:rsidR="00A71CC8">
        <w:t xml:space="preserve">  </w:t>
      </w:r>
      <w:r w:rsidRPr="007C5440">
        <w:t xml:space="preserve"> </w:t>
      </w:r>
      <w:r w:rsidR="0025758D">
        <w:t>D</w:t>
      </w:r>
      <w:r w:rsidRPr="007C5440">
        <w:t xml:space="preserve">ata collection </w:t>
      </w:r>
      <w:r w:rsidR="003A65BD" w:rsidRPr="007C5440">
        <w:t xml:space="preserve">instruments </w:t>
      </w:r>
      <w:r w:rsidR="003A65BD">
        <w:t>will</w:t>
      </w:r>
      <w:r w:rsidR="007B7CAE">
        <w:t xml:space="preserve"> </w:t>
      </w:r>
      <w:r w:rsidR="007B7CAE" w:rsidRPr="007C5440">
        <w:t>not</w:t>
      </w:r>
      <w:r w:rsidRPr="007C5440">
        <w:t xml:space="preserve"> involve collecting sensitive and/or personal identifiable information. </w:t>
      </w:r>
      <w:r>
        <w:t>Data</w:t>
      </w:r>
      <w:r w:rsidRPr="007C5440">
        <w:t xml:space="preserve"> collected through use of </w:t>
      </w:r>
      <w:r w:rsidR="0025758D">
        <w:t xml:space="preserve">this generic IC </w:t>
      </w:r>
      <w:r w:rsidRPr="007C5440">
        <w:t xml:space="preserve">s will be stored as all information in </w:t>
      </w:r>
      <w:proofErr w:type="spellStart"/>
      <w:r w:rsidRPr="007C5440">
        <w:rPr>
          <w:i/>
        </w:rPr>
        <w:t>Epi</w:t>
      </w:r>
      <w:proofErr w:type="spellEnd"/>
      <w:r w:rsidRPr="007C5440">
        <w:rPr>
          <w:i/>
        </w:rPr>
        <w:t>-X</w:t>
      </w:r>
      <w:r w:rsidRPr="007C5440">
        <w:t xml:space="preserve"> is stored: in an SQL database that resides behind the CDC firewall.  The physical security where the servers reside requires special CDC </w:t>
      </w:r>
      <w:r w:rsidR="006F7C84">
        <w:t>s</w:t>
      </w:r>
      <w:r w:rsidRPr="007C5440">
        <w:t>ecurity clearance to enter the room.  Cleared individuals must pass through a double door system that is electronically controlled by a pass key.  The servers are locked in separate loc</w:t>
      </w:r>
      <w:r w:rsidR="00B24421">
        <w:t>ked cages that only the System A</w:t>
      </w:r>
      <w:r w:rsidRPr="007C5440">
        <w:t xml:space="preserve">dministrators (SA) can access.  </w:t>
      </w:r>
      <w:r>
        <w:t>T</w:t>
      </w:r>
      <w:r w:rsidRPr="007C5440">
        <w:t xml:space="preserve">he servers </w:t>
      </w:r>
      <w:r>
        <w:t>require</w:t>
      </w:r>
      <w:r w:rsidRPr="007C5440">
        <w:t xml:space="preserve"> server-side strong security passwords to enter the server.  Written rules of behavior for SAs are enforced by recording and monitoring acc</w:t>
      </w:r>
      <w:r>
        <w:t>ess logs and through training. A</w:t>
      </w:r>
      <w:r w:rsidRPr="007C5440">
        <w:t xml:space="preserve"> designated Security Steward monitors and enfor</w:t>
      </w:r>
      <w:r w:rsidR="00E65267">
        <w:t>ces all security concerns.  The Information Technology Services Office</w:t>
      </w:r>
      <w:r w:rsidRPr="007C5440">
        <w:t xml:space="preserve"> scans computers regularly to ensure </w:t>
      </w:r>
      <w:r>
        <w:t xml:space="preserve">that </w:t>
      </w:r>
      <w:r w:rsidRPr="007C5440">
        <w:t>adequate protection is maintained on the servers.</w:t>
      </w:r>
    </w:p>
    <w:p w:rsidR="00A71CC8" w:rsidRPr="007C5440" w:rsidRDefault="00A71CC8" w:rsidP="0026588E"/>
    <w:p w:rsidR="0026588E" w:rsidRDefault="0026588E" w:rsidP="0026588E">
      <w:r w:rsidRPr="007C5440">
        <w:t>“Least privilege” rule (need to know access) is enforced for all authorized users.</w:t>
      </w:r>
      <w:r>
        <w:t xml:space="preserve"> O</w:t>
      </w:r>
      <w:r w:rsidRPr="007C5440">
        <w:t xml:space="preserve">nly </w:t>
      </w:r>
      <w:r>
        <w:t xml:space="preserve">authorized users with </w:t>
      </w:r>
      <w:r w:rsidRPr="007C5440">
        <w:t xml:space="preserve">valid </w:t>
      </w:r>
      <w:r w:rsidR="00EB5A86">
        <w:t>SAMS credential or HHS PIV card</w:t>
      </w:r>
      <w:r w:rsidRPr="007C5440">
        <w:t xml:space="preserve"> have access to </w:t>
      </w:r>
      <w:r>
        <w:t>data</w:t>
      </w:r>
      <w:r w:rsidRPr="007C5440">
        <w:t xml:space="preserve"> collected through </w:t>
      </w:r>
      <w:proofErr w:type="spellStart"/>
      <w:r w:rsidRPr="007C5440">
        <w:rPr>
          <w:i/>
        </w:rPr>
        <w:t>Epi</w:t>
      </w:r>
      <w:proofErr w:type="spellEnd"/>
      <w:r w:rsidRPr="007C5440">
        <w:rPr>
          <w:i/>
        </w:rPr>
        <w:t>-X</w:t>
      </w:r>
      <w:r w:rsidRPr="007C5440">
        <w:t xml:space="preserve">. </w:t>
      </w:r>
      <w:r>
        <w:t xml:space="preserve">Users of </w:t>
      </w:r>
      <w:proofErr w:type="spellStart"/>
      <w:r w:rsidRPr="007C5440">
        <w:rPr>
          <w:i/>
        </w:rPr>
        <w:t>Epi</w:t>
      </w:r>
      <w:proofErr w:type="spellEnd"/>
      <w:r w:rsidRPr="007C5440">
        <w:rPr>
          <w:i/>
        </w:rPr>
        <w:t>-X</w:t>
      </w:r>
      <w:r>
        <w:t xml:space="preserve"> are authorized by a state public health department official (usually the State Epidemiologist), through their affiliation with a partner organization (e.g., </w:t>
      </w:r>
      <w:r>
        <w:lastRenderedPageBreak/>
        <w:t>CSTE, APHL, NACCHO, ASTHO), or through their affiliation with a government agency (</w:t>
      </w:r>
      <w:r w:rsidRPr="007C5440">
        <w:t xml:space="preserve">e.g., CDC, HHS, DHS, </w:t>
      </w:r>
      <w:proofErr w:type="spellStart"/>
      <w:proofErr w:type="gramStart"/>
      <w:r w:rsidRPr="007C5440">
        <w:t>DoD</w:t>
      </w:r>
      <w:proofErr w:type="spellEnd"/>
      <w:proofErr w:type="gramEnd"/>
      <w:r w:rsidRPr="007C5440">
        <w:t xml:space="preserve">, </w:t>
      </w:r>
      <w:proofErr w:type="spellStart"/>
      <w:r w:rsidRPr="007C5440">
        <w:t>DoS</w:t>
      </w:r>
      <w:proofErr w:type="spellEnd"/>
      <w:r w:rsidRPr="007C5440">
        <w:t xml:space="preserve">). </w:t>
      </w:r>
      <w:r>
        <w:t>A</w:t>
      </w:r>
      <w:r w:rsidRPr="007C5440">
        <w:t xml:space="preserve">uthorized users are required to read and abide by the </w:t>
      </w:r>
      <w:proofErr w:type="spellStart"/>
      <w:r w:rsidRPr="007C5440">
        <w:rPr>
          <w:i/>
        </w:rPr>
        <w:t>Epi</w:t>
      </w:r>
      <w:proofErr w:type="spellEnd"/>
      <w:r w:rsidRPr="007C5440">
        <w:rPr>
          <w:i/>
        </w:rPr>
        <w:t xml:space="preserve">-X </w:t>
      </w:r>
      <w:r>
        <w:t>User Agreement,</w:t>
      </w:r>
      <w:r w:rsidRPr="007C5440">
        <w:t xml:space="preserve"> which delineates their roles and responsibilities with regard to the use of </w:t>
      </w:r>
      <w:proofErr w:type="spellStart"/>
      <w:r w:rsidRPr="007C5440">
        <w:rPr>
          <w:i/>
        </w:rPr>
        <w:t>Epi</w:t>
      </w:r>
      <w:proofErr w:type="spellEnd"/>
      <w:r w:rsidRPr="007C5440">
        <w:rPr>
          <w:i/>
        </w:rPr>
        <w:t xml:space="preserve">-X </w:t>
      </w:r>
      <w:r w:rsidRPr="007C5440">
        <w:t>information.</w:t>
      </w:r>
      <w:r>
        <w:t xml:space="preserve"> Authorized users are subject to the terms of</w:t>
      </w:r>
      <w:r w:rsidR="00207B3B">
        <w:t xml:space="preserve"> the privacy policy</w:t>
      </w:r>
      <w:r>
        <w:t>.</w:t>
      </w:r>
    </w:p>
    <w:p w:rsidR="00A71CC8" w:rsidRDefault="00A71CC8" w:rsidP="0026588E"/>
    <w:p w:rsidR="0026588E" w:rsidRPr="00E35592" w:rsidRDefault="0026588E" w:rsidP="0026588E">
      <w:r w:rsidRPr="00B42CF0">
        <w:t xml:space="preserve">All information collected through </w:t>
      </w:r>
      <w:proofErr w:type="spellStart"/>
      <w:r w:rsidRPr="00B42CF0">
        <w:rPr>
          <w:i/>
        </w:rPr>
        <w:t>Epi</w:t>
      </w:r>
      <w:proofErr w:type="spellEnd"/>
      <w:r w:rsidRPr="00B42CF0">
        <w:rPr>
          <w:i/>
        </w:rPr>
        <w:t>-X</w:t>
      </w:r>
      <w:r w:rsidRPr="00B42CF0">
        <w:t xml:space="preserve"> is retained in perpetuity. Data collected through use of th</w:t>
      </w:r>
      <w:r w:rsidR="0025758D">
        <w:t>ese generic IC</w:t>
      </w:r>
      <w:r w:rsidRPr="00B42CF0">
        <w:t xml:space="preserve"> </w:t>
      </w:r>
      <w:r w:rsidR="00167920" w:rsidRPr="00B42CF0">
        <w:t>instruments will</w:t>
      </w:r>
      <w:r w:rsidRPr="00B42CF0">
        <w:t xml:space="preserve"> be available on the secure website as an </w:t>
      </w:r>
      <w:proofErr w:type="spellStart"/>
      <w:r w:rsidRPr="00B42CF0">
        <w:rPr>
          <w:i/>
        </w:rPr>
        <w:t>Epi</w:t>
      </w:r>
      <w:proofErr w:type="spellEnd"/>
      <w:r w:rsidRPr="00B42CF0">
        <w:rPr>
          <w:i/>
        </w:rPr>
        <w:t>-</w:t>
      </w:r>
      <w:r w:rsidRPr="00E35592">
        <w:rPr>
          <w:i/>
        </w:rPr>
        <w:t>X</w:t>
      </w:r>
      <w:r>
        <w:t xml:space="preserve"> report</w:t>
      </w:r>
      <w:r w:rsidRPr="00B42CF0">
        <w:t xml:space="preserve">, </w:t>
      </w:r>
      <w:proofErr w:type="spellStart"/>
      <w:r w:rsidRPr="00B42CF0">
        <w:rPr>
          <w:i/>
        </w:rPr>
        <w:t>Epi</w:t>
      </w:r>
      <w:proofErr w:type="spellEnd"/>
      <w:r w:rsidRPr="00B42CF0">
        <w:rPr>
          <w:i/>
        </w:rPr>
        <w:t>-X Forum</w:t>
      </w:r>
      <w:r w:rsidRPr="00B42CF0">
        <w:t xml:space="preserve"> discussion posting, or as an attachment to a report or discussion posting. Data added as attachments are not searchable, but data added to an </w:t>
      </w:r>
      <w:proofErr w:type="spellStart"/>
      <w:r w:rsidRPr="00B42CF0">
        <w:rPr>
          <w:i/>
        </w:rPr>
        <w:t>Epi</w:t>
      </w:r>
      <w:proofErr w:type="spellEnd"/>
      <w:r w:rsidRPr="00B42CF0">
        <w:rPr>
          <w:i/>
        </w:rPr>
        <w:t>-X</w:t>
      </w:r>
      <w:r w:rsidRPr="00B42CF0">
        <w:t xml:space="preserve"> report or </w:t>
      </w:r>
      <w:proofErr w:type="spellStart"/>
      <w:r w:rsidRPr="00B42CF0">
        <w:rPr>
          <w:i/>
        </w:rPr>
        <w:t>Epi</w:t>
      </w:r>
      <w:proofErr w:type="spellEnd"/>
      <w:r w:rsidRPr="00B42CF0">
        <w:rPr>
          <w:i/>
        </w:rPr>
        <w:t>-X Forum</w:t>
      </w:r>
      <w:r w:rsidRPr="00B42CF0">
        <w:t xml:space="preserve"> discussion posting are searchable. None of the data collection instruments ask for names of individuals so these would not be available as parameters for searching </w:t>
      </w:r>
      <w:proofErr w:type="spellStart"/>
      <w:r w:rsidRPr="00B42CF0">
        <w:rPr>
          <w:i/>
        </w:rPr>
        <w:t>Epi</w:t>
      </w:r>
      <w:proofErr w:type="spellEnd"/>
      <w:r w:rsidRPr="00B42CF0">
        <w:rPr>
          <w:i/>
        </w:rPr>
        <w:t>-X</w:t>
      </w:r>
      <w:r w:rsidRPr="00B42CF0">
        <w:t xml:space="preserve"> reports or </w:t>
      </w:r>
      <w:proofErr w:type="spellStart"/>
      <w:r w:rsidRPr="00B42CF0">
        <w:rPr>
          <w:i/>
        </w:rPr>
        <w:t>Epi</w:t>
      </w:r>
      <w:proofErr w:type="spellEnd"/>
      <w:r w:rsidRPr="00B42CF0">
        <w:rPr>
          <w:i/>
        </w:rPr>
        <w:t>-X Forum</w:t>
      </w:r>
      <w:r w:rsidRPr="00B42CF0">
        <w:t xml:space="preserve"> postings.</w:t>
      </w:r>
    </w:p>
    <w:p w:rsidR="00824BD8" w:rsidRDefault="00C41789" w:rsidP="00824BD8">
      <w:pPr>
        <w:spacing w:before="240"/>
        <w:rPr>
          <w:bCs/>
        </w:rPr>
      </w:pPr>
      <w:r>
        <w:t>C.</w:t>
      </w:r>
      <w:r w:rsidR="0026588E" w:rsidRPr="00C6650B">
        <w:t xml:space="preserve"> Respondents will be notified of the voluntary nature of their response</w:t>
      </w:r>
      <w:r w:rsidR="00824BD8">
        <w:t xml:space="preserve"> and asked </w:t>
      </w:r>
      <w:r w:rsidR="000A7013">
        <w:t xml:space="preserve">if there are any limitations or time embargoes as to how the information should be shared or </w:t>
      </w:r>
      <w:r>
        <w:t>disseminated</w:t>
      </w:r>
      <w:r w:rsidR="0074793A">
        <w:t xml:space="preserve">. </w:t>
      </w:r>
      <w:r>
        <w:rPr>
          <w:bCs/>
        </w:rPr>
        <w:t>The</w:t>
      </w:r>
      <w:r w:rsidR="006F5FEE">
        <w:rPr>
          <w:bCs/>
        </w:rPr>
        <w:t xml:space="preserve"> Epidemic Information Exchange</w:t>
      </w:r>
      <w:r>
        <w:rPr>
          <w:bCs/>
        </w:rPr>
        <w:t>’s (</w:t>
      </w:r>
      <w:proofErr w:type="spellStart"/>
      <w:r w:rsidRPr="00C41789">
        <w:rPr>
          <w:bCs/>
          <w:i/>
        </w:rPr>
        <w:t>Epi</w:t>
      </w:r>
      <w:proofErr w:type="spellEnd"/>
      <w:r w:rsidRPr="00C41789">
        <w:rPr>
          <w:bCs/>
          <w:i/>
        </w:rPr>
        <w:t>-X</w:t>
      </w:r>
      <w:r>
        <w:rPr>
          <w:bCs/>
        </w:rPr>
        <w:t>)</w:t>
      </w:r>
      <w:r w:rsidR="006F5FEE">
        <w:rPr>
          <w:bCs/>
        </w:rPr>
        <w:t xml:space="preserve"> purpose is</w:t>
      </w:r>
      <w:r w:rsidR="00824BD8" w:rsidRPr="00C6650B">
        <w:rPr>
          <w:bCs/>
        </w:rPr>
        <w:t xml:space="preserve"> to create an accurate, reliable knowledge base related to an ongoing public health emergency incident, to ensure situation awareness by CDC and state local</w:t>
      </w:r>
      <w:r w:rsidR="0025758D">
        <w:rPr>
          <w:bCs/>
        </w:rPr>
        <w:t>, t</w:t>
      </w:r>
      <w:r w:rsidR="00FD4265">
        <w:rPr>
          <w:bCs/>
        </w:rPr>
        <w:t xml:space="preserve">erritorial and tribal </w:t>
      </w:r>
      <w:r w:rsidR="00824BD8" w:rsidRPr="00C6650B">
        <w:rPr>
          <w:bCs/>
        </w:rPr>
        <w:t xml:space="preserve">public health officials, to facilitate communication that will inform appropriate decision making, and to execute effective and efficient response activities. </w:t>
      </w:r>
      <w:r>
        <w:rPr>
          <w:bCs/>
        </w:rPr>
        <w:t>As many public health emergency incidents are multi-jurisdictional, i</w:t>
      </w:r>
      <w:r w:rsidR="00824BD8" w:rsidRPr="00C6650B">
        <w:rPr>
          <w:bCs/>
        </w:rPr>
        <w:t xml:space="preserve">nformation acquired from this process will </w:t>
      </w:r>
      <w:r>
        <w:rPr>
          <w:bCs/>
        </w:rPr>
        <w:t xml:space="preserve">be shared with appropriate, federal, state, and local partners to </w:t>
      </w:r>
      <w:r w:rsidR="00824BD8" w:rsidRPr="00C6650B">
        <w:rPr>
          <w:bCs/>
        </w:rPr>
        <w:t xml:space="preserve">strengthen the public health communications infrastructure and the nation’s ability to respond to multi-jurisdictional disease outbreaks, natural disasters, and bioterrorism threats. </w:t>
      </w:r>
    </w:p>
    <w:p w:rsidR="00824BD8" w:rsidRPr="00C6650B" w:rsidRDefault="000A7013" w:rsidP="00824BD8">
      <w:pPr>
        <w:spacing w:before="240"/>
      </w:pPr>
      <w:r>
        <w:t>Based on a respondent’s limitations on the d</w:t>
      </w:r>
      <w:r w:rsidR="00824BD8" w:rsidRPr="00C6650B">
        <w:t>ata collected</w:t>
      </w:r>
      <w:r>
        <w:t>, it</w:t>
      </w:r>
      <w:r w:rsidR="00824BD8" w:rsidRPr="00C6650B">
        <w:t xml:space="preserve"> may be </w:t>
      </w:r>
      <w:r>
        <w:t>shared with</w:t>
      </w:r>
      <w:r w:rsidR="00824BD8" w:rsidRPr="00C6650B">
        <w:t xml:space="preserve"> </w:t>
      </w:r>
      <w:r w:rsidR="0074793A" w:rsidRPr="00C6650B">
        <w:t xml:space="preserve">other </w:t>
      </w:r>
      <w:r w:rsidR="0074793A">
        <w:t>appropriate</w:t>
      </w:r>
      <w:r w:rsidR="00C41789">
        <w:t xml:space="preserve"> </w:t>
      </w:r>
      <w:r>
        <w:t xml:space="preserve">Federal </w:t>
      </w:r>
      <w:r w:rsidR="00824BD8" w:rsidRPr="00C6650B">
        <w:t>Agencies (e.g., Food and Drug Administration)</w:t>
      </w:r>
      <w:r w:rsidR="00824BD8">
        <w:t xml:space="preserve"> and local </w:t>
      </w:r>
      <w:r>
        <w:t xml:space="preserve">or state </w:t>
      </w:r>
      <w:r w:rsidR="00824BD8">
        <w:t>jurisdictions</w:t>
      </w:r>
      <w:r>
        <w:t xml:space="preserve"> who are </w:t>
      </w:r>
      <w:proofErr w:type="spellStart"/>
      <w:r w:rsidRPr="00C41789">
        <w:rPr>
          <w:i/>
        </w:rPr>
        <w:t>Epi</w:t>
      </w:r>
      <w:proofErr w:type="spellEnd"/>
      <w:r w:rsidRPr="00C41789">
        <w:rPr>
          <w:i/>
        </w:rPr>
        <w:t>-X</w:t>
      </w:r>
      <w:r>
        <w:t xml:space="preserve"> subscribers</w:t>
      </w:r>
      <w:r w:rsidR="00824BD8" w:rsidRPr="00C6650B">
        <w:t xml:space="preserve">.  </w:t>
      </w:r>
    </w:p>
    <w:p w:rsidR="00FB653B" w:rsidRPr="00C6650B" w:rsidRDefault="00FB653B" w:rsidP="005F7629">
      <w:pPr>
        <w:tabs>
          <w:tab w:val="left" w:pos="1800"/>
        </w:tabs>
      </w:pPr>
    </w:p>
    <w:p w:rsidR="00644872" w:rsidRPr="00C6650B" w:rsidRDefault="00C6650B" w:rsidP="00EC58A0">
      <w:pPr>
        <w:numPr>
          <w:ilvl w:val="0"/>
          <w:numId w:val="14"/>
        </w:numPr>
        <w:rPr>
          <w:b/>
          <w:bCs/>
          <w:sz w:val="28"/>
          <w:szCs w:val="28"/>
        </w:rPr>
      </w:pPr>
      <w:r>
        <w:rPr>
          <w:b/>
          <w:bCs/>
          <w:sz w:val="28"/>
          <w:szCs w:val="28"/>
        </w:rPr>
        <w:t xml:space="preserve"> </w:t>
      </w:r>
      <w:r w:rsidR="00644872" w:rsidRPr="00C6650B">
        <w:rPr>
          <w:b/>
          <w:bCs/>
          <w:sz w:val="28"/>
          <w:szCs w:val="28"/>
        </w:rPr>
        <w:t>Justification for Sensitive Questions</w:t>
      </w:r>
    </w:p>
    <w:p w:rsidR="007B3F21" w:rsidRPr="00C6650B" w:rsidRDefault="007B3F21" w:rsidP="007B3F21">
      <w:pPr>
        <w:rPr>
          <w:b/>
          <w:bCs/>
        </w:rPr>
      </w:pPr>
    </w:p>
    <w:p w:rsidR="00C2467B" w:rsidRDefault="00824BD8" w:rsidP="00824BD8">
      <w:pPr>
        <w:tabs>
          <w:tab w:val="left" w:pos="1800"/>
        </w:tabs>
      </w:pPr>
      <w:r>
        <w:t xml:space="preserve"> </w:t>
      </w:r>
      <w:r w:rsidR="00FD4265">
        <w:t>I</w:t>
      </w:r>
      <w:r>
        <w:t>nformation collect</w:t>
      </w:r>
      <w:r w:rsidR="00E0428A">
        <w:t>e</w:t>
      </w:r>
      <w:r w:rsidR="007B7CAE">
        <w:t>d under</w:t>
      </w:r>
      <w:r w:rsidR="00FD4265">
        <w:t xml:space="preserve"> this generic will </w:t>
      </w:r>
      <w:r>
        <w:t>not contain questions of a sensitive nature.</w:t>
      </w:r>
    </w:p>
    <w:p w:rsidR="00C41789" w:rsidRPr="00C6650B" w:rsidRDefault="00C41789" w:rsidP="00824BD8">
      <w:pPr>
        <w:tabs>
          <w:tab w:val="left" w:pos="1800"/>
        </w:tabs>
      </w:pPr>
    </w:p>
    <w:p w:rsidR="00644872" w:rsidRDefault="00692B9F" w:rsidP="00EC58A0">
      <w:pPr>
        <w:numPr>
          <w:ilvl w:val="0"/>
          <w:numId w:val="14"/>
        </w:numPr>
        <w:rPr>
          <w:b/>
          <w:bCs/>
          <w:sz w:val="28"/>
          <w:szCs w:val="28"/>
        </w:rPr>
      </w:pPr>
      <w:r>
        <w:rPr>
          <w:b/>
          <w:bCs/>
          <w:sz w:val="28"/>
          <w:szCs w:val="28"/>
        </w:rPr>
        <w:t xml:space="preserve"> </w:t>
      </w:r>
      <w:r w:rsidR="00C6650B">
        <w:rPr>
          <w:b/>
          <w:bCs/>
          <w:sz w:val="28"/>
          <w:szCs w:val="28"/>
        </w:rPr>
        <w:t xml:space="preserve"> </w:t>
      </w:r>
      <w:r w:rsidR="00644872" w:rsidRPr="00C6650B">
        <w:rPr>
          <w:b/>
          <w:bCs/>
          <w:sz w:val="28"/>
          <w:szCs w:val="28"/>
        </w:rPr>
        <w:t>Estimates of Annualized Burden Hours and Costs</w:t>
      </w:r>
    </w:p>
    <w:p w:rsidR="000F2E1A" w:rsidRPr="00C6650B" w:rsidRDefault="000F2E1A" w:rsidP="000F2E1A">
      <w:pPr>
        <w:rPr>
          <w:b/>
          <w:bCs/>
          <w:sz w:val="28"/>
          <w:szCs w:val="28"/>
        </w:rPr>
      </w:pPr>
    </w:p>
    <w:p w:rsidR="00E25661" w:rsidRDefault="00B06FAA" w:rsidP="00E25661">
      <w:pPr>
        <w:tabs>
          <w:tab w:val="left" w:pos="0"/>
        </w:tabs>
      </w:pPr>
      <w:r w:rsidRPr="00C6650B">
        <w:t>Because most public health emergency responses are multistate and multijurisdictional</w:t>
      </w:r>
      <w:r w:rsidR="00EC58A0" w:rsidRPr="00C6650B">
        <w:t>,</w:t>
      </w:r>
      <w:r w:rsidRPr="00C6650B">
        <w:t xml:space="preserve"> each incident specific survey instrument would be sent to appropriate public health officials/offices that are responsible </w:t>
      </w:r>
      <w:r w:rsidR="00480E3F" w:rsidRPr="00C6650B">
        <w:t xml:space="preserve">for </w:t>
      </w:r>
      <w:r w:rsidR="00480E3F">
        <w:t>a</w:t>
      </w:r>
      <w:r w:rsidR="00D958E4">
        <w:t xml:space="preserve"> specific </w:t>
      </w:r>
      <w:r w:rsidRPr="00C6650B">
        <w:t>incident response in each jurisdiction affected.</w:t>
      </w:r>
      <w:r w:rsidR="00D05A27">
        <w:t xml:space="preserve">  </w:t>
      </w:r>
    </w:p>
    <w:p w:rsidR="00E1739D" w:rsidRDefault="00D958E4" w:rsidP="004323EC">
      <w:pPr>
        <w:tabs>
          <w:tab w:val="left" w:pos="-1440"/>
          <w:tab w:val="left" w:pos="-720"/>
        </w:tabs>
        <w:autoSpaceDE w:val="0"/>
        <w:autoSpaceDN w:val="0"/>
        <w:adjustRightInd w:val="0"/>
        <w:ind w:left="360" w:right="720"/>
        <w:rPr>
          <w:u w:val="single"/>
        </w:rPr>
      </w:pPr>
      <w:r>
        <w:t xml:space="preserve"> </w:t>
      </w:r>
    </w:p>
    <w:p w:rsidR="00D958E4" w:rsidRDefault="00D958E4" w:rsidP="00D958E4">
      <w:r>
        <w:t xml:space="preserve">State Epidemiologist:  The number of respondents and the number of responses per respondent reflects an upper limit and the uncertainty of predicting public health </w:t>
      </w:r>
      <w:r w:rsidR="00480E3F">
        <w:t>emergencies</w:t>
      </w:r>
      <w:r>
        <w:t xml:space="preserve">.  A population based estimate was used that would reflect a </w:t>
      </w:r>
      <w:r w:rsidR="007F1951">
        <w:t>state’s</w:t>
      </w:r>
      <w:r>
        <w:t xml:space="preserve"> epidemiologist whose jurisdiction covered a large population over a large geographic area an</w:t>
      </w:r>
      <w:r w:rsidR="007E0FF8">
        <w:t>d would receiving a maximum of two</w:t>
      </w:r>
      <w:r>
        <w:t xml:space="preserve"> surveys per week.  This rate was used for all states regardless of their population or geographic size. </w:t>
      </w:r>
    </w:p>
    <w:p w:rsidR="00D958E4" w:rsidRDefault="00D958E4" w:rsidP="00D958E4"/>
    <w:p w:rsidR="00D958E4" w:rsidRDefault="00D958E4" w:rsidP="00D958E4">
      <w:r>
        <w:lastRenderedPageBreak/>
        <w:t xml:space="preserve">County Health Officials:  The number of respondents and the number of responses per respondent again reflects an upper limit and the uncertainty of predicting public health </w:t>
      </w:r>
      <w:r w:rsidR="00480E3F">
        <w:t>emergencies</w:t>
      </w:r>
      <w:r>
        <w:t xml:space="preserve">.   Some county health officials may receive more than one survey, some may receive none.  However, as subdivision of the states, the maximum </w:t>
      </w:r>
      <w:r w:rsidR="00480E3F">
        <w:t>estimated was</w:t>
      </w:r>
      <w:r w:rsidR="005F1C37">
        <w:t xml:space="preserve"> set at one</w:t>
      </w:r>
      <w:r>
        <w:t xml:space="preserve"> survey per month.    </w:t>
      </w:r>
    </w:p>
    <w:p w:rsidR="00D958E4" w:rsidRDefault="00D958E4" w:rsidP="00D958E4"/>
    <w:p w:rsidR="00D958E4" w:rsidRPr="00A20202" w:rsidRDefault="00DF2607" w:rsidP="00D958E4">
      <w:pPr>
        <w:tabs>
          <w:tab w:val="left" w:pos="-1440"/>
          <w:tab w:val="left" w:pos="-720"/>
        </w:tabs>
        <w:autoSpaceDE w:val="0"/>
        <w:autoSpaceDN w:val="0"/>
        <w:adjustRightInd w:val="0"/>
        <w:ind w:left="360" w:right="720"/>
      </w:pPr>
      <w:r>
        <w:t>50</w:t>
      </w:r>
      <w:r w:rsidR="00D958E4" w:rsidRPr="00A20202">
        <w:t xml:space="preserve"> states x 10</w:t>
      </w:r>
      <w:r w:rsidR="00044F8B">
        <w:t>4</w:t>
      </w:r>
      <w:r w:rsidR="00D958E4" w:rsidRPr="00A20202">
        <w:t xml:space="preserve"> questionnaires</w:t>
      </w:r>
      <w:r w:rsidR="00044F8B">
        <w:t xml:space="preserve"> (52 weeks x 2) </w:t>
      </w:r>
      <w:r w:rsidR="00D958E4" w:rsidRPr="00A20202">
        <w:t>/ year x 1 hour/questionnaire = 5</w:t>
      </w:r>
      <w:r w:rsidR="00044F8B">
        <w:t>2</w:t>
      </w:r>
      <w:r w:rsidR="00D958E4" w:rsidRPr="00A20202">
        <w:t xml:space="preserve">00 burden hours for state health officials </w:t>
      </w:r>
    </w:p>
    <w:p w:rsidR="00D958E4" w:rsidRPr="00A20202" w:rsidRDefault="00D958E4" w:rsidP="00D958E4">
      <w:pPr>
        <w:tabs>
          <w:tab w:val="left" w:pos="-1440"/>
          <w:tab w:val="left" w:pos="-720"/>
        </w:tabs>
        <w:autoSpaceDE w:val="0"/>
        <w:autoSpaceDN w:val="0"/>
        <w:adjustRightInd w:val="0"/>
        <w:ind w:left="720" w:right="720"/>
      </w:pPr>
    </w:p>
    <w:p w:rsidR="00D958E4" w:rsidRPr="00C6650B" w:rsidRDefault="00D958E4" w:rsidP="00D958E4">
      <w:pPr>
        <w:tabs>
          <w:tab w:val="left" w:pos="-1440"/>
          <w:tab w:val="left" w:pos="-720"/>
        </w:tabs>
        <w:autoSpaceDE w:val="0"/>
        <w:autoSpaceDN w:val="0"/>
        <w:adjustRightInd w:val="0"/>
        <w:ind w:left="360" w:right="720"/>
      </w:pPr>
      <w:r w:rsidRPr="00A20202">
        <w:t>12 questionnaires /year x 1 hour questionnaire x 1600 county health officials (approximately half of US counties) = 19,200 burden hours for health officials</w:t>
      </w:r>
      <w:r w:rsidRPr="00C6650B">
        <w:t xml:space="preserve"> </w:t>
      </w:r>
    </w:p>
    <w:p w:rsidR="00D958E4" w:rsidRPr="00C6650B" w:rsidRDefault="00D958E4" w:rsidP="00D958E4">
      <w:pPr>
        <w:tabs>
          <w:tab w:val="left" w:pos="-1440"/>
          <w:tab w:val="left" w:pos="-720"/>
        </w:tabs>
        <w:autoSpaceDE w:val="0"/>
        <w:autoSpaceDN w:val="0"/>
        <w:adjustRightInd w:val="0"/>
        <w:ind w:left="720" w:right="720"/>
      </w:pPr>
    </w:p>
    <w:p w:rsidR="00993C57" w:rsidRDefault="00D958E4" w:rsidP="00C911B0">
      <w:pPr>
        <w:tabs>
          <w:tab w:val="left" w:pos="-1440"/>
          <w:tab w:val="left" w:pos="-720"/>
        </w:tabs>
        <w:autoSpaceDE w:val="0"/>
        <w:autoSpaceDN w:val="0"/>
        <w:adjustRightInd w:val="0"/>
        <w:ind w:left="360" w:right="720"/>
        <w:rPr>
          <w:u w:val="single"/>
        </w:rPr>
      </w:pPr>
      <w:r w:rsidRPr="00C6650B">
        <w:t>Total = 24,</w:t>
      </w:r>
      <w:r w:rsidR="00044F8B">
        <w:t>4</w:t>
      </w:r>
      <w:r w:rsidRPr="00C6650B">
        <w:t>00 burden hours</w:t>
      </w:r>
      <w:r w:rsidRPr="00C6650B">
        <w:rPr>
          <w:u w:val="single"/>
        </w:rPr>
        <w:t xml:space="preserve"> </w:t>
      </w:r>
      <w:r w:rsidR="00AC3388">
        <w:rPr>
          <w:u w:val="single"/>
        </w:rPr>
        <w:t>x</w:t>
      </w:r>
      <w:r w:rsidR="00FD4265">
        <w:rPr>
          <w:u w:val="single"/>
        </w:rPr>
        <w:t xml:space="preserve"> three years = 73,200 for the full 3 year approval period</w:t>
      </w:r>
    </w:p>
    <w:p w:rsidR="00993C57" w:rsidRDefault="00993C57" w:rsidP="0037209A">
      <w:pPr>
        <w:pStyle w:val="ListParagraph"/>
        <w:tabs>
          <w:tab w:val="left" w:pos="-1440"/>
          <w:tab w:val="left" w:pos="-720"/>
        </w:tabs>
        <w:autoSpaceDE w:val="0"/>
        <w:autoSpaceDN w:val="0"/>
        <w:adjustRightInd w:val="0"/>
        <w:ind w:left="0" w:right="720"/>
        <w:rPr>
          <w:u w:val="single"/>
        </w:rPr>
      </w:pPr>
    </w:p>
    <w:p w:rsidR="00BD0CBB" w:rsidRDefault="00BD0CBB" w:rsidP="0037209A">
      <w:pPr>
        <w:pStyle w:val="ListParagraph"/>
        <w:tabs>
          <w:tab w:val="left" w:pos="-1440"/>
          <w:tab w:val="left" w:pos="-720"/>
        </w:tabs>
        <w:autoSpaceDE w:val="0"/>
        <w:autoSpaceDN w:val="0"/>
        <w:adjustRightInd w:val="0"/>
        <w:ind w:left="0" w:right="720"/>
        <w:rPr>
          <w:u w:val="single"/>
        </w:rPr>
      </w:pPr>
    </w:p>
    <w:p w:rsidR="00AD3062" w:rsidRPr="00C6650B" w:rsidRDefault="005B2411" w:rsidP="0037209A">
      <w:pPr>
        <w:pStyle w:val="ListParagraph"/>
        <w:tabs>
          <w:tab w:val="left" w:pos="-1440"/>
          <w:tab w:val="left" w:pos="-720"/>
        </w:tabs>
        <w:autoSpaceDE w:val="0"/>
        <w:autoSpaceDN w:val="0"/>
        <w:adjustRightInd w:val="0"/>
        <w:ind w:left="0" w:right="720"/>
        <w:rPr>
          <w:u w:val="single"/>
        </w:rPr>
      </w:pPr>
      <w:proofErr w:type="gramStart"/>
      <w:r>
        <w:rPr>
          <w:u w:val="single"/>
        </w:rPr>
        <w:t>Exhibit 1.</w:t>
      </w:r>
      <w:proofErr w:type="gramEnd"/>
      <w:r>
        <w:rPr>
          <w:u w:val="single"/>
        </w:rPr>
        <w:t xml:space="preserve"> </w:t>
      </w:r>
      <w:r w:rsidR="00AD3062" w:rsidRPr="00C6650B">
        <w:rPr>
          <w:u w:val="single"/>
        </w:rPr>
        <w:t>E</w:t>
      </w:r>
      <w:r w:rsidR="0037209A">
        <w:rPr>
          <w:u w:val="single"/>
        </w:rPr>
        <w:t>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476"/>
        <w:gridCol w:w="1476"/>
        <w:gridCol w:w="1476"/>
        <w:gridCol w:w="1476"/>
        <w:gridCol w:w="1476"/>
      </w:tblGrid>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Type of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7365DD"/>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of Respondents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No. Responses per Respondent</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Average Burden per Response (in hours)</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 Burden Hours</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State Epidemiologists</w:t>
            </w:r>
            <w:r w:rsidR="005A6BC9">
              <w:t xml:space="preserve"> </w:t>
            </w:r>
            <w:r w:rsidRPr="00C6650B">
              <w:t xml:space="preserve"> </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5A6BC9">
            <w:r>
              <w:t>50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10</w:t>
            </w:r>
            <w:r w:rsidR="00CC2DB2">
              <w:t>4</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sidP="00044F8B">
            <w:r w:rsidRPr="00C6650B">
              <w:t>5,</w:t>
            </w:r>
            <w:r w:rsidR="00044F8B">
              <w:t xml:space="preserve"> 2</w:t>
            </w:r>
            <w:r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County Health Officials</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1600</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12</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1</w:t>
            </w:r>
          </w:p>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B06FAA">
            <w:r w:rsidRPr="00C6650B">
              <w:t>19,2</w:t>
            </w:r>
            <w:r w:rsidR="00190AE5" w:rsidRPr="00C6650B">
              <w:t>00</w:t>
            </w:r>
          </w:p>
        </w:tc>
      </w:tr>
      <w:tr w:rsidR="00190AE5" w:rsidRPr="00C6650B" w:rsidTr="00190AE5">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190AE5">
            <w:r w:rsidRPr="00C6650B">
              <w:t>Total</w:t>
            </w:r>
          </w:p>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tcPr>
          <w:p w:rsidR="00190AE5" w:rsidRPr="00C6650B" w:rsidRDefault="00190AE5"/>
        </w:tc>
        <w:tc>
          <w:tcPr>
            <w:tcW w:w="1476" w:type="dxa"/>
            <w:tcBorders>
              <w:top w:val="single" w:sz="4" w:space="0" w:color="000000"/>
              <w:left w:val="single" w:sz="4" w:space="0" w:color="000000"/>
              <w:bottom w:val="single" w:sz="4" w:space="0" w:color="000000"/>
              <w:right w:val="single" w:sz="4" w:space="0" w:color="000000"/>
            </w:tcBorders>
            <w:hideMark/>
          </w:tcPr>
          <w:p w:rsidR="00190AE5" w:rsidRPr="00C6650B" w:rsidRDefault="00B06FAA" w:rsidP="00044F8B">
            <w:r w:rsidRPr="00C6650B">
              <w:t>24,</w:t>
            </w:r>
            <w:r w:rsidR="00044F8B">
              <w:t>4</w:t>
            </w:r>
            <w:r w:rsidRPr="00C6650B">
              <w:t>00</w:t>
            </w:r>
          </w:p>
        </w:tc>
      </w:tr>
    </w:tbl>
    <w:p w:rsidR="00164A84" w:rsidRDefault="00164A84" w:rsidP="00164A84"/>
    <w:p w:rsidR="00AF7AEE" w:rsidRDefault="00B06FAA" w:rsidP="00B06FAA">
      <w:r w:rsidRPr="00C6650B">
        <w:t>The mean hourly wage is based on the United States national average for 20</w:t>
      </w:r>
      <w:r w:rsidR="0007092B">
        <w:t>12</w:t>
      </w:r>
      <w:r w:rsidRPr="00C6650B">
        <w:t xml:space="preserve"> taken from the Bureau of Labor Statistics website (</w:t>
      </w:r>
      <w:hyperlink r:id="rId9" w:history="1">
        <w:r w:rsidR="0077503B" w:rsidRPr="00207664">
          <w:rPr>
            <w:rStyle w:val="Hyperlink"/>
          </w:rPr>
          <w:t>www.bls.gov</w:t>
        </w:r>
      </w:hyperlink>
      <w:r w:rsidR="0033662E">
        <w:t>).</w:t>
      </w:r>
    </w:p>
    <w:p w:rsidR="00C97CA3" w:rsidRDefault="00C97CA3" w:rsidP="00B06FAA"/>
    <w:p w:rsidR="00B06FAA" w:rsidRPr="00C6650B" w:rsidRDefault="00EC7A45" w:rsidP="0037209A">
      <w:proofErr w:type="gramStart"/>
      <w:r>
        <w:t>Exhibit 2.</w:t>
      </w:r>
      <w:proofErr w:type="gramEnd"/>
      <w:r>
        <w:t xml:space="preserve"> </w:t>
      </w:r>
      <w:r w:rsidR="00AD3062" w:rsidRPr="00C6650B">
        <w:t>Estimated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tblGrid>
      <w:tr w:rsidR="00B06FAA" w:rsidRPr="00C6650B" w:rsidTr="00B06FAA">
        <w:tc>
          <w:tcPr>
            <w:tcW w:w="2214" w:type="dxa"/>
          </w:tcPr>
          <w:p w:rsidR="00B06FAA" w:rsidRPr="00C6650B" w:rsidRDefault="00B06FAA" w:rsidP="00B06FAA">
            <w:pPr>
              <w:jc w:val="center"/>
            </w:pPr>
            <w:r w:rsidRPr="00C6650B">
              <w:t>Total Burden Hours</w:t>
            </w:r>
          </w:p>
        </w:tc>
        <w:tc>
          <w:tcPr>
            <w:tcW w:w="2214" w:type="dxa"/>
          </w:tcPr>
          <w:p w:rsidR="00B06FAA" w:rsidRPr="00C6650B" w:rsidRDefault="00B06FAA" w:rsidP="00B06FAA">
            <w:pPr>
              <w:jc w:val="center"/>
            </w:pPr>
            <w:r w:rsidRPr="00C6650B">
              <w:t>Hourly Wage Rate</w:t>
            </w:r>
          </w:p>
        </w:tc>
        <w:tc>
          <w:tcPr>
            <w:tcW w:w="2214" w:type="dxa"/>
          </w:tcPr>
          <w:p w:rsidR="00B06FAA" w:rsidRPr="00C6650B" w:rsidRDefault="00B06FAA" w:rsidP="00B06FAA">
            <w:pPr>
              <w:jc w:val="center"/>
            </w:pPr>
            <w:r w:rsidRPr="00C6650B">
              <w:t>Total Respondent Costs</w:t>
            </w:r>
          </w:p>
        </w:tc>
      </w:tr>
      <w:tr w:rsidR="00B06FAA" w:rsidRPr="00C6650B" w:rsidTr="00B06FAA">
        <w:tc>
          <w:tcPr>
            <w:tcW w:w="2214" w:type="dxa"/>
          </w:tcPr>
          <w:p w:rsidR="00B06FAA" w:rsidRPr="00C6650B" w:rsidRDefault="00B06FAA" w:rsidP="00044F8B">
            <w:pPr>
              <w:jc w:val="center"/>
            </w:pPr>
            <w:r w:rsidRPr="00C6650B">
              <w:t>24,</w:t>
            </w:r>
            <w:r w:rsidR="00044F8B">
              <w:t>4</w:t>
            </w:r>
            <w:r w:rsidRPr="00C6650B">
              <w:t>00</w:t>
            </w:r>
          </w:p>
        </w:tc>
        <w:tc>
          <w:tcPr>
            <w:tcW w:w="2214" w:type="dxa"/>
          </w:tcPr>
          <w:p w:rsidR="00B06FAA" w:rsidRPr="00C6650B" w:rsidRDefault="00B06FAA" w:rsidP="0016497E">
            <w:pPr>
              <w:jc w:val="center"/>
            </w:pPr>
            <w:r w:rsidRPr="00C6650B">
              <w:t>$</w:t>
            </w:r>
            <w:r w:rsidR="00C24E4B">
              <w:t>22.01</w:t>
            </w:r>
          </w:p>
        </w:tc>
        <w:tc>
          <w:tcPr>
            <w:tcW w:w="2214" w:type="dxa"/>
          </w:tcPr>
          <w:p w:rsidR="00B06FAA" w:rsidRPr="00C6650B" w:rsidRDefault="00B06FAA" w:rsidP="00044F8B">
            <w:pPr>
              <w:jc w:val="center"/>
            </w:pPr>
            <w:r w:rsidRPr="00C6650B">
              <w:t>$</w:t>
            </w:r>
            <w:r w:rsidR="00330DEC">
              <w:t>537,044</w:t>
            </w:r>
          </w:p>
        </w:tc>
      </w:tr>
    </w:tbl>
    <w:p w:rsidR="00B06FAA" w:rsidRPr="00C6650B" w:rsidRDefault="00B06FAA" w:rsidP="00B06FAA">
      <w:pPr>
        <w:rPr>
          <w:b/>
        </w:rPr>
      </w:pPr>
    </w:p>
    <w:p w:rsidR="00B06FAA" w:rsidRPr="00C6650B" w:rsidRDefault="00B06FAA" w:rsidP="00B06FAA">
      <w:pPr>
        <w:outlineLvl w:val="0"/>
        <w:rPr>
          <w:b/>
          <w:i/>
        </w:rPr>
      </w:pPr>
      <w:bookmarkStart w:id="15" w:name="_Toc379453706"/>
      <w:r w:rsidRPr="00C6650B">
        <w:rPr>
          <w:b/>
          <w:i/>
        </w:rPr>
        <w:t>*May 20</w:t>
      </w:r>
      <w:r w:rsidR="005E2953">
        <w:rPr>
          <w:b/>
          <w:i/>
        </w:rPr>
        <w:t>1</w:t>
      </w:r>
      <w:r w:rsidR="00D964D9">
        <w:rPr>
          <w:b/>
          <w:i/>
        </w:rPr>
        <w:t>2</w:t>
      </w:r>
      <w:r w:rsidRPr="00C6650B">
        <w:rPr>
          <w:b/>
          <w:i/>
        </w:rPr>
        <w:t xml:space="preserve"> National Occupational Employment and Wage Estimates for All Occupations</w:t>
      </w:r>
      <w:bookmarkEnd w:id="15"/>
    </w:p>
    <w:p w:rsidR="001075F8" w:rsidRPr="00C6650B" w:rsidRDefault="001075F8" w:rsidP="00190AE5">
      <w:pPr>
        <w:rPr>
          <w:sz w:val="20"/>
        </w:rPr>
      </w:pPr>
    </w:p>
    <w:p w:rsidR="008E1FC2" w:rsidRPr="00C6650B" w:rsidRDefault="008E1FC2" w:rsidP="007D20F5">
      <w:pPr>
        <w:tabs>
          <w:tab w:val="left" w:pos="1800"/>
        </w:tabs>
        <w:rPr>
          <w:sz w:val="20"/>
          <w:szCs w:val="20"/>
        </w:rPr>
      </w:pPr>
    </w:p>
    <w:p w:rsidR="009B1F2A" w:rsidRDefault="009B1F2A" w:rsidP="00C6650B">
      <w:pPr>
        <w:pStyle w:val="BodyTextIndent3"/>
        <w:numPr>
          <w:ilvl w:val="0"/>
          <w:numId w:val="14"/>
        </w:numPr>
        <w:rPr>
          <w:b/>
          <w:bCs/>
          <w:sz w:val="28"/>
          <w:szCs w:val="28"/>
        </w:rPr>
      </w:pPr>
      <w:r>
        <w:rPr>
          <w:b/>
          <w:bCs/>
          <w:sz w:val="28"/>
          <w:szCs w:val="28"/>
        </w:rPr>
        <w:t xml:space="preserve"> </w:t>
      </w:r>
      <w:r w:rsidR="00644872" w:rsidRPr="00C6650B">
        <w:rPr>
          <w:b/>
          <w:bCs/>
          <w:sz w:val="28"/>
          <w:szCs w:val="28"/>
        </w:rPr>
        <w:t xml:space="preserve">Estimate of </w:t>
      </w:r>
      <w:r w:rsidR="007365DD" w:rsidRPr="00C6650B">
        <w:rPr>
          <w:b/>
          <w:bCs/>
          <w:sz w:val="28"/>
          <w:szCs w:val="28"/>
        </w:rPr>
        <w:t xml:space="preserve">Other Total Annual Cost Burden to Respondents or Record </w:t>
      </w:r>
      <w:r>
        <w:rPr>
          <w:b/>
          <w:bCs/>
          <w:sz w:val="28"/>
          <w:szCs w:val="28"/>
        </w:rPr>
        <w:t xml:space="preserve">  </w:t>
      </w:r>
    </w:p>
    <w:p w:rsidR="00644872" w:rsidRPr="00C6650B" w:rsidRDefault="009B1F2A" w:rsidP="009B1F2A">
      <w:pPr>
        <w:pStyle w:val="BodyTextIndent3"/>
        <w:ind w:left="360"/>
        <w:rPr>
          <w:b/>
          <w:bCs/>
          <w:sz w:val="28"/>
          <w:szCs w:val="28"/>
        </w:rPr>
      </w:pPr>
      <w:r>
        <w:rPr>
          <w:b/>
          <w:bCs/>
          <w:sz w:val="28"/>
          <w:szCs w:val="28"/>
        </w:rPr>
        <w:t xml:space="preserve"> </w:t>
      </w:r>
      <w:proofErr w:type="gramStart"/>
      <w:r w:rsidR="007365DD" w:rsidRPr="00C6650B">
        <w:rPr>
          <w:b/>
          <w:bCs/>
          <w:sz w:val="28"/>
          <w:szCs w:val="28"/>
        </w:rPr>
        <w:t>Keepers</w:t>
      </w:r>
      <w:r w:rsidR="003961A8" w:rsidRPr="00C6650B">
        <w:rPr>
          <w:b/>
          <w:bCs/>
          <w:sz w:val="28"/>
          <w:szCs w:val="28"/>
        </w:rPr>
        <w:t>.</w:t>
      </w:r>
      <w:proofErr w:type="gramEnd"/>
    </w:p>
    <w:p w:rsidR="0073736D" w:rsidRPr="00C6650B" w:rsidRDefault="0073736D" w:rsidP="0073736D">
      <w:pPr>
        <w:pStyle w:val="BodyTextIndent3"/>
        <w:ind w:left="0"/>
        <w:rPr>
          <w:b/>
          <w:bCs/>
          <w:sz w:val="28"/>
          <w:szCs w:val="28"/>
        </w:rPr>
      </w:pPr>
    </w:p>
    <w:p w:rsidR="00644872" w:rsidRPr="00C6650B" w:rsidRDefault="003961A8" w:rsidP="00067653">
      <w:pPr>
        <w:pStyle w:val="BodyTextIndent3"/>
        <w:ind w:left="0"/>
        <w:rPr>
          <w:bCs/>
        </w:rPr>
      </w:pPr>
      <w:r w:rsidRPr="00C6650B">
        <w:rPr>
          <w:bCs/>
        </w:rPr>
        <w:t>There are no capital or maintenance costs to the respondents</w:t>
      </w:r>
      <w:r w:rsidR="00E957A5" w:rsidRPr="00C6650B">
        <w:rPr>
          <w:bCs/>
        </w:rPr>
        <w:t>.</w:t>
      </w:r>
    </w:p>
    <w:p w:rsidR="007D5940" w:rsidRDefault="007D5940" w:rsidP="00AD3062">
      <w:pPr>
        <w:pStyle w:val="BodyTextIndent3"/>
        <w:ind w:left="0"/>
        <w:rPr>
          <w:b/>
          <w:bCs/>
          <w:sz w:val="28"/>
          <w:szCs w:val="28"/>
        </w:rPr>
      </w:pPr>
    </w:p>
    <w:p w:rsidR="007E6105" w:rsidRDefault="007E6105" w:rsidP="00AD3062">
      <w:pPr>
        <w:pStyle w:val="BodyTextIndent3"/>
        <w:ind w:left="0"/>
        <w:rPr>
          <w:b/>
          <w:bCs/>
          <w:sz w:val="28"/>
          <w:szCs w:val="28"/>
        </w:rPr>
      </w:pPr>
    </w:p>
    <w:p w:rsidR="007E6105" w:rsidRDefault="007E6105" w:rsidP="00AD3062">
      <w:pPr>
        <w:pStyle w:val="BodyTextIndent3"/>
        <w:ind w:left="0"/>
        <w:rPr>
          <w:b/>
          <w:bCs/>
          <w:sz w:val="28"/>
          <w:szCs w:val="28"/>
        </w:rPr>
      </w:pPr>
    </w:p>
    <w:p w:rsidR="0073736D" w:rsidRPr="00C6650B" w:rsidRDefault="00AD3062" w:rsidP="00AD3062">
      <w:pPr>
        <w:pStyle w:val="BodyTextIndent3"/>
        <w:ind w:left="0"/>
        <w:rPr>
          <w:b/>
          <w:bCs/>
          <w:sz w:val="28"/>
          <w:szCs w:val="28"/>
        </w:rPr>
      </w:pPr>
      <w:r w:rsidRPr="00C6650B">
        <w:rPr>
          <w:b/>
          <w:bCs/>
          <w:sz w:val="28"/>
          <w:szCs w:val="28"/>
        </w:rPr>
        <w:lastRenderedPageBreak/>
        <w:t xml:space="preserve">14. </w:t>
      </w:r>
      <w:r w:rsidR="00644872" w:rsidRPr="00C6650B">
        <w:rPr>
          <w:b/>
          <w:bCs/>
          <w:sz w:val="28"/>
          <w:szCs w:val="28"/>
        </w:rPr>
        <w:t>Annualized Cost to the Government</w:t>
      </w:r>
    </w:p>
    <w:p w:rsidR="00506807" w:rsidRPr="00C6650B" w:rsidRDefault="00506807" w:rsidP="003961A8">
      <w:pPr>
        <w:pStyle w:val="BodyTextIndent3"/>
        <w:tabs>
          <w:tab w:val="left" w:pos="1080"/>
        </w:tabs>
        <w:ind w:left="360"/>
        <w:rPr>
          <w:b/>
          <w:bCs/>
          <w:color w:val="FF0000"/>
        </w:rPr>
      </w:pPr>
    </w:p>
    <w:p w:rsidR="00F30C3B" w:rsidRPr="00C6650B" w:rsidRDefault="00F30C3B" w:rsidP="00F30C3B">
      <w:pPr>
        <w:rPr>
          <w:noProof/>
        </w:rPr>
      </w:pPr>
      <w:r w:rsidRPr="00C6650B">
        <w:rPr>
          <w:noProof/>
        </w:rPr>
        <w:t>The government cost</w:t>
      </w:r>
      <w:r w:rsidR="00C90856" w:rsidRPr="00C6650B">
        <w:rPr>
          <w:noProof/>
        </w:rPr>
        <w:t>s</w:t>
      </w:r>
      <w:r w:rsidRPr="00C6650B">
        <w:rPr>
          <w:noProof/>
        </w:rPr>
        <w:t xml:space="preserve"> include personal costs for federal staff</w:t>
      </w:r>
      <w:r w:rsidR="00434805" w:rsidRPr="00C6650B">
        <w:rPr>
          <w:noProof/>
        </w:rPr>
        <w:t xml:space="preserve"> and contrator staff </w:t>
      </w:r>
      <w:r w:rsidRPr="00C6650B">
        <w:rPr>
          <w:noProof/>
        </w:rPr>
        <w:t xml:space="preserve">involved in operating </w:t>
      </w:r>
      <w:r w:rsidR="005963E1" w:rsidRPr="00C6650B">
        <w:rPr>
          <w:noProof/>
        </w:rPr>
        <w:t>and mainitain</w:t>
      </w:r>
      <w:r w:rsidR="00C90856" w:rsidRPr="00C6650B">
        <w:rPr>
          <w:noProof/>
        </w:rPr>
        <w:t>ing</w:t>
      </w:r>
      <w:r w:rsidR="005963E1" w:rsidRPr="00C6650B">
        <w:rPr>
          <w:noProof/>
        </w:rPr>
        <w:t xml:space="preserve"> </w:t>
      </w:r>
      <w:r w:rsidRPr="00C6650B">
        <w:rPr>
          <w:noProof/>
        </w:rPr>
        <w:t xml:space="preserve">the Epi-X </w:t>
      </w:r>
      <w:r w:rsidR="005963E1" w:rsidRPr="00C6650B">
        <w:rPr>
          <w:noProof/>
        </w:rPr>
        <w:t xml:space="preserve">web </w:t>
      </w:r>
      <w:r w:rsidR="00C90856" w:rsidRPr="00C6650B">
        <w:rPr>
          <w:noProof/>
        </w:rPr>
        <w:t>s</w:t>
      </w:r>
      <w:r w:rsidR="005963E1" w:rsidRPr="00C6650B">
        <w:rPr>
          <w:noProof/>
        </w:rPr>
        <w:t>ystem</w:t>
      </w:r>
      <w:r w:rsidR="00C90856" w:rsidRPr="00C6650B">
        <w:rPr>
          <w:noProof/>
        </w:rPr>
        <w:t>,</w:t>
      </w:r>
      <w:r w:rsidRPr="00C6650B">
        <w:rPr>
          <w:noProof/>
        </w:rPr>
        <w:t xml:space="preserve"> the staff involved in project oversight and development of this </w:t>
      </w:r>
      <w:r w:rsidR="007F5110" w:rsidRPr="00C6650B">
        <w:rPr>
          <w:noProof/>
        </w:rPr>
        <w:t>IC</w:t>
      </w:r>
      <w:r w:rsidR="00C90856" w:rsidRPr="00C6650B">
        <w:rPr>
          <w:noProof/>
        </w:rPr>
        <w:t>,</w:t>
      </w:r>
      <w:r w:rsidR="005963E1" w:rsidRPr="00C6650B">
        <w:rPr>
          <w:noProof/>
        </w:rPr>
        <w:t xml:space="preserve"> and project staff engaged in the dep</w:t>
      </w:r>
      <w:r w:rsidR="00C90856" w:rsidRPr="00C6650B">
        <w:rPr>
          <w:noProof/>
        </w:rPr>
        <w:t>lo</w:t>
      </w:r>
      <w:r w:rsidR="005963E1" w:rsidRPr="00C6650B">
        <w:rPr>
          <w:noProof/>
        </w:rPr>
        <w:t>yment of an information collection tool during a specific public health response</w:t>
      </w:r>
      <w:r w:rsidR="001E5875" w:rsidRPr="00C6650B">
        <w:rPr>
          <w:noProof/>
        </w:rPr>
        <w:t>. IC</w:t>
      </w:r>
      <w:r w:rsidR="00C35473">
        <w:rPr>
          <w:noProof/>
        </w:rPr>
        <w:t xml:space="preserve"> </w:t>
      </w:r>
      <w:r w:rsidR="001E5875" w:rsidRPr="00C6650B">
        <w:rPr>
          <w:noProof/>
        </w:rPr>
        <w:t>development  involves input from across the agency and equals</w:t>
      </w:r>
      <w:r w:rsidRPr="00C6650B">
        <w:rPr>
          <w:noProof/>
        </w:rPr>
        <w:t xml:space="preserve"> approximatley 10% of </w:t>
      </w:r>
      <w:r w:rsidR="00C90856" w:rsidRPr="00C6650B">
        <w:rPr>
          <w:noProof/>
        </w:rPr>
        <w:t xml:space="preserve"> </w:t>
      </w:r>
      <w:r w:rsidRPr="00C6650B">
        <w:rPr>
          <w:noProof/>
        </w:rPr>
        <w:t>a GS-13 public he</w:t>
      </w:r>
      <w:r w:rsidR="009D035A">
        <w:rPr>
          <w:noProof/>
        </w:rPr>
        <w:t>a</w:t>
      </w:r>
      <w:r w:rsidRPr="00C6650B">
        <w:rPr>
          <w:noProof/>
        </w:rPr>
        <w:t>lth analyst, 10% of a GS-1</w:t>
      </w:r>
      <w:r w:rsidR="001E5875" w:rsidRPr="00C6650B">
        <w:rPr>
          <w:noProof/>
        </w:rPr>
        <w:t>4</w:t>
      </w:r>
      <w:r w:rsidRPr="00C6650B">
        <w:rPr>
          <w:noProof/>
        </w:rPr>
        <w:t xml:space="preserve"> scientist, and 10% of a GS-15 scientist.  </w:t>
      </w:r>
      <w:r w:rsidR="001E5875" w:rsidRPr="00C6650B">
        <w:rPr>
          <w:noProof/>
        </w:rPr>
        <w:t xml:space="preserve">Project oversight, survey intiation, data analysis, results </w:t>
      </w:r>
      <w:r w:rsidR="00434805" w:rsidRPr="00C6650B">
        <w:rPr>
          <w:noProof/>
        </w:rPr>
        <w:t xml:space="preserve">compilation, </w:t>
      </w:r>
      <w:r w:rsidR="001E5875" w:rsidRPr="00C6650B">
        <w:rPr>
          <w:noProof/>
        </w:rPr>
        <w:t>and  report writing during one</w:t>
      </w:r>
      <w:r w:rsidR="00EC5559" w:rsidRPr="00C6650B">
        <w:rPr>
          <w:noProof/>
        </w:rPr>
        <w:t xml:space="preserve"> 48 day </w:t>
      </w:r>
      <w:r w:rsidR="001E5875" w:rsidRPr="00C6650B">
        <w:rPr>
          <w:noProof/>
        </w:rPr>
        <w:t xml:space="preserve">incident response involves approximatley: </w:t>
      </w:r>
      <w:r w:rsidR="00434805" w:rsidRPr="00C6650B">
        <w:rPr>
          <w:noProof/>
        </w:rPr>
        <w:t>10%</w:t>
      </w:r>
      <w:r w:rsidR="00EC5559" w:rsidRPr="00C6650B">
        <w:rPr>
          <w:noProof/>
        </w:rPr>
        <w:t xml:space="preserve"> of </w:t>
      </w:r>
      <w:r w:rsidR="00BC3663">
        <w:rPr>
          <w:noProof/>
        </w:rPr>
        <w:t>two</w:t>
      </w:r>
      <w:r w:rsidR="001E5875" w:rsidRPr="00C6650B">
        <w:rPr>
          <w:noProof/>
        </w:rPr>
        <w:t xml:space="preserve"> GS-14 Scientist and </w:t>
      </w:r>
      <w:r w:rsidR="00EC5559" w:rsidRPr="00C6650B">
        <w:rPr>
          <w:noProof/>
        </w:rPr>
        <w:t>1</w:t>
      </w:r>
      <w:r w:rsidR="00434805" w:rsidRPr="00C6650B">
        <w:rPr>
          <w:noProof/>
        </w:rPr>
        <w:t>0</w:t>
      </w:r>
      <w:r w:rsidR="00EC5559" w:rsidRPr="00C6650B">
        <w:rPr>
          <w:noProof/>
        </w:rPr>
        <w:t xml:space="preserve">% of one </w:t>
      </w:r>
      <w:r w:rsidR="001E5875" w:rsidRPr="00C6650B">
        <w:rPr>
          <w:noProof/>
        </w:rPr>
        <w:t xml:space="preserve">GS-15 </w:t>
      </w:r>
      <w:r w:rsidR="00EC5559" w:rsidRPr="00C6650B">
        <w:rPr>
          <w:noProof/>
        </w:rPr>
        <w:t>scientist</w:t>
      </w:r>
      <w:r w:rsidR="00434805" w:rsidRPr="00C6650B">
        <w:rPr>
          <w:noProof/>
        </w:rPr>
        <w:t xml:space="preserve"> during an</w:t>
      </w:r>
      <w:r w:rsidR="00314B1C">
        <w:rPr>
          <w:noProof/>
        </w:rPr>
        <w:t xml:space="preserve"> </w:t>
      </w:r>
      <w:r w:rsidR="00434805" w:rsidRPr="00C6650B">
        <w:rPr>
          <w:noProof/>
        </w:rPr>
        <w:t>average 48 day response period</w:t>
      </w:r>
      <w:r w:rsidR="00BC3663">
        <w:rPr>
          <w:noProof/>
        </w:rPr>
        <w:t>, times four</w:t>
      </w:r>
      <w:r w:rsidR="0094492A" w:rsidRPr="00C6650B">
        <w:rPr>
          <w:noProof/>
        </w:rPr>
        <w:t xml:space="preserve"> response</w:t>
      </w:r>
      <w:r w:rsidR="00BC3663">
        <w:rPr>
          <w:noProof/>
        </w:rPr>
        <w:t>s</w:t>
      </w:r>
      <w:r w:rsidR="0094492A" w:rsidRPr="00C6650B">
        <w:rPr>
          <w:noProof/>
        </w:rPr>
        <w:t xml:space="preserve"> per year</w:t>
      </w:r>
      <w:r w:rsidR="00434805" w:rsidRPr="00C6650B">
        <w:rPr>
          <w:noProof/>
        </w:rPr>
        <w:t xml:space="preserve">. </w:t>
      </w:r>
      <w:r w:rsidR="00EC5559" w:rsidRPr="00C6650B">
        <w:rPr>
          <w:noProof/>
        </w:rPr>
        <w:t xml:space="preserve">(48 </w:t>
      </w:r>
      <w:r w:rsidR="00434805" w:rsidRPr="00C6650B">
        <w:rPr>
          <w:noProof/>
        </w:rPr>
        <w:t xml:space="preserve">days </w:t>
      </w:r>
      <w:r w:rsidR="00EC5559" w:rsidRPr="00C6650B">
        <w:rPr>
          <w:noProof/>
        </w:rPr>
        <w:t>is 13% of 365</w:t>
      </w:r>
      <w:r w:rsidR="00434805" w:rsidRPr="00C6650B">
        <w:rPr>
          <w:noProof/>
        </w:rPr>
        <w:t xml:space="preserve"> days x 10% </w:t>
      </w:r>
      <w:r w:rsidR="0094492A" w:rsidRPr="00C6650B">
        <w:rPr>
          <w:noProof/>
        </w:rPr>
        <w:t>of time during that 48 days</w:t>
      </w:r>
      <w:r w:rsidR="00EC5559" w:rsidRPr="00C6650B">
        <w:rPr>
          <w:noProof/>
        </w:rPr>
        <w:t xml:space="preserve">). </w:t>
      </w:r>
      <w:r w:rsidR="0094492A" w:rsidRPr="00C6650B">
        <w:rPr>
          <w:noProof/>
        </w:rPr>
        <w:t>Calculation based on a GS</w:t>
      </w:r>
      <w:r w:rsidR="004A30A3">
        <w:rPr>
          <w:noProof/>
        </w:rPr>
        <w:t xml:space="preserve"> grade</w:t>
      </w:r>
      <w:r w:rsidR="0094492A" w:rsidRPr="00C6650B">
        <w:rPr>
          <w:noProof/>
        </w:rPr>
        <w:t xml:space="preserve"> Step 5 base + locality pay 5 x 25% for benefits) </w:t>
      </w:r>
      <w:r w:rsidR="009B2C00" w:rsidRPr="00C6650B">
        <w:rPr>
          <w:noProof/>
        </w:rPr>
        <w:t xml:space="preserve">.  </w:t>
      </w:r>
      <w:r w:rsidRPr="00C6650B">
        <w:rPr>
          <w:noProof/>
        </w:rPr>
        <w:t>The total cost to the Federal government is $</w:t>
      </w:r>
      <w:r w:rsidR="005963E1" w:rsidRPr="00C6650B">
        <w:rPr>
          <w:noProof/>
        </w:rPr>
        <w:t>503,246.00</w:t>
      </w:r>
      <w:r w:rsidR="0028353B">
        <w:rPr>
          <w:noProof/>
        </w:rPr>
        <w:t>.</w:t>
      </w:r>
      <w:r w:rsidRPr="00C6650B">
        <w:rPr>
          <w:noProof/>
        </w:rPr>
        <w:t xml:space="preserve"> </w:t>
      </w:r>
    </w:p>
    <w:p w:rsidR="00A765FA" w:rsidRDefault="00A765FA" w:rsidP="00F30C3B">
      <w:pPr>
        <w:rPr>
          <w:noProof/>
        </w:rPr>
      </w:pPr>
    </w:p>
    <w:p w:rsidR="00F30C3B" w:rsidRPr="00C6650B" w:rsidRDefault="00F30C3B" w:rsidP="00F30C3B">
      <w:pPr>
        <w:rPr>
          <w:noProof/>
        </w:rPr>
      </w:pPr>
      <w:r w:rsidRPr="00C6650B">
        <w:rPr>
          <w:noProof/>
        </w:rPr>
        <w:t xml:space="preserve">Exhibit </w:t>
      </w:r>
      <w:r w:rsidR="00EC7A45">
        <w:rPr>
          <w:noProof/>
        </w:rPr>
        <w:t>3</w:t>
      </w:r>
      <w:r w:rsidR="004A30A3">
        <w:rPr>
          <w:noProof/>
        </w:rPr>
        <w:t xml:space="preserve">. </w:t>
      </w:r>
      <w:r w:rsidRPr="00C6650B">
        <w:rPr>
          <w:noProof/>
        </w:rPr>
        <w:t xml:space="preserve"> Annualized 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F30C3B" w:rsidRPr="00C6650B" w:rsidTr="00434805">
        <w:tc>
          <w:tcPr>
            <w:tcW w:w="7006" w:type="dxa"/>
          </w:tcPr>
          <w:p w:rsidR="00F30C3B" w:rsidRPr="00C6650B" w:rsidRDefault="00F30C3B" w:rsidP="00DD44F6">
            <w:r w:rsidRPr="00C6650B">
              <w:t>Labor:</w:t>
            </w:r>
          </w:p>
        </w:tc>
        <w:tc>
          <w:tcPr>
            <w:tcW w:w="2426" w:type="dxa"/>
          </w:tcPr>
          <w:p w:rsidR="00F30C3B" w:rsidRPr="00C6650B" w:rsidRDefault="00F30C3B" w:rsidP="00DD44F6"/>
        </w:tc>
      </w:tr>
      <w:tr w:rsidR="00F30C3B" w:rsidRPr="00C6650B" w:rsidTr="00434805">
        <w:tc>
          <w:tcPr>
            <w:tcW w:w="7006" w:type="dxa"/>
          </w:tcPr>
          <w:p w:rsidR="00F30C3B" w:rsidRPr="00C6650B" w:rsidRDefault="00F30C3B" w:rsidP="00DD44F6">
            <w:r w:rsidRPr="00C6650B">
              <w:t xml:space="preserve">CDC personnel for </w:t>
            </w:r>
            <w:proofErr w:type="spellStart"/>
            <w:r w:rsidRPr="004A30A3">
              <w:rPr>
                <w:i/>
              </w:rPr>
              <w:t>Epi</w:t>
            </w:r>
            <w:proofErr w:type="spellEnd"/>
            <w:r w:rsidRPr="004A30A3">
              <w:rPr>
                <w:i/>
              </w:rPr>
              <w:t>-X</w:t>
            </w:r>
            <w:r w:rsidRPr="00C6650B">
              <w:t xml:space="preserve"> system management  100% GS-13</w:t>
            </w:r>
          </w:p>
        </w:tc>
        <w:tc>
          <w:tcPr>
            <w:tcW w:w="2426" w:type="dxa"/>
          </w:tcPr>
          <w:p w:rsidR="00F30C3B" w:rsidRPr="00C6650B" w:rsidRDefault="001E5875" w:rsidP="00434805">
            <w:r w:rsidRPr="00C6650B">
              <w:t>$121, 123.00</w:t>
            </w:r>
          </w:p>
        </w:tc>
      </w:tr>
      <w:tr w:rsidR="00F30C3B" w:rsidRPr="00C6650B" w:rsidTr="00434805">
        <w:tc>
          <w:tcPr>
            <w:tcW w:w="7006" w:type="dxa"/>
          </w:tcPr>
          <w:p w:rsidR="00F30C3B" w:rsidRPr="00C6650B" w:rsidRDefault="00F30C3B" w:rsidP="00DD44F6">
            <w:r w:rsidRPr="00C6650B">
              <w:t xml:space="preserve">Contractor labor for </w:t>
            </w:r>
            <w:proofErr w:type="spellStart"/>
            <w:r w:rsidRPr="004A30A3">
              <w:rPr>
                <w:i/>
              </w:rPr>
              <w:t>Epi</w:t>
            </w:r>
            <w:proofErr w:type="spellEnd"/>
            <w:r w:rsidRPr="004A30A3">
              <w:rPr>
                <w:i/>
              </w:rPr>
              <w:t>-X</w:t>
            </w:r>
            <w:r w:rsidRPr="00C6650B">
              <w:t xml:space="preserve"> system management</w:t>
            </w:r>
          </w:p>
        </w:tc>
        <w:tc>
          <w:tcPr>
            <w:tcW w:w="2426" w:type="dxa"/>
          </w:tcPr>
          <w:p w:rsidR="00F30C3B" w:rsidRPr="00C6650B" w:rsidRDefault="001E5875" w:rsidP="00434805">
            <w:r w:rsidRPr="00C6650B">
              <w:t>$96,500.00</w:t>
            </w:r>
          </w:p>
        </w:tc>
      </w:tr>
      <w:tr w:rsidR="00F30C3B" w:rsidRPr="00C6650B" w:rsidTr="00434805">
        <w:trPr>
          <w:trHeight w:val="332"/>
        </w:trPr>
        <w:tc>
          <w:tcPr>
            <w:tcW w:w="7006" w:type="dxa"/>
          </w:tcPr>
          <w:p w:rsidR="00F30C3B" w:rsidRPr="00C6650B" w:rsidRDefault="00F30C3B" w:rsidP="001E5875">
            <w:r w:rsidRPr="00C6650B">
              <w:t>CDC personnel for ICR development</w:t>
            </w:r>
            <w:r w:rsidR="001E5875" w:rsidRPr="00C6650B">
              <w:t xml:space="preserve"> including contribution from programs  for survey tool development </w:t>
            </w:r>
          </w:p>
        </w:tc>
        <w:tc>
          <w:tcPr>
            <w:tcW w:w="2426" w:type="dxa"/>
          </w:tcPr>
          <w:p w:rsidR="00F30C3B" w:rsidRPr="00C6650B" w:rsidRDefault="001E5875" w:rsidP="00434805">
            <w:r w:rsidRPr="00C6650B">
              <w:t>$42,000.00</w:t>
            </w:r>
          </w:p>
        </w:tc>
      </w:tr>
      <w:tr w:rsidR="00F30C3B" w:rsidRPr="00C6650B" w:rsidTr="00434805">
        <w:tc>
          <w:tcPr>
            <w:tcW w:w="7006" w:type="dxa"/>
          </w:tcPr>
          <w:p w:rsidR="00F30C3B" w:rsidRPr="00C6650B" w:rsidRDefault="00F30C3B" w:rsidP="00254912">
            <w:r w:rsidRPr="00C6650B">
              <w:t xml:space="preserve">CDC personnel for response </w:t>
            </w:r>
            <w:r w:rsidR="00254912" w:rsidRPr="00C6650B">
              <w:t xml:space="preserve">incident </w:t>
            </w:r>
            <w:r w:rsidRPr="00C6650B">
              <w:t xml:space="preserve">project oversight base </w:t>
            </w:r>
            <w:r w:rsidR="00254912" w:rsidRPr="00C6650B">
              <w:t>2.6% of GS</w:t>
            </w:r>
            <w:r w:rsidR="009976EA">
              <w:t>-</w:t>
            </w:r>
            <w:r w:rsidR="00254912" w:rsidRPr="00C6650B">
              <w:t xml:space="preserve">14 scientist (2.6% is 1.3% </w:t>
            </w:r>
            <w:r w:rsidR="006F3622" w:rsidRPr="00C6650B">
              <w:t xml:space="preserve"> x</w:t>
            </w:r>
            <w:r w:rsidR="003B2810">
              <w:t xml:space="preserve"> </w:t>
            </w:r>
            <w:r w:rsidR="00254912" w:rsidRPr="00C6650B">
              <w:t>2 GS</w:t>
            </w:r>
            <w:r w:rsidR="009976EA">
              <w:t>-</w:t>
            </w:r>
            <w:r w:rsidR="00254912" w:rsidRPr="00C6650B">
              <w:t>14) and 1.3% of a GS</w:t>
            </w:r>
            <w:r w:rsidR="009976EA">
              <w:t>-</w:t>
            </w:r>
            <w:r w:rsidR="00254912" w:rsidRPr="00C6650B">
              <w:t xml:space="preserve">15 </w:t>
            </w:r>
            <w:r w:rsidR="005963E1" w:rsidRPr="00C6650B">
              <w:t>scientist</w:t>
            </w:r>
            <w:r w:rsidR="00254912" w:rsidRPr="00C6650B">
              <w:t xml:space="preserve"> is approximately $6000.00 x 4 responses per year  </w:t>
            </w:r>
            <w:r w:rsidR="0094492A" w:rsidRPr="00C6650B">
              <w:t xml:space="preserve"> </w:t>
            </w:r>
          </w:p>
        </w:tc>
        <w:tc>
          <w:tcPr>
            <w:tcW w:w="2426" w:type="dxa"/>
          </w:tcPr>
          <w:p w:rsidR="00F30C3B" w:rsidRPr="00C6650B" w:rsidRDefault="00F30C3B" w:rsidP="00254912"/>
          <w:p w:rsidR="00254912" w:rsidRPr="00C6650B" w:rsidRDefault="00254912" w:rsidP="00254912">
            <w:r w:rsidRPr="00C6650B">
              <w:t>$24,000.00</w:t>
            </w:r>
          </w:p>
        </w:tc>
      </w:tr>
      <w:tr w:rsidR="00434805" w:rsidRPr="00C6650B" w:rsidTr="00434805">
        <w:tc>
          <w:tcPr>
            <w:tcW w:w="7006" w:type="dxa"/>
          </w:tcPr>
          <w:p w:rsidR="00434805" w:rsidRPr="00C6650B" w:rsidRDefault="00434805" w:rsidP="001C6B2E">
            <w:r w:rsidRPr="00C6650B">
              <w:t xml:space="preserve"> </w:t>
            </w:r>
            <w:r w:rsidR="001C6B2E" w:rsidRPr="00C6650B">
              <w:t>A</w:t>
            </w:r>
            <w:r w:rsidRPr="00C6650B">
              <w:t>nnualized cost to the Federal government</w:t>
            </w:r>
          </w:p>
        </w:tc>
        <w:tc>
          <w:tcPr>
            <w:tcW w:w="2426" w:type="dxa"/>
          </w:tcPr>
          <w:p w:rsidR="00434805" w:rsidRPr="00C6650B" w:rsidRDefault="005963E1" w:rsidP="00891DDF">
            <w:r w:rsidRPr="00C6650B">
              <w:t>$2</w:t>
            </w:r>
            <w:r w:rsidR="00891DDF" w:rsidRPr="00C6650B">
              <w:t>83,623</w:t>
            </w:r>
            <w:r w:rsidRPr="00C6650B">
              <w:t>.00</w:t>
            </w:r>
          </w:p>
        </w:tc>
      </w:tr>
    </w:tbl>
    <w:p w:rsidR="00AE2D16" w:rsidRDefault="00AE2D16" w:rsidP="00AD3062">
      <w:pPr>
        <w:pStyle w:val="BodyTextIndent3"/>
        <w:ind w:left="0"/>
        <w:rPr>
          <w:b/>
          <w:bCs/>
          <w:sz w:val="28"/>
          <w:szCs w:val="28"/>
        </w:rPr>
      </w:pPr>
    </w:p>
    <w:p w:rsidR="00AE2D16" w:rsidRDefault="00AE2D16" w:rsidP="00AD3062">
      <w:pPr>
        <w:pStyle w:val="BodyTextIndent3"/>
        <w:ind w:left="0"/>
        <w:rPr>
          <w:b/>
          <w:bCs/>
          <w:sz w:val="28"/>
          <w:szCs w:val="28"/>
        </w:rPr>
      </w:pPr>
    </w:p>
    <w:p w:rsidR="00644872" w:rsidRPr="00C6650B" w:rsidRDefault="00AD3062" w:rsidP="00AD3062">
      <w:pPr>
        <w:pStyle w:val="BodyTextIndent3"/>
        <w:ind w:left="0"/>
        <w:rPr>
          <w:b/>
          <w:bCs/>
          <w:sz w:val="28"/>
          <w:szCs w:val="28"/>
        </w:rPr>
      </w:pPr>
      <w:r w:rsidRPr="00C6650B">
        <w:rPr>
          <w:b/>
          <w:bCs/>
          <w:sz w:val="28"/>
          <w:szCs w:val="28"/>
        </w:rPr>
        <w:t xml:space="preserve">15. </w:t>
      </w:r>
      <w:r w:rsidR="00644872" w:rsidRPr="00C6650B">
        <w:rPr>
          <w:b/>
          <w:bCs/>
          <w:sz w:val="28"/>
          <w:szCs w:val="28"/>
        </w:rPr>
        <w:t>Explanation for Program Changes or Adjustments</w:t>
      </w:r>
    </w:p>
    <w:p w:rsidR="00E05459" w:rsidRPr="00C6650B" w:rsidRDefault="00E05459" w:rsidP="00E05459">
      <w:pPr>
        <w:pStyle w:val="BodyTextIndent3"/>
        <w:tabs>
          <w:tab w:val="left" w:pos="720"/>
        </w:tabs>
        <w:ind w:left="360"/>
        <w:rPr>
          <w:b/>
          <w:bCs/>
        </w:rPr>
      </w:pPr>
    </w:p>
    <w:p w:rsidR="000D4649" w:rsidRPr="00C6650B" w:rsidRDefault="00AB278F" w:rsidP="003A65E7">
      <w:pPr>
        <w:pStyle w:val="BodyTextIndent3"/>
        <w:tabs>
          <w:tab w:val="left" w:pos="720"/>
        </w:tabs>
        <w:ind w:left="0"/>
        <w:rPr>
          <w:bCs/>
        </w:rPr>
      </w:pPr>
      <w:r w:rsidRPr="00DA6433">
        <w:rPr>
          <w:bCs/>
        </w:rPr>
        <w:t>This is a program change request for a</w:t>
      </w:r>
      <w:r w:rsidR="00CA0D2F" w:rsidRPr="00DA6433">
        <w:rPr>
          <w:bCs/>
        </w:rPr>
        <w:t>n</w:t>
      </w:r>
      <w:r w:rsidRPr="00DA6433">
        <w:rPr>
          <w:bCs/>
        </w:rPr>
        <w:t xml:space="preserve"> IC</w:t>
      </w:r>
      <w:r w:rsidR="00CA5155">
        <w:rPr>
          <w:bCs/>
        </w:rPr>
        <w:t>R</w:t>
      </w:r>
      <w:r w:rsidRPr="00DA6433">
        <w:rPr>
          <w:bCs/>
        </w:rPr>
        <w:t xml:space="preserve"> </w:t>
      </w:r>
      <w:r w:rsidR="006A42E2" w:rsidRPr="00DA6433">
        <w:rPr>
          <w:bCs/>
        </w:rPr>
        <w:t xml:space="preserve">request for </w:t>
      </w:r>
      <w:r w:rsidR="002251AF" w:rsidRPr="00DA6433">
        <w:rPr>
          <w:bCs/>
        </w:rPr>
        <w:t>revision</w:t>
      </w:r>
      <w:bookmarkStart w:id="16" w:name="_GoBack"/>
      <w:bookmarkEnd w:id="16"/>
      <w:r w:rsidR="006A42E2" w:rsidRPr="00DA6433">
        <w:rPr>
          <w:bCs/>
        </w:rPr>
        <w:t>s</w:t>
      </w:r>
      <w:r w:rsidRPr="00DA6433">
        <w:rPr>
          <w:bCs/>
        </w:rPr>
        <w:t xml:space="preserve">. </w:t>
      </w:r>
      <w:r w:rsidR="006204D4">
        <w:rPr>
          <w:bCs/>
        </w:rPr>
        <w:t>There is no change in burden</w:t>
      </w:r>
      <w:r w:rsidR="00835A9D">
        <w:rPr>
          <w:bCs/>
        </w:rPr>
        <w:t xml:space="preserve"> hours</w:t>
      </w:r>
      <w:r w:rsidR="006204D4">
        <w:rPr>
          <w:bCs/>
        </w:rPr>
        <w:t xml:space="preserve">.  </w:t>
      </w:r>
      <w:r w:rsidR="00552DE6">
        <w:rPr>
          <w:bCs/>
        </w:rPr>
        <w:t>This ICR is being revised to 1)  remove verbiage limiting data collection to activation of the Incident Management Structure (IMS)</w:t>
      </w:r>
      <w:r w:rsidR="00301076">
        <w:rPr>
          <w:bCs/>
        </w:rPr>
        <w:t>,</w:t>
      </w:r>
      <w:r w:rsidR="00552DE6">
        <w:rPr>
          <w:bCs/>
        </w:rPr>
        <w:t xml:space="preserve"> 2) broaden categories under which data may be collected to increase its utilization, and 3) provide clarity regarding the data elements.</w:t>
      </w:r>
    </w:p>
    <w:p w:rsidR="000D4649" w:rsidRPr="00C6650B" w:rsidRDefault="006665E4" w:rsidP="003A65E7">
      <w:pPr>
        <w:tabs>
          <w:tab w:val="left" w:pos="-1440"/>
          <w:tab w:val="left" w:pos="-720"/>
        </w:tabs>
        <w:autoSpaceDE w:val="0"/>
        <w:autoSpaceDN w:val="0"/>
        <w:adjustRightInd w:val="0"/>
        <w:ind w:right="720"/>
      </w:pPr>
      <w:r w:rsidRPr="00C6650B">
        <w:rPr>
          <w:bCs/>
        </w:rPr>
        <w:t xml:space="preserve">The total number of burden hours </w:t>
      </w:r>
      <w:r w:rsidR="00E2590A">
        <w:rPr>
          <w:bCs/>
        </w:rPr>
        <w:t>will remain the same as an</w:t>
      </w:r>
      <w:r w:rsidRPr="00C6650B">
        <w:rPr>
          <w:bCs/>
        </w:rPr>
        <w:t xml:space="preserve"> estimated 24, 200 hour</w:t>
      </w:r>
      <w:r w:rsidR="00BF49EA" w:rsidRPr="00C6650B">
        <w:rPr>
          <w:bCs/>
        </w:rPr>
        <w:t>s</w:t>
      </w:r>
      <w:r w:rsidRPr="00C6650B">
        <w:rPr>
          <w:bCs/>
        </w:rPr>
        <w:t xml:space="preserve"> </w:t>
      </w:r>
      <w:r w:rsidR="000D4649" w:rsidRPr="00C6650B">
        <w:rPr>
          <w:bCs/>
        </w:rPr>
        <w:t xml:space="preserve">using </w:t>
      </w:r>
      <w:r w:rsidR="00BF49EA" w:rsidRPr="00C6650B">
        <w:rPr>
          <w:bCs/>
        </w:rPr>
        <w:t xml:space="preserve">the following </w:t>
      </w:r>
      <w:r w:rsidR="000D4649" w:rsidRPr="00C6650B">
        <w:rPr>
          <w:bCs/>
        </w:rPr>
        <w:t xml:space="preserve">calculation </w:t>
      </w:r>
      <w:r w:rsidR="000D4649" w:rsidRPr="00C6650B">
        <w:t>50 states x 100 questionnaires/ year x 1 hour/questionnaire = 5000 burden hours for state health officials and 12 questionnaires /year x 1 hour questionnaire x 1600 county health officials (approx</w:t>
      </w:r>
      <w:r w:rsidR="00054EFF">
        <w:t>imately</w:t>
      </w:r>
      <w:r w:rsidR="000D4649" w:rsidRPr="00C6650B">
        <w:t xml:space="preserve"> half of US counties) = 19,200 burden hours</w:t>
      </w:r>
      <w:r w:rsidR="00BF49EA" w:rsidRPr="00C6650B">
        <w:t xml:space="preserve"> for county health officials</w:t>
      </w:r>
      <w:r w:rsidR="000D4649" w:rsidRPr="00C6650B">
        <w:t xml:space="preserve">.  This figure is a worst case figure reflecting multiple or long term public incidents such as an </w:t>
      </w:r>
      <w:r w:rsidR="00C23E4C" w:rsidRPr="00C6650B">
        <w:t>influenza</w:t>
      </w:r>
      <w:r w:rsidR="000D4649" w:rsidRPr="00C6650B">
        <w:t xml:space="preserve"> pandemic where there is a requirement for CDC to stay up-to-date  and it contact with state and local health partners on the current status and epidemiology of a public health incident</w:t>
      </w:r>
      <w:r w:rsidR="0027688C">
        <w:t>.</w:t>
      </w:r>
      <w:r w:rsidR="000D4649" w:rsidRPr="00C6650B">
        <w:t xml:space="preserve"> </w:t>
      </w:r>
    </w:p>
    <w:p w:rsidR="00CA0D2F" w:rsidRPr="00C6650B" w:rsidRDefault="006665E4" w:rsidP="003A65E7">
      <w:pPr>
        <w:pStyle w:val="BodyTextIndent3"/>
        <w:tabs>
          <w:tab w:val="left" w:pos="720"/>
        </w:tabs>
        <w:ind w:left="0"/>
        <w:rPr>
          <w:bCs/>
        </w:rPr>
      </w:pPr>
      <w:r w:rsidRPr="00C6650B">
        <w:rPr>
          <w:bCs/>
        </w:rPr>
        <w:t xml:space="preserve"> </w:t>
      </w:r>
      <w:r w:rsidR="00EC58A0" w:rsidRPr="00C6650B">
        <w:rPr>
          <w:bCs/>
        </w:rPr>
        <w:tab/>
      </w:r>
    </w:p>
    <w:p w:rsidR="00CA0D2F" w:rsidRPr="00C6650B" w:rsidRDefault="00CA0D2F" w:rsidP="003A65E7">
      <w:pPr>
        <w:pStyle w:val="BodyTextIndent3"/>
        <w:tabs>
          <w:tab w:val="left" w:pos="720"/>
        </w:tabs>
        <w:ind w:left="0"/>
        <w:rPr>
          <w:bCs/>
        </w:rPr>
      </w:pPr>
      <w:r w:rsidRPr="00C6650B">
        <w:rPr>
          <w:bCs/>
        </w:rPr>
        <w:t>Th</w:t>
      </w:r>
      <w:r w:rsidR="006665E4" w:rsidRPr="00C6650B">
        <w:rPr>
          <w:bCs/>
        </w:rPr>
        <w:t xml:space="preserve">is </w:t>
      </w:r>
      <w:r w:rsidR="00D81C4D" w:rsidRPr="00C6650B">
        <w:rPr>
          <w:bCs/>
        </w:rPr>
        <w:t>IC</w:t>
      </w:r>
      <w:r w:rsidR="00D81C4D">
        <w:rPr>
          <w:bCs/>
        </w:rPr>
        <w:t>R</w:t>
      </w:r>
      <w:r w:rsidR="00D81C4D" w:rsidRPr="00C6650B">
        <w:rPr>
          <w:bCs/>
        </w:rPr>
        <w:t xml:space="preserve"> </w:t>
      </w:r>
      <w:r w:rsidR="00D81C4D">
        <w:rPr>
          <w:bCs/>
        </w:rPr>
        <w:t>for</w:t>
      </w:r>
      <w:r w:rsidR="004856CA">
        <w:rPr>
          <w:bCs/>
        </w:rPr>
        <w:t xml:space="preserve"> revisions</w:t>
      </w:r>
      <w:r w:rsidR="004856CA" w:rsidRPr="00C6650B">
        <w:rPr>
          <w:bCs/>
        </w:rPr>
        <w:t xml:space="preserve"> </w:t>
      </w:r>
      <w:r w:rsidRPr="00C6650B">
        <w:rPr>
          <w:bCs/>
        </w:rPr>
        <w:t>is based on the number of potential public health incidents that would impact a public health juris</w:t>
      </w:r>
      <w:r w:rsidR="0081308C" w:rsidRPr="00C6650B">
        <w:rPr>
          <w:bCs/>
        </w:rPr>
        <w:t>diction</w:t>
      </w:r>
      <w:r w:rsidRPr="00C6650B">
        <w:rPr>
          <w:bCs/>
        </w:rPr>
        <w:t xml:space="preserve"> at the state or county level. </w:t>
      </w:r>
      <w:r w:rsidR="00555541" w:rsidRPr="00C6650B">
        <w:rPr>
          <w:bCs/>
        </w:rPr>
        <w:t>This represents</w:t>
      </w:r>
      <w:r w:rsidR="00E91DF2" w:rsidRPr="00C6650B">
        <w:rPr>
          <w:bCs/>
        </w:rPr>
        <w:t xml:space="preserve"> the burden of compiling and validating public health incident specific data from that jurisdiction with up</w:t>
      </w:r>
      <w:r w:rsidR="0081308C" w:rsidRPr="00C6650B">
        <w:rPr>
          <w:bCs/>
        </w:rPr>
        <w:t xml:space="preserve"> </w:t>
      </w:r>
      <w:r w:rsidR="00E91DF2" w:rsidRPr="00C6650B">
        <w:rPr>
          <w:bCs/>
        </w:rPr>
        <w:t>to 100 request</w:t>
      </w:r>
      <w:r w:rsidR="00EC58A0" w:rsidRPr="00C6650B">
        <w:rPr>
          <w:bCs/>
        </w:rPr>
        <w:t>s</w:t>
      </w:r>
      <w:r w:rsidR="00E91DF2" w:rsidRPr="00C6650B">
        <w:rPr>
          <w:bCs/>
        </w:rPr>
        <w:t xml:space="preserve"> per year at the state level and 12 request</w:t>
      </w:r>
      <w:r w:rsidR="00EC58A0" w:rsidRPr="00C6650B">
        <w:rPr>
          <w:bCs/>
        </w:rPr>
        <w:t>s</w:t>
      </w:r>
      <w:r w:rsidR="00E91DF2" w:rsidRPr="00C6650B">
        <w:rPr>
          <w:bCs/>
        </w:rPr>
        <w:t xml:space="preserve"> per year estimated for a local county public health office</w:t>
      </w:r>
      <w:r w:rsidR="00EC58A0" w:rsidRPr="00C6650B">
        <w:rPr>
          <w:bCs/>
        </w:rPr>
        <w:t>.</w:t>
      </w:r>
      <w:r w:rsidRPr="00C6650B">
        <w:rPr>
          <w:bCs/>
        </w:rPr>
        <w:t xml:space="preserve"> </w:t>
      </w:r>
    </w:p>
    <w:p w:rsidR="00CA0D2F" w:rsidRPr="00C6650B" w:rsidRDefault="00CA0D2F" w:rsidP="003A65E7">
      <w:pPr>
        <w:pStyle w:val="BodyTextIndent3"/>
        <w:tabs>
          <w:tab w:val="left" w:pos="720"/>
        </w:tabs>
        <w:ind w:left="0"/>
        <w:rPr>
          <w:b/>
          <w:bCs/>
        </w:rPr>
      </w:pPr>
    </w:p>
    <w:p w:rsidR="00644872" w:rsidRPr="00C6650B" w:rsidRDefault="00644872" w:rsidP="003A65E7">
      <w:pPr>
        <w:pStyle w:val="BodyTextIndent3"/>
        <w:ind w:left="0"/>
      </w:pPr>
    </w:p>
    <w:p w:rsidR="00644872" w:rsidRPr="00C6650B" w:rsidRDefault="00AD3062" w:rsidP="00AD3062">
      <w:pPr>
        <w:pStyle w:val="BodyTextIndent3"/>
        <w:ind w:left="0"/>
        <w:rPr>
          <w:b/>
          <w:bCs/>
          <w:sz w:val="28"/>
          <w:szCs w:val="28"/>
        </w:rPr>
      </w:pPr>
      <w:r w:rsidRPr="00C6650B">
        <w:rPr>
          <w:b/>
          <w:bCs/>
          <w:sz w:val="28"/>
          <w:szCs w:val="28"/>
        </w:rPr>
        <w:t xml:space="preserve">16. </w:t>
      </w:r>
      <w:r w:rsidR="00644872" w:rsidRPr="00C6650B">
        <w:rPr>
          <w:b/>
          <w:bCs/>
          <w:sz w:val="28"/>
          <w:szCs w:val="28"/>
        </w:rPr>
        <w:t>Plans for Tabulation and Publication and Project Time Schedule</w:t>
      </w:r>
    </w:p>
    <w:p w:rsidR="00E05459" w:rsidRPr="00C6650B" w:rsidRDefault="00E05459" w:rsidP="00E05459">
      <w:pPr>
        <w:pStyle w:val="BodyTextIndent3"/>
        <w:ind w:left="1260"/>
        <w:rPr>
          <w:b/>
          <w:bCs/>
        </w:rPr>
      </w:pPr>
    </w:p>
    <w:p w:rsidR="00B10CBC" w:rsidRPr="00C6650B" w:rsidRDefault="008E1FC2" w:rsidP="008E1FC2">
      <w:r w:rsidRPr="00C6650B">
        <w:t xml:space="preserve">The data collected under </w:t>
      </w:r>
      <w:r w:rsidR="007B7CAE" w:rsidRPr="00C6650B">
        <w:t xml:space="preserve">this </w:t>
      </w:r>
      <w:r w:rsidR="007B7CAE">
        <w:t>generic</w:t>
      </w:r>
      <w:r w:rsidR="00FD4265">
        <w:t xml:space="preserve"> </w:t>
      </w:r>
      <w:r w:rsidRPr="00C6650B">
        <w:t>IC</w:t>
      </w:r>
      <w:r w:rsidR="00406D90">
        <w:t>R</w:t>
      </w:r>
      <w:r w:rsidRPr="00C6650B">
        <w:t xml:space="preserve"> will be used to provide information that is necessary in understanding and responding </w:t>
      </w:r>
      <w:r w:rsidR="008D1515" w:rsidRPr="00C6650B">
        <w:t>to specific</w:t>
      </w:r>
      <w:r w:rsidR="007C39D5" w:rsidRPr="00C6650B">
        <w:t xml:space="preserve"> </w:t>
      </w:r>
      <w:r w:rsidRPr="00C6650B">
        <w:t xml:space="preserve">public health </w:t>
      </w:r>
      <w:r w:rsidR="007D206D" w:rsidRPr="00C6650B">
        <w:t>incidents</w:t>
      </w:r>
      <w:r w:rsidRPr="00C6650B">
        <w:t xml:space="preserve">.  The Program/Project Officer </w:t>
      </w:r>
      <w:r w:rsidR="007C39D5" w:rsidRPr="00C6650B">
        <w:t xml:space="preserve">working with the incident specific </w:t>
      </w:r>
      <w:r w:rsidR="008D1515" w:rsidRPr="00C6650B">
        <w:t>epidemiologists</w:t>
      </w:r>
      <w:r w:rsidR="007C39D5" w:rsidRPr="00C6650B">
        <w:t xml:space="preserve"> </w:t>
      </w:r>
      <w:r w:rsidRPr="00C6650B">
        <w:t xml:space="preserve">will outline plans for tabulation and publication </w:t>
      </w:r>
      <w:r w:rsidR="007C39D5" w:rsidRPr="00C6650B">
        <w:t xml:space="preserve">of incident specific data collection </w:t>
      </w:r>
      <w:r w:rsidRPr="00C6650B">
        <w:t xml:space="preserve">as well as the </w:t>
      </w:r>
      <w:r w:rsidR="007C39D5" w:rsidRPr="00C6650B">
        <w:t xml:space="preserve">incident specific </w:t>
      </w:r>
      <w:r w:rsidRPr="00C6650B">
        <w:t xml:space="preserve">project time schedule.  </w:t>
      </w:r>
      <w:r w:rsidR="007C39D5" w:rsidRPr="00C6650B">
        <w:t>T</w:t>
      </w:r>
      <w:r w:rsidRPr="00C6650B">
        <w:t xml:space="preserve">he collection of data, as soon as possible after the public health emergency, is critical and is the responsibility of the Program/Project Officer.  Any publication derived from the public health emergency is subject to review by the State or local health departments, CDC or foreign countries.  </w:t>
      </w:r>
    </w:p>
    <w:p w:rsidR="00B10CBC" w:rsidRPr="00C6650B" w:rsidRDefault="00B10CBC" w:rsidP="008E1FC2"/>
    <w:p w:rsidR="00B10CBC" w:rsidRDefault="00B10CBC" w:rsidP="008E1FC2">
      <w:r w:rsidRPr="00C6650B">
        <w:t>Exhibit</w:t>
      </w:r>
      <w:r w:rsidR="00EC7A45">
        <w:t xml:space="preserve"> 4</w:t>
      </w:r>
      <w:r w:rsidRPr="00C6650B">
        <w:t>: Individual Public Health Incident ICR Project Time Schedule</w:t>
      </w:r>
      <w:r w:rsidR="00575579" w:rsidRPr="00C6650B">
        <w:t xml:space="preserve"> bases on the average length of a CDC Public Health Response of 48 days</w:t>
      </w:r>
    </w:p>
    <w:p w:rsidR="00D96930" w:rsidRPr="00C6650B" w:rsidRDefault="00D96930" w:rsidP="008E1F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716"/>
      </w:tblGrid>
      <w:tr w:rsidR="00B10CBC" w:rsidRPr="00C6650B" w:rsidTr="00DE0246">
        <w:tc>
          <w:tcPr>
            <w:tcW w:w="4716" w:type="dxa"/>
          </w:tcPr>
          <w:p w:rsidR="00B10CBC" w:rsidRPr="00C6650B" w:rsidRDefault="00B10CBC" w:rsidP="00DE0246">
            <w:pPr>
              <w:jc w:val="center"/>
            </w:pPr>
            <w:r w:rsidRPr="00C6650B">
              <w:t>Activity</w:t>
            </w:r>
          </w:p>
        </w:tc>
        <w:tc>
          <w:tcPr>
            <w:tcW w:w="4716" w:type="dxa"/>
          </w:tcPr>
          <w:p w:rsidR="00B10CBC" w:rsidRPr="00C6650B" w:rsidRDefault="00B10CBC" w:rsidP="00633D4F">
            <w:pPr>
              <w:jc w:val="center"/>
            </w:pPr>
            <w:r w:rsidRPr="00C6650B">
              <w:t xml:space="preserve">Time </w:t>
            </w:r>
            <w:r w:rsidR="00575579" w:rsidRPr="00C6650B">
              <w:t>Schedule</w:t>
            </w:r>
          </w:p>
        </w:tc>
      </w:tr>
      <w:tr w:rsidR="00B10CBC" w:rsidRPr="00C6650B" w:rsidTr="00DE0246">
        <w:tc>
          <w:tcPr>
            <w:tcW w:w="4716" w:type="dxa"/>
          </w:tcPr>
          <w:p w:rsidR="00B10CBC" w:rsidRPr="00C6650B" w:rsidRDefault="00B10CBC" w:rsidP="006341E0">
            <w:r w:rsidRPr="00C6650B">
              <w:t xml:space="preserve">Pre-notification </w:t>
            </w:r>
            <w:proofErr w:type="spellStart"/>
            <w:r w:rsidRPr="001B7163">
              <w:rPr>
                <w:i/>
              </w:rPr>
              <w:t>Epi</w:t>
            </w:r>
            <w:proofErr w:type="spellEnd"/>
            <w:r w:rsidRPr="001B7163">
              <w:rPr>
                <w:i/>
              </w:rPr>
              <w:t>-X</w:t>
            </w:r>
            <w:r w:rsidRPr="00C6650B">
              <w:t xml:space="preserve"> e-mail sent to</w:t>
            </w:r>
            <w:r w:rsidR="007C39D5" w:rsidRPr="00C6650B">
              <w:t xml:space="preserve"> Public Health Officials potentially</w:t>
            </w:r>
            <w:r w:rsidR="006341E0">
              <w:t xml:space="preserve"> in anticipation of , during </w:t>
            </w:r>
            <w:r w:rsidR="00F43AC2">
              <w:t>or</w:t>
            </w:r>
            <w:r w:rsidR="006341E0">
              <w:t xml:space="preserve"> following</w:t>
            </w:r>
            <w:r w:rsidR="007C39D5" w:rsidRPr="00C6650B">
              <w:t xml:space="preserve"> the incident </w:t>
            </w:r>
          </w:p>
        </w:tc>
        <w:tc>
          <w:tcPr>
            <w:tcW w:w="4716" w:type="dxa"/>
          </w:tcPr>
          <w:p w:rsidR="00B10CBC" w:rsidRPr="00C6650B" w:rsidRDefault="007C39D5" w:rsidP="008E1FC2">
            <w:r w:rsidRPr="00C6650B">
              <w:t xml:space="preserve">Within 1 week </w:t>
            </w:r>
            <w:r w:rsidR="0043355E">
              <w:t>in anticipation of, during or following a public health incident</w:t>
            </w:r>
          </w:p>
        </w:tc>
      </w:tr>
      <w:tr w:rsidR="00B10CBC" w:rsidRPr="00C6650B" w:rsidTr="00DE0246">
        <w:tc>
          <w:tcPr>
            <w:tcW w:w="4716" w:type="dxa"/>
          </w:tcPr>
          <w:p w:rsidR="00B10CBC" w:rsidRPr="00C6650B" w:rsidRDefault="007C39D5" w:rsidP="007C39D5">
            <w:proofErr w:type="spellStart"/>
            <w:r w:rsidRPr="001B7163">
              <w:rPr>
                <w:i/>
              </w:rPr>
              <w:t>Epi</w:t>
            </w:r>
            <w:proofErr w:type="spellEnd"/>
            <w:r w:rsidRPr="001B7163">
              <w:rPr>
                <w:i/>
              </w:rPr>
              <w:t>-X</w:t>
            </w:r>
            <w:r w:rsidRPr="00C6650B">
              <w:t xml:space="preserve"> </w:t>
            </w:r>
            <w:r w:rsidR="00575579" w:rsidRPr="00C6650B">
              <w:t xml:space="preserve">Initial </w:t>
            </w:r>
            <w:r w:rsidRPr="00C6650B">
              <w:t>Incident Specific data collection initiated</w:t>
            </w:r>
          </w:p>
        </w:tc>
        <w:tc>
          <w:tcPr>
            <w:tcW w:w="4716" w:type="dxa"/>
          </w:tcPr>
          <w:p w:rsidR="00B10CBC" w:rsidRPr="00C6650B" w:rsidRDefault="00575579" w:rsidP="00F43AC2">
            <w:r w:rsidRPr="00C6650B">
              <w:t xml:space="preserve">Within </w:t>
            </w:r>
            <w:r w:rsidR="007C39D5" w:rsidRPr="00C6650B">
              <w:t xml:space="preserve">2 weeks </w:t>
            </w:r>
            <w:r w:rsidR="00F43AC2">
              <w:t>in anticipation of, during or following a public health incident</w:t>
            </w:r>
            <w:r w:rsidR="00EF0C9D" w:rsidRPr="00C6650B">
              <w:t xml:space="preserve"> (Day 14 of an average 48 day response))</w:t>
            </w:r>
          </w:p>
        </w:tc>
      </w:tr>
      <w:tr w:rsidR="00EF0C9D" w:rsidRPr="00C6650B" w:rsidTr="00DE0246">
        <w:tc>
          <w:tcPr>
            <w:tcW w:w="4716" w:type="dxa"/>
          </w:tcPr>
          <w:p w:rsidR="00EF0C9D" w:rsidRPr="00C6650B" w:rsidRDefault="00EF0C9D" w:rsidP="00EF0C9D">
            <w:r w:rsidRPr="00C6650B">
              <w:t xml:space="preserve">Preliminary data </w:t>
            </w:r>
            <w:r w:rsidR="00BA4847" w:rsidRPr="00C6650B">
              <w:t>analysis</w:t>
            </w:r>
            <w:r w:rsidR="00BA4847">
              <w:t>,</w:t>
            </w:r>
            <w:r w:rsidR="00BA4847" w:rsidRPr="00C6650B">
              <w:t xml:space="preserve"> assessment</w:t>
            </w:r>
            <w:r w:rsidRPr="00C6650B">
              <w:t xml:space="preserve"> </w:t>
            </w:r>
            <w:r w:rsidR="00541DD5">
              <w:t>and distribution</w:t>
            </w:r>
          </w:p>
        </w:tc>
        <w:tc>
          <w:tcPr>
            <w:tcW w:w="4716" w:type="dxa"/>
          </w:tcPr>
          <w:p w:rsidR="00EF0C9D" w:rsidRPr="00C6650B" w:rsidRDefault="00EF0C9D" w:rsidP="007C39D5"/>
        </w:tc>
      </w:tr>
      <w:tr w:rsidR="00B10CBC" w:rsidRPr="00C6650B" w:rsidTr="00DE0246">
        <w:tc>
          <w:tcPr>
            <w:tcW w:w="4716" w:type="dxa"/>
          </w:tcPr>
          <w:p w:rsidR="00B10CBC" w:rsidRPr="00C6650B" w:rsidRDefault="00575579" w:rsidP="00575579">
            <w:r w:rsidRPr="00C6650B">
              <w:t xml:space="preserve">Follow-up with </w:t>
            </w:r>
            <w:proofErr w:type="spellStart"/>
            <w:r w:rsidR="00EF0C9D" w:rsidRPr="001B7163">
              <w:rPr>
                <w:i/>
              </w:rPr>
              <w:t>Epi</w:t>
            </w:r>
            <w:proofErr w:type="spellEnd"/>
            <w:r w:rsidR="00EF0C9D" w:rsidRPr="001B7163">
              <w:rPr>
                <w:i/>
              </w:rPr>
              <w:t>-X</w:t>
            </w:r>
            <w:r w:rsidR="00EF0C9D" w:rsidRPr="00C6650B">
              <w:t xml:space="preserve"> </w:t>
            </w:r>
            <w:r w:rsidRPr="00C6650B">
              <w:t xml:space="preserve">Public Health </w:t>
            </w:r>
            <w:r w:rsidR="00C35851" w:rsidRPr="00C6650B">
              <w:t>Officials</w:t>
            </w:r>
            <w:r w:rsidRPr="00C6650B">
              <w:t xml:space="preserve"> engage in Incident Specific Public Health  Response </w:t>
            </w:r>
          </w:p>
        </w:tc>
        <w:tc>
          <w:tcPr>
            <w:tcW w:w="4716" w:type="dxa"/>
          </w:tcPr>
          <w:p w:rsidR="00B10CBC" w:rsidRPr="00C6650B" w:rsidRDefault="00575579" w:rsidP="00575579">
            <w:r w:rsidRPr="00C6650B">
              <w:t>Within 3 weeks after CDC’s  EOC  is activated</w:t>
            </w:r>
            <w:r w:rsidR="00EF0C9D" w:rsidRPr="00C6650B">
              <w:t xml:space="preserve">  (Day 21)</w:t>
            </w:r>
          </w:p>
        </w:tc>
      </w:tr>
      <w:tr w:rsidR="00B10CBC" w:rsidRPr="00C6650B" w:rsidTr="00DE0246">
        <w:tc>
          <w:tcPr>
            <w:tcW w:w="4716" w:type="dxa"/>
          </w:tcPr>
          <w:p w:rsidR="00B10CBC" w:rsidRPr="00C6650B" w:rsidRDefault="00EF0C9D" w:rsidP="00EF0C9D">
            <w:proofErr w:type="spellStart"/>
            <w:r w:rsidRPr="006637BD">
              <w:rPr>
                <w:i/>
              </w:rPr>
              <w:t>Epi</w:t>
            </w:r>
            <w:proofErr w:type="spellEnd"/>
            <w:r w:rsidRPr="006637BD">
              <w:rPr>
                <w:i/>
              </w:rPr>
              <w:t>-X</w:t>
            </w:r>
            <w:r w:rsidRPr="00C6650B">
              <w:t xml:space="preserve"> Second Incident Specific Data Collection – (if needed)</w:t>
            </w:r>
          </w:p>
        </w:tc>
        <w:tc>
          <w:tcPr>
            <w:tcW w:w="4716" w:type="dxa"/>
          </w:tcPr>
          <w:p w:rsidR="00B10CBC" w:rsidRPr="00C6650B" w:rsidRDefault="00EF0C9D" w:rsidP="00EF0C9D">
            <w:r w:rsidRPr="00C6650B">
              <w:t>Within 4 weeks after CDC’s  EOC  is activated  (Day 28)</w:t>
            </w:r>
          </w:p>
        </w:tc>
      </w:tr>
      <w:tr w:rsidR="00B10CBC" w:rsidRPr="00C6650B" w:rsidTr="00DE0246">
        <w:tc>
          <w:tcPr>
            <w:tcW w:w="4716" w:type="dxa"/>
          </w:tcPr>
          <w:p w:rsidR="00B10CBC" w:rsidRPr="00C6650B" w:rsidRDefault="00EF0C9D" w:rsidP="008E1FC2">
            <w:r w:rsidRPr="00C6650B">
              <w:t>Data analysis and assessment</w:t>
            </w:r>
          </w:p>
        </w:tc>
        <w:tc>
          <w:tcPr>
            <w:tcW w:w="4716" w:type="dxa"/>
          </w:tcPr>
          <w:p w:rsidR="00B10CBC" w:rsidRPr="00C6650B" w:rsidRDefault="00EF0C9D" w:rsidP="00EF0C9D">
            <w:r w:rsidRPr="00C6650B">
              <w:t>Within 5 weeks after CDC’s  EOC  is activated (Day 35)</w:t>
            </w:r>
          </w:p>
        </w:tc>
      </w:tr>
      <w:tr w:rsidR="00B10CBC" w:rsidRPr="00C6650B" w:rsidTr="00DE0246">
        <w:tc>
          <w:tcPr>
            <w:tcW w:w="4716" w:type="dxa"/>
          </w:tcPr>
          <w:p w:rsidR="00B10CBC" w:rsidRPr="00C6650B" w:rsidRDefault="00EF0C9D" w:rsidP="008E1FC2">
            <w:proofErr w:type="spellStart"/>
            <w:r w:rsidRPr="006637BD">
              <w:rPr>
                <w:i/>
              </w:rPr>
              <w:t>Epi</w:t>
            </w:r>
            <w:proofErr w:type="spellEnd"/>
            <w:r w:rsidRPr="006637BD">
              <w:rPr>
                <w:i/>
              </w:rPr>
              <w:t>-X</w:t>
            </w:r>
            <w:r w:rsidRPr="00C6650B">
              <w:t xml:space="preserve"> Third Incident Specific Data Collection</w:t>
            </w:r>
          </w:p>
          <w:p w:rsidR="00EF0C9D" w:rsidRPr="00C6650B" w:rsidRDefault="00EF0C9D" w:rsidP="00EF0C9D">
            <w:r w:rsidRPr="00C6650B">
              <w:t>(if needed)</w:t>
            </w:r>
          </w:p>
        </w:tc>
        <w:tc>
          <w:tcPr>
            <w:tcW w:w="4716" w:type="dxa"/>
          </w:tcPr>
          <w:p w:rsidR="00B10CBC" w:rsidRPr="00C6650B" w:rsidRDefault="00EF0C9D" w:rsidP="00EF0C9D">
            <w:r w:rsidRPr="00C6650B">
              <w:t>Within 6 weeks after CDC’s  EOC  is activated  (Day 42)</w:t>
            </w:r>
          </w:p>
        </w:tc>
      </w:tr>
      <w:tr w:rsidR="00B10CBC" w:rsidRPr="00C6650B" w:rsidTr="00DE0246">
        <w:tc>
          <w:tcPr>
            <w:tcW w:w="4716" w:type="dxa"/>
          </w:tcPr>
          <w:p w:rsidR="00B10CBC" w:rsidRPr="00C6650B" w:rsidRDefault="00EF0C9D" w:rsidP="008E1FC2">
            <w:r w:rsidRPr="00C6650B">
              <w:t>All data collection completed</w:t>
            </w:r>
          </w:p>
        </w:tc>
        <w:tc>
          <w:tcPr>
            <w:tcW w:w="4716" w:type="dxa"/>
          </w:tcPr>
          <w:p w:rsidR="00B10CBC" w:rsidRPr="00C6650B" w:rsidRDefault="00EF0C9D" w:rsidP="008E1FC2">
            <w:r w:rsidRPr="00C6650B">
              <w:t>1 month after CDC EOC  is deactivated – work reverts to program</w:t>
            </w:r>
          </w:p>
        </w:tc>
      </w:tr>
      <w:tr w:rsidR="00B10CBC" w:rsidRPr="00C6650B" w:rsidTr="00DE0246">
        <w:tc>
          <w:tcPr>
            <w:tcW w:w="4716" w:type="dxa"/>
          </w:tcPr>
          <w:p w:rsidR="00B10CBC" w:rsidRPr="00C6650B" w:rsidRDefault="00EF0C9D" w:rsidP="00EF0C9D">
            <w:r w:rsidRPr="00C6650B">
              <w:t>Data cleaning, coding and analysis</w:t>
            </w:r>
          </w:p>
        </w:tc>
        <w:tc>
          <w:tcPr>
            <w:tcW w:w="4716" w:type="dxa"/>
          </w:tcPr>
          <w:p w:rsidR="00B10CBC" w:rsidRPr="00C6650B" w:rsidRDefault="00EF0C9D" w:rsidP="008E1FC2">
            <w:r w:rsidRPr="00C6650B">
              <w:t>5-7 months after CDC EOC is deactivated</w:t>
            </w:r>
          </w:p>
        </w:tc>
      </w:tr>
      <w:tr w:rsidR="00B10CBC" w:rsidRPr="00C6650B" w:rsidTr="00DE0246">
        <w:tc>
          <w:tcPr>
            <w:tcW w:w="4716" w:type="dxa"/>
          </w:tcPr>
          <w:p w:rsidR="00B10CBC" w:rsidRPr="00C6650B" w:rsidRDefault="00317FB6" w:rsidP="008E1FC2">
            <w:r w:rsidRPr="00C6650B">
              <w:t>Completion of Evaluation Reports and Review</w:t>
            </w:r>
          </w:p>
        </w:tc>
        <w:tc>
          <w:tcPr>
            <w:tcW w:w="4716" w:type="dxa"/>
          </w:tcPr>
          <w:p w:rsidR="00B10CBC" w:rsidRPr="00C6650B" w:rsidRDefault="00317FB6" w:rsidP="00317FB6">
            <w:r w:rsidRPr="00C6650B">
              <w:t>8-10 months after CDC EOC is deactivated</w:t>
            </w:r>
          </w:p>
        </w:tc>
      </w:tr>
      <w:tr w:rsidR="00B10CBC" w:rsidRPr="00C6650B" w:rsidTr="00DE0246">
        <w:tc>
          <w:tcPr>
            <w:tcW w:w="4716" w:type="dxa"/>
          </w:tcPr>
          <w:p w:rsidR="00B10CBC" w:rsidRPr="00C6650B" w:rsidRDefault="00317FB6" w:rsidP="00C35851">
            <w:r w:rsidRPr="00C6650B">
              <w:t xml:space="preserve">Publication and Dissemination of Incident </w:t>
            </w:r>
            <w:r w:rsidR="00C35851" w:rsidRPr="00C6650B">
              <w:t>Epidemiology</w:t>
            </w:r>
            <w:r w:rsidRPr="00C6650B">
              <w:t xml:space="preserve"> </w:t>
            </w:r>
            <w:r w:rsidR="00C35851" w:rsidRPr="00C6650B">
              <w:t>Summary</w:t>
            </w:r>
            <w:r w:rsidRPr="00C6650B">
              <w:t xml:space="preserve"> </w:t>
            </w:r>
          </w:p>
        </w:tc>
        <w:tc>
          <w:tcPr>
            <w:tcW w:w="4716" w:type="dxa"/>
          </w:tcPr>
          <w:p w:rsidR="00B10CBC" w:rsidRPr="00C6650B" w:rsidRDefault="00317FB6" w:rsidP="00317FB6">
            <w:r w:rsidRPr="00C6650B">
              <w:t>11-12 months after CDC EOC is deactivated</w:t>
            </w:r>
          </w:p>
        </w:tc>
      </w:tr>
    </w:tbl>
    <w:p w:rsidR="008E1FC2" w:rsidRPr="00C6650B" w:rsidRDefault="00DD44F6" w:rsidP="008E1FC2">
      <w:r w:rsidRPr="00C6650B">
        <w:t xml:space="preserve"> </w:t>
      </w:r>
    </w:p>
    <w:p w:rsidR="00116318" w:rsidRDefault="00116318" w:rsidP="00AD3062">
      <w:pPr>
        <w:pStyle w:val="BodyTextIndent3"/>
        <w:ind w:left="0"/>
        <w:rPr>
          <w:b/>
          <w:bCs/>
          <w:sz w:val="28"/>
          <w:szCs w:val="28"/>
        </w:rPr>
      </w:pPr>
    </w:p>
    <w:p w:rsidR="00644872" w:rsidRDefault="00AD3062" w:rsidP="00AD3062">
      <w:pPr>
        <w:pStyle w:val="BodyTextIndent3"/>
        <w:ind w:left="0"/>
        <w:rPr>
          <w:b/>
          <w:bCs/>
          <w:sz w:val="28"/>
          <w:szCs w:val="28"/>
        </w:rPr>
      </w:pPr>
      <w:r w:rsidRPr="00C6650B">
        <w:rPr>
          <w:b/>
          <w:bCs/>
          <w:sz w:val="28"/>
          <w:szCs w:val="28"/>
        </w:rPr>
        <w:t xml:space="preserve">17. </w:t>
      </w:r>
      <w:r w:rsidR="00644872" w:rsidRPr="00C6650B">
        <w:rPr>
          <w:b/>
          <w:bCs/>
          <w:sz w:val="28"/>
          <w:szCs w:val="28"/>
        </w:rPr>
        <w:t>Reason(s) Display of OMB Expiration Date is Inappropriate</w:t>
      </w:r>
    </w:p>
    <w:p w:rsidR="0037209A" w:rsidRPr="00C6650B" w:rsidRDefault="0037209A" w:rsidP="00AD3062">
      <w:pPr>
        <w:pStyle w:val="BodyTextIndent3"/>
        <w:ind w:left="0"/>
        <w:rPr>
          <w:b/>
          <w:bCs/>
          <w:sz w:val="28"/>
          <w:szCs w:val="28"/>
        </w:rPr>
      </w:pPr>
    </w:p>
    <w:p w:rsidR="008E1FC2" w:rsidRPr="00C6650B" w:rsidRDefault="00965614" w:rsidP="008E1FC2">
      <w:pPr>
        <w:outlineLvl w:val="0"/>
      </w:pPr>
      <w:r w:rsidRPr="00C6650B">
        <w:rPr>
          <w:bCs/>
        </w:rPr>
        <w:t xml:space="preserve"> </w:t>
      </w:r>
      <w:bookmarkStart w:id="17" w:name="_Toc245779358"/>
      <w:bookmarkStart w:id="18" w:name="_Toc379453707"/>
      <w:r w:rsidR="008E1FC2" w:rsidRPr="00C6650B">
        <w:t>We are not requesting an exemption to the display of the expiration date.</w:t>
      </w:r>
      <w:bookmarkEnd w:id="17"/>
      <w:bookmarkEnd w:id="18"/>
    </w:p>
    <w:p w:rsidR="008E1FC2" w:rsidRPr="00C6650B" w:rsidRDefault="008E1FC2" w:rsidP="008E1FC2"/>
    <w:p w:rsidR="00644872" w:rsidRPr="00C6650B" w:rsidRDefault="00644872">
      <w:pPr>
        <w:pStyle w:val="BodyTextIndent3"/>
        <w:tabs>
          <w:tab w:val="left" w:pos="1080"/>
        </w:tabs>
        <w:ind w:left="1800"/>
      </w:pPr>
    </w:p>
    <w:p w:rsidR="00644872" w:rsidRPr="00C6650B" w:rsidRDefault="00AD3062" w:rsidP="00AD3062">
      <w:pPr>
        <w:pStyle w:val="BodyTextIndent3"/>
        <w:ind w:left="0"/>
        <w:rPr>
          <w:b/>
          <w:bCs/>
          <w:sz w:val="28"/>
          <w:szCs w:val="28"/>
        </w:rPr>
      </w:pPr>
      <w:r w:rsidRPr="00C6650B">
        <w:rPr>
          <w:b/>
          <w:bCs/>
          <w:sz w:val="28"/>
          <w:szCs w:val="28"/>
        </w:rPr>
        <w:t xml:space="preserve">18. </w:t>
      </w:r>
      <w:r w:rsidR="00644872" w:rsidRPr="00C6650B">
        <w:rPr>
          <w:b/>
          <w:bCs/>
          <w:sz w:val="28"/>
          <w:szCs w:val="28"/>
        </w:rPr>
        <w:t>Exceptions to Certification for Paperwork Reduction Act Submissions</w:t>
      </w:r>
    </w:p>
    <w:p w:rsidR="00E05459" w:rsidRPr="00C6650B" w:rsidRDefault="00E05459" w:rsidP="00E05459">
      <w:pPr>
        <w:pStyle w:val="BodyTextIndent3"/>
        <w:ind w:left="1260"/>
        <w:rPr>
          <w:b/>
          <w:bCs/>
        </w:rPr>
      </w:pPr>
    </w:p>
    <w:p w:rsidR="00F755CE" w:rsidRDefault="003F459E">
      <w:pPr>
        <w:pStyle w:val="BodyTextIndent3"/>
        <w:tabs>
          <w:tab w:val="left" w:pos="1080"/>
        </w:tabs>
        <w:ind w:left="0"/>
      </w:pPr>
      <w:r w:rsidRPr="00C6650B">
        <w:rPr>
          <w:bCs/>
        </w:rPr>
        <w:t xml:space="preserve"> There are no exceptions to the certification.</w:t>
      </w:r>
    </w:p>
    <w:sectPr w:rsidR="00F755CE" w:rsidSect="00A95DC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789" w:rsidRDefault="00B86789">
      <w:r>
        <w:separator/>
      </w:r>
    </w:p>
  </w:endnote>
  <w:endnote w:type="continuationSeparator" w:id="0">
    <w:p w:rsidR="00B86789" w:rsidRDefault="00B8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D0" w:rsidRDefault="003063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8EA" w:rsidRDefault="00BF38EA">
    <w:pPr>
      <w:pStyle w:val="Footer"/>
      <w:jc w:val="right"/>
    </w:pPr>
    <w:r>
      <w:fldChar w:fldCharType="begin"/>
    </w:r>
    <w:r>
      <w:instrText xml:space="preserve"> PAGE   \* MERGEFORMAT </w:instrText>
    </w:r>
    <w:r>
      <w:fldChar w:fldCharType="separate"/>
    </w:r>
    <w:r w:rsidR="000F3276">
      <w:rPr>
        <w:noProof/>
      </w:rPr>
      <w:t>15</w:t>
    </w:r>
    <w:r>
      <w:rPr>
        <w:noProof/>
      </w:rPr>
      <w:fldChar w:fldCharType="end"/>
    </w:r>
  </w:p>
  <w:p w:rsidR="00BF38EA" w:rsidRDefault="00BF38E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D0" w:rsidRDefault="00306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789" w:rsidRDefault="00B86789">
      <w:r>
        <w:separator/>
      </w:r>
    </w:p>
  </w:footnote>
  <w:footnote w:type="continuationSeparator" w:id="0">
    <w:p w:rsidR="00B86789" w:rsidRDefault="00B86789">
      <w:r>
        <w:continuationSeparator/>
      </w:r>
    </w:p>
  </w:footnote>
  <w:footnote w:id="1">
    <w:p w:rsidR="00BF38EA" w:rsidRPr="00C3198C" w:rsidRDefault="00BF38EA" w:rsidP="003247E8">
      <w:pPr>
        <w:pStyle w:val="FootnoteText"/>
      </w:pPr>
      <w:r>
        <w:rPr>
          <w:rStyle w:val="FootnoteReference"/>
        </w:rPr>
        <w:footnoteRef/>
      </w:r>
      <w:r>
        <w:t xml:space="preserve"> The Strategic National Stockpile </w:t>
      </w:r>
      <w:r w:rsidRPr="00C3198C">
        <w:t>is a national repository of antibiotics, antivirals, chemical antidotes, antitoxins, life-support medications, IV administration equipment, airway maintenance supplies, and medical/surgical items</w:t>
      </w:r>
      <w:r>
        <w:t xml:space="preserve"> managed by CDC</w:t>
      </w:r>
      <w:r w:rsidRPr="00C3198C">
        <w:t xml:space="preserve">. During a public health emergency, State and local public health systems and resources may become overwhelmed. The SNS is designed to supplement and re-supply state and local public health agencies in the </w:t>
      </w:r>
      <w:r>
        <w:t>incident</w:t>
      </w:r>
      <w:r w:rsidRPr="00C3198C">
        <w:t xml:space="preserve"> of such an emergency.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D0" w:rsidRDefault="003063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D0" w:rsidRDefault="003063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3D0" w:rsidRDefault="00306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068"/>
    <w:multiLevelType w:val="hybridMultilevel"/>
    <w:tmpl w:val="8BF01E3A"/>
    <w:lvl w:ilvl="0" w:tplc="2C1699A2">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6797760"/>
    <w:multiLevelType w:val="hybridMultilevel"/>
    <w:tmpl w:val="76D44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A81A34"/>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AB1669"/>
    <w:multiLevelType w:val="hybridMultilevel"/>
    <w:tmpl w:val="EC3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95F82"/>
    <w:multiLevelType w:val="hybridMultilevel"/>
    <w:tmpl w:val="7A1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E550E"/>
    <w:multiLevelType w:val="hybridMultilevel"/>
    <w:tmpl w:val="A110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56F08"/>
    <w:multiLevelType w:val="hybridMultilevel"/>
    <w:tmpl w:val="BA362426"/>
    <w:lvl w:ilvl="0" w:tplc="52143F5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nsid w:val="2230454C"/>
    <w:multiLevelType w:val="hybridMultilevel"/>
    <w:tmpl w:val="28C46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420AB5"/>
    <w:multiLevelType w:val="hybridMultilevel"/>
    <w:tmpl w:val="DFA4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A43FD"/>
    <w:multiLevelType w:val="hybridMultilevel"/>
    <w:tmpl w:val="985EBC80"/>
    <w:lvl w:ilvl="0" w:tplc="09F66A50">
      <w:start w:val="1"/>
      <w:numFmt w:val="upperLetter"/>
      <w:lvlText w:val="%1."/>
      <w:lvlJc w:val="left"/>
      <w:pPr>
        <w:tabs>
          <w:tab w:val="num" w:pos="1080"/>
        </w:tabs>
        <w:ind w:left="1080" w:hanging="720"/>
      </w:pPr>
      <w:rPr>
        <w:rFonts w:hint="default"/>
      </w:rPr>
    </w:lvl>
    <w:lvl w:ilvl="1" w:tplc="CAAA81B8">
      <w:start w:val="1"/>
      <w:numFmt w:val="decimal"/>
      <w:lvlText w:val="%2."/>
      <w:lvlJc w:val="left"/>
      <w:pPr>
        <w:tabs>
          <w:tab w:val="num" w:pos="1980"/>
        </w:tabs>
        <w:ind w:left="1980" w:hanging="720"/>
      </w:pPr>
      <w:rPr>
        <w:rFonts w:hint="default"/>
      </w:rPr>
    </w:lvl>
    <w:lvl w:ilvl="2" w:tplc="58005414">
      <w:start w:val="1"/>
      <w:numFmt w:val="upperLetter"/>
      <w:lvlText w:val="%3."/>
      <w:lvlJc w:val="left"/>
      <w:pPr>
        <w:tabs>
          <w:tab w:val="num" w:pos="450"/>
        </w:tabs>
        <w:ind w:left="45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5B3098"/>
    <w:multiLevelType w:val="hybridMultilevel"/>
    <w:tmpl w:val="D4CE76C0"/>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F685AA5"/>
    <w:multiLevelType w:val="hybridMultilevel"/>
    <w:tmpl w:val="4D9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056E23"/>
    <w:multiLevelType w:val="hybridMultilevel"/>
    <w:tmpl w:val="FD9861D6"/>
    <w:lvl w:ilvl="0" w:tplc="57DC1E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320E00B2"/>
    <w:multiLevelType w:val="hybridMultilevel"/>
    <w:tmpl w:val="C66A6AF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33C96EAF"/>
    <w:multiLevelType w:val="hybridMultilevel"/>
    <w:tmpl w:val="DCCC10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41B3062"/>
    <w:multiLevelType w:val="hybridMultilevel"/>
    <w:tmpl w:val="C16001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766001F"/>
    <w:multiLevelType w:val="hybridMultilevel"/>
    <w:tmpl w:val="02362C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6B1D94"/>
    <w:multiLevelType w:val="hybridMultilevel"/>
    <w:tmpl w:val="9E1AD838"/>
    <w:lvl w:ilvl="0" w:tplc="DDE2B2C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AC110E"/>
    <w:multiLevelType w:val="hybridMultilevel"/>
    <w:tmpl w:val="BE6CEC56"/>
    <w:lvl w:ilvl="0" w:tplc="898E8B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D538E6"/>
    <w:multiLevelType w:val="hybridMultilevel"/>
    <w:tmpl w:val="38E4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2E1B35"/>
    <w:multiLevelType w:val="hybridMultilevel"/>
    <w:tmpl w:val="6096E7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AC4585"/>
    <w:multiLevelType w:val="hybridMultilevel"/>
    <w:tmpl w:val="7AF6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B47D86"/>
    <w:multiLevelType w:val="hybridMultilevel"/>
    <w:tmpl w:val="975E55F2"/>
    <w:lvl w:ilvl="0" w:tplc="CAAA81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nsid w:val="6DB80147"/>
    <w:multiLevelType w:val="hybridMultilevel"/>
    <w:tmpl w:val="32BE0B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nsid w:val="6DB805CD"/>
    <w:multiLevelType w:val="hybridMultilevel"/>
    <w:tmpl w:val="8C8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EA0607"/>
    <w:multiLevelType w:val="hybridMultilevel"/>
    <w:tmpl w:val="1F56ADEC"/>
    <w:lvl w:ilvl="0" w:tplc="FA3A355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585035"/>
    <w:multiLevelType w:val="hybridMultilevel"/>
    <w:tmpl w:val="C804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4707E4"/>
    <w:multiLevelType w:val="hybridMultilevel"/>
    <w:tmpl w:val="F716A2FE"/>
    <w:lvl w:ilvl="0" w:tplc="77E0299E">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94A5F50"/>
    <w:multiLevelType w:val="hybridMultilevel"/>
    <w:tmpl w:val="B68E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CC720A"/>
    <w:multiLevelType w:val="hybridMultilevel"/>
    <w:tmpl w:val="07DE0A60"/>
    <w:lvl w:ilvl="0" w:tplc="57DC1E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7FFB1630"/>
    <w:multiLevelType w:val="hybridMultilevel"/>
    <w:tmpl w:val="B4FE2A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
  </w:num>
  <w:num w:numId="2">
    <w:abstractNumId w:val="30"/>
  </w:num>
  <w:num w:numId="3">
    <w:abstractNumId w:val="0"/>
  </w:num>
  <w:num w:numId="4">
    <w:abstractNumId w:val="15"/>
  </w:num>
  <w:num w:numId="5">
    <w:abstractNumId w:val="7"/>
  </w:num>
  <w:num w:numId="6">
    <w:abstractNumId w:val="1"/>
  </w:num>
  <w:num w:numId="7">
    <w:abstractNumId w:val="16"/>
  </w:num>
  <w:num w:numId="8">
    <w:abstractNumId w:val="13"/>
  </w:num>
  <w:num w:numId="9">
    <w:abstractNumId w:val="22"/>
  </w:num>
  <w:num w:numId="10">
    <w:abstractNumId w:val="9"/>
  </w:num>
  <w:num w:numId="11">
    <w:abstractNumId w:val="2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7"/>
  </w:num>
  <w:num w:numId="15">
    <w:abstractNumId w:val="17"/>
  </w:num>
  <w:num w:numId="16">
    <w:abstractNumId w:val="14"/>
  </w:num>
  <w:num w:numId="17">
    <w:abstractNumId w:val="6"/>
  </w:num>
  <w:num w:numId="18">
    <w:abstractNumId w:val="18"/>
  </w:num>
  <w:num w:numId="19">
    <w:abstractNumId w:val="10"/>
  </w:num>
  <w:num w:numId="20">
    <w:abstractNumId w:val="11"/>
  </w:num>
  <w:num w:numId="21">
    <w:abstractNumId w:val="19"/>
  </w:num>
  <w:num w:numId="22">
    <w:abstractNumId w:val="28"/>
  </w:num>
  <w:num w:numId="23">
    <w:abstractNumId w:val="4"/>
  </w:num>
  <w:num w:numId="24">
    <w:abstractNumId w:val="3"/>
  </w:num>
  <w:num w:numId="25">
    <w:abstractNumId w:val="5"/>
  </w:num>
  <w:num w:numId="26">
    <w:abstractNumId w:val="21"/>
  </w:num>
  <w:num w:numId="27">
    <w:abstractNumId w:val="8"/>
  </w:num>
  <w:num w:numId="28">
    <w:abstractNumId w:val="24"/>
  </w:num>
  <w:num w:numId="29">
    <w:abstractNumId w:val="26"/>
  </w:num>
  <w:num w:numId="30">
    <w:abstractNumId w:val="29"/>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778"/>
    <w:rsid w:val="00000866"/>
    <w:rsid w:val="000008C1"/>
    <w:rsid w:val="00002971"/>
    <w:rsid w:val="00002EFB"/>
    <w:rsid w:val="000053D3"/>
    <w:rsid w:val="000119EF"/>
    <w:rsid w:val="000123E6"/>
    <w:rsid w:val="0001264D"/>
    <w:rsid w:val="00013F18"/>
    <w:rsid w:val="00015244"/>
    <w:rsid w:val="0002055D"/>
    <w:rsid w:val="000224BB"/>
    <w:rsid w:val="000232F5"/>
    <w:rsid w:val="00024F98"/>
    <w:rsid w:val="00027272"/>
    <w:rsid w:val="00027611"/>
    <w:rsid w:val="00027AF6"/>
    <w:rsid w:val="00030093"/>
    <w:rsid w:val="00035437"/>
    <w:rsid w:val="000355A9"/>
    <w:rsid w:val="00040792"/>
    <w:rsid w:val="00044F8B"/>
    <w:rsid w:val="00045778"/>
    <w:rsid w:val="00045AC6"/>
    <w:rsid w:val="00046B89"/>
    <w:rsid w:val="00046DA8"/>
    <w:rsid w:val="000478E8"/>
    <w:rsid w:val="00047B87"/>
    <w:rsid w:val="00050164"/>
    <w:rsid w:val="000527B2"/>
    <w:rsid w:val="00053C59"/>
    <w:rsid w:val="000546B8"/>
    <w:rsid w:val="00054EB2"/>
    <w:rsid w:val="00054EFF"/>
    <w:rsid w:val="00055065"/>
    <w:rsid w:val="000602BB"/>
    <w:rsid w:val="00062B16"/>
    <w:rsid w:val="00063318"/>
    <w:rsid w:val="00065B93"/>
    <w:rsid w:val="00067145"/>
    <w:rsid w:val="00067653"/>
    <w:rsid w:val="00070489"/>
    <w:rsid w:val="0007092B"/>
    <w:rsid w:val="00070D04"/>
    <w:rsid w:val="000723BE"/>
    <w:rsid w:val="000748EB"/>
    <w:rsid w:val="00075B73"/>
    <w:rsid w:val="00083DAF"/>
    <w:rsid w:val="00084790"/>
    <w:rsid w:val="000873F2"/>
    <w:rsid w:val="000901AD"/>
    <w:rsid w:val="000907F6"/>
    <w:rsid w:val="00091EA3"/>
    <w:rsid w:val="0009786F"/>
    <w:rsid w:val="000A246A"/>
    <w:rsid w:val="000A700E"/>
    <w:rsid w:val="000A7013"/>
    <w:rsid w:val="000B07CB"/>
    <w:rsid w:val="000B3F79"/>
    <w:rsid w:val="000B5F9A"/>
    <w:rsid w:val="000B6073"/>
    <w:rsid w:val="000B61ED"/>
    <w:rsid w:val="000C03A3"/>
    <w:rsid w:val="000C0446"/>
    <w:rsid w:val="000C42A4"/>
    <w:rsid w:val="000C460F"/>
    <w:rsid w:val="000C62D1"/>
    <w:rsid w:val="000D216A"/>
    <w:rsid w:val="000D2B55"/>
    <w:rsid w:val="000D3700"/>
    <w:rsid w:val="000D4111"/>
    <w:rsid w:val="000D443F"/>
    <w:rsid w:val="000D4649"/>
    <w:rsid w:val="000D5591"/>
    <w:rsid w:val="000D5796"/>
    <w:rsid w:val="000D627D"/>
    <w:rsid w:val="000E000F"/>
    <w:rsid w:val="000E021D"/>
    <w:rsid w:val="000E1B23"/>
    <w:rsid w:val="000E482A"/>
    <w:rsid w:val="000E4D6A"/>
    <w:rsid w:val="000F0BEC"/>
    <w:rsid w:val="000F2E1A"/>
    <w:rsid w:val="000F3276"/>
    <w:rsid w:val="000F380B"/>
    <w:rsid w:val="000F41D9"/>
    <w:rsid w:val="000F429D"/>
    <w:rsid w:val="000F4B6A"/>
    <w:rsid w:val="000F619A"/>
    <w:rsid w:val="000F73A0"/>
    <w:rsid w:val="0010072E"/>
    <w:rsid w:val="00102E23"/>
    <w:rsid w:val="00103580"/>
    <w:rsid w:val="00103BAE"/>
    <w:rsid w:val="001043BA"/>
    <w:rsid w:val="00104BAC"/>
    <w:rsid w:val="00105438"/>
    <w:rsid w:val="00105C4F"/>
    <w:rsid w:val="001075F8"/>
    <w:rsid w:val="0010789E"/>
    <w:rsid w:val="001113C2"/>
    <w:rsid w:val="00111757"/>
    <w:rsid w:val="00111FE7"/>
    <w:rsid w:val="001159F8"/>
    <w:rsid w:val="00115EA8"/>
    <w:rsid w:val="001162A4"/>
    <w:rsid w:val="00116318"/>
    <w:rsid w:val="00117231"/>
    <w:rsid w:val="001252DF"/>
    <w:rsid w:val="00125B6B"/>
    <w:rsid w:val="0012605C"/>
    <w:rsid w:val="00127C2E"/>
    <w:rsid w:val="00130495"/>
    <w:rsid w:val="001321AD"/>
    <w:rsid w:val="00132F43"/>
    <w:rsid w:val="001332B6"/>
    <w:rsid w:val="00134318"/>
    <w:rsid w:val="001364C6"/>
    <w:rsid w:val="00140553"/>
    <w:rsid w:val="00143F1C"/>
    <w:rsid w:val="00144A0E"/>
    <w:rsid w:val="001464C5"/>
    <w:rsid w:val="00146B7E"/>
    <w:rsid w:val="00147A62"/>
    <w:rsid w:val="00154736"/>
    <w:rsid w:val="00154820"/>
    <w:rsid w:val="001569FA"/>
    <w:rsid w:val="00156A5B"/>
    <w:rsid w:val="0016043F"/>
    <w:rsid w:val="0016147F"/>
    <w:rsid w:val="0016294C"/>
    <w:rsid w:val="00163A61"/>
    <w:rsid w:val="0016497E"/>
    <w:rsid w:val="00164A84"/>
    <w:rsid w:val="00164F1D"/>
    <w:rsid w:val="00167920"/>
    <w:rsid w:val="00167B4A"/>
    <w:rsid w:val="00171911"/>
    <w:rsid w:val="00171A26"/>
    <w:rsid w:val="0017494B"/>
    <w:rsid w:val="00174BF4"/>
    <w:rsid w:val="001756B3"/>
    <w:rsid w:val="00175926"/>
    <w:rsid w:val="00176776"/>
    <w:rsid w:val="001770FA"/>
    <w:rsid w:val="00181952"/>
    <w:rsid w:val="001820C0"/>
    <w:rsid w:val="00182568"/>
    <w:rsid w:val="00184C51"/>
    <w:rsid w:val="0019098D"/>
    <w:rsid w:val="00190AE5"/>
    <w:rsid w:val="0019211C"/>
    <w:rsid w:val="00192539"/>
    <w:rsid w:val="00192977"/>
    <w:rsid w:val="001945A1"/>
    <w:rsid w:val="00195D66"/>
    <w:rsid w:val="00197470"/>
    <w:rsid w:val="001A13F0"/>
    <w:rsid w:val="001A33FD"/>
    <w:rsid w:val="001B08E4"/>
    <w:rsid w:val="001B171F"/>
    <w:rsid w:val="001B27BA"/>
    <w:rsid w:val="001B40A4"/>
    <w:rsid w:val="001B4A08"/>
    <w:rsid w:val="001B7163"/>
    <w:rsid w:val="001B71C4"/>
    <w:rsid w:val="001B7609"/>
    <w:rsid w:val="001C0534"/>
    <w:rsid w:val="001C056D"/>
    <w:rsid w:val="001C353F"/>
    <w:rsid w:val="001C3A9C"/>
    <w:rsid w:val="001C4690"/>
    <w:rsid w:val="001C4F9B"/>
    <w:rsid w:val="001C6144"/>
    <w:rsid w:val="001C6558"/>
    <w:rsid w:val="001C6B2E"/>
    <w:rsid w:val="001C7799"/>
    <w:rsid w:val="001D149E"/>
    <w:rsid w:val="001D4EA6"/>
    <w:rsid w:val="001E08A1"/>
    <w:rsid w:val="001E40A3"/>
    <w:rsid w:val="001E5875"/>
    <w:rsid w:val="001E6DC2"/>
    <w:rsid w:val="001F2406"/>
    <w:rsid w:val="001F3B3D"/>
    <w:rsid w:val="001F47D8"/>
    <w:rsid w:val="001F7EFA"/>
    <w:rsid w:val="00200CF5"/>
    <w:rsid w:val="00201656"/>
    <w:rsid w:val="002018B4"/>
    <w:rsid w:val="00206273"/>
    <w:rsid w:val="00207360"/>
    <w:rsid w:val="00207B3B"/>
    <w:rsid w:val="0021030D"/>
    <w:rsid w:val="00210352"/>
    <w:rsid w:val="002107DC"/>
    <w:rsid w:val="00210C68"/>
    <w:rsid w:val="00211681"/>
    <w:rsid w:val="002129D1"/>
    <w:rsid w:val="00213A47"/>
    <w:rsid w:val="0021473F"/>
    <w:rsid w:val="00215828"/>
    <w:rsid w:val="00217880"/>
    <w:rsid w:val="00221006"/>
    <w:rsid w:val="00221129"/>
    <w:rsid w:val="0022407C"/>
    <w:rsid w:val="002251AF"/>
    <w:rsid w:val="00227B96"/>
    <w:rsid w:val="00227FDF"/>
    <w:rsid w:val="002311D2"/>
    <w:rsid w:val="00231463"/>
    <w:rsid w:val="002348EA"/>
    <w:rsid w:val="00235F9A"/>
    <w:rsid w:val="002368EA"/>
    <w:rsid w:val="002400D3"/>
    <w:rsid w:val="00241273"/>
    <w:rsid w:val="00241579"/>
    <w:rsid w:val="00241D37"/>
    <w:rsid w:val="00241E04"/>
    <w:rsid w:val="0024318E"/>
    <w:rsid w:val="00243AF1"/>
    <w:rsid w:val="0024552C"/>
    <w:rsid w:val="00245F2B"/>
    <w:rsid w:val="00251644"/>
    <w:rsid w:val="00254141"/>
    <w:rsid w:val="00254912"/>
    <w:rsid w:val="0025491F"/>
    <w:rsid w:val="00254E47"/>
    <w:rsid w:val="00256507"/>
    <w:rsid w:val="0025758D"/>
    <w:rsid w:val="00261C28"/>
    <w:rsid w:val="00262899"/>
    <w:rsid w:val="00262930"/>
    <w:rsid w:val="00263197"/>
    <w:rsid w:val="00263B7B"/>
    <w:rsid w:val="002647DE"/>
    <w:rsid w:val="00264EAF"/>
    <w:rsid w:val="00265185"/>
    <w:rsid w:val="0026588E"/>
    <w:rsid w:val="00266804"/>
    <w:rsid w:val="0027056B"/>
    <w:rsid w:val="002715F4"/>
    <w:rsid w:val="00273535"/>
    <w:rsid w:val="00274996"/>
    <w:rsid w:val="002764BA"/>
    <w:rsid w:val="0027688C"/>
    <w:rsid w:val="002768E0"/>
    <w:rsid w:val="00276B96"/>
    <w:rsid w:val="00276EEB"/>
    <w:rsid w:val="00280BBF"/>
    <w:rsid w:val="00281F30"/>
    <w:rsid w:val="00282BB6"/>
    <w:rsid w:val="0028353B"/>
    <w:rsid w:val="0028428E"/>
    <w:rsid w:val="00290337"/>
    <w:rsid w:val="002909E2"/>
    <w:rsid w:val="0029265D"/>
    <w:rsid w:val="00295BEF"/>
    <w:rsid w:val="00297DCB"/>
    <w:rsid w:val="002A0327"/>
    <w:rsid w:val="002A08B9"/>
    <w:rsid w:val="002A192F"/>
    <w:rsid w:val="002A27E2"/>
    <w:rsid w:val="002A2ECC"/>
    <w:rsid w:val="002A37A5"/>
    <w:rsid w:val="002A4954"/>
    <w:rsid w:val="002B0FA7"/>
    <w:rsid w:val="002B1B01"/>
    <w:rsid w:val="002B1DC1"/>
    <w:rsid w:val="002B1EDE"/>
    <w:rsid w:val="002B3B4A"/>
    <w:rsid w:val="002B6007"/>
    <w:rsid w:val="002B7020"/>
    <w:rsid w:val="002B742D"/>
    <w:rsid w:val="002C0CF5"/>
    <w:rsid w:val="002C127A"/>
    <w:rsid w:val="002C214B"/>
    <w:rsid w:val="002C3829"/>
    <w:rsid w:val="002C4157"/>
    <w:rsid w:val="002C4B7F"/>
    <w:rsid w:val="002C4D51"/>
    <w:rsid w:val="002C5553"/>
    <w:rsid w:val="002C567A"/>
    <w:rsid w:val="002C5CBB"/>
    <w:rsid w:val="002C73C8"/>
    <w:rsid w:val="002C7931"/>
    <w:rsid w:val="002D0B31"/>
    <w:rsid w:val="002D2DC0"/>
    <w:rsid w:val="002D33BE"/>
    <w:rsid w:val="002D42EF"/>
    <w:rsid w:val="002D4FC2"/>
    <w:rsid w:val="002D562D"/>
    <w:rsid w:val="002D79FA"/>
    <w:rsid w:val="002D7AE7"/>
    <w:rsid w:val="002E0A32"/>
    <w:rsid w:val="002E1B5D"/>
    <w:rsid w:val="002E2F37"/>
    <w:rsid w:val="002E4550"/>
    <w:rsid w:val="002E46FA"/>
    <w:rsid w:val="002E580D"/>
    <w:rsid w:val="002E6B05"/>
    <w:rsid w:val="002E717D"/>
    <w:rsid w:val="002E7487"/>
    <w:rsid w:val="002F0527"/>
    <w:rsid w:val="002F09D1"/>
    <w:rsid w:val="002F0BD0"/>
    <w:rsid w:val="002F1E53"/>
    <w:rsid w:val="002F3286"/>
    <w:rsid w:val="002F4411"/>
    <w:rsid w:val="00301076"/>
    <w:rsid w:val="003034F1"/>
    <w:rsid w:val="003051F8"/>
    <w:rsid w:val="0030574A"/>
    <w:rsid w:val="003063D0"/>
    <w:rsid w:val="003067F2"/>
    <w:rsid w:val="003077D0"/>
    <w:rsid w:val="00307933"/>
    <w:rsid w:val="00307AB5"/>
    <w:rsid w:val="00310167"/>
    <w:rsid w:val="00311039"/>
    <w:rsid w:val="00314B1C"/>
    <w:rsid w:val="003155F1"/>
    <w:rsid w:val="00315E3B"/>
    <w:rsid w:val="00316F89"/>
    <w:rsid w:val="00317FB6"/>
    <w:rsid w:val="00321312"/>
    <w:rsid w:val="0032151B"/>
    <w:rsid w:val="0032436F"/>
    <w:rsid w:val="003244C1"/>
    <w:rsid w:val="003247E8"/>
    <w:rsid w:val="00325777"/>
    <w:rsid w:val="0032602D"/>
    <w:rsid w:val="00327504"/>
    <w:rsid w:val="00330DEC"/>
    <w:rsid w:val="00330FDA"/>
    <w:rsid w:val="003322AF"/>
    <w:rsid w:val="0033304B"/>
    <w:rsid w:val="003334B1"/>
    <w:rsid w:val="00334E92"/>
    <w:rsid w:val="003360A1"/>
    <w:rsid w:val="0033662E"/>
    <w:rsid w:val="0033702C"/>
    <w:rsid w:val="00337305"/>
    <w:rsid w:val="003404FC"/>
    <w:rsid w:val="0034258E"/>
    <w:rsid w:val="00343617"/>
    <w:rsid w:val="00350B1F"/>
    <w:rsid w:val="00351E1C"/>
    <w:rsid w:val="00351ECD"/>
    <w:rsid w:val="003526EA"/>
    <w:rsid w:val="0035483D"/>
    <w:rsid w:val="00354F2E"/>
    <w:rsid w:val="00360A4A"/>
    <w:rsid w:val="003631DF"/>
    <w:rsid w:val="00365227"/>
    <w:rsid w:val="00365541"/>
    <w:rsid w:val="003660BB"/>
    <w:rsid w:val="00366BE4"/>
    <w:rsid w:val="00366D10"/>
    <w:rsid w:val="003671F6"/>
    <w:rsid w:val="0037209A"/>
    <w:rsid w:val="00372D3B"/>
    <w:rsid w:val="00374784"/>
    <w:rsid w:val="0037516B"/>
    <w:rsid w:val="00376615"/>
    <w:rsid w:val="00376883"/>
    <w:rsid w:val="0037755E"/>
    <w:rsid w:val="003826F5"/>
    <w:rsid w:val="00385C84"/>
    <w:rsid w:val="00386BA6"/>
    <w:rsid w:val="00391803"/>
    <w:rsid w:val="00393F0C"/>
    <w:rsid w:val="003961A8"/>
    <w:rsid w:val="00396888"/>
    <w:rsid w:val="003A1947"/>
    <w:rsid w:val="003A1AB4"/>
    <w:rsid w:val="003A3125"/>
    <w:rsid w:val="003A447D"/>
    <w:rsid w:val="003A4B90"/>
    <w:rsid w:val="003A4FA3"/>
    <w:rsid w:val="003A65BD"/>
    <w:rsid w:val="003A65E7"/>
    <w:rsid w:val="003B230D"/>
    <w:rsid w:val="003B2810"/>
    <w:rsid w:val="003B3EB4"/>
    <w:rsid w:val="003B42B5"/>
    <w:rsid w:val="003C40F9"/>
    <w:rsid w:val="003C5A51"/>
    <w:rsid w:val="003C625A"/>
    <w:rsid w:val="003C65CA"/>
    <w:rsid w:val="003C7D05"/>
    <w:rsid w:val="003D192A"/>
    <w:rsid w:val="003D3A4A"/>
    <w:rsid w:val="003D4CB0"/>
    <w:rsid w:val="003D58E9"/>
    <w:rsid w:val="003D5D04"/>
    <w:rsid w:val="003D7E85"/>
    <w:rsid w:val="003E222D"/>
    <w:rsid w:val="003E40CC"/>
    <w:rsid w:val="003E4AEC"/>
    <w:rsid w:val="003E4B4A"/>
    <w:rsid w:val="003E5851"/>
    <w:rsid w:val="003F2661"/>
    <w:rsid w:val="003F3FB5"/>
    <w:rsid w:val="003F459E"/>
    <w:rsid w:val="003F6D25"/>
    <w:rsid w:val="00402132"/>
    <w:rsid w:val="0040488A"/>
    <w:rsid w:val="004055C5"/>
    <w:rsid w:val="00406D90"/>
    <w:rsid w:val="00407BFB"/>
    <w:rsid w:val="00410461"/>
    <w:rsid w:val="004113B3"/>
    <w:rsid w:val="004151E5"/>
    <w:rsid w:val="00416B35"/>
    <w:rsid w:val="004175B2"/>
    <w:rsid w:val="00417C25"/>
    <w:rsid w:val="00420377"/>
    <w:rsid w:val="0042106F"/>
    <w:rsid w:val="004247EF"/>
    <w:rsid w:val="004252FE"/>
    <w:rsid w:val="00427F2F"/>
    <w:rsid w:val="00430458"/>
    <w:rsid w:val="004309CC"/>
    <w:rsid w:val="00431B2C"/>
    <w:rsid w:val="004323EC"/>
    <w:rsid w:val="00432BA8"/>
    <w:rsid w:val="00433120"/>
    <w:rsid w:val="0043355E"/>
    <w:rsid w:val="00434805"/>
    <w:rsid w:val="004414C7"/>
    <w:rsid w:val="00442754"/>
    <w:rsid w:val="00442B95"/>
    <w:rsid w:val="00442F0A"/>
    <w:rsid w:val="00443E38"/>
    <w:rsid w:val="00444372"/>
    <w:rsid w:val="00445E09"/>
    <w:rsid w:val="00446C86"/>
    <w:rsid w:val="0044700D"/>
    <w:rsid w:val="00450283"/>
    <w:rsid w:val="004506C8"/>
    <w:rsid w:val="00454354"/>
    <w:rsid w:val="00457D33"/>
    <w:rsid w:val="00461FB8"/>
    <w:rsid w:val="00461FED"/>
    <w:rsid w:val="00462CF6"/>
    <w:rsid w:val="00462E77"/>
    <w:rsid w:val="00463481"/>
    <w:rsid w:val="0046402E"/>
    <w:rsid w:val="00464875"/>
    <w:rsid w:val="00465635"/>
    <w:rsid w:val="00467B88"/>
    <w:rsid w:val="00470148"/>
    <w:rsid w:val="00472E38"/>
    <w:rsid w:val="00474C60"/>
    <w:rsid w:val="004753B5"/>
    <w:rsid w:val="00475C5F"/>
    <w:rsid w:val="00480BA6"/>
    <w:rsid w:val="00480E3F"/>
    <w:rsid w:val="00481AF4"/>
    <w:rsid w:val="00481D7B"/>
    <w:rsid w:val="00483227"/>
    <w:rsid w:val="00483598"/>
    <w:rsid w:val="0048379E"/>
    <w:rsid w:val="00484324"/>
    <w:rsid w:val="00484517"/>
    <w:rsid w:val="004856CA"/>
    <w:rsid w:val="004876D3"/>
    <w:rsid w:val="00491B4F"/>
    <w:rsid w:val="00491CCA"/>
    <w:rsid w:val="004920E6"/>
    <w:rsid w:val="00492DF2"/>
    <w:rsid w:val="004937FC"/>
    <w:rsid w:val="00493B74"/>
    <w:rsid w:val="00494D5A"/>
    <w:rsid w:val="00494E71"/>
    <w:rsid w:val="00495A7B"/>
    <w:rsid w:val="00495D27"/>
    <w:rsid w:val="00497D4C"/>
    <w:rsid w:val="004A146E"/>
    <w:rsid w:val="004A1F64"/>
    <w:rsid w:val="004A200D"/>
    <w:rsid w:val="004A30A3"/>
    <w:rsid w:val="004A322A"/>
    <w:rsid w:val="004A4127"/>
    <w:rsid w:val="004A4BC6"/>
    <w:rsid w:val="004A4D74"/>
    <w:rsid w:val="004A6268"/>
    <w:rsid w:val="004A7BA8"/>
    <w:rsid w:val="004B02BA"/>
    <w:rsid w:val="004B1E7E"/>
    <w:rsid w:val="004B3452"/>
    <w:rsid w:val="004B522D"/>
    <w:rsid w:val="004B5342"/>
    <w:rsid w:val="004B58CC"/>
    <w:rsid w:val="004B62CA"/>
    <w:rsid w:val="004B7A6E"/>
    <w:rsid w:val="004B7BAE"/>
    <w:rsid w:val="004C1162"/>
    <w:rsid w:val="004C56BB"/>
    <w:rsid w:val="004C7C82"/>
    <w:rsid w:val="004D3053"/>
    <w:rsid w:val="004D52F5"/>
    <w:rsid w:val="004D65F4"/>
    <w:rsid w:val="004E003C"/>
    <w:rsid w:val="004E0B46"/>
    <w:rsid w:val="004F0B21"/>
    <w:rsid w:val="004F1C92"/>
    <w:rsid w:val="004F416D"/>
    <w:rsid w:val="004F58A6"/>
    <w:rsid w:val="004F677D"/>
    <w:rsid w:val="00503C69"/>
    <w:rsid w:val="005042FC"/>
    <w:rsid w:val="0050522C"/>
    <w:rsid w:val="00505A65"/>
    <w:rsid w:val="00506807"/>
    <w:rsid w:val="005110DA"/>
    <w:rsid w:val="00511F61"/>
    <w:rsid w:val="0051756C"/>
    <w:rsid w:val="00517A1C"/>
    <w:rsid w:val="005200A7"/>
    <w:rsid w:val="00522924"/>
    <w:rsid w:val="00523434"/>
    <w:rsid w:val="005236AE"/>
    <w:rsid w:val="00530B0A"/>
    <w:rsid w:val="005310FA"/>
    <w:rsid w:val="00534E15"/>
    <w:rsid w:val="00535710"/>
    <w:rsid w:val="0053596C"/>
    <w:rsid w:val="005378A8"/>
    <w:rsid w:val="005400C4"/>
    <w:rsid w:val="00540D3D"/>
    <w:rsid w:val="00541DD5"/>
    <w:rsid w:val="0054217A"/>
    <w:rsid w:val="00544876"/>
    <w:rsid w:val="00544A69"/>
    <w:rsid w:val="00546721"/>
    <w:rsid w:val="0054689B"/>
    <w:rsid w:val="005502F7"/>
    <w:rsid w:val="0055256C"/>
    <w:rsid w:val="00552A5C"/>
    <w:rsid w:val="00552DE6"/>
    <w:rsid w:val="00555541"/>
    <w:rsid w:val="0056003C"/>
    <w:rsid w:val="005607D5"/>
    <w:rsid w:val="00560C39"/>
    <w:rsid w:val="00562274"/>
    <w:rsid w:val="005628AD"/>
    <w:rsid w:val="00563884"/>
    <w:rsid w:val="00566783"/>
    <w:rsid w:val="005679E7"/>
    <w:rsid w:val="005704CE"/>
    <w:rsid w:val="005733ED"/>
    <w:rsid w:val="00573EC8"/>
    <w:rsid w:val="00575579"/>
    <w:rsid w:val="0057631C"/>
    <w:rsid w:val="00576A4C"/>
    <w:rsid w:val="00577DC8"/>
    <w:rsid w:val="00581B0F"/>
    <w:rsid w:val="005838FF"/>
    <w:rsid w:val="00583DC5"/>
    <w:rsid w:val="00585173"/>
    <w:rsid w:val="00585755"/>
    <w:rsid w:val="005926AB"/>
    <w:rsid w:val="00594FCB"/>
    <w:rsid w:val="0059556D"/>
    <w:rsid w:val="00595CA5"/>
    <w:rsid w:val="005963E1"/>
    <w:rsid w:val="00596E3A"/>
    <w:rsid w:val="00597456"/>
    <w:rsid w:val="0059762D"/>
    <w:rsid w:val="005A2CD9"/>
    <w:rsid w:val="005A5EE8"/>
    <w:rsid w:val="005A6379"/>
    <w:rsid w:val="005A637F"/>
    <w:rsid w:val="005A6528"/>
    <w:rsid w:val="005A6BC9"/>
    <w:rsid w:val="005A752D"/>
    <w:rsid w:val="005B045C"/>
    <w:rsid w:val="005B2411"/>
    <w:rsid w:val="005B335E"/>
    <w:rsid w:val="005B4BAC"/>
    <w:rsid w:val="005C006A"/>
    <w:rsid w:val="005C0535"/>
    <w:rsid w:val="005C2E26"/>
    <w:rsid w:val="005C4A31"/>
    <w:rsid w:val="005C60CC"/>
    <w:rsid w:val="005D06A3"/>
    <w:rsid w:val="005D0CF9"/>
    <w:rsid w:val="005D0EF8"/>
    <w:rsid w:val="005D351E"/>
    <w:rsid w:val="005D3D26"/>
    <w:rsid w:val="005D57BC"/>
    <w:rsid w:val="005D5CEA"/>
    <w:rsid w:val="005D65B0"/>
    <w:rsid w:val="005D7830"/>
    <w:rsid w:val="005E2953"/>
    <w:rsid w:val="005E4556"/>
    <w:rsid w:val="005E7289"/>
    <w:rsid w:val="005F0A44"/>
    <w:rsid w:val="005F1C37"/>
    <w:rsid w:val="005F32D3"/>
    <w:rsid w:val="005F38CE"/>
    <w:rsid w:val="005F5BF2"/>
    <w:rsid w:val="005F7629"/>
    <w:rsid w:val="00603D08"/>
    <w:rsid w:val="006047DC"/>
    <w:rsid w:val="00604EFA"/>
    <w:rsid w:val="006052C0"/>
    <w:rsid w:val="00605DEA"/>
    <w:rsid w:val="00606FA5"/>
    <w:rsid w:val="006074E4"/>
    <w:rsid w:val="0061183B"/>
    <w:rsid w:val="00611F5D"/>
    <w:rsid w:val="00613644"/>
    <w:rsid w:val="0061423A"/>
    <w:rsid w:val="00614E33"/>
    <w:rsid w:val="006158E8"/>
    <w:rsid w:val="006174B7"/>
    <w:rsid w:val="006204D4"/>
    <w:rsid w:val="00624ABD"/>
    <w:rsid w:val="00626F2F"/>
    <w:rsid w:val="006273A9"/>
    <w:rsid w:val="00633D4F"/>
    <w:rsid w:val="0063406A"/>
    <w:rsid w:val="006341E0"/>
    <w:rsid w:val="00634F15"/>
    <w:rsid w:val="00636489"/>
    <w:rsid w:val="00637B3D"/>
    <w:rsid w:val="00637E9C"/>
    <w:rsid w:val="00640B47"/>
    <w:rsid w:val="00642A99"/>
    <w:rsid w:val="00644872"/>
    <w:rsid w:val="0065086A"/>
    <w:rsid w:val="00651055"/>
    <w:rsid w:val="00652427"/>
    <w:rsid w:val="00652E0E"/>
    <w:rsid w:val="00652E18"/>
    <w:rsid w:val="00654C94"/>
    <w:rsid w:val="00656E39"/>
    <w:rsid w:val="00657A20"/>
    <w:rsid w:val="00663397"/>
    <w:rsid w:val="006635C1"/>
    <w:rsid w:val="006637BD"/>
    <w:rsid w:val="00663AC1"/>
    <w:rsid w:val="00663B4C"/>
    <w:rsid w:val="00664026"/>
    <w:rsid w:val="00664479"/>
    <w:rsid w:val="00665880"/>
    <w:rsid w:val="006665E4"/>
    <w:rsid w:val="00666DF7"/>
    <w:rsid w:val="00666FBF"/>
    <w:rsid w:val="00670F93"/>
    <w:rsid w:val="00672C8C"/>
    <w:rsid w:val="0067725D"/>
    <w:rsid w:val="00677DF2"/>
    <w:rsid w:val="00680898"/>
    <w:rsid w:val="00681360"/>
    <w:rsid w:val="00682BCF"/>
    <w:rsid w:val="00682E92"/>
    <w:rsid w:val="006834B9"/>
    <w:rsid w:val="006835F4"/>
    <w:rsid w:val="006839D1"/>
    <w:rsid w:val="00685B1E"/>
    <w:rsid w:val="006863B0"/>
    <w:rsid w:val="006874A1"/>
    <w:rsid w:val="006907C5"/>
    <w:rsid w:val="00692B9F"/>
    <w:rsid w:val="00692C24"/>
    <w:rsid w:val="006933E9"/>
    <w:rsid w:val="006951ED"/>
    <w:rsid w:val="0069544C"/>
    <w:rsid w:val="00696C5A"/>
    <w:rsid w:val="00697158"/>
    <w:rsid w:val="006A3350"/>
    <w:rsid w:val="006A42E2"/>
    <w:rsid w:val="006A756F"/>
    <w:rsid w:val="006A7594"/>
    <w:rsid w:val="006A7CBB"/>
    <w:rsid w:val="006B1EF7"/>
    <w:rsid w:val="006B2905"/>
    <w:rsid w:val="006B3085"/>
    <w:rsid w:val="006B626E"/>
    <w:rsid w:val="006B6F14"/>
    <w:rsid w:val="006B7582"/>
    <w:rsid w:val="006C27AA"/>
    <w:rsid w:val="006C2C16"/>
    <w:rsid w:val="006C2E20"/>
    <w:rsid w:val="006C3655"/>
    <w:rsid w:val="006C46C5"/>
    <w:rsid w:val="006C4EB5"/>
    <w:rsid w:val="006C686B"/>
    <w:rsid w:val="006C68BE"/>
    <w:rsid w:val="006C69FC"/>
    <w:rsid w:val="006C712C"/>
    <w:rsid w:val="006D1497"/>
    <w:rsid w:val="006D345D"/>
    <w:rsid w:val="006D34C7"/>
    <w:rsid w:val="006D35B5"/>
    <w:rsid w:val="006D38AE"/>
    <w:rsid w:val="006D514C"/>
    <w:rsid w:val="006D5827"/>
    <w:rsid w:val="006D7646"/>
    <w:rsid w:val="006E1837"/>
    <w:rsid w:val="006E2F58"/>
    <w:rsid w:val="006E3717"/>
    <w:rsid w:val="006E3EDA"/>
    <w:rsid w:val="006E4D45"/>
    <w:rsid w:val="006E668C"/>
    <w:rsid w:val="006F0AC6"/>
    <w:rsid w:val="006F1B1F"/>
    <w:rsid w:val="006F263B"/>
    <w:rsid w:val="006F2BFD"/>
    <w:rsid w:val="006F3622"/>
    <w:rsid w:val="006F40A3"/>
    <w:rsid w:val="006F4A5F"/>
    <w:rsid w:val="006F5FEE"/>
    <w:rsid w:val="006F7C84"/>
    <w:rsid w:val="0070137B"/>
    <w:rsid w:val="007015EE"/>
    <w:rsid w:val="00703656"/>
    <w:rsid w:val="00703DC3"/>
    <w:rsid w:val="007056CA"/>
    <w:rsid w:val="00706661"/>
    <w:rsid w:val="007068C5"/>
    <w:rsid w:val="00707A9F"/>
    <w:rsid w:val="00710C21"/>
    <w:rsid w:val="0071126B"/>
    <w:rsid w:val="00711749"/>
    <w:rsid w:val="00711BD9"/>
    <w:rsid w:val="00712BE0"/>
    <w:rsid w:val="00713621"/>
    <w:rsid w:val="0071480D"/>
    <w:rsid w:val="0071587E"/>
    <w:rsid w:val="00715D09"/>
    <w:rsid w:val="00717DE8"/>
    <w:rsid w:val="0072080D"/>
    <w:rsid w:val="0072111B"/>
    <w:rsid w:val="0072162B"/>
    <w:rsid w:val="007232F5"/>
    <w:rsid w:val="007236A3"/>
    <w:rsid w:val="0072546D"/>
    <w:rsid w:val="0072626B"/>
    <w:rsid w:val="00726E31"/>
    <w:rsid w:val="007270A4"/>
    <w:rsid w:val="007273D5"/>
    <w:rsid w:val="007309DF"/>
    <w:rsid w:val="00732977"/>
    <w:rsid w:val="00732C7E"/>
    <w:rsid w:val="007330DE"/>
    <w:rsid w:val="0073647A"/>
    <w:rsid w:val="007365DD"/>
    <w:rsid w:val="00736AD0"/>
    <w:rsid w:val="007370E0"/>
    <w:rsid w:val="0073736D"/>
    <w:rsid w:val="00740DBF"/>
    <w:rsid w:val="007424EA"/>
    <w:rsid w:val="007430CD"/>
    <w:rsid w:val="007443D5"/>
    <w:rsid w:val="0074510A"/>
    <w:rsid w:val="00746038"/>
    <w:rsid w:val="00746059"/>
    <w:rsid w:val="0074793A"/>
    <w:rsid w:val="00750741"/>
    <w:rsid w:val="007520EF"/>
    <w:rsid w:val="00752D5B"/>
    <w:rsid w:val="0075316D"/>
    <w:rsid w:val="007544FA"/>
    <w:rsid w:val="00754C38"/>
    <w:rsid w:val="00756D86"/>
    <w:rsid w:val="00756D91"/>
    <w:rsid w:val="00757128"/>
    <w:rsid w:val="00757D43"/>
    <w:rsid w:val="0076210C"/>
    <w:rsid w:val="00762342"/>
    <w:rsid w:val="007634BD"/>
    <w:rsid w:val="00763CB0"/>
    <w:rsid w:val="00763E40"/>
    <w:rsid w:val="00764368"/>
    <w:rsid w:val="007663BF"/>
    <w:rsid w:val="00766638"/>
    <w:rsid w:val="007722BC"/>
    <w:rsid w:val="00772D7E"/>
    <w:rsid w:val="00774021"/>
    <w:rsid w:val="00774B67"/>
    <w:rsid w:val="0077503B"/>
    <w:rsid w:val="007762D3"/>
    <w:rsid w:val="007767CF"/>
    <w:rsid w:val="007777A3"/>
    <w:rsid w:val="00780E88"/>
    <w:rsid w:val="00782CFC"/>
    <w:rsid w:val="0078410D"/>
    <w:rsid w:val="007866B4"/>
    <w:rsid w:val="00786B07"/>
    <w:rsid w:val="00786B82"/>
    <w:rsid w:val="00787C48"/>
    <w:rsid w:val="00790841"/>
    <w:rsid w:val="00795889"/>
    <w:rsid w:val="007974D8"/>
    <w:rsid w:val="00797AA4"/>
    <w:rsid w:val="007A19AB"/>
    <w:rsid w:val="007A554D"/>
    <w:rsid w:val="007A5AC4"/>
    <w:rsid w:val="007A6361"/>
    <w:rsid w:val="007A64A9"/>
    <w:rsid w:val="007A6C05"/>
    <w:rsid w:val="007A6EEE"/>
    <w:rsid w:val="007A6F8A"/>
    <w:rsid w:val="007A7725"/>
    <w:rsid w:val="007B0D8B"/>
    <w:rsid w:val="007B2B61"/>
    <w:rsid w:val="007B3658"/>
    <w:rsid w:val="007B3A1F"/>
    <w:rsid w:val="007B3C06"/>
    <w:rsid w:val="007B3F21"/>
    <w:rsid w:val="007B3FA6"/>
    <w:rsid w:val="007B6B9E"/>
    <w:rsid w:val="007B7CAE"/>
    <w:rsid w:val="007C047E"/>
    <w:rsid w:val="007C1D5A"/>
    <w:rsid w:val="007C39D5"/>
    <w:rsid w:val="007C50AA"/>
    <w:rsid w:val="007C5EE5"/>
    <w:rsid w:val="007C61B3"/>
    <w:rsid w:val="007C62D6"/>
    <w:rsid w:val="007D1DE0"/>
    <w:rsid w:val="007D1F44"/>
    <w:rsid w:val="007D206D"/>
    <w:rsid w:val="007D20F5"/>
    <w:rsid w:val="007D51D0"/>
    <w:rsid w:val="007D5940"/>
    <w:rsid w:val="007D7089"/>
    <w:rsid w:val="007E0FF8"/>
    <w:rsid w:val="007E3425"/>
    <w:rsid w:val="007E4E43"/>
    <w:rsid w:val="007E5C88"/>
    <w:rsid w:val="007E6105"/>
    <w:rsid w:val="007F058A"/>
    <w:rsid w:val="007F0662"/>
    <w:rsid w:val="007F0992"/>
    <w:rsid w:val="007F0ABC"/>
    <w:rsid w:val="007F1951"/>
    <w:rsid w:val="007F5110"/>
    <w:rsid w:val="00800015"/>
    <w:rsid w:val="0080110F"/>
    <w:rsid w:val="00801ED3"/>
    <w:rsid w:val="0080264B"/>
    <w:rsid w:val="00804EBE"/>
    <w:rsid w:val="0081259E"/>
    <w:rsid w:val="0081308C"/>
    <w:rsid w:val="008133E2"/>
    <w:rsid w:val="00813465"/>
    <w:rsid w:val="0081520F"/>
    <w:rsid w:val="0081551F"/>
    <w:rsid w:val="00815BD1"/>
    <w:rsid w:val="008166EB"/>
    <w:rsid w:val="00820B9E"/>
    <w:rsid w:val="008235BC"/>
    <w:rsid w:val="00824BD8"/>
    <w:rsid w:val="00825BC0"/>
    <w:rsid w:val="00831128"/>
    <w:rsid w:val="0083156D"/>
    <w:rsid w:val="00831571"/>
    <w:rsid w:val="008317E1"/>
    <w:rsid w:val="0083297D"/>
    <w:rsid w:val="008348A6"/>
    <w:rsid w:val="00835A9D"/>
    <w:rsid w:val="00835BD6"/>
    <w:rsid w:val="00837039"/>
    <w:rsid w:val="008379F7"/>
    <w:rsid w:val="008400DB"/>
    <w:rsid w:val="00840BCB"/>
    <w:rsid w:val="0084143D"/>
    <w:rsid w:val="0084236F"/>
    <w:rsid w:val="008426DD"/>
    <w:rsid w:val="00843281"/>
    <w:rsid w:val="008439E6"/>
    <w:rsid w:val="00844E9A"/>
    <w:rsid w:val="008451ED"/>
    <w:rsid w:val="0084623D"/>
    <w:rsid w:val="00850826"/>
    <w:rsid w:val="00853694"/>
    <w:rsid w:val="00854D98"/>
    <w:rsid w:val="00855B41"/>
    <w:rsid w:val="00860C3B"/>
    <w:rsid w:val="00863AED"/>
    <w:rsid w:val="008642AA"/>
    <w:rsid w:val="0086491D"/>
    <w:rsid w:val="00871AEE"/>
    <w:rsid w:val="00873DF4"/>
    <w:rsid w:val="00873FDA"/>
    <w:rsid w:val="00874296"/>
    <w:rsid w:val="008762CA"/>
    <w:rsid w:val="00880A16"/>
    <w:rsid w:val="00882269"/>
    <w:rsid w:val="00884B5B"/>
    <w:rsid w:val="0088509E"/>
    <w:rsid w:val="008857AB"/>
    <w:rsid w:val="00890392"/>
    <w:rsid w:val="00891DDF"/>
    <w:rsid w:val="0089464E"/>
    <w:rsid w:val="0089493C"/>
    <w:rsid w:val="00894C48"/>
    <w:rsid w:val="0089602F"/>
    <w:rsid w:val="00896252"/>
    <w:rsid w:val="0089647C"/>
    <w:rsid w:val="008979A9"/>
    <w:rsid w:val="00897E9F"/>
    <w:rsid w:val="008A07F2"/>
    <w:rsid w:val="008A50B4"/>
    <w:rsid w:val="008A5F90"/>
    <w:rsid w:val="008A6E0E"/>
    <w:rsid w:val="008B12A9"/>
    <w:rsid w:val="008B3D31"/>
    <w:rsid w:val="008B3F55"/>
    <w:rsid w:val="008B4D6F"/>
    <w:rsid w:val="008B61B2"/>
    <w:rsid w:val="008B67D8"/>
    <w:rsid w:val="008C0021"/>
    <w:rsid w:val="008C0563"/>
    <w:rsid w:val="008C12F7"/>
    <w:rsid w:val="008C1958"/>
    <w:rsid w:val="008C44B0"/>
    <w:rsid w:val="008C6FD4"/>
    <w:rsid w:val="008D1515"/>
    <w:rsid w:val="008D5078"/>
    <w:rsid w:val="008D507A"/>
    <w:rsid w:val="008D50B7"/>
    <w:rsid w:val="008D690C"/>
    <w:rsid w:val="008D69CB"/>
    <w:rsid w:val="008E0175"/>
    <w:rsid w:val="008E0CB1"/>
    <w:rsid w:val="008E0FB8"/>
    <w:rsid w:val="008E1705"/>
    <w:rsid w:val="008E1D65"/>
    <w:rsid w:val="008E1FC2"/>
    <w:rsid w:val="008E4915"/>
    <w:rsid w:val="008E54D4"/>
    <w:rsid w:val="008E71B5"/>
    <w:rsid w:val="008E74C3"/>
    <w:rsid w:val="008F159B"/>
    <w:rsid w:val="008F2812"/>
    <w:rsid w:val="008F2930"/>
    <w:rsid w:val="008F4C82"/>
    <w:rsid w:val="008F6455"/>
    <w:rsid w:val="008F7926"/>
    <w:rsid w:val="00902E08"/>
    <w:rsid w:val="00903215"/>
    <w:rsid w:val="009034D5"/>
    <w:rsid w:val="00903525"/>
    <w:rsid w:val="009132A4"/>
    <w:rsid w:val="009160DF"/>
    <w:rsid w:val="00917476"/>
    <w:rsid w:val="00917BF2"/>
    <w:rsid w:val="00920075"/>
    <w:rsid w:val="00921396"/>
    <w:rsid w:val="00921ABE"/>
    <w:rsid w:val="00921B2C"/>
    <w:rsid w:val="009226BA"/>
    <w:rsid w:val="00922A8F"/>
    <w:rsid w:val="009243F7"/>
    <w:rsid w:val="009250CE"/>
    <w:rsid w:val="00925A97"/>
    <w:rsid w:val="00927D1B"/>
    <w:rsid w:val="00932A9B"/>
    <w:rsid w:val="00933EF9"/>
    <w:rsid w:val="009343A8"/>
    <w:rsid w:val="00936090"/>
    <w:rsid w:val="0093750C"/>
    <w:rsid w:val="00937526"/>
    <w:rsid w:val="009412E1"/>
    <w:rsid w:val="00942B98"/>
    <w:rsid w:val="009445DB"/>
    <w:rsid w:val="00944833"/>
    <w:rsid w:val="00944878"/>
    <w:rsid w:val="0094492A"/>
    <w:rsid w:val="00947FCC"/>
    <w:rsid w:val="009508FF"/>
    <w:rsid w:val="009527FD"/>
    <w:rsid w:val="00952FCA"/>
    <w:rsid w:val="009535DE"/>
    <w:rsid w:val="00953FD1"/>
    <w:rsid w:val="0095563B"/>
    <w:rsid w:val="0095748C"/>
    <w:rsid w:val="009602C5"/>
    <w:rsid w:val="00961662"/>
    <w:rsid w:val="00961D3F"/>
    <w:rsid w:val="00962ADC"/>
    <w:rsid w:val="00962DCB"/>
    <w:rsid w:val="00963FF9"/>
    <w:rsid w:val="009649D7"/>
    <w:rsid w:val="00965614"/>
    <w:rsid w:val="00967743"/>
    <w:rsid w:val="0097020F"/>
    <w:rsid w:val="00970900"/>
    <w:rsid w:val="00970B70"/>
    <w:rsid w:val="00973A72"/>
    <w:rsid w:val="009752DA"/>
    <w:rsid w:val="00976792"/>
    <w:rsid w:val="009768F9"/>
    <w:rsid w:val="00977317"/>
    <w:rsid w:val="0097799E"/>
    <w:rsid w:val="00977C77"/>
    <w:rsid w:val="00977E9D"/>
    <w:rsid w:val="009836E5"/>
    <w:rsid w:val="00990564"/>
    <w:rsid w:val="00990809"/>
    <w:rsid w:val="00991AC2"/>
    <w:rsid w:val="00993C57"/>
    <w:rsid w:val="00995C19"/>
    <w:rsid w:val="009976EA"/>
    <w:rsid w:val="009A23FD"/>
    <w:rsid w:val="009A3192"/>
    <w:rsid w:val="009A48D3"/>
    <w:rsid w:val="009A515B"/>
    <w:rsid w:val="009A62AA"/>
    <w:rsid w:val="009A6BAF"/>
    <w:rsid w:val="009A7671"/>
    <w:rsid w:val="009A7EF1"/>
    <w:rsid w:val="009B140F"/>
    <w:rsid w:val="009B18DD"/>
    <w:rsid w:val="009B1F2A"/>
    <w:rsid w:val="009B2033"/>
    <w:rsid w:val="009B22E6"/>
    <w:rsid w:val="009B2C00"/>
    <w:rsid w:val="009B3933"/>
    <w:rsid w:val="009B44D9"/>
    <w:rsid w:val="009B6438"/>
    <w:rsid w:val="009B7003"/>
    <w:rsid w:val="009B793D"/>
    <w:rsid w:val="009C02A3"/>
    <w:rsid w:val="009C4EAE"/>
    <w:rsid w:val="009C7AF7"/>
    <w:rsid w:val="009C7D99"/>
    <w:rsid w:val="009D035A"/>
    <w:rsid w:val="009D03D1"/>
    <w:rsid w:val="009D1B62"/>
    <w:rsid w:val="009D38A7"/>
    <w:rsid w:val="009D57F1"/>
    <w:rsid w:val="009D5F5C"/>
    <w:rsid w:val="009D68F0"/>
    <w:rsid w:val="009D6A5C"/>
    <w:rsid w:val="009E15D8"/>
    <w:rsid w:val="009E2CDD"/>
    <w:rsid w:val="009E35E9"/>
    <w:rsid w:val="009E3D23"/>
    <w:rsid w:val="009E456D"/>
    <w:rsid w:val="009E5853"/>
    <w:rsid w:val="009E6DB8"/>
    <w:rsid w:val="009F2DA9"/>
    <w:rsid w:val="009F3450"/>
    <w:rsid w:val="009F368B"/>
    <w:rsid w:val="009F3986"/>
    <w:rsid w:val="009F39BE"/>
    <w:rsid w:val="009F3BDB"/>
    <w:rsid w:val="009F6321"/>
    <w:rsid w:val="009F6E84"/>
    <w:rsid w:val="009F721F"/>
    <w:rsid w:val="00A0078B"/>
    <w:rsid w:val="00A0678C"/>
    <w:rsid w:val="00A0780A"/>
    <w:rsid w:val="00A1093A"/>
    <w:rsid w:val="00A11512"/>
    <w:rsid w:val="00A12200"/>
    <w:rsid w:val="00A14066"/>
    <w:rsid w:val="00A149A9"/>
    <w:rsid w:val="00A15097"/>
    <w:rsid w:val="00A1640A"/>
    <w:rsid w:val="00A164A2"/>
    <w:rsid w:val="00A16D48"/>
    <w:rsid w:val="00A16FA6"/>
    <w:rsid w:val="00A20202"/>
    <w:rsid w:val="00A21D6C"/>
    <w:rsid w:val="00A2218E"/>
    <w:rsid w:val="00A23279"/>
    <w:rsid w:val="00A25811"/>
    <w:rsid w:val="00A27C96"/>
    <w:rsid w:val="00A300AE"/>
    <w:rsid w:val="00A30A27"/>
    <w:rsid w:val="00A31016"/>
    <w:rsid w:val="00A3223E"/>
    <w:rsid w:val="00A32760"/>
    <w:rsid w:val="00A33057"/>
    <w:rsid w:val="00A33CF1"/>
    <w:rsid w:val="00A35554"/>
    <w:rsid w:val="00A405F2"/>
    <w:rsid w:val="00A41E79"/>
    <w:rsid w:val="00A41FBC"/>
    <w:rsid w:val="00A443A8"/>
    <w:rsid w:val="00A46D4A"/>
    <w:rsid w:val="00A47CC9"/>
    <w:rsid w:val="00A50BDB"/>
    <w:rsid w:val="00A520B3"/>
    <w:rsid w:val="00A5216A"/>
    <w:rsid w:val="00A54B0D"/>
    <w:rsid w:val="00A5503E"/>
    <w:rsid w:val="00A552BB"/>
    <w:rsid w:val="00A57476"/>
    <w:rsid w:val="00A57D5A"/>
    <w:rsid w:val="00A62969"/>
    <w:rsid w:val="00A63713"/>
    <w:rsid w:val="00A637DF"/>
    <w:rsid w:val="00A641E4"/>
    <w:rsid w:val="00A6529C"/>
    <w:rsid w:val="00A65805"/>
    <w:rsid w:val="00A71CC8"/>
    <w:rsid w:val="00A72161"/>
    <w:rsid w:val="00A729C3"/>
    <w:rsid w:val="00A72BA2"/>
    <w:rsid w:val="00A73859"/>
    <w:rsid w:val="00A738DB"/>
    <w:rsid w:val="00A765FA"/>
    <w:rsid w:val="00A77E5E"/>
    <w:rsid w:val="00A834CE"/>
    <w:rsid w:val="00A916AC"/>
    <w:rsid w:val="00A95DC6"/>
    <w:rsid w:val="00A96950"/>
    <w:rsid w:val="00A96C83"/>
    <w:rsid w:val="00A96EEC"/>
    <w:rsid w:val="00A97BF0"/>
    <w:rsid w:val="00A97E1F"/>
    <w:rsid w:val="00AA1490"/>
    <w:rsid w:val="00AA2B15"/>
    <w:rsid w:val="00AA3CF8"/>
    <w:rsid w:val="00AA6B13"/>
    <w:rsid w:val="00AB1456"/>
    <w:rsid w:val="00AB278F"/>
    <w:rsid w:val="00AB2E36"/>
    <w:rsid w:val="00AB43F1"/>
    <w:rsid w:val="00AB7BBF"/>
    <w:rsid w:val="00AC2785"/>
    <w:rsid w:val="00AC3388"/>
    <w:rsid w:val="00AC77CB"/>
    <w:rsid w:val="00AD158B"/>
    <w:rsid w:val="00AD1658"/>
    <w:rsid w:val="00AD3062"/>
    <w:rsid w:val="00AD4823"/>
    <w:rsid w:val="00AD52B3"/>
    <w:rsid w:val="00AD6143"/>
    <w:rsid w:val="00AD6B89"/>
    <w:rsid w:val="00AD7A72"/>
    <w:rsid w:val="00AE27F8"/>
    <w:rsid w:val="00AE2D16"/>
    <w:rsid w:val="00AE4B5F"/>
    <w:rsid w:val="00AE6B49"/>
    <w:rsid w:val="00AF0BC1"/>
    <w:rsid w:val="00AF1CE2"/>
    <w:rsid w:val="00AF221F"/>
    <w:rsid w:val="00AF24C0"/>
    <w:rsid w:val="00AF30F3"/>
    <w:rsid w:val="00AF7AEE"/>
    <w:rsid w:val="00B004E5"/>
    <w:rsid w:val="00B02C4F"/>
    <w:rsid w:val="00B03127"/>
    <w:rsid w:val="00B03B2D"/>
    <w:rsid w:val="00B04FF1"/>
    <w:rsid w:val="00B050F3"/>
    <w:rsid w:val="00B05AD7"/>
    <w:rsid w:val="00B06FAA"/>
    <w:rsid w:val="00B076A2"/>
    <w:rsid w:val="00B1054E"/>
    <w:rsid w:val="00B10669"/>
    <w:rsid w:val="00B10CBC"/>
    <w:rsid w:val="00B11316"/>
    <w:rsid w:val="00B114D1"/>
    <w:rsid w:val="00B117BB"/>
    <w:rsid w:val="00B12CE6"/>
    <w:rsid w:val="00B14991"/>
    <w:rsid w:val="00B159E4"/>
    <w:rsid w:val="00B16061"/>
    <w:rsid w:val="00B16B11"/>
    <w:rsid w:val="00B20DD1"/>
    <w:rsid w:val="00B220F5"/>
    <w:rsid w:val="00B23EB9"/>
    <w:rsid w:val="00B24421"/>
    <w:rsid w:val="00B24913"/>
    <w:rsid w:val="00B24C1A"/>
    <w:rsid w:val="00B25B8E"/>
    <w:rsid w:val="00B25F2E"/>
    <w:rsid w:val="00B30A32"/>
    <w:rsid w:val="00B30B8C"/>
    <w:rsid w:val="00B3217E"/>
    <w:rsid w:val="00B33214"/>
    <w:rsid w:val="00B3366E"/>
    <w:rsid w:val="00B35102"/>
    <w:rsid w:val="00B3515A"/>
    <w:rsid w:val="00B44A68"/>
    <w:rsid w:val="00B452FA"/>
    <w:rsid w:val="00B45CB6"/>
    <w:rsid w:val="00B51681"/>
    <w:rsid w:val="00B53255"/>
    <w:rsid w:val="00B55AF7"/>
    <w:rsid w:val="00B56F3F"/>
    <w:rsid w:val="00B60403"/>
    <w:rsid w:val="00B61AE6"/>
    <w:rsid w:val="00B639F4"/>
    <w:rsid w:val="00B64710"/>
    <w:rsid w:val="00B64798"/>
    <w:rsid w:val="00B64BF2"/>
    <w:rsid w:val="00B65479"/>
    <w:rsid w:val="00B6669A"/>
    <w:rsid w:val="00B734A6"/>
    <w:rsid w:val="00B73724"/>
    <w:rsid w:val="00B74B79"/>
    <w:rsid w:val="00B7513F"/>
    <w:rsid w:val="00B75FF9"/>
    <w:rsid w:val="00B76003"/>
    <w:rsid w:val="00B76ED2"/>
    <w:rsid w:val="00B8034E"/>
    <w:rsid w:val="00B828A5"/>
    <w:rsid w:val="00B834DB"/>
    <w:rsid w:val="00B8404C"/>
    <w:rsid w:val="00B84A19"/>
    <w:rsid w:val="00B86789"/>
    <w:rsid w:val="00B90ECB"/>
    <w:rsid w:val="00B91242"/>
    <w:rsid w:val="00B9188F"/>
    <w:rsid w:val="00B926CB"/>
    <w:rsid w:val="00B93456"/>
    <w:rsid w:val="00B936A0"/>
    <w:rsid w:val="00B94399"/>
    <w:rsid w:val="00B9581F"/>
    <w:rsid w:val="00B95C57"/>
    <w:rsid w:val="00B966A4"/>
    <w:rsid w:val="00B97111"/>
    <w:rsid w:val="00BA21BB"/>
    <w:rsid w:val="00BA396F"/>
    <w:rsid w:val="00BA3F95"/>
    <w:rsid w:val="00BA4847"/>
    <w:rsid w:val="00BA4E99"/>
    <w:rsid w:val="00BA6998"/>
    <w:rsid w:val="00BB17EC"/>
    <w:rsid w:val="00BB40EF"/>
    <w:rsid w:val="00BB436E"/>
    <w:rsid w:val="00BB7E21"/>
    <w:rsid w:val="00BC0104"/>
    <w:rsid w:val="00BC2A41"/>
    <w:rsid w:val="00BC3663"/>
    <w:rsid w:val="00BC6C89"/>
    <w:rsid w:val="00BC76B7"/>
    <w:rsid w:val="00BC7C1B"/>
    <w:rsid w:val="00BC7FE4"/>
    <w:rsid w:val="00BD0CBB"/>
    <w:rsid w:val="00BD1841"/>
    <w:rsid w:val="00BD3D20"/>
    <w:rsid w:val="00BD4E1B"/>
    <w:rsid w:val="00BE1EC6"/>
    <w:rsid w:val="00BE523B"/>
    <w:rsid w:val="00BE6205"/>
    <w:rsid w:val="00BE6A06"/>
    <w:rsid w:val="00BF1381"/>
    <w:rsid w:val="00BF2334"/>
    <w:rsid w:val="00BF3822"/>
    <w:rsid w:val="00BF38EA"/>
    <w:rsid w:val="00BF49EA"/>
    <w:rsid w:val="00BF57DF"/>
    <w:rsid w:val="00BF5F8D"/>
    <w:rsid w:val="00BF6859"/>
    <w:rsid w:val="00BF7F3C"/>
    <w:rsid w:val="00C0007D"/>
    <w:rsid w:val="00C01BF6"/>
    <w:rsid w:val="00C0264B"/>
    <w:rsid w:val="00C04133"/>
    <w:rsid w:val="00C05A01"/>
    <w:rsid w:val="00C05DC5"/>
    <w:rsid w:val="00C06D35"/>
    <w:rsid w:val="00C06DF4"/>
    <w:rsid w:val="00C06E95"/>
    <w:rsid w:val="00C0746D"/>
    <w:rsid w:val="00C11188"/>
    <w:rsid w:val="00C114CE"/>
    <w:rsid w:val="00C1252F"/>
    <w:rsid w:val="00C1536B"/>
    <w:rsid w:val="00C16BD8"/>
    <w:rsid w:val="00C17A79"/>
    <w:rsid w:val="00C2210D"/>
    <w:rsid w:val="00C23E4C"/>
    <w:rsid w:val="00C24240"/>
    <w:rsid w:val="00C2467B"/>
    <w:rsid w:val="00C24E4B"/>
    <w:rsid w:val="00C26B71"/>
    <w:rsid w:val="00C27F1A"/>
    <w:rsid w:val="00C35473"/>
    <w:rsid w:val="00C35851"/>
    <w:rsid w:val="00C36B81"/>
    <w:rsid w:val="00C37E9B"/>
    <w:rsid w:val="00C41789"/>
    <w:rsid w:val="00C42778"/>
    <w:rsid w:val="00C42E8B"/>
    <w:rsid w:val="00C458F3"/>
    <w:rsid w:val="00C46A5C"/>
    <w:rsid w:val="00C54520"/>
    <w:rsid w:val="00C55192"/>
    <w:rsid w:val="00C55F25"/>
    <w:rsid w:val="00C564DF"/>
    <w:rsid w:val="00C571AA"/>
    <w:rsid w:val="00C61386"/>
    <w:rsid w:val="00C616F5"/>
    <w:rsid w:val="00C6436E"/>
    <w:rsid w:val="00C6650B"/>
    <w:rsid w:val="00C714EF"/>
    <w:rsid w:val="00C71F86"/>
    <w:rsid w:val="00C71FE6"/>
    <w:rsid w:val="00C723EE"/>
    <w:rsid w:val="00C749A1"/>
    <w:rsid w:val="00C75616"/>
    <w:rsid w:val="00C75832"/>
    <w:rsid w:val="00C807A7"/>
    <w:rsid w:val="00C8098F"/>
    <w:rsid w:val="00C8215A"/>
    <w:rsid w:val="00C82550"/>
    <w:rsid w:val="00C825B5"/>
    <w:rsid w:val="00C84349"/>
    <w:rsid w:val="00C85035"/>
    <w:rsid w:val="00C90856"/>
    <w:rsid w:val="00C911B0"/>
    <w:rsid w:val="00C92D53"/>
    <w:rsid w:val="00C9310A"/>
    <w:rsid w:val="00C93473"/>
    <w:rsid w:val="00C9487D"/>
    <w:rsid w:val="00C97CA3"/>
    <w:rsid w:val="00CA03E3"/>
    <w:rsid w:val="00CA0D2F"/>
    <w:rsid w:val="00CA2298"/>
    <w:rsid w:val="00CA46F9"/>
    <w:rsid w:val="00CA50B0"/>
    <w:rsid w:val="00CA5155"/>
    <w:rsid w:val="00CA5230"/>
    <w:rsid w:val="00CA598B"/>
    <w:rsid w:val="00CA67FF"/>
    <w:rsid w:val="00CA6E18"/>
    <w:rsid w:val="00CB1C06"/>
    <w:rsid w:val="00CB4B31"/>
    <w:rsid w:val="00CB7594"/>
    <w:rsid w:val="00CC0728"/>
    <w:rsid w:val="00CC0C61"/>
    <w:rsid w:val="00CC2A7A"/>
    <w:rsid w:val="00CC2C66"/>
    <w:rsid w:val="00CC2DB2"/>
    <w:rsid w:val="00CC306A"/>
    <w:rsid w:val="00CC46FD"/>
    <w:rsid w:val="00CC676A"/>
    <w:rsid w:val="00CC6B83"/>
    <w:rsid w:val="00CC795B"/>
    <w:rsid w:val="00CD093A"/>
    <w:rsid w:val="00CD1B6E"/>
    <w:rsid w:val="00CD1C05"/>
    <w:rsid w:val="00CD2DED"/>
    <w:rsid w:val="00CD4475"/>
    <w:rsid w:val="00CD6C99"/>
    <w:rsid w:val="00CD6E88"/>
    <w:rsid w:val="00CD70E8"/>
    <w:rsid w:val="00CD7725"/>
    <w:rsid w:val="00CE1E04"/>
    <w:rsid w:val="00CE2C2E"/>
    <w:rsid w:val="00CE46BE"/>
    <w:rsid w:val="00CE6A29"/>
    <w:rsid w:val="00CE6DF0"/>
    <w:rsid w:val="00CE772E"/>
    <w:rsid w:val="00CF0171"/>
    <w:rsid w:val="00CF1952"/>
    <w:rsid w:val="00CF3F90"/>
    <w:rsid w:val="00CF6AC3"/>
    <w:rsid w:val="00CF77A8"/>
    <w:rsid w:val="00CF7F51"/>
    <w:rsid w:val="00D001A7"/>
    <w:rsid w:val="00D0087B"/>
    <w:rsid w:val="00D025F2"/>
    <w:rsid w:val="00D053A5"/>
    <w:rsid w:val="00D05A27"/>
    <w:rsid w:val="00D05A66"/>
    <w:rsid w:val="00D07176"/>
    <w:rsid w:val="00D10519"/>
    <w:rsid w:val="00D10FAB"/>
    <w:rsid w:val="00D11B21"/>
    <w:rsid w:val="00D128E7"/>
    <w:rsid w:val="00D1355A"/>
    <w:rsid w:val="00D1625B"/>
    <w:rsid w:val="00D16532"/>
    <w:rsid w:val="00D1689D"/>
    <w:rsid w:val="00D177AF"/>
    <w:rsid w:val="00D217AE"/>
    <w:rsid w:val="00D228DC"/>
    <w:rsid w:val="00D25B7F"/>
    <w:rsid w:val="00D26180"/>
    <w:rsid w:val="00D261CB"/>
    <w:rsid w:val="00D26273"/>
    <w:rsid w:val="00D271D7"/>
    <w:rsid w:val="00D27319"/>
    <w:rsid w:val="00D27F7C"/>
    <w:rsid w:val="00D35D9B"/>
    <w:rsid w:val="00D407FE"/>
    <w:rsid w:val="00D40929"/>
    <w:rsid w:val="00D413DB"/>
    <w:rsid w:val="00D4400D"/>
    <w:rsid w:val="00D4530E"/>
    <w:rsid w:val="00D45586"/>
    <w:rsid w:val="00D45713"/>
    <w:rsid w:val="00D47B08"/>
    <w:rsid w:val="00D505B8"/>
    <w:rsid w:val="00D51FD5"/>
    <w:rsid w:val="00D57526"/>
    <w:rsid w:val="00D61C4E"/>
    <w:rsid w:val="00D65571"/>
    <w:rsid w:val="00D65919"/>
    <w:rsid w:val="00D664D7"/>
    <w:rsid w:val="00D665B2"/>
    <w:rsid w:val="00D6751D"/>
    <w:rsid w:val="00D67854"/>
    <w:rsid w:val="00D72B35"/>
    <w:rsid w:val="00D776FF"/>
    <w:rsid w:val="00D804CC"/>
    <w:rsid w:val="00D81C4D"/>
    <w:rsid w:val="00D81C9B"/>
    <w:rsid w:val="00D838E4"/>
    <w:rsid w:val="00D843CA"/>
    <w:rsid w:val="00D84AE2"/>
    <w:rsid w:val="00D8741B"/>
    <w:rsid w:val="00D91B2B"/>
    <w:rsid w:val="00D958E4"/>
    <w:rsid w:val="00D964D9"/>
    <w:rsid w:val="00D96930"/>
    <w:rsid w:val="00DA127E"/>
    <w:rsid w:val="00DA2B7B"/>
    <w:rsid w:val="00DA2FFD"/>
    <w:rsid w:val="00DA344C"/>
    <w:rsid w:val="00DA4CCE"/>
    <w:rsid w:val="00DA6433"/>
    <w:rsid w:val="00DA6BE4"/>
    <w:rsid w:val="00DA7566"/>
    <w:rsid w:val="00DB05EC"/>
    <w:rsid w:val="00DB1C91"/>
    <w:rsid w:val="00DB1ECA"/>
    <w:rsid w:val="00DB459D"/>
    <w:rsid w:val="00DB4780"/>
    <w:rsid w:val="00DB4C4D"/>
    <w:rsid w:val="00DB6188"/>
    <w:rsid w:val="00DC04AE"/>
    <w:rsid w:val="00DC07F5"/>
    <w:rsid w:val="00DC3262"/>
    <w:rsid w:val="00DC665B"/>
    <w:rsid w:val="00DC7A87"/>
    <w:rsid w:val="00DD3333"/>
    <w:rsid w:val="00DD44F6"/>
    <w:rsid w:val="00DD5169"/>
    <w:rsid w:val="00DD642D"/>
    <w:rsid w:val="00DD6A48"/>
    <w:rsid w:val="00DD7953"/>
    <w:rsid w:val="00DE0246"/>
    <w:rsid w:val="00DE2F06"/>
    <w:rsid w:val="00DE3BB8"/>
    <w:rsid w:val="00DE5F4D"/>
    <w:rsid w:val="00DE5F98"/>
    <w:rsid w:val="00DE673A"/>
    <w:rsid w:val="00DE7213"/>
    <w:rsid w:val="00DF062C"/>
    <w:rsid w:val="00DF0E8D"/>
    <w:rsid w:val="00DF2607"/>
    <w:rsid w:val="00DF3CC8"/>
    <w:rsid w:val="00DF3F56"/>
    <w:rsid w:val="00DF5003"/>
    <w:rsid w:val="00DF6EF5"/>
    <w:rsid w:val="00DF7478"/>
    <w:rsid w:val="00E002B6"/>
    <w:rsid w:val="00E010F1"/>
    <w:rsid w:val="00E027EB"/>
    <w:rsid w:val="00E0428A"/>
    <w:rsid w:val="00E05459"/>
    <w:rsid w:val="00E10A17"/>
    <w:rsid w:val="00E11016"/>
    <w:rsid w:val="00E11B2C"/>
    <w:rsid w:val="00E11FE6"/>
    <w:rsid w:val="00E12E1A"/>
    <w:rsid w:val="00E14303"/>
    <w:rsid w:val="00E1494A"/>
    <w:rsid w:val="00E1739D"/>
    <w:rsid w:val="00E20EB5"/>
    <w:rsid w:val="00E2354B"/>
    <w:rsid w:val="00E25661"/>
    <w:rsid w:val="00E2590A"/>
    <w:rsid w:val="00E2599A"/>
    <w:rsid w:val="00E25DB0"/>
    <w:rsid w:val="00E26958"/>
    <w:rsid w:val="00E27EEE"/>
    <w:rsid w:val="00E3072C"/>
    <w:rsid w:val="00E326CC"/>
    <w:rsid w:val="00E33C3E"/>
    <w:rsid w:val="00E34C42"/>
    <w:rsid w:val="00E36314"/>
    <w:rsid w:val="00E37273"/>
    <w:rsid w:val="00E4129C"/>
    <w:rsid w:val="00E4264C"/>
    <w:rsid w:val="00E427C1"/>
    <w:rsid w:val="00E43B9C"/>
    <w:rsid w:val="00E448CF"/>
    <w:rsid w:val="00E449F6"/>
    <w:rsid w:val="00E45C86"/>
    <w:rsid w:val="00E5093F"/>
    <w:rsid w:val="00E5226D"/>
    <w:rsid w:val="00E530D5"/>
    <w:rsid w:val="00E54A65"/>
    <w:rsid w:val="00E573F5"/>
    <w:rsid w:val="00E60256"/>
    <w:rsid w:val="00E60F11"/>
    <w:rsid w:val="00E621E6"/>
    <w:rsid w:val="00E62353"/>
    <w:rsid w:val="00E6276C"/>
    <w:rsid w:val="00E64624"/>
    <w:rsid w:val="00E65267"/>
    <w:rsid w:val="00E66420"/>
    <w:rsid w:val="00E67782"/>
    <w:rsid w:val="00E70047"/>
    <w:rsid w:val="00E711AC"/>
    <w:rsid w:val="00E73439"/>
    <w:rsid w:val="00E7349E"/>
    <w:rsid w:val="00E73DB9"/>
    <w:rsid w:val="00E74F3D"/>
    <w:rsid w:val="00E77730"/>
    <w:rsid w:val="00E80BD3"/>
    <w:rsid w:val="00E820C4"/>
    <w:rsid w:val="00E8347D"/>
    <w:rsid w:val="00E853AE"/>
    <w:rsid w:val="00E86BB5"/>
    <w:rsid w:val="00E9136A"/>
    <w:rsid w:val="00E91DF2"/>
    <w:rsid w:val="00E93A65"/>
    <w:rsid w:val="00E93CFC"/>
    <w:rsid w:val="00E95666"/>
    <w:rsid w:val="00E957A5"/>
    <w:rsid w:val="00E96119"/>
    <w:rsid w:val="00E9662E"/>
    <w:rsid w:val="00E97496"/>
    <w:rsid w:val="00E979CC"/>
    <w:rsid w:val="00EA04EC"/>
    <w:rsid w:val="00EA15CD"/>
    <w:rsid w:val="00EA25D9"/>
    <w:rsid w:val="00EA2910"/>
    <w:rsid w:val="00EA389A"/>
    <w:rsid w:val="00EA3D08"/>
    <w:rsid w:val="00EA4460"/>
    <w:rsid w:val="00EA448F"/>
    <w:rsid w:val="00EA7489"/>
    <w:rsid w:val="00EB15DD"/>
    <w:rsid w:val="00EB1817"/>
    <w:rsid w:val="00EB1C1B"/>
    <w:rsid w:val="00EB29A7"/>
    <w:rsid w:val="00EB3120"/>
    <w:rsid w:val="00EB4B32"/>
    <w:rsid w:val="00EB52EB"/>
    <w:rsid w:val="00EB5A86"/>
    <w:rsid w:val="00EC01B2"/>
    <w:rsid w:val="00EC1AF4"/>
    <w:rsid w:val="00EC1F45"/>
    <w:rsid w:val="00EC3BBC"/>
    <w:rsid w:val="00EC3EF3"/>
    <w:rsid w:val="00EC500C"/>
    <w:rsid w:val="00EC5559"/>
    <w:rsid w:val="00EC58A0"/>
    <w:rsid w:val="00EC5C50"/>
    <w:rsid w:val="00EC7A45"/>
    <w:rsid w:val="00ED0A03"/>
    <w:rsid w:val="00ED2BBB"/>
    <w:rsid w:val="00ED30AF"/>
    <w:rsid w:val="00ED3B20"/>
    <w:rsid w:val="00ED52A0"/>
    <w:rsid w:val="00ED6A9A"/>
    <w:rsid w:val="00ED6CED"/>
    <w:rsid w:val="00EE0268"/>
    <w:rsid w:val="00EE098D"/>
    <w:rsid w:val="00EE2506"/>
    <w:rsid w:val="00EE2F7D"/>
    <w:rsid w:val="00EE3065"/>
    <w:rsid w:val="00EE328E"/>
    <w:rsid w:val="00EE4613"/>
    <w:rsid w:val="00EE4B64"/>
    <w:rsid w:val="00EE683B"/>
    <w:rsid w:val="00EE6887"/>
    <w:rsid w:val="00EF0C9D"/>
    <w:rsid w:val="00EF24FF"/>
    <w:rsid w:val="00EF2692"/>
    <w:rsid w:val="00EF27B6"/>
    <w:rsid w:val="00EF2A95"/>
    <w:rsid w:val="00EF334C"/>
    <w:rsid w:val="00EF3E16"/>
    <w:rsid w:val="00EF5FB2"/>
    <w:rsid w:val="00F01693"/>
    <w:rsid w:val="00F050C5"/>
    <w:rsid w:val="00F10F72"/>
    <w:rsid w:val="00F13E3E"/>
    <w:rsid w:val="00F1593F"/>
    <w:rsid w:val="00F15A73"/>
    <w:rsid w:val="00F22D60"/>
    <w:rsid w:val="00F27834"/>
    <w:rsid w:val="00F30C3B"/>
    <w:rsid w:val="00F319AB"/>
    <w:rsid w:val="00F31D54"/>
    <w:rsid w:val="00F32C75"/>
    <w:rsid w:val="00F336F6"/>
    <w:rsid w:val="00F3525A"/>
    <w:rsid w:val="00F35A7E"/>
    <w:rsid w:val="00F4256E"/>
    <w:rsid w:val="00F43434"/>
    <w:rsid w:val="00F43AC2"/>
    <w:rsid w:val="00F45548"/>
    <w:rsid w:val="00F4643E"/>
    <w:rsid w:val="00F46882"/>
    <w:rsid w:val="00F47B9B"/>
    <w:rsid w:val="00F50B79"/>
    <w:rsid w:val="00F523F6"/>
    <w:rsid w:val="00F53516"/>
    <w:rsid w:val="00F5559A"/>
    <w:rsid w:val="00F56108"/>
    <w:rsid w:val="00F57BA9"/>
    <w:rsid w:val="00F6303B"/>
    <w:rsid w:val="00F65544"/>
    <w:rsid w:val="00F65A68"/>
    <w:rsid w:val="00F65ED3"/>
    <w:rsid w:val="00F71169"/>
    <w:rsid w:val="00F7214D"/>
    <w:rsid w:val="00F755CE"/>
    <w:rsid w:val="00F80746"/>
    <w:rsid w:val="00F80F6B"/>
    <w:rsid w:val="00F83812"/>
    <w:rsid w:val="00F84D33"/>
    <w:rsid w:val="00F8500A"/>
    <w:rsid w:val="00F8537C"/>
    <w:rsid w:val="00F85B43"/>
    <w:rsid w:val="00F918E8"/>
    <w:rsid w:val="00F94261"/>
    <w:rsid w:val="00F9524C"/>
    <w:rsid w:val="00F975F0"/>
    <w:rsid w:val="00F97EE3"/>
    <w:rsid w:val="00FA05F5"/>
    <w:rsid w:val="00FA06BB"/>
    <w:rsid w:val="00FA1742"/>
    <w:rsid w:val="00FA21CE"/>
    <w:rsid w:val="00FA37EE"/>
    <w:rsid w:val="00FA3EA5"/>
    <w:rsid w:val="00FA4975"/>
    <w:rsid w:val="00FB06F4"/>
    <w:rsid w:val="00FB133C"/>
    <w:rsid w:val="00FB1FBA"/>
    <w:rsid w:val="00FB2570"/>
    <w:rsid w:val="00FB3B0D"/>
    <w:rsid w:val="00FB3E66"/>
    <w:rsid w:val="00FB3EF4"/>
    <w:rsid w:val="00FB4FEC"/>
    <w:rsid w:val="00FB653B"/>
    <w:rsid w:val="00FB7553"/>
    <w:rsid w:val="00FC13D1"/>
    <w:rsid w:val="00FC2A72"/>
    <w:rsid w:val="00FC4F3A"/>
    <w:rsid w:val="00FC5EE4"/>
    <w:rsid w:val="00FC6BD5"/>
    <w:rsid w:val="00FD0E32"/>
    <w:rsid w:val="00FD14A9"/>
    <w:rsid w:val="00FD3BCA"/>
    <w:rsid w:val="00FD4265"/>
    <w:rsid w:val="00FD4482"/>
    <w:rsid w:val="00FD577C"/>
    <w:rsid w:val="00FE0102"/>
    <w:rsid w:val="00FE1E97"/>
    <w:rsid w:val="00FE24E4"/>
    <w:rsid w:val="00FE5208"/>
    <w:rsid w:val="00FE5D26"/>
    <w:rsid w:val="00FE65F0"/>
    <w:rsid w:val="00FE6897"/>
    <w:rsid w:val="00FE7F55"/>
    <w:rsid w:val="00FF07E3"/>
    <w:rsid w:val="00FF2787"/>
    <w:rsid w:val="00FF30D9"/>
    <w:rsid w:val="00FF4C75"/>
    <w:rsid w:val="00FF5265"/>
    <w:rsid w:val="00FF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D42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nhideWhenUsed/>
    <w:rsid w:val="00DA344C"/>
    <w:rPr>
      <w:sz w:val="16"/>
      <w:szCs w:val="16"/>
    </w:rPr>
  </w:style>
  <w:style w:type="paragraph" w:styleId="CommentText">
    <w:name w:val="annotation text"/>
    <w:basedOn w:val="Normal"/>
    <w:link w:val="CommentTextChar"/>
    <w:unhideWhenUsed/>
    <w:rsid w:val="00DA344C"/>
    <w:rPr>
      <w:sz w:val="20"/>
      <w:szCs w:val="20"/>
    </w:rPr>
  </w:style>
  <w:style w:type="character" w:customStyle="1" w:styleId="CommentTextChar">
    <w:name w:val="Comment Text Char"/>
    <w:basedOn w:val="DefaultParagraphFont"/>
    <w:link w:val="CommentText"/>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uiPriority w:val="99"/>
    <w:rsid w:val="00595CA5"/>
    <w:rPr>
      <w:color w:val="0000FF"/>
      <w:u w:val="single"/>
    </w:rPr>
  </w:style>
  <w:style w:type="paragraph" w:styleId="ListParagraph">
    <w:name w:val="List Paragraph"/>
    <w:basedOn w:val="Normal"/>
    <w:uiPriority w:val="34"/>
    <w:qFormat/>
    <w:rsid w:val="00190AE5"/>
    <w:pPr>
      <w:ind w:left="720"/>
      <w:contextualSpacing/>
    </w:pPr>
  </w:style>
  <w:style w:type="character" w:customStyle="1" w:styleId="Heading2Char">
    <w:name w:val="Heading 2 Char"/>
    <w:basedOn w:val="DefaultParagraphFont"/>
    <w:link w:val="Heading2"/>
    <w:uiPriority w:val="9"/>
    <w:rsid w:val="00FD4265"/>
    <w:rPr>
      <w:rFonts w:asciiTheme="majorHAnsi" w:eastAsiaTheme="majorEastAsia" w:hAnsiTheme="majorHAnsi" w:cstheme="majorBidi"/>
      <w:b/>
      <w:bCs/>
      <w:color w:val="4F81BD" w:themeColor="accent1"/>
      <w:sz w:val="26"/>
      <w:szCs w:val="26"/>
    </w:rPr>
  </w:style>
  <w:style w:type="character" w:customStyle="1" w:styleId="NoSpacingChar">
    <w:name w:val="No Spacing Char"/>
    <w:link w:val="NoSpacing"/>
    <w:uiPriority w:val="1"/>
    <w:locked/>
    <w:rsid w:val="006F263B"/>
    <w:rPr>
      <w:sz w:val="22"/>
      <w:szCs w:val="22"/>
    </w:rPr>
  </w:style>
  <w:style w:type="paragraph" w:styleId="NoSpacing">
    <w:name w:val="No Spacing"/>
    <w:basedOn w:val="Normal"/>
    <w:link w:val="NoSpacingChar"/>
    <w:uiPriority w:val="1"/>
    <w:qFormat/>
    <w:rsid w:val="006F263B"/>
    <w:rPr>
      <w:sz w:val="22"/>
      <w:szCs w:val="22"/>
    </w:rPr>
  </w:style>
  <w:style w:type="character" w:styleId="FollowedHyperlink">
    <w:name w:val="FollowedHyperlink"/>
    <w:basedOn w:val="DefaultParagraphFont"/>
    <w:uiPriority w:val="99"/>
    <w:semiHidden/>
    <w:unhideWhenUsed/>
    <w:rsid w:val="007F1951"/>
    <w:rPr>
      <w:color w:val="800080" w:themeColor="followedHyperlink"/>
      <w:u w:val="single"/>
    </w:rPr>
  </w:style>
  <w:style w:type="paragraph" w:styleId="TOC2">
    <w:name w:val="toc 2"/>
    <w:basedOn w:val="Normal"/>
    <w:next w:val="Normal"/>
    <w:autoRedefine/>
    <w:uiPriority w:val="39"/>
    <w:unhideWhenUsed/>
    <w:rsid w:val="00164F1D"/>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5EC"/>
    <w:rPr>
      <w:sz w:val="24"/>
      <w:szCs w:val="24"/>
    </w:rPr>
  </w:style>
  <w:style w:type="paragraph" w:styleId="Heading1">
    <w:name w:val="heading 1"/>
    <w:basedOn w:val="Normal"/>
    <w:next w:val="Normal"/>
    <w:link w:val="Heading1Char"/>
    <w:uiPriority w:val="9"/>
    <w:qFormat/>
    <w:rsid w:val="002C73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D426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05EC"/>
    <w:pPr>
      <w:tabs>
        <w:tab w:val="center" w:pos="4320"/>
        <w:tab w:val="right" w:pos="8640"/>
      </w:tabs>
    </w:pPr>
  </w:style>
  <w:style w:type="paragraph" w:styleId="Footer">
    <w:name w:val="footer"/>
    <w:basedOn w:val="Normal"/>
    <w:link w:val="FooterChar"/>
    <w:uiPriority w:val="99"/>
    <w:rsid w:val="00DB05EC"/>
    <w:pPr>
      <w:tabs>
        <w:tab w:val="center" w:pos="4320"/>
        <w:tab w:val="right" w:pos="8640"/>
      </w:tabs>
    </w:pPr>
  </w:style>
  <w:style w:type="character" w:styleId="PageNumber">
    <w:name w:val="page number"/>
    <w:basedOn w:val="DefaultParagraphFont"/>
    <w:rsid w:val="00DB05EC"/>
  </w:style>
  <w:style w:type="paragraph" w:styleId="BodyTextIndent">
    <w:name w:val="Body Text Indent"/>
    <w:basedOn w:val="Normal"/>
    <w:rsid w:val="00DB05EC"/>
    <w:pPr>
      <w:tabs>
        <w:tab w:val="left" w:pos="1800"/>
      </w:tabs>
      <w:ind w:left="1800"/>
    </w:pPr>
  </w:style>
  <w:style w:type="paragraph" w:styleId="BodyTextIndent2">
    <w:name w:val="Body Text Indent 2"/>
    <w:basedOn w:val="Normal"/>
    <w:rsid w:val="00DB05EC"/>
    <w:pPr>
      <w:tabs>
        <w:tab w:val="left" w:pos="1080"/>
        <w:tab w:val="left" w:pos="1800"/>
      </w:tabs>
      <w:ind w:left="1080"/>
    </w:pPr>
    <w:rPr>
      <w:b/>
      <w:bCs/>
    </w:rPr>
  </w:style>
  <w:style w:type="paragraph" w:styleId="BodyTextIndent3">
    <w:name w:val="Body Text Indent 3"/>
    <w:basedOn w:val="Normal"/>
    <w:rsid w:val="00DB05EC"/>
    <w:pPr>
      <w:tabs>
        <w:tab w:val="left" w:pos="1800"/>
      </w:tabs>
      <w:ind w:left="2340"/>
    </w:pPr>
  </w:style>
  <w:style w:type="table" w:styleId="TableGrid">
    <w:name w:val="Table Grid"/>
    <w:basedOn w:val="TableNormal"/>
    <w:uiPriority w:val="59"/>
    <w:rsid w:val="00396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E4D6A"/>
    <w:rPr>
      <w:sz w:val="24"/>
      <w:szCs w:val="24"/>
    </w:rPr>
  </w:style>
  <w:style w:type="paragraph" w:styleId="BalloonText">
    <w:name w:val="Balloon Text"/>
    <w:basedOn w:val="Normal"/>
    <w:link w:val="BalloonTextChar"/>
    <w:uiPriority w:val="99"/>
    <w:semiHidden/>
    <w:unhideWhenUsed/>
    <w:rsid w:val="000E4D6A"/>
    <w:rPr>
      <w:rFonts w:ascii="Tahoma" w:hAnsi="Tahoma" w:cs="Tahoma"/>
      <w:sz w:val="16"/>
      <w:szCs w:val="16"/>
    </w:rPr>
  </w:style>
  <w:style w:type="character" w:customStyle="1" w:styleId="BalloonTextChar">
    <w:name w:val="Balloon Text Char"/>
    <w:basedOn w:val="DefaultParagraphFont"/>
    <w:link w:val="BalloonText"/>
    <w:uiPriority w:val="99"/>
    <w:semiHidden/>
    <w:rsid w:val="000E4D6A"/>
    <w:rPr>
      <w:rFonts w:ascii="Tahoma" w:hAnsi="Tahoma" w:cs="Tahoma"/>
      <w:sz w:val="16"/>
      <w:szCs w:val="16"/>
    </w:rPr>
  </w:style>
  <w:style w:type="character" w:customStyle="1" w:styleId="HeaderChar">
    <w:name w:val="Header Char"/>
    <w:basedOn w:val="DefaultParagraphFont"/>
    <w:link w:val="Header"/>
    <w:uiPriority w:val="99"/>
    <w:rsid w:val="000E4D6A"/>
    <w:rPr>
      <w:sz w:val="24"/>
      <w:szCs w:val="24"/>
    </w:rPr>
  </w:style>
  <w:style w:type="character" w:styleId="CommentReference">
    <w:name w:val="annotation reference"/>
    <w:basedOn w:val="DefaultParagraphFont"/>
    <w:unhideWhenUsed/>
    <w:rsid w:val="00DA344C"/>
    <w:rPr>
      <w:sz w:val="16"/>
      <w:szCs w:val="16"/>
    </w:rPr>
  </w:style>
  <w:style w:type="paragraph" w:styleId="CommentText">
    <w:name w:val="annotation text"/>
    <w:basedOn w:val="Normal"/>
    <w:link w:val="CommentTextChar"/>
    <w:unhideWhenUsed/>
    <w:rsid w:val="00DA344C"/>
    <w:rPr>
      <w:sz w:val="20"/>
      <w:szCs w:val="20"/>
    </w:rPr>
  </w:style>
  <w:style w:type="character" w:customStyle="1" w:styleId="CommentTextChar">
    <w:name w:val="Comment Text Char"/>
    <w:basedOn w:val="DefaultParagraphFont"/>
    <w:link w:val="CommentText"/>
    <w:rsid w:val="00DA344C"/>
  </w:style>
  <w:style w:type="paragraph" w:styleId="CommentSubject">
    <w:name w:val="annotation subject"/>
    <w:basedOn w:val="CommentText"/>
    <w:next w:val="CommentText"/>
    <w:link w:val="CommentSubjectChar"/>
    <w:uiPriority w:val="99"/>
    <w:semiHidden/>
    <w:unhideWhenUsed/>
    <w:rsid w:val="00DA344C"/>
    <w:rPr>
      <w:b/>
      <w:bCs/>
    </w:rPr>
  </w:style>
  <w:style w:type="character" w:customStyle="1" w:styleId="CommentSubjectChar">
    <w:name w:val="Comment Subject Char"/>
    <w:basedOn w:val="CommentTextChar"/>
    <w:link w:val="CommentSubject"/>
    <w:uiPriority w:val="99"/>
    <w:semiHidden/>
    <w:rsid w:val="00DA344C"/>
    <w:rPr>
      <w:b/>
      <w:bCs/>
    </w:rPr>
  </w:style>
  <w:style w:type="paragraph" w:styleId="FootnoteText">
    <w:name w:val="footnote text"/>
    <w:basedOn w:val="Normal"/>
    <w:link w:val="FootnoteTextChar"/>
    <w:semiHidden/>
    <w:rsid w:val="003247E8"/>
    <w:rPr>
      <w:sz w:val="20"/>
      <w:szCs w:val="20"/>
    </w:rPr>
  </w:style>
  <w:style w:type="character" w:customStyle="1" w:styleId="FootnoteTextChar">
    <w:name w:val="Footnote Text Char"/>
    <w:basedOn w:val="DefaultParagraphFont"/>
    <w:link w:val="FootnoteText"/>
    <w:semiHidden/>
    <w:rsid w:val="003247E8"/>
  </w:style>
  <w:style w:type="character" w:styleId="FootnoteReference">
    <w:name w:val="footnote reference"/>
    <w:basedOn w:val="DefaultParagraphFont"/>
    <w:semiHidden/>
    <w:rsid w:val="003247E8"/>
    <w:rPr>
      <w:vertAlign w:val="superscript"/>
    </w:rPr>
  </w:style>
  <w:style w:type="character" w:customStyle="1" w:styleId="Heading1Char">
    <w:name w:val="Heading 1 Char"/>
    <w:basedOn w:val="DefaultParagraphFont"/>
    <w:link w:val="Heading1"/>
    <w:uiPriority w:val="9"/>
    <w:rsid w:val="002C73C8"/>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C73C8"/>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2C73C8"/>
  </w:style>
  <w:style w:type="character" w:styleId="Hyperlink">
    <w:name w:val="Hyperlink"/>
    <w:basedOn w:val="DefaultParagraphFont"/>
    <w:uiPriority w:val="99"/>
    <w:rsid w:val="00595CA5"/>
    <w:rPr>
      <w:color w:val="0000FF"/>
      <w:u w:val="single"/>
    </w:rPr>
  </w:style>
  <w:style w:type="paragraph" w:styleId="ListParagraph">
    <w:name w:val="List Paragraph"/>
    <w:basedOn w:val="Normal"/>
    <w:uiPriority w:val="34"/>
    <w:qFormat/>
    <w:rsid w:val="00190AE5"/>
    <w:pPr>
      <w:ind w:left="720"/>
      <w:contextualSpacing/>
    </w:pPr>
  </w:style>
  <w:style w:type="character" w:customStyle="1" w:styleId="Heading2Char">
    <w:name w:val="Heading 2 Char"/>
    <w:basedOn w:val="DefaultParagraphFont"/>
    <w:link w:val="Heading2"/>
    <w:uiPriority w:val="9"/>
    <w:rsid w:val="00FD4265"/>
    <w:rPr>
      <w:rFonts w:asciiTheme="majorHAnsi" w:eastAsiaTheme="majorEastAsia" w:hAnsiTheme="majorHAnsi" w:cstheme="majorBidi"/>
      <w:b/>
      <w:bCs/>
      <w:color w:val="4F81BD" w:themeColor="accent1"/>
      <w:sz w:val="26"/>
      <w:szCs w:val="26"/>
    </w:rPr>
  </w:style>
  <w:style w:type="character" w:customStyle="1" w:styleId="NoSpacingChar">
    <w:name w:val="No Spacing Char"/>
    <w:link w:val="NoSpacing"/>
    <w:uiPriority w:val="1"/>
    <w:locked/>
    <w:rsid w:val="006F263B"/>
    <w:rPr>
      <w:sz w:val="22"/>
      <w:szCs w:val="22"/>
    </w:rPr>
  </w:style>
  <w:style w:type="paragraph" w:styleId="NoSpacing">
    <w:name w:val="No Spacing"/>
    <w:basedOn w:val="Normal"/>
    <w:link w:val="NoSpacingChar"/>
    <w:uiPriority w:val="1"/>
    <w:qFormat/>
    <w:rsid w:val="006F263B"/>
    <w:rPr>
      <w:sz w:val="22"/>
      <w:szCs w:val="22"/>
    </w:rPr>
  </w:style>
  <w:style w:type="character" w:styleId="FollowedHyperlink">
    <w:name w:val="FollowedHyperlink"/>
    <w:basedOn w:val="DefaultParagraphFont"/>
    <w:uiPriority w:val="99"/>
    <w:semiHidden/>
    <w:unhideWhenUsed/>
    <w:rsid w:val="007F1951"/>
    <w:rPr>
      <w:color w:val="800080" w:themeColor="followedHyperlink"/>
      <w:u w:val="single"/>
    </w:rPr>
  </w:style>
  <w:style w:type="paragraph" w:styleId="TOC2">
    <w:name w:val="toc 2"/>
    <w:basedOn w:val="Normal"/>
    <w:next w:val="Normal"/>
    <w:autoRedefine/>
    <w:uiPriority w:val="39"/>
    <w:unhideWhenUsed/>
    <w:rsid w:val="00164F1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25325">
      <w:bodyDiv w:val="1"/>
      <w:marLeft w:val="0"/>
      <w:marRight w:val="0"/>
      <w:marTop w:val="0"/>
      <w:marBottom w:val="0"/>
      <w:divBdr>
        <w:top w:val="none" w:sz="0" w:space="0" w:color="auto"/>
        <w:left w:val="none" w:sz="0" w:space="0" w:color="auto"/>
        <w:bottom w:val="none" w:sz="0" w:space="0" w:color="auto"/>
        <w:right w:val="none" w:sz="0" w:space="0" w:color="auto"/>
      </w:divBdr>
    </w:div>
    <w:div w:id="347029714">
      <w:bodyDiv w:val="1"/>
      <w:marLeft w:val="0"/>
      <w:marRight w:val="0"/>
      <w:marTop w:val="0"/>
      <w:marBottom w:val="0"/>
      <w:divBdr>
        <w:top w:val="none" w:sz="0" w:space="0" w:color="auto"/>
        <w:left w:val="none" w:sz="0" w:space="0" w:color="auto"/>
        <w:bottom w:val="none" w:sz="0" w:space="0" w:color="auto"/>
        <w:right w:val="none" w:sz="0" w:space="0" w:color="auto"/>
      </w:divBdr>
    </w:div>
    <w:div w:id="1120106225">
      <w:bodyDiv w:val="1"/>
      <w:marLeft w:val="0"/>
      <w:marRight w:val="0"/>
      <w:marTop w:val="0"/>
      <w:marBottom w:val="0"/>
      <w:divBdr>
        <w:top w:val="none" w:sz="0" w:space="0" w:color="auto"/>
        <w:left w:val="none" w:sz="0" w:space="0" w:color="auto"/>
        <w:bottom w:val="none" w:sz="0" w:space="0" w:color="auto"/>
        <w:right w:val="none" w:sz="0" w:space="0" w:color="auto"/>
      </w:divBdr>
    </w:div>
    <w:div w:id="1212771250">
      <w:bodyDiv w:val="1"/>
      <w:marLeft w:val="0"/>
      <w:marRight w:val="0"/>
      <w:marTop w:val="0"/>
      <w:marBottom w:val="0"/>
      <w:divBdr>
        <w:top w:val="none" w:sz="0" w:space="0" w:color="auto"/>
        <w:left w:val="none" w:sz="0" w:space="0" w:color="auto"/>
        <w:bottom w:val="none" w:sz="0" w:space="0" w:color="auto"/>
        <w:right w:val="none" w:sz="0" w:space="0" w:color="auto"/>
      </w:divBdr>
    </w:div>
    <w:div w:id="13653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6DA9-B155-4D36-B27B-E2E270C7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6321</Words>
  <Characters>37791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44024</CharactersWithSpaces>
  <SharedDoc>false</SharedDoc>
  <HLinks>
    <vt:vector size="30" baseType="variant">
      <vt:variant>
        <vt:i4>8323106</vt:i4>
      </vt:variant>
      <vt:variant>
        <vt:i4>12</vt:i4>
      </vt:variant>
      <vt:variant>
        <vt:i4>0</vt:i4>
      </vt:variant>
      <vt:variant>
        <vt:i4>5</vt:i4>
      </vt:variant>
      <vt:variant>
        <vt:lpwstr>https://epix.cdc.gov/EpixPrivacyPolicy.htm</vt:lpwstr>
      </vt:variant>
      <vt:variant>
        <vt:lpwstr/>
      </vt:variant>
      <vt:variant>
        <vt:i4>983138</vt:i4>
      </vt:variant>
      <vt:variant>
        <vt:i4>9</vt:i4>
      </vt:variant>
      <vt:variant>
        <vt:i4>0</vt:i4>
      </vt:variant>
      <vt:variant>
        <vt:i4>5</vt:i4>
      </vt:variant>
      <vt:variant>
        <vt:lpwstr>mailto:Bvj9@cdc.gov</vt:lpwstr>
      </vt:variant>
      <vt:variant>
        <vt:lpwstr/>
      </vt:variant>
      <vt:variant>
        <vt:i4>1114223</vt:i4>
      </vt:variant>
      <vt:variant>
        <vt:i4>6</vt:i4>
      </vt:variant>
      <vt:variant>
        <vt:i4>0</vt:i4>
      </vt:variant>
      <vt:variant>
        <vt:i4>5</vt:i4>
      </vt:variant>
      <vt:variant>
        <vt:lpwstr>mailto:Brt0@cdc.gov</vt:lpwstr>
      </vt:variant>
      <vt:variant>
        <vt:lpwstr/>
      </vt:variant>
      <vt:variant>
        <vt:i4>6553672</vt:i4>
      </vt:variant>
      <vt:variant>
        <vt:i4>3</vt:i4>
      </vt:variant>
      <vt:variant>
        <vt:i4>0</vt:i4>
      </vt:variant>
      <vt:variant>
        <vt:i4>5</vt:i4>
      </vt:variant>
      <vt:variant>
        <vt:lpwstr>mailto:mlogan@cdc.gov</vt:lpwstr>
      </vt:variant>
      <vt:variant>
        <vt:lpwstr/>
      </vt:variant>
      <vt:variant>
        <vt:i4>1310835</vt:i4>
      </vt:variant>
      <vt:variant>
        <vt:i4>0</vt:i4>
      </vt:variant>
      <vt:variant>
        <vt:i4>0</vt:i4>
      </vt:variant>
      <vt:variant>
        <vt:i4>5</vt:i4>
      </vt:variant>
      <vt:variant>
        <vt:lpwstr>mailto:Got1@cdc.gov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2014-03-10T20:02:00Z</dcterms:created>
  <dcterms:modified xsi:type="dcterms:W3CDTF">2014-03-10T20:02:00Z</dcterms:modified>
</cp:coreProperties>
</file>