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3CC" w:rsidRPr="00954DB8" w:rsidRDefault="00D43998" w:rsidP="00361FBB">
      <w:pPr>
        <w:framePr w:w="1440" w:h="1440" w:hRule="exact" w:wrap="auto" w:vAnchor="page" w:hAnchor="page" w:x="8422" w:y="1265"/>
        <w:rPr>
          <w:sz w:val="22"/>
          <w:szCs w:val="22"/>
        </w:rPr>
      </w:pPr>
      <w:bookmarkStart w:id="0" w:name="_GoBack"/>
      <w:bookmarkEnd w:id="0"/>
      <w:r w:rsidRPr="00954DB8">
        <w:rPr>
          <w:noProof/>
          <w:sz w:val="22"/>
          <w:szCs w:val="22"/>
        </w:rPr>
        <w:drawing>
          <wp:inline distT="0" distB="0" distL="0" distR="0" wp14:anchorId="3D62D997" wp14:editId="14423912">
            <wp:extent cx="914400" cy="925195"/>
            <wp:effectExtent l="19050" t="0" r="0" b="0"/>
            <wp:docPr id="1" name="Picture 1"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aalogo"/>
                    <pic:cNvPicPr>
                      <a:picLocks noChangeAspect="1" noChangeArrowheads="1"/>
                    </pic:cNvPicPr>
                  </pic:nvPicPr>
                  <pic:blipFill>
                    <a:blip r:embed="rId9" cstate="print"/>
                    <a:srcRect/>
                    <a:stretch>
                      <a:fillRect/>
                    </a:stretch>
                  </pic:blipFill>
                  <pic:spPr bwMode="auto">
                    <a:xfrm>
                      <a:off x="0" y="0"/>
                      <a:ext cx="914400" cy="925195"/>
                    </a:xfrm>
                    <a:prstGeom prst="rect">
                      <a:avLst/>
                    </a:prstGeom>
                    <a:noFill/>
                    <a:ln w="9525">
                      <a:noFill/>
                      <a:miter lim="800000"/>
                      <a:headEnd/>
                      <a:tailEnd/>
                    </a:ln>
                  </pic:spPr>
                </pic:pic>
              </a:graphicData>
            </a:graphic>
          </wp:inline>
        </w:drawing>
      </w:r>
      <w:r w:rsidRPr="00954DB8">
        <w:rPr>
          <w:noProof/>
          <w:sz w:val="22"/>
          <w:szCs w:val="22"/>
        </w:rPr>
        <w:drawing>
          <wp:inline distT="0" distB="0" distL="0" distR="0" wp14:anchorId="4B941864" wp14:editId="0B789EA8">
            <wp:extent cx="914400" cy="9144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rsidR="00361FBB" w:rsidRPr="00954DB8" w:rsidRDefault="00D43998" w:rsidP="00361FBB">
      <w:pPr>
        <w:framePr w:w="1440" w:h="1424" w:hRule="exact" w:wrap="auto" w:vAnchor="page" w:hAnchor="page" w:x="2182" w:y="1265"/>
        <w:rPr>
          <w:sz w:val="22"/>
          <w:szCs w:val="22"/>
        </w:rPr>
      </w:pPr>
      <w:r w:rsidRPr="00954DB8">
        <w:rPr>
          <w:noProof/>
          <w:sz w:val="22"/>
          <w:szCs w:val="22"/>
        </w:rPr>
        <w:drawing>
          <wp:inline distT="0" distB="0" distL="0" distR="0" wp14:anchorId="2D6B3CD8" wp14:editId="0609EB96">
            <wp:extent cx="903605" cy="914400"/>
            <wp:effectExtent l="19050" t="0" r="0" b="0"/>
            <wp:docPr id="2" name="Picture 2" descr="logo-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doc"/>
                    <pic:cNvPicPr>
                      <a:picLocks noChangeAspect="1" noChangeArrowheads="1"/>
                    </pic:cNvPicPr>
                  </pic:nvPicPr>
                  <pic:blipFill>
                    <a:blip r:embed="rId11" cstate="print"/>
                    <a:srcRect/>
                    <a:stretch>
                      <a:fillRect/>
                    </a:stretch>
                  </pic:blipFill>
                  <pic:spPr bwMode="auto">
                    <a:xfrm>
                      <a:off x="0" y="0"/>
                      <a:ext cx="903605" cy="914400"/>
                    </a:xfrm>
                    <a:prstGeom prst="rect">
                      <a:avLst/>
                    </a:prstGeom>
                    <a:noFill/>
                    <a:ln w="9525">
                      <a:noFill/>
                      <a:miter lim="800000"/>
                      <a:headEnd/>
                      <a:tailEnd/>
                    </a:ln>
                  </pic:spPr>
                </pic:pic>
              </a:graphicData>
            </a:graphic>
          </wp:inline>
        </w:drawing>
      </w: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361FBB" w:rsidRPr="00954DB8"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954DB8">
        <w:rPr>
          <w:sz w:val="22"/>
          <w:szCs w:val="22"/>
        </w:rPr>
        <w:t>National Marine Fisheries Service</w:t>
      </w:r>
    </w:p>
    <w:p w:rsidR="00361FBB" w:rsidRPr="00954DB8"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954DB8">
        <w:rPr>
          <w:sz w:val="22"/>
          <w:szCs w:val="22"/>
        </w:rPr>
        <w:t>Northeast Regional Office</w:t>
      </w:r>
    </w:p>
    <w:p w:rsidR="00361FBB" w:rsidRPr="00954DB8"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954DB8">
        <w:rPr>
          <w:sz w:val="22"/>
          <w:szCs w:val="22"/>
        </w:rPr>
        <w:t>Sustainable Fisheries Division</w:t>
      </w:r>
    </w:p>
    <w:p w:rsidR="009C63CC" w:rsidRPr="00954DB8"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i/>
          <w:iCs/>
        </w:rPr>
      </w:pPr>
      <w:r w:rsidRPr="00954DB8">
        <w:rPr>
          <w:sz w:val="22"/>
          <w:szCs w:val="22"/>
        </w:rPr>
        <w:t>http://www.nero.nmfs.gov</w:t>
      </w: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tbl>
      <w:tblPr>
        <w:tblW w:w="0" w:type="auto"/>
        <w:tblLayout w:type="fixed"/>
        <w:tblCellMar>
          <w:left w:w="0" w:type="dxa"/>
          <w:right w:w="0" w:type="dxa"/>
        </w:tblCellMar>
        <w:tblLook w:val="0000" w:firstRow="0" w:lastRow="0" w:firstColumn="0" w:lastColumn="0" w:noHBand="0" w:noVBand="0"/>
      </w:tblPr>
      <w:tblGrid>
        <w:gridCol w:w="9360"/>
      </w:tblGrid>
      <w:tr w:rsidR="009C63CC" w:rsidRPr="00954DB8">
        <w:tc>
          <w:tcPr>
            <w:tcW w:w="9360" w:type="dxa"/>
            <w:tcBorders>
              <w:top w:val="nil"/>
              <w:left w:val="nil"/>
              <w:bottom w:val="single" w:sz="19" w:space="0" w:color="000000"/>
              <w:right w:val="nil"/>
            </w:tcBorders>
          </w:tcPr>
          <w:p w:rsidR="009C63CC" w:rsidRPr="00954DB8" w:rsidRDefault="009C63CC">
            <w:pPr>
              <w:spacing w:line="120" w:lineRule="exact"/>
              <w:rPr>
                <w:sz w:val="22"/>
                <w:szCs w:val="22"/>
              </w:rPr>
            </w:pPr>
          </w:p>
          <w:p w:rsidR="009C63CC" w:rsidRPr="00954DB8" w:rsidRDefault="009C63CC">
            <w:pPr>
              <w:pStyle w:val="Title"/>
              <w:tabs>
                <w:tab w:val="center" w:pos="4680"/>
                <w:tab w:val="left" w:pos="5040"/>
                <w:tab w:val="left" w:pos="5400"/>
                <w:tab w:val="left" w:pos="5760"/>
                <w:tab w:val="left" w:pos="6120"/>
                <w:tab w:val="left" w:pos="6480"/>
                <w:tab w:val="left" w:pos="6840"/>
                <w:tab w:val="left" w:pos="7200"/>
                <w:tab w:val="left" w:pos="7560"/>
              </w:tabs>
            </w:pPr>
            <w:r w:rsidRPr="00954DB8">
              <w:tab/>
              <w:t>Status Report of</w:t>
            </w:r>
          </w:p>
          <w:p w:rsidR="009C63CC" w:rsidRPr="00954DB8" w:rsidRDefault="009C63CC">
            <w:pPr>
              <w:tabs>
                <w:tab w:val="center" w:pos="4680"/>
                <w:tab w:val="left" w:pos="5040"/>
                <w:tab w:val="left" w:pos="5400"/>
                <w:tab w:val="left" w:pos="5760"/>
                <w:tab w:val="left" w:pos="6120"/>
                <w:tab w:val="left" w:pos="6480"/>
                <w:tab w:val="left" w:pos="6840"/>
                <w:tab w:val="left" w:pos="7200"/>
                <w:tab w:val="left" w:pos="7560"/>
              </w:tabs>
              <w:rPr>
                <w:sz w:val="72"/>
                <w:szCs w:val="72"/>
              </w:rPr>
            </w:pPr>
            <w:r w:rsidRPr="00954DB8">
              <w:rPr>
                <w:sz w:val="72"/>
                <w:szCs w:val="72"/>
              </w:rPr>
              <w:tab/>
              <w:t>Northeast Region</w:t>
            </w:r>
          </w:p>
          <w:p w:rsidR="009C63CC" w:rsidRPr="00954DB8" w:rsidRDefault="009C63CC">
            <w:pPr>
              <w:tabs>
                <w:tab w:val="center" w:pos="4680"/>
                <w:tab w:val="left" w:pos="5040"/>
                <w:tab w:val="left" w:pos="5400"/>
                <w:tab w:val="left" w:pos="5760"/>
                <w:tab w:val="left" w:pos="6120"/>
                <w:tab w:val="left" w:pos="6480"/>
                <w:tab w:val="left" w:pos="6840"/>
                <w:tab w:val="left" w:pos="7200"/>
                <w:tab w:val="left" w:pos="7560"/>
              </w:tabs>
              <w:spacing w:after="58"/>
              <w:rPr>
                <w:sz w:val="22"/>
                <w:szCs w:val="22"/>
              </w:rPr>
            </w:pPr>
            <w:r w:rsidRPr="00954DB8">
              <w:rPr>
                <w:sz w:val="72"/>
                <w:szCs w:val="72"/>
              </w:rPr>
              <w:tab/>
              <w:t>Actions</w:t>
            </w:r>
          </w:p>
        </w:tc>
      </w:tr>
    </w:tbl>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B76A36" w:rsidRDefault="009E791A">
      <w:pPr>
        <w:tabs>
          <w:tab w:val="center" w:pos="4680"/>
          <w:tab w:val="left" w:pos="5040"/>
          <w:tab w:val="left" w:pos="5400"/>
          <w:tab w:val="left" w:pos="5760"/>
          <w:tab w:val="left" w:pos="6120"/>
          <w:tab w:val="left" w:pos="6480"/>
          <w:tab w:val="left" w:pos="6840"/>
          <w:tab w:val="left" w:pos="7200"/>
          <w:tab w:val="left" w:pos="7560"/>
        </w:tabs>
      </w:pPr>
      <w:r w:rsidRPr="00B76A36">
        <w:tab/>
        <w:t>Prepare</w:t>
      </w:r>
      <w:r w:rsidR="0070051F" w:rsidRPr="00B76A36">
        <w:t xml:space="preserve">d for the </w:t>
      </w:r>
      <w:hyperlink r:id="rId12" w:history="1">
        <w:r w:rsidR="00B76A36" w:rsidRPr="00B76A36">
          <w:rPr>
            <w:rStyle w:val="Hyperlink"/>
            <w:bCs/>
            <w:color w:val="auto"/>
            <w:u w:val="none"/>
            <w:shd w:val="clear" w:color="auto" w:fill="FFFFFF"/>
          </w:rPr>
          <w:t>December 10-12, 2013</w:t>
        </w:r>
      </w:hyperlink>
    </w:p>
    <w:p w:rsidR="009C63CC" w:rsidRPr="00954DB8" w:rsidRDefault="009C63CC">
      <w:pPr>
        <w:tabs>
          <w:tab w:val="center" w:pos="4680"/>
          <w:tab w:val="left" w:pos="5040"/>
          <w:tab w:val="left" w:pos="5400"/>
          <w:tab w:val="left" w:pos="5760"/>
          <w:tab w:val="left" w:pos="6120"/>
          <w:tab w:val="left" w:pos="6480"/>
          <w:tab w:val="left" w:pos="6840"/>
          <w:tab w:val="left" w:pos="7200"/>
          <w:tab w:val="left" w:pos="7560"/>
        </w:tabs>
        <w:rPr>
          <w:sz w:val="22"/>
          <w:szCs w:val="22"/>
        </w:rPr>
      </w:pPr>
      <w:r w:rsidRPr="00954DB8">
        <w:rPr>
          <w:sz w:val="22"/>
          <w:szCs w:val="22"/>
        </w:rPr>
        <w:tab/>
        <w:t>Meeting of the</w:t>
      </w:r>
    </w:p>
    <w:p w:rsidR="009C63CC" w:rsidRPr="00954DB8" w:rsidRDefault="004C4DE3">
      <w:pPr>
        <w:tabs>
          <w:tab w:val="center" w:pos="4680"/>
          <w:tab w:val="left" w:pos="5040"/>
          <w:tab w:val="left" w:pos="5400"/>
          <w:tab w:val="left" w:pos="5760"/>
          <w:tab w:val="left" w:pos="6120"/>
          <w:tab w:val="left" w:pos="6480"/>
          <w:tab w:val="left" w:pos="6840"/>
          <w:tab w:val="left" w:pos="7200"/>
          <w:tab w:val="left" w:pos="7560"/>
        </w:tabs>
        <w:rPr>
          <w:sz w:val="22"/>
          <w:szCs w:val="22"/>
        </w:rPr>
      </w:pPr>
      <w:r w:rsidRPr="00954DB8">
        <w:rPr>
          <w:sz w:val="22"/>
          <w:szCs w:val="22"/>
        </w:rPr>
        <w:tab/>
      </w:r>
      <w:r w:rsidR="00B76A36">
        <w:rPr>
          <w:sz w:val="22"/>
          <w:szCs w:val="22"/>
        </w:rPr>
        <w:t>Mid Atlantic</w:t>
      </w:r>
      <w:r w:rsidR="00C254B8">
        <w:rPr>
          <w:sz w:val="22"/>
          <w:szCs w:val="22"/>
        </w:rPr>
        <w:t xml:space="preserve"> </w:t>
      </w:r>
      <w:r w:rsidR="002C5CD2" w:rsidRPr="00954DB8">
        <w:rPr>
          <w:sz w:val="22"/>
          <w:szCs w:val="22"/>
        </w:rPr>
        <w:t>Fishery</w:t>
      </w:r>
      <w:r w:rsidR="009C63CC" w:rsidRPr="00954DB8">
        <w:rPr>
          <w:sz w:val="22"/>
          <w:szCs w:val="22"/>
        </w:rPr>
        <w:t xml:space="preserve"> Manage</w:t>
      </w:r>
      <w:r w:rsidR="00BC6624" w:rsidRPr="00954DB8">
        <w:rPr>
          <w:sz w:val="22"/>
          <w:szCs w:val="22"/>
        </w:rPr>
        <w:t>ment C</w:t>
      </w:r>
      <w:r w:rsidR="009C63CC" w:rsidRPr="00954DB8">
        <w:rPr>
          <w:sz w:val="22"/>
          <w:szCs w:val="22"/>
        </w:rPr>
        <w:t>ouncil</w:t>
      </w: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70051F">
      <w:pPr>
        <w:tabs>
          <w:tab w:val="center" w:pos="4680"/>
          <w:tab w:val="left" w:pos="5040"/>
          <w:tab w:val="left" w:pos="5400"/>
          <w:tab w:val="left" w:pos="5760"/>
          <w:tab w:val="left" w:pos="6120"/>
          <w:tab w:val="left" w:pos="6480"/>
          <w:tab w:val="left" w:pos="6840"/>
          <w:tab w:val="left" w:pos="7200"/>
          <w:tab w:val="left" w:pos="7560"/>
        </w:tabs>
        <w:rPr>
          <w:sz w:val="22"/>
          <w:szCs w:val="22"/>
        </w:rPr>
        <w:sectPr w:rsidR="009C63CC" w:rsidRPr="00954DB8" w:rsidSect="00CE6B29">
          <w:footerReference w:type="even" r:id="rId13"/>
          <w:footerReference w:type="default" r:id="rId14"/>
          <w:pgSz w:w="12240" w:h="15840"/>
          <w:pgMar w:top="1440" w:right="1440" w:bottom="1440" w:left="1440" w:header="1440" w:footer="1440" w:gutter="0"/>
          <w:cols w:space="720"/>
          <w:noEndnote/>
          <w:titlePg/>
        </w:sectPr>
      </w:pPr>
      <w:r w:rsidRPr="00954DB8">
        <w:rPr>
          <w:sz w:val="22"/>
          <w:szCs w:val="22"/>
        </w:rPr>
        <w:tab/>
      </w:r>
      <w:r w:rsidR="00B76A36" w:rsidRPr="00B76A36">
        <w:rPr>
          <w:sz w:val="22"/>
          <w:szCs w:val="22"/>
        </w:rPr>
        <w:t>December 10</w:t>
      </w:r>
      <w:r w:rsidR="00175E46" w:rsidRPr="00954DB8">
        <w:rPr>
          <w:sz w:val="22"/>
          <w:szCs w:val="22"/>
        </w:rPr>
        <w:t>, 201</w:t>
      </w:r>
      <w:r w:rsidR="00090E60">
        <w:rPr>
          <w:sz w:val="22"/>
          <w:szCs w:val="22"/>
        </w:rPr>
        <w:t>3</w:t>
      </w:r>
    </w:p>
    <w:p w:rsidR="00353507" w:rsidRPr="00954DB8" w:rsidRDefault="00353507"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954DB8"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954DB8"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954DB8"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954DB8"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81CCE" w:rsidRPr="00954DB8" w:rsidRDefault="00381CC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954DB8" w:rsidRDefault="00FE5BC3" w:rsidP="00F903D7">
      <w:pPr>
        <w:pStyle w:val="Heading1"/>
        <w:rPr>
          <w:rFonts w:cs="Times New Roman"/>
        </w:rPr>
      </w:pPr>
    </w:p>
    <w:p w:rsidR="00A520A7" w:rsidRPr="00954DB8" w:rsidRDefault="00A520A7" w:rsidP="00FE5B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bCs/>
          <w:kern w:val="32"/>
          <w:sz w:val="32"/>
          <w:szCs w:val="32"/>
        </w:rPr>
      </w:pPr>
    </w:p>
    <w:p w:rsidR="000D6AC8" w:rsidRPr="00954DB8"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0D6AC8" w:rsidRPr="00954DB8"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FE5BC3" w:rsidRPr="003D7BFD" w:rsidRDefault="00FE5BC3"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r w:rsidRPr="003D7BFD">
        <w:rPr>
          <w:b/>
          <w:bCs/>
          <w:sz w:val="32"/>
          <w:szCs w:val="32"/>
        </w:rPr>
        <w:t>Table of Contents</w:t>
      </w:r>
    </w:p>
    <w:p w:rsidR="007F6FF3" w:rsidRPr="003D7BFD" w:rsidRDefault="007F6FF3"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7F6FF3" w:rsidRPr="003D7BFD" w:rsidRDefault="007F6FF3"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p>
    <w:p w:rsidR="007C376A" w:rsidRPr="003D7BFD" w:rsidRDefault="007C376A" w:rsidP="007C376A">
      <w:pPr>
        <w:pStyle w:val="NoSpacing"/>
        <w:rPr>
          <w:rFonts w:ascii="Times New Roman" w:hAnsi="Times New Roman" w:cs="Times New Roman"/>
          <w:sz w:val="28"/>
          <w:szCs w:val="28"/>
        </w:rPr>
      </w:pPr>
      <w:r w:rsidRPr="003D7BFD">
        <w:rPr>
          <w:rFonts w:ascii="Times New Roman" w:hAnsi="Times New Roman" w:cs="Times New Roman"/>
          <w:b/>
          <w:sz w:val="28"/>
          <w:szCs w:val="28"/>
        </w:rPr>
        <w:t>NEW ENGLAND COUNCIL ACTIONS</w:t>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00F03F4B" w:rsidRPr="003D7BFD">
        <w:rPr>
          <w:rFonts w:ascii="Times New Roman" w:hAnsi="Times New Roman" w:cs="Times New Roman"/>
          <w:sz w:val="28"/>
          <w:szCs w:val="28"/>
        </w:rPr>
        <w:t>2</w:t>
      </w:r>
    </w:p>
    <w:p w:rsidR="005F675F" w:rsidRPr="003D7BFD" w:rsidRDefault="007F6FF3" w:rsidP="007C376A">
      <w:pPr>
        <w:pStyle w:val="NoSpacing"/>
        <w:rPr>
          <w:rFonts w:ascii="Times New Roman" w:hAnsi="Times New Roman" w:cs="Times New Roman"/>
          <w:sz w:val="24"/>
          <w:szCs w:val="24"/>
        </w:rPr>
      </w:pPr>
      <w:r w:rsidRPr="003D7BFD">
        <w:rPr>
          <w:rFonts w:ascii="Times New Roman" w:hAnsi="Times New Roman" w:cs="Times New Roman"/>
          <w:sz w:val="24"/>
          <w:szCs w:val="24"/>
        </w:rPr>
        <w:t>Groundfish</w:t>
      </w:r>
      <w:r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3D7BFD" w:rsidRPr="003D7BFD">
        <w:rPr>
          <w:rFonts w:ascii="Times New Roman" w:hAnsi="Times New Roman" w:cs="Times New Roman"/>
          <w:sz w:val="24"/>
          <w:szCs w:val="24"/>
        </w:rPr>
        <w:t>2</w:t>
      </w:r>
    </w:p>
    <w:p w:rsidR="004B1DB8" w:rsidRPr="003D7BFD" w:rsidRDefault="007F6FF3" w:rsidP="007C376A">
      <w:pPr>
        <w:pStyle w:val="NoSpacing"/>
        <w:rPr>
          <w:rFonts w:ascii="Times New Roman" w:hAnsi="Times New Roman" w:cs="Times New Roman"/>
          <w:sz w:val="24"/>
          <w:szCs w:val="24"/>
        </w:rPr>
      </w:pPr>
      <w:r w:rsidRPr="003D7BFD">
        <w:rPr>
          <w:rFonts w:ascii="Times New Roman" w:hAnsi="Times New Roman" w:cs="Times New Roman"/>
          <w:sz w:val="24"/>
          <w:szCs w:val="24"/>
        </w:rPr>
        <w:t>Scallops</w:t>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00FD7858">
        <w:rPr>
          <w:rFonts w:ascii="Times New Roman" w:hAnsi="Times New Roman" w:cs="Times New Roman"/>
          <w:sz w:val="24"/>
          <w:szCs w:val="24"/>
        </w:rPr>
        <w:t>2</w:t>
      </w:r>
    </w:p>
    <w:p w:rsidR="001B0336" w:rsidRPr="003D7BFD" w:rsidRDefault="007F6FF3" w:rsidP="007C376A">
      <w:pPr>
        <w:pStyle w:val="NoSpacing"/>
        <w:rPr>
          <w:rFonts w:ascii="Times New Roman" w:hAnsi="Times New Roman" w:cs="Times New Roman"/>
        </w:rPr>
      </w:pPr>
      <w:r w:rsidRPr="003D7BFD">
        <w:rPr>
          <w:rFonts w:ascii="Times New Roman" w:hAnsi="Times New Roman" w:cs="Times New Roman"/>
        </w:rPr>
        <w:t>Monkfish</w:t>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00070E0E">
        <w:rPr>
          <w:rFonts w:ascii="Times New Roman" w:hAnsi="Times New Roman" w:cs="Times New Roman"/>
        </w:rPr>
        <w:t>3</w:t>
      </w:r>
    </w:p>
    <w:p w:rsidR="001B0336" w:rsidRPr="003D7BFD" w:rsidRDefault="007F6FF3" w:rsidP="007C376A">
      <w:pPr>
        <w:pStyle w:val="NoSpacing"/>
        <w:rPr>
          <w:rFonts w:ascii="Times New Roman" w:hAnsi="Times New Roman" w:cs="Times New Roman"/>
        </w:rPr>
      </w:pPr>
      <w:r w:rsidRPr="003D7BFD">
        <w:rPr>
          <w:rFonts w:ascii="Times New Roman" w:hAnsi="Times New Roman" w:cs="Times New Roman"/>
        </w:rPr>
        <w:t>Herring</w:t>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00047481">
        <w:rPr>
          <w:rFonts w:ascii="Times New Roman" w:hAnsi="Times New Roman" w:cs="Times New Roman"/>
        </w:rPr>
        <w:t>3</w:t>
      </w:r>
    </w:p>
    <w:p w:rsidR="001B0336" w:rsidRPr="003D7BFD" w:rsidRDefault="00C558AF" w:rsidP="007C376A">
      <w:pPr>
        <w:pStyle w:val="NoSpacing"/>
        <w:rPr>
          <w:rFonts w:ascii="Times New Roman" w:hAnsi="Times New Roman" w:cs="Times New Roman"/>
        </w:rPr>
      </w:pPr>
      <w:r w:rsidRPr="003D7BFD">
        <w:rPr>
          <w:rFonts w:ascii="Times New Roman" w:hAnsi="Times New Roman" w:cs="Times New Roman"/>
        </w:rPr>
        <w:t>Skate</w:t>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00070E0E">
        <w:rPr>
          <w:rFonts w:ascii="Times New Roman" w:hAnsi="Times New Roman" w:cs="Times New Roman"/>
        </w:rPr>
        <w:t>4</w:t>
      </w:r>
    </w:p>
    <w:p w:rsidR="00C558AF" w:rsidRPr="003D7BFD" w:rsidRDefault="0090551B" w:rsidP="007C376A">
      <w:pPr>
        <w:pStyle w:val="NoSpacing"/>
        <w:rPr>
          <w:rFonts w:ascii="Times New Roman" w:hAnsi="Times New Roman" w:cs="Times New Roman"/>
        </w:rPr>
      </w:pPr>
      <w:r w:rsidRPr="003D7BFD">
        <w:rPr>
          <w:rFonts w:ascii="Times New Roman" w:hAnsi="Times New Roman" w:cs="Times New Roman"/>
        </w:rPr>
        <w:t>Atlantic Deep-Sea Red Crab</w:t>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00070E0E">
        <w:rPr>
          <w:rFonts w:ascii="Times New Roman" w:hAnsi="Times New Roman" w:cs="Times New Roman"/>
        </w:rPr>
        <w:t>4</w:t>
      </w:r>
    </w:p>
    <w:p w:rsidR="0090551B" w:rsidRPr="003D7BFD" w:rsidRDefault="0090551B" w:rsidP="007C376A">
      <w:pPr>
        <w:pStyle w:val="NoSpacing"/>
        <w:rPr>
          <w:rFonts w:ascii="Times New Roman" w:hAnsi="Times New Roman" w:cs="Times New Roman"/>
        </w:rPr>
      </w:pPr>
    </w:p>
    <w:p w:rsidR="007F6FF3" w:rsidRPr="003D7BFD" w:rsidRDefault="007F6FF3" w:rsidP="007F6FF3">
      <w:pPr>
        <w:pStyle w:val="NoSpacing"/>
        <w:rPr>
          <w:rFonts w:ascii="Times New Roman" w:hAnsi="Times New Roman" w:cs="Times New Roman"/>
          <w:sz w:val="28"/>
          <w:szCs w:val="28"/>
        </w:rPr>
      </w:pPr>
      <w:r w:rsidRPr="003D7BFD">
        <w:rPr>
          <w:rFonts w:ascii="Times New Roman" w:hAnsi="Times New Roman" w:cs="Times New Roman"/>
          <w:b/>
          <w:sz w:val="28"/>
          <w:szCs w:val="28"/>
        </w:rPr>
        <w:t>MID ATLANTIC COUNCIL ACTIONS</w:t>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00755D41">
        <w:rPr>
          <w:rFonts w:ascii="Times New Roman" w:hAnsi="Times New Roman" w:cs="Times New Roman"/>
          <w:sz w:val="28"/>
          <w:szCs w:val="28"/>
        </w:rPr>
        <w:t>4</w:t>
      </w:r>
    </w:p>
    <w:p w:rsidR="007F6FF3" w:rsidRPr="003D7BFD" w:rsidRDefault="007F6FF3" w:rsidP="007F6FF3">
      <w:pPr>
        <w:pStyle w:val="NoSpacing"/>
        <w:rPr>
          <w:rFonts w:ascii="Times New Roman" w:hAnsi="Times New Roman" w:cs="Times New Roman"/>
        </w:rPr>
      </w:pPr>
      <w:r w:rsidRPr="003D7BFD">
        <w:rPr>
          <w:rFonts w:ascii="Times New Roman" w:hAnsi="Times New Roman" w:cs="Times New Roman"/>
        </w:rPr>
        <w:t>Summer Flounder, Scup and Black Sea Bass</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755D41">
        <w:rPr>
          <w:rFonts w:ascii="Times New Roman" w:hAnsi="Times New Roman" w:cs="Times New Roman"/>
        </w:rPr>
        <w:t>4</w:t>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Atlantic Bluefish</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070E0E">
        <w:rPr>
          <w:rFonts w:ascii="Times New Roman" w:hAnsi="Times New Roman" w:cs="Times New Roman"/>
        </w:rPr>
        <w:t>5</w:t>
      </w:r>
    </w:p>
    <w:p w:rsidR="007F6FF3" w:rsidRPr="003D7BFD" w:rsidRDefault="004009EB" w:rsidP="007C376A">
      <w:pPr>
        <w:pStyle w:val="NoSpacing"/>
        <w:rPr>
          <w:rFonts w:ascii="Times New Roman" w:hAnsi="Times New Roman" w:cs="Times New Roman"/>
        </w:rPr>
      </w:pPr>
      <w:r w:rsidRPr="003D7BFD">
        <w:rPr>
          <w:rFonts w:ascii="Times New Roman" w:hAnsi="Times New Roman" w:cs="Times New Roman"/>
        </w:rPr>
        <w:t>Spiny</w:t>
      </w:r>
      <w:r w:rsidR="00343CAD" w:rsidRPr="003D7BFD">
        <w:rPr>
          <w:rFonts w:ascii="Times New Roman" w:hAnsi="Times New Roman" w:cs="Times New Roman"/>
        </w:rPr>
        <w:t xml:space="preserve"> </w:t>
      </w:r>
      <w:r w:rsidR="007F6FF3" w:rsidRPr="003D7BFD">
        <w:rPr>
          <w:rFonts w:ascii="Times New Roman" w:hAnsi="Times New Roman" w:cs="Times New Roman"/>
        </w:rPr>
        <w:t>Dogfish</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070E0E">
        <w:rPr>
          <w:rFonts w:ascii="Times New Roman" w:hAnsi="Times New Roman" w:cs="Times New Roman"/>
        </w:rPr>
        <w:t>5</w:t>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Atlantic Mackerel, Squid, and Butterfish</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070E0E">
        <w:rPr>
          <w:rFonts w:ascii="Times New Roman" w:hAnsi="Times New Roman" w:cs="Times New Roman"/>
        </w:rPr>
        <w:t>5</w:t>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Tilefish</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070E0E">
        <w:rPr>
          <w:rFonts w:ascii="Times New Roman" w:hAnsi="Times New Roman" w:cs="Times New Roman"/>
        </w:rPr>
        <w:t>6</w:t>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Surfclam and Ocean Quahog</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070E0E">
        <w:rPr>
          <w:rFonts w:ascii="Times New Roman" w:hAnsi="Times New Roman" w:cs="Times New Roman"/>
        </w:rPr>
        <w:t>6</w:t>
      </w:r>
    </w:p>
    <w:p w:rsidR="007F6FF3" w:rsidRPr="003D7BFD" w:rsidRDefault="007F6FF3" w:rsidP="007C376A">
      <w:pPr>
        <w:pStyle w:val="NoSpacing"/>
        <w:rPr>
          <w:rFonts w:ascii="Times New Roman" w:hAnsi="Times New Roman" w:cs="Times New Roman"/>
        </w:rPr>
      </w:pPr>
    </w:p>
    <w:p w:rsidR="009536CF" w:rsidRPr="003D7BFD" w:rsidRDefault="001D619A" w:rsidP="007C376A">
      <w:pPr>
        <w:pStyle w:val="NoSpacing"/>
        <w:rPr>
          <w:rFonts w:ascii="Times New Roman" w:hAnsi="Times New Roman" w:cs="Times New Roman"/>
          <w:b/>
          <w:sz w:val="28"/>
          <w:szCs w:val="28"/>
        </w:rPr>
      </w:pPr>
      <w:r w:rsidRPr="003D7BFD">
        <w:rPr>
          <w:rFonts w:ascii="Times New Roman" w:hAnsi="Times New Roman" w:cs="Times New Roman"/>
          <w:b/>
          <w:sz w:val="28"/>
          <w:szCs w:val="28"/>
        </w:rPr>
        <w:t>OTHER</w:t>
      </w:r>
      <w:r w:rsidR="009536CF" w:rsidRPr="003D7BFD">
        <w:rPr>
          <w:rFonts w:ascii="Times New Roman" w:hAnsi="Times New Roman" w:cs="Times New Roman"/>
          <w:b/>
          <w:sz w:val="28"/>
          <w:szCs w:val="28"/>
        </w:rPr>
        <w:t xml:space="preserve"> ACTIONS</w:t>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070E0E">
        <w:rPr>
          <w:rFonts w:ascii="Times New Roman" w:hAnsi="Times New Roman" w:cs="Times New Roman"/>
          <w:sz w:val="28"/>
          <w:szCs w:val="28"/>
        </w:rPr>
        <w:t>6</w:t>
      </w:r>
    </w:p>
    <w:p w:rsidR="00CA0A4B" w:rsidRDefault="00095C9B" w:rsidP="007C376A">
      <w:pPr>
        <w:pStyle w:val="NoSpacing"/>
        <w:rPr>
          <w:rFonts w:ascii="Times New Roman" w:hAnsi="Times New Roman" w:cs="Times New Roman"/>
        </w:rPr>
      </w:pPr>
      <w:r>
        <w:rPr>
          <w:rFonts w:ascii="Times New Roman" w:hAnsi="Times New Roman" w:cs="Times New Roman"/>
        </w:rPr>
        <w:t>Lobster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A4F38">
        <w:rPr>
          <w:rFonts w:ascii="Times New Roman" w:hAnsi="Times New Roman" w:cs="Times New Roman"/>
        </w:rPr>
        <w:t>8</w:t>
      </w:r>
    </w:p>
    <w:p w:rsidR="00095C9B" w:rsidRPr="003D7BFD" w:rsidRDefault="00095C9B" w:rsidP="007C376A">
      <w:pPr>
        <w:pStyle w:val="NoSpacing"/>
        <w:rPr>
          <w:rFonts w:ascii="Times New Roman" w:hAnsi="Times New Roman" w:cs="Times New Roman"/>
        </w:rPr>
      </w:pPr>
    </w:p>
    <w:p w:rsidR="007F6FF3" w:rsidRPr="003D7BFD" w:rsidRDefault="007F6FF3" w:rsidP="007F6FF3">
      <w:pPr>
        <w:pStyle w:val="NoSpacing"/>
        <w:rPr>
          <w:rFonts w:ascii="Times New Roman" w:hAnsi="Times New Roman" w:cs="Times New Roman"/>
          <w:sz w:val="28"/>
          <w:szCs w:val="28"/>
        </w:rPr>
      </w:pPr>
      <w:r w:rsidRPr="003D7BFD">
        <w:rPr>
          <w:rFonts w:ascii="Times New Roman" w:hAnsi="Times New Roman" w:cs="Times New Roman"/>
          <w:b/>
          <w:sz w:val="28"/>
          <w:szCs w:val="28"/>
        </w:rPr>
        <w:t>EXPERIMENTAL FISHERY ACTIONS</w:t>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008870B3">
        <w:rPr>
          <w:rFonts w:ascii="Times New Roman" w:hAnsi="Times New Roman" w:cs="Times New Roman"/>
          <w:sz w:val="28"/>
          <w:szCs w:val="28"/>
        </w:rPr>
        <w:t>8</w:t>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Pending Research Document Applications</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8870B3">
        <w:rPr>
          <w:rFonts w:ascii="Times New Roman" w:hAnsi="Times New Roman" w:cs="Times New Roman"/>
        </w:rPr>
        <w:t>8</w:t>
      </w:r>
    </w:p>
    <w:p w:rsidR="007F6FF3" w:rsidRPr="00954DB8" w:rsidRDefault="007F6FF3" w:rsidP="007C376A">
      <w:pPr>
        <w:pStyle w:val="NoSpacing"/>
        <w:rPr>
          <w:rFonts w:ascii="Times New Roman" w:hAnsi="Times New Roman" w:cs="Times New Roman"/>
        </w:rPr>
      </w:pPr>
      <w:r w:rsidRPr="003D7BFD">
        <w:rPr>
          <w:rFonts w:ascii="Times New Roman" w:hAnsi="Times New Roman" w:cs="Times New Roman"/>
        </w:rPr>
        <w:t>Complete Research Document Applications</w:t>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r w:rsidR="008870B3">
        <w:rPr>
          <w:rFonts w:ascii="Times New Roman" w:hAnsi="Times New Roman" w:cs="Times New Roman"/>
        </w:rPr>
        <w:t>8</w:t>
      </w:r>
    </w:p>
    <w:p w:rsidR="007F6FF3" w:rsidRPr="00954DB8" w:rsidRDefault="007F6FF3" w:rsidP="007C376A">
      <w:pPr>
        <w:pStyle w:val="NoSpacing"/>
        <w:rPr>
          <w:rFonts w:ascii="Times New Roman" w:hAnsi="Times New Roman" w:cs="Times New Roman"/>
        </w:rPr>
      </w:pPr>
    </w:p>
    <w:p w:rsidR="007F6FF3" w:rsidRPr="00954DB8" w:rsidRDefault="007F6FF3" w:rsidP="007C376A">
      <w:pPr>
        <w:pStyle w:val="NoSpacing"/>
        <w:rPr>
          <w:rFonts w:ascii="Times New Roman" w:hAnsi="Times New Roman" w:cs="Times New Roman"/>
        </w:rPr>
      </w:pPr>
    </w:p>
    <w:p w:rsidR="007F6FF3" w:rsidRPr="00954DB8" w:rsidRDefault="007F6FF3" w:rsidP="007C376A">
      <w:pPr>
        <w:pStyle w:val="NoSpacing"/>
        <w:rPr>
          <w:rFonts w:ascii="Times New Roman" w:hAnsi="Times New Roman" w:cs="Times New Roman"/>
        </w:rPr>
      </w:pPr>
    </w:p>
    <w:p w:rsidR="00BB1971" w:rsidRPr="00954DB8" w:rsidRDefault="00BB1971">
      <w:pPr>
        <w:widowControl/>
        <w:autoSpaceDE/>
        <w:autoSpaceDN/>
        <w:adjustRightInd/>
        <w:rPr>
          <w:rFonts w:eastAsiaTheme="minorHAnsi"/>
          <w:sz w:val="22"/>
          <w:szCs w:val="22"/>
        </w:rPr>
      </w:pPr>
      <w:r w:rsidRPr="00954DB8">
        <w:br w:type="page"/>
      </w:r>
    </w:p>
    <w:p w:rsidR="00B46B04" w:rsidRPr="00CE10AB" w:rsidRDefault="00B46B04" w:rsidP="00B46B04">
      <w:pPr>
        <w:pStyle w:val="Heading1"/>
        <w:spacing w:before="0" w:after="0"/>
        <w:rPr>
          <w:rFonts w:cs="Times New Roman"/>
          <w:b w:val="0"/>
          <w:sz w:val="28"/>
          <w:szCs w:val="28"/>
          <w:u w:val="single"/>
        </w:rPr>
      </w:pPr>
      <w:bookmarkStart w:id="1" w:name="_Toc296084437"/>
      <w:r w:rsidRPr="00CE10AB">
        <w:rPr>
          <w:rFonts w:cs="Times New Roman"/>
          <w:u w:val="single"/>
        </w:rPr>
        <w:lastRenderedPageBreak/>
        <w:t>New England Council Actions</w:t>
      </w:r>
      <w:bookmarkEnd w:id="1"/>
      <w:r w:rsidRPr="00CE10AB">
        <w:rPr>
          <w:rFonts w:cs="Times New Roman"/>
          <w:u w:val="single"/>
        </w:rPr>
        <w:t xml:space="preserve">   </w:t>
      </w:r>
      <w:bookmarkStart w:id="2" w:name="_Toc210812322"/>
      <w:bookmarkStart w:id="3" w:name="_Toc210814282"/>
      <w:bookmarkStart w:id="4" w:name="_Toc210814776"/>
      <w:bookmarkStart w:id="5" w:name="_Toc210816431"/>
      <w:bookmarkStart w:id="6" w:name="_Toc214445932"/>
    </w:p>
    <w:p w:rsidR="00B46B04" w:rsidRPr="00954DB8" w:rsidRDefault="00B46B04" w:rsidP="00B46B04">
      <w:pPr>
        <w:rPr>
          <w:b/>
          <w:sz w:val="20"/>
          <w:szCs w:val="20"/>
          <w:u w:val="single"/>
        </w:rPr>
      </w:pPr>
      <w:bookmarkStart w:id="7" w:name="_Toc210814286"/>
      <w:bookmarkStart w:id="8" w:name="_Toc210814780"/>
      <w:bookmarkStart w:id="9" w:name="_Toc210816435"/>
      <w:bookmarkStart w:id="10" w:name="_Toc214445937"/>
      <w:bookmarkEnd w:id="2"/>
      <w:bookmarkEnd w:id="3"/>
      <w:bookmarkEnd w:id="4"/>
      <w:bookmarkEnd w:id="5"/>
      <w:bookmarkEnd w:id="6"/>
    </w:p>
    <w:p w:rsidR="00B46B04" w:rsidRDefault="00B46B04" w:rsidP="00B46B04">
      <w:pPr>
        <w:pStyle w:val="Heading2"/>
        <w:spacing w:before="0" w:after="0"/>
        <w:rPr>
          <w:rFonts w:cs="Times New Roman"/>
        </w:rPr>
      </w:pPr>
      <w:bookmarkStart w:id="11" w:name="_Toc296084438"/>
      <w:r w:rsidRPr="00954DB8">
        <w:rPr>
          <w:rFonts w:cs="Times New Roman"/>
        </w:rPr>
        <w:t>Groundfish</w:t>
      </w:r>
      <w:bookmarkStart w:id="12" w:name="_Toc296084439"/>
      <w:bookmarkStart w:id="13" w:name="_Toc210814287"/>
      <w:bookmarkStart w:id="14" w:name="_Toc210814781"/>
      <w:bookmarkStart w:id="15" w:name="_Toc210816436"/>
      <w:bookmarkStart w:id="16" w:name="_Toc211057058"/>
      <w:bookmarkStart w:id="17" w:name="_Toc210814289"/>
      <w:bookmarkStart w:id="18" w:name="_Toc210814783"/>
      <w:bookmarkStart w:id="19" w:name="_Toc210816438"/>
      <w:bookmarkStart w:id="20" w:name="_Toc214445940"/>
      <w:bookmarkEnd w:id="7"/>
      <w:bookmarkEnd w:id="8"/>
      <w:bookmarkEnd w:id="9"/>
      <w:bookmarkEnd w:id="10"/>
      <w:bookmarkEnd w:id="11"/>
    </w:p>
    <w:p w:rsidR="00990F52" w:rsidRPr="000F3947" w:rsidRDefault="00990F52" w:rsidP="00990F52"/>
    <w:p w:rsidR="00070E0E" w:rsidRPr="00B12B5B" w:rsidRDefault="00070E0E" w:rsidP="00070E0E">
      <w:pPr>
        <w:pStyle w:val="NormalWeb"/>
        <w:shd w:val="clear" w:color="auto" w:fill="FFFFFF"/>
        <w:spacing w:before="0" w:beforeAutospacing="0" w:after="0" w:afterAutospacing="0"/>
        <w:ind w:left="720"/>
        <w:rPr>
          <w:color w:val="000000" w:themeColor="text1"/>
          <w:sz w:val="22"/>
          <w:szCs w:val="22"/>
        </w:rPr>
      </w:pPr>
    </w:p>
    <w:p w:rsidR="00070E0E" w:rsidRDefault="00070E0E" w:rsidP="00070E0E">
      <w:pPr>
        <w:widowControl/>
        <w:autoSpaceDE/>
        <w:adjustRightInd/>
        <w:ind w:firstLine="720"/>
        <w:rPr>
          <w:color w:val="000000" w:themeColor="text1"/>
          <w:sz w:val="22"/>
          <w:szCs w:val="22"/>
          <w:u w:val="single"/>
        </w:rPr>
      </w:pPr>
      <w:r w:rsidRPr="00B12B5B">
        <w:rPr>
          <w:color w:val="000000" w:themeColor="text1"/>
          <w:sz w:val="22"/>
          <w:szCs w:val="22"/>
          <w:u w:val="single"/>
        </w:rPr>
        <w:t>Proposed Rule Considering the Opening of Several Groundfish Closed Areas</w:t>
      </w:r>
    </w:p>
    <w:p w:rsidR="00070E0E" w:rsidRPr="00B12B5B" w:rsidRDefault="00070E0E" w:rsidP="00070E0E">
      <w:pPr>
        <w:widowControl/>
        <w:autoSpaceDE/>
        <w:adjustRightInd/>
        <w:ind w:firstLine="720"/>
        <w:rPr>
          <w:color w:val="000000" w:themeColor="text1"/>
          <w:sz w:val="22"/>
          <w:szCs w:val="22"/>
          <w:u w:val="single"/>
        </w:rPr>
      </w:pPr>
    </w:p>
    <w:p w:rsidR="00070E0E" w:rsidRPr="00B12B5B" w:rsidRDefault="00070E0E" w:rsidP="00070E0E">
      <w:pPr>
        <w:widowControl/>
        <w:autoSpaceDE/>
        <w:adjustRightInd/>
        <w:ind w:left="720"/>
        <w:rPr>
          <w:color w:val="000000" w:themeColor="text1"/>
          <w:sz w:val="22"/>
          <w:szCs w:val="22"/>
        </w:rPr>
      </w:pPr>
      <w:r w:rsidRPr="00B12B5B">
        <w:rPr>
          <w:color w:val="000000" w:themeColor="text1"/>
          <w:sz w:val="22"/>
          <w:szCs w:val="22"/>
        </w:rPr>
        <w:t xml:space="preserve">On July 11, 2013, NMFS published a proposed rule in the Federal Register (78 FR 41772) that considered opening up several year-round groundfish closed areas, under certain conditions.  This was in response to several sector exemption requests following the partial approval of Framework 48.  The comment period ended on July 26, 2013; we received approximately 81,000 comments on the proposed rule.  We are currently working on a final rule.  For additional information, please contact William Whitmore at </w:t>
      </w:r>
      <w:hyperlink r:id="rId15" w:history="1">
        <w:r w:rsidRPr="00B12B5B">
          <w:rPr>
            <w:rStyle w:val="Hyperlink"/>
            <w:color w:val="000000" w:themeColor="text1"/>
            <w:sz w:val="22"/>
            <w:szCs w:val="22"/>
          </w:rPr>
          <w:t>(978) 281-9182</w:t>
        </w:r>
      </w:hyperlink>
      <w:r w:rsidRPr="00B12B5B">
        <w:rPr>
          <w:color w:val="000000" w:themeColor="text1"/>
          <w:sz w:val="22"/>
          <w:szCs w:val="22"/>
        </w:rPr>
        <w:t>.</w:t>
      </w:r>
    </w:p>
    <w:p w:rsidR="005B5AF7" w:rsidRPr="00CA0A4B" w:rsidRDefault="005B5AF7" w:rsidP="00B53D6F">
      <w:pPr>
        <w:pStyle w:val="NormalWeb"/>
        <w:shd w:val="clear" w:color="auto" w:fill="FFFFFF"/>
        <w:spacing w:before="0" w:beforeAutospacing="0" w:after="0" w:afterAutospacing="0"/>
        <w:rPr>
          <w:color w:val="222222"/>
          <w:sz w:val="22"/>
          <w:szCs w:val="22"/>
        </w:rPr>
      </w:pPr>
    </w:p>
    <w:p w:rsidR="00B46B04" w:rsidRPr="00954DB8" w:rsidRDefault="00B46B04" w:rsidP="00B46B04">
      <w:pPr>
        <w:pStyle w:val="Heading2"/>
        <w:spacing w:before="0" w:after="0"/>
        <w:rPr>
          <w:rFonts w:cs="Times New Roman"/>
        </w:rPr>
      </w:pPr>
      <w:r w:rsidRPr="00954DB8">
        <w:rPr>
          <w:rFonts w:cs="Times New Roman"/>
        </w:rPr>
        <w:t>Scallops</w:t>
      </w:r>
      <w:bookmarkEnd w:id="12"/>
    </w:p>
    <w:p w:rsidR="00B46B04" w:rsidRDefault="00B46B04" w:rsidP="00B46B04">
      <w:pPr>
        <w:pStyle w:val="NoSpacing"/>
        <w:ind w:left="720"/>
        <w:rPr>
          <w:rFonts w:ascii="Times New Roman" w:hAnsi="Times New Roman" w:cs="Times New Roman"/>
          <w:color w:val="222222"/>
          <w:sz w:val="20"/>
          <w:szCs w:val="20"/>
        </w:rPr>
      </w:pPr>
    </w:p>
    <w:p w:rsidR="00500FF4" w:rsidRPr="00036AA9" w:rsidRDefault="00B76A36" w:rsidP="00500FF4">
      <w:pPr>
        <w:pStyle w:val="NoSpacing"/>
        <w:ind w:left="720"/>
        <w:rPr>
          <w:rFonts w:ascii="Times New Roman" w:hAnsi="Times New Roman" w:cs="Times New Roman"/>
          <w:sz w:val="24"/>
          <w:szCs w:val="24"/>
        </w:rPr>
      </w:pPr>
      <w:bookmarkStart w:id="21" w:name="_Toc296084440"/>
      <w:r w:rsidRPr="00036AA9">
        <w:rPr>
          <w:rFonts w:ascii="Times New Roman" w:hAnsi="Times New Roman" w:cs="Times New Roman"/>
          <w:sz w:val="24"/>
          <w:szCs w:val="24"/>
        </w:rPr>
        <w:t xml:space="preserve">None </w:t>
      </w:r>
      <w:r w:rsidR="00036AA9">
        <w:rPr>
          <w:rFonts w:ascii="Times New Roman" w:hAnsi="Times New Roman" w:cs="Times New Roman"/>
          <w:sz w:val="24"/>
          <w:szCs w:val="24"/>
        </w:rPr>
        <w:t>at this time</w:t>
      </w:r>
    </w:p>
    <w:p w:rsidR="00946014" w:rsidRDefault="00946014" w:rsidP="00BE1936">
      <w:pPr>
        <w:spacing w:before="2" w:after="2"/>
        <w:ind w:left="720" w:hanging="1440"/>
        <w:rPr>
          <w:b/>
        </w:rPr>
      </w:pPr>
    </w:p>
    <w:p w:rsidR="00B46B04" w:rsidRDefault="00B46B04" w:rsidP="00B46B04">
      <w:pPr>
        <w:pStyle w:val="Heading2"/>
        <w:spacing w:before="0" w:after="0"/>
        <w:rPr>
          <w:rFonts w:cs="Times New Roman"/>
        </w:rPr>
      </w:pPr>
      <w:r w:rsidRPr="00954DB8">
        <w:rPr>
          <w:rFonts w:cs="Times New Roman"/>
        </w:rPr>
        <w:t>Monkfish</w:t>
      </w:r>
      <w:bookmarkEnd w:id="21"/>
    </w:p>
    <w:p w:rsidR="00B46B04" w:rsidRPr="00350516" w:rsidRDefault="00B46B04" w:rsidP="00B46B04">
      <w:pPr>
        <w:rPr>
          <w:sz w:val="22"/>
          <w:szCs w:val="22"/>
        </w:rPr>
      </w:pPr>
    </w:p>
    <w:p w:rsidR="00350516" w:rsidRPr="00350516" w:rsidRDefault="00350516" w:rsidP="00350516">
      <w:pPr>
        <w:widowControl/>
        <w:shd w:val="clear" w:color="auto" w:fill="FFFFFF"/>
        <w:autoSpaceDE/>
        <w:autoSpaceDN/>
        <w:adjustRightInd/>
        <w:ind w:left="720"/>
        <w:rPr>
          <w:color w:val="222222"/>
          <w:sz w:val="22"/>
          <w:szCs w:val="22"/>
        </w:rPr>
      </w:pPr>
      <w:r w:rsidRPr="00350516">
        <w:rPr>
          <w:color w:val="222222"/>
          <w:sz w:val="22"/>
          <w:szCs w:val="22"/>
          <w:u w:val="single"/>
        </w:rPr>
        <w:t>Suspension of Monkfish Possession Limits in the Northern Fishery Management Area</w:t>
      </w:r>
      <w:r w:rsidRPr="00350516">
        <w:rPr>
          <w:color w:val="222222"/>
          <w:sz w:val="22"/>
          <w:szCs w:val="22"/>
        </w:rPr>
        <w:t>  </w:t>
      </w:r>
    </w:p>
    <w:p w:rsidR="00350516" w:rsidRPr="00350516" w:rsidRDefault="00350516" w:rsidP="00350516">
      <w:pPr>
        <w:widowControl/>
        <w:shd w:val="clear" w:color="auto" w:fill="FFFFFF"/>
        <w:autoSpaceDE/>
        <w:autoSpaceDN/>
        <w:adjustRightInd/>
        <w:ind w:left="720"/>
        <w:rPr>
          <w:color w:val="222222"/>
          <w:sz w:val="22"/>
          <w:szCs w:val="22"/>
        </w:rPr>
      </w:pPr>
      <w:r w:rsidRPr="00350516">
        <w:rPr>
          <w:color w:val="222222"/>
          <w:sz w:val="22"/>
          <w:szCs w:val="22"/>
        </w:rPr>
        <w:t> </w:t>
      </w:r>
    </w:p>
    <w:p w:rsidR="00350516" w:rsidRPr="00350516" w:rsidRDefault="00350516" w:rsidP="00350516">
      <w:pPr>
        <w:widowControl/>
        <w:shd w:val="clear" w:color="auto" w:fill="FFFFFF"/>
        <w:autoSpaceDE/>
        <w:autoSpaceDN/>
        <w:adjustRightInd/>
        <w:ind w:left="720"/>
        <w:rPr>
          <w:color w:val="222222"/>
          <w:sz w:val="22"/>
          <w:szCs w:val="22"/>
        </w:rPr>
      </w:pPr>
      <w:r w:rsidRPr="00350516">
        <w:rPr>
          <w:color w:val="222222"/>
          <w:sz w:val="22"/>
          <w:szCs w:val="22"/>
        </w:rPr>
        <w:t xml:space="preserve">On October 28, 2013, NOAA published an interim final rule that suspended monkfish landing limits for vessels issued a limited access monkfish Category C or D permit fishing under a monkfish or multispecies day-at-sea in the Northern Fishery Management Area.  These limits will remain suspended through April 30, 2014, or until further notice.  This rule modified the April 30, 2013, interim final rule to also suspend monkfish limits for Category C or D vessels fishing on a multispecies day-at-sea based on updated data indicating that the monkfish fishery is likely to </w:t>
      </w:r>
      <w:proofErr w:type="spellStart"/>
      <w:r w:rsidRPr="00350516">
        <w:rPr>
          <w:color w:val="222222"/>
          <w:sz w:val="22"/>
          <w:szCs w:val="22"/>
        </w:rPr>
        <w:t>underharvest</w:t>
      </w:r>
      <w:proofErr w:type="spellEnd"/>
      <w:r w:rsidRPr="00350516">
        <w:rPr>
          <w:color w:val="222222"/>
          <w:sz w:val="22"/>
          <w:szCs w:val="22"/>
        </w:rPr>
        <w:t xml:space="preserve"> total allowable landings in both the Northern and Southern Fishery Management Areas during fishing year 2013.  This action is in response to an emergency action request by the New England Fishery Management Council, and is intended to help mitigate adverse economic and social impacts of substantially reduced Northeast multispecies annual catch limits during 2013.</w:t>
      </w:r>
    </w:p>
    <w:p w:rsidR="00BE1936" w:rsidRDefault="00BE1936" w:rsidP="00B46B04">
      <w:pPr>
        <w:ind w:left="720"/>
        <w:rPr>
          <w:sz w:val="22"/>
          <w:szCs w:val="22"/>
        </w:rPr>
      </w:pPr>
    </w:p>
    <w:p w:rsidR="00B46B04" w:rsidRPr="00954DB8" w:rsidRDefault="00B46B04" w:rsidP="00B46B04">
      <w:pPr>
        <w:pStyle w:val="Heading2"/>
        <w:spacing w:before="0" w:after="0"/>
        <w:rPr>
          <w:rFonts w:cs="Times New Roman"/>
        </w:rPr>
      </w:pPr>
      <w:bookmarkStart w:id="22" w:name="_Toc296084441"/>
      <w:r w:rsidRPr="00954DB8">
        <w:rPr>
          <w:rFonts w:cs="Times New Roman"/>
        </w:rPr>
        <w:t>Herring</w:t>
      </w:r>
      <w:bookmarkEnd w:id="22"/>
    </w:p>
    <w:p w:rsidR="00B46B04" w:rsidRPr="00BE1936" w:rsidRDefault="00B46B04" w:rsidP="00B46B04">
      <w:pPr>
        <w:pStyle w:val="NoSpacing"/>
        <w:ind w:left="720"/>
        <w:rPr>
          <w:rFonts w:ascii="Times New Roman" w:hAnsi="Times New Roman" w:cs="Times New Roman"/>
        </w:rPr>
      </w:pPr>
    </w:p>
    <w:p w:rsidR="00036AA9" w:rsidRPr="00EA1613" w:rsidRDefault="00036AA9" w:rsidP="00036AA9">
      <w:pPr>
        <w:pStyle w:val="NormalWeb"/>
        <w:shd w:val="clear" w:color="auto" w:fill="FFFFFF"/>
        <w:spacing w:before="0" w:beforeAutospacing="0" w:after="200" w:afterAutospacing="0" w:line="210" w:lineRule="atLeast"/>
        <w:ind w:left="720"/>
        <w:rPr>
          <w:bCs/>
          <w:color w:val="222222"/>
          <w:sz w:val="22"/>
          <w:szCs w:val="22"/>
          <w:u w:val="single"/>
        </w:rPr>
      </w:pPr>
      <w:r w:rsidRPr="00EA1613">
        <w:rPr>
          <w:u w:val="single"/>
        </w:rPr>
        <w:t>Adjustments to 2014 Sub-Annual Catch Limits for the Atlantic Herring Fishery</w:t>
      </w:r>
    </w:p>
    <w:p w:rsidR="00036AA9" w:rsidRDefault="00036AA9" w:rsidP="00036AA9">
      <w:pPr>
        <w:pStyle w:val="NormalWeb"/>
        <w:shd w:val="clear" w:color="auto" w:fill="FFFFFF"/>
        <w:spacing w:before="0" w:beforeAutospacing="0" w:after="200" w:afterAutospacing="0" w:line="210" w:lineRule="atLeast"/>
        <w:ind w:left="720"/>
        <w:rPr>
          <w:bCs/>
          <w:color w:val="222222"/>
          <w:sz w:val="22"/>
          <w:szCs w:val="22"/>
        </w:rPr>
      </w:pPr>
      <w:r w:rsidRPr="00EA1613">
        <w:rPr>
          <w:bCs/>
          <w:color w:val="222222"/>
          <w:sz w:val="22"/>
          <w:szCs w:val="22"/>
        </w:rPr>
        <w:t>NMFS published a proposed rule in the</w:t>
      </w:r>
      <w:r>
        <w:rPr>
          <w:bCs/>
          <w:color w:val="222222"/>
          <w:sz w:val="22"/>
          <w:szCs w:val="22"/>
          <w:u w:val="single"/>
        </w:rPr>
        <w:t xml:space="preserve"> Federal</w:t>
      </w:r>
      <w:r w:rsidRPr="00EA1613">
        <w:rPr>
          <w:bCs/>
          <w:color w:val="222222"/>
          <w:sz w:val="22"/>
          <w:szCs w:val="22"/>
        </w:rPr>
        <w:t xml:space="preserve"> </w:t>
      </w:r>
      <w:r w:rsidRPr="00EA1613">
        <w:rPr>
          <w:bCs/>
          <w:color w:val="222222"/>
          <w:sz w:val="22"/>
          <w:szCs w:val="22"/>
          <w:u w:val="single"/>
        </w:rPr>
        <w:t>Register</w:t>
      </w:r>
      <w:r w:rsidRPr="00EA1613">
        <w:rPr>
          <w:bCs/>
          <w:color w:val="222222"/>
          <w:sz w:val="22"/>
          <w:szCs w:val="22"/>
        </w:rPr>
        <w:t xml:space="preserve"> on November 22, 2013 that proposes to adjust the 2014 sub-annual catch limits (ACLs) for the Atlantic herring (herring) fishery to account for catch overages and </w:t>
      </w:r>
      <w:proofErr w:type="spellStart"/>
      <w:r w:rsidRPr="00EA1613">
        <w:rPr>
          <w:bCs/>
          <w:color w:val="222222"/>
          <w:sz w:val="22"/>
          <w:szCs w:val="22"/>
        </w:rPr>
        <w:t>underharvest</w:t>
      </w:r>
      <w:proofErr w:type="spellEnd"/>
      <w:r w:rsidRPr="00EA1613">
        <w:rPr>
          <w:bCs/>
          <w:color w:val="222222"/>
          <w:sz w:val="22"/>
          <w:szCs w:val="22"/>
        </w:rPr>
        <w:t xml:space="preserve"> in 2012.</w:t>
      </w:r>
      <w:r>
        <w:rPr>
          <w:bCs/>
          <w:color w:val="222222"/>
          <w:sz w:val="22"/>
          <w:szCs w:val="22"/>
        </w:rPr>
        <w:t xml:space="preserve"> </w:t>
      </w:r>
      <w:r w:rsidRPr="00EA1613">
        <w:rPr>
          <w:bCs/>
          <w:color w:val="222222"/>
          <w:sz w:val="22"/>
          <w:szCs w:val="22"/>
        </w:rPr>
        <w:t xml:space="preserve"> NMFS is decreasing three of the four sub-ACLs and increasing one sub-ACL. This results in an increase to the overall catch available to the herring fleet.</w:t>
      </w:r>
      <w:r>
        <w:rPr>
          <w:bCs/>
          <w:color w:val="222222"/>
          <w:sz w:val="22"/>
          <w:szCs w:val="22"/>
        </w:rPr>
        <w:t xml:space="preserve">  The comment period closed on </w:t>
      </w:r>
      <w:r w:rsidRPr="00EA1613">
        <w:rPr>
          <w:b/>
          <w:bCs/>
          <w:color w:val="222222"/>
          <w:sz w:val="22"/>
          <w:szCs w:val="22"/>
        </w:rPr>
        <w:t>December 9, 2013</w:t>
      </w:r>
      <w:r w:rsidRPr="00EA1613">
        <w:rPr>
          <w:bCs/>
          <w:color w:val="222222"/>
          <w:sz w:val="22"/>
          <w:szCs w:val="22"/>
        </w:rPr>
        <w:t>.</w:t>
      </w:r>
    </w:p>
    <w:p w:rsidR="00036AA9" w:rsidRDefault="00036AA9" w:rsidP="00036AA9">
      <w:pPr>
        <w:pStyle w:val="NormalWeb"/>
        <w:shd w:val="clear" w:color="auto" w:fill="FFFFFF"/>
        <w:spacing w:before="0" w:beforeAutospacing="0" w:after="200" w:afterAutospacing="0" w:line="210" w:lineRule="atLeast"/>
        <w:ind w:left="720"/>
        <w:rPr>
          <w:bCs/>
          <w:color w:val="222222"/>
          <w:sz w:val="22"/>
          <w:szCs w:val="22"/>
        </w:rPr>
      </w:pPr>
    </w:p>
    <w:p w:rsidR="00036AA9" w:rsidRPr="00EA1613" w:rsidRDefault="00036AA9" w:rsidP="00036AA9">
      <w:pPr>
        <w:pStyle w:val="NormalWeb"/>
        <w:shd w:val="clear" w:color="auto" w:fill="FFFFFF"/>
        <w:spacing w:before="0" w:beforeAutospacing="0" w:after="200" w:afterAutospacing="0" w:line="210" w:lineRule="atLeast"/>
        <w:ind w:left="720"/>
        <w:rPr>
          <w:bCs/>
          <w:color w:val="222222"/>
          <w:sz w:val="22"/>
          <w:szCs w:val="22"/>
        </w:rPr>
      </w:pPr>
    </w:p>
    <w:p w:rsidR="00036AA9" w:rsidRPr="00B00618" w:rsidRDefault="00036AA9" w:rsidP="00036AA9">
      <w:pPr>
        <w:pStyle w:val="NormalWeb"/>
        <w:shd w:val="clear" w:color="auto" w:fill="FFFFFF"/>
        <w:spacing w:before="0" w:beforeAutospacing="0" w:after="200" w:afterAutospacing="0" w:line="210" w:lineRule="atLeast"/>
        <w:ind w:left="720"/>
        <w:rPr>
          <w:color w:val="222222"/>
          <w:sz w:val="22"/>
          <w:szCs w:val="22"/>
          <w:u w:val="single"/>
        </w:rPr>
      </w:pPr>
      <w:r w:rsidRPr="00B00618">
        <w:rPr>
          <w:bCs/>
          <w:color w:val="222222"/>
          <w:sz w:val="22"/>
          <w:szCs w:val="22"/>
          <w:u w:val="single"/>
        </w:rPr>
        <w:lastRenderedPageBreak/>
        <w:t>Framework Adjustment 2/2013-15 Specifications</w:t>
      </w:r>
    </w:p>
    <w:p w:rsidR="00036AA9" w:rsidRDefault="00036AA9" w:rsidP="00036AA9">
      <w:pPr>
        <w:pStyle w:val="NoSpacing"/>
        <w:ind w:left="720"/>
        <w:rPr>
          <w:rFonts w:ascii="Times New Roman" w:hAnsi="Times New Roman" w:cs="Times New Roman"/>
        </w:rPr>
      </w:pPr>
      <w:r w:rsidRPr="00B00618">
        <w:rPr>
          <w:rFonts w:ascii="Times New Roman" w:hAnsi="Times New Roman" w:cs="Times New Roman"/>
        </w:rPr>
        <w:t>NMFS published a proposed rule in the</w:t>
      </w:r>
      <w:r w:rsidRPr="00B00618">
        <w:rPr>
          <w:rStyle w:val="apple-converted-space"/>
          <w:rFonts w:ascii="Times New Roman" w:hAnsi="Times New Roman" w:cs="Times New Roman"/>
          <w:color w:val="222222"/>
        </w:rPr>
        <w:t xml:space="preserve"> </w:t>
      </w:r>
      <w:r w:rsidRPr="00B00618">
        <w:rPr>
          <w:rFonts w:ascii="Times New Roman" w:hAnsi="Times New Roman" w:cs="Times New Roman"/>
          <w:u w:val="single"/>
        </w:rPr>
        <w:t>Federal</w:t>
      </w:r>
      <w:r w:rsidRPr="00B00618">
        <w:rPr>
          <w:rStyle w:val="apple-converted-space"/>
          <w:rFonts w:ascii="Times New Roman" w:hAnsi="Times New Roman" w:cs="Times New Roman"/>
          <w:color w:val="222222"/>
        </w:rPr>
        <w:t xml:space="preserve"> </w:t>
      </w:r>
      <w:r w:rsidRPr="00B00618">
        <w:rPr>
          <w:rFonts w:ascii="Times New Roman" w:hAnsi="Times New Roman" w:cs="Times New Roman"/>
          <w:u w:val="single"/>
        </w:rPr>
        <w:t>Register</w:t>
      </w:r>
      <w:r w:rsidRPr="00B00618">
        <w:rPr>
          <w:rStyle w:val="apple-converted-space"/>
          <w:rFonts w:ascii="Times New Roman" w:hAnsi="Times New Roman" w:cs="Times New Roman"/>
          <w:color w:val="222222"/>
        </w:rPr>
        <w:t xml:space="preserve"> </w:t>
      </w:r>
      <w:r w:rsidRPr="00B00618">
        <w:rPr>
          <w:rFonts w:ascii="Times New Roman" w:hAnsi="Times New Roman" w:cs="Times New Roman"/>
        </w:rPr>
        <w:t>on</w:t>
      </w:r>
      <w:r w:rsidRPr="00B00618">
        <w:rPr>
          <w:rStyle w:val="apple-converted-space"/>
          <w:rFonts w:ascii="Times New Roman" w:hAnsi="Times New Roman" w:cs="Times New Roman"/>
          <w:color w:val="222222"/>
        </w:rPr>
        <w:t xml:space="preserve"> </w:t>
      </w:r>
      <w:r w:rsidRPr="00B00618">
        <w:rPr>
          <w:rFonts w:ascii="Times New Roman" w:hAnsi="Times New Roman" w:cs="Times New Roman"/>
          <w:b/>
          <w:bCs/>
        </w:rPr>
        <w:t>August 2, 2013</w:t>
      </w:r>
      <w:r w:rsidRPr="00B00618">
        <w:rPr>
          <w:rStyle w:val="apple-converted-space"/>
          <w:rFonts w:ascii="Times New Roman" w:hAnsi="Times New Roman" w:cs="Times New Roman"/>
          <w:color w:val="222222"/>
        </w:rPr>
        <w:t xml:space="preserve"> </w:t>
      </w:r>
      <w:r w:rsidRPr="00B00618">
        <w:rPr>
          <w:rFonts w:ascii="Times New Roman" w:hAnsi="Times New Roman" w:cs="Times New Roman"/>
        </w:rPr>
        <w:t>that proposes regulations to implement Framework Adjustment 2 to the Atlantic Herring FMP (Herring FMP) and the 2013–15 fishery specifications for the Atlantic herring fishery (Framework 2).  The comment period clos</w:t>
      </w:r>
      <w:r>
        <w:rPr>
          <w:rFonts w:ascii="Times New Roman" w:hAnsi="Times New Roman" w:cs="Times New Roman"/>
        </w:rPr>
        <w:t>ed</w:t>
      </w:r>
      <w:r w:rsidRPr="00B00618">
        <w:rPr>
          <w:rStyle w:val="apple-converted-space"/>
          <w:rFonts w:ascii="Times New Roman" w:hAnsi="Times New Roman" w:cs="Times New Roman"/>
          <w:color w:val="222222"/>
        </w:rPr>
        <w:t xml:space="preserve"> </w:t>
      </w:r>
      <w:r w:rsidRPr="00B00618">
        <w:rPr>
          <w:rFonts w:ascii="Times New Roman" w:hAnsi="Times New Roman" w:cs="Times New Roman"/>
          <w:b/>
          <w:bCs/>
        </w:rPr>
        <w:t>September 3, 2013</w:t>
      </w:r>
      <w:r w:rsidRPr="00B00618">
        <w:rPr>
          <w:rFonts w:ascii="Times New Roman" w:hAnsi="Times New Roman" w:cs="Times New Roman"/>
        </w:rPr>
        <w:t>.</w:t>
      </w:r>
    </w:p>
    <w:p w:rsidR="00036AA9" w:rsidRPr="00B00618" w:rsidRDefault="00036AA9" w:rsidP="00036AA9">
      <w:pPr>
        <w:pStyle w:val="NoSpacing"/>
        <w:ind w:left="720"/>
        <w:rPr>
          <w:rFonts w:ascii="Times New Roman" w:hAnsi="Times New Roman" w:cs="Times New Roman"/>
        </w:rPr>
      </w:pPr>
    </w:p>
    <w:p w:rsidR="00036AA9" w:rsidRPr="00B00618" w:rsidRDefault="00036AA9" w:rsidP="00036AA9">
      <w:pPr>
        <w:pStyle w:val="NoSpacing"/>
        <w:ind w:left="720"/>
        <w:rPr>
          <w:rFonts w:ascii="Times New Roman" w:hAnsi="Times New Roman" w:cs="Times New Roman"/>
        </w:rPr>
      </w:pPr>
      <w:r w:rsidRPr="00B00618">
        <w:rPr>
          <w:rFonts w:ascii="Times New Roman" w:hAnsi="Times New Roman" w:cs="Times New Roman"/>
        </w:rPr>
        <w:t>Framework 2 would allow the New England Council to (1) split annual catch limits (ACL) seasonally for the four Atlantic herring management areas, and (2) carryover unharvested catch, up to 10 percent, for each area’s sub-ACL.  The specifications would set catch specifications for the herring fishery for the 2013–15 fishing years, adjust accountability measures, revise the acceptable biological catch control rule, and establish seasonal splits for management areas 1A and 1B, as recommended to NMFS by the New England Council.</w:t>
      </w:r>
    </w:p>
    <w:p w:rsidR="00036AA9" w:rsidRPr="00B00618" w:rsidRDefault="00036AA9" w:rsidP="00036AA9">
      <w:pPr>
        <w:pStyle w:val="NoSpacing"/>
        <w:ind w:left="720"/>
        <w:rPr>
          <w:rFonts w:ascii="Times New Roman" w:hAnsi="Times New Roman" w:cs="Times New Roman"/>
        </w:rPr>
      </w:pPr>
    </w:p>
    <w:p w:rsidR="00036AA9" w:rsidRPr="00B00618" w:rsidRDefault="00036AA9" w:rsidP="00036AA9">
      <w:pPr>
        <w:pStyle w:val="NormalWeb"/>
        <w:shd w:val="clear" w:color="auto" w:fill="FFFFFF"/>
        <w:spacing w:beforeAutospacing="0" w:after="0" w:afterAutospacing="0"/>
        <w:ind w:left="720"/>
        <w:rPr>
          <w:color w:val="222222"/>
          <w:sz w:val="22"/>
          <w:szCs w:val="22"/>
          <w:u w:val="single"/>
        </w:rPr>
      </w:pPr>
      <w:r w:rsidRPr="00B00618">
        <w:rPr>
          <w:bCs/>
          <w:color w:val="222222"/>
          <w:sz w:val="22"/>
          <w:szCs w:val="22"/>
          <w:u w:val="single"/>
        </w:rPr>
        <w:t>Amendment 5</w:t>
      </w:r>
    </w:p>
    <w:p w:rsidR="00036AA9" w:rsidRDefault="00036AA9" w:rsidP="00036AA9">
      <w:pPr>
        <w:pStyle w:val="NoSpacing"/>
        <w:ind w:left="720"/>
        <w:rPr>
          <w:rFonts w:ascii="Times New Roman" w:hAnsi="Times New Roman" w:cs="Times New Roman"/>
        </w:rPr>
      </w:pPr>
      <w:r w:rsidRPr="00B00618">
        <w:rPr>
          <w:rFonts w:ascii="Times New Roman" w:hAnsi="Times New Roman" w:cs="Times New Roman"/>
        </w:rPr>
        <w:t>On</w:t>
      </w:r>
      <w:r w:rsidRPr="00B00618">
        <w:rPr>
          <w:rStyle w:val="apple-converted-space"/>
          <w:rFonts w:ascii="Times New Roman" w:hAnsi="Times New Roman" w:cs="Times New Roman"/>
          <w:color w:val="222222"/>
        </w:rPr>
        <w:t xml:space="preserve"> </w:t>
      </w:r>
      <w:r w:rsidRPr="00B00618">
        <w:rPr>
          <w:rFonts w:ascii="Times New Roman" w:hAnsi="Times New Roman" w:cs="Times New Roman"/>
          <w:b/>
          <w:bCs/>
        </w:rPr>
        <w:t>July 18, 2013</w:t>
      </w:r>
      <w:r w:rsidRPr="00B00618">
        <w:rPr>
          <w:rFonts w:ascii="Times New Roman" w:hAnsi="Times New Roman" w:cs="Times New Roman"/>
        </w:rPr>
        <w:t>, NMFS, on behalf of the Secretary of Commerce, partially approved Amendment 5 to the New England Council’s Herring FMP.</w:t>
      </w:r>
    </w:p>
    <w:p w:rsidR="00036AA9" w:rsidRPr="00B00618" w:rsidRDefault="00036AA9" w:rsidP="00036AA9">
      <w:pPr>
        <w:pStyle w:val="NoSpacing"/>
        <w:ind w:left="720"/>
        <w:rPr>
          <w:rFonts w:ascii="Times New Roman" w:hAnsi="Times New Roman" w:cs="Times New Roman"/>
        </w:rPr>
      </w:pPr>
    </w:p>
    <w:p w:rsidR="00036AA9" w:rsidRDefault="00036AA9" w:rsidP="00036AA9">
      <w:pPr>
        <w:pStyle w:val="NoSpacing"/>
        <w:ind w:left="720"/>
        <w:rPr>
          <w:rFonts w:ascii="Times New Roman" w:hAnsi="Times New Roman" w:cs="Times New Roman"/>
        </w:rPr>
      </w:pPr>
      <w:r w:rsidRPr="00B00618">
        <w:rPr>
          <w:rFonts w:ascii="Times New Roman" w:hAnsi="Times New Roman" w:cs="Times New Roman"/>
        </w:rPr>
        <w:t>Amendment 5 will improve the catch monitoring program for the herring fishery and address bycatch issues through responsible management.  It contains many measures that will improve herring management and that can be administered by NMFS.  We supported improvements to fishery dependent data collections, be it through increasing reporting requirements or expanding the at-sea monitoring of the herring fishery.  We also shared the New England Council’s concern for reducing bycatch.</w:t>
      </w:r>
    </w:p>
    <w:p w:rsidR="00036AA9" w:rsidRPr="00B00618" w:rsidRDefault="00036AA9" w:rsidP="00036AA9">
      <w:pPr>
        <w:pStyle w:val="NoSpacing"/>
        <w:ind w:left="720"/>
        <w:rPr>
          <w:rFonts w:ascii="Times New Roman" w:hAnsi="Times New Roman" w:cs="Times New Roman"/>
        </w:rPr>
      </w:pPr>
    </w:p>
    <w:p w:rsidR="00036AA9" w:rsidRDefault="00036AA9" w:rsidP="00036AA9">
      <w:pPr>
        <w:pStyle w:val="NoSpacing"/>
        <w:ind w:left="720"/>
        <w:rPr>
          <w:rFonts w:ascii="Times New Roman" w:hAnsi="Times New Roman" w:cs="Times New Roman"/>
        </w:rPr>
      </w:pPr>
      <w:r w:rsidRPr="00B00618">
        <w:rPr>
          <w:rFonts w:ascii="Times New Roman" w:hAnsi="Times New Roman" w:cs="Times New Roman"/>
        </w:rPr>
        <w:t>However, a few measures in Amendment 5 lacked adequate rationale or development by the Council, and we had utility and legal concerns about the implementation of these measures.  These measures are:  A dealer reporting requirement; a cap that, if achieved, would require vessels discarding catch before it had been sampled by observers (known as slippage) to return to port; and a requirement for 100-percent observer coverage on Category A and B vessels, coupled with a limited industry contribution of $325 per day toward observer costs. </w:t>
      </w:r>
    </w:p>
    <w:p w:rsidR="00036AA9" w:rsidRPr="00B00618" w:rsidRDefault="00036AA9" w:rsidP="00036AA9">
      <w:pPr>
        <w:pStyle w:val="NoSpacing"/>
        <w:ind w:left="720"/>
        <w:rPr>
          <w:rFonts w:ascii="Times New Roman" w:hAnsi="Times New Roman" w:cs="Times New Roman"/>
        </w:rPr>
      </w:pPr>
    </w:p>
    <w:p w:rsidR="00036AA9" w:rsidRPr="00B00618" w:rsidRDefault="00036AA9" w:rsidP="00036AA9">
      <w:pPr>
        <w:pStyle w:val="NoSpacing"/>
        <w:ind w:left="720"/>
        <w:rPr>
          <w:rFonts w:ascii="Times New Roman" w:hAnsi="Times New Roman" w:cs="Times New Roman"/>
        </w:rPr>
      </w:pPr>
      <w:r w:rsidRPr="00B00618">
        <w:rPr>
          <w:rFonts w:ascii="Times New Roman" w:hAnsi="Times New Roman" w:cs="Times New Roman"/>
        </w:rPr>
        <w:t>We expressed our concerns about the implementation of these measures throughout the development of this amendment and, most recently, articulated them in our comments on the draft EIS.  The proposed rule for Amendment 5 also described our concerns about these measures’ consistency with the Magnuson-Stevens Fishery Conservation and Management Act and other applicable law.</w:t>
      </w:r>
    </w:p>
    <w:p w:rsidR="00FD7858" w:rsidRPr="00BE1936" w:rsidRDefault="00FD7858" w:rsidP="00FD7858">
      <w:pPr>
        <w:widowControl/>
        <w:tabs>
          <w:tab w:val="left" w:pos="720"/>
        </w:tabs>
        <w:autoSpaceDE/>
        <w:adjustRightInd/>
        <w:ind w:left="720" w:hanging="720"/>
        <w:rPr>
          <w:rFonts w:eastAsia="Calibri"/>
          <w:sz w:val="22"/>
          <w:szCs w:val="22"/>
        </w:rPr>
      </w:pPr>
    </w:p>
    <w:p w:rsidR="00B46B04" w:rsidRPr="008A5380" w:rsidRDefault="00B46B04" w:rsidP="00B46B04">
      <w:pPr>
        <w:pStyle w:val="NoSpacing"/>
        <w:rPr>
          <w:rFonts w:ascii="Times New Roman" w:hAnsi="Times New Roman" w:cs="Times New Roman"/>
          <w:b/>
          <w:sz w:val="28"/>
          <w:szCs w:val="28"/>
        </w:rPr>
      </w:pPr>
      <w:r w:rsidRPr="00945CD6">
        <w:rPr>
          <w:rFonts w:ascii="Times New Roman" w:hAnsi="Times New Roman" w:cs="Times New Roman"/>
          <w:b/>
          <w:sz w:val="28"/>
          <w:szCs w:val="28"/>
        </w:rPr>
        <w:t>Skate</w:t>
      </w:r>
    </w:p>
    <w:p w:rsidR="00B46B04" w:rsidRDefault="00B46B04" w:rsidP="00B46B04">
      <w:pPr>
        <w:ind w:left="720"/>
        <w:rPr>
          <w:sz w:val="22"/>
          <w:szCs w:val="22"/>
        </w:rPr>
      </w:pPr>
    </w:p>
    <w:p w:rsidR="00B46B04" w:rsidRPr="00505F48" w:rsidRDefault="00B46B04" w:rsidP="00B46B04">
      <w:pPr>
        <w:ind w:left="720"/>
        <w:rPr>
          <w:sz w:val="22"/>
          <w:szCs w:val="22"/>
        </w:rPr>
      </w:pPr>
      <w:r>
        <w:rPr>
          <w:sz w:val="22"/>
          <w:szCs w:val="22"/>
        </w:rPr>
        <w:t>None at this time</w:t>
      </w:r>
    </w:p>
    <w:p w:rsidR="00B46B04" w:rsidRPr="00505F48" w:rsidRDefault="00B46B04" w:rsidP="00B46B04">
      <w:pPr>
        <w:ind w:left="720"/>
        <w:rPr>
          <w:sz w:val="22"/>
          <w:szCs w:val="22"/>
        </w:rPr>
      </w:pPr>
    </w:p>
    <w:p w:rsidR="00B46B04" w:rsidRDefault="00B46B04" w:rsidP="00B46B04">
      <w:pPr>
        <w:pStyle w:val="Heading2"/>
        <w:spacing w:before="0" w:after="0"/>
      </w:pPr>
      <w:r w:rsidRPr="0090551B">
        <w:t>Atlantic Deep-Sea Red Crab</w:t>
      </w:r>
    </w:p>
    <w:p w:rsidR="00B46B04" w:rsidRPr="000F3947" w:rsidRDefault="00B46B04" w:rsidP="00B46B04"/>
    <w:p w:rsidR="00B46B04" w:rsidRDefault="00B46B04" w:rsidP="00B46B04">
      <w:pPr>
        <w:ind w:left="720"/>
        <w:rPr>
          <w:sz w:val="22"/>
          <w:szCs w:val="22"/>
        </w:rPr>
      </w:pPr>
      <w:r>
        <w:rPr>
          <w:sz w:val="22"/>
          <w:szCs w:val="22"/>
        </w:rPr>
        <w:t>None at this time</w:t>
      </w:r>
      <w:bookmarkStart w:id="23" w:name="_Toc296084442"/>
    </w:p>
    <w:p w:rsidR="00B46B04" w:rsidRDefault="00B46B04" w:rsidP="00B46B04">
      <w:pPr>
        <w:ind w:left="720"/>
        <w:rPr>
          <w:sz w:val="22"/>
          <w:szCs w:val="22"/>
        </w:rPr>
      </w:pPr>
    </w:p>
    <w:p w:rsidR="009226F3" w:rsidRDefault="009226F3" w:rsidP="00B46B04">
      <w:pPr>
        <w:ind w:left="720"/>
        <w:rPr>
          <w:sz w:val="22"/>
          <w:szCs w:val="22"/>
        </w:rPr>
      </w:pPr>
    </w:p>
    <w:p w:rsidR="00B46B04" w:rsidRDefault="00B46B04" w:rsidP="00B46B04">
      <w:pPr>
        <w:pStyle w:val="Heading1"/>
        <w:spacing w:before="0" w:after="0"/>
        <w:rPr>
          <w:rFonts w:cs="Times New Roman"/>
          <w:u w:val="single"/>
        </w:rPr>
      </w:pPr>
      <w:r w:rsidRPr="00CE10AB">
        <w:rPr>
          <w:rFonts w:cs="Times New Roman"/>
          <w:u w:val="single"/>
        </w:rPr>
        <w:lastRenderedPageBreak/>
        <w:t>Mid-Atlantic Council Actions</w:t>
      </w:r>
      <w:bookmarkEnd w:id="23"/>
    </w:p>
    <w:p w:rsidR="00B46B04" w:rsidRPr="000F3947" w:rsidRDefault="00B46B04" w:rsidP="00B46B04"/>
    <w:p w:rsidR="00B46B04" w:rsidRPr="00717A02" w:rsidRDefault="00B46B04" w:rsidP="00B46B04">
      <w:pPr>
        <w:pStyle w:val="Heading2"/>
        <w:spacing w:before="0" w:after="0"/>
        <w:rPr>
          <w:rFonts w:cs="Times New Roman"/>
        </w:rPr>
      </w:pPr>
      <w:bookmarkStart w:id="24" w:name="_Toc296084443"/>
      <w:r w:rsidRPr="00717A02">
        <w:rPr>
          <w:rFonts w:cs="Times New Roman"/>
        </w:rPr>
        <w:t>Summer Flounder, Scup and Black Sea Bass</w:t>
      </w:r>
      <w:bookmarkEnd w:id="24"/>
      <w:r w:rsidRPr="00717A02">
        <w:rPr>
          <w:rFonts w:cs="Times New Roman"/>
        </w:rPr>
        <w:t> </w:t>
      </w:r>
    </w:p>
    <w:p w:rsidR="001A3B89" w:rsidRDefault="001A3B89" w:rsidP="001A3B89">
      <w:pPr>
        <w:ind w:left="720"/>
        <w:rPr>
          <w:sz w:val="22"/>
          <w:szCs w:val="22"/>
          <w:u w:val="single"/>
        </w:rPr>
      </w:pPr>
    </w:p>
    <w:p w:rsidR="0041142E" w:rsidRPr="007B45D4" w:rsidRDefault="0041142E" w:rsidP="0041142E">
      <w:pPr>
        <w:ind w:left="720"/>
        <w:rPr>
          <w:sz w:val="22"/>
          <w:szCs w:val="22"/>
          <w:u w:val="single"/>
        </w:rPr>
      </w:pPr>
      <w:r w:rsidRPr="007B45D4">
        <w:rPr>
          <w:sz w:val="22"/>
          <w:szCs w:val="22"/>
          <w:u w:val="single"/>
        </w:rPr>
        <w:t>Closure of the 2013 Massachusetts Summer Flounder Fishery</w:t>
      </w:r>
    </w:p>
    <w:p w:rsidR="0041142E" w:rsidRDefault="0041142E" w:rsidP="0041142E">
      <w:pPr>
        <w:ind w:left="720"/>
        <w:rPr>
          <w:sz w:val="22"/>
          <w:szCs w:val="22"/>
          <w:u w:val="single"/>
        </w:rPr>
      </w:pPr>
    </w:p>
    <w:p w:rsidR="0041142E" w:rsidRPr="007B45D4" w:rsidRDefault="0041142E" w:rsidP="0041142E">
      <w:pPr>
        <w:ind w:left="720"/>
        <w:rPr>
          <w:sz w:val="22"/>
          <w:szCs w:val="22"/>
        </w:rPr>
      </w:pPr>
      <w:r w:rsidRPr="007B45D4">
        <w:rPr>
          <w:sz w:val="22"/>
          <w:szCs w:val="22"/>
        </w:rPr>
        <w:t xml:space="preserve">The 2013 commercial summer flounder quota allocated to Massachusetts has been harvested.  As of August 23, 2013, fishing vessels issued a </w:t>
      </w:r>
      <w:r>
        <w:rPr>
          <w:sz w:val="22"/>
          <w:szCs w:val="22"/>
        </w:rPr>
        <w:t>F</w:t>
      </w:r>
      <w:r w:rsidRPr="007B45D4">
        <w:rPr>
          <w:sz w:val="22"/>
          <w:szCs w:val="22"/>
        </w:rPr>
        <w:t>ederal moratorium permit for the summer flounder fishery may no longer land summer flounder in Massachusetts for the remainder of the 2013 calendar year.  The Commonwealth of Massachusetts also closed its commercial summer flounder fishery to state permitted vessels and dealers on the same day.</w:t>
      </w:r>
    </w:p>
    <w:p w:rsidR="0041142E" w:rsidRDefault="0041142E" w:rsidP="0041142E">
      <w:pPr>
        <w:ind w:left="720"/>
        <w:rPr>
          <w:sz w:val="22"/>
          <w:szCs w:val="22"/>
          <w:u w:val="single"/>
        </w:rPr>
      </w:pPr>
    </w:p>
    <w:p w:rsidR="0041142E" w:rsidRPr="00471092" w:rsidRDefault="0041142E" w:rsidP="0041142E">
      <w:pPr>
        <w:ind w:left="720"/>
        <w:rPr>
          <w:sz w:val="22"/>
          <w:szCs w:val="22"/>
          <w:u w:val="single"/>
        </w:rPr>
      </w:pPr>
      <w:r w:rsidRPr="00471092">
        <w:rPr>
          <w:sz w:val="22"/>
          <w:szCs w:val="22"/>
          <w:u w:val="single"/>
        </w:rPr>
        <w:t>Closure of the 2013 New York Summer Flounder Fishery</w:t>
      </w:r>
    </w:p>
    <w:p w:rsidR="0041142E" w:rsidRDefault="0041142E" w:rsidP="0041142E">
      <w:pPr>
        <w:ind w:left="720"/>
        <w:rPr>
          <w:sz w:val="22"/>
          <w:szCs w:val="22"/>
          <w:u w:val="single"/>
        </w:rPr>
      </w:pPr>
    </w:p>
    <w:p w:rsidR="0041142E" w:rsidRPr="00963E2A" w:rsidRDefault="0041142E" w:rsidP="0041142E">
      <w:pPr>
        <w:ind w:left="720"/>
        <w:rPr>
          <w:sz w:val="22"/>
          <w:szCs w:val="22"/>
        </w:rPr>
      </w:pPr>
      <w:r w:rsidRPr="00963E2A">
        <w:rPr>
          <w:sz w:val="22"/>
          <w:szCs w:val="22"/>
        </w:rPr>
        <w:t>The 2013 commercial summer flounder quota allocated to New York has been harvest</w:t>
      </w:r>
      <w:r>
        <w:rPr>
          <w:sz w:val="22"/>
          <w:szCs w:val="22"/>
        </w:rPr>
        <w:t>ed</w:t>
      </w:r>
      <w:r w:rsidRPr="00963E2A">
        <w:rPr>
          <w:sz w:val="22"/>
          <w:szCs w:val="22"/>
        </w:rPr>
        <w:t xml:space="preserve">.  As of October 1, 2013, fishing </w:t>
      </w:r>
      <w:r w:rsidRPr="00471092">
        <w:rPr>
          <w:sz w:val="22"/>
          <w:szCs w:val="22"/>
        </w:rPr>
        <w:t>vessels</w:t>
      </w:r>
      <w:r w:rsidRPr="00963E2A">
        <w:rPr>
          <w:sz w:val="22"/>
          <w:szCs w:val="22"/>
        </w:rPr>
        <w:t xml:space="preserve"> issued a </w:t>
      </w:r>
      <w:r>
        <w:rPr>
          <w:sz w:val="22"/>
          <w:szCs w:val="22"/>
        </w:rPr>
        <w:t>F</w:t>
      </w:r>
      <w:r w:rsidRPr="00963E2A">
        <w:rPr>
          <w:sz w:val="22"/>
          <w:szCs w:val="22"/>
        </w:rPr>
        <w:t>ederal moratorium permit for the summer flounder fishery may no longer land summer flounder in New York for the remainder of the 2013 calendar year.  The State of New York also closed its commercial summer flounder fishery to state permitted vessels and dealers on the same day.</w:t>
      </w:r>
    </w:p>
    <w:p w:rsidR="0041142E" w:rsidRDefault="0041142E" w:rsidP="0041142E">
      <w:pPr>
        <w:ind w:left="720"/>
        <w:rPr>
          <w:sz w:val="22"/>
          <w:szCs w:val="22"/>
          <w:u w:val="single"/>
        </w:rPr>
      </w:pPr>
    </w:p>
    <w:p w:rsidR="0041142E" w:rsidRPr="00471092" w:rsidRDefault="0041142E" w:rsidP="0041142E">
      <w:pPr>
        <w:ind w:left="720"/>
        <w:rPr>
          <w:sz w:val="22"/>
          <w:szCs w:val="22"/>
          <w:u w:val="single"/>
        </w:rPr>
      </w:pPr>
      <w:r w:rsidRPr="00471092">
        <w:rPr>
          <w:sz w:val="22"/>
          <w:szCs w:val="22"/>
          <w:u w:val="single"/>
        </w:rPr>
        <w:t>Summer Flounder Quota Transfer</w:t>
      </w:r>
    </w:p>
    <w:p w:rsidR="0041142E" w:rsidRDefault="0041142E" w:rsidP="0041142E">
      <w:pPr>
        <w:ind w:left="720"/>
        <w:rPr>
          <w:sz w:val="22"/>
          <w:szCs w:val="22"/>
          <w:u w:val="single"/>
        </w:rPr>
      </w:pPr>
    </w:p>
    <w:p w:rsidR="0041142E" w:rsidRDefault="0041142E" w:rsidP="0041142E">
      <w:pPr>
        <w:ind w:left="720"/>
        <w:rPr>
          <w:sz w:val="22"/>
          <w:szCs w:val="22"/>
        </w:rPr>
      </w:pPr>
      <w:r w:rsidRPr="00963E2A">
        <w:rPr>
          <w:sz w:val="22"/>
          <w:szCs w:val="22"/>
        </w:rPr>
        <w:t xml:space="preserve">NMFS published a temporary rule in the </w:t>
      </w:r>
      <w:r w:rsidRPr="00471092">
        <w:rPr>
          <w:sz w:val="22"/>
          <w:szCs w:val="22"/>
          <w:u w:val="single"/>
        </w:rPr>
        <w:t>Federal</w:t>
      </w:r>
      <w:r w:rsidRPr="00963E2A">
        <w:rPr>
          <w:sz w:val="22"/>
          <w:szCs w:val="22"/>
        </w:rPr>
        <w:t xml:space="preserve"> </w:t>
      </w:r>
      <w:r w:rsidRPr="00471092">
        <w:rPr>
          <w:sz w:val="22"/>
          <w:szCs w:val="22"/>
          <w:u w:val="single"/>
        </w:rPr>
        <w:t>Register</w:t>
      </w:r>
      <w:r w:rsidRPr="00963E2A">
        <w:rPr>
          <w:sz w:val="22"/>
          <w:szCs w:val="22"/>
        </w:rPr>
        <w:t xml:space="preserve"> on November 7, 2013, that transferred 5,400 lb of commercial summer flounder quota from Maine to Connecticut.  The revised summer flounder quotas for calendar year 2013 are:  Maine, 41 lb; and Connecticut, 263,605 lb.  This transfer was prompted by the diligent efforts of state officials in Connecticut not to exceed the commercial summer flounder quota.</w:t>
      </w:r>
    </w:p>
    <w:p w:rsidR="0041142E" w:rsidRDefault="0041142E" w:rsidP="0041142E">
      <w:pPr>
        <w:ind w:left="720"/>
        <w:rPr>
          <w:sz w:val="22"/>
          <w:szCs w:val="22"/>
        </w:rPr>
      </w:pPr>
    </w:p>
    <w:p w:rsidR="0041142E" w:rsidRPr="002A6817" w:rsidRDefault="0041142E" w:rsidP="0041142E">
      <w:pPr>
        <w:ind w:left="720"/>
        <w:rPr>
          <w:sz w:val="22"/>
          <w:szCs w:val="22"/>
          <w:u w:val="single"/>
        </w:rPr>
      </w:pPr>
      <w:r w:rsidRPr="002A6817">
        <w:rPr>
          <w:sz w:val="22"/>
          <w:szCs w:val="22"/>
          <w:u w:val="single"/>
        </w:rPr>
        <w:t>Closure of the 2013 New Jersey Summer Flounder Fishery</w:t>
      </w:r>
    </w:p>
    <w:p w:rsidR="0041142E" w:rsidRDefault="0041142E" w:rsidP="0041142E">
      <w:pPr>
        <w:ind w:left="720"/>
        <w:rPr>
          <w:sz w:val="22"/>
          <w:szCs w:val="22"/>
        </w:rPr>
      </w:pPr>
    </w:p>
    <w:p w:rsidR="0041142E" w:rsidRDefault="0041142E" w:rsidP="0041142E">
      <w:pPr>
        <w:ind w:left="720"/>
        <w:rPr>
          <w:sz w:val="22"/>
          <w:szCs w:val="22"/>
        </w:rPr>
      </w:pPr>
      <w:r>
        <w:rPr>
          <w:sz w:val="22"/>
          <w:szCs w:val="22"/>
        </w:rPr>
        <w:t>The 2013 commercial summer flounder quota allocated to New Jersey has been harvested.  As of November 27, 2013, fishing vessels issued a Federal moratorium permit for the summer flounder fishery may no longer land summer flounder in New Jersey for the remainder of the 2013 calendar year.</w:t>
      </w:r>
    </w:p>
    <w:p w:rsidR="0041142E" w:rsidRDefault="0041142E" w:rsidP="0041142E">
      <w:pPr>
        <w:ind w:left="720"/>
        <w:rPr>
          <w:sz w:val="22"/>
          <w:szCs w:val="22"/>
        </w:rPr>
      </w:pPr>
    </w:p>
    <w:p w:rsidR="0041142E" w:rsidRPr="002A6817" w:rsidRDefault="0041142E" w:rsidP="0041142E">
      <w:pPr>
        <w:ind w:left="720"/>
        <w:rPr>
          <w:sz w:val="22"/>
          <w:szCs w:val="22"/>
          <w:u w:val="single"/>
        </w:rPr>
      </w:pPr>
      <w:r w:rsidRPr="002A6817">
        <w:rPr>
          <w:sz w:val="22"/>
          <w:szCs w:val="22"/>
          <w:u w:val="single"/>
        </w:rPr>
        <w:t>Closure of the 2013 Virginia Summer Flounder Fishery</w:t>
      </w:r>
    </w:p>
    <w:p w:rsidR="0041142E" w:rsidRDefault="0041142E" w:rsidP="0041142E">
      <w:pPr>
        <w:ind w:left="720"/>
        <w:rPr>
          <w:sz w:val="22"/>
          <w:szCs w:val="22"/>
        </w:rPr>
      </w:pPr>
    </w:p>
    <w:p w:rsidR="0041142E" w:rsidRDefault="0041142E" w:rsidP="0041142E">
      <w:pPr>
        <w:ind w:left="720"/>
        <w:rPr>
          <w:sz w:val="22"/>
          <w:szCs w:val="22"/>
        </w:rPr>
      </w:pPr>
      <w:r>
        <w:rPr>
          <w:sz w:val="22"/>
          <w:szCs w:val="22"/>
        </w:rPr>
        <w:t>The 2013 commercial summer flounder quota allocated to Virginia has been harvested.  As of December 4, 2013, fishing vessels issued a Federal moratorium permit for the summer flounder fishery may no longer land summer flounder in Virginia for the remainder of the 2013 calendar year.  The Commonwealth of Virginia also closed its commercial summer flounder fishery to state permitted vessels and dealers on the same day.</w:t>
      </w:r>
    </w:p>
    <w:p w:rsidR="0041142E" w:rsidRDefault="0041142E" w:rsidP="0041142E">
      <w:pPr>
        <w:ind w:left="720"/>
        <w:rPr>
          <w:sz w:val="22"/>
          <w:szCs w:val="22"/>
        </w:rPr>
      </w:pPr>
    </w:p>
    <w:p w:rsidR="0041142E" w:rsidRPr="000010D0" w:rsidRDefault="0041142E" w:rsidP="0041142E">
      <w:pPr>
        <w:ind w:left="720"/>
        <w:rPr>
          <w:sz w:val="22"/>
          <w:szCs w:val="22"/>
          <w:u w:val="single"/>
        </w:rPr>
      </w:pPr>
      <w:r w:rsidRPr="000010D0">
        <w:rPr>
          <w:sz w:val="22"/>
          <w:szCs w:val="22"/>
          <w:u w:val="single"/>
        </w:rPr>
        <w:t>Reopening of the 2013 New Jersey Summer Flounder Fishery</w:t>
      </w:r>
    </w:p>
    <w:p w:rsidR="0041142E" w:rsidRDefault="0041142E" w:rsidP="0041142E">
      <w:pPr>
        <w:ind w:left="720"/>
        <w:rPr>
          <w:sz w:val="22"/>
          <w:szCs w:val="22"/>
        </w:rPr>
      </w:pPr>
    </w:p>
    <w:p w:rsidR="0041142E" w:rsidRPr="00963E2A" w:rsidRDefault="0041142E" w:rsidP="0041142E">
      <w:pPr>
        <w:ind w:left="720"/>
        <w:rPr>
          <w:sz w:val="22"/>
          <w:szCs w:val="22"/>
        </w:rPr>
      </w:pPr>
      <w:r>
        <w:rPr>
          <w:sz w:val="22"/>
          <w:szCs w:val="22"/>
        </w:rPr>
        <w:t xml:space="preserve">It was determined that the commercial summer flounder fishery in New Jersey was closed prematurely and quota remained available for harvest.  As of December 6, 2013, fishing vessels </w:t>
      </w:r>
      <w:r>
        <w:rPr>
          <w:sz w:val="22"/>
          <w:szCs w:val="22"/>
        </w:rPr>
        <w:lastRenderedPageBreak/>
        <w:t>issued a Federal moratorium permit for the summer flounder fishery may land summer flounder in New Jersey until the quota has been fully harvested.</w:t>
      </w:r>
    </w:p>
    <w:p w:rsidR="0041142E" w:rsidRPr="000F3947" w:rsidRDefault="0041142E" w:rsidP="0041142E">
      <w:pPr>
        <w:ind w:left="720"/>
        <w:rPr>
          <w:sz w:val="22"/>
          <w:szCs w:val="22"/>
          <w:highlight w:val="lightGray"/>
        </w:rPr>
      </w:pPr>
    </w:p>
    <w:p w:rsidR="0041142E" w:rsidRPr="00EF0272" w:rsidRDefault="0041142E" w:rsidP="0041142E">
      <w:pPr>
        <w:pStyle w:val="Heading2"/>
        <w:spacing w:before="0" w:after="0"/>
        <w:rPr>
          <w:rFonts w:cs="Times New Roman"/>
        </w:rPr>
      </w:pPr>
      <w:bookmarkStart w:id="25" w:name="_Toc296084444"/>
      <w:r w:rsidRPr="00EF0272">
        <w:rPr>
          <w:rFonts w:cs="Times New Roman"/>
        </w:rPr>
        <w:t>Atlantic Bluefish</w:t>
      </w:r>
      <w:bookmarkEnd w:id="25"/>
    </w:p>
    <w:p w:rsidR="0041142E" w:rsidRDefault="0041142E" w:rsidP="0041142E">
      <w:pPr>
        <w:rPr>
          <w:highlight w:val="lightGray"/>
        </w:rPr>
      </w:pPr>
    </w:p>
    <w:p w:rsidR="0041142E" w:rsidRDefault="0041142E" w:rsidP="0041142E">
      <w:pPr>
        <w:ind w:left="720"/>
        <w:rPr>
          <w:sz w:val="22"/>
          <w:szCs w:val="22"/>
        </w:rPr>
      </w:pPr>
      <w:r w:rsidRPr="007B45D4">
        <w:rPr>
          <w:sz w:val="22"/>
          <w:szCs w:val="22"/>
          <w:u w:val="single"/>
        </w:rPr>
        <w:t>Bluefish Quota Transfer</w:t>
      </w:r>
    </w:p>
    <w:p w:rsidR="0041142E" w:rsidRDefault="0041142E" w:rsidP="0041142E">
      <w:pPr>
        <w:ind w:left="720"/>
        <w:rPr>
          <w:sz w:val="22"/>
          <w:szCs w:val="22"/>
        </w:rPr>
      </w:pPr>
    </w:p>
    <w:p w:rsidR="0041142E" w:rsidRDefault="0041142E" w:rsidP="0041142E">
      <w:pPr>
        <w:ind w:left="720"/>
        <w:rPr>
          <w:sz w:val="22"/>
          <w:szCs w:val="22"/>
        </w:rPr>
      </w:pPr>
      <w:r>
        <w:rPr>
          <w:sz w:val="22"/>
          <w:szCs w:val="22"/>
        </w:rPr>
        <w:t xml:space="preserve">NMFS published a temporary rule in the </w:t>
      </w:r>
      <w:r w:rsidRPr="007B45D4">
        <w:rPr>
          <w:sz w:val="22"/>
          <w:szCs w:val="22"/>
          <w:u w:val="single"/>
        </w:rPr>
        <w:t>Federal</w:t>
      </w:r>
      <w:r>
        <w:rPr>
          <w:sz w:val="22"/>
          <w:szCs w:val="22"/>
        </w:rPr>
        <w:t xml:space="preserve"> </w:t>
      </w:r>
      <w:r w:rsidRPr="007B45D4">
        <w:rPr>
          <w:sz w:val="22"/>
          <w:szCs w:val="22"/>
          <w:u w:val="single"/>
        </w:rPr>
        <w:t>Register</w:t>
      </w:r>
      <w:r>
        <w:rPr>
          <w:sz w:val="22"/>
          <w:szCs w:val="22"/>
        </w:rPr>
        <w:t xml:space="preserve"> on September 4, 2013, that transferred 200,000 lb of commercial bluefish quota from North Carolina to Massachusetts.  The revised bluefish quotas for calendar year 2013 are:  North Carolina, 2,709,829 lb; and Massachusetts, 809,606 lb.  This transfer was prompted by the diligent efforts of state officials in Massachusetts no to exceed the commercial bluefish quota.</w:t>
      </w:r>
    </w:p>
    <w:p w:rsidR="0041142E" w:rsidRDefault="0041142E" w:rsidP="0041142E">
      <w:pPr>
        <w:ind w:left="720"/>
        <w:rPr>
          <w:sz w:val="22"/>
          <w:szCs w:val="22"/>
        </w:rPr>
      </w:pPr>
    </w:p>
    <w:p w:rsidR="001A3B89" w:rsidRPr="000F3947" w:rsidRDefault="0041142E" w:rsidP="001A3B89">
      <w:pPr>
        <w:ind w:left="720"/>
        <w:rPr>
          <w:sz w:val="20"/>
          <w:szCs w:val="20"/>
          <w:highlight w:val="lightGray"/>
          <w:u w:val="single"/>
        </w:rPr>
      </w:pPr>
      <w:r>
        <w:rPr>
          <w:sz w:val="22"/>
          <w:szCs w:val="22"/>
        </w:rPr>
        <w:t xml:space="preserve">NMFS published a temporary rule in the </w:t>
      </w:r>
      <w:r w:rsidRPr="00963E2A">
        <w:rPr>
          <w:sz w:val="22"/>
          <w:szCs w:val="22"/>
          <w:u w:val="single"/>
        </w:rPr>
        <w:t>Federal</w:t>
      </w:r>
      <w:r>
        <w:rPr>
          <w:sz w:val="22"/>
          <w:szCs w:val="22"/>
        </w:rPr>
        <w:t xml:space="preserve"> </w:t>
      </w:r>
      <w:r w:rsidRPr="00963E2A">
        <w:rPr>
          <w:sz w:val="22"/>
          <w:szCs w:val="22"/>
          <w:u w:val="single"/>
        </w:rPr>
        <w:t>Register</w:t>
      </w:r>
      <w:r>
        <w:rPr>
          <w:sz w:val="22"/>
          <w:szCs w:val="22"/>
        </w:rPr>
        <w:t xml:space="preserve"> on October 28, 2013, that transferred 300,000 lb of commercial bluefish quota from New Jersey to New York.  The revised bluefish quotas for calendar year 2013 are:  New Jersey, 1,044,713 lb; and New York, 1,242,548 lb.  This transfer was prompted by the diligent efforts of state officials in New York not to exceed the commercial bluefish quota.</w:t>
      </w:r>
    </w:p>
    <w:p w:rsidR="00B46B04" w:rsidRPr="000F3947" w:rsidRDefault="00B46B04" w:rsidP="00B46B04">
      <w:pPr>
        <w:ind w:left="720"/>
        <w:rPr>
          <w:sz w:val="20"/>
          <w:szCs w:val="20"/>
          <w:highlight w:val="lightGray"/>
          <w:u w:val="single"/>
        </w:rPr>
      </w:pPr>
    </w:p>
    <w:p w:rsidR="00B46B04" w:rsidRDefault="00B46B04" w:rsidP="00B46B04">
      <w:pPr>
        <w:pStyle w:val="Heading2"/>
        <w:spacing w:before="0" w:after="0"/>
        <w:rPr>
          <w:rFonts w:cs="Times New Roman"/>
        </w:rPr>
      </w:pPr>
      <w:bookmarkStart w:id="26" w:name="_Toc296084445"/>
      <w:r w:rsidRPr="00EF0272">
        <w:rPr>
          <w:rFonts w:cs="Times New Roman"/>
        </w:rPr>
        <w:t>Spiny Dogfish</w:t>
      </w:r>
      <w:bookmarkEnd w:id="26"/>
    </w:p>
    <w:p w:rsidR="00B46B04" w:rsidRDefault="00B46B04" w:rsidP="00B46B04">
      <w:r>
        <w:tab/>
      </w:r>
    </w:p>
    <w:p w:rsidR="00BE1936" w:rsidRDefault="00BE1936" w:rsidP="00BE1936">
      <w:pPr>
        <w:ind w:left="720"/>
        <w:rPr>
          <w:color w:val="222222"/>
          <w:sz w:val="22"/>
          <w:szCs w:val="22"/>
        </w:rPr>
      </w:pPr>
      <w:r w:rsidRPr="00BE1936">
        <w:rPr>
          <w:color w:val="222222"/>
          <w:sz w:val="22"/>
          <w:szCs w:val="22"/>
          <w:u w:val="single"/>
          <w:shd w:val="clear" w:color="auto" w:fill="FFFFFF"/>
        </w:rPr>
        <w:t>2013-2015 Spiny Dogfish Specifications</w:t>
      </w:r>
      <w:r w:rsidRPr="00BE1936">
        <w:rPr>
          <w:color w:val="222222"/>
          <w:sz w:val="22"/>
          <w:szCs w:val="22"/>
          <w:u w:val="single"/>
        </w:rPr>
        <w:br/>
      </w:r>
    </w:p>
    <w:p w:rsidR="00F87871" w:rsidRDefault="00F87871" w:rsidP="00F87871">
      <w:pPr>
        <w:ind w:left="720"/>
        <w:rPr>
          <w:color w:val="222222"/>
          <w:sz w:val="22"/>
          <w:szCs w:val="22"/>
        </w:rPr>
      </w:pPr>
      <w:bookmarkStart w:id="27" w:name="_Toc296084448"/>
      <w:r w:rsidRPr="00BE1936">
        <w:rPr>
          <w:color w:val="222222"/>
          <w:sz w:val="22"/>
          <w:szCs w:val="22"/>
          <w:shd w:val="clear" w:color="auto" w:fill="FFFFFF"/>
        </w:rPr>
        <w:t xml:space="preserve">The </w:t>
      </w:r>
      <w:r>
        <w:rPr>
          <w:color w:val="222222"/>
          <w:sz w:val="22"/>
          <w:szCs w:val="22"/>
          <w:shd w:val="clear" w:color="auto" w:fill="FFFFFF"/>
        </w:rPr>
        <w:t>final</w:t>
      </w:r>
      <w:r w:rsidRPr="00BE1936">
        <w:rPr>
          <w:color w:val="222222"/>
          <w:sz w:val="22"/>
          <w:szCs w:val="22"/>
          <w:shd w:val="clear" w:color="auto" w:fill="FFFFFF"/>
        </w:rPr>
        <w:t xml:space="preserve"> 2013-2015 spiny dogfish specifications published in the </w:t>
      </w:r>
      <w:r w:rsidRPr="00735530">
        <w:rPr>
          <w:color w:val="222222"/>
          <w:sz w:val="22"/>
          <w:szCs w:val="22"/>
          <w:u w:val="single"/>
          <w:shd w:val="clear" w:color="auto" w:fill="FFFFFF"/>
        </w:rPr>
        <w:t>Federal</w:t>
      </w:r>
      <w:r w:rsidRPr="00BE1936">
        <w:rPr>
          <w:color w:val="222222"/>
          <w:sz w:val="22"/>
          <w:szCs w:val="22"/>
          <w:shd w:val="clear" w:color="auto" w:fill="FFFFFF"/>
        </w:rPr>
        <w:t xml:space="preserve"> </w:t>
      </w:r>
      <w:r w:rsidRPr="00735530">
        <w:rPr>
          <w:color w:val="222222"/>
          <w:sz w:val="22"/>
          <w:szCs w:val="22"/>
          <w:u w:val="single"/>
          <w:shd w:val="clear" w:color="auto" w:fill="FFFFFF"/>
        </w:rPr>
        <w:t>Register</w:t>
      </w:r>
      <w:r w:rsidRPr="00BE1936">
        <w:rPr>
          <w:color w:val="222222"/>
          <w:sz w:val="22"/>
          <w:szCs w:val="22"/>
          <w:shd w:val="clear" w:color="auto" w:fill="FFFFFF"/>
        </w:rPr>
        <w:t xml:space="preserve"> on </w:t>
      </w:r>
      <w:r>
        <w:rPr>
          <w:color w:val="222222"/>
          <w:sz w:val="22"/>
          <w:szCs w:val="22"/>
          <w:shd w:val="clear" w:color="auto" w:fill="FFFFFF"/>
        </w:rPr>
        <w:t>May 3, 2013, and became effective on May 1, 2013</w:t>
      </w:r>
      <w:r w:rsidRPr="00BE1936">
        <w:rPr>
          <w:color w:val="222222"/>
          <w:sz w:val="22"/>
          <w:szCs w:val="22"/>
          <w:shd w:val="clear" w:color="auto" w:fill="FFFFFF"/>
        </w:rPr>
        <w:t>.</w:t>
      </w:r>
      <w:r>
        <w:rPr>
          <w:color w:val="222222"/>
          <w:sz w:val="22"/>
          <w:szCs w:val="22"/>
          <w:shd w:val="clear" w:color="auto" w:fill="FFFFFF"/>
        </w:rPr>
        <w:t xml:space="preserve">  </w:t>
      </w:r>
      <w:r w:rsidRPr="00BE1936">
        <w:rPr>
          <w:color w:val="222222"/>
          <w:sz w:val="22"/>
          <w:szCs w:val="22"/>
          <w:shd w:val="clear" w:color="auto" w:fill="FFFFFF"/>
        </w:rPr>
        <w:t xml:space="preserve">NMFS </w:t>
      </w:r>
      <w:r>
        <w:rPr>
          <w:color w:val="222222"/>
          <w:sz w:val="22"/>
          <w:szCs w:val="22"/>
          <w:shd w:val="clear" w:color="auto" w:fill="FFFFFF"/>
        </w:rPr>
        <w:t>implemented</w:t>
      </w:r>
      <w:r w:rsidRPr="00BE1936">
        <w:rPr>
          <w:color w:val="222222"/>
          <w:sz w:val="22"/>
          <w:szCs w:val="22"/>
          <w:shd w:val="clear" w:color="auto" w:fill="FFFFFF"/>
        </w:rPr>
        <w:t xml:space="preserve"> the measures jointly-recommended by the Council and the New England Council as follows:</w:t>
      </w:r>
      <w:r w:rsidRPr="00BE1936">
        <w:rPr>
          <w:color w:val="222222"/>
          <w:sz w:val="22"/>
          <w:szCs w:val="22"/>
        </w:rPr>
        <w:br/>
      </w:r>
    </w:p>
    <w:p w:rsidR="00F87871" w:rsidRDefault="00F87871" w:rsidP="00F87871">
      <w:pPr>
        <w:ind w:left="720"/>
        <w:rPr>
          <w:color w:val="222222"/>
          <w:sz w:val="22"/>
          <w:szCs w:val="22"/>
        </w:rPr>
      </w:pPr>
      <w:r w:rsidRPr="00BE1936">
        <w:rPr>
          <w:color w:val="222222"/>
          <w:sz w:val="22"/>
          <w:szCs w:val="22"/>
          <w:shd w:val="clear" w:color="auto" w:fill="FFFFFF"/>
        </w:rPr>
        <w:t xml:space="preserve">2013: </w:t>
      </w:r>
      <w:r>
        <w:rPr>
          <w:color w:val="222222"/>
          <w:sz w:val="22"/>
          <w:szCs w:val="22"/>
          <w:shd w:val="clear" w:color="auto" w:fill="FFFFFF"/>
        </w:rPr>
        <w:t xml:space="preserve"> </w:t>
      </w:r>
      <w:r w:rsidRPr="00BE1936">
        <w:rPr>
          <w:color w:val="222222"/>
          <w:sz w:val="22"/>
          <w:szCs w:val="22"/>
          <w:shd w:val="clear" w:color="auto" w:fill="FFFFFF"/>
        </w:rPr>
        <w:t>ACL = 54.295 million lb; commercial quota = 40.842 million lb</w:t>
      </w:r>
      <w:r w:rsidRPr="00BE1936">
        <w:rPr>
          <w:color w:val="222222"/>
          <w:sz w:val="22"/>
          <w:szCs w:val="22"/>
        </w:rPr>
        <w:br/>
      </w:r>
      <w:r w:rsidRPr="00BE1936">
        <w:rPr>
          <w:color w:val="222222"/>
          <w:sz w:val="22"/>
          <w:szCs w:val="22"/>
          <w:shd w:val="clear" w:color="auto" w:fill="FFFFFF"/>
        </w:rPr>
        <w:t xml:space="preserve">2014: </w:t>
      </w:r>
      <w:r>
        <w:rPr>
          <w:color w:val="222222"/>
          <w:sz w:val="22"/>
          <w:szCs w:val="22"/>
          <w:shd w:val="clear" w:color="auto" w:fill="FFFFFF"/>
        </w:rPr>
        <w:t xml:space="preserve"> </w:t>
      </w:r>
      <w:r w:rsidRPr="00BE1936">
        <w:rPr>
          <w:color w:val="222222"/>
          <w:sz w:val="22"/>
          <w:szCs w:val="22"/>
          <w:shd w:val="clear" w:color="auto" w:fill="FFFFFF"/>
        </w:rPr>
        <w:t>ACL = 55.277 million lb; commercial quota = 41.784 million lb</w:t>
      </w:r>
      <w:r w:rsidRPr="00BE1936">
        <w:rPr>
          <w:color w:val="222222"/>
          <w:sz w:val="22"/>
          <w:szCs w:val="22"/>
        </w:rPr>
        <w:br/>
      </w:r>
      <w:r w:rsidRPr="00BE1936">
        <w:rPr>
          <w:color w:val="222222"/>
          <w:sz w:val="22"/>
          <w:szCs w:val="22"/>
          <w:shd w:val="clear" w:color="auto" w:fill="FFFFFF"/>
        </w:rPr>
        <w:t xml:space="preserve">2015: </w:t>
      </w:r>
      <w:r>
        <w:rPr>
          <w:color w:val="222222"/>
          <w:sz w:val="22"/>
          <w:szCs w:val="22"/>
          <w:shd w:val="clear" w:color="auto" w:fill="FFFFFF"/>
        </w:rPr>
        <w:t xml:space="preserve"> </w:t>
      </w:r>
      <w:r w:rsidRPr="00BE1936">
        <w:rPr>
          <w:color w:val="222222"/>
          <w:sz w:val="22"/>
          <w:szCs w:val="22"/>
          <w:shd w:val="clear" w:color="auto" w:fill="FFFFFF"/>
        </w:rPr>
        <w:t>ACL = 55.063 million lb; commercial quota = 41.578 million lb</w:t>
      </w:r>
      <w:r w:rsidRPr="00BE1936">
        <w:rPr>
          <w:color w:val="222222"/>
          <w:sz w:val="22"/>
          <w:szCs w:val="22"/>
        </w:rPr>
        <w:br/>
      </w:r>
    </w:p>
    <w:p w:rsidR="00F87871" w:rsidRPr="00BE1936" w:rsidRDefault="00F87871" w:rsidP="00F87871">
      <w:pPr>
        <w:ind w:left="720"/>
        <w:rPr>
          <w:sz w:val="22"/>
          <w:szCs w:val="22"/>
        </w:rPr>
      </w:pPr>
      <w:r w:rsidRPr="00BE1936">
        <w:rPr>
          <w:color w:val="222222"/>
          <w:sz w:val="22"/>
          <w:szCs w:val="22"/>
          <w:shd w:val="clear" w:color="auto" w:fill="FFFFFF"/>
        </w:rPr>
        <w:t xml:space="preserve">These quotas represent 14-17-percent increases from 2012 levels. NMFS also </w:t>
      </w:r>
      <w:r>
        <w:rPr>
          <w:color w:val="222222"/>
          <w:sz w:val="22"/>
          <w:szCs w:val="22"/>
          <w:shd w:val="clear" w:color="auto" w:fill="FFFFFF"/>
        </w:rPr>
        <w:t>increased</w:t>
      </w:r>
      <w:r w:rsidRPr="00BE1936">
        <w:rPr>
          <w:color w:val="222222"/>
          <w:sz w:val="22"/>
          <w:szCs w:val="22"/>
          <w:shd w:val="clear" w:color="auto" w:fill="FFFFFF"/>
        </w:rPr>
        <w:t xml:space="preserve"> the spiny dogfish possession limit from 3,000 lb to 4,000 lb per trip for the 2013-2015 fishing years. </w:t>
      </w:r>
      <w:r>
        <w:rPr>
          <w:color w:val="222222"/>
          <w:sz w:val="22"/>
          <w:szCs w:val="22"/>
          <w:shd w:val="clear" w:color="auto" w:fill="FFFFFF"/>
        </w:rPr>
        <w:t xml:space="preserve"> For additional information, please contact Tobey Curtis at (978) 281-9273, or Tobey.Curtis@noaa.gov.  </w:t>
      </w:r>
    </w:p>
    <w:p w:rsidR="00047481" w:rsidRDefault="00047481" w:rsidP="00BE1936">
      <w:pPr>
        <w:ind w:left="1440"/>
        <w:rPr>
          <w:sz w:val="22"/>
          <w:szCs w:val="22"/>
        </w:rPr>
      </w:pPr>
    </w:p>
    <w:p w:rsidR="001A3B89" w:rsidRPr="00BE1936" w:rsidRDefault="001A3B89" w:rsidP="00BE1936">
      <w:pPr>
        <w:ind w:left="1440"/>
        <w:rPr>
          <w:sz w:val="22"/>
          <w:szCs w:val="22"/>
        </w:rPr>
      </w:pPr>
    </w:p>
    <w:p w:rsidR="00B46B04" w:rsidRDefault="00B46B04" w:rsidP="00B46B04">
      <w:pPr>
        <w:pStyle w:val="NoSpacing"/>
        <w:rPr>
          <w:rFonts w:ascii="Times New Roman" w:hAnsi="Times New Roman" w:cs="Times New Roman"/>
          <w:b/>
          <w:sz w:val="28"/>
          <w:szCs w:val="28"/>
        </w:rPr>
      </w:pPr>
      <w:bookmarkStart w:id="28" w:name="_Toc296084449"/>
      <w:bookmarkEnd w:id="27"/>
      <w:r w:rsidRPr="006A302C">
        <w:rPr>
          <w:rFonts w:ascii="Times New Roman" w:hAnsi="Times New Roman" w:cs="Times New Roman"/>
          <w:b/>
          <w:sz w:val="28"/>
          <w:szCs w:val="28"/>
        </w:rPr>
        <w:t>Atlantic Mackerel, Squid, and Butterfish (MSB)</w:t>
      </w:r>
    </w:p>
    <w:p w:rsidR="002E5475" w:rsidRPr="000837F8" w:rsidRDefault="002E5475" w:rsidP="00B46B04">
      <w:pPr>
        <w:pStyle w:val="NoSpacing"/>
        <w:rPr>
          <w:rFonts w:ascii="Times New Roman" w:hAnsi="Times New Roman" w:cs="Times New Roman"/>
        </w:rPr>
      </w:pPr>
    </w:p>
    <w:p w:rsidR="001A3B89" w:rsidRPr="001A3B89" w:rsidRDefault="001A3B89" w:rsidP="001A3B89">
      <w:pPr>
        <w:shd w:val="clear" w:color="auto" w:fill="FFFFFF"/>
        <w:ind w:left="720"/>
        <w:rPr>
          <w:color w:val="222222"/>
          <w:sz w:val="22"/>
          <w:szCs w:val="22"/>
        </w:rPr>
      </w:pPr>
      <w:r w:rsidRPr="001A3B89">
        <w:rPr>
          <w:b/>
          <w:bCs/>
          <w:color w:val="222222"/>
          <w:sz w:val="22"/>
          <w:szCs w:val="22"/>
        </w:rPr>
        <w:t>Amendment 14 Notice of Availability and Proposed Rule</w:t>
      </w:r>
    </w:p>
    <w:p w:rsidR="001A3B89" w:rsidRPr="001A3B89" w:rsidRDefault="001A3B89" w:rsidP="001A3B89">
      <w:pPr>
        <w:shd w:val="clear" w:color="auto" w:fill="FFFFFF"/>
        <w:ind w:left="720"/>
        <w:rPr>
          <w:color w:val="222222"/>
          <w:sz w:val="22"/>
          <w:szCs w:val="22"/>
        </w:rPr>
      </w:pPr>
    </w:p>
    <w:p w:rsidR="001A3B89" w:rsidRPr="001A3B89" w:rsidRDefault="001A3B89" w:rsidP="001A3B89">
      <w:pPr>
        <w:shd w:val="clear" w:color="auto" w:fill="FFFFFF"/>
        <w:ind w:left="720"/>
        <w:rPr>
          <w:color w:val="222222"/>
          <w:sz w:val="22"/>
          <w:szCs w:val="22"/>
        </w:rPr>
      </w:pPr>
      <w:r w:rsidRPr="001A3B89">
        <w:rPr>
          <w:color w:val="222222"/>
          <w:sz w:val="22"/>
          <w:szCs w:val="22"/>
        </w:rPr>
        <w:t xml:space="preserve">A Notice of Availability (NOA) for Amendment 14 to the Atlantic Mackerel, Squids, and Butterfish FMP published in the Federal Register on August 12, 2013. </w:t>
      </w:r>
      <w:r>
        <w:rPr>
          <w:color w:val="222222"/>
          <w:sz w:val="22"/>
          <w:szCs w:val="22"/>
        </w:rPr>
        <w:t xml:space="preserve"> </w:t>
      </w:r>
      <w:r w:rsidRPr="001A3B89">
        <w:rPr>
          <w:color w:val="222222"/>
          <w:sz w:val="22"/>
          <w:szCs w:val="22"/>
        </w:rPr>
        <w:t>The comment period on the N</w:t>
      </w:r>
      <w:r>
        <w:rPr>
          <w:color w:val="222222"/>
          <w:sz w:val="22"/>
          <w:szCs w:val="22"/>
        </w:rPr>
        <w:t xml:space="preserve">OA closes on October 11, 2013.  </w:t>
      </w:r>
      <w:r w:rsidRPr="001A3B89">
        <w:rPr>
          <w:color w:val="222222"/>
          <w:sz w:val="22"/>
          <w:szCs w:val="22"/>
        </w:rPr>
        <w:t xml:space="preserve">A proposed rule for Amendment 14 published in the Federal Register on August 29, 2013. </w:t>
      </w:r>
      <w:r>
        <w:rPr>
          <w:color w:val="222222"/>
          <w:sz w:val="22"/>
          <w:szCs w:val="22"/>
        </w:rPr>
        <w:t xml:space="preserve"> </w:t>
      </w:r>
      <w:r w:rsidRPr="001A3B89">
        <w:rPr>
          <w:color w:val="222222"/>
          <w:sz w:val="22"/>
          <w:szCs w:val="22"/>
        </w:rPr>
        <w:t>The comment period on the proposed rule also closes on October 11, 2013.</w:t>
      </w:r>
    </w:p>
    <w:p w:rsidR="001A3B89" w:rsidRPr="001A3B89" w:rsidRDefault="001A3B89" w:rsidP="001A3B89">
      <w:pPr>
        <w:shd w:val="clear" w:color="auto" w:fill="FFFFFF"/>
        <w:ind w:left="720"/>
        <w:rPr>
          <w:color w:val="222222"/>
          <w:sz w:val="22"/>
          <w:szCs w:val="22"/>
        </w:rPr>
      </w:pPr>
    </w:p>
    <w:p w:rsidR="001A3B89" w:rsidRPr="001A3B89" w:rsidRDefault="001A3B89" w:rsidP="001A3B89">
      <w:pPr>
        <w:shd w:val="clear" w:color="auto" w:fill="FFFFFF"/>
        <w:ind w:left="720"/>
        <w:rPr>
          <w:color w:val="222222"/>
          <w:sz w:val="22"/>
          <w:szCs w:val="22"/>
        </w:rPr>
      </w:pPr>
      <w:r w:rsidRPr="001A3B89">
        <w:rPr>
          <w:color w:val="222222"/>
          <w:sz w:val="22"/>
          <w:szCs w:val="22"/>
        </w:rPr>
        <w:lastRenderedPageBreak/>
        <w:t xml:space="preserve">The goals of Amendment 14 are to: </w:t>
      </w:r>
      <w:r>
        <w:rPr>
          <w:color w:val="222222"/>
          <w:sz w:val="22"/>
          <w:szCs w:val="22"/>
        </w:rPr>
        <w:t xml:space="preserve"> </w:t>
      </w:r>
      <w:r w:rsidRPr="001A3B89">
        <w:rPr>
          <w:color w:val="222222"/>
          <w:sz w:val="22"/>
          <w:szCs w:val="22"/>
        </w:rPr>
        <w:t>Implement an effective program for monitoring river herring and shad incidental catch and bycatch in the MSB fisheries; and reduce the incidental catch and bycatch of river herring and shad in the mackerel fishery.  </w:t>
      </w:r>
    </w:p>
    <w:p w:rsidR="001A3B89" w:rsidRPr="001A3B89" w:rsidRDefault="001A3B89" w:rsidP="001A3B89">
      <w:pPr>
        <w:shd w:val="clear" w:color="auto" w:fill="FFFFFF"/>
        <w:ind w:left="720"/>
        <w:rPr>
          <w:color w:val="222222"/>
          <w:sz w:val="22"/>
          <w:szCs w:val="22"/>
        </w:rPr>
      </w:pPr>
    </w:p>
    <w:p w:rsidR="001A3B89" w:rsidRPr="001A3B89" w:rsidRDefault="001A3B89" w:rsidP="001A3B89">
      <w:pPr>
        <w:shd w:val="clear" w:color="auto" w:fill="FFFFFF"/>
        <w:ind w:left="720"/>
        <w:rPr>
          <w:color w:val="222222"/>
          <w:sz w:val="22"/>
          <w:szCs w:val="22"/>
        </w:rPr>
      </w:pPr>
      <w:r w:rsidRPr="001A3B89">
        <w:rPr>
          <w:color w:val="222222"/>
          <w:sz w:val="22"/>
          <w:szCs w:val="22"/>
        </w:rPr>
        <w:t xml:space="preserve">The proposed Amendment 14 management measures will include: </w:t>
      </w:r>
      <w:r>
        <w:rPr>
          <w:color w:val="222222"/>
          <w:sz w:val="22"/>
          <w:szCs w:val="22"/>
        </w:rPr>
        <w:t xml:space="preserve"> </w:t>
      </w:r>
      <w:r w:rsidRPr="001A3B89">
        <w:rPr>
          <w:color w:val="222222"/>
          <w:sz w:val="22"/>
          <w:szCs w:val="22"/>
        </w:rPr>
        <w:t>Revising fishery management program provisions (dealer and vessel reporting requirements, requirements for vessel monitoring systems, and trip notifications); increasing observer coverage and requiring industry to contribute funds towards the cost of increased observer coverage; expanding vessel requirements to maximize observer’s ability to sample catch at-sea; minimizing the discarding of unsampled catch; and a cap on the incidental catch and bycatch of river herring and shad in the mackerel fishery. </w:t>
      </w:r>
    </w:p>
    <w:p w:rsidR="001A3B89" w:rsidRPr="001A3B89" w:rsidRDefault="001A3B89" w:rsidP="001A3B89">
      <w:pPr>
        <w:shd w:val="clear" w:color="auto" w:fill="FFFFFF"/>
        <w:ind w:left="720"/>
        <w:rPr>
          <w:color w:val="222222"/>
          <w:sz w:val="22"/>
          <w:szCs w:val="22"/>
        </w:rPr>
      </w:pPr>
    </w:p>
    <w:p w:rsidR="001A3B89" w:rsidRPr="001A3B89" w:rsidRDefault="001A3B89" w:rsidP="001A3B89">
      <w:pPr>
        <w:shd w:val="clear" w:color="auto" w:fill="FFFFFF"/>
        <w:ind w:left="720"/>
        <w:rPr>
          <w:color w:val="222222"/>
          <w:sz w:val="22"/>
          <w:szCs w:val="22"/>
        </w:rPr>
      </w:pPr>
      <w:r w:rsidRPr="001A3B89">
        <w:rPr>
          <w:color w:val="222222"/>
          <w:sz w:val="22"/>
          <w:szCs w:val="22"/>
        </w:rPr>
        <w:t>Comments submitted on the NOA and/or the proposed rule prior to October 11, 2013, will be considered in NMFS's decision to approve, partially approv</w:t>
      </w:r>
      <w:r>
        <w:rPr>
          <w:color w:val="222222"/>
          <w:sz w:val="22"/>
          <w:szCs w:val="22"/>
        </w:rPr>
        <w:t xml:space="preserve">e, or disapprove Amendment 14. </w:t>
      </w:r>
      <w:r w:rsidRPr="001A3B89">
        <w:rPr>
          <w:color w:val="222222"/>
          <w:sz w:val="22"/>
          <w:szCs w:val="22"/>
        </w:rPr>
        <w:t xml:space="preserve"> For more information, please contact Aja </w:t>
      </w:r>
      <w:proofErr w:type="spellStart"/>
      <w:r w:rsidRPr="001A3B89">
        <w:rPr>
          <w:color w:val="222222"/>
          <w:sz w:val="22"/>
          <w:szCs w:val="22"/>
        </w:rPr>
        <w:t>Szumylo</w:t>
      </w:r>
      <w:proofErr w:type="spellEnd"/>
      <w:r w:rsidRPr="001A3B89">
        <w:rPr>
          <w:color w:val="222222"/>
          <w:sz w:val="22"/>
          <w:szCs w:val="22"/>
        </w:rPr>
        <w:t xml:space="preserve"> at</w:t>
      </w:r>
      <w:r>
        <w:rPr>
          <w:rStyle w:val="apple-converted-space"/>
          <w:color w:val="222222"/>
          <w:sz w:val="22"/>
          <w:szCs w:val="22"/>
        </w:rPr>
        <w:t xml:space="preserve"> </w:t>
      </w:r>
      <w:hyperlink r:id="rId16" w:tgtFrame="_blank" w:history="1">
        <w:r w:rsidRPr="001A3B89">
          <w:rPr>
            <w:rStyle w:val="Hyperlink"/>
            <w:color w:val="1155CC"/>
            <w:sz w:val="22"/>
            <w:szCs w:val="22"/>
          </w:rPr>
          <w:t>978-281-9195</w:t>
        </w:r>
      </w:hyperlink>
      <w:r w:rsidRPr="001A3B89">
        <w:rPr>
          <w:color w:val="222222"/>
          <w:sz w:val="22"/>
          <w:szCs w:val="22"/>
        </w:rPr>
        <w:t>, or</w:t>
      </w:r>
      <w:r>
        <w:rPr>
          <w:rStyle w:val="apple-converted-space"/>
          <w:color w:val="222222"/>
          <w:sz w:val="22"/>
          <w:szCs w:val="22"/>
        </w:rPr>
        <w:t xml:space="preserve"> </w:t>
      </w:r>
      <w:hyperlink r:id="rId17" w:tgtFrame="_blank" w:history="1">
        <w:r w:rsidRPr="001A3B89">
          <w:rPr>
            <w:rStyle w:val="Hyperlink"/>
            <w:color w:val="1155CC"/>
            <w:sz w:val="22"/>
            <w:szCs w:val="22"/>
          </w:rPr>
          <w:t>aja.szumylo@noaa.gov</w:t>
        </w:r>
      </w:hyperlink>
      <w:r w:rsidRPr="001A3B89">
        <w:rPr>
          <w:color w:val="222222"/>
          <w:sz w:val="22"/>
          <w:szCs w:val="22"/>
        </w:rPr>
        <w:t>.</w:t>
      </w:r>
    </w:p>
    <w:p w:rsidR="00F27614" w:rsidRPr="00F27614" w:rsidRDefault="00F27614" w:rsidP="00F27614">
      <w:pPr>
        <w:shd w:val="clear" w:color="auto" w:fill="FFFFFF"/>
        <w:ind w:left="720"/>
        <w:rPr>
          <w:color w:val="222222"/>
          <w:sz w:val="22"/>
          <w:szCs w:val="22"/>
        </w:rPr>
      </w:pPr>
    </w:p>
    <w:p w:rsidR="00B46B04" w:rsidRPr="00CE10AB" w:rsidRDefault="00B46B04" w:rsidP="0028161C">
      <w:pPr>
        <w:pStyle w:val="NoSpacing"/>
        <w:ind w:left="2160"/>
        <w:rPr>
          <w:rFonts w:ascii="Times New Roman" w:hAnsi="Times New Roman" w:cs="Times New Roman"/>
          <w:sz w:val="24"/>
          <w:szCs w:val="24"/>
        </w:rPr>
      </w:pPr>
    </w:p>
    <w:p w:rsidR="00B46B04" w:rsidRPr="006A302C" w:rsidRDefault="00B46B04" w:rsidP="00B46B04">
      <w:pPr>
        <w:pStyle w:val="Heading2"/>
        <w:spacing w:before="0" w:after="0"/>
        <w:rPr>
          <w:rFonts w:cs="Times New Roman"/>
        </w:rPr>
      </w:pPr>
      <w:r w:rsidRPr="006A302C">
        <w:rPr>
          <w:rFonts w:cs="Times New Roman"/>
        </w:rPr>
        <w:t>Tilefish</w:t>
      </w:r>
      <w:bookmarkEnd w:id="28"/>
    </w:p>
    <w:p w:rsidR="00B46B04" w:rsidRPr="002F14E7" w:rsidRDefault="00B46B04" w:rsidP="00B46B04">
      <w:pPr>
        <w:rPr>
          <w:sz w:val="22"/>
          <w:szCs w:val="22"/>
        </w:rPr>
      </w:pPr>
    </w:p>
    <w:bookmarkEnd w:id="13"/>
    <w:bookmarkEnd w:id="14"/>
    <w:bookmarkEnd w:id="15"/>
    <w:bookmarkEnd w:id="16"/>
    <w:bookmarkEnd w:id="17"/>
    <w:bookmarkEnd w:id="18"/>
    <w:bookmarkEnd w:id="19"/>
    <w:bookmarkEnd w:id="20"/>
    <w:p w:rsidR="00594094" w:rsidRPr="001A3B89" w:rsidRDefault="001A3B89" w:rsidP="00594094">
      <w:pPr>
        <w:pStyle w:val="NoSpacing"/>
        <w:ind w:left="720"/>
        <w:rPr>
          <w:rFonts w:ascii="Times New Roman" w:hAnsi="Times New Roman" w:cs="Times New Roman"/>
        </w:rPr>
      </w:pPr>
      <w:proofErr w:type="gramStart"/>
      <w:r w:rsidRPr="001A3B89">
        <w:rPr>
          <w:rFonts w:ascii="Times New Roman" w:hAnsi="Times New Roman" w:cs="Times New Roman"/>
        </w:rPr>
        <w:t>None at this time.</w:t>
      </w:r>
      <w:proofErr w:type="gramEnd"/>
    </w:p>
    <w:p w:rsidR="009C0D04" w:rsidRPr="002F14E7" w:rsidRDefault="009C0D04" w:rsidP="009C0D04">
      <w:pPr>
        <w:ind w:left="720"/>
        <w:rPr>
          <w:sz w:val="22"/>
          <w:szCs w:val="22"/>
        </w:rPr>
      </w:pPr>
    </w:p>
    <w:p w:rsidR="00036AA9" w:rsidRPr="007B45D4" w:rsidRDefault="00036AA9" w:rsidP="00036AA9">
      <w:pPr>
        <w:ind w:left="720"/>
        <w:rPr>
          <w:rFonts w:eastAsia="Calibri"/>
          <w:sz w:val="22"/>
          <w:szCs w:val="22"/>
          <w:u w:val="single"/>
        </w:rPr>
      </w:pPr>
      <w:r w:rsidRPr="007B45D4">
        <w:rPr>
          <w:rFonts w:eastAsia="Calibri"/>
          <w:sz w:val="22"/>
          <w:szCs w:val="22"/>
          <w:u w:val="single"/>
        </w:rPr>
        <w:t>2014-2016 Atlantic Surfclam and Ocean Quahog Specifications</w:t>
      </w:r>
    </w:p>
    <w:p w:rsidR="00036AA9" w:rsidRPr="00037F69" w:rsidRDefault="00036AA9" w:rsidP="00036AA9">
      <w:pPr>
        <w:ind w:left="720"/>
        <w:rPr>
          <w:rFonts w:eastAsia="Calibri"/>
          <w:sz w:val="22"/>
          <w:szCs w:val="22"/>
        </w:rPr>
      </w:pPr>
      <w:r>
        <w:rPr>
          <w:rFonts w:eastAsia="Calibri"/>
          <w:sz w:val="22"/>
          <w:szCs w:val="22"/>
        </w:rPr>
        <w:t xml:space="preserve">On November 7, 2013, NMFS published a proposed rule soliciting comment on the 2014-2016 quota specifications for the Atlantic surfclam and ocean quahog fisheries.  The comment period closed on November 22, 2013.  The proposed quotas are unchanged from the current quotas.  NMFS is now working to finalize the action and intends to have the quotas in place by the start of the surfclam and ocean quahog fishing year on January 1, 2014.  The specifications action would also continue to suspend the minimum size limit for surfclams pending the results of the annual review.  For additional information, contact Jason Berthiaume at (978) 281-9177, or </w:t>
      </w:r>
      <w:hyperlink r:id="rId18" w:history="1">
        <w:r w:rsidRPr="003102E7">
          <w:rPr>
            <w:rStyle w:val="Hyperlink"/>
            <w:rFonts w:eastAsia="Calibri"/>
            <w:sz w:val="22"/>
            <w:szCs w:val="22"/>
          </w:rPr>
          <w:t>Jason.Berthiaume@noaa.gov</w:t>
        </w:r>
      </w:hyperlink>
      <w:r>
        <w:rPr>
          <w:rFonts w:eastAsia="Calibri"/>
          <w:sz w:val="22"/>
          <w:szCs w:val="22"/>
        </w:rPr>
        <w:t xml:space="preserve">. </w:t>
      </w:r>
    </w:p>
    <w:p w:rsidR="00036AA9" w:rsidRPr="00037F69" w:rsidRDefault="00036AA9" w:rsidP="00036AA9">
      <w:pPr>
        <w:widowControl/>
        <w:tabs>
          <w:tab w:val="left" w:pos="720"/>
        </w:tabs>
        <w:autoSpaceDE/>
        <w:adjustRightInd/>
      </w:pPr>
    </w:p>
    <w:p w:rsidR="00037F69" w:rsidRPr="00037F69" w:rsidRDefault="00037F69" w:rsidP="00037F69">
      <w:pPr>
        <w:pStyle w:val="Heading1"/>
        <w:spacing w:before="0" w:after="0"/>
        <w:rPr>
          <w:rFonts w:cs="Times New Roman"/>
          <w:u w:val="single"/>
        </w:rPr>
      </w:pPr>
      <w:r w:rsidRPr="00037F69">
        <w:rPr>
          <w:rFonts w:cs="Times New Roman"/>
          <w:u w:val="single"/>
        </w:rPr>
        <w:t>Other Actions</w:t>
      </w:r>
    </w:p>
    <w:p w:rsidR="00037F69" w:rsidRDefault="00037F69" w:rsidP="00037F69">
      <w:pPr>
        <w:ind w:left="720"/>
        <w:rPr>
          <w:sz w:val="22"/>
          <w:szCs w:val="22"/>
        </w:rPr>
      </w:pPr>
    </w:p>
    <w:p w:rsidR="000659EF" w:rsidRPr="000659EF" w:rsidRDefault="000659EF" w:rsidP="00037F69">
      <w:pPr>
        <w:ind w:left="720"/>
        <w:rPr>
          <w:sz w:val="22"/>
          <w:szCs w:val="22"/>
        </w:rPr>
      </w:pPr>
      <w:r>
        <w:rPr>
          <w:sz w:val="22"/>
          <w:szCs w:val="22"/>
          <w:u w:val="single"/>
        </w:rPr>
        <w:t>Paperwork Reduction Act Request for Comments</w:t>
      </w:r>
    </w:p>
    <w:p w:rsidR="000659EF" w:rsidRDefault="000659EF" w:rsidP="00037F69">
      <w:pPr>
        <w:ind w:left="720"/>
        <w:rPr>
          <w:sz w:val="22"/>
          <w:szCs w:val="22"/>
        </w:rPr>
      </w:pPr>
    </w:p>
    <w:p w:rsidR="000659EF" w:rsidRPr="00E34E9F" w:rsidRDefault="000659EF" w:rsidP="000659EF">
      <w:pPr>
        <w:ind w:left="720"/>
        <w:rPr>
          <w:bCs/>
          <w:sz w:val="22"/>
          <w:szCs w:val="22"/>
        </w:rPr>
      </w:pPr>
      <w:r w:rsidRPr="00E34E9F">
        <w:rPr>
          <w:bCs/>
          <w:sz w:val="22"/>
          <w:szCs w:val="22"/>
        </w:rPr>
        <w:t xml:space="preserve">On November 15, 2013, NMFS published a notice in the </w:t>
      </w:r>
      <w:r w:rsidRPr="00E34E9F">
        <w:rPr>
          <w:bCs/>
          <w:sz w:val="22"/>
          <w:szCs w:val="22"/>
          <w:u w:val="single"/>
        </w:rPr>
        <w:t>Federal</w:t>
      </w:r>
      <w:r w:rsidRPr="00E34E9F">
        <w:rPr>
          <w:bCs/>
          <w:sz w:val="22"/>
          <w:szCs w:val="22"/>
        </w:rPr>
        <w:t xml:space="preserve"> </w:t>
      </w:r>
      <w:r w:rsidRPr="00E34E9F">
        <w:rPr>
          <w:bCs/>
          <w:sz w:val="22"/>
          <w:szCs w:val="22"/>
          <w:u w:val="single"/>
        </w:rPr>
        <w:t>Register</w:t>
      </w:r>
      <w:r w:rsidRPr="00E34E9F">
        <w:rPr>
          <w:bCs/>
          <w:sz w:val="22"/>
          <w:szCs w:val="22"/>
        </w:rPr>
        <w:t xml:space="preserve"> soliciting comment on the renewal of collection of information requirements regarding fishing gear marking requirements.  Federal regulations require Federal fishery permit holders using certain types of fishing gear mark the gear with specified information.  The gear marking requirements provide vessel and gear identification information (e.g., hull identification number, Federal fishing permit number, etc.).  The regulations also specify how the gear is to be marked for the purposes of visibility (e.g., buoys, radar reflectors, etc.).  These gear marking requirements aid in fishery law enforcement, make the gear more visible to other vessels to aid in navigation, and provide other fisherman with information regarding the gear type being used to help prevent gear conflicts.  For additional information contact Jason Berthiaume at (978) 281-9177 or at </w:t>
      </w:r>
      <w:hyperlink r:id="rId19" w:history="1">
        <w:r w:rsidRPr="00E34E9F">
          <w:rPr>
            <w:rStyle w:val="Hyperlink"/>
            <w:bCs/>
            <w:sz w:val="22"/>
            <w:szCs w:val="22"/>
          </w:rPr>
          <w:t>Jason.Berthiaume@noaa.gov</w:t>
        </w:r>
      </w:hyperlink>
      <w:r w:rsidRPr="00E34E9F">
        <w:rPr>
          <w:bCs/>
          <w:sz w:val="22"/>
          <w:szCs w:val="22"/>
        </w:rPr>
        <w:t xml:space="preserve">.  The full </w:t>
      </w:r>
      <w:r w:rsidRPr="00E34E9F">
        <w:rPr>
          <w:bCs/>
          <w:sz w:val="22"/>
          <w:szCs w:val="22"/>
          <w:u w:val="single"/>
        </w:rPr>
        <w:t>Federal</w:t>
      </w:r>
      <w:r w:rsidRPr="00E34E9F">
        <w:rPr>
          <w:bCs/>
          <w:sz w:val="22"/>
          <w:szCs w:val="22"/>
        </w:rPr>
        <w:t xml:space="preserve"> </w:t>
      </w:r>
      <w:r w:rsidRPr="00E34E9F">
        <w:rPr>
          <w:bCs/>
          <w:sz w:val="22"/>
          <w:szCs w:val="22"/>
          <w:u w:val="single"/>
        </w:rPr>
        <w:t>Register</w:t>
      </w:r>
      <w:r w:rsidRPr="00E34E9F">
        <w:rPr>
          <w:bCs/>
          <w:sz w:val="22"/>
          <w:szCs w:val="22"/>
        </w:rPr>
        <w:t xml:space="preserve"> notice is also available online at:</w:t>
      </w:r>
    </w:p>
    <w:p w:rsidR="000659EF" w:rsidRPr="00E34E9F" w:rsidRDefault="000659EF" w:rsidP="000659EF">
      <w:pPr>
        <w:ind w:left="720"/>
        <w:rPr>
          <w:bCs/>
          <w:sz w:val="22"/>
          <w:szCs w:val="22"/>
        </w:rPr>
      </w:pPr>
    </w:p>
    <w:p w:rsidR="000659EF" w:rsidRPr="00E34E9F" w:rsidRDefault="003D11E8" w:rsidP="000659EF">
      <w:pPr>
        <w:ind w:left="720"/>
        <w:rPr>
          <w:bCs/>
          <w:sz w:val="22"/>
          <w:szCs w:val="22"/>
        </w:rPr>
      </w:pPr>
      <w:hyperlink r:id="rId20" w:history="1">
        <w:r w:rsidR="000659EF" w:rsidRPr="00E34E9F">
          <w:rPr>
            <w:rStyle w:val="Hyperlink"/>
            <w:sz w:val="22"/>
            <w:szCs w:val="22"/>
          </w:rPr>
          <w:t>www.federalregister.gov/articles/2013/11/15/2013-27340/proposed-information-collection-</w:t>
        </w:r>
        <w:r w:rsidR="000659EF" w:rsidRPr="00E34E9F">
          <w:rPr>
            <w:rStyle w:val="Hyperlink"/>
            <w:sz w:val="22"/>
            <w:szCs w:val="22"/>
          </w:rPr>
          <w:lastRenderedPageBreak/>
          <w:t>comment-request-northeast-region-gear-identification</w:t>
        </w:r>
      </w:hyperlink>
    </w:p>
    <w:p w:rsidR="000659EF" w:rsidRDefault="000659EF" w:rsidP="00037F69">
      <w:pPr>
        <w:ind w:left="720"/>
        <w:rPr>
          <w:sz w:val="22"/>
          <w:szCs w:val="22"/>
        </w:rPr>
      </w:pPr>
    </w:p>
    <w:p w:rsidR="002A4F38" w:rsidRPr="006D2E18" w:rsidRDefault="002A4F38" w:rsidP="002A4F38">
      <w:pPr>
        <w:pStyle w:val="NoSpacing"/>
        <w:ind w:left="720"/>
        <w:rPr>
          <w:rFonts w:ascii="Times New Roman" w:hAnsi="Times New Roman" w:cs="Times New Roman"/>
          <w:u w:val="single"/>
        </w:rPr>
      </w:pPr>
      <w:r w:rsidRPr="006D2E18">
        <w:rPr>
          <w:rFonts w:ascii="Times New Roman" w:hAnsi="Times New Roman" w:cs="Times New Roman"/>
          <w:u w:val="single"/>
          <w:shd w:val="clear" w:color="auto" w:fill="FFFFFF"/>
        </w:rPr>
        <w:t>River Herring</w:t>
      </w:r>
      <w:r>
        <w:rPr>
          <w:rFonts w:ascii="Times New Roman" w:hAnsi="Times New Roman" w:cs="Times New Roman"/>
          <w:u w:val="single"/>
          <w:shd w:val="clear" w:color="auto" w:fill="FFFFFF"/>
        </w:rPr>
        <w:t>:</w:t>
      </w:r>
      <w:r w:rsidRPr="006D2E18">
        <w:rPr>
          <w:rFonts w:ascii="Times New Roman" w:hAnsi="Times New Roman" w:cs="Times New Roman"/>
          <w:u w:val="single"/>
          <w:shd w:val="clear" w:color="auto" w:fill="FFFFFF"/>
        </w:rPr>
        <w:t xml:space="preserve"> Proactive Conservation Effort</w:t>
      </w:r>
    </w:p>
    <w:p w:rsidR="002A4F38" w:rsidRPr="006D2E18" w:rsidRDefault="002A4F38" w:rsidP="002A4F38">
      <w:pPr>
        <w:pStyle w:val="NoSpacing"/>
        <w:ind w:left="720"/>
        <w:rPr>
          <w:rFonts w:ascii="Times New Roman" w:hAnsi="Times New Roman" w:cs="Times New Roman"/>
        </w:rPr>
      </w:pPr>
    </w:p>
    <w:p w:rsidR="002A4F38" w:rsidRDefault="002A4F38" w:rsidP="002A4F38">
      <w:pPr>
        <w:pStyle w:val="NoSpacing"/>
        <w:ind w:left="720"/>
        <w:rPr>
          <w:rFonts w:ascii="Times New Roman" w:hAnsi="Times New Roman" w:cs="Times New Roman"/>
        </w:rPr>
      </w:pPr>
      <w:r w:rsidRPr="006D2E18">
        <w:rPr>
          <w:rFonts w:ascii="Times New Roman" w:hAnsi="Times New Roman" w:cs="Times New Roman"/>
        </w:rPr>
        <w:t xml:space="preserve">In early August, when NOAA Fisheries published our ESA listing decision for river herring, we indicated that we were partnering with ASMFC to form a technical expert working group.  The work group will be focused on developing a single, dynamic conservation plan to help restore river herring throughout their entire range from Canada to Florida, identifying and implementing important conservation efforts, and conducting research to fill in some of the critical data gaps for these species.  NOAA Fisheries has provided funds to ASMFC, and we have been working together on plans for this process.  Planning was slightly delayed by the government shutdown, but now that </w:t>
      </w:r>
      <w:proofErr w:type="gramStart"/>
      <w:r w:rsidRPr="006D2E18">
        <w:rPr>
          <w:rFonts w:ascii="Times New Roman" w:hAnsi="Times New Roman" w:cs="Times New Roman"/>
        </w:rPr>
        <w:t>staff are</w:t>
      </w:r>
      <w:proofErr w:type="gramEnd"/>
      <w:r w:rsidRPr="006D2E18">
        <w:rPr>
          <w:rFonts w:ascii="Times New Roman" w:hAnsi="Times New Roman" w:cs="Times New Roman"/>
        </w:rPr>
        <w:t xml:space="preserve"> back, NOAA Fisheries and ASMFC intend to contact potential working group members within the next couple of weeks and schedule the group’s first meeting hopefully before the end of the year.</w:t>
      </w:r>
      <w:r>
        <w:rPr>
          <w:rFonts w:ascii="Times New Roman" w:hAnsi="Times New Roman" w:cs="Times New Roman"/>
        </w:rPr>
        <w:t xml:space="preserve"> </w:t>
      </w:r>
      <w:r w:rsidRPr="006D2E18">
        <w:rPr>
          <w:rFonts w:ascii="Times New Roman" w:hAnsi="Times New Roman" w:cs="Times New Roman"/>
        </w:rPr>
        <w:t xml:space="preserve"> Ideally, this effort will include technical experts from the following categories:</w:t>
      </w:r>
      <w:r>
        <w:rPr>
          <w:rFonts w:ascii="Times New Roman" w:hAnsi="Times New Roman" w:cs="Times New Roman"/>
        </w:rPr>
        <w:t xml:space="preserve"> </w:t>
      </w:r>
      <w:r w:rsidRPr="006D2E18">
        <w:rPr>
          <w:rFonts w:ascii="Times New Roman" w:hAnsi="Times New Roman" w:cs="Times New Roman"/>
        </w:rPr>
        <w:t xml:space="preserve"> Federal government agencies (NOAA, U.S. Fish and Wildlife Service, Environmental Protection Agency, Federal Energy Regulatory Commission, U.S. Geological Survey, U.S. Army Corps of Engineers, etc.), ASMFC, the Fishery Management Councils, state fish/wildlife agencies, East Coast Native American Tribes and First Nations, environmental/conservation groups, scientific/academic representatives, industry (e.g., hydroelectric and fishing), and recreational interests.</w:t>
      </w:r>
    </w:p>
    <w:p w:rsidR="002A4F38" w:rsidRPr="006D2E18" w:rsidRDefault="002A4F38" w:rsidP="002A4F38">
      <w:pPr>
        <w:pStyle w:val="NoSpacing"/>
        <w:ind w:left="720"/>
        <w:rPr>
          <w:rFonts w:ascii="Times New Roman" w:hAnsi="Times New Roman" w:cs="Times New Roman"/>
        </w:rPr>
      </w:pPr>
    </w:p>
    <w:p w:rsidR="002A4F38" w:rsidRPr="006D2E18" w:rsidRDefault="002A4F38" w:rsidP="002A4F38">
      <w:pPr>
        <w:pStyle w:val="NoSpacing"/>
        <w:ind w:left="720"/>
        <w:rPr>
          <w:rFonts w:ascii="Times New Roman" w:hAnsi="Times New Roman" w:cs="Times New Roman"/>
        </w:rPr>
      </w:pPr>
      <w:r w:rsidRPr="006D2E18">
        <w:rPr>
          <w:rFonts w:ascii="Times New Roman" w:hAnsi="Times New Roman" w:cs="Times New Roman"/>
        </w:rPr>
        <w:t xml:space="preserve">Recently, the Mid-Atlantic Fishery Management Council met and announced plans to form an Interagency Working Group to address threats to river herring and shad. </w:t>
      </w:r>
      <w:r>
        <w:rPr>
          <w:rFonts w:ascii="Times New Roman" w:hAnsi="Times New Roman" w:cs="Times New Roman"/>
        </w:rPr>
        <w:t xml:space="preserve"> </w:t>
      </w:r>
      <w:r w:rsidRPr="006D2E18">
        <w:rPr>
          <w:rFonts w:ascii="Times New Roman" w:hAnsi="Times New Roman" w:cs="Times New Roman"/>
        </w:rPr>
        <w:t>This complement</w:t>
      </w:r>
      <w:r>
        <w:rPr>
          <w:rFonts w:ascii="Times New Roman" w:hAnsi="Times New Roman" w:cs="Times New Roman"/>
        </w:rPr>
        <w:t>s</w:t>
      </w:r>
      <w:r w:rsidRPr="006D2E18">
        <w:rPr>
          <w:rFonts w:ascii="Times New Roman" w:hAnsi="Times New Roman" w:cs="Times New Roman"/>
        </w:rPr>
        <w:t xml:space="preserve"> the NOAA Fisheries/ASMFC efforts to further proactive river herring conservation, and we have been coordinating on how best to approach </w:t>
      </w:r>
      <w:r>
        <w:rPr>
          <w:rFonts w:ascii="Times New Roman" w:hAnsi="Times New Roman" w:cs="Times New Roman"/>
        </w:rPr>
        <w:t>it</w:t>
      </w:r>
      <w:r w:rsidRPr="006D2E18">
        <w:rPr>
          <w:rFonts w:ascii="Times New Roman" w:hAnsi="Times New Roman" w:cs="Times New Roman"/>
        </w:rPr>
        <w:t xml:space="preserve">. </w:t>
      </w:r>
      <w:r>
        <w:rPr>
          <w:rFonts w:ascii="Times New Roman" w:hAnsi="Times New Roman" w:cs="Times New Roman"/>
        </w:rPr>
        <w:t xml:space="preserve"> </w:t>
      </w:r>
      <w:r w:rsidRPr="006D2E18">
        <w:rPr>
          <w:rFonts w:ascii="Times New Roman" w:hAnsi="Times New Roman" w:cs="Times New Roman"/>
        </w:rPr>
        <w:t>The coordination occurring now among NOAA Fisheries, AMSFC, MAFMC and the NEFMC is intended to maximize limited resources and identify ways to complement ongoing efforts without duplication.</w:t>
      </w:r>
      <w:r>
        <w:rPr>
          <w:rFonts w:ascii="Times New Roman" w:hAnsi="Times New Roman" w:cs="Times New Roman"/>
        </w:rPr>
        <w:t xml:space="preserve"> </w:t>
      </w:r>
      <w:r w:rsidRPr="006D2E18">
        <w:rPr>
          <w:rFonts w:ascii="Times New Roman" w:hAnsi="Times New Roman" w:cs="Times New Roman"/>
        </w:rPr>
        <w:t xml:space="preserve"> The details of this collaborative effort are still being worked out; however, it is clear that the NOAA Fisheries, ASMFC, MAFMC and NEFMC share a desire to work together to conserve river herring.</w:t>
      </w:r>
      <w:r>
        <w:rPr>
          <w:rFonts w:ascii="Times New Roman" w:hAnsi="Times New Roman" w:cs="Times New Roman"/>
        </w:rPr>
        <w:t xml:space="preserve"> </w:t>
      </w:r>
      <w:r w:rsidRPr="006D2E18">
        <w:rPr>
          <w:rFonts w:ascii="Times New Roman" w:hAnsi="Times New Roman" w:cs="Times New Roman"/>
        </w:rPr>
        <w:t xml:space="preserve"> We are also reaching out to the Atlantic Coastal Fish Habitat Partnership, which received a grant from the National Fish and Wildlife Foundation (NFWF), to conduct a multi-region webinar to gather river-system specific information related to river herring habitat.  </w:t>
      </w:r>
    </w:p>
    <w:p w:rsidR="002A4F38" w:rsidRDefault="002A4F38" w:rsidP="00037F69">
      <w:pPr>
        <w:ind w:left="720"/>
        <w:rPr>
          <w:sz w:val="22"/>
          <w:szCs w:val="22"/>
        </w:rPr>
      </w:pPr>
    </w:p>
    <w:p w:rsidR="00071C02" w:rsidRPr="00CA13F3" w:rsidRDefault="00071C02" w:rsidP="00071C02">
      <w:pPr>
        <w:pStyle w:val="NoSpacing"/>
        <w:ind w:left="720"/>
        <w:rPr>
          <w:rFonts w:ascii="Times New Roman" w:hAnsi="Times New Roman" w:cs="Times New Roman"/>
          <w:u w:val="single"/>
        </w:rPr>
      </w:pPr>
      <w:r w:rsidRPr="00CA13F3">
        <w:rPr>
          <w:rFonts w:ascii="Times New Roman" w:hAnsi="Times New Roman" w:cs="Times New Roman"/>
          <w:u w:val="single"/>
        </w:rPr>
        <w:t xml:space="preserve">Recreational Omnibus Accountability Measures Amendment </w:t>
      </w:r>
    </w:p>
    <w:p w:rsidR="00071C02" w:rsidRPr="00CA13F3" w:rsidRDefault="00071C02" w:rsidP="00071C02">
      <w:pPr>
        <w:pStyle w:val="NoSpacing"/>
        <w:ind w:left="720"/>
        <w:rPr>
          <w:rFonts w:ascii="Times New Roman" w:hAnsi="Times New Roman" w:cs="Times New Roman"/>
        </w:rPr>
      </w:pPr>
    </w:p>
    <w:p w:rsidR="00071C02" w:rsidRDefault="00071C02" w:rsidP="00071C02">
      <w:pPr>
        <w:ind w:left="720"/>
      </w:pPr>
      <w:r>
        <w:t xml:space="preserve">On December 4, 2013, NMFS, on behalf of the Secretary of Commerce, partially approved the </w:t>
      </w:r>
      <w:r w:rsidRPr="00B70F51">
        <w:t>Recreational Accountability Measures Omnibus Amendment.  The implementing</w:t>
      </w:r>
      <w:r>
        <w:t xml:space="preserve"> final rule will be published soon in the </w:t>
      </w:r>
      <w:r>
        <w:rPr>
          <w:i/>
        </w:rPr>
        <w:t>Federal Register</w:t>
      </w:r>
      <w:r>
        <w:t xml:space="preserve">.  </w:t>
      </w:r>
    </w:p>
    <w:p w:rsidR="00071C02" w:rsidRDefault="00071C02" w:rsidP="00071C02">
      <w:pPr>
        <w:ind w:left="720"/>
      </w:pPr>
    </w:p>
    <w:p w:rsidR="00071C02" w:rsidRDefault="00071C02" w:rsidP="00071C02">
      <w:pPr>
        <w:ind w:left="720"/>
      </w:pPr>
      <w:r>
        <w:t xml:space="preserve">The majority of the amendment has been approved.  As called for in the amendment, we will remove the in-season closure requirement and the pound-for-pound payback will be replaced with a </w:t>
      </w:r>
      <w:r w:rsidRPr="006C211F">
        <w:t xml:space="preserve">system of reactive </w:t>
      </w:r>
      <w:r>
        <w:t>accountability measures</w:t>
      </w:r>
      <w:r w:rsidRPr="006C211F">
        <w:t xml:space="preserve"> that would result in a payback only under certain conditions</w:t>
      </w:r>
      <w:r>
        <w:t xml:space="preserve">, as described in the Amendment, including scaling the payback, if necessary, relative to the stock condition.  </w:t>
      </w:r>
    </w:p>
    <w:p w:rsidR="00071C02" w:rsidRDefault="00071C02" w:rsidP="00071C02">
      <w:pPr>
        <w:ind w:left="720"/>
      </w:pPr>
    </w:p>
    <w:p w:rsidR="00071C02" w:rsidRDefault="00071C02" w:rsidP="00071C02">
      <w:pPr>
        <w:ind w:left="720"/>
      </w:pPr>
      <w:r>
        <w:t xml:space="preserve">The portion of the Amendment that was disapproved was the measure to use the lower confidence interval, as opposed to the point estimate, to determine if the annual catch limit </w:t>
      </w:r>
      <w:r>
        <w:lastRenderedPageBreak/>
        <w:t>was exceeded.  This measure was disapproved because it violated the National Standard 2 requirement to use the best scientific information available.</w:t>
      </w:r>
    </w:p>
    <w:p w:rsidR="00070E0E" w:rsidRDefault="00070E0E" w:rsidP="00071C02">
      <w:pPr>
        <w:ind w:left="1440"/>
        <w:rPr>
          <w:sz w:val="22"/>
          <w:szCs w:val="22"/>
        </w:rPr>
      </w:pPr>
    </w:p>
    <w:p w:rsidR="00095C9B" w:rsidRDefault="00095C9B" w:rsidP="00095C9B">
      <w:pPr>
        <w:pStyle w:val="Heading2"/>
        <w:spacing w:before="0" w:after="0"/>
        <w:rPr>
          <w:rFonts w:cs="Times New Roman"/>
        </w:rPr>
      </w:pPr>
      <w:r>
        <w:rPr>
          <w:rFonts w:cs="Times New Roman"/>
        </w:rPr>
        <w:t>Lobster</w:t>
      </w:r>
    </w:p>
    <w:p w:rsidR="00095C9B" w:rsidRDefault="00095C9B" w:rsidP="00095C9B">
      <w:pPr>
        <w:pStyle w:val="NoSpacing"/>
        <w:ind w:left="720"/>
        <w:rPr>
          <w:rFonts w:ascii="Times New Roman" w:hAnsi="Times New Roman" w:cs="Times New Roman"/>
        </w:rPr>
      </w:pPr>
    </w:p>
    <w:p w:rsidR="00CA13F3" w:rsidRPr="00CD6F61" w:rsidRDefault="00CA13F3" w:rsidP="00CA13F3">
      <w:pPr>
        <w:ind w:left="720"/>
        <w:rPr>
          <w:rFonts w:eastAsiaTheme="minorHAnsi"/>
          <w:sz w:val="22"/>
          <w:szCs w:val="22"/>
        </w:rPr>
      </w:pPr>
      <w:r w:rsidRPr="003E16BB">
        <w:rPr>
          <w:rFonts w:eastAsiaTheme="minorHAnsi"/>
          <w:sz w:val="22"/>
          <w:szCs w:val="22"/>
        </w:rPr>
        <w:t>N</w:t>
      </w:r>
      <w:r w:rsidRPr="00C0042E">
        <w:rPr>
          <w:rFonts w:eastAsiaTheme="minorHAnsi"/>
          <w:sz w:val="22"/>
          <w:szCs w:val="22"/>
        </w:rPr>
        <w:t>OAA Fisheries</w:t>
      </w:r>
      <w:r w:rsidRPr="00CD6F61">
        <w:rPr>
          <w:rFonts w:eastAsiaTheme="minorHAnsi"/>
          <w:sz w:val="22"/>
          <w:szCs w:val="22"/>
        </w:rPr>
        <w:t xml:space="preserve"> published an Advanced Notice of Proposed Rulemaking (ANPR) on August 20, 2013 (78 FR 51131) requesting comment on upcoming measures to address low abundance of the SNE American lobster stock and persistent recruitment failure caused by a combination of environmental factors and continued fishing mortality.  Measures, as approved by the Atlantic States Marine Fisheries Commission (Commission) in Addenda XVII and XVIII to Amendment 3 to the Commission’s Interstate Fishery Management Plan for American Lobster, include:  American lobster minimum size increases, mandatory v-notching of egg-bearing female American lobsters, seasonal closures, and trap allocation reductions.  </w:t>
      </w:r>
      <w:r w:rsidRPr="003E16BB">
        <w:rPr>
          <w:rFonts w:eastAsiaTheme="minorHAnsi"/>
          <w:sz w:val="22"/>
          <w:szCs w:val="22"/>
        </w:rPr>
        <w:t>The comment period closed September 19, 2013</w:t>
      </w:r>
      <w:r>
        <w:rPr>
          <w:rFonts w:eastAsiaTheme="minorHAnsi"/>
          <w:sz w:val="22"/>
          <w:szCs w:val="22"/>
        </w:rPr>
        <w:t xml:space="preserve">; so far we have received 4 comments. </w:t>
      </w:r>
      <w:r w:rsidRPr="00CD6F61">
        <w:rPr>
          <w:rFonts w:eastAsiaTheme="minorHAnsi"/>
          <w:sz w:val="22"/>
          <w:szCs w:val="22"/>
        </w:rPr>
        <w:t xml:space="preserve">A proposed rule is expected to publish this fall.  </w:t>
      </w:r>
      <w:r w:rsidRPr="003E16BB">
        <w:rPr>
          <w:rFonts w:eastAsiaTheme="minorHAnsi"/>
          <w:sz w:val="22"/>
          <w:szCs w:val="22"/>
        </w:rPr>
        <w:t>The ANPR may be ob</w:t>
      </w:r>
      <w:r w:rsidRPr="00C0042E">
        <w:rPr>
          <w:rFonts w:eastAsiaTheme="minorHAnsi"/>
          <w:sz w:val="22"/>
          <w:szCs w:val="22"/>
        </w:rPr>
        <w:t>tained at</w:t>
      </w:r>
      <w:r w:rsidRPr="00AD3D78">
        <w:rPr>
          <w:rFonts w:eastAsiaTheme="minorHAnsi"/>
          <w:sz w:val="22"/>
          <w:szCs w:val="22"/>
        </w:rPr>
        <w:t xml:space="preserve"> </w:t>
      </w:r>
      <w:hyperlink r:id="rId21" w:history="1">
        <w:r w:rsidRPr="00CD6F61">
          <w:rPr>
            <w:rFonts w:eastAsiaTheme="minorHAnsi"/>
          </w:rPr>
          <w:t>www.nero.noaa/sfd/lobster</w:t>
        </w:r>
      </w:hyperlink>
      <w:r w:rsidRPr="003E16BB">
        <w:rPr>
          <w:rFonts w:eastAsiaTheme="minorHAnsi"/>
          <w:sz w:val="22"/>
          <w:szCs w:val="22"/>
        </w:rPr>
        <w:t xml:space="preserve">. </w:t>
      </w:r>
      <w:r w:rsidRPr="00C0042E">
        <w:rPr>
          <w:rFonts w:eastAsiaTheme="minorHAnsi"/>
          <w:sz w:val="22"/>
          <w:szCs w:val="22"/>
        </w:rPr>
        <w:t xml:space="preserve">For questions, contact Allison Murphy, Fishery Policy Analyst at (978) </w:t>
      </w:r>
      <w:r w:rsidRPr="00AD3D78">
        <w:rPr>
          <w:rFonts w:eastAsiaTheme="minorHAnsi"/>
          <w:sz w:val="22"/>
          <w:szCs w:val="22"/>
        </w:rPr>
        <w:t>978-281-9122, allison.murphy@noaa.gov</w:t>
      </w:r>
    </w:p>
    <w:p w:rsidR="00946014" w:rsidRDefault="00946014" w:rsidP="00037F69">
      <w:pPr>
        <w:ind w:left="720"/>
        <w:rPr>
          <w:sz w:val="22"/>
          <w:szCs w:val="22"/>
        </w:rPr>
      </w:pPr>
    </w:p>
    <w:p w:rsidR="00755D41" w:rsidRDefault="00755D41" w:rsidP="00037F69">
      <w:pPr>
        <w:pStyle w:val="Heading1"/>
        <w:spacing w:before="0" w:after="0"/>
        <w:rPr>
          <w:rFonts w:cs="Times New Roman"/>
          <w:sz w:val="28"/>
          <w:szCs w:val="28"/>
          <w:u w:val="single"/>
        </w:rPr>
      </w:pPr>
      <w:bookmarkStart w:id="29" w:name="_Toc210814299"/>
      <w:bookmarkStart w:id="30" w:name="_Toc210814793"/>
      <w:bookmarkStart w:id="31" w:name="_Toc210816453"/>
      <w:bookmarkStart w:id="32" w:name="_Toc214445948"/>
      <w:bookmarkStart w:id="33" w:name="_Toc296084450"/>
    </w:p>
    <w:p w:rsidR="00037F69" w:rsidRPr="00D55AEA" w:rsidRDefault="00037F69" w:rsidP="00037F69">
      <w:pPr>
        <w:pStyle w:val="Heading1"/>
        <w:spacing w:before="0" w:after="0"/>
        <w:rPr>
          <w:rFonts w:cs="Times New Roman"/>
          <w:sz w:val="28"/>
          <w:szCs w:val="28"/>
          <w:u w:val="single"/>
        </w:rPr>
      </w:pPr>
      <w:r w:rsidRPr="00037F69">
        <w:rPr>
          <w:rFonts w:cs="Times New Roman"/>
          <w:sz w:val="28"/>
          <w:szCs w:val="28"/>
          <w:u w:val="single"/>
        </w:rPr>
        <w:t>Experimental Fishery Actions</w:t>
      </w:r>
      <w:bookmarkEnd w:id="29"/>
      <w:bookmarkEnd w:id="30"/>
      <w:bookmarkEnd w:id="31"/>
      <w:bookmarkEnd w:id="32"/>
      <w:bookmarkEnd w:id="33"/>
    </w:p>
    <w:p w:rsidR="00037F69" w:rsidRPr="00D55AEA" w:rsidRDefault="00037F69" w:rsidP="00037F69"/>
    <w:p w:rsidR="00594094" w:rsidRDefault="00594094" w:rsidP="00594094">
      <w:pPr>
        <w:pStyle w:val="Heading2"/>
        <w:spacing w:before="0" w:after="0"/>
        <w:rPr>
          <w:sz w:val="24"/>
          <w:szCs w:val="24"/>
        </w:rPr>
      </w:pPr>
      <w:bookmarkStart w:id="34" w:name="_Toc296084451"/>
      <w:r w:rsidRPr="00D55AEA">
        <w:rPr>
          <w:sz w:val="24"/>
          <w:szCs w:val="24"/>
        </w:rPr>
        <w:t xml:space="preserve">Research Document </w:t>
      </w:r>
      <w:bookmarkEnd w:id="34"/>
      <w:r w:rsidRPr="00D55AEA">
        <w:rPr>
          <w:sz w:val="24"/>
          <w:szCs w:val="24"/>
        </w:rPr>
        <w:t>Applications under Review</w:t>
      </w:r>
    </w:p>
    <w:p w:rsidR="00070E0E" w:rsidRDefault="00070E0E" w:rsidP="00070E0E"/>
    <w:p w:rsidR="00070E0E" w:rsidRPr="00070E0E" w:rsidRDefault="00070E0E" w:rsidP="00070E0E">
      <w:pPr>
        <w:ind w:left="720"/>
      </w:pPr>
      <w:r>
        <w:t>No new research applications at this time.</w:t>
      </w:r>
    </w:p>
    <w:p w:rsidR="00070E0E" w:rsidRDefault="00070E0E" w:rsidP="00594094">
      <w:pPr>
        <w:pStyle w:val="NoSpacing"/>
        <w:rPr>
          <w:rFonts w:ascii="Times New Roman" w:hAnsi="Times New Roman" w:cs="Times New Roman"/>
          <w:b/>
          <w:sz w:val="24"/>
          <w:szCs w:val="24"/>
        </w:rPr>
      </w:pPr>
      <w:bookmarkStart w:id="35" w:name="_Toc296084452"/>
    </w:p>
    <w:p w:rsidR="00594094" w:rsidRPr="00946014" w:rsidRDefault="00594094" w:rsidP="00594094">
      <w:pPr>
        <w:pStyle w:val="NoSpacing"/>
        <w:rPr>
          <w:rFonts w:ascii="Times New Roman" w:hAnsi="Times New Roman" w:cs="Times New Roman"/>
          <w:b/>
          <w:sz w:val="24"/>
          <w:szCs w:val="24"/>
        </w:rPr>
      </w:pPr>
      <w:r w:rsidRPr="00946014">
        <w:rPr>
          <w:rFonts w:ascii="Times New Roman" w:hAnsi="Times New Roman" w:cs="Times New Roman"/>
          <w:b/>
          <w:sz w:val="24"/>
          <w:szCs w:val="24"/>
        </w:rPr>
        <w:t xml:space="preserve">Research Document </w:t>
      </w:r>
      <w:bookmarkEnd w:id="35"/>
      <w:r w:rsidRPr="00946014">
        <w:rPr>
          <w:rFonts w:ascii="Times New Roman" w:hAnsi="Times New Roman" w:cs="Times New Roman"/>
          <w:b/>
          <w:sz w:val="24"/>
          <w:szCs w:val="24"/>
        </w:rPr>
        <w:t>Application Review Completed</w:t>
      </w:r>
    </w:p>
    <w:p w:rsidR="00594094" w:rsidRPr="00037F69" w:rsidRDefault="00594094" w:rsidP="00594094">
      <w:pPr>
        <w:pStyle w:val="NoSpacing"/>
        <w:rPr>
          <w:rFonts w:ascii="Times New Roman" w:hAnsi="Times New Roman" w:cs="Times New Roman"/>
          <w:b/>
        </w:rPr>
      </w:pPr>
    </w:p>
    <w:p w:rsidR="00036AA9" w:rsidRPr="00037F69" w:rsidRDefault="00036AA9" w:rsidP="00036AA9">
      <w:pPr>
        <w:pStyle w:val="NoSpacing"/>
        <w:ind w:left="720"/>
        <w:rPr>
          <w:rStyle w:val="Hyperlink"/>
          <w:rFonts w:ascii="Times New Roman" w:hAnsi="Times New Roman" w:cs="Times New Roman"/>
          <w:color w:val="auto"/>
        </w:rPr>
      </w:pPr>
      <w:r w:rsidRPr="00037F69">
        <w:rPr>
          <w:rFonts w:ascii="Times New Roman" w:hAnsi="Times New Roman" w:cs="Times New Roman"/>
        </w:rPr>
        <w:t xml:space="preserve">On </w:t>
      </w:r>
      <w:r>
        <w:rPr>
          <w:rFonts w:ascii="Times New Roman" w:hAnsi="Times New Roman" w:cs="Times New Roman"/>
        </w:rPr>
        <w:t>October 21</w:t>
      </w:r>
      <w:r w:rsidRPr="00037F69">
        <w:rPr>
          <w:rFonts w:ascii="Times New Roman" w:hAnsi="Times New Roman" w:cs="Times New Roman"/>
        </w:rPr>
        <w:t xml:space="preserve">, 2013, </w:t>
      </w:r>
      <w:r>
        <w:rPr>
          <w:rFonts w:ascii="Times New Roman" w:hAnsi="Times New Roman" w:cs="Times New Roman"/>
        </w:rPr>
        <w:t xml:space="preserve">NMFS issued and EFP to the </w:t>
      </w:r>
      <w:r w:rsidRPr="00037F69">
        <w:rPr>
          <w:rFonts w:ascii="Times New Roman" w:hAnsi="Times New Roman" w:cs="Times New Roman"/>
        </w:rPr>
        <w:t>University of Massachusetts, Dartmouth, School for Marine Science and Technology</w:t>
      </w:r>
      <w:r>
        <w:rPr>
          <w:rFonts w:ascii="Times New Roman" w:hAnsi="Times New Roman" w:cs="Times New Roman"/>
        </w:rPr>
        <w:t xml:space="preserve"> (SMAST) </w:t>
      </w:r>
      <w:r w:rsidRPr="00037F69">
        <w:rPr>
          <w:rFonts w:ascii="Times New Roman" w:hAnsi="Times New Roman" w:cs="Times New Roman"/>
        </w:rPr>
        <w:t xml:space="preserve">to facilitate compensation fishing in support of a project that </w:t>
      </w:r>
      <w:r>
        <w:rPr>
          <w:rFonts w:ascii="Times New Roman" w:hAnsi="Times New Roman" w:cs="Times New Roman"/>
        </w:rPr>
        <w:t>seeks to</w:t>
      </w:r>
      <w:r w:rsidRPr="00037F69">
        <w:rPr>
          <w:rFonts w:ascii="Times New Roman" w:hAnsi="Times New Roman" w:cs="Times New Roman"/>
        </w:rPr>
        <w:t xml:space="preserve"> validate monkfish age.  This study was awarded 129 DAS under the 2012 Monkfish Research Set-Aside (RSA) Program.  The project focuses on validating the age of monkfish by incorporating a chemical marker into the age structures in a laboratory study and examining the influence of temperature.  Twenty-five vessels have been identified by the applicant to conduct compensation f</w:t>
      </w:r>
      <w:r>
        <w:rPr>
          <w:rFonts w:ascii="Times New Roman" w:hAnsi="Times New Roman" w:cs="Times New Roman"/>
        </w:rPr>
        <w:t xml:space="preserve">ishing under the requested EFP.  </w:t>
      </w:r>
      <w:r w:rsidRPr="00037F69">
        <w:rPr>
          <w:rFonts w:ascii="Times New Roman" w:hAnsi="Times New Roman" w:cs="Times New Roman"/>
        </w:rPr>
        <w:t xml:space="preserve">For additional information contact Jason Berthiaume at (978) 281-9177, or </w:t>
      </w:r>
      <w:hyperlink r:id="rId22" w:history="1">
        <w:r w:rsidRPr="00037F69">
          <w:rPr>
            <w:rStyle w:val="Hyperlink"/>
            <w:rFonts w:ascii="Times New Roman" w:hAnsi="Times New Roman" w:cs="Times New Roman"/>
            <w:color w:val="auto"/>
          </w:rPr>
          <w:t>Jason.Berthiaume@noaa.gov</w:t>
        </w:r>
      </w:hyperlink>
      <w:r w:rsidRPr="00342F5F">
        <w:rPr>
          <w:rStyle w:val="Hyperlink"/>
          <w:rFonts w:ascii="Times New Roman" w:hAnsi="Times New Roman" w:cs="Times New Roman"/>
          <w:color w:val="auto"/>
          <w:u w:val="none"/>
        </w:rPr>
        <w:t>.</w:t>
      </w:r>
    </w:p>
    <w:p w:rsidR="00036AA9" w:rsidRDefault="00036AA9" w:rsidP="00036AA9">
      <w:pPr>
        <w:ind w:left="720"/>
        <w:rPr>
          <w:sz w:val="22"/>
          <w:szCs w:val="22"/>
          <w:shd w:val="clear" w:color="auto" w:fill="FFFFFF"/>
        </w:rPr>
      </w:pPr>
    </w:p>
    <w:p w:rsidR="00036AA9" w:rsidRDefault="00036AA9" w:rsidP="00036AA9">
      <w:pPr>
        <w:ind w:left="720"/>
      </w:pPr>
      <w:r>
        <w:t>On October 24, 2013, SMAST was issued an LOA to conduct a study to</w:t>
      </w:r>
      <w:r w:rsidRPr="00395725">
        <w:t xml:space="preserve"> </w:t>
      </w:r>
      <w:r>
        <w:t xml:space="preserve">improve estimates of the abundance, spatial distribution, size structure, and length-weight relationship of Georges Bank yellowtail flounder through the application of video technology.  This 10-day project will build on a pilot video survey that was conducted in April 2013.  Researchers will continuously tow a 2-seam flatfish survey trawl that has a video camera in the codend in an attempt to count and identify groundfish, particularly yellowtail flounder.  The codend will remain open with the exception of a 30-minute tow with a closed codend in the morning and in the afternoon.  Fish collected during the closed codend tows will be used to </w:t>
      </w:r>
      <w:proofErr w:type="spellStart"/>
      <w:r>
        <w:t>groundtruth</w:t>
      </w:r>
      <w:proofErr w:type="spellEnd"/>
      <w:r>
        <w:t xml:space="preserve"> open codend fish counts, and to sample for species identification and length/weight measurements.  No fish will be landed for sale.  </w:t>
      </w:r>
      <w:r w:rsidRPr="002C65A0">
        <w:rPr>
          <w:color w:val="222222"/>
          <w:sz w:val="22"/>
          <w:szCs w:val="22"/>
          <w:shd w:val="clear" w:color="auto" w:fill="FFFFFF"/>
        </w:rPr>
        <w:t>For additional information, contact Ryan Silva</w:t>
      </w:r>
      <w:r>
        <w:rPr>
          <w:rStyle w:val="apple-converted-space"/>
          <w:color w:val="222222"/>
          <w:sz w:val="22"/>
          <w:szCs w:val="22"/>
          <w:shd w:val="clear" w:color="auto" w:fill="FFFFFF"/>
        </w:rPr>
        <w:t xml:space="preserve"> at </w:t>
      </w:r>
      <w:hyperlink r:id="rId23" w:tgtFrame="_blank" w:history="1">
        <w:r w:rsidRPr="002C65A0">
          <w:rPr>
            <w:rStyle w:val="Hyperlink"/>
            <w:color w:val="1155CC"/>
            <w:sz w:val="22"/>
            <w:szCs w:val="22"/>
            <w:shd w:val="clear" w:color="auto" w:fill="FFFFFF"/>
          </w:rPr>
          <w:t>(978</w:t>
        </w:r>
        <w:r>
          <w:rPr>
            <w:rStyle w:val="Hyperlink"/>
            <w:color w:val="1155CC"/>
            <w:sz w:val="22"/>
            <w:szCs w:val="22"/>
            <w:shd w:val="clear" w:color="auto" w:fill="FFFFFF"/>
          </w:rPr>
          <w:t xml:space="preserve">) </w:t>
        </w:r>
        <w:r w:rsidRPr="002C65A0">
          <w:rPr>
            <w:rStyle w:val="Hyperlink"/>
            <w:color w:val="1155CC"/>
            <w:sz w:val="22"/>
            <w:szCs w:val="22"/>
            <w:shd w:val="clear" w:color="auto" w:fill="FFFFFF"/>
          </w:rPr>
          <w:t>281-9326</w:t>
        </w:r>
      </w:hyperlink>
      <w:r>
        <w:rPr>
          <w:color w:val="222222"/>
          <w:sz w:val="22"/>
          <w:szCs w:val="22"/>
          <w:shd w:val="clear" w:color="auto" w:fill="FFFFFF"/>
        </w:rPr>
        <w:t xml:space="preserve">, or at </w:t>
      </w:r>
      <w:hyperlink r:id="rId24" w:history="1">
        <w:r w:rsidRPr="0047404E">
          <w:rPr>
            <w:rStyle w:val="Hyperlink"/>
            <w:sz w:val="22"/>
            <w:szCs w:val="22"/>
            <w:shd w:val="clear" w:color="auto" w:fill="FFFFFF"/>
          </w:rPr>
          <w:t>Ryan.Silva@noaa.gov</w:t>
        </w:r>
      </w:hyperlink>
      <w:r w:rsidRPr="002C65A0">
        <w:rPr>
          <w:color w:val="222222"/>
          <w:sz w:val="22"/>
          <w:szCs w:val="22"/>
          <w:shd w:val="clear" w:color="auto" w:fill="FFFFFF"/>
        </w:rPr>
        <w:t>.</w:t>
      </w:r>
      <w:r>
        <w:t xml:space="preserve"> </w:t>
      </w:r>
    </w:p>
    <w:p w:rsidR="00036AA9" w:rsidRDefault="00036AA9" w:rsidP="00036AA9">
      <w:pPr>
        <w:ind w:left="720"/>
      </w:pPr>
    </w:p>
    <w:p w:rsidR="00036AA9" w:rsidRDefault="00036AA9" w:rsidP="00036AA9">
      <w:pPr>
        <w:ind w:left="720"/>
        <w:rPr>
          <w:color w:val="222222"/>
          <w:sz w:val="22"/>
          <w:szCs w:val="22"/>
          <w:shd w:val="clear" w:color="auto" w:fill="FFFFFF"/>
        </w:rPr>
      </w:pPr>
    </w:p>
    <w:p w:rsidR="00036AA9" w:rsidRDefault="00036AA9" w:rsidP="00036AA9">
      <w:pPr>
        <w:ind w:left="720"/>
      </w:pPr>
    </w:p>
    <w:p w:rsidR="00594094" w:rsidRPr="00755D41" w:rsidRDefault="00594094" w:rsidP="00594094">
      <w:pPr>
        <w:ind w:left="1440"/>
        <w:rPr>
          <w:sz w:val="22"/>
          <w:szCs w:val="22"/>
          <w:shd w:val="clear" w:color="auto" w:fill="FFFFFF"/>
        </w:rPr>
      </w:pPr>
    </w:p>
    <w:p w:rsidR="00755D41" w:rsidRPr="00755D41" w:rsidRDefault="00755D41" w:rsidP="00755D41">
      <w:pPr>
        <w:ind w:left="1440"/>
        <w:rPr>
          <w:sz w:val="22"/>
          <w:szCs w:val="22"/>
          <w:shd w:val="clear" w:color="auto" w:fill="FFFFFF"/>
        </w:rPr>
      </w:pPr>
    </w:p>
    <w:sectPr w:rsidR="00755D41" w:rsidRPr="00755D41" w:rsidSect="00CA7F81">
      <w:headerReference w:type="default" r:id="rId25"/>
      <w:footerReference w:type="default" r:id="rId26"/>
      <w:type w:val="continuous"/>
      <w:pgSz w:w="12240" w:h="15840"/>
      <w:pgMar w:top="1008" w:right="1350" w:bottom="1440" w:left="1440" w:header="1008" w:footer="144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0CE" w:rsidRDefault="001F20CE" w:rsidP="00397A05">
      <w:r>
        <w:separator/>
      </w:r>
    </w:p>
  </w:endnote>
  <w:endnote w:type="continuationSeparator" w:id="0">
    <w:p w:rsidR="001F20CE" w:rsidRDefault="001F20CE" w:rsidP="0039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CCD" w:rsidRDefault="000B0CCD" w:rsidP="00CA7F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0CCD" w:rsidRDefault="000B0CCD" w:rsidP="00A70E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CCD" w:rsidRDefault="000B0CCD" w:rsidP="00A70E8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443146"/>
      <w:docPartObj>
        <w:docPartGallery w:val="Page Numbers (Bottom of Page)"/>
        <w:docPartUnique/>
      </w:docPartObj>
    </w:sdtPr>
    <w:sdtEndPr>
      <w:rPr>
        <w:noProof/>
      </w:rPr>
    </w:sdtEndPr>
    <w:sdtContent>
      <w:p w:rsidR="000B0CCD" w:rsidRDefault="000B0CCD">
        <w:pPr>
          <w:pStyle w:val="Footer"/>
          <w:jc w:val="center"/>
          <w:rPr>
            <w:noProof/>
          </w:rPr>
        </w:pPr>
        <w:r>
          <w:fldChar w:fldCharType="begin"/>
        </w:r>
        <w:r>
          <w:instrText xml:space="preserve"> PAGE   \* MERGEFORMAT </w:instrText>
        </w:r>
        <w:r>
          <w:fldChar w:fldCharType="separate"/>
        </w:r>
        <w:r w:rsidR="003D11E8">
          <w:rPr>
            <w:noProof/>
          </w:rPr>
          <w:t>9</w:t>
        </w:r>
        <w:r>
          <w:rPr>
            <w:noProof/>
          </w:rPr>
          <w:fldChar w:fldCharType="end"/>
        </w:r>
      </w:p>
    </w:sdtContent>
  </w:sdt>
  <w:p w:rsidR="000B0CCD" w:rsidRDefault="000B0CCD" w:rsidP="00A70E8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0CE" w:rsidRDefault="001F20CE" w:rsidP="00397A05">
      <w:r>
        <w:separator/>
      </w:r>
    </w:p>
  </w:footnote>
  <w:footnote w:type="continuationSeparator" w:id="0">
    <w:p w:rsidR="001F20CE" w:rsidRDefault="001F20CE" w:rsidP="00397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CCD" w:rsidRPr="004675C1" w:rsidRDefault="000B0CCD" w:rsidP="004675C1">
    <w:pPr>
      <w:pStyle w:val="Header"/>
      <w:jc w:val="right"/>
      <w:rPr>
        <w:i/>
      </w:rPr>
    </w:pPr>
    <w:r>
      <w:rPr>
        <w:i/>
      </w:rPr>
      <w:t>Status Report of Northeast Region Regulatory Actions</w:t>
    </w:r>
  </w:p>
  <w:p w:rsidR="000B0CCD" w:rsidRDefault="000B0CCD" w:rsidP="004675C1">
    <w:pPr>
      <w:spacing w:line="231"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E42393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C204A49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397011"/>
    <w:multiLevelType w:val="multilevel"/>
    <w:tmpl w:val="ECCAC7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0ADB1C4B"/>
    <w:multiLevelType w:val="hybridMultilevel"/>
    <w:tmpl w:val="575CC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9B2508"/>
    <w:multiLevelType w:val="multilevel"/>
    <w:tmpl w:val="AFA24E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nsid w:val="144719CF"/>
    <w:multiLevelType w:val="hybridMultilevel"/>
    <w:tmpl w:val="8836E1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D4349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7681877"/>
    <w:multiLevelType w:val="hybridMultilevel"/>
    <w:tmpl w:val="A4D06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CB01BD"/>
    <w:multiLevelType w:val="multilevel"/>
    <w:tmpl w:val="B1EC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070ACD"/>
    <w:multiLevelType w:val="hybridMultilevel"/>
    <w:tmpl w:val="6E34451C"/>
    <w:lvl w:ilvl="0" w:tplc="4EA804A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247644"/>
    <w:multiLevelType w:val="hybridMultilevel"/>
    <w:tmpl w:val="DF0A0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CA1AD9"/>
    <w:multiLevelType w:val="hybridMultilevel"/>
    <w:tmpl w:val="C8B43DBA"/>
    <w:lvl w:ilvl="0" w:tplc="741A857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2436519"/>
    <w:multiLevelType w:val="hybridMultilevel"/>
    <w:tmpl w:val="8820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052B62"/>
    <w:multiLevelType w:val="hybridMultilevel"/>
    <w:tmpl w:val="353C9678"/>
    <w:lvl w:ilvl="0" w:tplc="66AEAC5E">
      <w:start w:val="1"/>
      <w:numFmt w:val="decimal"/>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644F2B"/>
    <w:multiLevelType w:val="hybridMultilevel"/>
    <w:tmpl w:val="EB88452C"/>
    <w:lvl w:ilvl="0" w:tplc="ED2A214A">
      <w:start w:val="1"/>
      <w:numFmt w:val="bullet"/>
      <w:lvlText w:val=""/>
      <w:lvlJc w:val="left"/>
      <w:pPr>
        <w:tabs>
          <w:tab w:val="num" w:pos="1200"/>
        </w:tabs>
        <w:ind w:left="1200" w:hanging="360"/>
      </w:pPr>
      <w:rPr>
        <w:rFonts w:ascii="Symbol" w:hAnsi="Symbol" w:hint="default"/>
        <w:sz w:val="18"/>
        <w:szCs w:val="18"/>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5">
    <w:nsid w:val="443277BF"/>
    <w:multiLevelType w:val="multilevel"/>
    <w:tmpl w:val="7420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EB303E"/>
    <w:multiLevelType w:val="hybridMultilevel"/>
    <w:tmpl w:val="ED543B66"/>
    <w:lvl w:ilvl="0" w:tplc="3242653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EF41EBE"/>
    <w:multiLevelType w:val="multilevel"/>
    <w:tmpl w:val="A3BC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D51D14"/>
    <w:multiLevelType w:val="hybridMultilevel"/>
    <w:tmpl w:val="676C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47074E7"/>
    <w:multiLevelType w:val="hybridMultilevel"/>
    <w:tmpl w:val="1D128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9"/>
  </w:num>
  <w:num w:numId="4">
    <w:abstractNumId w:val="14"/>
  </w:num>
  <w:num w:numId="5">
    <w:abstractNumId w:val="6"/>
  </w:num>
  <w:num w:numId="6">
    <w:abstractNumId w:val="0"/>
  </w:num>
  <w:num w:numId="7">
    <w:abstractNumId w:val="1"/>
  </w:num>
  <w:num w:numId="8">
    <w:abstractNumId w:val="16"/>
  </w:num>
  <w:num w:numId="9">
    <w:abstractNumId w:val="8"/>
  </w:num>
  <w:num w:numId="10">
    <w:abstractNumId w:val="2"/>
  </w:num>
  <w:num w:numId="11">
    <w:abstractNumId w:val="17"/>
  </w:num>
  <w:num w:numId="12">
    <w:abstractNumId w:val="15"/>
  </w:num>
  <w:num w:numId="13">
    <w:abstractNumId w:val="5"/>
  </w:num>
  <w:num w:numId="14">
    <w:abstractNumId w:val="13"/>
  </w:num>
  <w:num w:numId="15">
    <w:abstractNumId w:val="18"/>
  </w:num>
  <w:num w:numId="16">
    <w:abstractNumId w:val="7"/>
  </w:num>
  <w:num w:numId="17">
    <w:abstractNumId w:val="12"/>
  </w:num>
  <w:num w:numId="18">
    <w:abstractNumId w:val="19"/>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3CC"/>
    <w:rsid w:val="00001C49"/>
    <w:rsid w:val="00002656"/>
    <w:rsid w:val="000046E9"/>
    <w:rsid w:val="00005466"/>
    <w:rsid w:val="00010961"/>
    <w:rsid w:val="000125F4"/>
    <w:rsid w:val="000136C7"/>
    <w:rsid w:val="00015F7E"/>
    <w:rsid w:val="000224DF"/>
    <w:rsid w:val="0002315E"/>
    <w:rsid w:val="0002404C"/>
    <w:rsid w:val="000247EE"/>
    <w:rsid w:val="00026172"/>
    <w:rsid w:val="00036AA9"/>
    <w:rsid w:val="00037F69"/>
    <w:rsid w:val="00045C7F"/>
    <w:rsid w:val="000472A0"/>
    <w:rsid w:val="00047481"/>
    <w:rsid w:val="000545D1"/>
    <w:rsid w:val="00054C34"/>
    <w:rsid w:val="000571CB"/>
    <w:rsid w:val="00057391"/>
    <w:rsid w:val="000612FD"/>
    <w:rsid w:val="000659EF"/>
    <w:rsid w:val="00065FB6"/>
    <w:rsid w:val="0006638A"/>
    <w:rsid w:val="00070E0E"/>
    <w:rsid w:val="00071631"/>
    <w:rsid w:val="00071AA7"/>
    <w:rsid w:val="00071C02"/>
    <w:rsid w:val="00071CD6"/>
    <w:rsid w:val="0007365A"/>
    <w:rsid w:val="000816B5"/>
    <w:rsid w:val="000820AD"/>
    <w:rsid w:val="000837F8"/>
    <w:rsid w:val="00084040"/>
    <w:rsid w:val="0008616F"/>
    <w:rsid w:val="00090E60"/>
    <w:rsid w:val="000957ED"/>
    <w:rsid w:val="00095C9B"/>
    <w:rsid w:val="00097F53"/>
    <w:rsid w:val="000A256E"/>
    <w:rsid w:val="000A26A8"/>
    <w:rsid w:val="000A4737"/>
    <w:rsid w:val="000A539D"/>
    <w:rsid w:val="000A7B56"/>
    <w:rsid w:val="000B0CCD"/>
    <w:rsid w:val="000B2101"/>
    <w:rsid w:val="000B4BC3"/>
    <w:rsid w:val="000B4EEB"/>
    <w:rsid w:val="000B6CF7"/>
    <w:rsid w:val="000C0DB2"/>
    <w:rsid w:val="000C7059"/>
    <w:rsid w:val="000D07C2"/>
    <w:rsid w:val="000D6467"/>
    <w:rsid w:val="000D6AC8"/>
    <w:rsid w:val="000D6DE2"/>
    <w:rsid w:val="000E1316"/>
    <w:rsid w:val="000E202E"/>
    <w:rsid w:val="000E6AE8"/>
    <w:rsid w:val="000F2A75"/>
    <w:rsid w:val="000F3947"/>
    <w:rsid w:val="0010240B"/>
    <w:rsid w:val="0010502D"/>
    <w:rsid w:val="00106CC7"/>
    <w:rsid w:val="00124ED9"/>
    <w:rsid w:val="001250BC"/>
    <w:rsid w:val="00126032"/>
    <w:rsid w:val="00131584"/>
    <w:rsid w:val="00132250"/>
    <w:rsid w:val="001329C6"/>
    <w:rsid w:val="0015100E"/>
    <w:rsid w:val="00152D7B"/>
    <w:rsid w:val="001556D4"/>
    <w:rsid w:val="001640F5"/>
    <w:rsid w:val="00167A90"/>
    <w:rsid w:val="00175E46"/>
    <w:rsid w:val="00182949"/>
    <w:rsid w:val="001874F7"/>
    <w:rsid w:val="001969EF"/>
    <w:rsid w:val="001A05C4"/>
    <w:rsid w:val="001A219E"/>
    <w:rsid w:val="001A3B89"/>
    <w:rsid w:val="001A44FF"/>
    <w:rsid w:val="001A615A"/>
    <w:rsid w:val="001B0336"/>
    <w:rsid w:val="001B0418"/>
    <w:rsid w:val="001B2976"/>
    <w:rsid w:val="001B36AC"/>
    <w:rsid w:val="001B7BAC"/>
    <w:rsid w:val="001B7BB6"/>
    <w:rsid w:val="001C2941"/>
    <w:rsid w:val="001D0212"/>
    <w:rsid w:val="001D1E26"/>
    <w:rsid w:val="001D256E"/>
    <w:rsid w:val="001D619A"/>
    <w:rsid w:val="001E1E1B"/>
    <w:rsid w:val="001E7C54"/>
    <w:rsid w:val="001F20CE"/>
    <w:rsid w:val="001F39E6"/>
    <w:rsid w:val="001F42FB"/>
    <w:rsid w:val="001F66E2"/>
    <w:rsid w:val="002021B4"/>
    <w:rsid w:val="002120F0"/>
    <w:rsid w:val="00213432"/>
    <w:rsid w:val="00222D2F"/>
    <w:rsid w:val="00223BB7"/>
    <w:rsid w:val="002245AC"/>
    <w:rsid w:val="002250D4"/>
    <w:rsid w:val="00225536"/>
    <w:rsid w:val="002258C8"/>
    <w:rsid w:val="002321BD"/>
    <w:rsid w:val="00233E18"/>
    <w:rsid w:val="00234902"/>
    <w:rsid w:val="00237456"/>
    <w:rsid w:val="00240319"/>
    <w:rsid w:val="0024322F"/>
    <w:rsid w:val="00243FA7"/>
    <w:rsid w:val="002475D4"/>
    <w:rsid w:val="00250196"/>
    <w:rsid w:val="00251F31"/>
    <w:rsid w:val="002535AF"/>
    <w:rsid w:val="00254CCF"/>
    <w:rsid w:val="002560E5"/>
    <w:rsid w:val="00256E42"/>
    <w:rsid w:val="00260093"/>
    <w:rsid w:val="00272266"/>
    <w:rsid w:val="00274FED"/>
    <w:rsid w:val="00275477"/>
    <w:rsid w:val="00276AF8"/>
    <w:rsid w:val="00280FF9"/>
    <w:rsid w:val="0028161C"/>
    <w:rsid w:val="00282BAB"/>
    <w:rsid w:val="00283E86"/>
    <w:rsid w:val="00285D16"/>
    <w:rsid w:val="00285F7D"/>
    <w:rsid w:val="0029111B"/>
    <w:rsid w:val="00292ABF"/>
    <w:rsid w:val="002931A5"/>
    <w:rsid w:val="00293336"/>
    <w:rsid w:val="0029441D"/>
    <w:rsid w:val="002A0E6E"/>
    <w:rsid w:val="002A0ECA"/>
    <w:rsid w:val="002A20A5"/>
    <w:rsid w:val="002A37C8"/>
    <w:rsid w:val="002A4D26"/>
    <w:rsid w:val="002A4F38"/>
    <w:rsid w:val="002B19D8"/>
    <w:rsid w:val="002B3574"/>
    <w:rsid w:val="002C1D42"/>
    <w:rsid w:val="002C23AE"/>
    <w:rsid w:val="002C24C4"/>
    <w:rsid w:val="002C5CD2"/>
    <w:rsid w:val="002C5CF2"/>
    <w:rsid w:val="002D07FC"/>
    <w:rsid w:val="002D0C04"/>
    <w:rsid w:val="002D278B"/>
    <w:rsid w:val="002D49F0"/>
    <w:rsid w:val="002E442C"/>
    <w:rsid w:val="002E493B"/>
    <w:rsid w:val="002E5475"/>
    <w:rsid w:val="002E75A3"/>
    <w:rsid w:val="002E76C4"/>
    <w:rsid w:val="002F0F63"/>
    <w:rsid w:val="002F14E7"/>
    <w:rsid w:val="002F1A11"/>
    <w:rsid w:val="002F384C"/>
    <w:rsid w:val="002F49C0"/>
    <w:rsid w:val="002F7299"/>
    <w:rsid w:val="002F7465"/>
    <w:rsid w:val="002F7566"/>
    <w:rsid w:val="0030323E"/>
    <w:rsid w:val="0030432B"/>
    <w:rsid w:val="00307580"/>
    <w:rsid w:val="003117AF"/>
    <w:rsid w:val="00312372"/>
    <w:rsid w:val="00314D41"/>
    <w:rsid w:val="00314E6B"/>
    <w:rsid w:val="003163D9"/>
    <w:rsid w:val="003200D7"/>
    <w:rsid w:val="00320A3F"/>
    <w:rsid w:val="003241CD"/>
    <w:rsid w:val="00325C51"/>
    <w:rsid w:val="0033421D"/>
    <w:rsid w:val="00336CEB"/>
    <w:rsid w:val="003415BA"/>
    <w:rsid w:val="00343816"/>
    <w:rsid w:val="00343CAD"/>
    <w:rsid w:val="00345979"/>
    <w:rsid w:val="003472AA"/>
    <w:rsid w:val="00350516"/>
    <w:rsid w:val="0035111F"/>
    <w:rsid w:val="003534E3"/>
    <w:rsid w:val="00353507"/>
    <w:rsid w:val="003548B3"/>
    <w:rsid w:val="00356998"/>
    <w:rsid w:val="00356CAA"/>
    <w:rsid w:val="00360845"/>
    <w:rsid w:val="0036126A"/>
    <w:rsid w:val="00361FBB"/>
    <w:rsid w:val="003639B1"/>
    <w:rsid w:val="00370357"/>
    <w:rsid w:val="00370E0C"/>
    <w:rsid w:val="00371C60"/>
    <w:rsid w:val="00375543"/>
    <w:rsid w:val="00375C08"/>
    <w:rsid w:val="0037692C"/>
    <w:rsid w:val="003772E4"/>
    <w:rsid w:val="0038097D"/>
    <w:rsid w:val="00381B90"/>
    <w:rsid w:val="00381CCE"/>
    <w:rsid w:val="00381EC3"/>
    <w:rsid w:val="003839A7"/>
    <w:rsid w:val="00386FDA"/>
    <w:rsid w:val="00397A05"/>
    <w:rsid w:val="003A44A7"/>
    <w:rsid w:val="003A4E21"/>
    <w:rsid w:val="003A6FA5"/>
    <w:rsid w:val="003B0EDB"/>
    <w:rsid w:val="003B1BDF"/>
    <w:rsid w:val="003B39B5"/>
    <w:rsid w:val="003B4080"/>
    <w:rsid w:val="003C0572"/>
    <w:rsid w:val="003C1353"/>
    <w:rsid w:val="003C2E59"/>
    <w:rsid w:val="003C34D0"/>
    <w:rsid w:val="003C7EC8"/>
    <w:rsid w:val="003D11E8"/>
    <w:rsid w:val="003D4B1E"/>
    <w:rsid w:val="003D7BFD"/>
    <w:rsid w:val="003E2F4F"/>
    <w:rsid w:val="003F233E"/>
    <w:rsid w:val="004009EB"/>
    <w:rsid w:val="00404653"/>
    <w:rsid w:val="0041142E"/>
    <w:rsid w:val="0041254F"/>
    <w:rsid w:val="004148F8"/>
    <w:rsid w:val="004161BE"/>
    <w:rsid w:val="0042031B"/>
    <w:rsid w:val="0042538A"/>
    <w:rsid w:val="00426286"/>
    <w:rsid w:val="0042680D"/>
    <w:rsid w:val="004313A6"/>
    <w:rsid w:val="00431C76"/>
    <w:rsid w:val="0043234A"/>
    <w:rsid w:val="00433105"/>
    <w:rsid w:val="00434954"/>
    <w:rsid w:val="0043507B"/>
    <w:rsid w:val="0043646E"/>
    <w:rsid w:val="00444A8A"/>
    <w:rsid w:val="0044685C"/>
    <w:rsid w:val="004511AD"/>
    <w:rsid w:val="00452AE7"/>
    <w:rsid w:val="00452B40"/>
    <w:rsid w:val="00460443"/>
    <w:rsid w:val="00460A44"/>
    <w:rsid w:val="004645B6"/>
    <w:rsid w:val="004675C1"/>
    <w:rsid w:val="00470F27"/>
    <w:rsid w:val="0047359F"/>
    <w:rsid w:val="004748B6"/>
    <w:rsid w:val="00477AD4"/>
    <w:rsid w:val="00480D58"/>
    <w:rsid w:val="00485AE9"/>
    <w:rsid w:val="00485B84"/>
    <w:rsid w:val="00485F89"/>
    <w:rsid w:val="00486C22"/>
    <w:rsid w:val="00490826"/>
    <w:rsid w:val="004910CF"/>
    <w:rsid w:val="004966B7"/>
    <w:rsid w:val="004A3651"/>
    <w:rsid w:val="004A3FFA"/>
    <w:rsid w:val="004A43BC"/>
    <w:rsid w:val="004A5083"/>
    <w:rsid w:val="004A75B7"/>
    <w:rsid w:val="004A7F6C"/>
    <w:rsid w:val="004B0902"/>
    <w:rsid w:val="004B0E0A"/>
    <w:rsid w:val="004B1DB8"/>
    <w:rsid w:val="004B5DC6"/>
    <w:rsid w:val="004B6057"/>
    <w:rsid w:val="004B632D"/>
    <w:rsid w:val="004B6EF3"/>
    <w:rsid w:val="004C093A"/>
    <w:rsid w:val="004C0E94"/>
    <w:rsid w:val="004C4DE3"/>
    <w:rsid w:val="004D03C3"/>
    <w:rsid w:val="004D2949"/>
    <w:rsid w:val="004D622A"/>
    <w:rsid w:val="004E22FF"/>
    <w:rsid w:val="004E77EA"/>
    <w:rsid w:val="004F0057"/>
    <w:rsid w:val="004F04F4"/>
    <w:rsid w:val="004F0C22"/>
    <w:rsid w:val="004F10EE"/>
    <w:rsid w:val="004F168C"/>
    <w:rsid w:val="004F2927"/>
    <w:rsid w:val="00500F2F"/>
    <w:rsid w:val="00500FF4"/>
    <w:rsid w:val="00505F48"/>
    <w:rsid w:val="0051289D"/>
    <w:rsid w:val="00513463"/>
    <w:rsid w:val="0052461B"/>
    <w:rsid w:val="00525D3A"/>
    <w:rsid w:val="0052638B"/>
    <w:rsid w:val="00530A45"/>
    <w:rsid w:val="00537621"/>
    <w:rsid w:val="00540B6B"/>
    <w:rsid w:val="00541A39"/>
    <w:rsid w:val="00547836"/>
    <w:rsid w:val="00550AB9"/>
    <w:rsid w:val="00555095"/>
    <w:rsid w:val="00557312"/>
    <w:rsid w:val="005602B7"/>
    <w:rsid w:val="005602EA"/>
    <w:rsid w:val="005639E4"/>
    <w:rsid w:val="00564F4C"/>
    <w:rsid w:val="00565C27"/>
    <w:rsid w:val="00570569"/>
    <w:rsid w:val="00571D8F"/>
    <w:rsid w:val="00571E03"/>
    <w:rsid w:val="005773AC"/>
    <w:rsid w:val="005827B6"/>
    <w:rsid w:val="005829B3"/>
    <w:rsid w:val="00583C7F"/>
    <w:rsid w:val="0058507E"/>
    <w:rsid w:val="00586D4C"/>
    <w:rsid w:val="0058727D"/>
    <w:rsid w:val="0059370D"/>
    <w:rsid w:val="00594094"/>
    <w:rsid w:val="005961F9"/>
    <w:rsid w:val="00597A75"/>
    <w:rsid w:val="00597E31"/>
    <w:rsid w:val="005A0369"/>
    <w:rsid w:val="005A2B1C"/>
    <w:rsid w:val="005A3005"/>
    <w:rsid w:val="005A6A49"/>
    <w:rsid w:val="005B4699"/>
    <w:rsid w:val="005B4752"/>
    <w:rsid w:val="005B5AF7"/>
    <w:rsid w:val="005C0AF1"/>
    <w:rsid w:val="005C69BB"/>
    <w:rsid w:val="005D0315"/>
    <w:rsid w:val="005D1240"/>
    <w:rsid w:val="005D31FF"/>
    <w:rsid w:val="005D6D50"/>
    <w:rsid w:val="005E332B"/>
    <w:rsid w:val="005E4915"/>
    <w:rsid w:val="005E50E0"/>
    <w:rsid w:val="005F133C"/>
    <w:rsid w:val="005F4B43"/>
    <w:rsid w:val="005F53F5"/>
    <w:rsid w:val="005F583F"/>
    <w:rsid w:val="005F5D76"/>
    <w:rsid w:val="005F63C2"/>
    <w:rsid w:val="005F675F"/>
    <w:rsid w:val="00601521"/>
    <w:rsid w:val="00603E8E"/>
    <w:rsid w:val="0060431F"/>
    <w:rsid w:val="00605678"/>
    <w:rsid w:val="00605E05"/>
    <w:rsid w:val="006072E8"/>
    <w:rsid w:val="0061223F"/>
    <w:rsid w:val="00620A01"/>
    <w:rsid w:val="00621671"/>
    <w:rsid w:val="00622C4F"/>
    <w:rsid w:val="00623374"/>
    <w:rsid w:val="00633D54"/>
    <w:rsid w:val="0063733F"/>
    <w:rsid w:val="00637A8C"/>
    <w:rsid w:val="00640160"/>
    <w:rsid w:val="0064230A"/>
    <w:rsid w:val="00644430"/>
    <w:rsid w:val="00646AEE"/>
    <w:rsid w:val="00651FD0"/>
    <w:rsid w:val="00655F5B"/>
    <w:rsid w:val="0066166D"/>
    <w:rsid w:val="0066190F"/>
    <w:rsid w:val="00665D29"/>
    <w:rsid w:val="006666AF"/>
    <w:rsid w:val="00667249"/>
    <w:rsid w:val="00672AD8"/>
    <w:rsid w:val="006737C7"/>
    <w:rsid w:val="006759DB"/>
    <w:rsid w:val="0068167C"/>
    <w:rsid w:val="0068393E"/>
    <w:rsid w:val="0069217E"/>
    <w:rsid w:val="00692D65"/>
    <w:rsid w:val="006939AF"/>
    <w:rsid w:val="006A0FFD"/>
    <w:rsid w:val="006A2A70"/>
    <w:rsid w:val="006A302C"/>
    <w:rsid w:val="006A6098"/>
    <w:rsid w:val="006B6E3A"/>
    <w:rsid w:val="006C09A2"/>
    <w:rsid w:val="006C0FA1"/>
    <w:rsid w:val="006C18D2"/>
    <w:rsid w:val="006C7E40"/>
    <w:rsid w:val="006D032B"/>
    <w:rsid w:val="006D78A0"/>
    <w:rsid w:val="006E08E2"/>
    <w:rsid w:val="006E295D"/>
    <w:rsid w:val="006E4567"/>
    <w:rsid w:val="006E5F08"/>
    <w:rsid w:val="006F336D"/>
    <w:rsid w:val="006F7EAB"/>
    <w:rsid w:val="0070051F"/>
    <w:rsid w:val="007050C9"/>
    <w:rsid w:val="00706E0C"/>
    <w:rsid w:val="007129D0"/>
    <w:rsid w:val="00715E48"/>
    <w:rsid w:val="00716D41"/>
    <w:rsid w:val="00717A02"/>
    <w:rsid w:val="00717E2F"/>
    <w:rsid w:val="00722384"/>
    <w:rsid w:val="00724CC5"/>
    <w:rsid w:val="007256BF"/>
    <w:rsid w:val="007263A9"/>
    <w:rsid w:val="00737226"/>
    <w:rsid w:val="007502F6"/>
    <w:rsid w:val="00752EDB"/>
    <w:rsid w:val="00753440"/>
    <w:rsid w:val="007547E6"/>
    <w:rsid w:val="00755D41"/>
    <w:rsid w:val="00756B68"/>
    <w:rsid w:val="0076045C"/>
    <w:rsid w:val="00767470"/>
    <w:rsid w:val="00772A1D"/>
    <w:rsid w:val="007730D7"/>
    <w:rsid w:val="00774893"/>
    <w:rsid w:val="00776A3C"/>
    <w:rsid w:val="00777F10"/>
    <w:rsid w:val="00780ABD"/>
    <w:rsid w:val="00782513"/>
    <w:rsid w:val="00785C5E"/>
    <w:rsid w:val="00793499"/>
    <w:rsid w:val="00795A1E"/>
    <w:rsid w:val="007A1D46"/>
    <w:rsid w:val="007A6861"/>
    <w:rsid w:val="007B14B0"/>
    <w:rsid w:val="007B1DB0"/>
    <w:rsid w:val="007B4E4C"/>
    <w:rsid w:val="007C2417"/>
    <w:rsid w:val="007C376A"/>
    <w:rsid w:val="007D656B"/>
    <w:rsid w:val="007E37A9"/>
    <w:rsid w:val="007E5B3C"/>
    <w:rsid w:val="007E6969"/>
    <w:rsid w:val="007E7035"/>
    <w:rsid w:val="007E77B6"/>
    <w:rsid w:val="007F6FF3"/>
    <w:rsid w:val="007F769B"/>
    <w:rsid w:val="008002F4"/>
    <w:rsid w:val="00801391"/>
    <w:rsid w:val="00802714"/>
    <w:rsid w:val="00805B60"/>
    <w:rsid w:val="00805F4F"/>
    <w:rsid w:val="008062B2"/>
    <w:rsid w:val="00811BE5"/>
    <w:rsid w:val="00812315"/>
    <w:rsid w:val="00814EBD"/>
    <w:rsid w:val="008168F7"/>
    <w:rsid w:val="008201DB"/>
    <w:rsid w:val="00822628"/>
    <w:rsid w:val="0082397C"/>
    <w:rsid w:val="00826153"/>
    <w:rsid w:val="00830923"/>
    <w:rsid w:val="00836BE0"/>
    <w:rsid w:val="00840FCE"/>
    <w:rsid w:val="008439CB"/>
    <w:rsid w:val="0084464D"/>
    <w:rsid w:val="00845A0F"/>
    <w:rsid w:val="008513C8"/>
    <w:rsid w:val="0085152B"/>
    <w:rsid w:val="008521D1"/>
    <w:rsid w:val="00854B0C"/>
    <w:rsid w:val="00855F8C"/>
    <w:rsid w:val="00863A82"/>
    <w:rsid w:val="00870809"/>
    <w:rsid w:val="008737A2"/>
    <w:rsid w:val="00875BD2"/>
    <w:rsid w:val="00876994"/>
    <w:rsid w:val="00877DBE"/>
    <w:rsid w:val="00882D62"/>
    <w:rsid w:val="008870B3"/>
    <w:rsid w:val="00893B6F"/>
    <w:rsid w:val="00894157"/>
    <w:rsid w:val="008A23D9"/>
    <w:rsid w:val="008A5380"/>
    <w:rsid w:val="008B1129"/>
    <w:rsid w:val="008B2341"/>
    <w:rsid w:val="008B2C3B"/>
    <w:rsid w:val="008B3FB2"/>
    <w:rsid w:val="008B47F7"/>
    <w:rsid w:val="008B6D87"/>
    <w:rsid w:val="008C0F90"/>
    <w:rsid w:val="008C25FD"/>
    <w:rsid w:val="008C6C0B"/>
    <w:rsid w:val="008D5E46"/>
    <w:rsid w:val="008D6D7D"/>
    <w:rsid w:val="008D736D"/>
    <w:rsid w:val="008E0C88"/>
    <w:rsid w:val="008E2CEA"/>
    <w:rsid w:val="008E3CCF"/>
    <w:rsid w:val="008E43D1"/>
    <w:rsid w:val="008E51B2"/>
    <w:rsid w:val="008E7BBA"/>
    <w:rsid w:val="008F158C"/>
    <w:rsid w:val="008F235C"/>
    <w:rsid w:val="008F4D46"/>
    <w:rsid w:val="00900C10"/>
    <w:rsid w:val="009013A5"/>
    <w:rsid w:val="00901E15"/>
    <w:rsid w:val="0090551B"/>
    <w:rsid w:val="00910747"/>
    <w:rsid w:val="00910CBA"/>
    <w:rsid w:val="009115F8"/>
    <w:rsid w:val="00917931"/>
    <w:rsid w:val="009224B0"/>
    <w:rsid w:val="009226F3"/>
    <w:rsid w:val="009243B1"/>
    <w:rsid w:val="0092563F"/>
    <w:rsid w:val="009263D9"/>
    <w:rsid w:val="0092656B"/>
    <w:rsid w:val="009268F5"/>
    <w:rsid w:val="00927ECA"/>
    <w:rsid w:val="00932932"/>
    <w:rsid w:val="009358C0"/>
    <w:rsid w:val="00936F2D"/>
    <w:rsid w:val="00944265"/>
    <w:rsid w:val="00945CD6"/>
    <w:rsid w:val="00946014"/>
    <w:rsid w:val="00947B60"/>
    <w:rsid w:val="009536CF"/>
    <w:rsid w:val="00953862"/>
    <w:rsid w:val="00954DB8"/>
    <w:rsid w:val="00964DA1"/>
    <w:rsid w:val="009729C3"/>
    <w:rsid w:val="0097766F"/>
    <w:rsid w:val="00977801"/>
    <w:rsid w:val="00982785"/>
    <w:rsid w:val="009869D0"/>
    <w:rsid w:val="00986D8C"/>
    <w:rsid w:val="009878FA"/>
    <w:rsid w:val="00990F52"/>
    <w:rsid w:val="00992219"/>
    <w:rsid w:val="00995B98"/>
    <w:rsid w:val="00996A25"/>
    <w:rsid w:val="00996E59"/>
    <w:rsid w:val="009A19CD"/>
    <w:rsid w:val="009A1C27"/>
    <w:rsid w:val="009A23C2"/>
    <w:rsid w:val="009A3097"/>
    <w:rsid w:val="009A5C0F"/>
    <w:rsid w:val="009C0D04"/>
    <w:rsid w:val="009C1ECB"/>
    <w:rsid w:val="009C3307"/>
    <w:rsid w:val="009C4394"/>
    <w:rsid w:val="009C63CC"/>
    <w:rsid w:val="009D1D3D"/>
    <w:rsid w:val="009D3AA3"/>
    <w:rsid w:val="009E02E0"/>
    <w:rsid w:val="009E3445"/>
    <w:rsid w:val="009E4AD3"/>
    <w:rsid w:val="009E791A"/>
    <w:rsid w:val="009F0268"/>
    <w:rsid w:val="009F126D"/>
    <w:rsid w:val="009F1392"/>
    <w:rsid w:val="009F2C79"/>
    <w:rsid w:val="009F4B71"/>
    <w:rsid w:val="00A0068F"/>
    <w:rsid w:val="00A00F28"/>
    <w:rsid w:val="00A10A24"/>
    <w:rsid w:val="00A11CD1"/>
    <w:rsid w:val="00A137EC"/>
    <w:rsid w:val="00A14C43"/>
    <w:rsid w:val="00A15F2C"/>
    <w:rsid w:val="00A1795C"/>
    <w:rsid w:val="00A2299C"/>
    <w:rsid w:val="00A2412F"/>
    <w:rsid w:val="00A249EB"/>
    <w:rsid w:val="00A24E10"/>
    <w:rsid w:val="00A27840"/>
    <w:rsid w:val="00A27C18"/>
    <w:rsid w:val="00A348E5"/>
    <w:rsid w:val="00A35D93"/>
    <w:rsid w:val="00A36579"/>
    <w:rsid w:val="00A41460"/>
    <w:rsid w:val="00A41E10"/>
    <w:rsid w:val="00A44198"/>
    <w:rsid w:val="00A46574"/>
    <w:rsid w:val="00A503D0"/>
    <w:rsid w:val="00A520A7"/>
    <w:rsid w:val="00A52F2C"/>
    <w:rsid w:val="00A571B2"/>
    <w:rsid w:val="00A6652D"/>
    <w:rsid w:val="00A70B13"/>
    <w:rsid w:val="00A70E8A"/>
    <w:rsid w:val="00A7143E"/>
    <w:rsid w:val="00A749D8"/>
    <w:rsid w:val="00A771CC"/>
    <w:rsid w:val="00A77B01"/>
    <w:rsid w:val="00A81262"/>
    <w:rsid w:val="00A814F4"/>
    <w:rsid w:val="00A829B8"/>
    <w:rsid w:val="00A82D6D"/>
    <w:rsid w:val="00A86B57"/>
    <w:rsid w:val="00A877B8"/>
    <w:rsid w:val="00A91986"/>
    <w:rsid w:val="00A96E2D"/>
    <w:rsid w:val="00AA1F7C"/>
    <w:rsid w:val="00AA2B51"/>
    <w:rsid w:val="00AB25F4"/>
    <w:rsid w:val="00AB2D63"/>
    <w:rsid w:val="00AB42DD"/>
    <w:rsid w:val="00AB5A45"/>
    <w:rsid w:val="00AC3B4B"/>
    <w:rsid w:val="00AC61B0"/>
    <w:rsid w:val="00AD28CF"/>
    <w:rsid w:val="00AD5D92"/>
    <w:rsid w:val="00AE57DF"/>
    <w:rsid w:val="00AE5C74"/>
    <w:rsid w:val="00AF19FA"/>
    <w:rsid w:val="00AF2933"/>
    <w:rsid w:val="00AF31E9"/>
    <w:rsid w:val="00B00618"/>
    <w:rsid w:val="00B21969"/>
    <w:rsid w:val="00B366B2"/>
    <w:rsid w:val="00B403ED"/>
    <w:rsid w:val="00B40CCF"/>
    <w:rsid w:val="00B4102E"/>
    <w:rsid w:val="00B42734"/>
    <w:rsid w:val="00B44B5A"/>
    <w:rsid w:val="00B44E35"/>
    <w:rsid w:val="00B46B04"/>
    <w:rsid w:val="00B5099D"/>
    <w:rsid w:val="00B53AC2"/>
    <w:rsid w:val="00B53D6F"/>
    <w:rsid w:val="00B5494F"/>
    <w:rsid w:val="00B56032"/>
    <w:rsid w:val="00B6098A"/>
    <w:rsid w:val="00B64405"/>
    <w:rsid w:val="00B64B68"/>
    <w:rsid w:val="00B70BCE"/>
    <w:rsid w:val="00B76A36"/>
    <w:rsid w:val="00B81B7F"/>
    <w:rsid w:val="00B844B8"/>
    <w:rsid w:val="00B864DF"/>
    <w:rsid w:val="00B86A6C"/>
    <w:rsid w:val="00B9080B"/>
    <w:rsid w:val="00BA5B85"/>
    <w:rsid w:val="00BA7570"/>
    <w:rsid w:val="00BA7831"/>
    <w:rsid w:val="00BB1971"/>
    <w:rsid w:val="00BB3B51"/>
    <w:rsid w:val="00BB6AC2"/>
    <w:rsid w:val="00BB7885"/>
    <w:rsid w:val="00BC4252"/>
    <w:rsid w:val="00BC56A9"/>
    <w:rsid w:val="00BC6624"/>
    <w:rsid w:val="00BD04E0"/>
    <w:rsid w:val="00BD619F"/>
    <w:rsid w:val="00BD700D"/>
    <w:rsid w:val="00BD7320"/>
    <w:rsid w:val="00BE1936"/>
    <w:rsid w:val="00BE2515"/>
    <w:rsid w:val="00BE42E0"/>
    <w:rsid w:val="00BE6C08"/>
    <w:rsid w:val="00BE71F4"/>
    <w:rsid w:val="00BF336B"/>
    <w:rsid w:val="00BF555B"/>
    <w:rsid w:val="00C0245C"/>
    <w:rsid w:val="00C02BB4"/>
    <w:rsid w:val="00C11EF3"/>
    <w:rsid w:val="00C139C6"/>
    <w:rsid w:val="00C15501"/>
    <w:rsid w:val="00C2246E"/>
    <w:rsid w:val="00C254B8"/>
    <w:rsid w:val="00C2595A"/>
    <w:rsid w:val="00C264B2"/>
    <w:rsid w:val="00C40017"/>
    <w:rsid w:val="00C44427"/>
    <w:rsid w:val="00C45886"/>
    <w:rsid w:val="00C459C0"/>
    <w:rsid w:val="00C46212"/>
    <w:rsid w:val="00C51129"/>
    <w:rsid w:val="00C545FB"/>
    <w:rsid w:val="00C558AF"/>
    <w:rsid w:val="00C64203"/>
    <w:rsid w:val="00C67D91"/>
    <w:rsid w:val="00C713ED"/>
    <w:rsid w:val="00C75D5E"/>
    <w:rsid w:val="00C7726A"/>
    <w:rsid w:val="00C77671"/>
    <w:rsid w:val="00C85047"/>
    <w:rsid w:val="00C85F75"/>
    <w:rsid w:val="00C95BED"/>
    <w:rsid w:val="00C97414"/>
    <w:rsid w:val="00CA0A4B"/>
    <w:rsid w:val="00CA10F9"/>
    <w:rsid w:val="00CA13F3"/>
    <w:rsid w:val="00CA1D87"/>
    <w:rsid w:val="00CA4076"/>
    <w:rsid w:val="00CA7F81"/>
    <w:rsid w:val="00CB215E"/>
    <w:rsid w:val="00CB474A"/>
    <w:rsid w:val="00CB4934"/>
    <w:rsid w:val="00CB4938"/>
    <w:rsid w:val="00CC088D"/>
    <w:rsid w:val="00CC098F"/>
    <w:rsid w:val="00CD2F0C"/>
    <w:rsid w:val="00CD32E6"/>
    <w:rsid w:val="00CD3A82"/>
    <w:rsid w:val="00CD4BF8"/>
    <w:rsid w:val="00CE10AB"/>
    <w:rsid w:val="00CE5BB0"/>
    <w:rsid w:val="00CE6B29"/>
    <w:rsid w:val="00CE7201"/>
    <w:rsid w:val="00CF0F0A"/>
    <w:rsid w:val="00D0480D"/>
    <w:rsid w:val="00D0645D"/>
    <w:rsid w:val="00D147A4"/>
    <w:rsid w:val="00D154B6"/>
    <w:rsid w:val="00D21ED1"/>
    <w:rsid w:val="00D23C16"/>
    <w:rsid w:val="00D30309"/>
    <w:rsid w:val="00D324FA"/>
    <w:rsid w:val="00D3379A"/>
    <w:rsid w:val="00D350F7"/>
    <w:rsid w:val="00D35DB7"/>
    <w:rsid w:val="00D4085A"/>
    <w:rsid w:val="00D43998"/>
    <w:rsid w:val="00D45706"/>
    <w:rsid w:val="00D45941"/>
    <w:rsid w:val="00D4626D"/>
    <w:rsid w:val="00D5291A"/>
    <w:rsid w:val="00D52C02"/>
    <w:rsid w:val="00D551B9"/>
    <w:rsid w:val="00D55AEA"/>
    <w:rsid w:val="00D5665D"/>
    <w:rsid w:val="00D6203F"/>
    <w:rsid w:val="00D62155"/>
    <w:rsid w:val="00D62885"/>
    <w:rsid w:val="00D62ED3"/>
    <w:rsid w:val="00D6344B"/>
    <w:rsid w:val="00D804BB"/>
    <w:rsid w:val="00D81014"/>
    <w:rsid w:val="00D8700D"/>
    <w:rsid w:val="00D871CB"/>
    <w:rsid w:val="00D91C45"/>
    <w:rsid w:val="00D91F50"/>
    <w:rsid w:val="00D93625"/>
    <w:rsid w:val="00D9450F"/>
    <w:rsid w:val="00D96847"/>
    <w:rsid w:val="00D96FFA"/>
    <w:rsid w:val="00DA2AF2"/>
    <w:rsid w:val="00DA3156"/>
    <w:rsid w:val="00DA38CB"/>
    <w:rsid w:val="00DB3ADB"/>
    <w:rsid w:val="00DB795E"/>
    <w:rsid w:val="00DC3031"/>
    <w:rsid w:val="00DC794C"/>
    <w:rsid w:val="00DD0C27"/>
    <w:rsid w:val="00DE2443"/>
    <w:rsid w:val="00DE41BD"/>
    <w:rsid w:val="00DE4707"/>
    <w:rsid w:val="00DE620A"/>
    <w:rsid w:val="00DF4115"/>
    <w:rsid w:val="00DF5B04"/>
    <w:rsid w:val="00E05945"/>
    <w:rsid w:val="00E05BDF"/>
    <w:rsid w:val="00E06D6B"/>
    <w:rsid w:val="00E074AA"/>
    <w:rsid w:val="00E1037F"/>
    <w:rsid w:val="00E14AE3"/>
    <w:rsid w:val="00E154F7"/>
    <w:rsid w:val="00E15EE2"/>
    <w:rsid w:val="00E179F8"/>
    <w:rsid w:val="00E221F6"/>
    <w:rsid w:val="00E24914"/>
    <w:rsid w:val="00E31772"/>
    <w:rsid w:val="00E31CFE"/>
    <w:rsid w:val="00E34548"/>
    <w:rsid w:val="00E349B6"/>
    <w:rsid w:val="00E36B8D"/>
    <w:rsid w:val="00E41300"/>
    <w:rsid w:val="00E54301"/>
    <w:rsid w:val="00E558BC"/>
    <w:rsid w:val="00E56887"/>
    <w:rsid w:val="00E6032E"/>
    <w:rsid w:val="00E67D7C"/>
    <w:rsid w:val="00E7346C"/>
    <w:rsid w:val="00E7589C"/>
    <w:rsid w:val="00E81040"/>
    <w:rsid w:val="00E87DC6"/>
    <w:rsid w:val="00E9018A"/>
    <w:rsid w:val="00E920F3"/>
    <w:rsid w:val="00E95C8C"/>
    <w:rsid w:val="00E9664E"/>
    <w:rsid w:val="00E97622"/>
    <w:rsid w:val="00E97B2A"/>
    <w:rsid w:val="00EA378A"/>
    <w:rsid w:val="00EA3831"/>
    <w:rsid w:val="00EA41C4"/>
    <w:rsid w:val="00EA7FE7"/>
    <w:rsid w:val="00EB1703"/>
    <w:rsid w:val="00EB2A56"/>
    <w:rsid w:val="00EB3D56"/>
    <w:rsid w:val="00EB554C"/>
    <w:rsid w:val="00EB7D3D"/>
    <w:rsid w:val="00EC1578"/>
    <w:rsid w:val="00EC5F91"/>
    <w:rsid w:val="00EC616E"/>
    <w:rsid w:val="00EC64DF"/>
    <w:rsid w:val="00EC7FB3"/>
    <w:rsid w:val="00ED1DE3"/>
    <w:rsid w:val="00ED4E75"/>
    <w:rsid w:val="00ED6F56"/>
    <w:rsid w:val="00ED7036"/>
    <w:rsid w:val="00EE2A0B"/>
    <w:rsid w:val="00EE3B8A"/>
    <w:rsid w:val="00EE4319"/>
    <w:rsid w:val="00EE6337"/>
    <w:rsid w:val="00EF0272"/>
    <w:rsid w:val="00EF0FB6"/>
    <w:rsid w:val="00EF2F42"/>
    <w:rsid w:val="00EF4387"/>
    <w:rsid w:val="00EF52E7"/>
    <w:rsid w:val="00F01AD4"/>
    <w:rsid w:val="00F02B06"/>
    <w:rsid w:val="00F02B66"/>
    <w:rsid w:val="00F03F4B"/>
    <w:rsid w:val="00F05DAD"/>
    <w:rsid w:val="00F06097"/>
    <w:rsid w:val="00F0776E"/>
    <w:rsid w:val="00F160A7"/>
    <w:rsid w:val="00F1694B"/>
    <w:rsid w:val="00F17DCB"/>
    <w:rsid w:val="00F22DA3"/>
    <w:rsid w:val="00F25096"/>
    <w:rsid w:val="00F25A34"/>
    <w:rsid w:val="00F27614"/>
    <w:rsid w:val="00F30008"/>
    <w:rsid w:val="00F31905"/>
    <w:rsid w:val="00F33F71"/>
    <w:rsid w:val="00F41AE5"/>
    <w:rsid w:val="00F441A1"/>
    <w:rsid w:val="00F4428B"/>
    <w:rsid w:val="00F44D8B"/>
    <w:rsid w:val="00F47475"/>
    <w:rsid w:val="00F52877"/>
    <w:rsid w:val="00F52FA8"/>
    <w:rsid w:val="00F53B36"/>
    <w:rsid w:val="00F54517"/>
    <w:rsid w:val="00F5533B"/>
    <w:rsid w:val="00F55FC6"/>
    <w:rsid w:val="00F5681E"/>
    <w:rsid w:val="00F56ED7"/>
    <w:rsid w:val="00F65F07"/>
    <w:rsid w:val="00F72F5F"/>
    <w:rsid w:val="00F74517"/>
    <w:rsid w:val="00F75B37"/>
    <w:rsid w:val="00F75C9A"/>
    <w:rsid w:val="00F75ED1"/>
    <w:rsid w:val="00F80D43"/>
    <w:rsid w:val="00F811B0"/>
    <w:rsid w:val="00F811D3"/>
    <w:rsid w:val="00F8602A"/>
    <w:rsid w:val="00F87871"/>
    <w:rsid w:val="00F903D7"/>
    <w:rsid w:val="00F92742"/>
    <w:rsid w:val="00F932B3"/>
    <w:rsid w:val="00F93BB5"/>
    <w:rsid w:val="00F95FE9"/>
    <w:rsid w:val="00FA6854"/>
    <w:rsid w:val="00FA6A51"/>
    <w:rsid w:val="00FB3D5C"/>
    <w:rsid w:val="00FB42A7"/>
    <w:rsid w:val="00FB4352"/>
    <w:rsid w:val="00FB452A"/>
    <w:rsid w:val="00FB5896"/>
    <w:rsid w:val="00FB7CCC"/>
    <w:rsid w:val="00FC1E45"/>
    <w:rsid w:val="00FC2184"/>
    <w:rsid w:val="00FD10EA"/>
    <w:rsid w:val="00FD1F98"/>
    <w:rsid w:val="00FD4650"/>
    <w:rsid w:val="00FD5638"/>
    <w:rsid w:val="00FD5E0F"/>
    <w:rsid w:val="00FD5EDA"/>
    <w:rsid w:val="00FD7858"/>
    <w:rsid w:val="00FE1146"/>
    <w:rsid w:val="00FE2B40"/>
    <w:rsid w:val="00FE54CA"/>
    <w:rsid w:val="00FE5BC3"/>
    <w:rsid w:val="00FF138C"/>
    <w:rsid w:val="00FF4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uiPriority w:val="34"/>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uiPriority w:val="34"/>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0772">
      <w:bodyDiv w:val="1"/>
      <w:marLeft w:val="0"/>
      <w:marRight w:val="0"/>
      <w:marTop w:val="0"/>
      <w:marBottom w:val="0"/>
      <w:divBdr>
        <w:top w:val="none" w:sz="0" w:space="0" w:color="auto"/>
        <w:left w:val="none" w:sz="0" w:space="0" w:color="auto"/>
        <w:bottom w:val="none" w:sz="0" w:space="0" w:color="auto"/>
        <w:right w:val="none" w:sz="0" w:space="0" w:color="auto"/>
      </w:divBdr>
    </w:div>
    <w:div w:id="48723481">
      <w:bodyDiv w:val="1"/>
      <w:marLeft w:val="0"/>
      <w:marRight w:val="0"/>
      <w:marTop w:val="0"/>
      <w:marBottom w:val="0"/>
      <w:divBdr>
        <w:top w:val="none" w:sz="0" w:space="0" w:color="auto"/>
        <w:left w:val="none" w:sz="0" w:space="0" w:color="auto"/>
        <w:bottom w:val="none" w:sz="0" w:space="0" w:color="auto"/>
        <w:right w:val="none" w:sz="0" w:space="0" w:color="auto"/>
      </w:divBdr>
    </w:div>
    <w:div w:id="52394464">
      <w:bodyDiv w:val="1"/>
      <w:marLeft w:val="0"/>
      <w:marRight w:val="0"/>
      <w:marTop w:val="0"/>
      <w:marBottom w:val="0"/>
      <w:divBdr>
        <w:top w:val="none" w:sz="0" w:space="0" w:color="auto"/>
        <w:left w:val="none" w:sz="0" w:space="0" w:color="auto"/>
        <w:bottom w:val="none" w:sz="0" w:space="0" w:color="auto"/>
        <w:right w:val="none" w:sz="0" w:space="0" w:color="auto"/>
      </w:divBdr>
    </w:div>
    <w:div w:id="59523598">
      <w:bodyDiv w:val="1"/>
      <w:marLeft w:val="0"/>
      <w:marRight w:val="0"/>
      <w:marTop w:val="0"/>
      <w:marBottom w:val="0"/>
      <w:divBdr>
        <w:top w:val="none" w:sz="0" w:space="0" w:color="auto"/>
        <w:left w:val="none" w:sz="0" w:space="0" w:color="auto"/>
        <w:bottom w:val="none" w:sz="0" w:space="0" w:color="auto"/>
        <w:right w:val="none" w:sz="0" w:space="0" w:color="auto"/>
      </w:divBdr>
    </w:div>
    <w:div w:id="160970489">
      <w:bodyDiv w:val="1"/>
      <w:marLeft w:val="0"/>
      <w:marRight w:val="0"/>
      <w:marTop w:val="0"/>
      <w:marBottom w:val="0"/>
      <w:divBdr>
        <w:top w:val="none" w:sz="0" w:space="0" w:color="auto"/>
        <w:left w:val="none" w:sz="0" w:space="0" w:color="auto"/>
        <w:bottom w:val="none" w:sz="0" w:space="0" w:color="auto"/>
        <w:right w:val="none" w:sz="0" w:space="0" w:color="auto"/>
      </w:divBdr>
    </w:div>
    <w:div w:id="185680478">
      <w:bodyDiv w:val="1"/>
      <w:marLeft w:val="0"/>
      <w:marRight w:val="0"/>
      <w:marTop w:val="0"/>
      <w:marBottom w:val="0"/>
      <w:divBdr>
        <w:top w:val="none" w:sz="0" w:space="0" w:color="auto"/>
        <w:left w:val="none" w:sz="0" w:space="0" w:color="auto"/>
        <w:bottom w:val="none" w:sz="0" w:space="0" w:color="auto"/>
        <w:right w:val="none" w:sz="0" w:space="0" w:color="auto"/>
      </w:divBdr>
    </w:div>
    <w:div w:id="198053846">
      <w:bodyDiv w:val="1"/>
      <w:marLeft w:val="0"/>
      <w:marRight w:val="0"/>
      <w:marTop w:val="0"/>
      <w:marBottom w:val="0"/>
      <w:divBdr>
        <w:top w:val="none" w:sz="0" w:space="0" w:color="auto"/>
        <w:left w:val="none" w:sz="0" w:space="0" w:color="auto"/>
        <w:bottom w:val="none" w:sz="0" w:space="0" w:color="auto"/>
        <w:right w:val="none" w:sz="0" w:space="0" w:color="auto"/>
      </w:divBdr>
      <w:divsChild>
        <w:div w:id="1623264655">
          <w:marLeft w:val="0"/>
          <w:marRight w:val="0"/>
          <w:marTop w:val="0"/>
          <w:marBottom w:val="0"/>
          <w:divBdr>
            <w:top w:val="none" w:sz="0" w:space="0" w:color="auto"/>
            <w:left w:val="none" w:sz="0" w:space="0" w:color="auto"/>
            <w:bottom w:val="none" w:sz="0" w:space="0" w:color="auto"/>
            <w:right w:val="none" w:sz="0" w:space="0" w:color="auto"/>
          </w:divBdr>
        </w:div>
        <w:div w:id="964971088">
          <w:marLeft w:val="0"/>
          <w:marRight w:val="0"/>
          <w:marTop w:val="0"/>
          <w:marBottom w:val="0"/>
          <w:divBdr>
            <w:top w:val="none" w:sz="0" w:space="0" w:color="auto"/>
            <w:left w:val="none" w:sz="0" w:space="0" w:color="auto"/>
            <w:bottom w:val="none" w:sz="0" w:space="0" w:color="auto"/>
            <w:right w:val="none" w:sz="0" w:space="0" w:color="auto"/>
          </w:divBdr>
        </w:div>
      </w:divsChild>
    </w:div>
    <w:div w:id="210649889">
      <w:bodyDiv w:val="1"/>
      <w:marLeft w:val="0"/>
      <w:marRight w:val="0"/>
      <w:marTop w:val="0"/>
      <w:marBottom w:val="0"/>
      <w:divBdr>
        <w:top w:val="none" w:sz="0" w:space="0" w:color="auto"/>
        <w:left w:val="none" w:sz="0" w:space="0" w:color="auto"/>
        <w:bottom w:val="none" w:sz="0" w:space="0" w:color="auto"/>
        <w:right w:val="none" w:sz="0" w:space="0" w:color="auto"/>
      </w:divBdr>
    </w:div>
    <w:div w:id="242036619">
      <w:bodyDiv w:val="1"/>
      <w:marLeft w:val="0"/>
      <w:marRight w:val="0"/>
      <w:marTop w:val="0"/>
      <w:marBottom w:val="0"/>
      <w:divBdr>
        <w:top w:val="none" w:sz="0" w:space="0" w:color="auto"/>
        <w:left w:val="none" w:sz="0" w:space="0" w:color="auto"/>
        <w:bottom w:val="none" w:sz="0" w:space="0" w:color="auto"/>
        <w:right w:val="none" w:sz="0" w:space="0" w:color="auto"/>
      </w:divBdr>
    </w:div>
    <w:div w:id="271861575">
      <w:bodyDiv w:val="1"/>
      <w:marLeft w:val="0"/>
      <w:marRight w:val="0"/>
      <w:marTop w:val="0"/>
      <w:marBottom w:val="0"/>
      <w:divBdr>
        <w:top w:val="none" w:sz="0" w:space="0" w:color="auto"/>
        <w:left w:val="none" w:sz="0" w:space="0" w:color="auto"/>
        <w:bottom w:val="none" w:sz="0" w:space="0" w:color="auto"/>
        <w:right w:val="none" w:sz="0" w:space="0" w:color="auto"/>
      </w:divBdr>
      <w:divsChild>
        <w:div w:id="996958161">
          <w:marLeft w:val="0"/>
          <w:marRight w:val="0"/>
          <w:marTop w:val="0"/>
          <w:marBottom w:val="0"/>
          <w:divBdr>
            <w:top w:val="none" w:sz="0" w:space="0" w:color="auto"/>
            <w:left w:val="none" w:sz="0" w:space="0" w:color="auto"/>
            <w:bottom w:val="none" w:sz="0" w:space="0" w:color="auto"/>
            <w:right w:val="none" w:sz="0" w:space="0" w:color="auto"/>
          </w:divBdr>
        </w:div>
        <w:div w:id="1891502962">
          <w:marLeft w:val="0"/>
          <w:marRight w:val="0"/>
          <w:marTop w:val="0"/>
          <w:marBottom w:val="0"/>
          <w:divBdr>
            <w:top w:val="none" w:sz="0" w:space="0" w:color="auto"/>
            <w:left w:val="none" w:sz="0" w:space="0" w:color="auto"/>
            <w:bottom w:val="none" w:sz="0" w:space="0" w:color="auto"/>
            <w:right w:val="none" w:sz="0" w:space="0" w:color="auto"/>
          </w:divBdr>
        </w:div>
        <w:div w:id="301929207">
          <w:marLeft w:val="0"/>
          <w:marRight w:val="0"/>
          <w:marTop w:val="0"/>
          <w:marBottom w:val="0"/>
          <w:divBdr>
            <w:top w:val="none" w:sz="0" w:space="0" w:color="auto"/>
            <w:left w:val="none" w:sz="0" w:space="0" w:color="auto"/>
            <w:bottom w:val="none" w:sz="0" w:space="0" w:color="auto"/>
            <w:right w:val="none" w:sz="0" w:space="0" w:color="auto"/>
          </w:divBdr>
        </w:div>
      </w:divsChild>
    </w:div>
    <w:div w:id="272516813">
      <w:bodyDiv w:val="1"/>
      <w:marLeft w:val="0"/>
      <w:marRight w:val="0"/>
      <w:marTop w:val="0"/>
      <w:marBottom w:val="0"/>
      <w:divBdr>
        <w:top w:val="none" w:sz="0" w:space="0" w:color="auto"/>
        <w:left w:val="none" w:sz="0" w:space="0" w:color="auto"/>
        <w:bottom w:val="none" w:sz="0" w:space="0" w:color="auto"/>
        <w:right w:val="none" w:sz="0" w:space="0" w:color="auto"/>
      </w:divBdr>
    </w:div>
    <w:div w:id="306908041">
      <w:bodyDiv w:val="1"/>
      <w:marLeft w:val="0"/>
      <w:marRight w:val="0"/>
      <w:marTop w:val="0"/>
      <w:marBottom w:val="0"/>
      <w:divBdr>
        <w:top w:val="none" w:sz="0" w:space="0" w:color="auto"/>
        <w:left w:val="none" w:sz="0" w:space="0" w:color="auto"/>
        <w:bottom w:val="none" w:sz="0" w:space="0" w:color="auto"/>
        <w:right w:val="none" w:sz="0" w:space="0" w:color="auto"/>
      </w:divBdr>
    </w:div>
    <w:div w:id="313873965">
      <w:bodyDiv w:val="1"/>
      <w:marLeft w:val="0"/>
      <w:marRight w:val="0"/>
      <w:marTop w:val="0"/>
      <w:marBottom w:val="0"/>
      <w:divBdr>
        <w:top w:val="none" w:sz="0" w:space="0" w:color="auto"/>
        <w:left w:val="none" w:sz="0" w:space="0" w:color="auto"/>
        <w:bottom w:val="none" w:sz="0" w:space="0" w:color="auto"/>
        <w:right w:val="none" w:sz="0" w:space="0" w:color="auto"/>
      </w:divBdr>
    </w:div>
    <w:div w:id="387385536">
      <w:bodyDiv w:val="1"/>
      <w:marLeft w:val="0"/>
      <w:marRight w:val="0"/>
      <w:marTop w:val="0"/>
      <w:marBottom w:val="0"/>
      <w:divBdr>
        <w:top w:val="none" w:sz="0" w:space="0" w:color="auto"/>
        <w:left w:val="none" w:sz="0" w:space="0" w:color="auto"/>
        <w:bottom w:val="none" w:sz="0" w:space="0" w:color="auto"/>
        <w:right w:val="none" w:sz="0" w:space="0" w:color="auto"/>
      </w:divBdr>
    </w:div>
    <w:div w:id="434524702">
      <w:bodyDiv w:val="1"/>
      <w:marLeft w:val="0"/>
      <w:marRight w:val="0"/>
      <w:marTop w:val="0"/>
      <w:marBottom w:val="0"/>
      <w:divBdr>
        <w:top w:val="none" w:sz="0" w:space="0" w:color="auto"/>
        <w:left w:val="none" w:sz="0" w:space="0" w:color="auto"/>
        <w:bottom w:val="none" w:sz="0" w:space="0" w:color="auto"/>
        <w:right w:val="none" w:sz="0" w:space="0" w:color="auto"/>
      </w:divBdr>
      <w:divsChild>
        <w:div w:id="1283537831">
          <w:marLeft w:val="0"/>
          <w:marRight w:val="0"/>
          <w:marTop w:val="0"/>
          <w:marBottom w:val="0"/>
          <w:divBdr>
            <w:top w:val="none" w:sz="0" w:space="0" w:color="auto"/>
            <w:left w:val="none" w:sz="0" w:space="0" w:color="auto"/>
            <w:bottom w:val="none" w:sz="0" w:space="0" w:color="auto"/>
            <w:right w:val="none" w:sz="0" w:space="0" w:color="auto"/>
          </w:divBdr>
          <w:divsChild>
            <w:div w:id="1589969332">
              <w:marLeft w:val="0"/>
              <w:marRight w:val="0"/>
              <w:marTop w:val="0"/>
              <w:marBottom w:val="0"/>
              <w:divBdr>
                <w:top w:val="none" w:sz="0" w:space="0" w:color="auto"/>
                <w:left w:val="none" w:sz="0" w:space="0" w:color="auto"/>
                <w:bottom w:val="none" w:sz="0" w:space="0" w:color="auto"/>
                <w:right w:val="none" w:sz="0" w:space="0" w:color="auto"/>
              </w:divBdr>
            </w:div>
          </w:divsChild>
        </w:div>
        <w:div w:id="265577841">
          <w:marLeft w:val="0"/>
          <w:marRight w:val="0"/>
          <w:marTop w:val="0"/>
          <w:marBottom w:val="0"/>
          <w:divBdr>
            <w:top w:val="none" w:sz="0" w:space="0" w:color="auto"/>
            <w:left w:val="none" w:sz="0" w:space="0" w:color="auto"/>
            <w:bottom w:val="none" w:sz="0" w:space="0" w:color="auto"/>
            <w:right w:val="none" w:sz="0" w:space="0" w:color="auto"/>
          </w:divBdr>
        </w:div>
        <w:div w:id="2010672719">
          <w:marLeft w:val="0"/>
          <w:marRight w:val="0"/>
          <w:marTop w:val="0"/>
          <w:marBottom w:val="0"/>
          <w:divBdr>
            <w:top w:val="none" w:sz="0" w:space="0" w:color="auto"/>
            <w:left w:val="none" w:sz="0" w:space="0" w:color="auto"/>
            <w:bottom w:val="none" w:sz="0" w:space="0" w:color="auto"/>
            <w:right w:val="none" w:sz="0" w:space="0" w:color="auto"/>
          </w:divBdr>
          <w:divsChild>
            <w:div w:id="1112555620">
              <w:marLeft w:val="0"/>
              <w:marRight w:val="0"/>
              <w:marTop w:val="0"/>
              <w:marBottom w:val="0"/>
              <w:divBdr>
                <w:top w:val="none" w:sz="0" w:space="0" w:color="auto"/>
                <w:left w:val="none" w:sz="0" w:space="0" w:color="auto"/>
                <w:bottom w:val="none" w:sz="0" w:space="0" w:color="auto"/>
                <w:right w:val="none" w:sz="0" w:space="0" w:color="auto"/>
              </w:divBdr>
            </w:div>
            <w:div w:id="1445617613">
              <w:marLeft w:val="0"/>
              <w:marRight w:val="0"/>
              <w:marTop w:val="0"/>
              <w:marBottom w:val="0"/>
              <w:divBdr>
                <w:top w:val="none" w:sz="0" w:space="0" w:color="auto"/>
                <w:left w:val="none" w:sz="0" w:space="0" w:color="auto"/>
                <w:bottom w:val="none" w:sz="0" w:space="0" w:color="auto"/>
                <w:right w:val="none" w:sz="0" w:space="0" w:color="auto"/>
              </w:divBdr>
            </w:div>
            <w:div w:id="1513255697">
              <w:marLeft w:val="0"/>
              <w:marRight w:val="0"/>
              <w:marTop w:val="0"/>
              <w:marBottom w:val="0"/>
              <w:divBdr>
                <w:top w:val="none" w:sz="0" w:space="0" w:color="auto"/>
                <w:left w:val="none" w:sz="0" w:space="0" w:color="auto"/>
                <w:bottom w:val="none" w:sz="0" w:space="0" w:color="auto"/>
                <w:right w:val="none" w:sz="0" w:space="0" w:color="auto"/>
              </w:divBdr>
            </w:div>
            <w:div w:id="623658413">
              <w:marLeft w:val="0"/>
              <w:marRight w:val="0"/>
              <w:marTop w:val="0"/>
              <w:marBottom w:val="0"/>
              <w:divBdr>
                <w:top w:val="none" w:sz="0" w:space="0" w:color="auto"/>
                <w:left w:val="none" w:sz="0" w:space="0" w:color="auto"/>
                <w:bottom w:val="none" w:sz="0" w:space="0" w:color="auto"/>
                <w:right w:val="none" w:sz="0" w:space="0" w:color="auto"/>
              </w:divBdr>
              <w:divsChild>
                <w:div w:id="29572981">
                  <w:marLeft w:val="0"/>
                  <w:marRight w:val="0"/>
                  <w:marTop w:val="0"/>
                  <w:marBottom w:val="0"/>
                  <w:divBdr>
                    <w:top w:val="none" w:sz="0" w:space="0" w:color="auto"/>
                    <w:left w:val="none" w:sz="0" w:space="0" w:color="auto"/>
                    <w:bottom w:val="none" w:sz="0" w:space="0" w:color="auto"/>
                    <w:right w:val="none" w:sz="0" w:space="0" w:color="auto"/>
                  </w:divBdr>
                </w:div>
                <w:div w:id="193613317">
                  <w:marLeft w:val="0"/>
                  <w:marRight w:val="0"/>
                  <w:marTop w:val="0"/>
                  <w:marBottom w:val="0"/>
                  <w:divBdr>
                    <w:top w:val="none" w:sz="0" w:space="0" w:color="auto"/>
                    <w:left w:val="none" w:sz="0" w:space="0" w:color="auto"/>
                    <w:bottom w:val="none" w:sz="0" w:space="0" w:color="auto"/>
                    <w:right w:val="none" w:sz="0" w:space="0" w:color="auto"/>
                  </w:divBdr>
                </w:div>
              </w:divsChild>
            </w:div>
            <w:div w:id="565266283">
              <w:marLeft w:val="0"/>
              <w:marRight w:val="0"/>
              <w:marTop w:val="0"/>
              <w:marBottom w:val="0"/>
              <w:divBdr>
                <w:top w:val="none" w:sz="0" w:space="0" w:color="auto"/>
                <w:left w:val="none" w:sz="0" w:space="0" w:color="auto"/>
                <w:bottom w:val="none" w:sz="0" w:space="0" w:color="auto"/>
                <w:right w:val="none" w:sz="0" w:space="0" w:color="auto"/>
              </w:divBdr>
            </w:div>
            <w:div w:id="1732075937">
              <w:marLeft w:val="0"/>
              <w:marRight w:val="0"/>
              <w:marTop w:val="0"/>
              <w:marBottom w:val="0"/>
              <w:divBdr>
                <w:top w:val="none" w:sz="0" w:space="0" w:color="auto"/>
                <w:left w:val="none" w:sz="0" w:space="0" w:color="auto"/>
                <w:bottom w:val="none" w:sz="0" w:space="0" w:color="auto"/>
                <w:right w:val="none" w:sz="0" w:space="0" w:color="auto"/>
              </w:divBdr>
            </w:div>
            <w:div w:id="2120293215">
              <w:marLeft w:val="0"/>
              <w:marRight w:val="0"/>
              <w:marTop w:val="0"/>
              <w:marBottom w:val="0"/>
              <w:divBdr>
                <w:top w:val="none" w:sz="0" w:space="0" w:color="auto"/>
                <w:left w:val="none" w:sz="0" w:space="0" w:color="auto"/>
                <w:bottom w:val="none" w:sz="0" w:space="0" w:color="auto"/>
                <w:right w:val="none" w:sz="0" w:space="0" w:color="auto"/>
              </w:divBdr>
            </w:div>
            <w:div w:id="512846435">
              <w:marLeft w:val="0"/>
              <w:marRight w:val="0"/>
              <w:marTop w:val="0"/>
              <w:marBottom w:val="0"/>
              <w:divBdr>
                <w:top w:val="none" w:sz="0" w:space="0" w:color="auto"/>
                <w:left w:val="none" w:sz="0" w:space="0" w:color="auto"/>
                <w:bottom w:val="none" w:sz="0" w:space="0" w:color="auto"/>
                <w:right w:val="none" w:sz="0" w:space="0" w:color="auto"/>
              </w:divBdr>
            </w:div>
          </w:divsChild>
        </w:div>
        <w:div w:id="142435522">
          <w:marLeft w:val="0"/>
          <w:marRight w:val="0"/>
          <w:marTop w:val="0"/>
          <w:marBottom w:val="0"/>
          <w:divBdr>
            <w:top w:val="none" w:sz="0" w:space="0" w:color="auto"/>
            <w:left w:val="none" w:sz="0" w:space="0" w:color="auto"/>
            <w:bottom w:val="none" w:sz="0" w:space="0" w:color="auto"/>
            <w:right w:val="none" w:sz="0" w:space="0" w:color="auto"/>
          </w:divBdr>
          <w:divsChild>
            <w:div w:id="16972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42433">
      <w:bodyDiv w:val="1"/>
      <w:marLeft w:val="0"/>
      <w:marRight w:val="0"/>
      <w:marTop w:val="0"/>
      <w:marBottom w:val="0"/>
      <w:divBdr>
        <w:top w:val="none" w:sz="0" w:space="0" w:color="auto"/>
        <w:left w:val="none" w:sz="0" w:space="0" w:color="auto"/>
        <w:bottom w:val="none" w:sz="0" w:space="0" w:color="auto"/>
        <w:right w:val="none" w:sz="0" w:space="0" w:color="auto"/>
      </w:divBdr>
    </w:div>
    <w:div w:id="496116231">
      <w:bodyDiv w:val="1"/>
      <w:marLeft w:val="0"/>
      <w:marRight w:val="0"/>
      <w:marTop w:val="0"/>
      <w:marBottom w:val="0"/>
      <w:divBdr>
        <w:top w:val="none" w:sz="0" w:space="0" w:color="auto"/>
        <w:left w:val="none" w:sz="0" w:space="0" w:color="auto"/>
        <w:bottom w:val="none" w:sz="0" w:space="0" w:color="auto"/>
        <w:right w:val="none" w:sz="0" w:space="0" w:color="auto"/>
      </w:divBdr>
      <w:divsChild>
        <w:div w:id="1520851240">
          <w:marLeft w:val="0"/>
          <w:marRight w:val="0"/>
          <w:marTop w:val="0"/>
          <w:marBottom w:val="0"/>
          <w:divBdr>
            <w:top w:val="none" w:sz="0" w:space="0" w:color="auto"/>
            <w:left w:val="none" w:sz="0" w:space="0" w:color="auto"/>
            <w:bottom w:val="none" w:sz="0" w:space="0" w:color="auto"/>
            <w:right w:val="none" w:sz="0" w:space="0" w:color="auto"/>
          </w:divBdr>
        </w:div>
        <w:div w:id="1723868090">
          <w:marLeft w:val="0"/>
          <w:marRight w:val="0"/>
          <w:marTop w:val="0"/>
          <w:marBottom w:val="0"/>
          <w:divBdr>
            <w:top w:val="none" w:sz="0" w:space="0" w:color="auto"/>
            <w:left w:val="none" w:sz="0" w:space="0" w:color="auto"/>
            <w:bottom w:val="none" w:sz="0" w:space="0" w:color="auto"/>
            <w:right w:val="none" w:sz="0" w:space="0" w:color="auto"/>
          </w:divBdr>
        </w:div>
      </w:divsChild>
    </w:div>
    <w:div w:id="512379211">
      <w:bodyDiv w:val="1"/>
      <w:marLeft w:val="0"/>
      <w:marRight w:val="0"/>
      <w:marTop w:val="0"/>
      <w:marBottom w:val="0"/>
      <w:divBdr>
        <w:top w:val="none" w:sz="0" w:space="0" w:color="auto"/>
        <w:left w:val="none" w:sz="0" w:space="0" w:color="auto"/>
        <w:bottom w:val="none" w:sz="0" w:space="0" w:color="auto"/>
        <w:right w:val="none" w:sz="0" w:space="0" w:color="auto"/>
      </w:divBdr>
    </w:div>
    <w:div w:id="515315504">
      <w:bodyDiv w:val="1"/>
      <w:marLeft w:val="0"/>
      <w:marRight w:val="0"/>
      <w:marTop w:val="0"/>
      <w:marBottom w:val="0"/>
      <w:divBdr>
        <w:top w:val="none" w:sz="0" w:space="0" w:color="auto"/>
        <w:left w:val="none" w:sz="0" w:space="0" w:color="auto"/>
        <w:bottom w:val="none" w:sz="0" w:space="0" w:color="auto"/>
        <w:right w:val="none" w:sz="0" w:space="0" w:color="auto"/>
      </w:divBdr>
      <w:divsChild>
        <w:div w:id="99108439">
          <w:marLeft w:val="0"/>
          <w:marRight w:val="0"/>
          <w:marTop w:val="0"/>
          <w:marBottom w:val="0"/>
          <w:divBdr>
            <w:top w:val="none" w:sz="0" w:space="0" w:color="auto"/>
            <w:left w:val="none" w:sz="0" w:space="0" w:color="auto"/>
            <w:bottom w:val="none" w:sz="0" w:space="0" w:color="auto"/>
            <w:right w:val="none" w:sz="0" w:space="0" w:color="auto"/>
          </w:divBdr>
        </w:div>
        <w:div w:id="317540733">
          <w:marLeft w:val="0"/>
          <w:marRight w:val="0"/>
          <w:marTop w:val="0"/>
          <w:marBottom w:val="0"/>
          <w:divBdr>
            <w:top w:val="none" w:sz="0" w:space="0" w:color="auto"/>
            <w:left w:val="none" w:sz="0" w:space="0" w:color="auto"/>
            <w:bottom w:val="none" w:sz="0" w:space="0" w:color="auto"/>
            <w:right w:val="none" w:sz="0" w:space="0" w:color="auto"/>
          </w:divBdr>
        </w:div>
        <w:div w:id="1656178868">
          <w:marLeft w:val="0"/>
          <w:marRight w:val="0"/>
          <w:marTop w:val="0"/>
          <w:marBottom w:val="0"/>
          <w:divBdr>
            <w:top w:val="none" w:sz="0" w:space="0" w:color="auto"/>
            <w:left w:val="none" w:sz="0" w:space="0" w:color="auto"/>
            <w:bottom w:val="none" w:sz="0" w:space="0" w:color="auto"/>
            <w:right w:val="none" w:sz="0" w:space="0" w:color="auto"/>
          </w:divBdr>
        </w:div>
        <w:div w:id="1369336409">
          <w:marLeft w:val="0"/>
          <w:marRight w:val="0"/>
          <w:marTop w:val="0"/>
          <w:marBottom w:val="0"/>
          <w:divBdr>
            <w:top w:val="none" w:sz="0" w:space="0" w:color="auto"/>
            <w:left w:val="none" w:sz="0" w:space="0" w:color="auto"/>
            <w:bottom w:val="none" w:sz="0" w:space="0" w:color="auto"/>
            <w:right w:val="none" w:sz="0" w:space="0" w:color="auto"/>
          </w:divBdr>
        </w:div>
        <w:div w:id="2088456250">
          <w:marLeft w:val="0"/>
          <w:marRight w:val="0"/>
          <w:marTop w:val="0"/>
          <w:marBottom w:val="0"/>
          <w:divBdr>
            <w:top w:val="none" w:sz="0" w:space="0" w:color="auto"/>
            <w:left w:val="none" w:sz="0" w:space="0" w:color="auto"/>
            <w:bottom w:val="none" w:sz="0" w:space="0" w:color="auto"/>
            <w:right w:val="none" w:sz="0" w:space="0" w:color="auto"/>
          </w:divBdr>
        </w:div>
        <w:div w:id="1875727245">
          <w:marLeft w:val="0"/>
          <w:marRight w:val="0"/>
          <w:marTop w:val="0"/>
          <w:marBottom w:val="0"/>
          <w:divBdr>
            <w:top w:val="none" w:sz="0" w:space="0" w:color="auto"/>
            <w:left w:val="none" w:sz="0" w:space="0" w:color="auto"/>
            <w:bottom w:val="none" w:sz="0" w:space="0" w:color="auto"/>
            <w:right w:val="none" w:sz="0" w:space="0" w:color="auto"/>
          </w:divBdr>
        </w:div>
        <w:div w:id="1680043288">
          <w:marLeft w:val="0"/>
          <w:marRight w:val="0"/>
          <w:marTop w:val="0"/>
          <w:marBottom w:val="0"/>
          <w:divBdr>
            <w:top w:val="none" w:sz="0" w:space="0" w:color="auto"/>
            <w:left w:val="none" w:sz="0" w:space="0" w:color="auto"/>
            <w:bottom w:val="none" w:sz="0" w:space="0" w:color="auto"/>
            <w:right w:val="none" w:sz="0" w:space="0" w:color="auto"/>
          </w:divBdr>
        </w:div>
        <w:div w:id="1332176155">
          <w:marLeft w:val="0"/>
          <w:marRight w:val="0"/>
          <w:marTop w:val="0"/>
          <w:marBottom w:val="0"/>
          <w:divBdr>
            <w:top w:val="none" w:sz="0" w:space="0" w:color="auto"/>
            <w:left w:val="none" w:sz="0" w:space="0" w:color="auto"/>
            <w:bottom w:val="none" w:sz="0" w:space="0" w:color="auto"/>
            <w:right w:val="none" w:sz="0" w:space="0" w:color="auto"/>
          </w:divBdr>
        </w:div>
        <w:div w:id="1479803224">
          <w:marLeft w:val="0"/>
          <w:marRight w:val="0"/>
          <w:marTop w:val="0"/>
          <w:marBottom w:val="0"/>
          <w:divBdr>
            <w:top w:val="none" w:sz="0" w:space="0" w:color="auto"/>
            <w:left w:val="none" w:sz="0" w:space="0" w:color="auto"/>
            <w:bottom w:val="none" w:sz="0" w:space="0" w:color="auto"/>
            <w:right w:val="none" w:sz="0" w:space="0" w:color="auto"/>
          </w:divBdr>
        </w:div>
      </w:divsChild>
    </w:div>
    <w:div w:id="539244060">
      <w:bodyDiv w:val="1"/>
      <w:marLeft w:val="0"/>
      <w:marRight w:val="0"/>
      <w:marTop w:val="0"/>
      <w:marBottom w:val="0"/>
      <w:divBdr>
        <w:top w:val="none" w:sz="0" w:space="0" w:color="auto"/>
        <w:left w:val="none" w:sz="0" w:space="0" w:color="auto"/>
        <w:bottom w:val="none" w:sz="0" w:space="0" w:color="auto"/>
        <w:right w:val="none" w:sz="0" w:space="0" w:color="auto"/>
      </w:divBdr>
    </w:div>
    <w:div w:id="589511021">
      <w:bodyDiv w:val="1"/>
      <w:marLeft w:val="0"/>
      <w:marRight w:val="0"/>
      <w:marTop w:val="0"/>
      <w:marBottom w:val="0"/>
      <w:divBdr>
        <w:top w:val="none" w:sz="0" w:space="0" w:color="auto"/>
        <w:left w:val="none" w:sz="0" w:space="0" w:color="auto"/>
        <w:bottom w:val="none" w:sz="0" w:space="0" w:color="auto"/>
        <w:right w:val="none" w:sz="0" w:space="0" w:color="auto"/>
      </w:divBdr>
    </w:div>
    <w:div w:id="622423141">
      <w:bodyDiv w:val="1"/>
      <w:marLeft w:val="0"/>
      <w:marRight w:val="0"/>
      <w:marTop w:val="0"/>
      <w:marBottom w:val="0"/>
      <w:divBdr>
        <w:top w:val="none" w:sz="0" w:space="0" w:color="auto"/>
        <w:left w:val="none" w:sz="0" w:space="0" w:color="auto"/>
        <w:bottom w:val="none" w:sz="0" w:space="0" w:color="auto"/>
        <w:right w:val="none" w:sz="0" w:space="0" w:color="auto"/>
      </w:divBdr>
      <w:divsChild>
        <w:div w:id="1854802501">
          <w:marLeft w:val="0"/>
          <w:marRight w:val="0"/>
          <w:marTop w:val="0"/>
          <w:marBottom w:val="0"/>
          <w:divBdr>
            <w:top w:val="none" w:sz="0" w:space="0" w:color="auto"/>
            <w:left w:val="none" w:sz="0" w:space="0" w:color="auto"/>
            <w:bottom w:val="none" w:sz="0" w:space="0" w:color="auto"/>
            <w:right w:val="none" w:sz="0" w:space="0" w:color="auto"/>
          </w:divBdr>
        </w:div>
        <w:div w:id="356272837">
          <w:marLeft w:val="0"/>
          <w:marRight w:val="0"/>
          <w:marTop w:val="0"/>
          <w:marBottom w:val="0"/>
          <w:divBdr>
            <w:top w:val="none" w:sz="0" w:space="0" w:color="auto"/>
            <w:left w:val="none" w:sz="0" w:space="0" w:color="auto"/>
            <w:bottom w:val="none" w:sz="0" w:space="0" w:color="auto"/>
            <w:right w:val="none" w:sz="0" w:space="0" w:color="auto"/>
          </w:divBdr>
        </w:div>
        <w:div w:id="2009166019">
          <w:marLeft w:val="0"/>
          <w:marRight w:val="0"/>
          <w:marTop w:val="0"/>
          <w:marBottom w:val="0"/>
          <w:divBdr>
            <w:top w:val="none" w:sz="0" w:space="0" w:color="auto"/>
            <w:left w:val="none" w:sz="0" w:space="0" w:color="auto"/>
            <w:bottom w:val="none" w:sz="0" w:space="0" w:color="auto"/>
            <w:right w:val="none" w:sz="0" w:space="0" w:color="auto"/>
          </w:divBdr>
        </w:div>
        <w:div w:id="553930598">
          <w:marLeft w:val="0"/>
          <w:marRight w:val="0"/>
          <w:marTop w:val="0"/>
          <w:marBottom w:val="0"/>
          <w:divBdr>
            <w:top w:val="none" w:sz="0" w:space="0" w:color="auto"/>
            <w:left w:val="none" w:sz="0" w:space="0" w:color="auto"/>
            <w:bottom w:val="none" w:sz="0" w:space="0" w:color="auto"/>
            <w:right w:val="none" w:sz="0" w:space="0" w:color="auto"/>
          </w:divBdr>
        </w:div>
        <w:div w:id="546645990">
          <w:marLeft w:val="0"/>
          <w:marRight w:val="0"/>
          <w:marTop w:val="0"/>
          <w:marBottom w:val="0"/>
          <w:divBdr>
            <w:top w:val="none" w:sz="0" w:space="0" w:color="auto"/>
            <w:left w:val="none" w:sz="0" w:space="0" w:color="auto"/>
            <w:bottom w:val="none" w:sz="0" w:space="0" w:color="auto"/>
            <w:right w:val="none" w:sz="0" w:space="0" w:color="auto"/>
          </w:divBdr>
        </w:div>
      </w:divsChild>
    </w:div>
    <w:div w:id="632910128">
      <w:bodyDiv w:val="1"/>
      <w:marLeft w:val="0"/>
      <w:marRight w:val="0"/>
      <w:marTop w:val="0"/>
      <w:marBottom w:val="0"/>
      <w:divBdr>
        <w:top w:val="none" w:sz="0" w:space="0" w:color="auto"/>
        <w:left w:val="none" w:sz="0" w:space="0" w:color="auto"/>
        <w:bottom w:val="none" w:sz="0" w:space="0" w:color="auto"/>
        <w:right w:val="none" w:sz="0" w:space="0" w:color="auto"/>
      </w:divBdr>
    </w:div>
    <w:div w:id="663433550">
      <w:bodyDiv w:val="1"/>
      <w:marLeft w:val="0"/>
      <w:marRight w:val="0"/>
      <w:marTop w:val="0"/>
      <w:marBottom w:val="0"/>
      <w:divBdr>
        <w:top w:val="none" w:sz="0" w:space="0" w:color="auto"/>
        <w:left w:val="none" w:sz="0" w:space="0" w:color="auto"/>
        <w:bottom w:val="none" w:sz="0" w:space="0" w:color="auto"/>
        <w:right w:val="none" w:sz="0" w:space="0" w:color="auto"/>
      </w:divBdr>
    </w:div>
    <w:div w:id="670913045">
      <w:bodyDiv w:val="1"/>
      <w:marLeft w:val="0"/>
      <w:marRight w:val="0"/>
      <w:marTop w:val="0"/>
      <w:marBottom w:val="0"/>
      <w:divBdr>
        <w:top w:val="none" w:sz="0" w:space="0" w:color="auto"/>
        <w:left w:val="none" w:sz="0" w:space="0" w:color="auto"/>
        <w:bottom w:val="none" w:sz="0" w:space="0" w:color="auto"/>
        <w:right w:val="none" w:sz="0" w:space="0" w:color="auto"/>
      </w:divBdr>
      <w:divsChild>
        <w:div w:id="6732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8631366">
      <w:bodyDiv w:val="1"/>
      <w:marLeft w:val="0"/>
      <w:marRight w:val="0"/>
      <w:marTop w:val="0"/>
      <w:marBottom w:val="0"/>
      <w:divBdr>
        <w:top w:val="none" w:sz="0" w:space="0" w:color="auto"/>
        <w:left w:val="none" w:sz="0" w:space="0" w:color="auto"/>
        <w:bottom w:val="none" w:sz="0" w:space="0" w:color="auto"/>
        <w:right w:val="none" w:sz="0" w:space="0" w:color="auto"/>
      </w:divBdr>
      <w:divsChild>
        <w:div w:id="1850438235">
          <w:marLeft w:val="0"/>
          <w:marRight w:val="0"/>
          <w:marTop w:val="0"/>
          <w:marBottom w:val="0"/>
          <w:divBdr>
            <w:top w:val="none" w:sz="0" w:space="0" w:color="auto"/>
            <w:left w:val="none" w:sz="0" w:space="0" w:color="auto"/>
            <w:bottom w:val="none" w:sz="0" w:space="0" w:color="auto"/>
            <w:right w:val="none" w:sz="0" w:space="0" w:color="auto"/>
          </w:divBdr>
          <w:divsChild>
            <w:div w:id="16114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3187">
      <w:bodyDiv w:val="1"/>
      <w:marLeft w:val="0"/>
      <w:marRight w:val="0"/>
      <w:marTop w:val="0"/>
      <w:marBottom w:val="0"/>
      <w:divBdr>
        <w:top w:val="none" w:sz="0" w:space="0" w:color="auto"/>
        <w:left w:val="none" w:sz="0" w:space="0" w:color="auto"/>
        <w:bottom w:val="none" w:sz="0" w:space="0" w:color="auto"/>
        <w:right w:val="none" w:sz="0" w:space="0" w:color="auto"/>
      </w:divBdr>
    </w:div>
    <w:div w:id="877006727">
      <w:bodyDiv w:val="1"/>
      <w:marLeft w:val="0"/>
      <w:marRight w:val="0"/>
      <w:marTop w:val="0"/>
      <w:marBottom w:val="0"/>
      <w:divBdr>
        <w:top w:val="none" w:sz="0" w:space="0" w:color="auto"/>
        <w:left w:val="none" w:sz="0" w:space="0" w:color="auto"/>
        <w:bottom w:val="none" w:sz="0" w:space="0" w:color="auto"/>
        <w:right w:val="none" w:sz="0" w:space="0" w:color="auto"/>
      </w:divBdr>
      <w:divsChild>
        <w:div w:id="1433285487">
          <w:marLeft w:val="0"/>
          <w:marRight w:val="0"/>
          <w:marTop w:val="0"/>
          <w:marBottom w:val="0"/>
          <w:divBdr>
            <w:top w:val="none" w:sz="0" w:space="0" w:color="auto"/>
            <w:left w:val="none" w:sz="0" w:space="0" w:color="auto"/>
            <w:bottom w:val="none" w:sz="0" w:space="0" w:color="auto"/>
            <w:right w:val="none" w:sz="0" w:space="0" w:color="auto"/>
          </w:divBdr>
          <w:divsChild>
            <w:div w:id="16286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1981">
      <w:bodyDiv w:val="1"/>
      <w:marLeft w:val="0"/>
      <w:marRight w:val="0"/>
      <w:marTop w:val="0"/>
      <w:marBottom w:val="0"/>
      <w:divBdr>
        <w:top w:val="none" w:sz="0" w:space="0" w:color="auto"/>
        <w:left w:val="none" w:sz="0" w:space="0" w:color="auto"/>
        <w:bottom w:val="none" w:sz="0" w:space="0" w:color="auto"/>
        <w:right w:val="none" w:sz="0" w:space="0" w:color="auto"/>
      </w:divBdr>
    </w:div>
    <w:div w:id="990673263">
      <w:bodyDiv w:val="1"/>
      <w:marLeft w:val="0"/>
      <w:marRight w:val="0"/>
      <w:marTop w:val="0"/>
      <w:marBottom w:val="0"/>
      <w:divBdr>
        <w:top w:val="none" w:sz="0" w:space="0" w:color="auto"/>
        <w:left w:val="none" w:sz="0" w:space="0" w:color="auto"/>
        <w:bottom w:val="none" w:sz="0" w:space="0" w:color="auto"/>
        <w:right w:val="none" w:sz="0" w:space="0" w:color="auto"/>
      </w:divBdr>
    </w:div>
    <w:div w:id="1013150445">
      <w:bodyDiv w:val="1"/>
      <w:marLeft w:val="0"/>
      <w:marRight w:val="0"/>
      <w:marTop w:val="0"/>
      <w:marBottom w:val="0"/>
      <w:divBdr>
        <w:top w:val="none" w:sz="0" w:space="0" w:color="auto"/>
        <w:left w:val="none" w:sz="0" w:space="0" w:color="auto"/>
        <w:bottom w:val="none" w:sz="0" w:space="0" w:color="auto"/>
        <w:right w:val="none" w:sz="0" w:space="0" w:color="auto"/>
      </w:divBdr>
    </w:div>
    <w:div w:id="1074204635">
      <w:bodyDiv w:val="1"/>
      <w:marLeft w:val="0"/>
      <w:marRight w:val="0"/>
      <w:marTop w:val="0"/>
      <w:marBottom w:val="0"/>
      <w:divBdr>
        <w:top w:val="none" w:sz="0" w:space="0" w:color="auto"/>
        <w:left w:val="none" w:sz="0" w:space="0" w:color="auto"/>
        <w:bottom w:val="none" w:sz="0" w:space="0" w:color="auto"/>
        <w:right w:val="none" w:sz="0" w:space="0" w:color="auto"/>
      </w:divBdr>
    </w:div>
    <w:div w:id="1107046946">
      <w:bodyDiv w:val="1"/>
      <w:marLeft w:val="0"/>
      <w:marRight w:val="0"/>
      <w:marTop w:val="0"/>
      <w:marBottom w:val="0"/>
      <w:divBdr>
        <w:top w:val="none" w:sz="0" w:space="0" w:color="auto"/>
        <w:left w:val="none" w:sz="0" w:space="0" w:color="auto"/>
        <w:bottom w:val="none" w:sz="0" w:space="0" w:color="auto"/>
        <w:right w:val="none" w:sz="0" w:space="0" w:color="auto"/>
      </w:divBdr>
    </w:div>
    <w:div w:id="1128669632">
      <w:bodyDiv w:val="1"/>
      <w:marLeft w:val="0"/>
      <w:marRight w:val="0"/>
      <w:marTop w:val="0"/>
      <w:marBottom w:val="0"/>
      <w:divBdr>
        <w:top w:val="none" w:sz="0" w:space="0" w:color="auto"/>
        <w:left w:val="none" w:sz="0" w:space="0" w:color="auto"/>
        <w:bottom w:val="none" w:sz="0" w:space="0" w:color="auto"/>
        <w:right w:val="none" w:sz="0" w:space="0" w:color="auto"/>
      </w:divBdr>
    </w:div>
    <w:div w:id="1131438337">
      <w:bodyDiv w:val="1"/>
      <w:marLeft w:val="0"/>
      <w:marRight w:val="0"/>
      <w:marTop w:val="0"/>
      <w:marBottom w:val="0"/>
      <w:divBdr>
        <w:top w:val="none" w:sz="0" w:space="0" w:color="auto"/>
        <w:left w:val="none" w:sz="0" w:space="0" w:color="auto"/>
        <w:bottom w:val="none" w:sz="0" w:space="0" w:color="auto"/>
        <w:right w:val="none" w:sz="0" w:space="0" w:color="auto"/>
      </w:divBdr>
    </w:div>
    <w:div w:id="1163550447">
      <w:bodyDiv w:val="1"/>
      <w:marLeft w:val="0"/>
      <w:marRight w:val="0"/>
      <w:marTop w:val="0"/>
      <w:marBottom w:val="0"/>
      <w:divBdr>
        <w:top w:val="none" w:sz="0" w:space="0" w:color="auto"/>
        <w:left w:val="none" w:sz="0" w:space="0" w:color="auto"/>
        <w:bottom w:val="none" w:sz="0" w:space="0" w:color="auto"/>
        <w:right w:val="none" w:sz="0" w:space="0" w:color="auto"/>
      </w:divBdr>
    </w:div>
    <w:div w:id="1251159183">
      <w:bodyDiv w:val="1"/>
      <w:marLeft w:val="0"/>
      <w:marRight w:val="0"/>
      <w:marTop w:val="0"/>
      <w:marBottom w:val="0"/>
      <w:divBdr>
        <w:top w:val="none" w:sz="0" w:space="0" w:color="auto"/>
        <w:left w:val="none" w:sz="0" w:space="0" w:color="auto"/>
        <w:bottom w:val="none" w:sz="0" w:space="0" w:color="auto"/>
        <w:right w:val="none" w:sz="0" w:space="0" w:color="auto"/>
      </w:divBdr>
    </w:div>
    <w:div w:id="1255821292">
      <w:bodyDiv w:val="1"/>
      <w:marLeft w:val="0"/>
      <w:marRight w:val="0"/>
      <w:marTop w:val="0"/>
      <w:marBottom w:val="0"/>
      <w:divBdr>
        <w:top w:val="none" w:sz="0" w:space="0" w:color="auto"/>
        <w:left w:val="none" w:sz="0" w:space="0" w:color="auto"/>
        <w:bottom w:val="none" w:sz="0" w:space="0" w:color="auto"/>
        <w:right w:val="none" w:sz="0" w:space="0" w:color="auto"/>
      </w:divBdr>
      <w:divsChild>
        <w:div w:id="1193690979">
          <w:marLeft w:val="0"/>
          <w:marRight w:val="0"/>
          <w:marTop w:val="0"/>
          <w:marBottom w:val="0"/>
          <w:divBdr>
            <w:top w:val="none" w:sz="0" w:space="0" w:color="auto"/>
            <w:left w:val="none" w:sz="0" w:space="0" w:color="auto"/>
            <w:bottom w:val="none" w:sz="0" w:space="0" w:color="auto"/>
            <w:right w:val="none" w:sz="0" w:space="0" w:color="auto"/>
          </w:divBdr>
        </w:div>
      </w:divsChild>
    </w:div>
    <w:div w:id="1270354755">
      <w:bodyDiv w:val="1"/>
      <w:marLeft w:val="0"/>
      <w:marRight w:val="0"/>
      <w:marTop w:val="0"/>
      <w:marBottom w:val="0"/>
      <w:divBdr>
        <w:top w:val="none" w:sz="0" w:space="0" w:color="auto"/>
        <w:left w:val="none" w:sz="0" w:space="0" w:color="auto"/>
        <w:bottom w:val="none" w:sz="0" w:space="0" w:color="auto"/>
        <w:right w:val="none" w:sz="0" w:space="0" w:color="auto"/>
      </w:divBdr>
      <w:divsChild>
        <w:div w:id="715158688">
          <w:marLeft w:val="0"/>
          <w:marRight w:val="0"/>
          <w:marTop w:val="0"/>
          <w:marBottom w:val="0"/>
          <w:divBdr>
            <w:top w:val="none" w:sz="0" w:space="0" w:color="auto"/>
            <w:left w:val="none" w:sz="0" w:space="0" w:color="auto"/>
            <w:bottom w:val="none" w:sz="0" w:space="0" w:color="auto"/>
            <w:right w:val="none" w:sz="0" w:space="0" w:color="auto"/>
          </w:divBdr>
        </w:div>
        <w:div w:id="922028619">
          <w:marLeft w:val="0"/>
          <w:marRight w:val="0"/>
          <w:marTop w:val="0"/>
          <w:marBottom w:val="0"/>
          <w:divBdr>
            <w:top w:val="none" w:sz="0" w:space="0" w:color="auto"/>
            <w:left w:val="none" w:sz="0" w:space="0" w:color="auto"/>
            <w:bottom w:val="none" w:sz="0" w:space="0" w:color="auto"/>
            <w:right w:val="none" w:sz="0" w:space="0" w:color="auto"/>
          </w:divBdr>
        </w:div>
        <w:div w:id="1841120938">
          <w:marLeft w:val="0"/>
          <w:marRight w:val="0"/>
          <w:marTop w:val="0"/>
          <w:marBottom w:val="0"/>
          <w:divBdr>
            <w:top w:val="none" w:sz="0" w:space="0" w:color="auto"/>
            <w:left w:val="none" w:sz="0" w:space="0" w:color="auto"/>
            <w:bottom w:val="none" w:sz="0" w:space="0" w:color="auto"/>
            <w:right w:val="none" w:sz="0" w:space="0" w:color="auto"/>
          </w:divBdr>
        </w:div>
        <w:div w:id="327367496">
          <w:marLeft w:val="0"/>
          <w:marRight w:val="0"/>
          <w:marTop w:val="0"/>
          <w:marBottom w:val="0"/>
          <w:divBdr>
            <w:top w:val="none" w:sz="0" w:space="0" w:color="auto"/>
            <w:left w:val="none" w:sz="0" w:space="0" w:color="auto"/>
            <w:bottom w:val="none" w:sz="0" w:space="0" w:color="auto"/>
            <w:right w:val="none" w:sz="0" w:space="0" w:color="auto"/>
          </w:divBdr>
        </w:div>
        <w:div w:id="1697997731">
          <w:marLeft w:val="0"/>
          <w:marRight w:val="0"/>
          <w:marTop w:val="0"/>
          <w:marBottom w:val="0"/>
          <w:divBdr>
            <w:top w:val="none" w:sz="0" w:space="0" w:color="auto"/>
            <w:left w:val="none" w:sz="0" w:space="0" w:color="auto"/>
            <w:bottom w:val="none" w:sz="0" w:space="0" w:color="auto"/>
            <w:right w:val="none" w:sz="0" w:space="0" w:color="auto"/>
          </w:divBdr>
        </w:div>
        <w:div w:id="217205625">
          <w:marLeft w:val="0"/>
          <w:marRight w:val="0"/>
          <w:marTop w:val="0"/>
          <w:marBottom w:val="0"/>
          <w:divBdr>
            <w:top w:val="none" w:sz="0" w:space="0" w:color="auto"/>
            <w:left w:val="none" w:sz="0" w:space="0" w:color="auto"/>
            <w:bottom w:val="none" w:sz="0" w:space="0" w:color="auto"/>
            <w:right w:val="none" w:sz="0" w:space="0" w:color="auto"/>
          </w:divBdr>
        </w:div>
        <w:div w:id="51778961">
          <w:marLeft w:val="0"/>
          <w:marRight w:val="0"/>
          <w:marTop w:val="0"/>
          <w:marBottom w:val="0"/>
          <w:divBdr>
            <w:top w:val="none" w:sz="0" w:space="0" w:color="auto"/>
            <w:left w:val="none" w:sz="0" w:space="0" w:color="auto"/>
            <w:bottom w:val="none" w:sz="0" w:space="0" w:color="auto"/>
            <w:right w:val="none" w:sz="0" w:space="0" w:color="auto"/>
          </w:divBdr>
        </w:div>
        <w:div w:id="1702901437">
          <w:marLeft w:val="0"/>
          <w:marRight w:val="0"/>
          <w:marTop w:val="0"/>
          <w:marBottom w:val="0"/>
          <w:divBdr>
            <w:top w:val="none" w:sz="0" w:space="0" w:color="auto"/>
            <w:left w:val="none" w:sz="0" w:space="0" w:color="auto"/>
            <w:bottom w:val="none" w:sz="0" w:space="0" w:color="auto"/>
            <w:right w:val="none" w:sz="0" w:space="0" w:color="auto"/>
          </w:divBdr>
        </w:div>
        <w:div w:id="121963495">
          <w:marLeft w:val="0"/>
          <w:marRight w:val="0"/>
          <w:marTop w:val="0"/>
          <w:marBottom w:val="0"/>
          <w:divBdr>
            <w:top w:val="none" w:sz="0" w:space="0" w:color="auto"/>
            <w:left w:val="none" w:sz="0" w:space="0" w:color="auto"/>
            <w:bottom w:val="none" w:sz="0" w:space="0" w:color="auto"/>
            <w:right w:val="none" w:sz="0" w:space="0" w:color="auto"/>
          </w:divBdr>
        </w:div>
      </w:divsChild>
    </w:div>
    <w:div w:id="1292244348">
      <w:bodyDiv w:val="1"/>
      <w:marLeft w:val="0"/>
      <w:marRight w:val="0"/>
      <w:marTop w:val="0"/>
      <w:marBottom w:val="0"/>
      <w:divBdr>
        <w:top w:val="none" w:sz="0" w:space="0" w:color="auto"/>
        <w:left w:val="none" w:sz="0" w:space="0" w:color="auto"/>
        <w:bottom w:val="none" w:sz="0" w:space="0" w:color="auto"/>
        <w:right w:val="none" w:sz="0" w:space="0" w:color="auto"/>
      </w:divBdr>
      <w:divsChild>
        <w:div w:id="905068996">
          <w:marLeft w:val="0"/>
          <w:marRight w:val="0"/>
          <w:marTop w:val="0"/>
          <w:marBottom w:val="0"/>
          <w:divBdr>
            <w:top w:val="none" w:sz="0" w:space="0" w:color="auto"/>
            <w:left w:val="none" w:sz="0" w:space="0" w:color="auto"/>
            <w:bottom w:val="none" w:sz="0" w:space="0" w:color="auto"/>
            <w:right w:val="none" w:sz="0" w:space="0" w:color="auto"/>
          </w:divBdr>
        </w:div>
        <w:div w:id="243611784">
          <w:marLeft w:val="0"/>
          <w:marRight w:val="0"/>
          <w:marTop w:val="0"/>
          <w:marBottom w:val="0"/>
          <w:divBdr>
            <w:top w:val="none" w:sz="0" w:space="0" w:color="auto"/>
            <w:left w:val="none" w:sz="0" w:space="0" w:color="auto"/>
            <w:bottom w:val="none" w:sz="0" w:space="0" w:color="auto"/>
            <w:right w:val="none" w:sz="0" w:space="0" w:color="auto"/>
          </w:divBdr>
        </w:div>
      </w:divsChild>
    </w:div>
    <w:div w:id="1310401416">
      <w:bodyDiv w:val="1"/>
      <w:marLeft w:val="0"/>
      <w:marRight w:val="0"/>
      <w:marTop w:val="0"/>
      <w:marBottom w:val="0"/>
      <w:divBdr>
        <w:top w:val="none" w:sz="0" w:space="0" w:color="auto"/>
        <w:left w:val="none" w:sz="0" w:space="0" w:color="auto"/>
        <w:bottom w:val="none" w:sz="0" w:space="0" w:color="auto"/>
        <w:right w:val="none" w:sz="0" w:space="0" w:color="auto"/>
      </w:divBdr>
    </w:div>
    <w:div w:id="1354305355">
      <w:bodyDiv w:val="1"/>
      <w:marLeft w:val="0"/>
      <w:marRight w:val="0"/>
      <w:marTop w:val="0"/>
      <w:marBottom w:val="0"/>
      <w:divBdr>
        <w:top w:val="none" w:sz="0" w:space="0" w:color="auto"/>
        <w:left w:val="none" w:sz="0" w:space="0" w:color="auto"/>
        <w:bottom w:val="none" w:sz="0" w:space="0" w:color="auto"/>
        <w:right w:val="none" w:sz="0" w:space="0" w:color="auto"/>
      </w:divBdr>
    </w:div>
    <w:div w:id="1361206035">
      <w:bodyDiv w:val="1"/>
      <w:marLeft w:val="0"/>
      <w:marRight w:val="0"/>
      <w:marTop w:val="0"/>
      <w:marBottom w:val="0"/>
      <w:divBdr>
        <w:top w:val="none" w:sz="0" w:space="0" w:color="auto"/>
        <w:left w:val="none" w:sz="0" w:space="0" w:color="auto"/>
        <w:bottom w:val="none" w:sz="0" w:space="0" w:color="auto"/>
        <w:right w:val="none" w:sz="0" w:space="0" w:color="auto"/>
      </w:divBdr>
      <w:divsChild>
        <w:div w:id="1231621792">
          <w:marLeft w:val="0"/>
          <w:marRight w:val="0"/>
          <w:marTop w:val="0"/>
          <w:marBottom w:val="0"/>
          <w:divBdr>
            <w:top w:val="none" w:sz="0" w:space="0" w:color="auto"/>
            <w:left w:val="none" w:sz="0" w:space="0" w:color="auto"/>
            <w:bottom w:val="none" w:sz="0" w:space="0" w:color="auto"/>
            <w:right w:val="none" w:sz="0" w:space="0" w:color="auto"/>
          </w:divBdr>
        </w:div>
        <w:div w:id="668216864">
          <w:marLeft w:val="0"/>
          <w:marRight w:val="0"/>
          <w:marTop w:val="0"/>
          <w:marBottom w:val="0"/>
          <w:divBdr>
            <w:top w:val="none" w:sz="0" w:space="0" w:color="auto"/>
            <w:left w:val="none" w:sz="0" w:space="0" w:color="auto"/>
            <w:bottom w:val="none" w:sz="0" w:space="0" w:color="auto"/>
            <w:right w:val="none" w:sz="0" w:space="0" w:color="auto"/>
          </w:divBdr>
        </w:div>
        <w:div w:id="216287441">
          <w:marLeft w:val="0"/>
          <w:marRight w:val="0"/>
          <w:marTop w:val="0"/>
          <w:marBottom w:val="0"/>
          <w:divBdr>
            <w:top w:val="none" w:sz="0" w:space="0" w:color="auto"/>
            <w:left w:val="none" w:sz="0" w:space="0" w:color="auto"/>
            <w:bottom w:val="none" w:sz="0" w:space="0" w:color="auto"/>
            <w:right w:val="none" w:sz="0" w:space="0" w:color="auto"/>
          </w:divBdr>
        </w:div>
        <w:div w:id="180168399">
          <w:marLeft w:val="0"/>
          <w:marRight w:val="0"/>
          <w:marTop w:val="0"/>
          <w:marBottom w:val="0"/>
          <w:divBdr>
            <w:top w:val="none" w:sz="0" w:space="0" w:color="auto"/>
            <w:left w:val="none" w:sz="0" w:space="0" w:color="auto"/>
            <w:bottom w:val="none" w:sz="0" w:space="0" w:color="auto"/>
            <w:right w:val="none" w:sz="0" w:space="0" w:color="auto"/>
          </w:divBdr>
        </w:div>
        <w:div w:id="2031370693">
          <w:marLeft w:val="0"/>
          <w:marRight w:val="0"/>
          <w:marTop w:val="0"/>
          <w:marBottom w:val="0"/>
          <w:divBdr>
            <w:top w:val="none" w:sz="0" w:space="0" w:color="auto"/>
            <w:left w:val="none" w:sz="0" w:space="0" w:color="auto"/>
            <w:bottom w:val="none" w:sz="0" w:space="0" w:color="auto"/>
            <w:right w:val="none" w:sz="0" w:space="0" w:color="auto"/>
          </w:divBdr>
        </w:div>
      </w:divsChild>
    </w:div>
    <w:div w:id="1383820942">
      <w:bodyDiv w:val="1"/>
      <w:marLeft w:val="0"/>
      <w:marRight w:val="0"/>
      <w:marTop w:val="0"/>
      <w:marBottom w:val="0"/>
      <w:divBdr>
        <w:top w:val="none" w:sz="0" w:space="0" w:color="auto"/>
        <w:left w:val="none" w:sz="0" w:space="0" w:color="auto"/>
        <w:bottom w:val="none" w:sz="0" w:space="0" w:color="auto"/>
        <w:right w:val="none" w:sz="0" w:space="0" w:color="auto"/>
      </w:divBdr>
      <w:divsChild>
        <w:div w:id="1116099672">
          <w:marLeft w:val="0"/>
          <w:marRight w:val="0"/>
          <w:marTop w:val="0"/>
          <w:marBottom w:val="0"/>
          <w:divBdr>
            <w:top w:val="none" w:sz="0" w:space="0" w:color="auto"/>
            <w:left w:val="none" w:sz="0" w:space="0" w:color="auto"/>
            <w:bottom w:val="none" w:sz="0" w:space="0" w:color="auto"/>
            <w:right w:val="none" w:sz="0" w:space="0" w:color="auto"/>
          </w:divBdr>
        </w:div>
      </w:divsChild>
    </w:div>
    <w:div w:id="1399093364">
      <w:bodyDiv w:val="1"/>
      <w:marLeft w:val="0"/>
      <w:marRight w:val="0"/>
      <w:marTop w:val="0"/>
      <w:marBottom w:val="0"/>
      <w:divBdr>
        <w:top w:val="none" w:sz="0" w:space="0" w:color="auto"/>
        <w:left w:val="none" w:sz="0" w:space="0" w:color="auto"/>
        <w:bottom w:val="none" w:sz="0" w:space="0" w:color="auto"/>
        <w:right w:val="none" w:sz="0" w:space="0" w:color="auto"/>
      </w:divBdr>
    </w:div>
    <w:div w:id="1404181773">
      <w:bodyDiv w:val="1"/>
      <w:marLeft w:val="0"/>
      <w:marRight w:val="0"/>
      <w:marTop w:val="0"/>
      <w:marBottom w:val="0"/>
      <w:divBdr>
        <w:top w:val="none" w:sz="0" w:space="0" w:color="auto"/>
        <w:left w:val="none" w:sz="0" w:space="0" w:color="auto"/>
        <w:bottom w:val="none" w:sz="0" w:space="0" w:color="auto"/>
        <w:right w:val="none" w:sz="0" w:space="0" w:color="auto"/>
      </w:divBdr>
    </w:div>
    <w:div w:id="1417508002">
      <w:bodyDiv w:val="1"/>
      <w:marLeft w:val="0"/>
      <w:marRight w:val="0"/>
      <w:marTop w:val="0"/>
      <w:marBottom w:val="0"/>
      <w:divBdr>
        <w:top w:val="none" w:sz="0" w:space="0" w:color="auto"/>
        <w:left w:val="none" w:sz="0" w:space="0" w:color="auto"/>
        <w:bottom w:val="none" w:sz="0" w:space="0" w:color="auto"/>
        <w:right w:val="none" w:sz="0" w:space="0" w:color="auto"/>
      </w:divBdr>
    </w:div>
    <w:div w:id="1419905687">
      <w:bodyDiv w:val="1"/>
      <w:marLeft w:val="0"/>
      <w:marRight w:val="0"/>
      <w:marTop w:val="0"/>
      <w:marBottom w:val="0"/>
      <w:divBdr>
        <w:top w:val="none" w:sz="0" w:space="0" w:color="auto"/>
        <w:left w:val="none" w:sz="0" w:space="0" w:color="auto"/>
        <w:bottom w:val="none" w:sz="0" w:space="0" w:color="auto"/>
        <w:right w:val="none" w:sz="0" w:space="0" w:color="auto"/>
      </w:divBdr>
    </w:div>
    <w:div w:id="1421875797">
      <w:bodyDiv w:val="1"/>
      <w:marLeft w:val="0"/>
      <w:marRight w:val="0"/>
      <w:marTop w:val="0"/>
      <w:marBottom w:val="0"/>
      <w:divBdr>
        <w:top w:val="none" w:sz="0" w:space="0" w:color="auto"/>
        <w:left w:val="none" w:sz="0" w:space="0" w:color="auto"/>
        <w:bottom w:val="none" w:sz="0" w:space="0" w:color="auto"/>
        <w:right w:val="none" w:sz="0" w:space="0" w:color="auto"/>
      </w:divBdr>
    </w:div>
    <w:div w:id="1425374102">
      <w:bodyDiv w:val="1"/>
      <w:marLeft w:val="0"/>
      <w:marRight w:val="0"/>
      <w:marTop w:val="0"/>
      <w:marBottom w:val="0"/>
      <w:divBdr>
        <w:top w:val="none" w:sz="0" w:space="0" w:color="auto"/>
        <w:left w:val="none" w:sz="0" w:space="0" w:color="auto"/>
        <w:bottom w:val="none" w:sz="0" w:space="0" w:color="auto"/>
        <w:right w:val="none" w:sz="0" w:space="0" w:color="auto"/>
      </w:divBdr>
    </w:div>
    <w:div w:id="1462651637">
      <w:bodyDiv w:val="1"/>
      <w:marLeft w:val="0"/>
      <w:marRight w:val="0"/>
      <w:marTop w:val="0"/>
      <w:marBottom w:val="0"/>
      <w:divBdr>
        <w:top w:val="none" w:sz="0" w:space="0" w:color="auto"/>
        <w:left w:val="none" w:sz="0" w:space="0" w:color="auto"/>
        <w:bottom w:val="none" w:sz="0" w:space="0" w:color="auto"/>
        <w:right w:val="none" w:sz="0" w:space="0" w:color="auto"/>
      </w:divBdr>
      <w:divsChild>
        <w:div w:id="496922144">
          <w:marLeft w:val="0"/>
          <w:marRight w:val="0"/>
          <w:marTop w:val="0"/>
          <w:marBottom w:val="0"/>
          <w:divBdr>
            <w:top w:val="none" w:sz="0" w:space="0" w:color="auto"/>
            <w:left w:val="none" w:sz="0" w:space="0" w:color="auto"/>
            <w:bottom w:val="none" w:sz="0" w:space="0" w:color="auto"/>
            <w:right w:val="none" w:sz="0" w:space="0" w:color="auto"/>
          </w:divBdr>
        </w:div>
        <w:div w:id="1999966133">
          <w:marLeft w:val="0"/>
          <w:marRight w:val="0"/>
          <w:marTop w:val="0"/>
          <w:marBottom w:val="0"/>
          <w:divBdr>
            <w:top w:val="none" w:sz="0" w:space="0" w:color="auto"/>
            <w:left w:val="none" w:sz="0" w:space="0" w:color="auto"/>
            <w:bottom w:val="none" w:sz="0" w:space="0" w:color="auto"/>
            <w:right w:val="none" w:sz="0" w:space="0" w:color="auto"/>
          </w:divBdr>
        </w:div>
        <w:div w:id="781460832">
          <w:marLeft w:val="0"/>
          <w:marRight w:val="0"/>
          <w:marTop w:val="0"/>
          <w:marBottom w:val="0"/>
          <w:divBdr>
            <w:top w:val="none" w:sz="0" w:space="0" w:color="auto"/>
            <w:left w:val="none" w:sz="0" w:space="0" w:color="auto"/>
            <w:bottom w:val="none" w:sz="0" w:space="0" w:color="auto"/>
            <w:right w:val="none" w:sz="0" w:space="0" w:color="auto"/>
          </w:divBdr>
        </w:div>
      </w:divsChild>
    </w:div>
    <w:div w:id="1468008550">
      <w:bodyDiv w:val="1"/>
      <w:marLeft w:val="0"/>
      <w:marRight w:val="0"/>
      <w:marTop w:val="0"/>
      <w:marBottom w:val="0"/>
      <w:divBdr>
        <w:top w:val="none" w:sz="0" w:space="0" w:color="auto"/>
        <w:left w:val="none" w:sz="0" w:space="0" w:color="auto"/>
        <w:bottom w:val="none" w:sz="0" w:space="0" w:color="auto"/>
        <w:right w:val="none" w:sz="0" w:space="0" w:color="auto"/>
      </w:divBdr>
    </w:div>
    <w:div w:id="1469591425">
      <w:bodyDiv w:val="1"/>
      <w:marLeft w:val="0"/>
      <w:marRight w:val="0"/>
      <w:marTop w:val="0"/>
      <w:marBottom w:val="0"/>
      <w:divBdr>
        <w:top w:val="none" w:sz="0" w:space="0" w:color="auto"/>
        <w:left w:val="none" w:sz="0" w:space="0" w:color="auto"/>
        <w:bottom w:val="none" w:sz="0" w:space="0" w:color="auto"/>
        <w:right w:val="none" w:sz="0" w:space="0" w:color="auto"/>
      </w:divBdr>
    </w:div>
    <w:div w:id="1495143231">
      <w:bodyDiv w:val="1"/>
      <w:marLeft w:val="0"/>
      <w:marRight w:val="0"/>
      <w:marTop w:val="0"/>
      <w:marBottom w:val="0"/>
      <w:divBdr>
        <w:top w:val="none" w:sz="0" w:space="0" w:color="auto"/>
        <w:left w:val="none" w:sz="0" w:space="0" w:color="auto"/>
        <w:bottom w:val="none" w:sz="0" w:space="0" w:color="auto"/>
        <w:right w:val="none" w:sz="0" w:space="0" w:color="auto"/>
      </w:divBdr>
      <w:divsChild>
        <w:div w:id="28431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083558">
      <w:bodyDiv w:val="1"/>
      <w:marLeft w:val="0"/>
      <w:marRight w:val="0"/>
      <w:marTop w:val="0"/>
      <w:marBottom w:val="0"/>
      <w:divBdr>
        <w:top w:val="none" w:sz="0" w:space="0" w:color="auto"/>
        <w:left w:val="none" w:sz="0" w:space="0" w:color="auto"/>
        <w:bottom w:val="none" w:sz="0" w:space="0" w:color="auto"/>
        <w:right w:val="none" w:sz="0" w:space="0" w:color="auto"/>
      </w:divBdr>
    </w:div>
    <w:div w:id="1505315585">
      <w:bodyDiv w:val="1"/>
      <w:marLeft w:val="0"/>
      <w:marRight w:val="0"/>
      <w:marTop w:val="0"/>
      <w:marBottom w:val="0"/>
      <w:divBdr>
        <w:top w:val="none" w:sz="0" w:space="0" w:color="auto"/>
        <w:left w:val="none" w:sz="0" w:space="0" w:color="auto"/>
        <w:bottom w:val="none" w:sz="0" w:space="0" w:color="auto"/>
        <w:right w:val="none" w:sz="0" w:space="0" w:color="auto"/>
      </w:divBdr>
      <w:divsChild>
        <w:div w:id="282660157">
          <w:marLeft w:val="0"/>
          <w:marRight w:val="0"/>
          <w:marTop w:val="0"/>
          <w:marBottom w:val="0"/>
          <w:divBdr>
            <w:top w:val="none" w:sz="0" w:space="0" w:color="auto"/>
            <w:left w:val="none" w:sz="0" w:space="0" w:color="auto"/>
            <w:bottom w:val="none" w:sz="0" w:space="0" w:color="auto"/>
            <w:right w:val="none" w:sz="0" w:space="0" w:color="auto"/>
          </w:divBdr>
        </w:div>
      </w:divsChild>
    </w:div>
    <w:div w:id="1512833224">
      <w:bodyDiv w:val="1"/>
      <w:marLeft w:val="0"/>
      <w:marRight w:val="0"/>
      <w:marTop w:val="0"/>
      <w:marBottom w:val="0"/>
      <w:divBdr>
        <w:top w:val="none" w:sz="0" w:space="0" w:color="auto"/>
        <w:left w:val="none" w:sz="0" w:space="0" w:color="auto"/>
        <w:bottom w:val="none" w:sz="0" w:space="0" w:color="auto"/>
        <w:right w:val="none" w:sz="0" w:space="0" w:color="auto"/>
      </w:divBdr>
    </w:div>
    <w:div w:id="1523279108">
      <w:bodyDiv w:val="1"/>
      <w:marLeft w:val="0"/>
      <w:marRight w:val="0"/>
      <w:marTop w:val="0"/>
      <w:marBottom w:val="0"/>
      <w:divBdr>
        <w:top w:val="none" w:sz="0" w:space="0" w:color="auto"/>
        <w:left w:val="none" w:sz="0" w:space="0" w:color="auto"/>
        <w:bottom w:val="none" w:sz="0" w:space="0" w:color="auto"/>
        <w:right w:val="none" w:sz="0" w:space="0" w:color="auto"/>
      </w:divBdr>
    </w:div>
    <w:div w:id="1576357932">
      <w:bodyDiv w:val="1"/>
      <w:marLeft w:val="0"/>
      <w:marRight w:val="0"/>
      <w:marTop w:val="0"/>
      <w:marBottom w:val="0"/>
      <w:divBdr>
        <w:top w:val="none" w:sz="0" w:space="0" w:color="auto"/>
        <w:left w:val="none" w:sz="0" w:space="0" w:color="auto"/>
        <w:bottom w:val="none" w:sz="0" w:space="0" w:color="auto"/>
        <w:right w:val="none" w:sz="0" w:space="0" w:color="auto"/>
      </w:divBdr>
    </w:div>
    <w:div w:id="1626037092">
      <w:bodyDiv w:val="1"/>
      <w:marLeft w:val="0"/>
      <w:marRight w:val="0"/>
      <w:marTop w:val="0"/>
      <w:marBottom w:val="0"/>
      <w:divBdr>
        <w:top w:val="none" w:sz="0" w:space="0" w:color="auto"/>
        <w:left w:val="none" w:sz="0" w:space="0" w:color="auto"/>
        <w:bottom w:val="none" w:sz="0" w:space="0" w:color="auto"/>
        <w:right w:val="none" w:sz="0" w:space="0" w:color="auto"/>
      </w:divBdr>
    </w:div>
    <w:div w:id="1638418453">
      <w:bodyDiv w:val="1"/>
      <w:marLeft w:val="0"/>
      <w:marRight w:val="0"/>
      <w:marTop w:val="0"/>
      <w:marBottom w:val="0"/>
      <w:divBdr>
        <w:top w:val="none" w:sz="0" w:space="0" w:color="auto"/>
        <w:left w:val="none" w:sz="0" w:space="0" w:color="auto"/>
        <w:bottom w:val="none" w:sz="0" w:space="0" w:color="auto"/>
        <w:right w:val="none" w:sz="0" w:space="0" w:color="auto"/>
      </w:divBdr>
    </w:div>
    <w:div w:id="1658076023">
      <w:bodyDiv w:val="1"/>
      <w:marLeft w:val="0"/>
      <w:marRight w:val="0"/>
      <w:marTop w:val="0"/>
      <w:marBottom w:val="0"/>
      <w:divBdr>
        <w:top w:val="none" w:sz="0" w:space="0" w:color="auto"/>
        <w:left w:val="none" w:sz="0" w:space="0" w:color="auto"/>
        <w:bottom w:val="none" w:sz="0" w:space="0" w:color="auto"/>
        <w:right w:val="none" w:sz="0" w:space="0" w:color="auto"/>
      </w:divBdr>
    </w:div>
    <w:div w:id="1659724658">
      <w:bodyDiv w:val="1"/>
      <w:marLeft w:val="0"/>
      <w:marRight w:val="0"/>
      <w:marTop w:val="0"/>
      <w:marBottom w:val="0"/>
      <w:divBdr>
        <w:top w:val="none" w:sz="0" w:space="0" w:color="auto"/>
        <w:left w:val="none" w:sz="0" w:space="0" w:color="auto"/>
        <w:bottom w:val="none" w:sz="0" w:space="0" w:color="auto"/>
        <w:right w:val="none" w:sz="0" w:space="0" w:color="auto"/>
      </w:divBdr>
    </w:div>
    <w:div w:id="1674844743">
      <w:bodyDiv w:val="1"/>
      <w:marLeft w:val="0"/>
      <w:marRight w:val="0"/>
      <w:marTop w:val="0"/>
      <w:marBottom w:val="0"/>
      <w:divBdr>
        <w:top w:val="none" w:sz="0" w:space="0" w:color="auto"/>
        <w:left w:val="none" w:sz="0" w:space="0" w:color="auto"/>
        <w:bottom w:val="none" w:sz="0" w:space="0" w:color="auto"/>
        <w:right w:val="none" w:sz="0" w:space="0" w:color="auto"/>
      </w:divBdr>
    </w:div>
    <w:div w:id="1697998004">
      <w:bodyDiv w:val="1"/>
      <w:marLeft w:val="0"/>
      <w:marRight w:val="0"/>
      <w:marTop w:val="0"/>
      <w:marBottom w:val="0"/>
      <w:divBdr>
        <w:top w:val="none" w:sz="0" w:space="0" w:color="auto"/>
        <w:left w:val="none" w:sz="0" w:space="0" w:color="auto"/>
        <w:bottom w:val="none" w:sz="0" w:space="0" w:color="auto"/>
        <w:right w:val="none" w:sz="0" w:space="0" w:color="auto"/>
      </w:divBdr>
    </w:div>
    <w:div w:id="1714960780">
      <w:bodyDiv w:val="1"/>
      <w:marLeft w:val="0"/>
      <w:marRight w:val="0"/>
      <w:marTop w:val="0"/>
      <w:marBottom w:val="0"/>
      <w:divBdr>
        <w:top w:val="none" w:sz="0" w:space="0" w:color="auto"/>
        <w:left w:val="none" w:sz="0" w:space="0" w:color="auto"/>
        <w:bottom w:val="none" w:sz="0" w:space="0" w:color="auto"/>
        <w:right w:val="none" w:sz="0" w:space="0" w:color="auto"/>
      </w:divBdr>
    </w:div>
    <w:div w:id="1715735721">
      <w:bodyDiv w:val="1"/>
      <w:marLeft w:val="0"/>
      <w:marRight w:val="0"/>
      <w:marTop w:val="0"/>
      <w:marBottom w:val="0"/>
      <w:divBdr>
        <w:top w:val="none" w:sz="0" w:space="0" w:color="auto"/>
        <w:left w:val="none" w:sz="0" w:space="0" w:color="auto"/>
        <w:bottom w:val="none" w:sz="0" w:space="0" w:color="auto"/>
        <w:right w:val="none" w:sz="0" w:space="0" w:color="auto"/>
      </w:divBdr>
    </w:div>
    <w:div w:id="1718578018">
      <w:bodyDiv w:val="1"/>
      <w:marLeft w:val="0"/>
      <w:marRight w:val="0"/>
      <w:marTop w:val="0"/>
      <w:marBottom w:val="0"/>
      <w:divBdr>
        <w:top w:val="none" w:sz="0" w:space="0" w:color="auto"/>
        <w:left w:val="none" w:sz="0" w:space="0" w:color="auto"/>
        <w:bottom w:val="none" w:sz="0" w:space="0" w:color="auto"/>
        <w:right w:val="none" w:sz="0" w:space="0" w:color="auto"/>
      </w:divBdr>
    </w:div>
    <w:div w:id="1730374318">
      <w:bodyDiv w:val="1"/>
      <w:marLeft w:val="0"/>
      <w:marRight w:val="0"/>
      <w:marTop w:val="0"/>
      <w:marBottom w:val="0"/>
      <w:divBdr>
        <w:top w:val="none" w:sz="0" w:space="0" w:color="auto"/>
        <w:left w:val="none" w:sz="0" w:space="0" w:color="auto"/>
        <w:bottom w:val="none" w:sz="0" w:space="0" w:color="auto"/>
        <w:right w:val="none" w:sz="0" w:space="0" w:color="auto"/>
      </w:divBdr>
      <w:divsChild>
        <w:div w:id="20061035">
          <w:marLeft w:val="0"/>
          <w:marRight w:val="0"/>
          <w:marTop w:val="0"/>
          <w:marBottom w:val="0"/>
          <w:divBdr>
            <w:top w:val="none" w:sz="0" w:space="0" w:color="auto"/>
            <w:left w:val="none" w:sz="0" w:space="0" w:color="auto"/>
            <w:bottom w:val="none" w:sz="0" w:space="0" w:color="auto"/>
            <w:right w:val="none" w:sz="0" w:space="0" w:color="auto"/>
          </w:divBdr>
        </w:div>
        <w:div w:id="1836994178">
          <w:marLeft w:val="0"/>
          <w:marRight w:val="0"/>
          <w:marTop w:val="0"/>
          <w:marBottom w:val="0"/>
          <w:divBdr>
            <w:top w:val="none" w:sz="0" w:space="0" w:color="auto"/>
            <w:left w:val="none" w:sz="0" w:space="0" w:color="auto"/>
            <w:bottom w:val="none" w:sz="0" w:space="0" w:color="auto"/>
            <w:right w:val="none" w:sz="0" w:space="0" w:color="auto"/>
          </w:divBdr>
        </w:div>
      </w:divsChild>
    </w:div>
    <w:div w:id="1732339775">
      <w:bodyDiv w:val="1"/>
      <w:marLeft w:val="0"/>
      <w:marRight w:val="0"/>
      <w:marTop w:val="0"/>
      <w:marBottom w:val="0"/>
      <w:divBdr>
        <w:top w:val="none" w:sz="0" w:space="0" w:color="auto"/>
        <w:left w:val="none" w:sz="0" w:space="0" w:color="auto"/>
        <w:bottom w:val="none" w:sz="0" w:space="0" w:color="auto"/>
        <w:right w:val="none" w:sz="0" w:space="0" w:color="auto"/>
      </w:divBdr>
    </w:div>
    <w:div w:id="1771270689">
      <w:bodyDiv w:val="1"/>
      <w:marLeft w:val="0"/>
      <w:marRight w:val="0"/>
      <w:marTop w:val="0"/>
      <w:marBottom w:val="0"/>
      <w:divBdr>
        <w:top w:val="none" w:sz="0" w:space="0" w:color="auto"/>
        <w:left w:val="none" w:sz="0" w:space="0" w:color="auto"/>
        <w:bottom w:val="none" w:sz="0" w:space="0" w:color="auto"/>
        <w:right w:val="none" w:sz="0" w:space="0" w:color="auto"/>
      </w:divBdr>
      <w:divsChild>
        <w:div w:id="15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8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02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833837">
      <w:bodyDiv w:val="1"/>
      <w:marLeft w:val="0"/>
      <w:marRight w:val="0"/>
      <w:marTop w:val="0"/>
      <w:marBottom w:val="0"/>
      <w:divBdr>
        <w:top w:val="none" w:sz="0" w:space="0" w:color="auto"/>
        <w:left w:val="none" w:sz="0" w:space="0" w:color="auto"/>
        <w:bottom w:val="none" w:sz="0" w:space="0" w:color="auto"/>
        <w:right w:val="none" w:sz="0" w:space="0" w:color="auto"/>
      </w:divBdr>
    </w:div>
    <w:div w:id="1811822676">
      <w:bodyDiv w:val="1"/>
      <w:marLeft w:val="0"/>
      <w:marRight w:val="0"/>
      <w:marTop w:val="0"/>
      <w:marBottom w:val="0"/>
      <w:divBdr>
        <w:top w:val="none" w:sz="0" w:space="0" w:color="auto"/>
        <w:left w:val="none" w:sz="0" w:space="0" w:color="auto"/>
        <w:bottom w:val="none" w:sz="0" w:space="0" w:color="auto"/>
        <w:right w:val="none" w:sz="0" w:space="0" w:color="auto"/>
      </w:divBdr>
    </w:div>
    <w:div w:id="1821116021">
      <w:bodyDiv w:val="1"/>
      <w:marLeft w:val="0"/>
      <w:marRight w:val="0"/>
      <w:marTop w:val="0"/>
      <w:marBottom w:val="0"/>
      <w:divBdr>
        <w:top w:val="none" w:sz="0" w:space="0" w:color="auto"/>
        <w:left w:val="none" w:sz="0" w:space="0" w:color="auto"/>
        <w:bottom w:val="none" w:sz="0" w:space="0" w:color="auto"/>
        <w:right w:val="none" w:sz="0" w:space="0" w:color="auto"/>
      </w:divBdr>
    </w:div>
    <w:div w:id="1879968133">
      <w:bodyDiv w:val="1"/>
      <w:marLeft w:val="0"/>
      <w:marRight w:val="0"/>
      <w:marTop w:val="0"/>
      <w:marBottom w:val="0"/>
      <w:divBdr>
        <w:top w:val="none" w:sz="0" w:space="0" w:color="auto"/>
        <w:left w:val="none" w:sz="0" w:space="0" w:color="auto"/>
        <w:bottom w:val="none" w:sz="0" w:space="0" w:color="auto"/>
        <w:right w:val="none" w:sz="0" w:space="0" w:color="auto"/>
      </w:divBdr>
      <w:divsChild>
        <w:div w:id="24892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264305">
      <w:bodyDiv w:val="1"/>
      <w:marLeft w:val="0"/>
      <w:marRight w:val="0"/>
      <w:marTop w:val="0"/>
      <w:marBottom w:val="0"/>
      <w:divBdr>
        <w:top w:val="none" w:sz="0" w:space="0" w:color="auto"/>
        <w:left w:val="none" w:sz="0" w:space="0" w:color="auto"/>
        <w:bottom w:val="none" w:sz="0" w:space="0" w:color="auto"/>
        <w:right w:val="none" w:sz="0" w:space="0" w:color="auto"/>
      </w:divBdr>
    </w:div>
    <w:div w:id="1951820379">
      <w:bodyDiv w:val="1"/>
      <w:marLeft w:val="0"/>
      <w:marRight w:val="0"/>
      <w:marTop w:val="0"/>
      <w:marBottom w:val="0"/>
      <w:divBdr>
        <w:top w:val="none" w:sz="0" w:space="0" w:color="auto"/>
        <w:left w:val="none" w:sz="0" w:space="0" w:color="auto"/>
        <w:bottom w:val="none" w:sz="0" w:space="0" w:color="auto"/>
        <w:right w:val="none" w:sz="0" w:space="0" w:color="auto"/>
      </w:divBdr>
    </w:div>
    <w:div w:id="1974367169">
      <w:bodyDiv w:val="1"/>
      <w:marLeft w:val="0"/>
      <w:marRight w:val="0"/>
      <w:marTop w:val="0"/>
      <w:marBottom w:val="0"/>
      <w:divBdr>
        <w:top w:val="none" w:sz="0" w:space="0" w:color="auto"/>
        <w:left w:val="none" w:sz="0" w:space="0" w:color="auto"/>
        <w:bottom w:val="none" w:sz="0" w:space="0" w:color="auto"/>
        <w:right w:val="none" w:sz="0" w:space="0" w:color="auto"/>
      </w:divBdr>
    </w:div>
    <w:div w:id="1975671943">
      <w:bodyDiv w:val="1"/>
      <w:marLeft w:val="0"/>
      <w:marRight w:val="0"/>
      <w:marTop w:val="0"/>
      <w:marBottom w:val="0"/>
      <w:divBdr>
        <w:top w:val="none" w:sz="0" w:space="0" w:color="auto"/>
        <w:left w:val="none" w:sz="0" w:space="0" w:color="auto"/>
        <w:bottom w:val="none" w:sz="0" w:space="0" w:color="auto"/>
        <w:right w:val="none" w:sz="0" w:space="0" w:color="auto"/>
      </w:divBdr>
      <w:divsChild>
        <w:div w:id="1098210293">
          <w:marLeft w:val="0"/>
          <w:marRight w:val="0"/>
          <w:marTop w:val="0"/>
          <w:marBottom w:val="0"/>
          <w:divBdr>
            <w:top w:val="none" w:sz="0" w:space="0" w:color="auto"/>
            <w:left w:val="none" w:sz="0" w:space="0" w:color="auto"/>
            <w:bottom w:val="none" w:sz="0" w:space="0" w:color="auto"/>
            <w:right w:val="none" w:sz="0" w:space="0" w:color="auto"/>
          </w:divBdr>
        </w:div>
      </w:divsChild>
    </w:div>
    <w:div w:id="2095079219">
      <w:bodyDiv w:val="1"/>
      <w:marLeft w:val="0"/>
      <w:marRight w:val="0"/>
      <w:marTop w:val="0"/>
      <w:marBottom w:val="0"/>
      <w:divBdr>
        <w:top w:val="none" w:sz="0" w:space="0" w:color="auto"/>
        <w:left w:val="none" w:sz="0" w:space="0" w:color="auto"/>
        <w:bottom w:val="none" w:sz="0" w:space="0" w:color="auto"/>
        <w:right w:val="none" w:sz="0" w:space="0" w:color="auto"/>
      </w:divBdr>
    </w:div>
    <w:div w:id="2106614434">
      <w:bodyDiv w:val="1"/>
      <w:marLeft w:val="0"/>
      <w:marRight w:val="0"/>
      <w:marTop w:val="0"/>
      <w:marBottom w:val="0"/>
      <w:divBdr>
        <w:top w:val="none" w:sz="0" w:space="0" w:color="auto"/>
        <w:left w:val="none" w:sz="0" w:space="0" w:color="auto"/>
        <w:bottom w:val="none" w:sz="0" w:space="0" w:color="auto"/>
        <w:right w:val="none" w:sz="0" w:space="0" w:color="auto"/>
      </w:divBdr>
      <w:divsChild>
        <w:div w:id="1662153408">
          <w:marLeft w:val="0"/>
          <w:marRight w:val="0"/>
          <w:marTop w:val="0"/>
          <w:marBottom w:val="0"/>
          <w:divBdr>
            <w:top w:val="none" w:sz="0" w:space="0" w:color="auto"/>
            <w:left w:val="none" w:sz="0" w:space="0" w:color="auto"/>
            <w:bottom w:val="none" w:sz="0" w:space="0" w:color="auto"/>
            <w:right w:val="none" w:sz="0" w:space="0" w:color="auto"/>
          </w:divBdr>
        </w:div>
        <w:div w:id="1321622081">
          <w:marLeft w:val="0"/>
          <w:marRight w:val="0"/>
          <w:marTop w:val="0"/>
          <w:marBottom w:val="0"/>
          <w:divBdr>
            <w:top w:val="none" w:sz="0" w:space="0" w:color="auto"/>
            <w:left w:val="none" w:sz="0" w:space="0" w:color="auto"/>
            <w:bottom w:val="none" w:sz="0" w:space="0" w:color="auto"/>
            <w:right w:val="none" w:sz="0" w:space="0" w:color="auto"/>
          </w:divBdr>
        </w:div>
        <w:div w:id="432364250">
          <w:marLeft w:val="0"/>
          <w:marRight w:val="0"/>
          <w:marTop w:val="0"/>
          <w:marBottom w:val="0"/>
          <w:divBdr>
            <w:top w:val="none" w:sz="0" w:space="0" w:color="auto"/>
            <w:left w:val="none" w:sz="0" w:space="0" w:color="auto"/>
            <w:bottom w:val="none" w:sz="0" w:space="0" w:color="auto"/>
            <w:right w:val="none" w:sz="0" w:space="0" w:color="auto"/>
          </w:divBdr>
        </w:div>
      </w:divsChild>
    </w:div>
    <w:div w:id="214639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file:///\\nersdata1\sfd_common\STATUS\Council%20Status%20of%20Action%20Reports\NEFMC\NE_2013\Jason.Berthiaume@noaa.gov"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nero.noaa/sfd/lobster" TargetMode="External"/><Relationship Id="rId7" Type="http://schemas.openxmlformats.org/officeDocument/2006/relationships/footnotes" Target="footnotes.xml"/><Relationship Id="rId12" Type="http://schemas.openxmlformats.org/officeDocument/2006/relationships/hyperlink" Target="http://www.mafmc.org/council-events/2013dec/council" TargetMode="External"/><Relationship Id="rId17" Type="http://schemas.openxmlformats.org/officeDocument/2006/relationships/hyperlink" Target="mailto:aja.szumylo@noaa.gov"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tel:978-281-9195" TargetMode="External"/><Relationship Id="rId20" Type="http://schemas.openxmlformats.org/officeDocument/2006/relationships/hyperlink" Target="https://www.federalregister.gov/articles/2013/11/15/2013-27340/proposed-information-collection-comment-request-northeast-region-gear-identific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mailto:Ryan.Silva@noaa.gov" TargetMode="External"/><Relationship Id="rId5" Type="http://schemas.openxmlformats.org/officeDocument/2006/relationships/settings" Target="settings.xml"/><Relationship Id="rId15" Type="http://schemas.openxmlformats.org/officeDocument/2006/relationships/hyperlink" Target="mailto:(978)%20281-9182" TargetMode="External"/><Relationship Id="rId23" Type="http://schemas.openxmlformats.org/officeDocument/2006/relationships/hyperlink" Target="tel:%28978-281-9326"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Jason.Berthiaume@noa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mailto:Jason.Berthiaume@noaa.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BB22E-FEAF-4FD5-B1C0-17F9100B1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3090</Words>
  <Characters>17619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NMFS</Company>
  <LinksUpToDate>false</LinksUpToDate>
  <CharactersWithSpaces>20668</CharactersWithSpaces>
  <SharedDoc>false</SharedDoc>
  <HLinks>
    <vt:vector size="12" baseType="variant">
      <vt:variant>
        <vt:i4>3473457</vt:i4>
      </vt:variant>
      <vt:variant>
        <vt:i4>6</vt:i4>
      </vt:variant>
      <vt:variant>
        <vt:i4>0</vt:i4>
      </vt:variant>
      <vt:variant>
        <vt:i4>5</vt:i4>
      </vt:variant>
      <vt:variant>
        <vt:lpwstr>http://www.nero.noaa.gov/nero/</vt:lpwstr>
      </vt:variant>
      <vt:variant>
        <vt:lpwstr/>
      </vt:variant>
      <vt:variant>
        <vt:i4>3342351</vt:i4>
      </vt:variant>
      <vt:variant>
        <vt:i4>3</vt:i4>
      </vt:variant>
      <vt:variant>
        <vt:i4>0</vt:i4>
      </vt:variant>
      <vt:variant>
        <vt:i4>5</vt:i4>
      </vt:variant>
      <vt:variant>
        <vt:lpwstr>mailto:Comment@noaa.gov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NOAA</dc:creator>
  <cp:lastModifiedBy>CBiegel</cp:lastModifiedBy>
  <cp:revision>2</cp:revision>
  <cp:lastPrinted>2012-06-07T21:40:00Z</cp:lastPrinted>
  <dcterms:created xsi:type="dcterms:W3CDTF">2013-12-13T14:35:00Z</dcterms:created>
  <dcterms:modified xsi:type="dcterms:W3CDTF">2013-12-13T14:35:00Z</dcterms:modified>
</cp:coreProperties>
</file>