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F49" w:rsidRDefault="00607F49" w:rsidP="00607F49">
      <w:pPr>
        <w:jc w:val="center"/>
        <w:rPr>
          <w:b/>
          <w:bCs/>
          <w:szCs w:val="24"/>
        </w:rPr>
      </w:pPr>
      <w:r>
        <w:rPr>
          <w:b/>
          <w:bCs/>
          <w:szCs w:val="24"/>
        </w:rPr>
        <w:t>SUPPORTING STATEMENT</w:t>
      </w:r>
    </w:p>
    <w:p w:rsidR="00607F49" w:rsidRDefault="00607F49" w:rsidP="00607F49">
      <w:pPr>
        <w:rPr>
          <w:rFonts w:ascii="Georgia" w:hAnsi="Georgia" w:cs="Courier New TUR"/>
          <w:b/>
          <w:bCs/>
        </w:rPr>
      </w:pPr>
    </w:p>
    <w:p w:rsidR="00607F49" w:rsidRPr="00607F49" w:rsidRDefault="00607F49" w:rsidP="00607F49">
      <w:pPr>
        <w:jc w:val="center"/>
        <w:rPr>
          <w:b/>
          <w:bCs/>
        </w:rPr>
      </w:pPr>
      <w:r w:rsidRPr="00607F49">
        <w:rPr>
          <w:b/>
          <w:bCs/>
        </w:rPr>
        <w:t>Panel Member Survey to Develop Indicators of Resilient Coastal Tourism</w:t>
      </w:r>
    </w:p>
    <w:p w:rsidR="00607F49" w:rsidRDefault="00607F49" w:rsidP="00607F49">
      <w:pPr>
        <w:jc w:val="center"/>
        <w:rPr>
          <w:b/>
          <w:bCs/>
          <w:szCs w:val="24"/>
        </w:rPr>
      </w:pPr>
    </w:p>
    <w:p w:rsidR="00607F49" w:rsidRDefault="00607F49" w:rsidP="00607F49">
      <w:pPr>
        <w:jc w:val="center"/>
        <w:rPr>
          <w:szCs w:val="24"/>
        </w:rPr>
      </w:pPr>
      <w:r>
        <w:rPr>
          <w:b/>
          <w:bCs/>
          <w:szCs w:val="24"/>
        </w:rPr>
        <w:t>OMB CONTROL NO. 0648-xxxx</w:t>
      </w:r>
    </w:p>
    <w:p w:rsidR="00607F49" w:rsidRDefault="00607F49" w:rsidP="00C4740A">
      <w:pPr>
        <w:rPr>
          <w:b/>
          <w:bCs/>
          <w:szCs w:val="24"/>
        </w:rPr>
      </w:pPr>
    </w:p>
    <w:p w:rsidR="00607F49" w:rsidRDefault="00607F49" w:rsidP="00C4740A">
      <w:pPr>
        <w:rPr>
          <w:b/>
          <w:bCs/>
          <w:szCs w:val="24"/>
        </w:rPr>
      </w:pPr>
    </w:p>
    <w:p w:rsidR="00C4740A" w:rsidRDefault="00C4740A" w:rsidP="00C4740A">
      <w:pPr>
        <w:rPr>
          <w:szCs w:val="24"/>
        </w:rPr>
      </w:pPr>
      <w:r>
        <w:rPr>
          <w:b/>
          <w:bCs/>
          <w:szCs w:val="24"/>
        </w:rPr>
        <w:t>B.  COLLECTIONS OF INFORMATION EMPLOYING STATISTICAL METHODS</w:t>
      </w:r>
    </w:p>
    <w:p w:rsidR="00C4740A" w:rsidRDefault="00C4740A" w:rsidP="00C4740A">
      <w:pPr>
        <w:rPr>
          <w:szCs w:val="24"/>
        </w:rPr>
      </w:pPr>
    </w:p>
    <w:p w:rsidR="00C4740A" w:rsidRDefault="00C4740A" w:rsidP="00C474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b/>
          <w:bCs/>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C4740A" w:rsidRPr="006A79CA" w:rsidRDefault="00C4740A" w:rsidP="00C474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C4740A" w:rsidRDefault="00C4740A" w:rsidP="00C4740A">
      <w:pPr>
        <w:rPr>
          <w:sz w:val="22"/>
          <w:szCs w:val="22"/>
        </w:rPr>
      </w:pPr>
      <w:r w:rsidRPr="006A79CA">
        <w:rPr>
          <w:sz w:val="22"/>
          <w:szCs w:val="22"/>
        </w:rPr>
        <w:t xml:space="preserve">The respondent universe includes </w:t>
      </w:r>
      <w:r>
        <w:rPr>
          <w:sz w:val="22"/>
          <w:szCs w:val="22"/>
        </w:rPr>
        <w:t>59 individuals from organizations and groups identified as being able to</w:t>
      </w:r>
      <w:r w:rsidRPr="006A79CA">
        <w:rPr>
          <w:sz w:val="22"/>
          <w:szCs w:val="22"/>
        </w:rPr>
        <w:t xml:space="preserve"> provide expert opinion on tourism issues related to resiliency</w:t>
      </w:r>
      <w:r>
        <w:rPr>
          <w:sz w:val="22"/>
          <w:szCs w:val="22"/>
        </w:rPr>
        <w:t xml:space="preserve"> (See </w:t>
      </w:r>
      <w:r>
        <w:rPr>
          <w:sz w:val="22"/>
          <w:szCs w:val="22"/>
        </w:rPr>
        <w:fldChar w:fldCharType="begin"/>
      </w:r>
      <w:r>
        <w:rPr>
          <w:sz w:val="22"/>
          <w:szCs w:val="22"/>
        </w:rPr>
        <w:instrText xml:space="preserve"> REF _Ref381610749 \h  \* MERGEFORMAT </w:instrText>
      </w:r>
      <w:r>
        <w:rPr>
          <w:sz w:val="22"/>
          <w:szCs w:val="22"/>
        </w:rPr>
      </w:r>
      <w:r>
        <w:rPr>
          <w:sz w:val="22"/>
          <w:szCs w:val="22"/>
        </w:rPr>
        <w:fldChar w:fldCharType="separate"/>
      </w:r>
      <w:r w:rsidRPr="009D5138">
        <w:rPr>
          <w:sz w:val="22"/>
          <w:szCs w:val="22"/>
        </w:rPr>
        <w:t>Table 2</w:t>
      </w:r>
      <w:r>
        <w:rPr>
          <w:sz w:val="22"/>
          <w:szCs w:val="22"/>
        </w:rPr>
        <w:fldChar w:fldCharType="end"/>
      </w:r>
      <w:r>
        <w:rPr>
          <w:sz w:val="22"/>
          <w:szCs w:val="22"/>
        </w:rPr>
        <w:t xml:space="preserve">). From that universe of 59 potential respondents, 33 individuals agreed to participate in the survey process, and these individuals comprise the respondent sample. NOAA expects a total of 29 to complete the survey. </w:t>
      </w:r>
      <w:r>
        <w:rPr>
          <w:sz w:val="22"/>
          <w:szCs w:val="22"/>
        </w:rPr>
        <w:fldChar w:fldCharType="begin"/>
      </w:r>
      <w:r>
        <w:rPr>
          <w:sz w:val="22"/>
          <w:szCs w:val="22"/>
        </w:rPr>
        <w:instrText xml:space="preserve"> REF _Ref381610749 \h  \* MERGEFORMAT </w:instrText>
      </w:r>
      <w:r>
        <w:rPr>
          <w:sz w:val="22"/>
          <w:szCs w:val="22"/>
        </w:rPr>
      </w:r>
      <w:r>
        <w:rPr>
          <w:sz w:val="22"/>
          <w:szCs w:val="22"/>
        </w:rPr>
        <w:fldChar w:fldCharType="separate"/>
      </w:r>
      <w:r w:rsidRPr="009D5138">
        <w:rPr>
          <w:sz w:val="22"/>
          <w:szCs w:val="22"/>
        </w:rPr>
        <w:t>Table 2</w:t>
      </w:r>
      <w:r>
        <w:rPr>
          <w:sz w:val="22"/>
          <w:szCs w:val="22"/>
        </w:rPr>
        <w:fldChar w:fldCharType="end"/>
      </w:r>
      <w:r>
        <w:rPr>
          <w:sz w:val="22"/>
          <w:szCs w:val="22"/>
        </w:rPr>
        <w:t xml:space="preserve"> below shows the breakdown of respondents by geographic area as well as by the type of entity that the respondents represents (e.g., local government, academia).</w:t>
      </w:r>
    </w:p>
    <w:p w:rsidR="00C4740A" w:rsidRDefault="00C4740A" w:rsidP="00C4740A">
      <w:pPr>
        <w:rPr>
          <w:sz w:val="22"/>
          <w:szCs w:val="22"/>
        </w:rPr>
      </w:pPr>
    </w:p>
    <w:p w:rsidR="00C4740A" w:rsidRDefault="00C4740A" w:rsidP="00C4740A">
      <w:pPr>
        <w:pStyle w:val="Caption"/>
        <w:keepNext/>
      </w:pPr>
      <w:bookmarkStart w:id="0" w:name="_Ref381610749"/>
      <w:r>
        <w:t xml:space="preserve">Table </w:t>
      </w:r>
      <w:fldSimple w:instr=" SEQ Table \* ARABIC ">
        <w:r>
          <w:rPr>
            <w:noProof/>
          </w:rPr>
          <w:t>2</w:t>
        </w:r>
      </w:fldSimple>
      <w:bookmarkEnd w:id="0"/>
      <w:r>
        <w:t>: Respondent Universe and Sample by Study Site</w:t>
      </w:r>
    </w:p>
    <w:tbl>
      <w:tblPr>
        <w:tblW w:w="10041" w:type="dxa"/>
        <w:jc w:val="center"/>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5"/>
        <w:gridCol w:w="1170"/>
        <w:gridCol w:w="1226"/>
        <w:gridCol w:w="1294"/>
        <w:gridCol w:w="1170"/>
        <w:gridCol w:w="1246"/>
        <w:gridCol w:w="2040"/>
      </w:tblGrid>
      <w:tr w:rsidR="00C4740A" w:rsidRPr="00A21A1C" w:rsidTr="002D129B">
        <w:trPr>
          <w:jc w:val="center"/>
        </w:trPr>
        <w:tc>
          <w:tcPr>
            <w:tcW w:w="1895" w:type="dxa"/>
            <w:vMerge w:val="restart"/>
            <w:tcBorders>
              <w:left w:val="single" w:sz="12" w:space="0" w:color="auto"/>
              <w:right w:val="single" w:sz="12" w:space="0" w:color="auto"/>
            </w:tcBorders>
            <w:shd w:val="clear" w:color="auto" w:fill="BFBFBF"/>
          </w:tcPr>
          <w:p w:rsidR="00C4740A" w:rsidRPr="00A21A1C" w:rsidRDefault="00C4740A" w:rsidP="002D129B">
            <w:pPr>
              <w:rPr>
                <w:rFonts w:eastAsia="Calibri"/>
                <w:b/>
                <w:sz w:val="20"/>
              </w:rPr>
            </w:pPr>
            <w:r w:rsidRPr="00A21A1C">
              <w:rPr>
                <w:rFonts w:eastAsia="Calibri"/>
                <w:b/>
                <w:sz w:val="20"/>
              </w:rPr>
              <w:t>Organization or Group Providing Expertise</w:t>
            </w:r>
          </w:p>
        </w:tc>
        <w:tc>
          <w:tcPr>
            <w:tcW w:w="2396" w:type="dxa"/>
            <w:gridSpan w:val="2"/>
            <w:tcBorders>
              <w:left w:val="single" w:sz="12" w:space="0" w:color="auto"/>
              <w:right w:val="single" w:sz="12" w:space="0" w:color="auto"/>
            </w:tcBorders>
            <w:shd w:val="clear" w:color="auto" w:fill="BFBFBF"/>
            <w:vAlign w:val="center"/>
          </w:tcPr>
          <w:p w:rsidR="00C4740A" w:rsidRPr="00A21A1C" w:rsidRDefault="00C4740A" w:rsidP="002D129B">
            <w:pPr>
              <w:jc w:val="center"/>
              <w:rPr>
                <w:rFonts w:eastAsia="Calibri"/>
                <w:b/>
                <w:i/>
                <w:sz w:val="20"/>
              </w:rPr>
            </w:pPr>
            <w:r w:rsidRPr="00A21A1C">
              <w:rPr>
                <w:rFonts w:eastAsia="Calibri"/>
                <w:b/>
                <w:sz w:val="20"/>
              </w:rPr>
              <w:t>Potential Universe</w:t>
            </w:r>
          </w:p>
        </w:tc>
        <w:tc>
          <w:tcPr>
            <w:tcW w:w="2464" w:type="dxa"/>
            <w:gridSpan w:val="2"/>
            <w:tcBorders>
              <w:left w:val="single" w:sz="12" w:space="0" w:color="auto"/>
              <w:right w:val="single" w:sz="12" w:space="0" w:color="auto"/>
            </w:tcBorders>
            <w:shd w:val="clear" w:color="auto" w:fill="BFBFBF"/>
            <w:vAlign w:val="center"/>
          </w:tcPr>
          <w:p w:rsidR="00C4740A" w:rsidRPr="00A21A1C" w:rsidRDefault="00C4740A" w:rsidP="002D129B">
            <w:pPr>
              <w:jc w:val="center"/>
              <w:rPr>
                <w:rFonts w:eastAsia="Calibri"/>
                <w:b/>
                <w:i/>
                <w:sz w:val="20"/>
              </w:rPr>
            </w:pPr>
            <w:r w:rsidRPr="00A21A1C">
              <w:rPr>
                <w:rFonts w:eastAsia="Calibri"/>
                <w:b/>
                <w:sz w:val="20"/>
              </w:rPr>
              <w:t>Sample</w:t>
            </w:r>
          </w:p>
        </w:tc>
        <w:tc>
          <w:tcPr>
            <w:tcW w:w="1246" w:type="dxa"/>
            <w:vMerge w:val="restart"/>
            <w:tcBorders>
              <w:left w:val="single" w:sz="12" w:space="0" w:color="auto"/>
              <w:right w:val="single" w:sz="12" w:space="0" w:color="auto"/>
            </w:tcBorders>
            <w:shd w:val="clear" w:color="auto" w:fill="BFBFBF"/>
            <w:vAlign w:val="center"/>
          </w:tcPr>
          <w:p w:rsidR="00C4740A" w:rsidRPr="00A21A1C" w:rsidRDefault="00C4740A" w:rsidP="002D129B">
            <w:pPr>
              <w:jc w:val="center"/>
              <w:rPr>
                <w:rFonts w:eastAsia="Calibri"/>
                <w:b/>
                <w:i/>
                <w:sz w:val="20"/>
              </w:rPr>
            </w:pPr>
            <w:r w:rsidRPr="00A21A1C">
              <w:rPr>
                <w:rFonts w:eastAsia="Calibri"/>
                <w:b/>
                <w:sz w:val="20"/>
              </w:rPr>
              <w:t>Anticipated Response Rate [a]</w:t>
            </w:r>
          </w:p>
        </w:tc>
        <w:tc>
          <w:tcPr>
            <w:tcW w:w="2040" w:type="dxa"/>
            <w:vMerge w:val="restart"/>
            <w:tcBorders>
              <w:left w:val="single" w:sz="12" w:space="0" w:color="auto"/>
              <w:right w:val="single" w:sz="12" w:space="0" w:color="auto"/>
            </w:tcBorders>
            <w:shd w:val="clear" w:color="auto" w:fill="BFBFBF"/>
            <w:vAlign w:val="center"/>
          </w:tcPr>
          <w:p w:rsidR="00C4740A" w:rsidRPr="00A21A1C" w:rsidRDefault="00C4740A" w:rsidP="002D129B">
            <w:pPr>
              <w:jc w:val="center"/>
              <w:rPr>
                <w:rFonts w:eastAsia="Calibri"/>
                <w:b/>
                <w:i/>
                <w:sz w:val="20"/>
              </w:rPr>
            </w:pPr>
            <w:r w:rsidRPr="00A21A1C">
              <w:rPr>
                <w:rFonts w:eastAsia="Calibri"/>
                <w:b/>
                <w:sz w:val="20"/>
              </w:rPr>
              <w:t>Actual Respondents</w:t>
            </w:r>
          </w:p>
        </w:tc>
      </w:tr>
      <w:tr w:rsidR="00C4740A" w:rsidRPr="00A21A1C" w:rsidTr="002D129B">
        <w:trPr>
          <w:jc w:val="center"/>
        </w:trPr>
        <w:tc>
          <w:tcPr>
            <w:tcW w:w="1895" w:type="dxa"/>
            <w:vMerge/>
            <w:tcBorders>
              <w:left w:val="single" w:sz="12" w:space="0" w:color="auto"/>
              <w:right w:val="single" w:sz="12" w:space="0" w:color="auto"/>
            </w:tcBorders>
            <w:shd w:val="clear" w:color="auto" w:fill="BFBFBF"/>
          </w:tcPr>
          <w:p w:rsidR="00C4740A" w:rsidRPr="00A21A1C" w:rsidRDefault="00C4740A" w:rsidP="002D129B">
            <w:pPr>
              <w:rPr>
                <w:rFonts w:eastAsia="Calibri"/>
                <w:b/>
                <w:sz w:val="20"/>
              </w:rPr>
            </w:pPr>
          </w:p>
        </w:tc>
        <w:tc>
          <w:tcPr>
            <w:tcW w:w="1170" w:type="dxa"/>
            <w:tcBorders>
              <w:left w:val="single" w:sz="12" w:space="0" w:color="auto"/>
            </w:tcBorders>
            <w:shd w:val="clear" w:color="auto" w:fill="BFBFBF"/>
            <w:vAlign w:val="center"/>
          </w:tcPr>
          <w:p w:rsidR="00C4740A" w:rsidRPr="00A21A1C" w:rsidRDefault="00C4740A" w:rsidP="002D129B">
            <w:pPr>
              <w:jc w:val="center"/>
              <w:rPr>
                <w:rFonts w:eastAsia="Calibri"/>
                <w:b/>
                <w:sz w:val="20"/>
              </w:rPr>
            </w:pPr>
            <w:r w:rsidRPr="00A21A1C">
              <w:rPr>
                <w:rFonts w:eastAsia="Calibri"/>
                <w:b/>
                <w:sz w:val="20"/>
              </w:rPr>
              <w:t>Percent</w:t>
            </w:r>
          </w:p>
        </w:tc>
        <w:tc>
          <w:tcPr>
            <w:tcW w:w="1226" w:type="dxa"/>
            <w:tcBorders>
              <w:right w:val="single" w:sz="12" w:space="0" w:color="auto"/>
            </w:tcBorders>
            <w:shd w:val="clear" w:color="auto" w:fill="BFBFBF"/>
            <w:vAlign w:val="center"/>
          </w:tcPr>
          <w:p w:rsidR="00C4740A" w:rsidRPr="00A21A1C" w:rsidRDefault="00C4740A" w:rsidP="002D129B">
            <w:pPr>
              <w:jc w:val="center"/>
              <w:rPr>
                <w:rFonts w:eastAsia="Calibri"/>
                <w:b/>
                <w:sz w:val="20"/>
              </w:rPr>
            </w:pPr>
            <w:r w:rsidRPr="00A21A1C">
              <w:rPr>
                <w:rFonts w:eastAsia="Calibri"/>
                <w:b/>
                <w:sz w:val="20"/>
              </w:rPr>
              <w:t>Number</w:t>
            </w:r>
          </w:p>
        </w:tc>
        <w:tc>
          <w:tcPr>
            <w:tcW w:w="1294" w:type="dxa"/>
            <w:tcBorders>
              <w:left w:val="single" w:sz="12" w:space="0" w:color="auto"/>
            </w:tcBorders>
            <w:shd w:val="clear" w:color="auto" w:fill="BFBFBF"/>
            <w:vAlign w:val="center"/>
          </w:tcPr>
          <w:p w:rsidR="00C4740A" w:rsidRPr="00A21A1C" w:rsidRDefault="00C4740A" w:rsidP="002D129B">
            <w:pPr>
              <w:jc w:val="center"/>
              <w:rPr>
                <w:rFonts w:eastAsia="Calibri"/>
                <w:b/>
                <w:sz w:val="20"/>
              </w:rPr>
            </w:pPr>
            <w:r w:rsidRPr="00A21A1C">
              <w:rPr>
                <w:rFonts w:eastAsia="Calibri"/>
                <w:b/>
                <w:sz w:val="20"/>
              </w:rPr>
              <w:t>Percent</w:t>
            </w:r>
          </w:p>
        </w:tc>
        <w:tc>
          <w:tcPr>
            <w:tcW w:w="1170" w:type="dxa"/>
            <w:tcBorders>
              <w:right w:val="single" w:sz="12" w:space="0" w:color="auto"/>
            </w:tcBorders>
            <w:shd w:val="clear" w:color="auto" w:fill="BFBFBF"/>
            <w:vAlign w:val="center"/>
          </w:tcPr>
          <w:p w:rsidR="00C4740A" w:rsidRPr="00A21A1C" w:rsidRDefault="00C4740A" w:rsidP="002D129B">
            <w:pPr>
              <w:jc w:val="center"/>
              <w:rPr>
                <w:rFonts w:eastAsia="Calibri"/>
                <w:b/>
                <w:sz w:val="20"/>
              </w:rPr>
            </w:pPr>
            <w:r w:rsidRPr="00A21A1C">
              <w:rPr>
                <w:rFonts w:eastAsia="Calibri"/>
                <w:b/>
                <w:sz w:val="20"/>
              </w:rPr>
              <w:t>Number</w:t>
            </w:r>
          </w:p>
        </w:tc>
        <w:tc>
          <w:tcPr>
            <w:tcW w:w="1246" w:type="dxa"/>
            <w:vMerge/>
            <w:tcBorders>
              <w:left w:val="single" w:sz="12" w:space="0" w:color="auto"/>
              <w:right w:val="single" w:sz="12" w:space="0" w:color="auto"/>
            </w:tcBorders>
            <w:shd w:val="clear" w:color="auto" w:fill="BFBFBF"/>
          </w:tcPr>
          <w:p w:rsidR="00C4740A" w:rsidRPr="00A21A1C" w:rsidRDefault="00C4740A" w:rsidP="002D129B">
            <w:pPr>
              <w:jc w:val="right"/>
              <w:rPr>
                <w:rFonts w:eastAsia="Calibri"/>
                <w:b/>
                <w:i/>
                <w:sz w:val="20"/>
              </w:rPr>
            </w:pPr>
          </w:p>
        </w:tc>
        <w:tc>
          <w:tcPr>
            <w:tcW w:w="2040" w:type="dxa"/>
            <w:vMerge/>
            <w:tcBorders>
              <w:left w:val="single" w:sz="12" w:space="0" w:color="auto"/>
              <w:right w:val="single" w:sz="12" w:space="0" w:color="auto"/>
            </w:tcBorders>
            <w:shd w:val="clear" w:color="auto" w:fill="BFBFBF"/>
          </w:tcPr>
          <w:p w:rsidR="00C4740A" w:rsidRPr="00A21A1C" w:rsidRDefault="00C4740A" w:rsidP="002D129B">
            <w:pPr>
              <w:jc w:val="right"/>
              <w:rPr>
                <w:rFonts w:eastAsia="Calibri"/>
                <w:b/>
                <w:i/>
                <w:sz w:val="20"/>
              </w:rPr>
            </w:pPr>
          </w:p>
        </w:tc>
      </w:tr>
      <w:tr w:rsidR="00C4740A" w:rsidRPr="00A21A1C" w:rsidTr="002D129B">
        <w:trPr>
          <w:jc w:val="center"/>
        </w:trPr>
        <w:tc>
          <w:tcPr>
            <w:tcW w:w="1895" w:type="dxa"/>
            <w:tcBorders>
              <w:left w:val="single" w:sz="12" w:space="0" w:color="auto"/>
              <w:right w:val="single" w:sz="12" w:space="0" w:color="auto"/>
            </w:tcBorders>
            <w:shd w:val="clear" w:color="auto" w:fill="auto"/>
          </w:tcPr>
          <w:p w:rsidR="00C4740A" w:rsidRPr="00A21A1C" w:rsidRDefault="00C4740A" w:rsidP="002D129B">
            <w:pPr>
              <w:rPr>
                <w:rFonts w:eastAsia="Calibri"/>
                <w:b/>
                <w:sz w:val="20"/>
              </w:rPr>
            </w:pPr>
            <w:r w:rsidRPr="00A21A1C">
              <w:rPr>
                <w:rFonts w:eastAsia="Calibri"/>
                <w:b/>
                <w:sz w:val="20"/>
              </w:rPr>
              <w:t>Total-Both Sites</w:t>
            </w:r>
          </w:p>
        </w:tc>
        <w:tc>
          <w:tcPr>
            <w:tcW w:w="1170" w:type="dxa"/>
            <w:tcBorders>
              <w:left w:val="single" w:sz="12" w:space="0" w:color="auto"/>
            </w:tcBorders>
            <w:shd w:val="clear" w:color="auto" w:fill="auto"/>
            <w:vAlign w:val="center"/>
          </w:tcPr>
          <w:p w:rsidR="00C4740A" w:rsidRPr="00A21A1C" w:rsidRDefault="00C4740A" w:rsidP="002D129B">
            <w:pPr>
              <w:jc w:val="right"/>
              <w:rPr>
                <w:rFonts w:eastAsia="Calibri"/>
                <w:b/>
                <w:sz w:val="20"/>
              </w:rPr>
            </w:pPr>
            <w:r w:rsidRPr="00A21A1C">
              <w:rPr>
                <w:rFonts w:eastAsia="Calibri"/>
                <w:b/>
                <w:sz w:val="20"/>
              </w:rPr>
              <w:t>100%</w:t>
            </w:r>
          </w:p>
        </w:tc>
        <w:tc>
          <w:tcPr>
            <w:tcW w:w="1226" w:type="dxa"/>
            <w:tcBorders>
              <w:right w:val="single" w:sz="12" w:space="0" w:color="auto"/>
            </w:tcBorders>
            <w:shd w:val="clear" w:color="auto" w:fill="auto"/>
            <w:vAlign w:val="center"/>
          </w:tcPr>
          <w:p w:rsidR="00C4740A" w:rsidRPr="00A21A1C" w:rsidRDefault="00C4740A" w:rsidP="002D129B">
            <w:pPr>
              <w:jc w:val="right"/>
              <w:rPr>
                <w:rFonts w:eastAsia="Calibri"/>
                <w:b/>
                <w:sz w:val="20"/>
              </w:rPr>
            </w:pPr>
            <w:r w:rsidRPr="00A21A1C">
              <w:rPr>
                <w:rFonts w:eastAsia="Calibri"/>
                <w:b/>
                <w:sz w:val="20"/>
              </w:rPr>
              <w:t>59</w:t>
            </w:r>
          </w:p>
        </w:tc>
        <w:tc>
          <w:tcPr>
            <w:tcW w:w="1294" w:type="dxa"/>
            <w:tcBorders>
              <w:left w:val="single" w:sz="12" w:space="0" w:color="auto"/>
            </w:tcBorders>
            <w:shd w:val="clear" w:color="auto" w:fill="auto"/>
            <w:vAlign w:val="center"/>
          </w:tcPr>
          <w:p w:rsidR="00C4740A" w:rsidRPr="00A21A1C" w:rsidRDefault="00C4740A" w:rsidP="002D129B">
            <w:pPr>
              <w:jc w:val="right"/>
              <w:rPr>
                <w:rFonts w:eastAsia="Calibri"/>
                <w:b/>
                <w:sz w:val="20"/>
              </w:rPr>
            </w:pPr>
            <w:r w:rsidRPr="00A21A1C">
              <w:rPr>
                <w:rFonts w:eastAsia="Calibri"/>
                <w:b/>
                <w:sz w:val="20"/>
              </w:rPr>
              <w:t>100%</w:t>
            </w:r>
          </w:p>
        </w:tc>
        <w:tc>
          <w:tcPr>
            <w:tcW w:w="1170" w:type="dxa"/>
            <w:tcBorders>
              <w:right w:val="single" w:sz="12" w:space="0" w:color="auto"/>
            </w:tcBorders>
            <w:shd w:val="clear" w:color="auto" w:fill="auto"/>
            <w:vAlign w:val="center"/>
          </w:tcPr>
          <w:p w:rsidR="00C4740A" w:rsidRPr="00A21A1C" w:rsidRDefault="00C4740A" w:rsidP="002D129B">
            <w:pPr>
              <w:jc w:val="right"/>
              <w:rPr>
                <w:rFonts w:eastAsia="Calibri"/>
                <w:b/>
                <w:sz w:val="20"/>
              </w:rPr>
            </w:pPr>
            <w:r w:rsidRPr="00A21A1C">
              <w:rPr>
                <w:rFonts w:eastAsia="Calibri"/>
                <w:b/>
                <w:sz w:val="20"/>
              </w:rPr>
              <w:t>33</w:t>
            </w:r>
          </w:p>
        </w:tc>
        <w:tc>
          <w:tcPr>
            <w:tcW w:w="1246" w:type="dxa"/>
            <w:tcBorders>
              <w:left w:val="single" w:sz="12" w:space="0" w:color="auto"/>
              <w:right w:val="single" w:sz="12" w:space="0" w:color="auto"/>
            </w:tcBorders>
            <w:shd w:val="clear" w:color="auto" w:fill="auto"/>
          </w:tcPr>
          <w:p w:rsidR="00C4740A" w:rsidRPr="00A21A1C" w:rsidRDefault="00C4740A" w:rsidP="002D129B">
            <w:pPr>
              <w:jc w:val="right"/>
              <w:rPr>
                <w:rFonts w:eastAsia="Calibri"/>
                <w:sz w:val="20"/>
              </w:rPr>
            </w:pPr>
            <w:r w:rsidRPr="00A21A1C">
              <w:rPr>
                <w:rFonts w:eastAsia="Calibri"/>
                <w:sz w:val="20"/>
              </w:rPr>
              <w:t>-</w:t>
            </w:r>
          </w:p>
        </w:tc>
        <w:tc>
          <w:tcPr>
            <w:tcW w:w="2040" w:type="dxa"/>
            <w:tcBorders>
              <w:left w:val="single" w:sz="12" w:space="0" w:color="auto"/>
              <w:right w:val="single" w:sz="12" w:space="0" w:color="auto"/>
            </w:tcBorders>
            <w:shd w:val="clear" w:color="auto" w:fill="auto"/>
          </w:tcPr>
          <w:p w:rsidR="00C4740A" w:rsidRPr="00A21A1C" w:rsidRDefault="00C4740A" w:rsidP="002D129B">
            <w:pPr>
              <w:jc w:val="right"/>
              <w:rPr>
                <w:rFonts w:eastAsia="Calibri"/>
                <w:b/>
                <w:sz w:val="20"/>
              </w:rPr>
            </w:pPr>
            <w:r w:rsidRPr="00A21A1C">
              <w:rPr>
                <w:rFonts w:eastAsia="Calibri"/>
                <w:b/>
                <w:sz w:val="20"/>
              </w:rPr>
              <w:t>29</w:t>
            </w:r>
          </w:p>
        </w:tc>
      </w:tr>
      <w:tr w:rsidR="00C4740A" w:rsidRPr="00A21A1C" w:rsidTr="002D129B">
        <w:trPr>
          <w:jc w:val="center"/>
        </w:trPr>
        <w:tc>
          <w:tcPr>
            <w:tcW w:w="1895" w:type="dxa"/>
            <w:tcBorders>
              <w:left w:val="single" w:sz="12" w:space="0" w:color="auto"/>
              <w:right w:val="single" w:sz="12" w:space="0" w:color="auto"/>
            </w:tcBorders>
            <w:shd w:val="clear" w:color="auto" w:fill="D9D9D9"/>
          </w:tcPr>
          <w:p w:rsidR="00C4740A" w:rsidRPr="00A21A1C" w:rsidRDefault="00C4740A" w:rsidP="002D129B">
            <w:pPr>
              <w:rPr>
                <w:rFonts w:eastAsia="Calibri"/>
                <w:sz w:val="20"/>
              </w:rPr>
            </w:pPr>
            <w:r w:rsidRPr="00A21A1C">
              <w:rPr>
                <w:rFonts w:eastAsia="Calibri"/>
                <w:b/>
                <w:sz w:val="20"/>
              </w:rPr>
              <w:t>North Carolina</w:t>
            </w:r>
          </w:p>
        </w:tc>
        <w:tc>
          <w:tcPr>
            <w:tcW w:w="1170" w:type="dxa"/>
            <w:tcBorders>
              <w:left w:val="single" w:sz="12" w:space="0" w:color="auto"/>
            </w:tcBorders>
            <w:shd w:val="clear" w:color="auto" w:fill="D9D9D9"/>
            <w:vAlign w:val="center"/>
          </w:tcPr>
          <w:p w:rsidR="00C4740A" w:rsidRPr="00A21A1C" w:rsidRDefault="00C4740A" w:rsidP="002D129B">
            <w:pPr>
              <w:jc w:val="right"/>
              <w:rPr>
                <w:rFonts w:eastAsia="Calibri"/>
                <w:i/>
                <w:sz w:val="20"/>
              </w:rPr>
            </w:pPr>
            <w:r w:rsidRPr="00A21A1C">
              <w:rPr>
                <w:rFonts w:eastAsia="Calibri"/>
                <w:b/>
                <w:i/>
                <w:sz w:val="20"/>
              </w:rPr>
              <w:t>100%</w:t>
            </w:r>
          </w:p>
        </w:tc>
        <w:tc>
          <w:tcPr>
            <w:tcW w:w="1226" w:type="dxa"/>
            <w:tcBorders>
              <w:right w:val="single" w:sz="12" w:space="0" w:color="auto"/>
            </w:tcBorders>
            <w:shd w:val="clear" w:color="auto" w:fill="D9D9D9"/>
            <w:vAlign w:val="center"/>
          </w:tcPr>
          <w:p w:rsidR="00C4740A" w:rsidRPr="00A21A1C" w:rsidRDefault="00C4740A" w:rsidP="002D129B">
            <w:pPr>
              <w:jc w:val="right"/>
              <w:rPr>
                <w:rFonts w:eastAsia="Calibri"/>
                <w:b/>
                <w:i/>
                <w:sz w:val="20"/>
              </w:rPr>
            </w:pPr>
            <w:r w:rsidRPr="00A21A1C">
              <w:rPr>
                <w:rFonts w:eastAsia="Calibri"/>
                <w:b/>
                <w:i/>
                <w:sz w:val="20"/>
              </w:rPr>
              <w:t>30</w:t>
            </w:r>
          </w:p>
        </w:tc>
        <w:tc>
          <w:tcPr>
            <w:tcW w:w="1294" w:type="dxa"/>
            <w:tcBorders>
              <w:left w:val="single" w:sz="12" w:space="0" w:color="auto"/>
            </w:tcBorders>
            <w:shd w:val="clear" w:color="auto" w:fill="D9D9D9"/>
            <w:vAlign w:val="center"/>
          </w:tcPr>
          <w:p w:rsidR="00C4740A" w:rsidRPr="00A21A1C" w:rsidRDefault="00C4740A" w:rsidP="002D129B">
            <w:pPr>
              <w:jc w:val="right"/>
              <w:rPr>
                <w:rFonts w:eastAsia="Calibri"/>
                <w:b/>
                <w:i/>
                <w:sz w:val="20"/>
              </w:rPr>
            </w:pPr>
            <w:r w:rsidRPr="00A21A1C">
              <w:rPr>
                <w:rFonts w:eastAsia="Calibri"/>
                <w:b/>
                <w:i/>
                <w:sz w:val="20"/>
              </w:rPr>
              <w:t>100%</w:t>
            </w:r>
          </w:p>
        </w:tc>
        <w:tc>
          <w:tcPr>
            <w:tcW w:w="1170" w:type="dxa"/>
            <w:tcBorders>
              <w:right w:val="single" w:sz="12" w:space="0" w:color="auto"/>
            </w:tcBorders>
            <w:shd w:val="clear" w:color="auto" w:fill="D9D9D9"/>
            <w:vAlign w:val="center"/>
          </w:tcPr>
          <w:p w:rsidR="00C4740A" w:rsidRPr="00A21A1C" w:rsidRDefault="00C4740A" w:rsidP="002D129B">
            <w:pPr>
              <w:jc w:val="right"/>
              <w:rPr>
                <w:rFonts w:eastAsia="Calibri"/>
                <w:b/>
                <w:i/>
                <w:sz w:val="20"/>
              </w:rPr>
            </w:pPr>
            <w:r w:rsidRPr="00A21A1C">
              <w:rPr>
                <w:rFonts w:eastAsia="Calibri"/>
                <w:b/>
                <w:i/>
                <w:sz w:val="20"/>
              </w:rPr>
              <w:t>19</w:t>
            </w:r>
          </w:p>
        </w:tc>
        <w:tc>
          <w:tcPr>
            <w:tcW w:w="1246" w:type="dxa"/>
            <w:tcBorders>
              <w:left w:val="single" w:sz="12" w:space="0" w:color="auto"/>
              <w:right w:val="single" w:sz="12" w:space="0" w:color="auto"/>
            </w:tcBorders>
            <w:shd w:val="clear" w:color="auto" w:fill="D9D9D9"/>
          </w:tcPr>
          <w:p w:rsidR="00C4740A" w:rsidRPr="00A21A1C" w:rsidRDefault="00C4740A" w:rsidP="002D129B">
            <w:pPr>
              <w:jc w:val="right"/>
              <w:rPr>
                <w:rFonts w:eastAsia="Calibri"/>
                <w:b/>
                <w:i/>
                <w:sz w:val="20"/>
              </w:rPr>
            </w:pPr>
            <w:r w:rsidRPr="00A21A1C">
              <w:rPr>
                <w:rFonts w:eastAsia="Calibri"/>
                <w:b/>
                <w:i/>
                <w:sz w:val="20"/>
              </w:rPr>
              <w:t>89%</w:t>
            </w:r>
          </w:p>
        </w:tc>
        <w:tc>
          <w:tcPr>
            <w:tcW w:w="2040" w:type="dxa"/>
            <w:tcBorders>
              <w:left w:val="single" w:sz="12" w:space="0" w:color="auto"/>
              <w:right w:val="single" w:sz="12" w:space="0" w:color="auto"/>
            </w:tcBorders>
            <w:shd w:val="clear" w:color="auto" w:fill="D9D9D9"/>
          </w:tcPr>
          <w:p w:rsidR="00C4740A" w:rsidRPr="00A21A1C" w:rsidRDefault="00C4740A" w:rsidP="002D129B">
            <w:pPr>
              <w:jc w:val="right"/>
              <w:rPr>
                <w:rFonts w:eastAsia="Calibri"/>
                <w:b/>
                <w:i/>
                <w:sz w:val="20"/>
              </w:rPr>
            </w:pPr>
            <w:r w:rsidRPr="00A21A1C">
              <w:rPr>
                <w:rFonts w:eastAsia="Calibri"/>
                <w:b/>
                <w:i/>
                <w:sz w:val="20"/>
              </w:rPr>
              <w:t>17</w:t>
            </w:r>
          </w:p>
        </w:tc>
      </w:tr>
      <w:tr w:rsidR="00C4740A" w:rsidRPr="00A21A1C" w:rsidTr="002D129B">
        <w:trPr>
          <w:jc w:val="center"/>
        </w:trPr>
        <w:tc>
          <w:tcPr>
            <w:tcW w:w="1895" w:type="dxa"/>
            <w:tcBorders>
              <w:left w:val="single" w:sz="12" w:space="0" w:color="auto"/>
              <w:right w:val="single" w:sz="12" w:space="0" w:color="auto"/>
            </w:tcBorders>
          </w:tcPr>
          <w:p w:rsidR="00C4740A" w:rsidRPr="00A21A1C" w:rsidRDefault="00C4740A" w:rsidP="002D129B">
            <w:pPr>
              <w:rPr>
                <w:rFonts w:eastAsia="Calibri"/>
                <w:sz w:val="20"/>
              </w:rPr>
            </w:pPr>
            <w:r w:rsidRPr="00A21A1C">
              <w:rPr>
                <w:rFonts w:eastAsia="Calibri"/>
                <w:sz w:val="20"/>
              </w:rPr>
              <w:t>Academic/Research</w:t>
            </w:r>
          </w:p>
        </w:tc>
        <w:tc>
          <w:tcPr>
            <w:tcW w:w="1170" w:type="dxa"/>
            <w:tcBorders>
              <w:left w:val="single" w:sz="12" w:space="0" w:color="auto"/>
            </w:tcBorders>
            <w:shd w:val="clear" w:color="auto" w:fill="F2F2F2"/>
            <w:vAlign w:val="bottom"/>
          </w:tcPr>
          <w:p w:rsidR="00C4740A" w:rsidRPr="00A21A1C" w:rsidRDefault="00C4740A" w:rsidP="002D129B">
            <w:pPr>
              <w:jc w:val="right"/>
              <w:rPr>
                <w:rFonts w:eastAsia="Calibri"/>
                <w:color w:val="000000"/>
                <w:sz w:val="20"/>
              </w:rPr>
            </w:pPr>
            <w:r w:rsidRPr="00A21A1C">
              <w:rPr>
                <w:rFonts w:eastAsia="Calibri"/>
                <w:color w:val="000000"/>
                <w:sz w:val="20"/>
              </w:rPr>
              <w:t>20%</w:t>
            </w:r>
          </w:p>
        </w:tc>
        <w:tc>
          <w:tcPr>
            <w:tcW w:w="1226" w:type="dxa"/>
            <w:tcBorders>
              <w:right w:val="single" w:sz="12" w:space="0" w:color="auto"/>
            </w:tcBorders>
            <w:shd w:val="clear" w:color="auto" w:fill="F2F2F2"/>
            <w:vAlign w:val="center"/>
          </w:tcPr>
          <w:p w:rsidR="00C4740A" w:rsidRPr="00A21A1C" w:rsidRDefault="00C4740A" w:rsidP="002D129B">
            <w:pPr>
              <w:jc w:val="right"/>
              <w:rPr>
                <w:rFonts w:eastAsia="Calibri"/>
                <w:sz w:val="20"/>
              </w:rPr>
            </w:pPr>
            <w:r w:rsidRPr="00A21A1C">
              <w:rPr>
                <w:rFonts w:eastAsia="Calibri"/>
                <w:sz w:val="20"/>
              </w:rPr>
              <w:t>6</w:t>
            </w:r>
          </w:p>
        </w:tc>
        <w:tc>
          <w:tcPr>
            <w:tcW w:w="1294" w:type="dxa"/>
            <w:tcBorders>
              <w:left w:val="single" w:sz="12" w:space="0" w:color="auto"/>
            </w:tcBorders>
            <w:vAlign w:val="bottom"/>
          </w:tcPr>
          <w:p w:rsidR="00C4740A" w:rsidRPr="00A21A1C" w:rsidRDefault="00C4740A" w:rsidP="002D129B">
            <w:pPr>
              <w:jc w:val="right"/>
              <w:rPr>
                <w:rFonts w:eastAsia="Calibri"/>
                <w:color w:val="000000"/>
                <w:sz w:val="20"/>
              </w:rPr>
            </w:pPr>
            <w:r w:rsidRPr="00A21A1C">
              <w:rPr>
                <w:rFonts w:eastAsia="Calibri"/>
                <w:color w:val="000000"/>
                <w:sz w:val="20"/>
              </w:rPr>
              <w:t>21%</w:t>
            </w:r>
          </w:p>
        </w:tc>
        <w:tc>
          <w:tcPr>
            <w:tcW w:w="1170" w:type="dxa"/>
            <w:tcBorders>
              <w:right w:val="single" w:sz="12" w:space="0" w:color="auto"/>
            </w:tcBorders>
            <w:vAlign w:val="center"/>
          </w:tcPr>
          <w:p w:rsidR="00C4740A" w:rsidRPr="00A21A1C" w:rsidRDefault="00C4740A" w:rsidP="002D129B">
            <w:pPr>
              <w:jc w:val="right"/>
              <w:rPr>
                <w:rFonts w:eastAsia="Calibri"/>
                <w:sz w:val="20"/>
              </w:rPr>
            </w:pPr>
            <w:r w:rsidRPr="00A21A1C">
              <w:rPr>
                <w:rFonts w:eastAsia="Calibri"/>
                <w:sz w:val="20"/>
              </w:rPr>
              <w:t>4</w:t>
            </w:r>
          </w:p>
        </w:tc>
        <w:tc>
          <w:tcPr>
            <w:tcW w:w="1246" w:type="dxa"/>
            <w:tcBorders>
              <w:left w:val="single" w:sz="12" w:space="0" w:color="auto"/>
              <w:right w:val="single" w:sz="12" w:space="0" w:color="auto"/>
            </w:tcBorders>
            <w:shd w:val="clear" w:color="auto" w:fill="F2F2F2"/>
          </w:tcPr>
          <w:p w:rsidR="00C4740A" w:rsidRPr="00A21A1C" w:rsidRDefault="00C4740A" w:rsidP="002D129B">
            <w:pPr>
              <w:jc w:val="right"/>
              <w:rPr>
                <w:rFonts w:eastAsia="Calibri"/>
                <w:sz w:val="20"/>
              </w:rPr>
            </w:pPr>
            <w:r w:rsidRPr="00A21A1C">
              <w:rPr>
                <w:rFonts w:eastAsia="Calibri"/>
                <w:sz w:val="20"/>
              </w:rPr>
              <w:t>89%</w:t>
            </w:r>
          </w:p>
        </w:tc>
        <w:tc>
          <w:tcPr>
            <w:tcW w:w="2040" w:type="dxa"/>
            <w:tcBorders>
              <w:left w:val="single" w:sz="12" w:space="0" w:color="auto"/>
              <w:right w:val="single" w:sz="12" w:space="0" w:color="auto"/>
            </w:tcBorders>
            <w:vAlign w:val="bottom"/>
          </w:tcPr>
          <w:p w:rsidR="00C4740A" w:rsidRPr="00A21A1C" w:rsidRDefault="00C4740A" w:rsidP="002D129B">
            <w:pPr>
              <w:jc w:val="right"/>
              <w:rPr>
                <w:rFonts w:eastAsia="Calibri"/>
                <w:color w:val="000000"/>
                <w:sz w:val="20"/>
              </w:rPr>
            </w:pPr>
            <w:r w:rsidRPr="00A21A1C">
              <w:rPr>
                <w:rFonts w:eastAsia="Calibri"/>
                <w:color w:val="000000"/>
                <w:sz w:val="20"/>
              </w:rPr>
              <w:t>4</w:t>
            </w:r>
          </w:p>
        </w:tc>
      </w:tr>
      <w:tr w:rsidR="00C4740A" w:rsidRPr="00A21A1C" w:rsidTr="002D129B">
        <w:trPr>
          <w:jc w:val="center"/>
        </w:trPr>
        <w:tc>
          <w:tcPr>
            <w:tcW w:w="1895" w:type="dxa"/>
            <w:tcBorders>
              <w:left w:val="single" w:sz="12" w:space="0" w:color="auto"/>
              <w:right w:val="single" w:sz="12" w:space="0" w:color="auto"/>
            </w:tcBorders>
          </w:tcPr>
          <w:p w:rsidR="00C4740A" w:rsidRPr="00A21A1C" w:rsidRDefault="00C4740A" w:rsidP="002D129B">
            <w:pPr>
              <w:rPr>
                <w:rFonts w:eastAsia="Calibri"/>
                <w:sz w:val="20"/>
              </w:rPr>
            </w:pPr>
            <w:r w:rsidRPr="00A21A1C">
              <w:rPr>
                <w:rFonts w:eastAsia="Calibri"/>
                <w:sz w:val="20"/>
              </w:rPr>
              <w:t>Business Owners</w:t>
            </w:r>
          </w:p>
        </w:tc>
        <w:tc>
          <w:tcPr>
            <w:tcW w:w="1170" w:type="dxa"/>
            <w:tcBorders>
              <w:left w:val="single" w:sz="12" w:space="0" w:color="auto"/>
            </w:tcBorders>
            <w:shd w:val="clear" w:color="auto" w:fill="F2F2F2"/>
            <w:vAlign w:val="bottom"/>
          </w:tcPr>
          <w:p w:rsidR="00C4740A" w:rsidRPr="00A21A1C" w:rsidRDefault="00C4740A" w:rsidP="002D129B">
            <w:pPr>
              <w:jc w:val="right"/>
              <w:rPr>
                <w:rFonts w:eastAsia="Calibri"/>
                <w:color w:val="000000"/>
                <w:sz w:val="20"/>
              </w:rPr>
            </w:pPr>
            <w:r w:rsidRPr="00A21A1C">
              <w:rPr>
                <w:rFonts w:eastAsia="Calibri"/>
                <w:color w:val="000000"/>
                <w:sz w:val="20"/>
              </w:rPr>
              <w:t>17%</w:t>
            </w:r>
          </w:p>
        </w:tc>
        <w:tc>
          <w:tcPr>
            <w:tcW w:w="1226" w:type="dxa"/>
            <w:tcBorders>
              <w:right w:val="single" w:sz="12" w:space="0" w:color="auto"/>
            </w:tcBorders>
            <w:shd w:val="clear" w:color="auto" w:fill="F2F2F2"/>
            <w:vAlign w:val="center"/>
          </w:tcPr>
          <w:p w:rsidR="00C4740A" w:rsidRPr="00A21A1C" w:rsidRDefault="00C4740A" w:rsidP="002D129B">
            <w:pPr>
              <w:jc w:val="right"/>
              <w:rPr>
                <w:rFonts w:eastAsia="Calibri"/>
                <w:sz w:val="20"/>
              </w:rPr>
            </w:pPr>
            <w:r w:rsidRPr="00A21A1C">
              <w:rPr>
                <w:rFonts w:eastAsia="Calibri"/>
                <w:sz w:val="20"/>
              </w:rPr>
              <w:t>5</w:t>
            </w:r>
          </w:p>
        </w:tc>
        <w:tc>
          <w:tcPr>
            <w:tcW w:w="1294" w:type="dxa"/>
            <w:tcBorders>
              <w:left w:val="single" w:sz="12" w:space="0" w:color="auto"/>
            </w:tcBorders>
            <w:vAlign w:val="bottom"/>
          </w:tcPr>
          <w:p w:rsidR="00C4740A" w:rsidRPr="00A21A1C" w:rsidRDefault="00C4740A" w:rsidP="002D129B">
            <w:pPr>
              <w:jc w:val="right"/>
              <w:rPr>
                <w:rFonts w:eastAsia="Calibri"/>
                <w:color w:val="000000"/>
                <w:sz w:val="20"/>
              </w:rPr>
            </w:pPr>
            <w:r w:rsidRPr="00A21A1C">
              <w:rPr>
                <w:rFonts w:eastAsia="Calibri"/>
                <w:color w:val="000000"/>
                <w:sz w:val="20"/>
              </w:rPr>
              <w:t>16%</w:t>
            </w:r>
          </w:p>
        </w:tc>
        <w:tc>
          <w:tcPr>
            <w:tcW w:w="1170" w:type="dxa"/>
            <w:tcBorders>
              <w:right w:val="single" w:sz="12" w:space="0" w:color="auto"/>
            </w:tcBorders>
            <w:vAlign w:val="center"/>
          </w:tcPr>
          <w:p w:rsidR="00C4740A" w:rsidRPr="00A21A1C" w:rsidRDefault="00C4740A" w:rsidP="002D129B">
            <w:pPr>
              <w:jc w:val="right"/>
              <w:rPr>
                <w:rFonts w:eastAsia="Calibri"/>
                <w:sz w:val="20"/>
              </w:rPr>
            </w:pPr>
            <w:r w:rsidRPr="00A21A1C">
              <w:rPr>
                <w:rFonts w:eastAsia="Calibri"/>
                <w:sz w:val="20"/>
              </w:rPr>
              <w:t>3</w:t>
            </w:r>
          </w:p>
        </w:tc>
        <w:tc>
          <w:tcPr>
            <w:tcW w:w="1246" w:type="dxa"/>
            <w:tcBorders>
              <w:left w:val="single" w:sz="12" w:space="0" w:color="auto"/>
              <w:right w:val="single" w:sz="12" w:space="0" w:color="auto"/>
            </w:tcBorders>
            <w:shd w:val="clear" w:color="auto" w:fill="F2F2F2"/>
          </w:tcPr>
          <w:p w:rsidR="00C4740A" w:rsidRPr="00A21A1C" w:rsidRDefault="00C4740A" w:rsidP="002D129B">
            <w:pPr>
              <w:jc w:val="right"/>
              <w:rPr>
                <w:rFonts w:eastAsia="Calibri"/>
                <w:sz w:val="20"/>
              </w:rPr>
            </w:pPr>
            <w:r w:rsidRPr="00A21A1C">
              <w:rPr>
                <w:rFonts w:eastAsia="Calibri"/>
                <w:sz w:val="20"/>
              </w:rPr>
              <w:t>89%</w:t>
            </w:r>
          </w:p>
        </w:tc>
        <w:tc>
          <w:tcPr>
            <w:tcW w:w="2040" w:type="dxa"/>
            <w:tcBorders>
              <w:left w:val="single" w:sz="12" w:space="0" w:color="auto"/>
              <w:right w:val="single" w:sz="12" w:space="0" w:color="auto"/>
            </w:tcBorders>
            <w:vAlign w:val="bottom"/>
          </w:tcPr>
          <w:p w:rsidR="00C4740A" w:rsidRPr="00A21A1C" w:rsidRDefault="00C4740A" w:rsidP="002D129B">
            <w:pPr>
              <w:jc w:val="right"/>
              <w:rPr>
                <w:rFonts w:eastAsia="Calibri"/>
                <w:color w:val="000000"/>
                <w:sz w:val="20"/>
              </w:rPr>
            </w:pPr>
            <w:r w:rsidRPr="00A21A1C">
              <w:rPr>
                <w:rFonts w:eastAsia="Calibri"/>
                <w:color w:val="000000"/>
                <w:sz w:val="20"/>
              </w:rPr>
              <w:t>3</w:t>
            </w:r>
          </w:p>
        </w:tc>
      </w:tr>
      <w:tr w:rsidR="00C4740A" w:rsidRPr="00A21A1C" w:rsidTr="002D129B">
        <w:trPr>
          <w:jc w:val="center"/>
        </w:trPr>
        <w:tc>
          <w:tcPr>
            <w:tcW w:w="1895" w:type="dxa"/>
            <w:tcBorders>
              <w:left w:val="single" w:sz="12" w:space="0" w:color="auto"/>
              <w:right w:val="single" w:sz="12" w:space="0" w:color="auto"/>
            </w:tcBorders>
          </w:tcPr>
          <w:p w:rsidR="00C4740A" w:rsidRPr="00A21A1C" w:rsidRDefault="00C4740A" w:rsidP="002D129B">
            <w:pPr>
              <w:rPr>
                <w:rFonts w:eastAsia="Calibri"/>
                <w:sz w:val="20"/>
              </w:rPr>
            </w:pPr>
            <w:r w:rsidRPr="00A21A1C">
              <w:rPr>
                <w:rFonts w:eastAsia="Calibri"/>
                <w:sz w:val="20"/>
              </w:rPr>
              <w:t>Chamber of Commerce/Business</w:t>
            </w:r>
          </w:p>
        </w:tc>
        <w:tc>
          <w:tcPr>
            <w:tcW w:w="1170" w:type="dxa"/>
            <w:tcBorders>
              <w:left w:val="single" w:sz="12" w:space="0" w:color="auto"/>
            </w:tcBorders>
            <w:shd w:val="clear" w:color="auto" w:fill="F2F2F2"/>
            <w:vAlign w:val="bottom"/>
          </w:tcPr>
          <w:p w:rsidR="00C4740A" w:rsidRPr="00A21A1C" w:rsidRDefault="00C4740A" w:rsidP="002D129B">
            <w:pPr>
              <w:jc w:val="right"/>
              <w:rPr>
                <w:rFonts w:eastAsia="Calibri"/>
                <w:color w:val="000000"/>
                <w:sz w:val="20"/>
              </w:rPr>
            </w:pPr>
            <w:r w:rsidRPr="00A21A1C">
              <w:rPr>
                <w:rFonts w:eastAsia="Calibri"/>
                <w:color w:val="000000"/>
                <w:sz w:val="20"/>
              </w:rPr>
              <w:t>23%</w:t>
            </w:r>
          </w:p>
        </w:tc>
        <w:tc>
          <w:tcPr>
            <w:tcW w:w="1226" w:type="dxa"/>
            <w:tcBorders>
              <w:right w:val="single" w:sz="12" w:space="0" w:color="auto"/>
            </w:tcBorders>
            <w:shd w:val="clear" w:color="auto" w:fill="F2F2F2"/>
            <w:vAlign w:val="center"/>
          </w:tcPr>
          <w:p w:rsidR="00C4740A" w:rsidRPr="00A21A1C" w:rsidRDefault="00C4740A" w:rsidP="002D129B">
            <w:pPr>
              <w:jc w:val="right"/>
              <w:rPr>
                <w:rFonts w:eastAsia="Calibri"/>
                <w:sz w:val="20"/>
              </w:rPr>
            </w:pPr>
            <w:r w:rsidRPr="00A21A1C">
              <w:rPr>
                <w:rFonts w:eastAsia="Calibri"/>
                <w:sz w:val="20"/>
              </w:rPr>
              <w:t>7</w:t>
            </w:r>
          </w:p>
        </w:tc>
        <w:tc>
          <w:tcPr>
            <w:tcW w:w="1294" w:type="dxa"/>
            <w:tcBorders>
              <w:left w:val="single" w:sz="12" w:space="0" w:color="auto"/>
            </w:tcBorders>
            <w:vAlign w:val="bottom"/>
          </w:tcPr>
          <w:p w:rsidR="00C4740A" w:rsidRPr="00A21A1C" w:rsidRDefault="00C4740A" w:rsidP="002D129B">
            <w:pPr>
              <w:jc w:val="right"/>
              <w:rPr>
                <w:rFonts w:eastAsia="Calibri"/>
                <w:color w:val="000000"/>
                <w:sz w:val="20"/>
              </w:rPr>
            </w:pPr>
            <w:r w:rsidRPr="00A21A1C">
              <w:rPr>
                <w:rFonts w:eastAsia="Calibri"/>
                <w:color w:val="000000"/>
                <w:sz w:val="20"/>
              </w:rPr>
              <w:t>21%</w:t>
            </w:r>
          </w:p>
        </w:tc>
        <w:tc>
          <w:tcPr>
            <w:tcW w:w="1170" w:type="dxa"/>
            <w:tcBorders>
              <w:right w:val="single" w:sz="12" w:space="0" w:color="auto"/>
            </w:tcBorders>
            <w:vAlign w:val="center"/>
          </w:tcPr>
          <w:p w:rsidR="00C4740A" w:rsidRPr="00A21A1C" w:rsidRDefault="00C4740A" w:rsidP="002D129B">
            <w:pPr>
              <w:jc w:val="right"/>
              <w:rPr>
                <w:rFonts w:eastAsia="Calibri"/>
                <w:sz w:val="20"/>
              </w:rPr>
            </w:pPr>
            <w:r w:rsidRPr="00A21A1C">
              <w:rPr>
                <w:rFonts w:eastAsia="Calibri"/>
                <w:sz w:val="20"/>
              </w:rPr>
              <w:t>4</w:t>
            </w:r>
          </w:p>
        </w:tc>
        <w:tc>
          <w:tcPr>
            <w:tcW w:w="1246" w:type="dxa"/>
            <w:tcBorders>
              <w:left w:val="single" w:sz="12" w:space="0" w:color="auto"/>
              <w:right w:val="single" w:sz="12" w:space="0" w:color="auto"/>
            </w:tcBorders>
            <w:shd w:val="clear" w:color="auto" w:fill="F2F2F2"/>
          </w:tcPr>
          <w:p w:rsidR="00C4740A" w:rsidRPr="00A21A1C" w:rsidRDefault="00C4740A" w:rsidP="002D129B">
            <w:pPr>
              <w:jc w:val="right"/>
              <w:rPr>
                <w:rFonts w:eastAsia="Calibri"/>
                <w:sz w:val="20"/>
              </w:rPr>
            </w:pPr>
            <w:r w:rsidRPr="00A21A1C">
              <w:rPr>
                <w:rFonts w:eastAsia="Calibri"/>
                <w:sz w:val="20"/>
              </w:rPr>
              <w:t>89%</w:t>
            </w:r>
          </w:p>
        </w:tc>
        <w:tc>
          <w:tcPr>
            <w:tcW w:w="2040" w:type="dxa"/>
            <w:tcBorders>
              <w:left w:val="single" w:sz="12" w:space="0" w:color="auto"/>
              <w:right w:val="single" w:sz="12" w:space="0" w:color="auto"/>
            </w:tcBorders>
            <w:vAlign w:val="bottom"/>
          </w:tcPr>
          <w:p w:rsidR="00C4740A" w:rsidRPr="00A21A1C" w:rsidRDefault="00C4740A" w:rsidP="002D129B">
            <w:pPr>
              <w:jc w:val="right"/>
              <w:rPr>
                <w:rFonts w:eastAsia="Calibri"/>
                <w:color w:val="000000"/>
                <w:sz w:val="20"/>
              </w:rPr>
            </w:pPr>
            <w:r w:rsidRPr="00A21A1C">
              <w:rPr>
                <w:rFonts w:eastAsia="Calibri"/>
                <w:color w:val="000000"/>
                <w:sz w:val="20"/>
              </w:rPr>
              <w:t>4</w:t>
            </w:r>
          </w:p>
        </w:tc>
      </w:tr>
      <w:tr w:rsidR="00C4740A" w:rsidRPr="00A21A1C" w:rsidTr="002D129B">
        <w:trPr>
          <w:jc w:val="center"/>
        </w:trPr>
        <w:tc>
          <w:tcPr>
            <w:tcW w:w="1895" w:type="dxa"/>
            <w:tcBorders>
              <w:left w:val="single" w:sz="12" w:space="0" w:color="auto"/>
              <w:right w:val="single" w:sz="12" w:space="0" w:color="auto"/>
            </w:tcBorders>
          </w:tcPr>
          <w:p w:rsidR="00C4740A" w:rsidRPr="00A21A1C" w:rsidRDefault="00C4740A" w:rsidP="002D129B">
            <w:pPr>
              <w:rPr>
                <w:rFonts w:eastAsia="Calibri"/>
                <w:sz w:val="20"/>
              </w:rPr>
            </w:pPr>
            <w:r w:rsidRPr="00A21A1C">
              <w:rPr>
                <w:rFonts w:eastAsia="Calibri"/>
                <w:sz w:val="20"/>
              </w:rPr>
              <w:t>Federal</w:t>
            </w:r>
          </w:p>
        </w:tc>
        <w:tc>
          <w:tcPr>
            <w:tcW w:w="1170" w:type="dxa"/>
            <w:tcBorders>
              <w:left w:val="single" w:sz="12" w:space="0" w:color="auto"/>
            </w:tcBorders>
            <w:shd w:val="clear" w:color="auto" w:fill="F2F2F2"/>
            <w:vAlign w:val="bottom"/>
          </w:tcPr>
          <w:p w:rsidR="00C4740A" w:rsidRPr="00A21A1C" w:rsidRDefault="00C4740A" w:rsidP="002D129B">
            <w:pPr>
              <w:jc w:val="right"/>
              <w:rPr>
                <w:rFonts w:eastAsia="Calibri"/>
                <w:color w:val="000000"/>
                <w:sz w:val="20"/>
              </w:rPr>
            </w:pPr>
            <w:r w:rsidRPr="00A21A1C">
              <w:rPr>
                <w:rFonts w:eastAsia="Calibri"/>
                <w:color w:val="000000"/>
                <w:sz w:val="20"/>
              </w:rPr>
              <w:t>13%</w:t>
            </w:r>
          </w:p>
        </w:tc>
        <w:tc>
          <w:tcPr>
            <w:tcW w:w="1226" w:type="dxa"/>
            <w:tcBorders>
              <w:right w:val="single" w:sz="12" w:space="0" w:color="auto"/>
            </w:tcBorders>
            <w:shd w:val="clear" w:color="auto" w:fill="F2F2F2"/>
            <w:vAlign w:val="center"/>
          </w:tcPr>
          <w:p w:rsidR="00C4740A" w:rsidRPr="00A21A1C" w:rsidRDefault="00C4740A" w:rsidP="002D129B">
            <w:pPr>
              <w:jc w:val="right"/>
              <w:rPr>
                <w:rFonts w:eastAsia="Calibri"/>
                <w:sz w:val="20"/>
              </w:rPr>
            </w:pPr>
            <w:r w:rsidRPr="00A21A1C">
              <w:rPr>
                <w:rFonts w:eastAsia="Calibri"/>
                <w:sz w:val="20"/>
              </w:rPr>
              <w:t>4</w:t>
            </w:r>
          </w:p>
        </w:tc>
        <w:tc>
          <w:tcPr>
            <w:tcW w:w="1294" w:type="dxa"/>
            <w:tcBorders>
              <w:left w:val="single" w:sz="12" w:space="0" w:color="auto"/>
            </w:tcBorders>
            <w:vAlign w:val="bottom"/>
          </w:tcPr>
          <w:p w:rsidR="00C4740A" w:rsidRPr="00A21A1C" w:rsidRDefault="00C4740A" w:rsidP="002D129B">
            <w:pPr>
              <w:jc w:val="right"/>
              <w:rPr>
                <w:rFonts w:eastAsia="Calibri"/>
                <w:color w:val="000000"/>
                <w:sz w:val="20"/>
              </w:rPr>
            </w:pPr>
            <w:r w:rsidRPr="00A21A1C">
              <w:rPr>
                <w:rFonts w:eastAsia="Calibri"/>
                <w:color w:val="000000"/>
                <w:sz w:val="20"/>
              </w:rPr>
              <w:t>21%</w:t>
            </w:r>
          </w:p>
        </w:tc>
        <w:tc>
          <w:tcPr>
            <w:tcW w:w="1170" w:type="dxa"/>
            <w:tcBorders>
              <w:right w:val="single" w:sz="12" w:space="0" w:color="auto"/>
            </w:tcBorders>
            <w:vAlign w:val="center"/>
          </w:tcPr>
          <w:p w:rsidR="00C4740A" w:rsidRPr="00A21A1C" w:rsidRDefault="00C4740A" w:rsidP="002D129B">
            <w:pPr>
              <w:jc w:val="right"/>
              <w:rPr>
                <w:rFonts w:eastAsia="Calibri"/>
                <w:sz w:val="20"/>
              </w:rPr>
            </w:pPr>
            <w:r w:rsidRPr="00A21A1C">
              <w:rPr>
                <w:rFonts w:eastAsia="Calibri"/>
                <w:sz w:val="20"/>
              </w:rPr>
              <w:t>4</w:t>
            </w:r>
          </w:p>
        </w:tc>
        <w:tc>
          <w:tcPr>
            <w:tcW w:w="1246" w:type="dxa"/>
            <w:tcBorders>
              <w:left w:val="single" w:sz="12" w:space="0" w:color="auto"/>
              <w:right w:val="single" w:sz="12" w:space="0" w:color="auto"/>
            </w:tcBorders>
            <w:shd w:val="clear" w:color="auto" w:fill="F2F2F2"/>
          </w:tcPr>
          <w:p w:rsidR="00C4740A" w:rsidRPr="00A21A1C" w:rsidRDefault="00C4740A" w:rsidP="002D129B">
            <w:pPr>
              <w:jc w:val="right"/>
              <w:rPr>
                <w:rFonts w:eastAsia="Calibri"/>
                <w:sz w:val="20"/>
              </w:rPr>
            </w:pPr>
            <w:r w:rsidRPr="00A21A1C">
              <w:rPr>
                <w:rFonts w:eastAsia="Calibri"/>
                <w:sz w:val="20"/>
              </w:rPr>
              <w:t>89%</w:t>
            </w:r>
          </w:p>
        </w:tc>
        <w:tc>
          <w:tcPr>
            <w:tcW w:w="2040" w:type="dxa"/>
            <w:tcBorders>
              <w:left w:val="single" w:sz="12" w:space="0" w:color="auto"/>
              <w:right w:val="single" w:sz="12" w:space="0" w:color="auto"/>
            </w:tcBorders>
            <w:vAlign w:val="bottom"/>
          </w:tcPr>
          <w:p w:rsidR="00C4740A" w:rsidRPr="00A21A1C" w:rsidRDefault="00C4740A" w:rsidP="002D129B">
            <w:pPr>
              <w:jc w:val="right"/>
              <w:rPr>
                <w:rFonts w:eastAsia="Calibri"/>
                <w:color w:val="000000"/>
                <w:sz w:val="20"/>
              </w:rPr>
            </w:pPr>
            <w:r w:rsidRPr="00A21A1C">
              <w:rPr>
                <w:rFonts w:eastAsia="Calibri"/>
                <w:color w:val="000000"/>
                <w:sz w:val="20"/>
              </w:rPr>
              <w:t>4</w:t>
            </w:r>
          </w:p>
        </w:tc>
      </w:tr>
      <w:tr w:rsidR="00C4740A" w:rsidRPr="00A21A1C" w:rsidTr="002D129B">
        <w:trPr>
          <w:jc w:val="center"/>
        </w:trPr>
        <w:tc>
          <w:tcPr>
            <w:tcW w:w="1895" w:type="dxa"/>
            <w:tcBorders>
              <w:left w:val="single" w:sz="12" w:space="0" w:color="auto"/>
              <w:right w:val="single" w:sz="12" w:space="0" w:color="auto"/>
            </w:tcBorders>
          </w:tcPr>
          <w:p w:rsidR="00C4740A" w:rsidRPr="00A21A1C" w:rsidRDefault="00C4740A" w:rsidP="002D129B">
            <w:pPr>
              <w:rPr>
                <w:rFonts w:eastAsia="Calibri"/>
                <w:sz w:val="20"/>
              </w:rPr>
            </w:pPr>
            <w:r w:rsidRPr="00A21A1C">
              <w:rPr>
                <w:rFonts w:eastAsia="Calibri"/>
                <w:sz w:val="20"/>
              </w:rPr>
              <w:t>State</w:t>
            </w:r>
          </w:p>
        </w:tc>
        <w:tc>
          <w:tcPr>
            <w:tcW w:w="1170" w:type="dxa"/>
            <w:tcBorders>
              <w:left w:val="single" w:sz="12" w:space="0" w:color="auto"/>
            </w:tcBorders>
            <w:shd w:val="clear" w:color="auto" w:fill="F2F2F2"/>
            <w:vAlign w:val="bottom"/>
          </w:tcPr>
          <w:p w:rsidR="00C4740A" w:rsidRPr="00A21A1C" w:rsidRDefault="00C4740A" w:rsidP="002D129B">
            <w:pPr>
              <w:jc w:val="right"/>
              <w:rPr>
                <w:rFonts w:eastAsia="Calibri"/>
                <w:color w:val="000000"/>
                <w:sz w:val="20"/>
              </w:rPr>
            </w:pPr>
            <w:r w:rsidRPr="00A21A1C">
              <w:rPr>
                <w:rFonts w:eastAsia="Calibri"/>
                <w:color w:val="000000"/>
                <w:sz w:val="20"/>
              </w:rPr>
              <w:t>3%</w:t>
            </w:r>
          </w:p>
        </w:tc>
        <w:tc>
          <w:tcPr>
            <w:tcW w:w="1226" w:type="dxa"/>
            <w:tcBorders>
              <w:right w:val="single" w:sz="12" w:space="0" w:color="auto"/>
            </w:tcBorders>
            <w:shd w:val="clear" w:color="auto" w:fill="F2F2F2"/>
            <w:vAlign w:val="center"/>
          </w:tcPr>
          <w:p w:rsidR="00C4740A" w:rsidRPr="00A21A1C" w:rsidRDefault="00C4740A" w:rsidP="002D129B">
            <w:pPr>
              <w:jc w:val="right"/>
              <w:rPr>
                <w:rFonts w:eastAsia="Calibri"/>
                <w:sz w:val="20"/>
              </w:rPr>
            </w:pPr>
            <w:r w:rsidRPr="00A21A1C">
              <w:rPr>
                <w:rFonts w:eastAsia="Calibri"/>
                <w:sz w:val="20"/>
              </w:rPr>
              <w:t>1</w:t>
            </w:r>
          </w:p>
        </w:tc>
        <w:tc>
          <w:tcPr>
            <w:tcW w:w="1294" w:type="dxa"/>
            <w:tcBorders>
              <w:left w:val="single" w:sz="12" w:space="0" w:color="auto"/>
            </w:tcBorders>
            <w:vAlign w:val="bottom"/>
          </w:tcPr>
          <w:p w:rsidR="00C4740A" w:rsidRPr="00A21A1C" w:rsidRDefault="00C4740A" w:rsidP="002D129B">
            <w:pPr>
              <w:jc w:val="right"/>
              <w:rPr>
                <w:rFonts w:eastAsia="Calibri"/>
                <w:color w:val="000000"/>
                <w:sz w:val="20"/>
              </w:rPr>
            </w:pPr>
            <w:r w:rsidRPr="00A21A1C">
              <w:rPr>
                <w:rFonts w:eastAsia="Calibri"/>
                <w:color w:val="000000"/>
                <w:sz w:val="20"/>
              </w:rPr>
              <w:t>5%</w:t>
            </w:r>
          </w:p>
        </w:tc>
        <w:tc>
          <w:tcPr>
            <w:tcW w:w="1170" w:type="dxa"/>
            <w:tcBorders>
              <w:right w:val="single" w:sz="12" w:space="0" w:color="auto"/>
            </w:tcBorders>
            <w:vAlign w:val="center"/>
          </w:tcPr>
          <w:p w:rsidR="00C4740A" w:rsidRPr="00A21A1C" w:rsidRDefault="00C4740A" w:rsidP="002D129B">
            <w:pPr>
              <w:jc w:val="right"/>
              <w:rPr>
                <w:rFonts w:eastAsia="Calibri"/>
                <w:sz w:val="20"/>
              </w:rPr>
            </w:pPr>
            <w:r w:rsidRPr="00A21A1C">
              <w:rPr>
                <w:rFonts w:eastAsia="Calibri"/>
                <w:sz w:val="20"/>
              </w:rPr>
              <w:t>1</w:t>
            </w:r>
          </w:p>
        </w:tc>
        <w:tc>
          <w:tcPr>
            <w:tcW w:w="1246" w:type="dxa"/>
            <w:tcBorders>
              <w:left w:val="single" w:sz="12" w:space="0" w:color="auto"/>
              <w:right w:val="single" w:sz="12" w:space="0" w:color="auto"/>
            </w:tcBorders>
            <w:shd w:val="clear" w:color="auto" w:fill="F2F2F2"/>
          </w:tcPr>
          <w:p w:rsidR="00C4740A" w:rsidRPr="00A21A1C" w:rsidRDefault="00C4740A" w:rsidP="002D129B">
            <w:pPr>
              <w:jc w:val="right"/>
              <w:rPr>
                <w:rFonts w:eastAsia="Calibri"/>
                <w:sz w:val="20"/>
              </w:rPr>
            </w:pPr>
            <w:r w:rsidRPr="00A21A1C">
              <w:rPr>
                <w:rFonts w:eastAsia="Calibri"/>
                <w:sz w:val="20"/>
              </w:rPr>
              <w:t>89%</w:t>
            </w:r>
          </w:p>
        </w:tc>
        <w:tc>
          <w:tcPr>
            <w:tcW w:w="2040" w:type="dxa"/>
            <w:tcBorders>
              <w:left w:val="single" w:sz="12" w:space="0" w:color="auto"/>
              <w:right w:val="single" w:sz="12" w:space="0" w:color="auto"/>
            </w:tcBorders>
            <w:vAlign w:val="bottom"/>
          </w:tcPr>
          <w:p w:rsidR="00C4740A" w:rsidRPr="00A21A1C" w:rsidRDefault="00C4740A" w:rsidP="002D129B">
            <w:pPr>
              <w:jc w:val="right"/>
              <w:rPr>
                <w:rFonts w:eastAsia="Calibri"/>
                <w:color w:val="000000"/>
                <w:sz w:val="20"/>
              </w:rPr>
            </w:pPr>
            <w:r w:rsidRPr="00A21A1C">
              <w:rPr>
                <w:rFonts w:eastAsia="Calibri"/>
                <w:color w:val="000000"/>
                <w:sz w:val="20"/>
              </w:rPr>
              <w:t>1</w:t>
            </w:r>
          </w:p>
        </w:tc>
      </w:tr>
      <w:tr w:rsidR="00C4740A" w:rsidRPr="00A21A1C" w:rsidTr="002D129B">
        <w:trPr>
          <w:jc w:val="center"/>
        </w:trPr>
        <w:tc>
          <w:tcPr>
            <w:tcW w:w="1895" w:type="dxa"/>
            <w:tcBorders>
              <w:left w:val="single" w:sz="12" w:space="0" w:color="auto"/>
              <w:right w:val="single" w:sz="12" w:space="0" w:color="auto"/>
            </w:tcBorders>
          </w:tcPr>
          <w:p w:rsidR="00C4740A" w:rsidRPr="00A21A1C" w:rsidRDefault="00C4740A" w:rsidP="002D129B">
            <w:pPr>
              <w:rPr>
                <w:rFonts w:eastAsia="Calibri"/>
                <w:sz w:val="20"/>
              </w:rPr>
            </w:pPr>
            <w:r w:rsidRPr="00A21A1C">
              <w:rPr>
                <w:rFonts w:eastAsia="Calibri"/>
                <w:sz w:val="20"/>
              </w:rPr>
              <w:t>Tourism Bureau</w:t>
            </w:r>
          </w:p>
        </w:tc>
        <w:tc>
          <w:tcPr>
            <w:tcW w:w="1170" w:type="dxa"/>
            <w:tcBorders>
              <w:left w:val="single" w:sz="12" w:space="0" w:color="auto"/>
            </w:tcBorders>
            <w:shd w:val="clear" w:color="auto" w:fill="F2F2F2"/>
            <w:vAlign w:val="bottom"/>
          </w:tcPr>
          <w:p w:rsidR="00C4740A" w:rsidRPr="00A21A1C" w:rsidRDefault="00C4740A" w:rsidP="002D129B">
            <w:pPr>
              <w:jc w:val="right"/>
              <w:rPr>
                <w:rFonts w:eastAsia="Calibri"/>
                <w:color w:val="000000"/>
                <w:sz w:val="20"/>
              </w:rPr>
            </w:pPr>
            <w:r w:rsidRPr="00A21A1C">
              <w:rPr>
                <w:rFonts w:eastAsia="Calibri"/>
                <w:color w:val="000000"/>
                <w:sz w:val="20"/>
              </w:rPr>
              <w:t>23%</w:t>
            </w:r>
          </w:p>
        </w:tc>
        <w:tc>
          <w:tcPr>
            <w:tcW w:w="1226" w:type="dxa"/>
            <w:tcBorders>
              <w:right w:val="single" w:sz="12" w:space="0" w:color="auto"/>
            </w:tcBorders>
            <w:shd w:val="clear" w:color="auto" w:fill="F2F2F2"/>
            <w:vAlign w:val="center"/>
          </w:tcPr>
          <w:p w:rsidR="00C4740A" w:rsidRPr="00A21A1C" w:rsidRDefault="00C4740A" w:rsidP="002D129B">
            <w:pPr>
              <w:jc w:val="right"/>
              <w:rPr>
                <w:rFonts w:eastAsia="Calibri"/>
                <w:sz w:val="20"/>
              </w:rPr>
            </w:pPr>
            <w:r w:rsidRPr="00A21A1C">
              <w:rPr>
                <w:rFonts w:eastAsia="Calibri"/>
                <w:sz w:val="20"/>
              </w:rPr>
              <w:t>7</w:t>
            </w:r>
          </w:p>
        </w:tc>
        <w:tc>
          <w:tcPr>
            <w:tcW w:w="1294" w:type="dxa"/>
            <w:tcBorders>
              <w:left w:val="single" w:sz="12" w:space="0" w:color="auto"/>
            </w:tcBorders>
            <w:vAlign w:val="bottom"/>
          </w:tcPr>
          <w:p w:rsidR="00C4740A" w:rsidRPr="00A21A1C" w:rsidRDefault="00C4740A" w:rsidP="002D129B">
            <w:pPr>
              <w:jc w:val="right"/>
              <w:rPr>
                <w:rFonts w:eastAsia="Calibri"/>
                <w:color w:val="000000"/>
                <w:sz w:val="20"/>
              </w:rPr>
            </w:pPr>
            <w:r w:rsidRPr="00A21A1C">
              <w:rPr>
                <w:rFonts w:eastAsia="Calibri"/>
                <w:color w:val="000000"/>
                <w:sz w:val="20"/>
              </w:rPr>
              <w:t>16%</w:t>
            </w:r>
          </w:p>
        </w:tc>
        <w:tc>
          <w:tcPr>
            <w:tcW w:w="1170" w:type="dxa"/>
            <w:tcBorders>
              <w:right w:val="single" w:sz="12" w:space="0" w:color="auto"/>
            </w:tcBorders>
            <w:vAlign w:val="center"/>
          </w:tcPr>
          <w:p w:rsidR="00C4740A" w:rsidRPr="00A21A1C" w:rsidRDefault="00C4740A" w:rsidP="002D129B">
            <w:pPr>
              <w:jc w:val="right"/>
              <w:rPr>
                <w:rFonts w:eastAsia="Calibri"/>
                <w:sz w:val="20"/>
              </w:rPr>
            </w:pPr>
            <w:r w:rsidRPr="00A21A1C">
              <w:rPr>
                <w:rFonts w:eastAsia="Calibri"/>
                <w:sz w:val="20"/>
              </w:rPr>
              <w:t>3</w:t>
            </w:r>
          </w:p>
        </w:tc>
        <w:tc>
          <w:tcPr>
            <w:tcW w:w="1246" w:type="dxa"/>
            <w:tcBorders>
              <w:left w:val="single" w:sz="12" w:space="0" w:color="auto"/>
              <w:right w:val="single" w:sz="12" w:space="0" w:color="auto"/>
            </w:tcBorders>
            <w:shd w:val="clear" w:color="auto" w:fill="F2F2F2"/>
          </w:tcPr>
          <w:p w:rsidR="00C4740A" w:rsidRPr="00A21A1C" w:rsidRDefault="00C4740A" w:rsidP="002D129B">
            <w:pPr>
              <w:jc w:val="right"/>
              <w:rPr>
                <w:rFonts w:eastAsia="Calibri"/>
                <w:sz w:val="20"/>
              </w:rPr>
            </w:pPr>
            <w:r w:rsidRPr="00A21A1C">
              <w:rPr>
                <w:rFonts w:eastAsia="Calibri"/>
                <w:sz w:val="20"/>
              </w:rPr>
              <w:t>89%</w:t>
            </w:r>
          </w:p>
        </w:tc>
        <w:tc>
          <w:tcPr>
            <w:tcW w:w="2040" w:type="dxa"/>
            <w:tcBorders>
              <w:left w:val="single" w:sz="12" w:space="0" w:color="auto"/>
              <w:right w:val="single" w:sz="12" w:space="0" w:color="auto"/>
            </w:tcBorders>
            <w:vAlign w:val="bottom"/>
          </w:tcPr>
          <w:p w:rsidR="00C4740A" w:rsidRPr="00A21A1C" w:rsidRDefault="00C4740A" w:rsidP="002D129B">
            <w:pPr>
              <w:jc w:val="right"/>
              <w:rPr>
                <w:rFonts w:eastAsia="Calibri"/>
                <w:color w:val="000000"/>
                <w:sz w:val="20"/>
              </w:rPr>
            </w:pPr>
            <w:r w:rsidRPr="00A21A1C">
              <w:rPr>
                <w:rFonts w:eastAsia="Calibri"/>
                <w:color w:val="000000"/>
                <w:sz w:val="20"/>
              </w:rPr>
              <w:t>3</w:t>
            </w:r>
          </w:p>
        </w:tc>
      </w:tr>
      <w:tr w:rsidR="00C4740A" w:rsidRPr="00A21A1C" w:rsidTr="002D129B">
        <w:trPr>
          <w:jc w:val="center"/>
        </w:trPr>
        <w:tc>
          <w:tcPr>
            <w:tcW w:w="1895" w:type="dxa"/>
            <w:tcBorders>
              <w:left w:val="single" w:sz="12" w:space="0" w:color="auto"/>
              <w:right w:val="single" w:sz="12" w:space="0" w:color="auto"/>
            </w:tcBorders>
            <w:shd w:val="clear" w:color="auto" w:fill="D9D9D9"/>
          </w:tcPr>
          <w:p w:rsidR="00C4740A" w:rsidRPr="00A21A1C" w:rsidRDefault="00C4740A" w:rsidP="002D129B">
            <w:pPr>
              <w:rPr>
                <w:rFonts w:eastAsia="Calibri"/>
                <w:sz w:val="20"/>
              </w:rPr>
            </w:pPr>
            <w:r w:rsidRPr="00A21A1C">
              <w:rPr>
                <w:rFonts w:eastAsia="Calibri"/>
                <w:b/>
                <w:sz w:val="20"/>
              </w:rPr>
              <w:t>San Francisco</w:t>
            </w:r>
          </w:p>
        </w:tc>
        <w:tc>
          <w:tcPr>
            <w:tcW w:w="1170" w:type="dxa"/>
            <w:tcBorders>
              <w:left w:val="single" w:sz="12" w:space="0" w:color="auto"/>
            </w:tcBorders>
            <w:shd w:val="clear" w:color="auto" w:fill="D9D9D9"/>
            <w:vAlign w:val="center"/>
          </w:tcPr>
          <w:p w:rsidR="00C4740A" w:rsidRPr="00A21A1C" w:rsidRDefault="00C4740A" w:rsidP="002D129B">
            <w:pPr>
              <w:jc w:val="right"/>
              <w:rPr>
                <w:rFonts w:eastAsia="Calibri"/>
                <w:i/>
                <w:sz w:val="20"/>
              </w:rPr>
            </w:pPr>
            <w:r w:rsidRPr="00A21A1C">
              <w:rPr>
                <w:rFonts w:eastAsia="Calibri"/>
                <w:b/>
                <w:i/>
                <w:sz w:val="20"/>
              </w:rPr>
              <w:t>100%</w:t>
            </w:r>
          </w:p>
        </w:tc>
        <w:tc>
          <w:tcPr>
            <w:tcW w:w="1226" w:type="dxa"/>
            <w:tcBorders>
              <w:right w:val="single" w:sz="12" w:space="0" w:color="auto"/>
            </w:tcBorders>
            <w:shd w:val="clear" w:color="auto" w:fill="D9D9D9"/>
            <w:vAlign w:val="center"/>
          </w:tcPr>
          <w:p w:rsidR="00C4740A" w:rsidRPr="00A21A1C" w:rsidRDefault="00C4740A" w:rsidP="002D129B">
            <w:pPr>
              <w:jc w:val="right"/>
              <w:rPr>
                <w:rFonts w:eastAsia="Calibri"/>
                <w:b/>
                <w:i/>
                <w:sz w:val="20"/>
              </w:rPr>
            </w:pPr>
            <w:r w:rsidRPr="00A21A1C">
              <w:rPr>
                <w:rFonts w:eastAsia="Calibri"/>
                <w:b/>
                <w:i/>
                <w:sz w:val="20"/>
              </w:rPr>
              <w:t>29</w:t>
            </w:r>
          </w:p>
        </w:tc>
        <w:tc>
          <w:tcPr>
            <w:tcW w:w="1294" w:type="dxa"/>
            <w:tcBorders>
              <w:left w:val="single" w:sz="12" w:space="0" w:color="auto"/>
            </w:tcBorders>
            <w:shd w:val="clear" w:color="auto" w:fill="D9D9D9"/>
            <w:vAlign w:val="center"/>
          </w:tcPr>
          <w:p w:rsidR="00C4740A" w:rsidRPr="00A21A1C" w:rsidRDefault="00C4740A" w:rsidP="002D129B">
            <w:pPr>
              <w:jc w:val="right"/>
              <w:rPr>
                <w:rFonts w:eastAsia="Calibri"/>
                <w:b/>
                <w:i/>
                <w:sz w:val="20"/>
              </w:rPr>
            </w:pPr>
            <w:r w:rsidRPr="00A21A1C">
              <w:rPr>
                <w:rFonts w:eastAsia="Calibri"/>
                <w:b/>
                <w:i/>
                <w:sz w:val="20"/>
              </w:rPr>
              <w:t>100%</w:t>
            </w:r>
          </w:p>
        </w:tc>
        <w:tc>
          <w:tcPr>
            <w:tcW w:w="1170" w:type="dxa"/>
            <w:tcBorders>
              <w:right w:val="single" w:sz="12" w:space="0" w:color="auto"/>
            </w:tcBorders>
            <w:shd w:val="clear" w:color="auto" w:fill="D9D9D9"/>
            <w:vAlign w:val="center"/>
          </w:tcPr>
          <w:p w:rsidR="00C4740A" w:rsidRPr="00A21A1C" w:rsidRDefault="00C4740A" w:rsidP="002D129B">
            <w:pPr>
              <w:jc w:val="right"/>
              <w:rPr>
                <w:rFonts w:eastAsia="Calibri"/>
                <w:b/>
                <w:i/>
                <w:sz w:val="20"/>
              </w:rPr>
            </w:pPr>
            <w:r w:rsidRPr="00A21A1C">
              <w:rPr>
                <w:rFonts w:eastAsia="Calibri"/>
                <w:b/>
                <w:i/>
                <w:sz w:val="20"/>
              </w:rPr>
              <w:t>14</w:t>
            </w:r>
          </w:p>
        </w:tc>
        <w:tc>
          <w:tcPr>
            <w:tcW w:w="1246" w:type="dxa"/>
            <w:tcBorders>
              <w:left w:val="single" w:sz="12" w:space="0" w:color="auto"/>
              <w:right w:val="single" w:sz="12" w:space="0" w:color="auto"/>
            </w:tcBorders>
            <w:shd w:val="clear" w:color="auto" w:fill="D9D9D9"/>
          </w:tcPr>
          <w:p w:rsidR="00C4740A" w:rsidRPr="00A21A1C" w:rsidRDefault="00C4740A" w:rsidP="002D129B">
            <w:pPr>
              <w:jc w:val="right"/>
              <w:rPr>
                <w:rFonts w:eastAsia="Calibri"/>
                <w:b/>
                <w:i/>
                <w:sz w:val="20"/>
              </w:rPr>
            </w:pPr>
            <w:r w:rsidRPr="00A21A1C">
              <w:rPr>
                <w:rFonts w:eastAsia="Calibri"/>
                <w:b/>
                <w:i/>
                <w:sz w:val="20"/>
              </w:rPr>
              <w:t>86%</w:t>
            </w:r>
          </w:p>
        </w:tc>
        <w:tc>
          <w:tcPr>
            <w:tcW w:w="2040" w:type="dxa"/>
            <w:tcBorders>
              <w:left w:val="single" w:sz="12" w:space="0" w:color="auto"/>
              <w:right w:val="single" w:sz="12" w:space="0" w:color="auto"/>
            </w:tcBorders>
            <w:shd w:val="clear" w:color="auto" w:fill="D9D9D9"/>
          </w:tcPr>
          <w:p w:rsidR="00C4740A" w:rsidRPr="00A21A1C" w:rsidRDefault="00C4740A" w:rsidP="002D129B">
            <w:pPr>
              <w:jc w:val="right"/>
              <w:rPr>
                <w:rFonts w:eastAsia="Calibri"/>
                <w:b/>
                <w:i/>
                <w:sz w:val="20"/>
              </w:rPr>
            </w:pPr>
            <w:r w:rsidRPr="00A21A1C">
              <w:rPr>
                <w:rFonts w:eastAsia="Calibri"/>
                <w:b/>
                <w:i/>
                <w:sz w:val="20"/>
              </w:rPr>
              <w:t>12</w:t>
            </w:r>
          </w:p>
        </w:tc>
      </w:tr>
      <w:tr w:rsidR="00C4740A" w:rsidRPr="00A21A1C" w:rsidTr="002D129B">
        <w:trPr>
          <w:jc w:val="center"/>
        </w:trPr>
        <w:tc>
          <w:tcPr>
            <w:tcW w:w="1895" w:type="dxa"/>
            <w:tcBorders>
              <w:left w:val="single" w:sz="12" w:space="0" w:color="auto"/>
              <w:right w:val="single" w:sz="12" w:space="0" w:color="auto"/>
            </w:tcBorders>
          </w:tcPr>
          <w:p w:rsidR="00C4740A" w:rsidRPr="00A21A1C" w:rsidRDefault="00C4740A" w:rsidP="002D129B">
            <w:pPr>
              <w:rPr>
                <w:rFonts w:eastAsia="Calibri"/>
                <w:sz w:val="20"/>
              </w:rPr>
            </w:pPr>
            <w:r w:rsidRPr="00A21A1C">
              <w:rPr>
                <w:rFonts w:eastAsia="Calibri"/>
                <w:sz w:val="20"/>
              </w:rPr>
              <w:t>Academic/Research</w:t>
            </w:r>
          </w:p>
        </w:tc>
        <w:tc>
          <w:tcPr>
            <w:tcW w:w="1170" w:type="dxa"/>
            <w:tcBorders>
              <w:left w:val="single" w:sz="12" w:space="0" w:color="auto"/>
            </w:tcBorders>
            <w:shd w:val="clear" w:color="auto" w:fill="F2F2F2"/>
            <w:vAlign w:val="bottom"/>
          </w:tcPr>
          <w:p w:rsidR="00C4740A" w:rsidRPr="00A21A1C" w:rsidRDefault="00C4740A" w:rsidP="002D129B">
            <w:pPr>
              <w:jc w:val="right"/>
              <w:rPr>
                <w:rFonts w:eastAsia="Calibri"/>
                <w:color w:val="000000"/>
                <w:sz w:val="20"/>
              </w:rPr>
            </w:pPr>
            <w:r w:rsidRPr="00A21A1C">
              <w:rPr>
                <w:rFonts w:eastAsia="Calibri"/>
                <w:color w:val="000000"/>
                <w:sz w:val="20"/>
              </w:rPr>
              <w:t>21%</w:t>
            </w:r>
          </w:p>
        </w:tc>
        <w:tc>
          <w:tcPr>
            <w:tcW w:w="1226" w:type="dxa"/>
            <w:tcBorders>
              <w:right w:val="single" w:sz="12" w:space="0" w:color="auto"/>
            </w:tcBorders>
            <w:shd w:val="clear" w:color="auto" w:fill="F2F2F2"/>
            <w:vAlign w:val="center"/>
          </w:tcPr>
          <w:p w:rsidR="00C4740A" w:rsidRPr="00A21A1C" w:rsidRDefault="00C4740A" w:rsidP="002D129B">
            <w:pPr>
              <w:jc w:val="right"/>
              <w:rPr>
                <w:rFonts w:eastAsia="Calibri"/>
                <w:sz w:val="20"/>
              </w:rPr>
            </w:pPr>
            <w:r w:rsidRPr="00A21A1C">
              <w:rPr>
                <w:rFonts w:eastAsia="Calibri"/>
                <w:sz w:val="20"/>
              </w:rPr>
              <w:t>6</w:t>
            </w:r>
          </w:p>
        </w:tc>
        <w:tc>
          <w:tcPr>
            <w:tcW w:w="1294" w:type="dxa"/>
            <w:tcBorders>
              <w:left w:val="single" w:sz="12" w:space="0" w:color="auto"/>
            </w:tcBorders>
            <w:vAlign w:val="bottom"/>
          </w:tcPr>
          <w:p w:rsidR="00C4740A" w:rsidRPr="00A21A1C" w:rsidRDefault="00C4740A" w:rsidP="002D129B">
            <w:pPr>
              <w:jc w:val="right"/>
              <w:rPr>
                <w:rFonts w:eastAsia="Calibri"/>
                <w:color w:val="000000"/>
                <w:sz w:val="20"/>
              </w:rPr>
            </w:pPr>
            <w:r w:rsidRPr="00A21A1C">
              <w:rPr>
                <w:rFonts w:eastAsia="Calibri"/>
                <w:color w:val="000000"/>
                <w:sz w:val="20"/>
              </w:rPr>
              <w:t>21%</w:t>
            </w:r>
          </w:p>
        </w:tc>
        <w:tc>
          <w:tcPr>
            <w:tcW w:w="1170" w:type="dxa"/>
            <w:tcBorders>
              <w:right w:val="single" w:sz="12" w:space="0" w:color="auto"/>
            </w:tcBorders>
            <w:vAlign w:val="center"/>
          </w:tcPr>
          <w:p w:rsidR="00C4740A" w:rsidRPr="00A21A1C" w:rsidRDefault="00C4740A" w:rsidP="002D129B">
            <w:pPr>
              <w:jc w:val="right"/>
              <w:rPr>
                <w:rFonts w:eastAsia="Calibri"/>
                <w:sz w:val="20"/>
              </w:rPr>
            </w:pPr>
            <w:r w:rsidRPr="00A21A1C">
              <w:rPr>
                <w:rFonts w:eastAsia="Calibri"/>
                <w:sz w:val="20"/>
              </w:rPr>
              <w:t>3</w:t>
            </w:r>
          </w:p>
        </w:tc>
        <w:tc>
          <w:tcPr>
            <w:tcW w:w="1246" w:type="dxa"/>
            <w:tcBorders>
              <w:left w:val="single" w:sz="12" w:space="0" w:color="auto"/>
              <w:right w:val="single" w:sz="12" w:space="0" w:color="auto"/>
            </w:tcBorders>
            <w:shd w:val="clear" w:color="auto" w:fill="F2F2F2"/>
          </w:tcPr>
          <w:p w:rsidR="00C4740A" w:rsidRPr="00A21A1C" w:rsidRDefault="00C4740A" w:rsidP="002D129B">
            <w:pPr>
              <w:jc w:val="right"/>
              <w:rPr>
                <w:rFonts w:eastAsia="Calibri"/>
                <w:sz w:val="20"/>
              </w:rPr>
            </w:pPr>
            <w:r w:rsidRPr="00A21A1C">
              <w:rPr>
                <w:rFonts w:eastAsia="Calibri"/>
                <w:sz w:val="20"/>
              </w:rPr>
              <w:t>86%</w:t>
            </w:r>
          </w:p>
        </w:tc>
        <w:tc>
          <w:tcPr>
            <w:tcW w:w="2040" w:type="dxa"/>
            <w:tcBorders>
              <w:left w:val="single" w:sz="12" w:space="0" w:color="auto"/>
              <w:right w:val="single" w:sz="12" w:space="0" w:color="auto"/>
            </w:tcBorders>
            <w:vAlign w:val="bottom"/>
          </w:tcPr>
          <w:p w:rsidR="00C4740A" w:rsidRPr="00A21A1C" w:rsidRDefault="00C4740A" w:rsidP="002D129B">
            <w:pPr>
              <w:jc w:val="right"/>
              <w:rPr>
                <w:rFonts w:eastAsia="Calibri"/>
                <w:color w:val="000000"/>
                <w:sz w:val="20"/>
              </w:rPr>
            </w:pPr>
            <w:r w:rsidRPr="00A21A1C">
              <w:rPr>
                <w:rFonts w:eastAsia="Calibri"/>
                <w:color w:val="000000"/>
                <w:sz w:val="20"/>
              </w:rPr>
              <w:t>3</w:t>
            </w:r>
          </w:p>
        </w:tc>
      </w:tr>
      <w:tr w:rsidR="00C4740A" w:rsidRPr="00A21A1C" w:rsidTr="002D129B">
        <w:trPr>
          <w:jc w:val="center"/>
        </w:trPr>
        <w:tc>
          <w:tcPr>
            <w:tcW w:w="1895" w:type="dxa"/>
            <w:tcBorders>
              <w:left w:val="single" w:sz="12" w:space="0" w:color="auto"/>
              <w:right w:val="single" w:sz="12" w:space="0" w:color="auto"/>
            </w:tcBorders>
          </w:tcPr>
          <w:p w:rsidR="00C4740A" w:rsidRPr="00A21A1C" w:rsidRDefault="00C4740A" w:rsidP="002D129B">
            <w:pPr>
              <w:rPr>
                <w:rFonts w:eastAsia="Calibri"/>
                <w:sz w:val="20"/>
              </w:rPr>
            </w:pPr>
            <w:r w:rsidRPr="00A21A1C">
              <w:rPr>
                <w:rFonts w:eastAsia="Calibri"/>
                <w:sz w:val="20"/>
              </w:rPr>
              <w:t>Business Owners</w:t>
            </w:r>
          </w:p>
        </w:tc>
        <w:tc>
          <w:tcPr>
            <w:tcW w:w="1170" w:type="dxa"/>
            <w:tcBorders>
              <w:left w:val="single" w:sz="12" w:space="0" w:color="auto"/>
            </w:tcBorders>
            <w:shd w:val="clear" w:color="auto" w:fill="F2F2F2"/>
            <w:vAlign w:val="bottom"/>
          </w:tcPr>
          <w:p w:rsidR="00C4740A" w:rsidRPr="00A21A1C" w:rsidRDefault="00C4740A" w:rsidP="002D129B">
            <w:pPr>
              <w:jc w:val="right"/>
              <w:rPr>
                <w:rFonts w:eastAsia="Calibri"/>
                <w:color w:val="000000"/>
                <w:sz w:val="20"/>
              </w:rPr>
            </w:pPr>
            <w:r w:rsidRPr="00A21A1C">
              <w:rPr>
                <w:rFonts w:eastAsia="Calibri"/>
                <w:color w:val="000000"/>
                <w:sz w:val="20"/>
              </w:rPr>
              <w:t>24%</w:t>
            </w:r>
          </w:p>
        </w:tc>
        <w:tc>
          <w:tcPr>
            <w:tcW w:w="1226" w:type="dxa"/>
            <w:tcBorders>
              <w:right w:val="single" w:sz="12" w:space="0" w:color="auto"/>
            </w:tcBorders>
            <w:shd w:val="clear" w:color="auto" w:fill="F2F2F2"/>
            <w:vAlign w:val="center"/>
          </w:tcPr>
          <w:p w:rsidR="00C4740A" w:rsidRPr="00A21A1C" w:rsidRDefault="00C4740A" w:rsidP="002D129B">
            <w:pPr>
              <w:jc w:val="right"/>
              <w:rPr>
                <w:rFonts w:eastAsia="Calibri"/>
                <w:sz w:val="20"/>
              </w:rPr>
            </w:pPr>
            <w:r w:rsidRPr="00A21A1C">
              <w:rPr>
                <w:rFonts w:eastAsia="Calibri"/>
                <w:sz w:val="20"/>
              </w:rPr>
              <w:t>7</w:t>
            </w:r>
          </w:p>
        </w:tc>
        <w:tc>
          <w:tcPr>
            <w:tcW w:w="1294" w:type="dxa"/>
            <w:tcBorders>
              <w:left w:val="single" w:sz="12" w:space="0" w:color="auto"/>
            </w:tcBorders>
            <w:vAlign w:val="bottom"/>
          </w:tcPr>
          <w:p w:rsidR="00C4740A" w:rsidRPr="00A21A1C" w:rsidRDefault="00C4740A" w:rsidP="002D129B">
            <w:pPr>
              <w:jc w:val="right"/>
              <w:rPr>
                <w:rFonts w:eastAsia="Calibri"/>
                <w:color w:val="000000"/>
                <w:sz w:val="20"/>
              </w:rPr>
            </w:pPr>
            <w:r w:rsidRPr="00A21A1C">
              <w:rPr>
                <w:rFonts w:eastAsia="Calibri"/>
                <w:color w:val="000000"/>
                <w:sz w:val="20"/>
              </w:rPr>
              <w:t>14%</w:t>
            </w:r>
          </w:p>
        </w:tc>
        <w:tc>
          <w:tcPr>
            <w:tcW w:w="1170" w:type="dxa"/>
            <w:tcBorders>
              <w:right w:val="single" w:sz="12" w:space="0" w:color="auto"/>
            </w:tcBorders>
            <w:vAlign w:val="center"/>
          </w:tcPr>
          <w:p w:rsidR="00C4740A" w:rsidRPr="00A21A1C" w:rsidRDefault="00C4740A" w:rsidP="002D129B">
            <w:pPr>
              <w:jc w:val="right"/>
              <w:rPr>
                <w:rFonts w:eastAsia="Calibri"/>
                <w:sz w:val="20"/>
              </w:rPr>
            </w:pPr>
            <w:r w:rsidRPr="00A21A1C">
              <w:rPr>
                <w:rFonts w:eastAsia="Calibri"/>
                <w:sz w:val="20"/>
              </w:rPr>
              <w:t>2</w:t>
            </w:r>
          </w:p>
        </w:tc>
        <w:tc>
          <w:tcPr>
            <w:tcW w:w="1246" w:type="dxa"/>
            <w:tcBorders>
              <w:left w:val="single" w:sz="12" w:space="0" w:color="auto"/>
              <w:right w:val="single" w:sz="12" w:space="0" w:color="auto"/>
            </w:tcBorders>
            <w:shd w:val="clear" w:color="auto" w:fill="F2F2F2"/>
          </w:tcPr>
          <w:p w:rsidR="00C4740A" w:rsidRPr="00A21A1C" w:rsidRDefault="00C4740A" w:rsidP="002D129B">
            <w:pPr>
              <w:jc w:val="right"/>
              <w:rPr>
                <w:rFonts w:eastAsia="Calibri"/>
                <w:sz w:val="20"/>
              </w:rPr>
            </w:pPr>
            <w:r w:rsidRPr="00A21A1C">
              <w:rPr>
                <w:rFonts w:eastAsia="Calibri"/>
                <w:sz w:val="20"/>
              </w:rPr>
              <w:t>86%</w:t>
            </w:r>
          </w:p>
        </w:tc>
        <w:tc>
          <w:tcPr>
            <w:tcW w:w="2040" w:type="dxa"/>
            <w:tcBorders>
              <w:left w:val="single" w:sz="12" w:space="0" w:color="auto"/>
              <w:right w:val="single" w:sz="12" w:space="0" w:color="auto"/>
            </w:tcBorders>
            <w:vAlign w:val="bottom"/>
          </w:tcPr>
          <w:p w:rsidR="00C4740A" w:rsidRPr="00A21A1C" w:rsidRDefault="00C4740A" w:rsidP="002D129B">
            <w:pPr>
              <w:jc w:val="right"/>
              <w:rPr>
                <w:rFonts w:eastAsia="Calibri"/>
                <w:color w:val="000000"/>
                <w:sz w:val="20"/>
              </w:rPr>
            </w:pPr>
            <w:r w:rsidRPr="00A21A1C">
              <w:rPr>
                <w:rFonts w:eastAsia="Calibri"/>
                <w:color w:val="000000"/>
                <w:sz w:val="20"/>
              </w:rPr>
              <w:t>2</w:t>
            </w:r>
          </w:p>
        </w:tc>
      </w:tr>
      <w:tr w:rsidR="00C4740A" w:rsidRPr="00A21A1C" w:rsidTr="002D129B">
        <w:trPr>
          <w:jc w:val="center"/>
        </w:trPr>
        <w:tc>
          <w:tcPr>
            <w:tcW w:w="1895" w:type="dxa"/>
            <w:tcBorders>
              <w:left w:val="single" w:sz="12" w:space="0" w:color="auto"/>
              <w:right w:val="single" w:sz="12" w:space="0" w:color="auto"/>
            </w:tcBorders>
          </w:tcPr>
          <w:p w:rsidR="00C4740A" w:rsidRPr="00A21A1C" w:rsidRDefault="00C4740A" w:rsidP="002D129B">
            <w:pPr>
              <w:rPr>
                <w:rFonts w:eastAsia="Calibri"/>
                <w:sz w:val="20"/>
              </w:rPr>
            </w:pPr>
            <w:r w:rsidRPr="00A21A1C">
              <w:rPr>
                <w:rFonts w:eastAsia="Calibri"/>
                <w:sz w:val="20"/>
              </w:rPr>
              <w:t>Chamber of Commerce/Business</w:t>
            </w:r>
          </w:p>
        </w:tc>
        <w:tc>
          <w:tcPr>
            <w:tcW w:w="1170" w:type="dxa"/>
            <w:tcBorders>
              <w:left w:val="single" w:sz="12" w:space="0" w:color="auto"/>
            </w:tcBorders>
            <w:shd w:val="clear" w:color="auto" w:fill="F2F2F2"/>
            <w:vAlign w:val="bottom"/>
          </w:tcPr>
          <w:p w:rsidR="00C4740A" w:rsidRPr="00A21A1C" w:rsidRDefault="00C4740A" w:rsidP="002D129B">
            <w:pPr>
              <w:jc w:val="right"/>
              <w:rPr>
                <w:rFonts w:eastAsia="Calibri"/>
                <w:color w:val="000000"/>
                <w:sz w:val="20"/>
              </w:rPr>
            </w:pPr>
            <w:r w:rsidRPr="00A21A1C">
              <w:rPr>
                <w:rFonts w:eastAsia="Calibri"/>
                <w:color w:val="000000"/>
                <w:sz w:val="20"/>
              </w:rPr>
              <w:t>21%</w:t>
            </w:r>
          </w:p>
        </w:tc>
        <w:tc>
          <w:tcPr>
            <w:tcW w:w="1226" w:type="dxa"/>
            <w:tcBorders>
              <w:right w:val="single" w:sz="12" w:space="0" w:color="auto"/>
            </w:tcBorders>
            <w:shd w:val="clear" w:color="auto" w:fill="F2F2F2"/>
            <w:vAlign w:val="center"/>
          </w:tcPr>
          <w:p w:rsidR="00C4740A" w:rsidRPr="00A21A1C" w:rsidRDefault="00C4740A" w:rsidP="002D129B">
            <w:pPr>
              <w:jc w:val="right"/>
              <w:rPr>
                <w:rFonts w:eastAsia="Calibri"/>
                <w:sz w:val="20"/>
              </w:rPr>
            </w:pPr>
            <w:r w:rsidRPr="00A21A1C">
              <w:rPr>
                <w:rFonts w:eastAsia="Calibri"/>
                <w:sz w:val="20"/>
              </w:rPr>
              <w:t>6</w:t>
            </w:r>
          </w:p>
        </w:tc>
        <w:tc>
          <w:tcPr>
            <w:tcW w:w="1294" w:type="dxa"/>
            <w:tcBorders>
              <w:left w:val="single" w:sz="12" w:space="0" w:color="auto"/>
            </w:tcBorders>
            <w:vAlign w:val="bottom"/>
          </w:tcPr>
          <w:p w:rsidR="00C4740A" w:rsidRPr="00A21A1C" w:rsidRDefault="00C4740A" w:rsidP="002D129B">
            <w:pPr>
              <w:jc w:val="right"/>
              <w:rPr>
                <w:rFonts w:eastAsia="Calibri"/>
                <w:color w:val="000000"/>
                <w:sz w:val="20"/>
              </w:rPr>
            </w:pPr>
            <w:r w:rsidRPr="00A21A1C">
              <w:rPr>
                <w:rFonts w:eastAsia="Calibri"/>
                <w:color w:val="000000"/>
                <w:sz w:val="20"/>
              </w:rPr>
              <w:t>29%</w:t>
            </w:r>
          </w:p>
        </w:tc>
        <w:tc>
          <w:tcPr>
            <w:tcW w:w="1170" w:type="dxa"/>
            <w:tcBorders>
              <w:right w:val="single" w:sz="12" w:space="0" w:color="auto"/>
            </w:tcBorders>
            <w:vAlign w:val="center"/>
          </w:tcPr>
          <w:p w:rsidR="00C4740A" w:rsidRPr="00A21A1C" w:rsidRDefault="00C4740A" w:rsidP="002D129B">
            <w:pPr>
              <w:jc w:val="right"/>
              <w:rPr>
                <w:rFonts w:eastAsia="Calibri"/>
                <w:sz w:val="20"/>
              </w:rPr>
            </w:pPr>
            <w:r w:rsidRPr="00A21A1C">
              <w:rPr>
                <w:rFonts w:eastAsia="Calibri"/>
                <w:sz w:val="20"/>
              </w:rPr>
              <w:t>4</w:t>
            </w:r>
          </w:p>
        </w:tc>
        <w:tc>
          <w:tcPr>
            <w:tcW w:w="1246" w:type="dxa"/>
            <w:tcBorders>
              <w:left w:val="single" w:sz="12" w:space="0" w:color="auto"/>
              <w:right w:val="single" w:sz="12" w:space="0" w:color="auto"/>
            </w:tcBorders>
            <w:shd w:val="clear" w:color="auto" w:fill="F2F2F2"/>
          </w:tcPr>
          <w:p w:rsidR="00C4740A" w:rsidRPr="00A21A1C" w:rsidRDefault="00C4740A" w:rsidP="002D129B">
            <w:pPr>
              <w:jc w:val="right"/>
              <w:rPr>
                <w:rFonts w:eastAsia="Calibri"/>
                <w:sz w:val="20"/>
              </w:rPr>
            </w:pPr>
            <w:r w:rsidRPr="00A21A1C">
              <w:rPr>
                <w:rFonts w:eastAsia="Calibri"/>
                <w:sz w:val="20"/>
              </w:rPr>
              <w:t>86%</w:t>
            </w:r>
          </w:p>
        </w:tc>
        <w:tc>
          <w:tcPr>
            <w:tcW w:w="2040" w:type="dxa"/>
            <w:tcBorders>
              <w:left w:val="single" w:sz="12" w:space="0" w:color="auto"/>
              <w:right w:val="single" w:sz="12" w:space="0" w:color="auto"/>
            </w:tcBorders>
            <w:vAlign w:val="bottom"/>
          </w:tcPr>
          <w:p w:rsidR="00C4740A" w:rsidRPr="00A21A1C" w:rsidRDefault="00C4740A" w:rsidP="002D129B">
            <w:pPr>
              <w:jc w:val="right"/>
              <w:rPr>
                <w:rFonts w:eastAsia="Calibri"/>
                <w:color w:val="000000"/>
                <w:sz w:val="20"/>
              </w:rPr>
            </w:pPr>
            <w:r w:rsidRPr="00A21A1C">
              <w:rPr>
                <w:rFonts w:eastAsia="Calibri"/>
                <w:color w:val="000000"/>
                <w:sz w:val="20"/>
              </w:rPr>
              <w:t>3</w:t>
            </w:r>
          </w:p>
        </w:tc>
      </w:tr>
      <w:tr w:rsidR="00C4740A" w:rsidRPr="00A21A1C" w:rsidTr="002D129B">
        <w:trPr>
          <w:jc w:val="center"/>
        </w:trPr>
        <w:tc>
          <w:tcPr>
            <w:tcW w:w="1895" w:type="dxa"/>
            <w:tcBorders>
              <w:left w:val="single" w:sz="12" w:space="0" w:color="auto"/>
              <w:right w:val="single" w:sz="12" w:space="0" w:color="auto"/>
            </w:tcBorders>
          </w:tcPr>
          <w:p w:rsidR="00C4740A" w:rsidRPr="00A21A1C" w:rsidRDefault="00C4740A" w:rsidP="002D129B">
            <w:pPr>
              <w:rPr>
                <w:rFonts w:eastAsia="Calibri"/>
                <w:sz w:val="20"/>
              </w:rPr>
            </w:pPr>
            <w:r w:rsidRPr="00A21A1C">
              <w:rPr>
                <w:rFonts w:eastAsia="Calibri"/>
                <w:sz w:val="20"/>
              </w:rPr>
              <w:t>Federal</w:t>
            </w:r>
          </w:p>
        </w:tc>
        <w:tc>
          <w:tcPr>
            <w:tcW w:w="1170" w:type="dxa"/>
            <w:tcBorders>
              <w:left w:val="single" w:sz="12" w:space="0" w:color="auto"/>
            </w:tcBorders>
            <w:shd w:val="clear" w:color="auto" w:fill="F2F2F2"/>
            <w:vAlign w:val="bottom"/>
          </w:tcPr>
          <w:p w:rsidR="00C4740A" w:rsidRPr="00A21A1C" w:rsidRDefault="00C4740A" w:rsidP="002D129B">
            <w:pPr>
              <w:jc w:val="right"/>
              <w:rPr>
                <w:rFonts w:eastAsia="Calibri"/>
                <w:color w:val="000000"/>
                <w:sz w:val="20"/>
              </w:rPr>
            </w:pPr>
            <w:r w:rsidRPr="00A21A1C">
              <w:rPr>
                <w:rFonts w:eastAsia="Calibri"/>
                <w:color w:val="000000"/>
                <w:sz w:val="20"/>
              </w:rPr>
              <w:t>10%</w:t>
            </w:r>
          </w:p>
        </w:tc>
        <w:tc>
          <w:tcPr>
            <w:tcW w:w="1226" w:type="dxa"/>
            <w:tcBorders>
              <w:right w:val="single" w:sz="12" w:space="0" w:color="auto"/>
            </w:tcBorders>
            <w:shd w:val="clear" w:color="auto" w:fill="F2F2F2"/>
            <w:vAlign w:val="center"/>
          </w:tcPr>
          <w:p w:rsidR="00C4740A" w:rsidRPr="00A21A1C" w:rsidRDefault="00C4740A" w:rsidP="002D129B">
            <w:pPr>
              <w:jc w:val="right"/>
              <w:rPr>
                <w:rFonts w:eastAsia="Calibri"/>
                <w:sz w:val="20"/>
              </w:rPr>
            </w:pPr>
            <w:r w:rsidRPr="00A21A1C">
              <w:rPr>
                <w:rFonts w:eastAsia="Calibri"/>
                <w:sz w:val="20"/>
              </w:rPr>
              <w:t>3</w:t>
            </w:r>
          </w:p>
        </w:tc>
        <w:tc>
          <w:tcPr>
            <w:tcW w:w="1294" w:type="dxa"/>
            <w:tcBorders>
              <w:left w:val="single" w:sz="12" w:space="0" w:color="auto"/>
            </w:tcBorders>
            <w:vAlign w:val="bottom"/>
          </w:tcPr>
          <w:p w:rsidR="00C4740A" w:rsidRPr="00A21A1C" w:rsidRDefault="00C4740A" w:rsidP="002D129B">
            <w:pPr>
              <w:jc w:val="right"/>
              <w:rPr>
                <w:rFonts w:eastAsia="Calibri"/>
                <w:color w:val="000000"/>
                <w:sz w:val="20"/>
              </w:rPr>
            </w:pPr>
            <w:r w:rsidRPr="00A21A1C">
              <w:rPr>
                <w:rFonts w:eastAsia="Calibri"/>
                <w:color w:val="000000"/>
                <w:sz w:val="20"/>
              </w:rPr>
              <w:t>21%</w:t>
            </w:r>
          </w:p>
        </w:tc>
        <w:tc>
          <w:tcPr>
            <w:tcW w:w="1170" w:type="dxa"/>
            <w:tcBorders>
              <w:right w:val="single" w:sz="12" w:space="0" w:color="auto"/>
            </w:tcBorders>
            <w:vAlign w:val="center"/>
          </w:tcPr>
          <w:p w:rsidR="00C4740A" w:rsidRPr="00A21A1C" w:rsidRDefault="00C4740A" w:rsidP="002D129B">
            <w:pPr>
              <w:jc w:val="right"/>
              <w:rPr>
                <w:rFonts w:eastAsia="Calibri"/>
                <w:sz w:val="20"/>
              </w:rPr>
            </w:pPr>
            <w:r w:rsidRPr="00A21A1C">
              <w:rPr>
                <w:rFonts w:eastAsia="Calibri"/>
                <w:sz w:val="20"/>
              </w:rPr>
              <w:t>3</w:t>
            </w:r>
          </w:p>
        </w:tc>
        <w:tc>
          <w:tcPr>
            <w:tcW w:w="1246" w:type="dxa"/>
            <w:tcBorders>
              <w:left w:val="single" w:sz="12" w:space="0" w:color="auto"/>
              <w:right w:val="single" w:sz="12" w:space="0" w:color="auto"/>
            </w:tcBorders>
            <w:shd w:val="clear" w:color="auto" w:fill="F2F2F2"/>
          </w:tcPr>
          <w:p w:rsidR="00C4740A" w:rsidRPr="00A21A1C" w:rsidRDefault="00C4740A" w:rsidP="002D129B">
            <w:pPr>
              <w:jc w:val="right"/>
              <w:rPr>
                <w:rFonts w:eastAsia="Calibri"/>
                <w:sz w:val="20"/>
              </w:rPr>
            </w:pPr>
            <w:r w:rsidRPr="00A21A1C">
              <w:rPr>
                <w:rFonts w:eastAsia="Calibri"/>
                <w:sz w:val="20"/>
              </w:rPr>
              <w:t>86%</w:t>
            </w:r>
          </w:p>
        </w:tc>
        <w:tc>
          <w:tcPr>
            <w:tcW w:w="2040" w:type="dxa"/>
            <w:tcBorders>
              <w:left w:val="single" w:sz="12" w:space="0" w:color="auto"/>
              <w:right w:val="single" w:sz="12" w:space="0" w:color="auto"/>
            </w:tcBorders>
            <w:vAlign w:val="bottom"/>
          </w:tcPr>
          <w:p w:rsidR="00C4740A" w:rsidRPr="00A21A1C" w:rsidRDefault="00C4740A" w:rsidP="002D129B">
            <w:pPr>
              <w:jc w:val="right"/>
              <w:rPr>
                <w:rFonts w:eastAsia="Calibri"/>
                <w:color w:val="000000"/>
                <w:sz w:val="20"/>
              </w:rPr>
            </w:pPr>
            <w:r w:rsidRPr="00A21A1C">
              <w:rPr>
                <w:rFonts w:eastAsia="Calibri"/>
                <w:color w:val="000000"/>
                <w:sz w:val="20"/>
              </w:rPr>
              <w:t>3</w:t>
            </w:r>
          </w:p>
        </w:tc>
      </w:tr>
      <w:tr w:rsidR="00C4740A" w:rsidRPr="00A21A1C" w:rsidTr="002D129B">
        <w:trPr>
          <w:jc w:val="center"/>
        </w:trPr>
        <w:tc>
          <w:tcPr>
            <w:tcW w:w="1895" w:type="dxa"/>
            <w:tcBorders>
              <w:left w:val="single" w:sz="12" w:space="0" w:color="auto"/>
              <w:right w:val="single" w:sz="12" w:space="0" w:color="auto"/>
            </w:tcBorders>
          </w:tcPr>
          <w:p w:rsidR="00C4740A" w:rsidRPr="00A21A1C" w:rsidRDefault="00C4740A" w:rsidP="002D129B">
            <w:pPr>
              <w:rPr>
                <w:rFonts w:eastAsia="Calibri"/>
                <w:sz w:val="20"/>
              </w:rPr>
            </w:pPr>
            <w:r w:rsidRPr="00A21A1C">
              <w:rPr>
                <w:rFonts w:eastAsia="Calibri"/>
                <w:sz w:val="20"/>
              </w:rPr>
              <w:t>State</w:t>
            </w:r>
          </w:p>
        </w:tc>
        <w:tc>
          <w:tcPr>
            <w:tcW w:w="1170" w:type="dxa"/>
            <w:tcBorders>
              <w:left w:val="single" w:sz="12" w:space="0" w:color="auto"/>
            </w:tcBorders>
            <w:shd w:val="clear" w:color="auto" w:fill="F2F2F2"/>
            <w:vAlign w:val="bottom"/>
          </w:tcPr>
          <w:p w:rsidR="00C4740A" w:rsidRPr="00A21A1C" w:rsidRDefault="00C4740A" w:rsidP="002D129B">
            <w:pPr>
              <w:jc w:val="right"/>
              <w:rPr>
                <w:rFonts w:eastAsia="Calibri"/>
                <w:color w:val="000000"/>
                <w:sz w:val="20"/>
              </w:rPr>
            </w:pPr>
            <w:r w:rsidRPr="00A21A1C">
              <w:rPr>
                <w:rFonts w:eastAsia="Calibri"/>
                <w:color w:val="000000"/>
                <w:sz w:val="20"/>
              </w:rPr>
              <w:t>7%</w:t>
            </w:r>
          </w:p>
        </w:tc>
        <w:tc>
          <w:tcPr>
            <w:tcW w:w="1226" w:type="dxa"/>
            <w:tcBorders>
              <w:right w:val="single" w:sz="12" w:space="0" w:color="auto"/>
            </w:tcBorders>
            <w:shd w:val="clear" w:color="auto" w:fill="F2F2F2"/>
            <w:vAlign w:val="center"/>
          </w:tcPr>
          <w:p w:rsidR="00C4740A" w:rsidRPr="00A21A1C" w:rsidRDefault="00C4740A" w:rsidP="002D129B">
            <w:pPr>
              <w:jc w:val="right"/>
              <w:rPr>
                <w:rFonts w:eastAsia="Calibri"/>
                <w:sz w:val="20"/>
              </w:rPr>
            </w:pPr>
            <w:r w:rsidRPr="00A21A1C">
              <w:rPr>
                <w:rFonts w:eastAsia="Calibri"/>
                <w:sz w:val="20"/>
              </w:rPr>
              <w:t>2</w:t>
            </w:r>
          </w:p>
        </w:tc>
        <w:tc>
          <w:tcPr>
            <w:tcW w:w="1294" w:type="dxa"/>
            <w:tcBorders>
              <w:left w:val="single" w:sz="12" w:space="0" w:color="auto"/>
            </w:tcBorders>
            <w:vAlign w:val="bottom"/>
          </w:tcPr>
          <w:p w:rsidR="00C4740A" w:rsidRPr="00A21A1C" w:rsidRDefault="00C4740A" w:rsidP="002D129B">
            <w:pPr>
              <w:jc w:val="right"/>
              <w:rPr>
                <w:rFonts w:eastAsia="Calibri"/>
                <w:color w:val="000000"/>
                <w:sz w:val="20"/>
              </w:rPr>
            </w:pPr>
            <w:r w:rsidRPr="00A21A1C">
              <w:rPr>
                <w:rFonts w:eastAsia="Calibri"/>
                <w:color w:val="000000"/>
                <w:sz w:val="20"/>
              </w:rPr>
              <w:t>7%</w:t>
            </w:r>
          </w:p>
        </w:tc>
        <w:tc>
          <w:tcPr>
            <w:tcW w:w="1170" w:type="dxa"/>
            <w:tcBorders>
              <w:right w:val="single" w:sz="12" w:space="0" w:color="auto"/>
            </w:tcBorders>
            <w:vAlign w:val="center"/>
          </w:tcPr>
          <w:p w:rsidR="00C4740A" w:rsidRPr="00A21A1C" w:rsidRDefault="00C4740A" w:rsidP="002D129B">
            <w:pPr>
              <w:jc w:val="right"/>
              <w:rPr>
                <w:rFonts w:eastAsia="Calibri"/>
                <w:sz w:val="20"/>
              </w:rPr>
            </w:pPr>
            <w:r w:rsidRPr="00A21A1C">
              <w:rPr>
                <w:rFonts w:eastAsia="Calibri"/>
                <w:sz w:val="20"/>
              </w:rPr>
              <w:t>1</w:t>
            </w:r>
          </w:p>
        </w:tc>
        <w:tc>
          <w:tcPr>
            <w:tcW w:w="1246" w:type="dxa"/>
            <w:tcBorders>
              <w:left w:val="single" w:sz="12" w:space="0" w:color="auto"/>
              <w:right w:val="single" w:sz="12" w:space="0" w:color="auto"/>
            </w:tcBorders>
            <w:shd w:val="clear" w:color="auto" w:fill="F2F2F2"/>
          </w:tcPr>
          <w:p w:rsidR="00C4740A" w:rsidRPr="00A21A1C" w:rsidRDefault="00C4740A" w:rsidP="002D129B">
            <w:pPr>
              <w:jc w:val="right"/>
              <w:rPr>
                <w:rFonts w:eastAsia="Calibri"/>
                <w:sz w:val="20"/>
              </w:rPr>
            </w:pPr>
            <w:r w:rsidRPr="00A21A1C">
              <w:rPr>
                <w:rFonts w:eastAsia="Calibri"/>
                <w:sz w:val="20"/>
              </w:rPr>
              <w:t>86%</w:t>
            </w:r>
          </w:p>
        </w:tc>
        <w:tc>
          <w:tcPr>
            <w:tcW w:w="2040" w:type="dxa"/>
            <w:tcBorders>
              <w:left w:val="single" w:sz="12" w:space="0" w:color="auto"/>
              <w:right w:val="single" w:sz="12" w:space="0" w:color="auto"/>
            </w:tcBorders>
            <w:vAlign w:val="bottom"/>
          </w:tcPr>
          <w:p w:rsidR="00C4740A" w:rsidRPr="00A21A1C" w:rsidRDefault="00C4740A" w:rsidP="002D129B">
            <w:pPr>
              <w:jc w:val="right"/>
              <w:rPr>
                <w:rFonts w:eastAsia="Calibri"/>
                <w:color w:val="000000"/>
                <w:sz w:val="20"/>
              </w:rPr>
            </w:pPr>
            <w:r w:rsidRPr="00A21A1C">
              <w:rPr>
                <w:rFonts w:eastAsia="Calibri"/>
                <w:color w:val="000000"/>
                <w:sz w:val="20"/>
              </w:rPr>
              <w:t>1</w:t>
            </w:r>
          </w:p>
        </w:tc>
      </w:tr>
      <w:tr w:rsidR="00C4740A" w:rsidRPr="00A21A1C" w:rsidTr="002D129B">
        <w:trPr>
          <w:jc w:val="center"/>
        </w:trPr>
        <w:tc>
          <w:tcPr>
            <w:tcW w:w="1895" w:type="dxa"/>
            <w:tcBorders>
              <w:left w:val="single" w:sz="12" w:space="0" w:color="auto"/>
              <w:bottom w:val="single" w:sz="12" w:space="0" w:color="auto"/>
              <w:right w:val="single" w:sz="12" w:space="0" w:color="auto"/>
            </w:tcBorders>
          </w:tcPr>
          <w:p w:rsidR="00C4740A" w:rsidRPr="00A21A1C" w:rsidRDefault="00C4740A" w:rsidP="002D129B">
            <w:pPr>
              <w:rPr>
                <w:rFonts w:eastAsia="Calibri"/>
                <w:sz w:val="20"/>
              </w:rPr>
            </w:pPr>
            <w:r w:rsidRPr="00A21A1C">
              <w:rPr>
                <w:rFonts w:eastAsia="Calibri"/>
                <w:sz w:val="20"/>
              </w:rPr>
              <w:t>Tourism Bureau</w:t>
            </w:r>
          </w:p>
        </w:tc>
        <w:tc>
          <w:tcPr>
            <w:tcW w:w="1170" w:type="dxa"/>
            <w:tcBorders>
              <w:left w:val="single" w:sz="12" w:space="0" w:color="auto"/>
              <w:bottom w:val="single" w:sz="12" w:space="0" w:color="auto"/>
            </w:tcBorders>
            <w:shd w:val="clear" w:color="auto" w:fill="F2F2F2"/>
            <w:vAlign w:val="bottom"/>
          </w:tcPr>
          <w:p w:rsidR="00C4740A" w:rsidRPr="00A21A1C" w:rsidRDefault="00C4740A" w:rsidP="002D129B">
            <w:pPr>
              <w:jc w:val="right"/>
              <w:rPr>
                <w:rFonts w:eastAsia="Calibri"/>
                <w:color w:val="000000"/>
                <w:sz w:val="20"/>
              </w:rPr>
            </w:pPr>
            <w:r w:rsidRPr="00A21A1C">
              <w:rPr>
                <w:rFonts w:eastAsia="Calibri"/>
                <w:color w:val="000000"/>
                <w:sz w:val="20"/>
              </w:rPr>
              <w:t>17%</w:t>
            </w:r>
          </w:p>
        </w:tc>
        <w:tc>
          <w:tcPr>
            <w:tcW w:w="1226" w:type="dxa"/>
            <w:tcBorders>
              <w:bottom w:val="single" w:sz="12" w:space="0" w:color="auto"/>
              <w:right w:val="single" w:sz="12" w:space="0" w:color="auto"/>
            </w:tcBorders>
            <w:shd w:val="clear" w:color="auto" w:fill="F2F2F2"/>
            <w:vAlign w:val="center"/>
          </w:tcPr>
          <w:p w:rsidR="00C4740A" w:rsidRPr="00A21A1C" w:rsidRDefault="00C4740A" w:rsidP="002D129B">
            <w:pPr>
              <w:jc w:val="right"/>
              <w:rPr>
                <w:rFonts w:eastAsia="Calibri"/>
                <w:sz w:val="20"/>
              </w:rPr>
            </w:pPr>
            <w:r w:rsidRPr="00A21A1C">
              <w:rPr>
                <w:rFonts w:eastAsia="Calibri"/>
                <w:sz w:val="20"/>
              </w:rPr>
              <w:t>5</w:t>
            </w:r>
          </w:p>
        </w:tc>
        <w:tc>
          <w:tcPr>
            <w:tcW w:w="1294" w:type="dxa"/>
            <w:tcBorders>
              <w:left w:val="single" w:sz="12" w:space="0" w:color="auto"/>
              <w:bottom w:val="single" w:sz="12" w:space="0" w:color="auto"/>
            </w:tcBorders>
            <w:vAlign w:val="bottom"/>
          </w:tcPr>
          <w:p w:rsidR="00C4740A" w:rsidRPr="00A21A1C" w:rsidRDefault="00C4740A" w:rsidP="002D129B">
            <w:pPr>
              <w:jc w:val="right"/>
              <w:rPr>
                <w:rFonts w:eastAsia="Calibri"/>
                <w:color w:val="000000"/>
                <w:sz w:val="20"/>
              </w:rPr>
            </w:pPr>
            <w:r w:rsidRPr="00A21A1C">
              <w:rPr>
                <w:rFonts w:eastAsia="Calibri"/>
                <w:color w:val="000000"/>
                <w:sz w:val="20"/>
              </w:rPr>
              <w:t>7%</w:t>
            </w:r>
          </w:p>
        </w:tc>
        <w:tc>
          <w:tcPr>
            <w:tcW w:w="1170" w:type="dxa"/>
            <w:tcBorders>
              <w:bottom w:val="single" w:sz="12" w:space="0" w:color="auto"/>
              <w:right w:val="single" w:sz="12" w:space="0" w:color="auto"/>
            </w:tcBorders>
            <w:vAlign w:val="center"/>
          </w:tcPr>
          <w:p w:rsidR="00C4740A" w:rsidRPr="00A21A1C" w:rsidRDefault="00C4740A" w:rsidP="002D129B">
            <w:pPr>
              <w:jc w:val="right"/>
              <w:rPr>
                <w:rFonts w:eastAsia="Calibri"/>
                <w:sz w:val="20"/>
              </w:rPr>
            </w:pPr>
            <w:r w:rsidRPr="00A21A1C">
              <w:rPr>
                <w:rFonts w:eastAsia="Calibri"/>
                <w:sz w:val="20"/>
              </w:rPr>
              <w:t>1</w:t>
            </w:r>
          </w:p>
        </w:tc>
        <w:tc>
          <w:tcPr>
            <w:tcW w:w="1246" w:type="dxa"/>
            <w:tcBorders>
              <w:left w:val="single" w:sz="12" w:space="0" w:color="auto"/>
              <w:bottom w:val="single" w:sz="12" w:space="0" w:color="auto"/>
              <w:right w:val="single" w:sz="12" w:space="0" w:color="auto"/>
            </w:tcBorders>
            <w:shd w:val="clear" w:color="auto" w:fill="F2F2F2"/>
          </w:tcPr>
          <w:p w:rsidR="00C4740A" w:rsidRPr="00A21A1C" w:rsidRDefault="00C4740A" w:rsidP="002D129B">
            <w:pPr>
              <w:jc w:val="right"/>
              <w:rPr>
                <w:rFonts w:eastAsia="Calibri"/>
                <w:sz w:val="20"/>
              </w:rPr>
            </w:pPr>
            <w:r w:rsidRPr="00A21A1C">
              <w:rPr>
                <w:rFonts w:eastAsia="Calibri"/>
                <w:sz w:val="20"/>
              </w:rPr>
              <w:t>86%</w:t>
            </w:r>
          </w:p>
        </w:tc>
        <w:tc>
          <w:tcPr>
            <w:tcW w:w="2040" w:type="dxa"/>
            <w:tcBorders>
              <w:left w:val="single" w:sz="12" w:space="0" w:color="auto"/>
              <w:bottom w:val="single" w:sz="12" w:space="0" w:color="auto"/>
              <w:right w:val="single" w:sz="12" w:space="0" w:color="auto"/>
            </w:tcBorders>
            <w:vAlign w:val="bottom"/>
          </w:tcPr>
          <w:p w:rsidR="00C4740A" w:rsidRPr="00A21A1C" w:rsidRDefault="00C4740A" w:rsidP="002D129B">
            <w:pPr>
              <w:jc w:val="right"/>
              <w:rPr>
                <w:rFonts w:eastAsia="Calibri"/>
                <w:color w:val="000000"/>
                <w:sz w:val="20"/>
              </w:rPr>
            </w:pPr>
            <w:r w:rsidRPr="00A21A1C">
              <w:rPr>
                <w:rFonts w:eastAsia="Calibri"/>
                <w:color w:val="000000"/>
                <w:sz w:val="20"/>
              </w:rPr>
              <w:t>1</w:t>
            </w:r>
          </w:p>
        </w:tc>
      </w:tr>
      <w:tr w:rsidR="00C4740A" w:rsidRPr="00A21A1C" w:rsidTr="002D129B">
        <w:trPr>
          <w:jc w:val="center"/>
        </w:trPr>
        <w:tc>
          <w:tcPr>
            <w:tcW w:w="10041" w:type="dxa"/>
            <w:gridSpan w:val="7"/>
            <w:tcBorders>
              <w:top w:val="single" w:sz="12" w:space="0" w:color="auto"/>
              <w:left w:val="nil"/>
              <w:bottom w:val="nil"/>
              <w:right w:val="nil"/>
            </w:tcBorders>
            <w:shd w:val="clear" w:color="auto" w:fill="auto"/>
          </w:tcPr>
          <w:p w:rsidR="00C4740A" w:rsidRPr="00A21A1C" w:rsidRDefault="00C4740A" w:rsidP="002D129B">
            <w:pPr>
              <w:rPr>
                <w:rFonts w:eastAsia="Calibri"/>
                <w:color w:val="000000"/>
                <w:sz w:val="20"/>
              </w:rPr>
            </w:pPr>
            <w:r w:rsidRPr="00A21A1C">
              <w:rPr>
                <w:rFonts w:eastAsia="Calibri"/>
                <w:color w:val="000000"/>
                <w:sz w:val="20"/>
              </w:rPr>
              <w:t>[a] Response assumes that two people from each site do not respond. This response rate is based on the fact that panel members in the sample have already agreed to participate in the survey process.</w:t>
            </w:r>
          </w:p>
        </w:tc>
      </w:tr>
    </w:tbl>
    <w:p w:rsidR="00C4740A" w:rsidRDefault="00C4740A" w:rsidP="00C4740A">
      <w:pPr>
        <w:rPr>
          <w:sz w:val="22"/>
          <w:szCs w:val="22"/>
        </w:rPr>
      </w:pPr>
    </w:p>
    <w:p w:rsidR="00C4740A" w:rsidRDefault="00C4740A" w:rsidP="00C4740A">
      <w:pPr>
        <w:rPr>
          <w:sz w:val="22"/>
          <w:szCs w:val="22"/>
        </w:rPr>
      </w:pPr>
      <w:r>
        <w:rPr>
          <w:sz w:val="22"/>
          <w:szCs w:val="22"/>
        </w:rPr>
        <w:t>It is anticipated that at least 29 individuals will respond to the survey since individuals comprising the sample have already</w:t>
      </w:r>
      <w:r w:rsidR="005C620E">
        <w:rPr>
          <w:sz w:val="22"/>
          <w:szCs w:val="22"/>
        </w:rPr>
        <w:t xml:space="preserve"> agreed</w:t>
      </w:r>
      <w:r>
        <w:rPr>
          <w:sz w:val="22"/>
          <w:szCs w:val="22"/>
        </w:rPr>
        <w:t xml:space="preserve"> to participate in the survey process.</w:t>
      </w:r>
    </w:p>
    <w:p w:rsidR="00C4740A" w:rsidRDefault="00C4740A" w:rsidP="00C4740A">
      <w:pPr>
        <w:rPr>
          <w:sz w:val="22"/>
          <w:szCs w:val="22"/>
        </w:rPr>
      </w:pPr>
    </w:p>
    <w:p w:rsidR="00C4740A" w:rsidRDefault="00C4740A" w:rsidP="00C474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b/>
          <w:bCs/>
          <w:szCs w:val="24"/>
        </w:rPr>
        <w:br w:type="page"/>
      </w:r>
      <w:r>
        <w:rPr>
          <w:b/>
          <w:bCs/>
          <w:szCs w:val="24"/>
        </w:rPr>
        <w:lastRenderedPageBreak/>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C4740A" w:rsidRDefault="00C4740A" w:rsidP="00C474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C4740A" w:rsidRDefault="00C4740A" w:rsidP="00C4740A">
      <w:pPr>
        <w:rPr>
          <w:bCs/>
        </w:rPr>
      </w:pPr>
      <w:r>
        <w:rPr>
          <w:bCs/>
        </w:rPr>
        <w:t xml:space="preserve">Participants will </w:t>
      </w:r>
      <w:r w:rsidRPr="006C3AB3">
        <w:rPr>
          <w:bCs/>
        </w:rPr>
        <w:t>attend a webinar</w:t>
      </w:r>
      <w:r>
        <w:rPr>
          <w:bCs/>
        </w:rPr>
        <w:t xml:space="preserve"> at the start which will provide an overview of the process and the survey. Following the webinar, respondents will be sent an electronic copy of the round 1 survey via email for completion. Upon completion of the round 1 survey, participants will return their responses to NOAA CSC via email. NOAA will summarize these responses and then provide the summaries back to the respondents for review and allow respondent to alter their responses or provide additional information NOAA will then develop a round 2 survey based on the responses to the round 1 survey. NOAA will then administer the round 2 survey in a process similar to the round 1 survey, allowing for respondents to review a summary of the round 2 data. The entire process will end with a webinar that will allow respondents the opportunity to review the final data and provide feedback on the results.</w:t>
      </w:r>
    </w:p>
    <w:p w:rsidR="00C4740A" w:rsidRDefault="00C4740A" w:rsidP="00C4740A">
      <w:pPr>
        <w:rPr>
          <w:bCs/>
        </w:rPr>
      </w:pPr>
    </w:p>
    <w:p w:rsidR="00C4740A" w:rsidRDefault="00C4740A" w:rsidP="00C4740A">
      <w:pPr>
        <w:rPr>
          <w:b/>
          <w:bCs/>
        </w:rPr>
      </w:pPr>
      <w:r>
        <w:rPr>
          <w:bCs/>
        </w:rPr>
        <w:t xml:space="preserve">No sampling will be performed in selecting the sample, so NOAA CSC has not developed a statistical methodology for stratification and sample selection. Additionally, no estimation procedure or degree of accuracy is needed, as no sampling procedures are being employed. </w:t>
      </w:r>
    </w:p>
    <w:p w:rsidR="00C4740A" w:rsidRDefault="00C4740A" w:rsidP="00C474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C4740A" w:rsidRPr="00660AD4" w:rsidRDefault="00C4740A" w:rsidP="00C4740A">
      <w:pPr>
        <w:rPr>
          <w:b/>
          <w:bCs/>
        </w:rPr>
      </w:pPr>
      <w:r>
        <w:rPr>
          <w:bCs/>
        </w:rPr>
        <w:t>This will be a one-time data collection.</w:t>
      </w:r>
    </w:p>
    <w:p w:rsidR="00C4740A" w:rsidRDefault="00C4740A" w:rsidP="00C474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C4740A" w:rsidRDefault="00C4740A" w:rsidP="00C474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b/>
          <w:bCs/>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C4740A" w:rsidRDefault="00C4740A" w:rsidP="00C474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C4740A" w:rsidRDefault="00C4740A" w:rsidP="00C4740A">
      <w:pPr>
        <w:rPr>
          <w:b/>
        </w:rPr>
      </w:pPr>
      <w:r>
        <w:t>NOAA CSC expects that a high response rate is achievable; however, it will continue to follow good survey practices, including the following:</w:t>
      </w:r>
    </w:p>
    <w:p w:rsidR="00C4740A" w:rsidRDefault="00C4740A" w:rsidP="00C4740A">
      <w:pPr>
        <w:rPr>
          <w:b/>
        </w:rPr>
      </w:pPr>
    </w:p>
    <w:p w:rsidR="00C4740A" w:rsidRDefault="00C4740A" w:rsidP="00C4740A">
      <w:pPr>
        <w:pStyle w:val="ListParagraph"/>
        <w:numPr>
          <w:ilvl w:val="0"/>
          <w:numId w:val="1"/>
        </w:num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NOAA has recruited participants to the expert panel and provided them with information regarding the usefulness of the data that would be collected. These potential respondents have agreed, in principle, to participate in the expert panel.</w:t>
      </w:r>
    </w:p>
    <w:p w:rsidR="00C4740A" w:rsidRDefault="00C4740A" w:rsidP="00C4740A">
      <w:pPr>
        <w:pStyle w:val="ListParagraph"/>
        <w:numPr>
          <w:ilvl w:val="0"/>
          <w:numId w:val="1"/>
        </w:num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P</w:t>
      </w:r>
      <w:r w:rsidRPr="00F375EC">
        <w:rPr>
          <w:rFonts w:ascii="Times New Roman" w:hAnsi="Times New Roman" w:cs="Times New Roman"/>
          <w:b w:val="0"/>
          <w:color w:val="auto"/>
        </w:rPr>
        <w:t xml:space="preserve">otential respondents </w:t>
      </w:r>
      <w:r>
        <w:rPr>
          <w:rFonts w:ascii="Times New Roman" w:hAnsi="Times New Roman" w:cs="Times New Roman"/>
          <w:b w:val="0"/>
          <w:color w:val="auto"/>
        </w:rPr>
        <w:t>will participate in a pre-survey webinar to answer questions related to the effort.</w:t>
      </w:r>
    </w:p>
    <w:p w:rsidR="00C4740A" w:rsidRPr="00F375EC" w:rsidRDefault="00C4740A" w:rsidP="00C4740A">
      <w:pPr>
        <w:pStyle w:val="ListParagraph"/>
        <w:numPr>
          <w:ilvl w:val="0"/>
          <w:numId w:val="1"/>
        </w:num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 xml:space="preserve">Potential respondents will be sent </w:t>
      </w:r>
      <w:r w:rsidRPr="00F375EC">
        <w:rPr>
          <w:rFonts w:ascii="Times New Roman" w:hAnsi="Times New Roman" w:cs="Times New Roman"/>
          <w:b w:val="0"/>
          <w:color w:val="auto"/>
        </w:rPr>
        <w:t xml:space="preserve">a pre-notification email to inform them of the </w:t>
      </w:r>
      <w:r>
        <w:rPr>
          <w:rFonts w:ascii="Times New Roman" w:hAnsi="Times New Roman" w:cs="Times New Roman"/>
          <w:b w:val="0"/>
          <w:color w:val="auto"/>
        </w:rPr>
        <w:t>exact timing of the survey</w:t>
      </w:r>
      <w:r w:rsidRPr="00F375EC">
        <w:rPr>
          <w:rFonts w:ascii="Times New Roman" w:hAnsi="Times New Roman" w:cs="Times New Roman"/>
          <w:b w:val="0"/>
          <w:color w:val="auto"/>
        </w:rPr>
        <w:t>.</w:t>
      </w:r>
    </w:p>
    <w:p w:rsidR="00C4740A" w:rsidRPr="00F375EC" w:rsidRDefault="00C4740A" w:rsidP="00C4740A">
      <w:pPr>
        <w:pStyle w:val="ListParagraph"/>
        <w:numPr>
          <w:ilvl w:val="0"/>
          <w:numId w:val="1"/>
        </w:num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P</w:t>
      </w:r>
      <w:r w:rsidRPr="00F375EC">
        <w:rPr>
          <w:rFonts w:ascii="Times New Roman" w:hAnsi="Times New Roman" w:cs="Times New Roman"/>
          <w:b w:val="0"/>
          <w:color w:val="auto"/>
        </w:rPr>
        <w:t xml:space="preserve">otential respondents </w:t>
      </w:r>
      <w:r>
        <w:rPr>
          <w:rFonts w:ascii="Times New Roman" w:hAnsi="Times New Roman" w:cs="Times New Roman"/>
          <w:b w:val="0"/>
          <w:color w:val="auto"/>
        </w:rPr>
        <w:t xml:space="preserve">will be sent the electronic version of the survey via </w:t>
      </w:r>
      <w:r w:rsidRPr="00F375EC">
        <w:rPr>
          <w:rFonts w:ascii="Times New Roman" w:hAnsi="Times New Roman" w:cs="Times New Roman"/>
          <w:b w:val="0"/>
          <w:color w:val="auto"/>
        </w:rPr>
        <w:t>email 3-4 days after the pre-notification email.</w:t>
      </w:r>
    </w:p>
    <w:p w:rsidR="00C4740A" w:rsidRDefault="00C4740A" w:rsidP="00C4740A">
      <w:pPr>
        <w:pStyle w:val="ListParagraph"/>
        <w:numPr>
          <w:ilvl w:val="0"/>
          <w:numId w:val="1"/>
        </w:num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 xml:space="preserve">NOAA </w:t>
      </w:r>
      <w:r w:rsidRPr="00F375EC">
        <w:rPr>
          <w:rFonts w:ascii="Times New Roman" w:hAnsi="Times New Roman" w:cs="Times New Roman"/>
          <w:b w:val="0"/>
          <w:color w:val="auto"/>
        </w:rPr>
        <w:t>will send 2 reminders to non-responders one and two weeks following the email with the survey link.</w:t>
      </w:r>
    </w:p>
    <w:p w:rsidR="00C4740A" w:rsidRPr="00F375EC" w:rsidRDefault="00C4740A" w:rsidP="00C4740A">
      <w:pPr>
        <w:pStyle w:val="ListParagraph"/>
        <w:numPr>
          <w:ilvl w:val="0"/>
          <w:numId w:val="1"/>
        </w:num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NOAA will provide contact information on the survey email and on the survey itself to its contactors assisting with this work to allow panel members to ask questions and obtain clarifying information in a timely manner.</w:t>
      </w:r>
    </w:p>
    <w:p w:rsidR="00C4740A" w:rsidRDefault="00C4740A" w:rsidP="00C4740A">
      <w:pPr>
        <w:rPr>
          <w:b/>
          <w:bCs/>
        </w:rPr>
      </w:pPr>
    </w:p>
    <w:p w:rsidR="00C4740A" w:rsidRDefault="00C4740A" w:rsidP="00C4740A">
      <w:pPr>
        <w:rPr>
          <w:b/>
          <w:bCs/>
        </w:rPr>
      </w:pPr>
      <w:r>
        <w:rPr>
          <w:bCs/>
        </w:rPr>
        <w:lastRenderedPageBreak/>
        <w:t>The survey will be administered to the full sample of tourism-related experts, and, therefore, no statistical methods will be used.</w:t>
      </w:r>
    </w:p>
    <w:p w:rsidR="00C4740A" w:rsidRDefault="00C4740A" w:rsidP="00C474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C4740A" w:rsidRDefault="00C4740A" w:rsidP="00C474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b/>
          <w:bCs/>
          <w:szCs w:val="24"/>
        </w:rPr>
        <w:t>4.  Describe any tests of procedures or methods to be undertaken. Tests are encouraged as effective means to refine collections, but if ten or more test respondents are involved OMB must give prior approval.</w:t>
      </w:r>
    </w:p>
    <w:p w:rsidR="00C4740A" w:rsidRDefault="00C4740A" w:rsidP="00C474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C4740A" w:rsidRPr="00085420" w:rsidRDefault="00C4740A" w:rsidP="00C4740A">
      <w:pPr>
        <w:rPr>
          <w:bCs/>
        </w:rPr>
      </w:pPr>
      <w:r w:rsidRPr="00085420">
        <w:t xml:space="preserve">No tests will be conducted. However, </w:t>
      </w:r>
      <w:r>
        <w:t>NOAA</w:t>
      </w:r>
      <w:r w:rsidRPr="00085420">
        <w:t xml:space="preserve"> CSC consulted with ERG on the development of the survey instrument. ERG has significant experience assessing </w:t>
      </w:r>
      <w:r>
        <w:t>stakeholder needs and perspectives in conjunction with</w:t>
      </w:r>
      <w:r w:rsidRPr="00085420">
        <w:t xml:space="preserve"> Federal agenc</w:t>
      </w:r>
      <w:r>
        <w:t>y</w:t>
      </w:r>
      <w:r w:rsidRPr="00085420">
        <w:t xml:space="preserve"> </w:t>
      </w:r>
      <w:r>
        <w:t xml:space="preserve">research </w:t>
      </w:r>
      <w:r w:rsidRPr="00085420">
        <w:t>through detailed interviews, focus groups, stakeholder engagement, and surveys that focus on customer satisfaction with services. They calculated average time to respond to the draft survey.</w:t>
      </w:r>
    </w:p>
    <w:p w:rsidR="00C4740A" w:rsidRDefault="00C4740A" w:rsidP="00C474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C4740A" w:rsidRDefault="00C4740A" w:rsidP="00C474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b/>
          <w:bCs/>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C4740A" w:rsidRDefault="00C4740A" w:rsidP="00C4740A">
      <w:pPr>
        <w:rPr>
          <w:i/>
          <w:iCs/>
          <w:szCs w:val="24"/>
        </w:rPr>
      </w:pPr>
    </w:p>
    <w:p w:rsidR="005C620E" w:rsidRDefault="00C4740A" w:rsidP="00C4740A">
      <w:r>
        <w:t xml:space="preserve">NOAA CSC </w:t>
      </w:r>
      <w:r w:rsidRPr="00714823">
        <w:t>has contracted with Eastern Research Group, Inc. (ERG) of Lexington, MA t</w:t>
      </w:r>
      <w:r>
        <w:t xml:space="preserve">o design the survey instrument and </w:t>
      </w:r>
      <w:r w:rsidRPr="00714823">
        <w:t xml:space="preserve">implement the survey. </w:t>
      </w:r>
    </w:p>
    <w:p w:rsidR="005C620E" w:rsidRDefault="005C620E" w:rsidP="00C4740A"/>
    <w:p w:rsidR="005C620E" w:rsidRDefault="00C4740A" w:rsidP="00C4740A">
      <w:r>
        <w:t xml:space="preserve">NOAA CSC’s lead for this project is Chris Ellis (843-740-1195; </w:t>
      </w:r>
      <w:hyperlink r:id="rId7" w:history="1">
        <w:r w:rsidRPr="00C71DA7">
          <w:rPr>
            <w:rStyle w:val="Hyperlink"/>
          </w:rPr>
          <w:t>Chris.Ellis@noaa.gov</w:t>
        </w:r>
      </w:hyperlink>
      <w:r>
        <w:t xml:space="preserve">). </w:t>
      </w:r>
    </w:p>
    <w:p w:rsidR="005C620E" w:rsidRDefault="005C620E" w:rsidP="00C4740A"/>
    <w:p w:rsidR="00C4740A" w:rsidRPr="00660AD4" w:rsidRDefault="00C4740A" w:rsidP="00C4740A">
      <w:pPr>
        <w:rPr>
          <w:b/>
        </w:rPr>
      </w:pPr>
      <w:bookmarkStart w:id="1" w:name="_GoBack"/>
      <w:bookmarkEnd w:id="1"/>
      <w:r w:rsidRPr="00714823">
        <w:t xml:space="preserve">ERG’s project manager </w:t>
      </w:r>
      <w:r>
        <w:t xml:space="preserve">and task lead for survey development is </w:t>
      </w:r>
      <w:r w:rsidRPr="00714823">
        <w:t xml:space="preserve">Dr. Lou Nadeau (781-674-7316; </w:t>
      </w:r>
      <w:hyperlink r:id="rId8" w:history="1">
        <w:r w:rsidRPr="009A5332">
          <w:rPr>
            <w:rStyle w:val="Hyperlink"/>
          </w:rPr>
          <w:t>lou.nadeau@erg.com</w:t>
        </w:r>
      </w:hyperlink>
      <w:r>
        <w:t>).</w:t>
      </w:r>
    </w:p>
    <w:p w:rsidR="00C4740A" w:rsidRDefault="00C4740A" w:rsidP="00C4740A">
      <w:pPr>
        <w:rPr>
          <w:i/>
          <w:iCs/>
          <w:szCs w:val="24"/>
        </w:rPr>
      </w:pPr>
    </w:p>
    <w:p w:rsidR="005725F8" w:rsidRDefault="005C620E"/>
    <w:sectPr w:rsidR="005725F8" w:rsidSect="00C4740A">
      <w:footnotePr>
        <w:numRestart w:val="eachSect"/>
      </w:footnotePr>
      <w:endnotePr>
        <w:numFmt w:val="decimal"/>
      </w:endnotePr>
      <w:pgSz w:w="12240" w:h="15840"/>
      <w:pgMar w:top="144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TUR">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81159"/>
    <w:multiLevelType w:val="hybridMultilevel"/>
    <w:tmpl w:val="56462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defaultTabStop w:val="720"/>
  <w:characterSpacingControl w:val="doNotCompress"/>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40A"/>
    <w:rsid w:val="002666F4"/>
    <w:rsid w:val="005C620E"/>
    <w:rsid w:val="00607F49"/>
    <w:rsid w:val="007C6674"/>
    <w:rsid w:val="00C4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40A"/>
    <w:pPr>
      <w:widowControl w:val="0"/>
      <w:autoSpaceDE w:val="0"/>
      <w:autoSpaceDN w:val="0"/>
      <w:adjustRightInd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4740A"/>
    <w:rPr>
      <w:color w:val="0000FF"/>
      <w:u w:val="single"/>
    </w:rPr>
  </w:style>
  <w:style w:type="paragraph" w:styleId="Caption">
    <w:name w:val="caption"/>
    <w:basedOn w:val="Normal"/>
    <w:next w:val="Normal"/>
    <w:unhideWhenUsed/>
    <w:qFormat/>
    <w:rsid w:val="00C4740A"/>
    <w:rPr>
      <w:b/>
      <w:bCs/>
      <w:sz w:val="20"/>
    </w:rPr>
  </w:style>
  <w:style w:type="paragraph" w:styleId="ListParagraph">
    <w:name w:val="List Paragraph"/>
    <w:basedOn w:val="Normal"/>
    <w:uiPriority w:val="34"/>
    <w:qFormat/>
    <w:rsid w:val="00C4740A"/>
    <w:pPr>
      <w:widowControl/>
      <w:autoSpaceDE/>
      <w:autoSpaceDN/>
      <w:adjustRightInd/>
      <w:ind w:left="720"/>
      <w:contextualSpacing/>
    </w:pPr>
    <w:rPr>
      <w:rFonts w:ascii="Arial" w:hAnsi="Arial" w:cs="Arial"/>
      <w:b/>
      <w:color w:val="000000"/>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40A"/>
    <w:pPr>
      <w:widowControl w:val="0"/>
      <w:autoSpaceDE w:val="0"/>
      <w:autoSpaceDN w:val="0"/>
      <w:adjustRightInd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4740A"/>
    <w:rPr>
      <w:color w:val="0000FF"/>
      <w:u w:val="single"/>
    </w:rPr>
  </w:style>
  <w:style w:type="paragraph" w:styleId="Caption">
    <w:name w:val="caption"/>
    <w:basedOn w:val="Normal"/>
    <w:next w:val="Normal"/>
    <w:unhideWhenUsed/>
    <w:qFormat/>
    <w:rsid w:val="00C4740A"/>
    <w:rPr>
      <w:b/>
      <w:bCs/>
      <w:sz w:val="20"/>
    </w:rPr>
  </w:style>
  <w:style w:type="paragraph" w:styleId="ListParagraph">
    <w:name w:val="List Paragraph"/>
    <w:basedOn w:val="Normal"/>
    <w:uiPriority w:val="34"/>
    <w:qFormat/>
    <w:rsid w:val="00C4740A"/>
    <w:pPr>
      <w:widowControl/>
      <w:autoSpaceDE/>
      <w:autoSpaceDN/>
      <w:adjustRightInd/>
      <w:ind w:left="720"/>
      <w:contextualSpacing/>
    </w:pPr>
    <w:rPr>
      <w:rFonts w:ascii="Arial" w:hAnsi="Arial" w:cs="Arial"/>
      <w:b/>
      <w:color w:val="00000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u.nadeau@erg.com" TargetMode="External"/><Relationship Id="rId3" Type="http://schemas.openxmlformats.org/officeDocument/2006/relationships/styles" Target="styles.xml"/><Relationship Id="rId7" Type="http://schemas.openxmlformats.org/officeDocument/2006/relationships/hyperlink" Target="mailto:Chris.Ellis@noa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6C2E4-3438-4ED6-B4C2-A3C63BE7B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1037</Words>
  <Characters>5916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6940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3</cp:revision>
  <dcterms:created xsi:type="dcterms:W3CDTF">2014-03-13T16:45:00Z</dcterms:created>
  <dcterms:modified xsi:type="dcterms:W3CDTF">2014-04-03T13:55:00Z</dcterms:modified>
</cp:coreProperties>
</file>