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Pr="005D1E37" w:rsidRDefault="0073473D" w:rsidP="0073473D">
      <w:pPr>
        <w:jc w:val="center"/>
        <w:rPr>
          <w:b/>
          <w:sz w:val="28"/>
          <w:szCs w:val="28"/>
        </w:rPr>
      </w:pPr>
      <w:r w:rsidRPr="005D1E37">
        <w:rPr>
          <w:b/>
          <w:sz w:val="28"/>
          <w:szCs w:val="28"/>
        </w:rPr>
        <w:t>Supporting Statement</w:t>
      </w:r>
    </w:p>
    <w:p w:rsidR="002A65AB" w:rsidRPr="005D1E37" w:rsidRDefault="00D52D3C" w:rsidP="0073473D">
      <w:pPr>
        <w:jc w:val="center"/>
        <w:rPr>
          <w:b/>
          <w:sz w:val="28"/>
          <w:szCs w:val="28"/>
        </w:rPr>
      </w:pPr>
      <w:r w:rsidRPr="005D1E37">
        <w:rPr>
          <w:b/>
          <w:sz w:val="28"/>
          <w:szCs w:val="28"/>
        </w:rPr>
        <w:t>P</w:t>
      </w:r>
      <w:r w:rsidR="00953532" w:rsidRPr="005D1E37">
        <w:rPr>
          <w:b/>
          <w:sz w:val="28"/>
          <w:szCs w:val="28"/>
        </w:rPr>
        <w:t>ine Shoot Beetle Host Material f</w:t>
      </w:r>
      <w:r w:rsidRPr="005D1E37">
        <w:rPr>
          <w:b/>
          <w:sz w:val="28"/>
          <w:szCs w:val="28"/>
        </w:rPr>
        <w:t>rom Canada</w:t>
      </w:r>
    </w:p>
    <w:p w:rsidR="00D52D3C" w:rsidRPr="005D1E37" w:rsidRDefault="00707184" w:rsidP="0073473D">
      <w:pPr>
        <w:jc w:val="center"/>
        <w:rPr>
          <w:b/>
          <w:sz w:val="28"/>
          <w:szCs w:val="28"/>
        </w:rPr>
      </w:pPr>
      <w:r w:rsidRPr="005D1E37">
        <w:rPr>
          <w:b/>
          <w:sz w:val="28"/>
          <w:szCs w:val="28"/>
        </w:rPr>
        <w:t>0579-0257</w:t>
      </w:r>
    </w:p>
    <w:p w:rsidR="00D52D3C" w:rsidRPr="0054036E" w:rsidRDefault="00D52D3C" w:rsidP="0073473D">
      <w:pPr>
        <w:jc w:val="center"/>
      </w:pPr>
    </w:p>
    <w:p w:rsidR="00646559" w:rsidRDefault="003F50FC" w:rsidP="003F50FC">
      <w:pPr>
        <w:jc w:val="right"/>
      </w:pPr>
      <w:r>
        <w:t>May 6, 2014</w:t>
      </w:r>
    </w:p>
    <w:p w:rsidR="009B564F" w:rsidRDefault="009B564F"/>
    <w:p w:rsidR="0054036E" w:rsidRDefault="00646559">
      <w:pPr>
        <w:rPr>
          <w:b/>
        </w:rPr>
      </w:pPr>
      <w:r w:rsidRPr="00646559">
        <w:rPr>
          <w:b/>
        </w:rPr>
        <w:t>A.  J</w:t>
      </w:r>
      <w:r w:rsidR="0054036E">
        <w:rPr>
          <w:b/>
        </w:rPr>
        <w:t>USTIFICATION</w:t>
      </w:r>
      <w:r w:rsidR="0054036E">
        <w:rPr>
          <w:b/>
        </w:rPr>
        <w:tab/>
      </w:r>
      <w:r w:rsidR="0054036E">
        <w:rPr>
          <w:b/>
        </w:rPr>
        <w:tab/>
      </w:r>
      <w:r w:rsidR="0054036E">
        <w:rPr>
          <w:b/>
        </w:rPr>
        <w:tab/>
      </w:r>
      <w:r w:rsidR="0054036E">
        <w:rPr>
          <w:b/>
        </w:rPr>
        <w:tab/>
      </w:r>
      <w:r w:rsidR="0054036E">
        <w:rPr>
          <w:b/>
        </w:rPr>
        <w:tab/>
      </w:r>
      <w:r w:rsidR="0054036E">
        <w:rPr>
          <w:b/>
        </w:rPr>
        <w:tab/>
        <w:t xml:space="preserve">      </w:t>
      </w:r>
      <w:r w:rsidR="003A229D">
        <w:rPr>
          <w:b/>
        </w:rPr>
        <w:tab/>
      </w:r>
    </w:p>
    <w:p w:rsidR="003A229D" w:rsidRDefault="003A229D">
      <w:pPr>
        <w:rPr>
          <w:b/>
        </w:rPr>
      </w:pP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86721F" w:rsidRDefault="0086721F" w:rsidP="0086721F">
      <w:r>
        <w:t xml:space="preserve">The United States Department of Agriculture (USDA) is responsible for preventing plant </w:t>
      </w:r>
      <w:r w:rsidR="00BE4A01">
        <w:t>d</w:t>
      </w:r>
      <w:r>
        <w:t xml:space="preserve">iseases or insect pests from entering the United States, preventing the spread of pests and noxious weeds not widely distributed in the United States, and eradicating those imported pests when eradication is feasible.  </w:t>
      </w:r>
    </w:p>
    <w:p w:rsidR="0086721F" w:rsidRDefault="0086721F" w:rsidP="0086721F"/>
    <w:p w:rsidR="0086721F" w:rsidRDefault="0086721F" w:rsidP="0086721F">
      <w:r>
        <w:t xml:space="preserve">Under the Plant Protection Act (7 U.S.C. 7701 – 7772), the Secretary of Agriculture is </w:t>
      </w:r>
      <w:r w:rsidR="00BE4A01">
        <w:t>a</w:t>
      </w:r>
      <w:r>
        <w:t>uthorized to prohibit or restrict the importation, entry, or movement of plants and plant pests to prevent the introduction of plant pests into the United States or their dissemination within the United States.</w:t>
      </w:r>
    </w:p>
    <w:p w:rsidR="0086721F" w:rsidRDefault="0086721F" w:rsidP="0086721F"/>
    <w:p w:rsidR="006241D5" w:rsidRDefault="006241D5">
      <w:proofErr w:type="gramStart"/>
      <w:r>
        <w:t>APHIS‘ regulations</w:t>
      </w:r>
      <w:proofErr w:type="gramEnd"/>
      <w:r>
        <w:t xml:space="preserve"> in 7 CFR part 319 prohibit or restrict the importation of certain plants  and plant products into the United States to prevent the introduction of plant pests.  Subpart-Nursery Stock, Plants, Roots, Bulbs, Seeds, and Other Plant Products (7 CFR 319.37) through 319.37-14) restricts, among other things, the importation of living plants, plant parts, and seeds for propagation; and Subpart-Logs, Lumber, and Other Unmanufactured Wood Articles (7 CFR 319.40-1 through 319.40-11) governs the importation of various logs, lumber, and other unmanufactured wood products into the United States.  The regulations in both subparts help prevent the introduction and spread of pine shoot beetle, a pest of pine trees, into </w:t>
      </w:r>
      <w:proofErr w:type="spellStart"/>
      <w:r>
        <w:t>noninfested</w:t>
      </w:r>
      <w:proofErr w:type="spellEnd"/>
      <w:r>
        <w:t xml:space="preserve"> areas of the United States and contain several information collection requirements, including additional declarations on certificates and </w:t>
      </w:r>
      <w:proofErr w:type="spellStart"/>
      <w:r>
        <w:t>phytosanitary</w:t>
      </w:r>
      <w:proofErr w:type="spellEnd"/>
      <w:r>
        <w:t xml:space="preserve"> certificates, written statements of origin, and compliance agreements.</w:t>
      </w:r>
    </w:p>
    <w:p w:rsidR="006241D5" w:rsidRDefault="006241D5"/>
    <w:p w:rsidR="006241D5" w:rsidRDefault="006241D5">
      <w:r>
        <w:t>APHIS</w:t>
      </w:r>
      <w:r w:rsidR="00651175">
        <w:t>’</w:t>
      </w:r>
      <w:r>
        <w:t xml:space="preserve"> foreign quarantine regulations restrict the importation of pine shoot beetle (PSB) host material into the United States from Canada.  This action was necessary to prevent the introduction and spread of PSB into </w:t>
      </w:r>
      <w:proofErr w:type="spellStart"/>
      <w:r>
        <w:t>noninfested</w:t>
      </w:r>
      <w:proofErr w:type="spellEnd"/>
      <w:r>
        <w:t xml:space="preserve"> areas of the United States.</w:t>
      </w:r>
    </w:p>
    <w:p w:rsidR="006241D5" w:rsidRDefault="006241D5"/>
    <w:p w:rsidR="0073087D" w:rsidRDefault="006241D5">
      <w:r>
        <w:t>PSB (</w:t>
      </w:r>
      <w:proofErr w:type="spellStart"/>
      <w:r>
        <w:t>tomicuc</w:t>
      </w:r>
      <w:proofErr w:type="spellEnd"/>
      <w:r>
        <w:t xml:space="preserve"> </w:t>
      </w:r>
      <w:proofErr w:type="spellStart"/>
      <w:r>
        <w:t>piniperda</w:t>
      </w:r>
      <w:proofErr w:type="spellEnd"/>
      <w:r>
        <w:t xml:space="preserve">) is a pest of pine trees.  It can cause damage in weak and dying trees, where reproductive and immature stages of PSB occur, and in the new growth of healthy trees.  During “maturation feeding,” young beetles tunnel into the center of pine shoots (usually in the current year’s growth), causing stunted and distorted growth in host </w:t>
      </w:r>
      <w:r w:rsidR="00360E28">
        <w:t xml:space="preserve">trees.  PSB also acts as a vector of several diseases of pine trees.  Adult PSB can fly at least 1 kilometer.  In addition, infested trees and pine products are often transported long distances, which can result in the establishment of PSB populations far from the location of the original host tree.  PSB can damage urban ornamental trees and can cause economic losses to the timber, Christmas tree, and nursery industries. </w:t>
      </w:r>
      <w:r>
        <w:t xml:space="preserve"> </w:t>
      </w:r>
    </w:p>
    <w:p w:rsidR="00F40B04" w:rsidRDefault="00F40B04"/>
    <w:p w:rsidR="00646559" w:rsidRDefault="00646559">
      <w:pPr>
        <w:rPr>
          <w:b/>
        </w:rPr>
      </w:pPr>
      <w:r w:rsidRPr="00646559">
        <w:rPr>
          <w:b/>
        </w:rPr>
        <w:lastRenderedPageBreak/>
        <w:t xml:space="preserve">2.  Indicate how, by whom, and for what </w:t>
      </w:r>
      <w:bookmarkStart w:id="0" w:name="_GoBack"/>
      <w:bookmarkEnd w:id="0"/>
      <w:r w:rsidRPr="00646559">
        <w:rPr>
          <w:b/>
        </w:rPr>
        <w:t>purpose the information is to be used.  Except for a new collection, indicate the actual use the agency has made of the information received from the current collection.</w:t>
      </w:r>
    </w:p>
    <w:p w:rsidR="0043656D" w:rsidRDefault="0043656D">
      <w:pPr>
        <w:rPr>
          <w:b/>
        </w:rPr>
      </w:pPr>
    </w:p>
    <w:p w:rsidR="00651175" w:rsidRDefault="00651175" w:rsidP="00651175">
      <w:pPr>
        <w:rPr>
          <w:b/>
        </w:rPr>
      </w:pPr>
      <w:r w:rsidRPr="0079100B">
        <w:t>APHIS uses the following information activities</w:t>
      </w:r>
      <w:r>
        <w:t xml:space="preserve"> to</w:t>
      </w:r>
      <w:r w:rsidRPr="0079100B">
        <w:rPr>
          <w:rStyle w:val="InitialStyle"/>
        </w:rPr>
        <w:t xml:space="preserve"> </w:t>
      </w:r>
      <w:r>
        <w:t>restrict th</w:t>
      </w:r>
      <w:r w:rsidR="00BE4A01">
        <w:t>e importation of PSB host material into the United States from Canada</w:t>
      </w:r>
    </w:p>
    <w:p w:rsidR="00651175" w:rsidRDefault="00651175">
      <w:pPr>
        <w:rPr>
          <w:b/>
        </w:rPr>
      </w:pPr>
    </w:p>
    <w:p w:rsidR="00BE4A01" w:rsidRDefault="00ED6517" w:rsidP="00ED6517">
      <w:r w:rsidRPr="00FC6185">
        <w:rPr>
          <w:b/>
          <w:u w:val="single"/>
        </w:rPr>
        <w:t xml:space="preserve">Canadian </w:t>
      </w:r>
      <w:proofErr w:type="spellStart"/>
      <w:r w:rsidRPr="00FC6185">
        <w:rPr>
          <w:b/>
          <w:u w:val="single"/>
        </w:rPr>
        <w:t>Phytosanitary</w:t>
      </w:r>
      <w:proofErr w:type="spellEnd"/>
      <w:r w:rsidRPr="00FC6185">
        <w:rPr>
          <w:b/>
          <w:u w:val="single"/>
        </w:rPr>
        <w:t xml:space="preserve"> Certificate</w:t>
      </w:r>
      <w:r>
        <w:rPr>
          <w:b/>
          <w:u w:val="single"/>
        </w:rPr>
        <w:t xml:space="preserve"> with an </w:t>
      </w:r>
      <w:r w:rsidRPr="00ED6517">
        <w:rPr>
          <w:b/>
          <w:u w:val="single"/>
        </w:rPr>
        <w:t xml:space="preserve">Additional </w:t>
      </w:r>
      <w:proofErr w:type="gramStart"/>
      <w:r w:rsidRPr="00ED6517">
        <w:rPr>
          <w:b/>
          <w:u w:val="single"/>
        </w:rPr>
        <w:t>Declaration</w:t>
      </w:r>
      <w:r w:rsidRPr="00ED6517">
        <w:rPr>
          <w:u w:val="single"/>
        </w:rPr>
        <w:t xml:space="preserve">  </w:t>
      </w:r>
      <w:r w:rsidRPr="00ED6517">
        <w:rPr>
          <w:b/>
          <w:u w:val="single"/>
        </w:rPr>
        <w:t>(</w:t>
      </w:r>
      <w:proofErr w:type="gramEnd"/>
      <w:r w:rsidRPr="00ED6517">
        <w:rPr>
          <w:b/>
          <w:u w:val="single"/>
        </w:rPr>
        <w:t>foreign</w:t>
      </w:r>
      <w:r>
        <w:rPr>
          <w:b/>
          <w:u w:val="single"/>
        </w:rPr>
        <w:t xml:space="preserve"> federal government</w:t>
      </w:r>
      <w:r w:rsidRPr="00ED6517">
        <w:rPr>
          <w:u w:val="single"/>
        </w:rPr>
        <w:t>)</w:t>
      </w:r>
      <w:r>
        <w:t xml:space="preserve"> </w:t>
      </w:r>
    </w:p>
    <w:p w:rsidR="00ED6517" w:rsidRDefault="00ED6517" w:rsidP="00ED6517">
      <w:r>
        <w:t xml:space="preserve">The accompanying </w:t>
      </w:r>
      <w:proofErr w:type="spellStart"/>
      <w:r>
        <w:t>phytosanitary</w:t>
      </w:r>
      <w:proofErr w:type="spellEnd"/>
      <w:r>
        <w:t xml:space="preserve"> certificate with an additional </w:t>
      </w:r>
      <w:r w:rsidR="00BE4A01">
        <w:t>declaration must</w:t>
      </w:r>
      <w:r>
        <w:t xml:space="preserve"> specify the Canadian province where the restricted articles originated, and, if applicable, the </w:t>
      </w:r>
      <w:r w:rsidR="00F0371A">
        <w:t>p</w:t>
      </w:r>
      <w:r>
        <w:t>rovince(s) the restricted articles were moved through if different from the province of origin and the U</w:t>
      </w:r>
      <w:r w:rsidR="005F419A">
        <w:t>nited States</w:t>
      </w:r>
      <w:r>
        <w:t xml:space="preserve"> destination</w:t>
      </w:r>
      <w:r w:rsidR="00F0371A">
        <w:t>.  T</w:t>
      </w:r>
      <w:r>
        <w:t xml:space="preserve">he </w:t>
      </w:r>
      <w:r w:rsidR="00F0371A">
        <w:t xml:space="preserve">province(s) </w:t>
      </w:r>
      <w:r>
        <w:t>must be plainly indicated on the restricted articles, or</w:t>
      </w:r>
      <w:r w:rsidR="00F0371A">
        <w:t>,</w:t>
      </w:r>
      <w:r>
        <w:t xml:space="preserve"> if applicable</w:t>
      </w:r>
      <w:r w:rsidR="00F0371A">
        <w:t>,</w:t>
      </w:r>
      <w:r>
        <w:t xml:space="preserve"> on the outer covering, packaging, or container.</w:t>
      </w:r>
    </w:p>
    <w:p w:rsidR="00ED6517" w:rsidRDefault="00ED6517">
      <w:pPr>
        <w:rPr>
          <w:b/>
          <w:u w:val="single"/>
        </w:rPr>
      </w:pPr>
    </w:p>
    <w:p w:rsidR="00BE4A01" w:rsidRDefault="00AF0DD6" w:rsidP="00AF0DD6">
      <w:r w:rsidRPr="00442EE3">
        <w:rPr>
          <w:b/>
          <w:u w:val="single"/>
        </w:rPr>
        <w:t xml:space="preserve">Importer Document </w:t>
      </w:r>
      <w:r w:rsidR="001878A9">
        <w:rPr>
          <w:b/>
          <w:u w:val="single"/>
        </w:rPr>
        <w:t xml:space="preserve">(written statement) </w:t>
      </w:r>
      <w:r w:rsidRPr="00442EE3">
        <w:rPr>
          <w:b/>
          <w:u w:val="single"/>
        </w:rPr>
        <w:t>(business)</w:t>
      </w:r>
      <w:r w:rsidRPr="00442EE3">
        <w:t xml:space="preserve"> </w:t>
      </w:r>
    </w:p>
    <w:p w:rsidR="00AF0DD6" w:rsidRPr="00442EE3" w:rsidRDefault="00AF0DD6" w:rsidP="00AF0DD6">
      <w:r w:rsidRPr="00442EE3">
        <w:t>Commercial shipments allowed in paragraph (a)(1) of this section are subject to the inspection and other requirements in §319.40-9 and must be accompanied by an importer document stating that they are derived from trees harvested in Canada adjacent to the United States border.</w:t>
      </w:r>
    </w:p>
    <w:p w:rsidR="00AF0DD6" w:rsidRPr="00442EE3" w:rsidRDefault="00AF0DD6" w:rsidP="00AF0DD6"/>
    <w:p w:rsidR="00AF0DD6" w:rsidRPr="00442EE3" w:rsidRDefault="00AF0DD6" w:rsidP="00AF0DD6">
      <w:r w:rsidRPr="00442EE3">
        <w:t>Noncommercial shipments allowed in paragraph (a)(1) of this section are subject to inspection and other requirements of §319.40-9 and must be accompanied by an importer document or oral declaration stating that they are derived from trees harvested in Canada adjacent to the United States border.</w:t>
      </w:r>
    </w:p>
    <w:p w:rsidR="00ED6517" w:rsidRDefault="00ED6517">
      <w:pPr>
        <w:rPr>
          <w:b/>
          <w:u w:val="single"/>
        </w:rPr>
      </w:pPr>
    </w:p>
    <w:p w:rsidR="00BE4A01" w:rsidRDefault="0043656D">
      <w:r w:rsidRPr="00FC6185">
        <w:rPr>
          <w:b/>
          <w:u w:val="single"/>
        </w:rPr>
        <w:t>Compliance Agreement</w:t>
      </w:r>
      <w:r w:rsidR="00FC6185" w:rsidRPr="00FC6185">
        <w:rPr>
          <w:b/>
          <w:u w:val="single"/>
        </w:rPr>
        <w:t xml:space="preserve"> (PPQ 519)</w:t>
      </w:r>
      <w:r w:rsidR="00ED6517">
        <w:rPr>
          <w:b/>
          <w:u w:val="single"/>
        </w:rPr>
        <w:t xml:space="preserve"> (business)</w:t>
      </w:r>
      <w:r w:rsidR="00FC6185">
        <w:t xml:space="preserve"> </w:t>
      </w:r>
    </w:p>
    <w:p w:rsidR="00521E0F" w:rsidRDefault="0086721F">
      <w:r>
        <w:t xml:space="preserve">The </w:t>
      </w:r>
      <w:r w:rsidR="0043656D">
        <w:t xml:space="preserve">Compliance </w:t>
      </w:r>
      <w:r>
        <w:t>A</w:t>
      </w:r>
      <w:r w:rsidR="0043656D">
        <w:t xml:space="preserve">greement </w:t>
      </w:r>
      <w:r>
        <w:t xml:space="preserve">is </w:t>
      </w:r>
      <w:r w:rsidR="0043656D">
        <w:t>provided for the convenience of persons who are involved in the growing, handling, or moving of regulated articles from quarantine</w:t>
      </w:r>
      <w:r w:rsidR="00EC5548">
        <w:t>d</w:t>
      </w:r>
      <w:r w:rsidR="0043656D">
        <w:t xml:space="preserve"> areas.  A person may enter into a compliance agreement when an inspector has determined that the person requesting the compliance agreement </w:t>
      </w:r>
      <w:r w:rsidR="00A010F8">
        <w:t xml:space="preserve">is knowledgeable regarding the requirements of the regulations and the person has agreed to comply with </w:t>
      </w:r>
      <w:r w:rsidR="00EC5548">
        <w:t xml:space="preserve">those </w:t>
      </w:r>
      <w:r w:rsidR="00A010F8">
        <w:t xml:space="preserve">requirements and the provisions of the compliance agreement.  </w:t>
      </w:r>
    </w:p>
    <w:p w:rsidR="003E25F5" w:rsidRDefault="003E25F5"/>
    <w:p w:rsidR="00677248" w:rsidRDefault="00677248"/>
    <w:p w:rsidR="00646559" w:rsidRDefault="00646559">
      <w:pPr>
        <w:rPr>
          <w:b/>
        </w:rPr>
      </w:pPr>
      <w:r>
        <w:rPr>
          <w:b/>
        </w:rPr>
        <w:t xml:space="preserve">3.  Describe whether, and to what extent, the collection of information involves the use of automated, electronic, mechanical, or other forms of information technology, e.g., </w:t>
      </w:r>
      <w:r w:rsidR="00BE4A01">
        <w:rPr>
          <w:b/>
        </w:rPr>
        <w:t>permitting electronic</w:t>
      </w:r>
      <w:r>
        <w:rPr>
          <w:b/>
        </w:rPr>
        <w:t xml:space="preserve"> submission of responses, and the basis for the decision for adopting this means of collection.  Also describe any consideration of using information technology to reduce burden.</w:t>
      </w:r>
    </w:p>
    <w:p w:rsidR="001E0DF5" w:rsidRDefault="001E0DF5">
      <w:pPr>
        <w:rPr>
          <w:b/>
        </w:rPr>
      </w:pPr>
    </w:p>
    <w:p w:rsidR="00942E97" w:rsidRDefault="00942E97">
      <w:r>
        <w:t>APHIS has no control or influence over when foreign countries will automate Canadian Phytosanitary Certificates.</w:t>
      </w:r>
    </w:p>
    <w:p w:rsidR="00942E97" w:rsidRDefault="00942E97"/>
    <w:p w:rsidR="00942E97" w:rsidRDefault="00942E97">
      <w:r>
        <w:t xml:space="preserve">Compliance Agreement (PPQ Form 519) </w:t>
      </w:r>
      <w:r w:rsidR="00C44169">
        <w:t>is</w:t>
      </w:r>
      <w:r>
        <w:t xml:space="preserve"> automated and posted at </w:t>
      </w:r>
      <w:hyperlink r:id="rId13" w:history="1">
        <w:r w:rsidR="00BE4A01" w:rsidRPr="00394A9F">
          <w:rPr>
            <w:rStyle w:val="Hyperlink"/>
          </w:rPr>
          <w:t>http://www.aphis.usda.gov/library/forms/pdf/ppq519.pdf</w:t>
        </w:r>
      </w:hyperlink>
      <w:r w:rsidR="00BE4A01">
        <w:t xml:space="preserve"> </w:t>
      </w:r>
    </w:p>
    <w:p w:rsidR="00C44169" w:rsidRDefault="00C44169"/>
    <w:p w:rsidR="00C44169" w:rsidRDefault="00C44169"/>
    <w:p w:rsidR="00BE4A01" w:rsidRDefault="00BE4A01">
      <w:pPr>
        <w:rPr>
          <w:b/>
        </w:rPr>
      </w:pPr>
    </w:p>
    <w:p w:rsidR="00646559" w:rsidRDefault="00646559">
      <w:pPr>
        <w:rPr>
          <w:b/>
        </w:rPr>
      </w:pPr>
      <w:r w:rsidRPr="00646559">
        <w:rPr>
          <w:b/>
        </w:rPr>
        <w:lastRenderedPageBreak/>
        <w:t>4.  Describe efforts to identify duplication.  Show specifically why any similar information already available cannot be used or modified for use for the purpose described in item 2 above.</w:t>
      </w:r>
    </w:p>
    <w:p w:rsidR="00521E0F" w:rsidRDefault="00521E0F">
      <w:pPr>
        <w:rPr>
          <w:b/>
        </w:rPr>
      </w:pPr>
    </w:p>
    <w:p w:rsidR="00521E0F" w:rsidRDefault="008B0D13">
      <w:r>
        <w:t>The information APHIS</w:t>
      </w:r>
      <w:r w:rsidR="00521E0F">
        <w:t xml:space="preserve"> collect</w:t>
      </w:r>
      <w:r>
        <w:t>s is exclusive to its</w:t>
      </w:r>
      <w:r w:rsidR="00521E0F">
        <w:t xml:space="preserve"> mission to prevent the</w:t>
      </w:r>
      <w:r w:rsidR="00BC7836">
        <w:t xml:space="preserve"> introduction of plant pests</w:t>
      </w:r>
      <w:r w:rsidR="007075ED">
        <w:t xml:space="preserve"> and plant diseases</w:t>
      </w:r>
      <w:r w:rsidR="00521E0F">
        <w:t xml:space="preserve"> into the </w:t>
      </w:r>
      <w:smartTag w:uri="urn:schemas-microsoft-com:office:smarttags" w:element="country-region">
        <w:smartTag w:uri="urn:schemas-microsoft-com:office:smarttags" w:element="place">
          <w:r w:rsidR="00521E0F">
            <w:t>United States</w:t>
          </w:r>
        </w:smartTag>
      </w:smartTag>
      <w:r w:rsidR="00521E0F">
        <w:t>.  The information is not available from any other source.</w:t>
      </w:r>
    </w:p>
    <w:p w:rsidR="0054036E" w:rsidRPr="00521E0F" w:rsidRDefault="0054036E"/>
    <w:p w:rsidR="00646559" w:rsidRDefault="00646559">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521E0F" w:rsidRDefault="00521E0F">
      <w:pPr>
        <w:rPr>
          <w:b/>
        </w:rPr>
      </w:pPr>
    </w:p>
    <w:p w:rsidR="00B3098B" w:rsidRDefault="00521E0F">
      <w:r>
        <w:t xml:space="preserve">The information </w:t>
      </w:r>
      <w:r w:rsidR="008B0D13">
        <w:t>APHIS</w:t>
      </w:r>
      <w:r w:rsidR="00B3098B">
        <w:t xml:space="preserve"> collect</w:t>
      </w:r>
      <w:r w:rsidR="008B0D13">
        <w:t>s</w:t>
      </w:r>
      <w:r>
        <w:t xml:space="preserve"> is the minimum needed to protect the United States</w:t>
      </w:r>
      <w:r w:rsidR="009C452E">
        <w:t xml:space="preserve"> from the introduction of </w:t>
      </w:r>
      <w:r w:rsidR="0025651F">
        <w:t>PSB</w:t>
      </w:r>
      <w:r w:rsidR="00B3098B">
        <w:t xml:space="preserve"> and other plant diseases.</w:t>
      </w:r>
      <w:r w:rsidR="00BD0DEF">
        <w:t xml:space="preserve">  APHIS has determined 90 percent of the respondents are small entities.</w:t>
      </w:r>
    </w:p>
    <w:p w:rsidR="00C82C27" w:rsidRDefault="00C82C27"/>
    <w:p w:rsidR="0054036E" w:rsidRDefault="0054036E"/>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5768CB" w:rsidRDefault="005768CB">
      <w:pPr>
        <w:rPr>
          <w:b/>
        </w:rPr>
      </w:pPr>
    </w:p>
    <w:p w:rsidR="00CB674F" w:rsidRDefault="008B0D13">
      <w:r>
        <w:t>If APHIS</w:t>
      </w:r>
      <w:r w:rsidR="00496906">
        <w:t xml:space="preserve"> did not </w:t>
      </w:r>
      <w:r w:rsidR="007075ED">
        <w:t>collect this information</w:t>
      </w:r>
      <w:r w:rsidR="005768CB">
        <w:t xml:space="preserve"> </w:t>
      </w:r>
      <w:r w:rsidR="009C452E">
        <w:t>or</w:t>
      </w:r>
      <w:r>
        <w:t xml:space="preserve"> if APHIS </w:t>
      </w:r>
      <w:r w:rsidR="00496906">
        <w:t>collected this information</w:t>
      </w:r>
      <w:r w:rsidR="009C452E">
        <w:t xml:space="preserve"> less f</w:t>
      </w:r>
      <w:r w:rsidR="00496906">
        <w:t xml:space="preserve">requently, </w:t>
      </w:r>
      <w:r w:rsidR="00066622">
        <w:t>PSB</w:t>
      </w:r>
      <w:r w:rsidR="00496906">
        <w:t xml:space="preserve"> could</w:t>
      </w:r>
      <w:r w:rsidR="009C452E">
        <w:t xml:space="preserve"> damage urban ornamental trees and cause economic losses to the timber, Christmas tree</w:t>
      </w:r>
      <w:r w:rsidR="00953532">
        <w:t>s</w:t>
      </w:r>
      <w:r w:rsidR="009C452E">
        <w:t>, and nursery industries.</w:t>
      </w:r>
    </w:p>
    <w:p w:rsidR="0054036E" w:rsidRDefault="0054036E"/>
    <w:p w:rsidR="009C452E" w:rsidRDefault="009C452E">
      <w:pPr>
        <w:rPr>
          <w:b/>
        </w:rPr>
      </w:pPr>
    </w:p>
    <w:p w:rsidR="00CB674F" w:rsidRDefault="00CB674F">
      <w:pPr>
        <w:rPr>
          <w:b/>
        </w:rPr>
      </w:pPr>
      <w:r>
        <w:rPr>
          <w:b/>
        </w:rPr>
        <w:t>7.  Explain any special circumstances that require the collection to be conducted in a manner inconsistent with the general information collection guidelines in 5 CFR 1320.5.</w:t>
      </w:r>
    </w:p>
    <w:p w:rsidR="006A5F93" w:rsidRDefault="006A5F93">
      <w:pPr>
        <w:rPr>
          <w:b/>
        </w:rPr>
      </w:pPr>
    </w:p>
    <w:p w:rsidR="00567079" w:rsidRDefault="00567079" w:rsidP="00567079">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567079" w:rsidRDefault="00567079" w:rsidP="00567079">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567079" w:rsidRDefault="00567079" w:rsidP="00567079">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567079" w:rsidRDefault="00567079" w:rsidP="00567079">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567079" w:rsidRDefault="00567079" w:rsidP="00567079">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567079" w:rsidRDefault="00567079" w:rsidP="00567079">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567079" w:rsidRDefault="00567079" w:rsidP="00567079">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567079" w:rsidRPr="0054036E" w:rsidRDefault="00567079" w:rsidP="00567079">
      <w:pPr>
        <w:numPr>
          <w:ilvl w:val="0"/>
          <w:numId w:val="8"/>
        </w:numPr>
        <w:tabs>
          <w:tab w:val="clear" w:pos="360"/>
          <w:tab w:val="num" w:pos="648"/>
        </w:tabs>
        <w:spacing w:after="80"/>
        <w:ind w:left="1170" w:hanging="450"/>
        <w:rPr>
          <w:rFonts w:ascii="CG Times" w:hAnsi="CG Times"/>
        </w:rPr>
      </w:pPr>
      <w:r>
        <w:rPr>
          <w:b/>
        </w:rPr>
        <w:lastRenderedPageBreak/>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D1E37" w:rsidRDefault="005D1E37" w:rsidP="00173102">
      <w:pPr>
        <w:spacing w:after="80"/>
      </w:pPr>
    </w:p>
    <w:p w:rsidR="00173102" w:rsidRDefault="00173102" w:rsidP="00173102">
      <w:pPr>
        <w:spacing w:after="80"/>
      </w:pPr>
      <w:r>
        <w:t>There are no special circumstances associated with this information collection.</w:t>
      </w:r>
    </w:p>
    <w:p w:rsidR="00C82C27" w:rsidRDefault="00C82C27" w:rsidP="00173102">
      <w:pPr>
        <w:spacing w:after="80"/>
      </w:pPr>
    </w:p>
    <w:p w:rsidR="00CB674F" w:rsidRDefault="00CB674F">
      <w:pPr>
        <w:rPr>
          <w:b/>
        </w:rPr>
      </w:pPr>
      <w:r>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9D1C2F">
        <w:rPr>
          <w:b/>
        </w:rPr>
        <w:t>or reported</w:t>
      </w:r>
      <w:r>
        <w:rPr>
          <w:b/>
        </w:rPr>
        <w:t>.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8B2836" w:rsidRDefault="008B2836">
      <w:r>
        <w:t>The following individua</w:t>
      </w:r>
      <w:r w:rsidR="00BD0DEF">
        <w:t>ls were consulted during 201</w:t>
      </w:r>
      <w:r w:rsidR="00AF0DD6">
        <w:t>3</w:t>
      </w:r>
      <w:r>
        <w:t>:</w:t>
      </w:r>
    </w:p>
    <w:p w:rsidR="00BD0DEF" w:rsidRDefault="00BD0DEF"/>
    <w:p w:rsidR="00AF0DD6" w:rsidRPr="001B6DEC" w:rsidRDefault="00AF0DD6">
      <w:r w:rsidRPr="001B6DEC">
        <w:t>Oregon Association of Nurseries</w:t>
      </w:r>
    </w:p>
    <w:p w:rsidR="001B6DEC" w:rsidRPr="001B6DEC" w:rsidRDefault="00AF0DD6">
      <w:r w:rsidRPr="001B6DEC">
        <w:t xml:space="preserve">Matt </w:t>
      </w:r>
      <w:r w:rsidR="001B6DEC" w:rsidRPr="001B6DEC">
        <w:t>Gold</w:t>
      </w:r>
    </w:p>
    <w:p w:rsidR="00AF0DD6" w:rsidRPr="001B6DEC" w:rsidRDefault="001B6DEC">
      <w:pPr>
        <w:rPr>
          <w:rStyle w:val="Strong"/>
          <w:b w:val="0"/>
          <w:color w:val="333333"/>
        </w:rPr>
      </w:pPr>
      <w:r w:rsidRPr="001B6DEC">
        <w:rPr>
          <w:rStyle w:val="Strong"/>
          <w:b w:val="0"/>
          <w:color w:val="333333"/>
        </w:rPr>
        <w:t>President</w:t>
      </w:r>
    </w:p>
    <w:p w:rsidR="001B6DEC" w:rsidRDefault="001B6DEC">
      <w:pPr>
        <w:rPr>
          <w:color w:val="333333"/>
        </w:rPr>
      </w:pPr>
      <w:r w:rsidRPr="001B6DEC">
        <w:rPr>
          <w:color w:val="333333"/>
        </w:rPr>
        <w:t xml:space="preserve">29751 SW Town Center Loop W. </w:t>
      </w:r>
    </w:p>
    <w:p w:rsidR="001B6DEC" w:rsidRPr="001B6DEC" w:rsidRDefault="001B6DEC">
      <w:pPr>
        <w:rPr>
          <w:color w:val="333333"/>
        </w:rPr>
      </w:pPr>
      <w:r w:rsidRPr="001B6DEC">
        <w:rPr>
          <w:color w:val="333333"/>
        </w:rPr>
        <w:t>Wilsonville, OR 97070</w:t>
      </w:r>
    </w:p>
    <w:p w:rsidR="001B6DEC" w:rsidRPr="001B6DEC" w:rsidRDefault="001B6DEC">
      <w:r w:rsidRPr="001B6DEC">
        <w:rPr>
          <w:color w:val="333333"/>
        </w:rPr>
        <w:t xml:space="preserve">Phone: 800-342-6401 </w:t>
      </w:r>
    </w:p>
    <w:p w:rsidR="00BD0DEF" w:rsidRDefault="00BD0DEF"/>
    <w:p w:rsidR="0070448B" w:rsidRPr="001B6DEC" w:rsidRDefault="001B6DEC">
      <w:pPr>
        <w:rPr>
          <w:lang w:val="en"/>
        </w:rPr>
      </w:pPr>
      <w:r w:rsidRPr="001B6DEC">
        <w:rPr>
          <w:lang w:val="en"/>
        </w:rPr>
        <w:t>President: Bruce Wiseman</w:t>
      </w:r>
    </w:p>
    <w:p w:rsidR="001B6DEC" w:rsidRDefault="001B6DEC" w:rsidP="001B6DEC">
      <w:pPr>
        <w:rPr>
          <w:lang w:val="en"/>
        </w:rPr>
      </w:pPr>
      <w:r>
        <w:rPr>
          <w:lang w:val="en"/>
        </w:rPr>
        <w:t xml:space="preserve">Pacific Northwest Christmas </w:t>
      </w:r>
      <w:proofErr w:type="gramStart"/>
      <w:r>
        <w:rPr>
          <w:lang w:val="en"/>
        </w:rPr>
        <w:t>Tree</w:t>
      </w:r>
      <w:proofErr w:type="gramEnd"/>
      <w:r>
        <w:rPr>
          <w:lang w:val="en"/>
        </w:rPr>
        <w:t xml:space="preserve"> Association</w:t>
      </w:r>
      <w:r>
        <w:rPr>
          <w:lang w:val="en"/>
        </w:rPr>
        <w:br/>
        <w:t>P.O. Box 3366</w:t>
      </w:r>
      <w:r>
        <w:rPr>
          <w:lang w:val="en"/>
        </w:rPr>
        <w:br/>
        <w:t>Salem, Oregon 97302</w:t>
      </w:r>
    </w:p>
    <w:p w:rsidR="001B6DEC" w:rsidRDefault="001B6DEC" w:rsidP="001B6DEC">
      <w:pPr>
        <w:rPr>
          <w:lang w:val="en"/>
        </w:rPr>
      </w:pPr>
      <w:r>
        <w:rPr>
          <w:lang w:val="en"/>
        </w:rPr>
        <w:t>Tel: (503) 364-2942</w:t>
      </w:r>
    </w:p>
    <w:p w:rsidR="001B6DEC" w:rsidRDefault="001B6DEC"/>
    <w:p w:rsidR="001B6DEC" w:rsidRDefault="001B6DEC" w:rsidP="001B6DEC">
      <w:r>
        <w:t>Holden Wolfe</w:t>
      </w:r>
    </w:p>
    <w:p w:rsidR="001B6DEC" w:rsidRDefault="001B6DEC" w:rsidP="001B6DEC">
      <w:r>
        <w:t>Pine Valley Farms</w:t>
      </w:r>
    </w:p>
    <w:p w:rsidR="001B6DEC" w:rsidRDefault="001B6DEC" w:rsidP="001B6DEC">
      <w:r>
        <w:t>1150 Fannie Dorsey Road</w:t>
      </w:r>
    </w:p>
    <w:p w:rsidR="001B6DEC" w:rsidRDefault="001B6DEC" w:rsidP="001B6DEC">
      <w:proofErr w:type="spellStart"/>
      <w:r>
        <w:t>Sykeville</w:t>
      </w:r>
      <w:proofErr w:type="spellEnd"/>
      <w:r>
        <w:t>, MD  21784</w:t>
      </w:r>
    </w:p>
    <w:p w:rsidR="001B6DEC" w:rsidRDefault="001B6DEC" w:rsidP="001B6DEC">
      <w:r>
        <w:t>410-795-8314</w:t>
      </w:r>
    </w:p>
    <w:p w:rsidR="001B6DEC" w:rsidRDefault="001B6DEC"/>
    <w:p w:rsidR="00F74417" w:rsidRDefault="00F74417" w:rsidP="00F74417">
      <w:r w:rsidRPr="00751D42">
        <w:t xml:space="preserve">On Friday, </w:t>
      </w:r>
      <w:r>
        <w:t>May 16</w:t>
      </w:r>
      <w:r w:rsidRPr="00751D42">
        <w:t>, 201</w:t>
      </w:r>
      <w:r>
        <w:t>4</w:t>
      </w:r>
      <w:r w:rsidRPr="00751D42">
        <w:t xml:space="preserve">, pages </w:t>
      </w:r>
      <w:r>
        <w:rPr>
          <w:bCs/>
        </w:rPr>
        <w:t>28</w:t>
      </w:r>
      <w:r w:rsidRPr="00751D42">
        <w:rPr>
          <w:bCs/>
        </w:rPr>
        <w:t>4</w:t>
      </w:r>
      <w:r>
        <w:rPr>
          <w:bCs/>
        </w:rPr>
        <w:t>7</w:t>
      </w:r>
      <w:r>
        <w:rPr>
          <w:bCs/>
        </w:rPr>
        <w:t>6</w:t>
      </w:r>
      <w:r>
        <w:rPr>
          <w:bCs/>
        </w:rPr>
        <w:t xml:space="preserve"> </w:t>
      </w:r>
      <w:r w:rsidRPr="00751D42">
        <w:rPr>
          <w:rFonts w:eastAsiaTheme="minorHAnsi"/>
          <w:bCs/>
        </w:rPr>
        <w:t>-</w:t>
      </w:r>
      <w:r w:rsidRPr="00751D42">
        <w:rPr>
          <w:bCs/>
        </w:rPr>
        <w:t xml:space="preserve"> </w:t>
      </w:r>
      <w:r>
        <w:rPr>
          <w:bCs/>
        </w:rPr>
        <w:t>28</w:t>
      </w:r>
      <w:r w:rsidRPr="00751D42">
        <w:rPr>
          <w:bCs/>
        </w:rPr>
        <w:t>4</w:t>
      </w:r>
      <w:r>
        <w:rPr>
          <w:bCs/>
        </w:rPr>
        <w:t>7</w:t>
      </w:r>
      <w:r>
        <w:rPr>
          <w:bCs/>
        </w:rPr>
        <w:t>7</w:t>
      </w:r>
      <w:r w:rsidRPr="00751D42">
        <w:t xml:space="preserve">, APHIS published in the Federal Register, a </w:t>
      </w:r>
      <w:r w:rsidRPr="006F5BE0">
        <w:t>60-day notice seeking public comments on its plans to request a 3-year approval of this collection of information.  During that time</w:t>
      </w:r>
      <w:r>
        <w:t xml:space="preserve"> no comments were received.</w:t>
      </w:r>
    </w:p>
    <w:p w:rsidR="00F74417" w:rsidRDefault="00F74417"/>
    <w:p w:rsidR="009D1C2F" w:rsidRDefault="009D1C2F"/>
    <w:p w:rsidR="00CB674F" w:rsidRDefault="00CB674F">
      <w:pPr>
        <w:rPr>
          <w:b/>
        </w:rPr>
      </w:pPr>
      <w:r>
        <w:rPr>
          <w:b/>
        </w:rPr>
        <w:t>9.  Explain any decision to provide any payment or gift to respondents, other than reenumeration of contractors or grantees.</w:t>
      </w:r>
    </w:p>
    <w:p w:rsidR="00EC605E" w:rsidRDefault="00EC605E">
      <w:pPr>
        <w:rPr>
          <w:b/>
        </w:rPr>
      </w:pPr>
    </w:p>
    <w:p w:rsidR="00EC605E" w:rsidRDefault="00EC605E">
      <w:r>
        <w:t>This information collection activity involves no payments or gifts to respondents.</w:t>
      </w:r>
    </w:p>
    <w:p w:rsidR="0054036E" w:rsidRPr="00EC605E" w:rsidRDefault="0054036E"/>
    <w:p w:rsidR="008664D8" w:rsidRDefault="008664D8">
      <w:pPr>
        <w:rPr>
          <w:b/>
        </w:rPr>
      </w:pPr>
    </w:p>
    <w:p w:rsidR="00CB674F" w:rsidRDefault="00CB674F">
      <w:pPr>
        <w:rPr>
          <w:b/>
        </w:rPr>
      </w:pPr>
      <w:r>
        <w:rPr>
          <w:b/>
        </w:rPr>
        <w:lastRenderedPageBreak/>
        <w:t>10.  Describe any assurance of confidentiality provided to respondents and the basis for the assurance in stature, regulation, or agency policy.</w:t>
      </w:r>
    </w:p>
    <w:p w:rsidR="00EC605E" w:rsidRDefault="00EC605E">
      <w:pPr>
        <w:rPr>
          <w:b/>
        </w:rPr>
      </w:pPr>
    </w:p>
    <w:p w:rsidR="009D1C2F" w:rsidRDefault="009D1C2F" w:rsidP="009D1C2F">
      <w:r w:rsidRPr="001D3533">
        <w:t xml:space="preserve">No additional assurance of confidentiality is provided with this information collection.  </w:t>
      </w:r>
      <w:r>
        <w:t>Any and all information obtained in this collection shall not be disclosed except in accordance with</w:t>
      </w:r>
    </w:p>
    <w:p w:rsidR="009D1C2F" w:rsidRDefault="009D1C2F" w:rsidP="009D1C2F">
      <w:proofErr w:type="gramStart"/>
      <w:r w:rsidRPr="001D3533">
        <w:t>5 U.S.C. 552a.</w:t>
      </w:r>
      <w:proofErr w:type="gramEnd"/>
    </w:p>
    <w:p w:rsidR="00C82C27" w:rsidRPr="00EC605E" w:rsidRDefault="00C82C27"/>
    <w:p w:rsidR="00CB674F" w:rsidRDefault="00CB674F">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37169E">
        <w:t xml:space="preserve">a </w:t>
      </w:r>
      <w:r>
        <w:t>personal or sensitive nature.</w:t>
      </w:r>
    </w:p>
    <w:p w:rsidR="008664D8" w:rsidRDefault="008664D8">
      <w:pPr>
        <w:rPr>
          <w:b/>
        </w:rPr>
      </w:pPr>
    </w:p>
    <w:p w:rsidR="0054036E" w:rsidRDefault="0054036E">
      <w:pPr>
        <w:rPr>
          <w:b/>
        </w:rPr>
      </w:pP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457636">
      <w:pPr>
        <w:rPr>
          <w:b/>
        </w:rPr>
      </w:pPr>
      <w:r>
        <w:rPr>
          <w:b/>
        </w:rPr>
        <w:t>.  In</w:t>
      </w:r>
      <w:r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Default="00BE133E">
      <w:pPr>
        <w:rPr>
          <w:b/>
        </w:rPr>
      </w:pPr>
    </w:p>
    <w:p w:rsidR="00BE133E" w:rsidRPr="00373CA5" w:rsidRDefault="00373CA5">
      <w:r>
        <w:t>See APHIS Form 71 for hour burden estimates.</w:t>
      </w:r>
    </w:p>
    <w:p w:rsidR="00057ECC" w:rsidRDefault="00057ECC">
      <w:pPr>
        <w:rPr>
          <w:b/>
        </w:rPr>
      </w:pPr>
    </w:p>
    <w:p w:rsidR="00CB0B54" w:rsidRDefault="00CB0B54" w:rsidP="00CB0B54">
      <w:r w:rsidRPr="00250077">
        <w:rPr>
          <w:b/>
        </w:rPr>
        <w:t xml:space="preserve">.  Provide estimates of annualized cost to respondents for the hour burdens for collections of information, identifying and using appropriate wage rate categories. </w:t>
      </w:r>
      <w:r w:rsidRPr="00250077">
        <w:t xml:space="preserve">   </w:t>
      </w:r>
    </w:p>
    <w:p w:rsidR="00CB0B54" w:rsidRDefault="00CB0B54">
      <w:pPr>
        <w:rPr>
          <w:b/>
        </w:rPr>
      </w:pPr>
    </w:p>
    <w:p w:rsidR="00AA5444" w:rsidRDefault="00AA5444" w:rsidP="00AA5444">
      <w:r>
        <w:t xml:space="preserve">The cost to the public was determined by multiplying the total number of burden hours (94) times the wage per hour rate.  </w:t>
      </w:r>
    </w:p>
    <w:p w:rsidR="00D40A56" w:rsidRDefault="00D40A56" w:rsidP="00AA5444"/>
    <w:p w:rsidR="00AA5444" w:rsidRDefault="00AA5444" w:rsidP="00AA5444">
      <w:r>
        <w:t xml:space="preserve">94 </w:t>
      </w:r>
      <w:r w:rsidR="00C9407D">
        <w:t>X</w:t>
      </w:r>
      <w:r>
        <w:t xml:space="preserve"> $2</w:t>
      </w:r>
      <w:r w:rsidR="00060408">
        <w:t>8.25</w:t>
      </w:r>
      <w:r>
        <w:t xml:space="preserve"> = $2,</w:t>
      </w:r>
      <w:r w:rsidR="00060408">
        <w:t>655.00</w:t>
      </w:r>
      <w:r>
        <w:t>.</w:t>
      </w:r>
    </w:p>
    <w:p w:rsidR="000B105B" w:rsidRDefault="000B105B"/>
    <w:p w:rsidR="009D1C2F" w:rsidRDefault="000B105B" w:rsidP="009D1C2F">
      <w:r>
        <w:t>$2</w:t>
      </w:r>
      <w:r w:rsidR="00060408">
        <w:t>8</w:t>
      </w:r>
      <w:r>
        <w:t>.</w:t>
      </w:r>
      <w:r w:rsidR="00060408">
        <w:t>25</w:t>
      </w:r>
      <w:r>
        <w:t xml:space="preserve"> </w:t>
      </w:r>
      <w:r w:rsidR="009D1C2F">
        <w:t xml:space="preserve">is the hourly rate derived from the U.S. Department of Labor; Bureau of Labor Statistics May 2012 Report – Occupational Employment and Wages in the United States.  See </w:t>
      </w:r>
    </w:p>
    <w:p w:rsidR="000B105B" w:rsidRDefault="00557473" w:rsidP="009D1C2F">
      <w:pPr>
        <w:rPr>
          <w:rStyle w:val="Hyperlink"/>
        </w:rPr>
      </w:pPr>
      <w:hyperlink r:id="rId14" w:history="1">
        <w:r w:rsidR="009D1C2F" w:rsidRPr="004C1D4A">
          <w:rPr>
            <w:rStyle w:val="Hyperlink"/>
          </w:rPr>
          <w:t>http://www.bls.gov/oes/current/999101.htm</w:t>
        </w:r>
      </w:hyperlink>
      <w:r w:rsidR="009D1C2F">
        <w:rPr>
          <w:rStyle w:val="Hyperlink"/>
        </w:rPr>
        <w:t>.</w:t>
      </w:r>
    </w:p>
    <w:p w:rsidR="009D1C2F" w:rsidRDefault="009D1C2F" w:rsidP="009D1C2F"/>
    <w:p w:rsidR="004D2E1F" w:rsidRDefault="004D2E1F"/>
    <w:p w:rsidR="00557473" w:rsidRDefault="00557473"/>
    <w:p w:rsidR="00557473" w:rsidRDefault="00557473"/>
    <w:p w:rsidR="00557473" w:rsidRDefault="00557473"/>
    <w:p w:rsidR="00557473" w:rsidRDefault="00557473"/>
    <w:p w:rsidR="00557473" w:rsidRDefault="00557473"/>
    <w:p w:rsidR="00057ECC" w:rsidRDefault="00BE133E">
      <w:pPr>
        <w:rPr>
          <w:b/>
        </w:rPr>
      </w:pPr>
      <w:r>
        <w:rPr>
          <w:b/>
        </w:rPr>
        <w:lastRenderedPageBreak/>
        <w:t xml:space="preserve">13. </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766F50" w:rsidRDefault="00EB60F7">
      <w:r>
        <w:t>There is zero annual cost burden associated with capital and start-up, operation and maintenance, and purchase of services in connection with this program.</w:t>
      </w:r>
    </w:p>
    <w:p w:rsidR="00EB60F7" w:rsidRDefault="00EB60F7">
      <w:r>
        <w:t xml:space="preserve"> </w:t>
      </w:r>
    </w:p>
    <w:p w:rsidR="00557473" w:rsidRPr="00EB60F7" w:rsidRDefault="00557473"/>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Default="009A0AE1">
      <w:r>
        <w:t>The estimated cost to the Federal Go</w:t>
      </w:r>
      <w:r w:rsidR="00041089">
        <w:t>vernment</w:t>
      </w:r>
      <w:r w:rsidR="009003CA">
        <w:t xml:space="preserve"> is $</w:t>
      </w:r>
      <w:r w:rsidR="00424843">
        <w:t>2</w:t>
      </w:r>
      <w:r w:rsidR="00060408">
        <w:t>9,237</w:t>
      </w:r>
      <w:r w:rsidR="003E5D71">
        <w:t>.</w:t>
      </w:r>
      <w:r w:rsidR="00424843">
        <w:t>00.</w:t>
      </w:r>
      <w:r w:rsidR="004D2E1F">
        <w:t xml:space="preserve">  </w:t>
      </w:r>
      <w:r w:rsidR="00D71146">
        <w:t>(See APHIS Form 79)</w:t>
      </w:r>
    </w:p>
    <w:p w:rsidR="004D2E1F" w:rsidRPr="009A0AE1" w:rsidRDefault="004D2E1F"/>
    <w:p w:rsidR="008664D8" w:rsidRDefault="008664D8">
      <w:pPr>
        <w:rPr>
          <w:b/>
        </w:rPr>
      </w:pPr>
    </w:p>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D71146" w:rsidRDefault="00D71146">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557473" w:rsidTr="001F7F34">
        <w:tc>
          <w:tcPr>
            <w:tcW w:w="9576" w:type="dxa"/>
            <w:gridSpan w:val="7"/>
            <w:tcBorders>
              <w:top w:val="nil"/>
              <w:left w:val="nil"/>
              <w:bottom w:val="single" w:sz="4" w:space="0" w:color="FFFFFF" w:themeColor="background1"/>
              <w:right w:val="nil"/>
            </w:tcBorders>
          </w:tcPr>
          <w:p w:rsidR="00557473" w:rsidRDefault="00557473" w:rsidP="001F7F34">
            <w:pPr>
              <w:pStyle w:val="DefaultText"/>
            </w:pPr>
            <w:r>
              <w:rPr>
                <w:rFonts w:ascii="Arial" w:hAnsi="Arial" w:cs="Arial"/>
              </w:rPr>
              <w:t>ICR Summary of Burden:</w:t>
            </w:r>
          </w:p>
        </w:tc>
      </w:tr>
      <w:tr w:rsidR="00557473" w:rsidTr="001F7F34">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15" o:title=""/>
                </v:shape>
                <w:control r:id="rId16" w:name="DefaultOcxName1" w:shapeid="_x0000_i1027"/>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557473" w:rsidRDefault="00557473" w:rsidP="001F7F34">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557473" w:rsidTr="001F7F34">
        <w:trPr>
          <w:trHeight w:val="584"/>
        </w:trPr>
        <w:tc>
          <w:tcPr>
            <w:tcW w:w="1728" w:type="dxa"/>
            <w:tcBorders>
              <w:top w:val="single" w:sz="4" w:space="0" w:color="FFFFFF" w:themeColor="background1"/>
            </w:tcBorders>
            <w:vAlign w:val="center"/>
          </w:tcPr>
          <w:p w:rsidR="00557473" w:rsidRDefault="00557473" w:rsidP="001F7F34">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2,340</w:t>
            </w:r>
          </w:p>
        </w:tc>
        <w:tc>
          <w:tcPr>
            <w:tcW w:w="1350"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,3</w:t>
            </w:r>
            <w:r>
              <w:rPr>
                <w:rFonts w:ascii="Arial" w:hAnsi="Arial" w:cs="Arial"/>
                <w:color w:val="000000"/>
                <w:sz w:val="18"/>
                <w:szCs w:val="18"/>
              </w:rPr>
              <w:t>40</w:t>
            </w:r>
          </w:p>
        </w:tc>
      </w:tr>
      <w:tr w:rsidR="00557473" w:rsidTr="001F7F34">
        <w:trPr>
          <w:trHeight w:val="611"/>
        </w:trPr>
        <w:tc>
          <w:tcPr>
            <w:tcW w:w="1728" w:type="dxa"/>
            <w:vAlign w:val="center"/>
          </w:tcPr>
          <w:p w:rsidR="00557473" w:rsidRDefault="00557473" w:rsidP="001F7F34">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94</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557473" w:rsidRDefault="00557473" w:rsidP="00557473">
            <w:pPr>
              <w:jc w:val="right"/>
              <w:rPr>
                <w:rFonts w:ascii="Arial" w:hAnsi="Arial" w:cs="Arial"/>
                <w:color w:val="000000"/>
                <w:sz w:val="18"/>
                <w:szCs w:val="18"/>
              </w:rPr>
            </w:pPr>
            <w:r>
              <w:rPr>
                <w:rFonts w:ascii="Arial" w:hAnsi="Arial" w:cs="Arial"/>
                <w:color w:val="000000"/>
                <w:sz w:val="18"/>
                <w:szCs w:val="18"/>
              </w:rPr>
              <w:t>9</w:t>
            </w:r>
            <w:r>
              <w:rPr>
                <w:rFonts w:ascii="Arial" w:hAnsi="Arial" w:cs="Arial"/>
                <w:color w:val="000000"/>
                <w:sz w:val="18"/>
                <w:szCs w:val="18"/>
              </w:rPr>
              <w:t>4</w:t>
            </w:r>
          </w:p>
        </w:tc>
      </w:tr>
      <w:tr w:rsidR="00557473" w:rsidTr="001F7F34">
        <w:trPr>
          <w:trHeight w:val="539"/>
        </w:trPr>
        <w:tc>
          <w:tcPr>
            <w:tcW w:w="1728" w:type="dxa"/>
            <w:vAlign w:val="center"/>
          </w:tcPr>
          <w:p w:rsidR="00557473" w:rsidRDefault="00557473" w:rsidP="001F7F34">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557473" w:rsidRDefault="00557473" w:rsidP="001F7F34">
            <w:pPr>
              <w:jc w:val="right"/>
              <w:rPr>
                <w:rFonts w:ascii="Arial" w:hAnsi="Arial" w:cs="Arial"/>
                <w:color w:val="000000"/>
                <w:sz w:val="18"/>
                <w:szCs w:val="18"/>
              </w:rPr>
            </w:pPr>
            <w:r>
              <w:rPr>
                <w:rFonts w:ascii="Arial" w:hAnsi="Arial" w:cs="Arial"/>
                <w:color w:val="000000"/>
                <w:sz w:val="18"/>
                <w:szCs w:val="18"/>
              </w:rPr>
              <w:t>0</w:t>
            </w:r>
          </w:p>
        </w:tc>
      </w:tr>
    </w:tbl>
    <w:p w:rsidR="00557473" w:rsidRDefault="00557473">
      <w:pPr>
        <w:rPr>
          <w:b/>
        </w:rPr>
      </w:pPr>
    </w:p>
    <w:p w:rsidR="00F576B5" w:rsidRDefault="009E2FA4">
      <w:r>
        <w:t>There is no change in burden for this 3-year renewal information collection.</w:t>
      </w:r>
    </w:p>
    <w:p w:rsidR="009E2FA4" w:rsidRDefault="009E2FA4"/>
    <w:p w:rsidR="004D2E1F" w:rsidRPr="001C1187" w:rsidRDefault="004D2E1F"/>
    <w:p w:rsidR="00057ECC" w:rsidRDefault="00057ECC">
      <w:pPr>
        <w:rPr>
          <w:b/>
        </w:rPr>
      </w:pPr>
      <w:r>
        <w:rPr>
          <w:b/>
        </w:rPr>
        <w:t>16.  For collections of information whose results are planned to be published, outline plans for tabulation and publication.</w:t>
      </w:r>
    </w:p>
    <w:p w:rsidR="00D71146" w:rsidRDefault="00D71146">
      <w:pPr>
        <w:rPr>
          <w:b/>
        </w:rPr>
      </w:pPr>
    </w:p>
    <w:p w:rsidR="00D71146" w:rsidRDefault="002F41EA">
      <w:r>
        <w:t>APHIS has</w:t>
      </w:r>
      <w:r w:rsidR="00D71146">
        <w:t xml:space="preserve"> no plans to tabulate o</w:t>
      </w:r>
      <w:r>
        <w:t xml:space="preserve">r publish the information </w:t>
      </w:r>
      <w:r w:rsidR="00AA5444">
        <w:t>it</w:t>
      </w:r>
      <w:r>
        <w:t xml:space="preserve"> collects.</w:t>
      </w:r>
    </w:p>
    <w:p w:rsidR="00D71146" w:rsidRDefault="00D71146"/>
    <w:p w:rsidR="00C157D3" w:rsidRDefault="00C157D3">
      <w:pPr>
        <w:rPr>
          <w:b/>
        </w:rPr>
      </w:pPr>
    </w:p>
    <w:p w:rsidR="00057ECC" w:rsidRDefault="00057ECC">
      <w:pPr>
        <w:rPr>
          <w:b/>
        </w:rPr>
      </w:pPr>
      <w:r>
        <w:rPr>
          <w:b/>
        </w:rPr>
        <w:t>17.  If seeking approval to not display the expiration date for OMB approval of the information collection, explain the reasons that display would be inappropriate.</w:t>
      </w:r>
    </w:p>
    <w:p w:rsidR="00D71146" w:rsidRDefault="00D71146">
      <w:pPr>
        <w:rPr>
          <w:b/>
        </w:rPr>
      </w:pPr>
    </w:p>
    <w:p w:rsidR="00884A05" w:rsidRDefault="00884A05">
      <w:pPr>
        <w:rPr>
          <w:b/>
        </w:rPr>
      </w:pPr>
      <w:r>
        <w:t>Th</w:t>
      </w:r>
      <w:r w:rsidR="009D1C2F">
        <w:t>e PPQ F</w:t>
      </w:r>
      <w:r>
        <w:t xml:space="preserve">orm </w:t>
      </w:r>
      <w:r w:rsidR="009D1C2F">
        <w:t xml:space="preserve">519 </w:t>
      </w:r>
      <w:r>
        <w:t xml:space="preserve">is used in eleven </w:t>
      </w:r>
      <w:r w:rsidR="009D1C2F">
        <w:t>collections;</w:t>
      </w:r>
      <w:r>
        <w:t xml:space="preserve"> therefore, it is not practical to include an OMB expiration date because of the various expiration dates for each collection.  APHIS is seeking approval to not display the OMB expiration date on this form. </w:t>
      </w:r>
      <w:r>
        <w:rPr>
          <w:b/>
        </w:rPr>
        <w:t xml:space="preserve"> </w:t>
      </w:r>
    </w:p>
    <w:p w:rsidR="004D2E1F" w:rsidRDefault="004D2E1F">
      <w:pPr>
        <w:rPr>
          <w:b/>
        </w:rPr>
      </w:pPr>
    </w:p>
    <w:p w:rsidR="00057ECC" w:rsidRDefault="00057ECC">
      <w:pPr>
        <w:rPr>
          <w:b/>
        </w:rPr>
      </w:pPr>
      <w:r>
        <w:rPr>
          <w:b/>
        </w:rPr>
        <w:lastRenderedPageBreak/>
        <w:t>18.  Explain each exception to the certification</w:t>
      </w:r>
      <w:r w:rsidR="00802D51">
        <w:rPr>
          <w:b/>
        </w:rPr>
        <w:t xml:space="preserve"> statement identified in the</w:t>
      </w:r>
      <w:r>
        <w:rPr>
          <w:b/>
        </w:rPr>
        <w:t xml:space="preserve"> “Certification for Paperwork Reduction Act.”</w:t>
      </w:r>
    </w:p>
    <w:p w:rsidR="00A36C22" w:rsidRDefault="00A36C22">
      <w:pPr>
        <w:rPr>
          <w:b/>
        </w:rPr>
      </w:pPr>
    </w:p>
    <w:p w:rsidR="00D71146" w:rsidRPr="00D71146" w:rsidRDefault="00460285">
      <w:r>
        <w:t>APHIS is</w:t>
      </w:r>
      <w:r w:rsidR="00D71146">
        <w:t xml:space="preserve"> able to certify compliance with a</w:t>
      </w:r>
      <w:r w:rsidR="00802D51">
        <w:t xml:space="preserve">ll the provisions in the </w:t>
      </w:r>
      <w:r w:rsidR="008425F1">
        <w:t>A</w:t>
      </w:r>
      <w:r w:rsidR="00802D51">
        <w:t>ct</w:t>
      </w:r>
      <w:r>
        <w:t>.</w:t>
      </w:r>
    </w:p>
    <w:p w:rsidR="00A36C22" w:rsidRDefault="00A36C22">
      <w:pPr>
        <w:rPr>
          <w:b/>
        </w:rPr>
      </w:pPr>
    </w:p>
    <w:p w:rsidR="004D2E1F" w:rsidRDefault="004D2E1F">
      <w:pPr>
        <w:rPr>
          <w:b/>
        </w:rPr>
      </w:pPr>
    </w:p>
    <w:p w:rsidR="00A36C22" w:rsidRDefault="00A36C22">
      <w:pPr>
        <w:rPr>
          <w:b/>
        </w:rPr>
      </w:pPr>
      <w:r>
        <w:rPr>
          <w:b/>
        </w:rPr>
        <w:t>B.  Collections of Information Employing Statistical Methods</w:t>
      </w:r>
      <w:r w:rsidR="00D71146">
        <w:rPr>
          <w:b/>
        </w:rPr>
        <w:t>.</w:t>
      </w:r>
    </w:p>
    <w:p w:rsidR="00D71146" w:rsidRDefault="00D71146">
      <w:pPr>
        <w:rPr>
          <w:b/>
        </w:rPr>
      </w:pPr>
    </w:p>
    <w:p w:rsidR="00D71146" w:rsidRPr="00D71146" w:rsidRDefault="00D71146">
      <w:r>
        <w:t>Statistical methods are not used in this information collection.</w:t>
      </w:r>
    </w:p>
    <w:p w:rsidR="00A36C22" w:rsidRDefault="00A36C22">
      <w:pPr>
        <w:rPr>
          <w:b/>
        </w:rPr>
      </w:pPr>
    </w:p>
    <w:p w:rsidR="00A36C22" w:rsidRPr="00CB674F" w:rsidRDefault="00A36C22">
      <w:pPr>
        <w:rPr>
          <w:b/>
        </w:rPr>
      </w:pPr>
    </w:p>
    <w:p w:rsidR="00CB674F" w:rsidRDefault="00CB674F"/>
    <w:p w:rsidR="00CB674F" w:rsidRPr="00646559" w:rsidRDefault="00CB674F"/>
    <w:p w:rsidR="00646559" w:rsidRDefault="00646559"/>
    <w:p w:rsidR="00646559" w:rsidRDefault="00646559"/>
    <w:p w:rsidR="00646559" w:rsidRDefault="00646559"/>
    <w:sectPr w:rsidR="00646559" w:rsidSect="00BE4A01">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FC" w:rsidRDefault="003F50FC" w:rsidP="003F50FC">
      <w:r>
        <w:separator/>
      </w:r>
    </w:p>
  </w:endnote>
  <w:endnote w:type="continuationSeparator" w:id="0">
    <w:p w:rsidR="003F50FC" w:rsidRDefault="003F50FC" w:rsidP="003F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FC" w:rsidRDefault="003F50FC" w:rsidP="003F50FC">
      <w:r>
        <w:separator/>
      </w:r>
    </w:p>
  </w:footnote>
  <w:footnote w:type="continuationSeparator" w:id="0">
    <w:p w:rsidR="003F50FC" w:rsidRDefault="003F50FC" w:rsidP="003F5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637687"/>
    <w:multiLevelType w:val="multilevel"/>
    <w:tmpl w:val="F8D2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304148"/>
    <w:multiLevelType w:val="multilevel"/>
    <w:tmpl w:val="373A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9"/>
  </w:num>
  <w:num w:numId="4">
    <w:abstractNumId w:val="8"/>
  </w:num>
  <w:num w:numId="5">
    <w:abstractNumId w:val="5"/>
  </w:num>
  <w:num w:numId="6">
    <w:abstractNumId w:val="0"/>
  </w:num>
  <w:num w:numId="7">
    <w:abstractNumId w:val="4"/>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41089"/>
    <w:rsid w:val="00057ECC"/>
    <w:rsid w:val="00060408"/>
    <w:rsid w:val="00066622"/>
    <w:rsid w:val="00080577"/>
    <w:rsid w:val="000B105B"/>
    <w:rsid w:val="000C70F5"/>
    <w:rsid w:val="000F493F"/>
    <w:rsid w:val="00105C9B"/>
    <w:rsid w:val="00110494"/>
    <w:rsid w:val="00117C1F"/>
    <w:rsid w:val="001253AD"/>
    <w:rsid w:val="00161E72"/>
    <w:rsid w:val="0016683C"/>
    <w:rsid w:val="00173102"/>
    <w:rsid w:val="001878A9"/>
    <w:rsid w:val="00194D68"/>
    <w:rsid w:val="001A7D23"/>
    <w:rsid w:val="001B6DEC"/>
    <w:rsid w:val="001C1187"/>
    <w:rsid w:val="001E0DF5"/>
    <w:rsid w:val="00211BB1"/>
    <w:rsid w:val="00220857"/>
    <w:rsid w:val="0022521F"/>
    <w:rsid w:val="00233153"/>
    <w:rsid w:val="0023363F"/>
    <w:rsid w:val="0025651F"/>
    <w:rsid w:val="002A0C51"/>
    <w:rsid w:val="002A65AB"/>
    <w:rsid w:val="002E14CA"/>
    <w:rsid w:val="002E2397"/>
    <w:rsid w:val="002F3741"/>
    <w:rsid w:val="002F41EA"/>
    <w:rsid w:val="0030456F"/>
    <w:rsid w:val="00360E28"/>
    <w:rsid w:val="0037169E"/>
    <w:rsid w:val="00373CA5"/>
    <w:rsid w:val="00373DEA"/>
    <w:rsid w:val="003972C5"/>
    <w:rsid w:val="00397D08"/>
    <w:rsid w:val="003A229D"/>
    <w:rsid w:val="003E25F5"/>
    <w:rsid w:val="003E5D71"/>
    <w:rsid w:val="003F23E6"/>
    <w:rsid w:val="003F50FC"/>
    <w:rsid w:val="00424843"/>
    <w:rsid w:val="0043656D"/>
    <w:rsid w:val="00457636"/>
    <w:rsid w:val="00460285"/>
    <w:rsid w:val="004678F8"/>
    <w:rsid w:val="00496906"/>
    <w:rsid w:val="004A235E"/>
    <w:rsid w:val="004A3656"/>
    <w:rsid w:val="004A5FCF"/>
    <w:rsid w:val="004B0870"/>
    <w:rsid w:val="004B3864"/>
    <w:rsid w:val="004D2E1F"/>
    <w:rsid w:val="004F6F02"/>
    <w:rsid w:val="00500FEE"/>
    <w:rsid w:val="00521E0F"/>
    <w:rsid w:val="0054036E"/>
    <w:rsid w:val="00550E82"/>
    <w:rsid w:val="00554696"/>
    <w:rsid w:val="00557473"/>
    <w:rsid w:val="00567079"/>
    <w:rsid w:val="00571B4B"/>
    <w:rsid w:val="005768CB"/>
    <w:rsid w:val="00587F53"/>
    <w:rsid w:val="005A4792"/>
    <w:rsid w:val="005A4F24"/>
    <w:rsid w:val="005A66DB"/>
    <w:rsid w:val="005B5525"/>
    <w:rsid w:val="005D1E37"/>
    <w:rsid w:val="005F419A"/>
    <w:rsid w:val="006241D5"/>
    <w:rsid w:val="006442F0"/>
    <w:rsid w:val="00646559"/>
    <w:rsid w:val="00651175"/>
    <w:rsid w:val="00656F2F"/>
    <w:rsid w:val="00670882"/>
    <w:rsid w:val="00674E8B"/>
    <w:rsid w:val="00677248"/>
    <w:rsid w:val="00686B7D"/>
    <w:rsid w:val="006A4A79"/>
    <w:rsid w:val="006A5F93"/>
    <w:rsid w:val="006B0EC4"/>
    <w:rsid w:val="006B7E8D"/>
    <w:rsid w:val="006E19CF"/>
    <w:rsid w:val="006F0FF9"/>
    <w:rsid w:val="0070448B"/>
    <w:rsid w:val="00707184"/>
    <w:rsid w:val="007075ED"/>
    <w:rsid w:val="0073087D"/>
    <w:rsid w:val="0073473D"/>
    <w:rsid w:val="00764090"/>
    <w:rsid w:val="00765262"/>
    <w:rsid w:val="0076677D"/>
    <w:rsid w:val="00766F50"/>
    <w:rsid w:val="00781C4D"/>
    <w:rsid w:val="00787294"/>
    <w:rsid w:val="00793079"/>
    <w:rsid w:val="007D1557"/>
    <w:rsid w:val="007F570A"/>
    <w:rsid w:val="00802CB3"/>
    <w:rsid w:val="00802D51"/>
    <w:rsid w:val="00837A65"/>
    <w:rsid w:val="008425F1"/>
    <w:rsid w:val="008578C9"/>
    <w:rsid w:val="008664D8"/>
    <w:rsid w:val="0086721F"/>
    <w:rsid w:val="00884A05"/>
    <w:rsid w:val="008B0D13"/>
    <w:rsid w:val="008B2836"/>
    <w:rsid w:val="008E2CE4"/>
    <w:rsid w:val="009003CA"/>
    <w:rsid w:val="00913788"/>
    <w:rsid w:val="00916409"/>
    <w:rsid w:val="0092533F"/>
    <w:rsid w:val="00942E97"/>
    <w:rsid w:val="00953532"/>
    <w:rsid w:val="00967771"/>
    <w:rsid w:val="0098379D"/>
    <w:rsid w:val="009A0AE1"/>
    <w:rsid w:val="009B564F"/>
    <w:rsid w:val="009C452E"/>
    <w:rsid w:val="009C7929"/>
    <w:rsid w:val="009D1C2F"/>
    <w:rsid w:val="009E2FA4"/>
    <w:rsid w:val="00A010F8"/>
    <w:rsid w:val="00A36C22"/>
    <w:rsid w:val="00A84651"/>
    <w:rsid w:val="00AA2011"/>
    <w:rsid w:val="00AA5444"/>
    <w:rsid w:val="00AB2F19"/>
    <w:rsid w:val="00AD3182"/>
    <w:rsid w:val="00AE4D7E"/>
    <w:rsid w:val="00AF0DD6"/>
    <w:rsid w:val="00B03582"/>
    <w:rsid w:val="00B17C07"/>
    <w:rsid w:val="00B3098B"/>
    <w:rsid w:val="00B37CF1"/>
    <w:rsid w:val="00B71BE8"/>
    <w:rsid w:val="00B76908"/>
    <w:rsid w:val="00BC03F8"/>
    <w:rsid w:val="00BC7836"/>
    <w:rsid w:val="00BD0DEF"/>
    <w:rsid w:val="00BE00EB"/>
    <w:rsid w:val="00BE133E"/>
    <w:rsid w:val="00BE4A01"/>
    <w:rsid w:val="00C157D3"/>
    <w:rsid w:val="00C44169"/>
    <w:rsid w:val="00C46397"/>
    <w:rsid w:val="00C73543"/>
    <w:rsid w:val="00C82C27"/>
    <w:rsid w:val="00C9407D"/>
    <w:rsid w:val="00CA561E"/>
    <w:rsid w:val="00CB0B54"/>
    <w:rsid w:val="00CB674F"/>
    <w:rsid w:val="00CC16FF"/>
    <w:rsid w:val="00CF4BE2"/>
    <w:rsid w:val="00D12B76"/>
    <w:rsid w:val="00D2258D"/>
    <w:rsid w:val="00D4012D"/>
    <w:rsid w:val="00D40A56"/>
    <w:rsid w:val="00D50096"/>
    <w:rsid w:val="00D52D3C"/>
    <w:rsid w:val="00D66860"/>
    <w:rsid w:val="00D71146"/>
    <w:rsid w:val="00D72F8E"/>
    <w:rsid w:val="00D8137D"/>
    <w:rsid w:val="00D936C0"/>
    <w:rsid w:val="00DD611A"/>
    <w:rsid w:val="00DD7473"/>
    <w:rsid w:val="00DF05E3"/>
    <w:rsid w:val="00DF5441"/>
    <w:rsid w:val="00E22FBA"/>
    <w:rsid w:val="00E36671"/>
    <w:rsid w:val="00E42BB5"/>
    <w:rsid w:val="00E71F35"/>
    <w:rsid w:val="00EB3496"/>
    <w:rsid w:val="00EB60F7"/>
    <w:rsid w:val="00EC5548"/>
    <w:rsid w:val="00EC605E"/>
    <w:rsid w:val="00ED1ACC"/>
    <w:rsid w:val="00ED6517"/>
    <w:rsid w:val="00F0371A"/>
    <w:rsid w:val="00F1705B"/>
    <w:rsid w:val="00F34BC4"/>
    <w:rsid w:val="00F40B04"/>
    <w:rsid w:val="00F576B5"/>
    <w:rsid w:val="00F60E30"/>
    <w:rsid w:val="00F74417"/>
    <w:rsid w:val="00FA2B60"/>
    <w:rsid w:val="00FB2783"/>
    <w:rsid w:val="00FC6185"/>
    <w:rsid w:val="00FE7A64"/>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296">
    <w:name w:val="296"/>
    <w:basedOn w:val="Normal"/>
    <w:rsid w:val="00567079"/>
    <w:pPr>
      <w:overflowPunct w:val="0"/>
      <w:autoSpaceDE w:val="0"/>
      <w:autoSpaceDN w:val="0"/>
      <w:adjustRightInd w:val="0"/>
      <w:textAlignment w:val="baseline"/>
    </w:pPr>
  </w:style>
  <w:style w:type="paragraph" w:customStyle="1" w:styleId="300">
    <w:name w:val="300"/>
    <w:basedOn w:val="Normal"/>
    <w:rsid w:val="00567079"/>
    <w:pPr>
      <w:overflowPunct w:val="0"/>
      <w:autoSpaceDE w:val="0"/>
      <w:autoSpaceDN w:val="0"/>
      <w:adjustRightInd w:val="0"/>
      <w:textAlignment w:val="baseline"/>
    </w:pPr>
    <w:rPr>
      <w:sz w:val="20"/>
      <w:szCs w:val="20"/>
    </w:rPr>
  </w:style>
  <w:style w:type="character" w:styleId="Strong">
    <w:name w:val="Strong"/>
    <w:uiPriority w:val="22"/>
    <w:qFormat/>
    <w:rsid w:val="001B6DEC"/>
    <w:rPr>
      <w:b/>
      <w:bCs/>
    </w:rPr>
  </w:style>
  <w:style w:type="paragraph" w:styleId="BalloonText">
    <w:name w:val="Balloon Text"/>
    <w:basedOn w:val="Normal"/>
    <w:link w:val="BalloonTextChar"/>
    <w:uiPriority w:val="99"/>
    <w:semiHidden/>
    <w:unhideWhenUsed/>
    <w:rsid w:val="00DD7473"/>
    <w:rPr>
      <w:rFonts w:ascii="Tahoma" w:hAnsi="Tahoma" w:cs="Tahoma"/>
      <w:sz w:val="16"/>
      <w:szCs w:val="16"/>
    </w:rPr>
  </w:style>
  <w:style w:type="character" w:customStyle="1" w:styleId="BalloonTextChar">
    <w:name w:val="Balloon Text Char"/>
    <w:link w:val="BalloonText"/>
    <w:uiPriority w:val="99"/>
    <w:semiHidden/>
    <w:rsid w:val="00DD7473"/>
    <w:rPr>
      <w:rFonts w:ascii="Tahoma" w:hAnsi="Tahoma" w:cs="Tahoma"/>
      <w:sz w:val="16"/>
      <w:szCs w:val="16"/>
    </w:rPr>
  </w:style>
  <w:style w:type="character" w:customStyle="1" w:styleId="InitialStyle">
    <w:name w:val="InitialStyle"/>
    <w:rsid w:val="00651175"/>
    <w:rPr>
      <w:rFonts w:ascii="Courier New" w:hAnsi="Courier New"/>
      <w:color w:val="auto"/>
      <w:spacing w:val="0"/>
      <w:sz w:val="24"/>
    </w:rPr>
  </w:style>
  <w:style w:type="character" w:styleId="FollowedHyperlink">
    <w:name w:val="FollowedHyperlink"/>
    <w:basedOn w:val="DefaultParagraphFont"/>
    <w:uiPriority w:val="99"/>
    <w:semiHidden/>
    <w:unhideWhenUsed/>
    <w:rsid w:val="00BE4A01"/>
    <w:rPr>
      <w:color w:val="800080" w:themeColor="followedHyperlink"/>
      <w:u w:val="single"/>
    </w:rPr>
  </w:style>
  <w:style w:type="paragraph" w:styleId="Header">
    <w:name w:val="header"/>
    <w:basedOn w:val="Normal"/>
    <w:link w:val="HeaderChar"/>
    <w:uiPriority w:val="99"/>
    <w:unhideWhenUsed/>
    <w:rsid w:val="003F50FC"/>
    <w:pPr>
      <w:tabs>
        <w:tab w:val="center" w:pos="4680"/>
        <w:tab w:val="right" w:pos="9360"/>
      </w:tabs>
    </w:pPr>
  </w:style>
  <w:style w:type="character" w:customStyle="1" w:styleId="HeaderChar">
    <w:name w:val="Header Char"/>
    <w:basedOn w:val="DefaultParagraphFont"/>
    <w:link w:val="Header"/>
    <w:uiPriority w:val="99"/>
    <w:rsid w:val="003F50FC"/>
    <w:rPr>
      <w:sz w:val="24"/>
      <w:szCs w:val="24"/>
    </w:rPr>
  </w:style>
  <w:style w:type="paragraph" w:styleId="Footer">
    <w:name w:val="footer"/>
    <w:basedOn w:val="Normal"/>
    <w:link w:val="FooterChar"/>
    <w:uiPriority w:val="99"/>
    <w:unhideWhenUsed/>
    <w:rsid w:val="003F50FC"/>
    <w:pPr>
      <w:tabs>
        <w:tab w:val="center" w:pos="4680"/>
        <w:tab w:val="right" w:pos="9360"/>
      </w:tabs>
    </w:pPr>
  </w:style>
  <w:style w:type="character" w:customStyle="1" w:styleId="FooterChar">
    <w:name w:val="Footer Char"/>
    <w:basedOn w:val="DefaultParagraphFont"/>
    <w:link w:val="Footer"/>
    <w:uiPriority w:val="99"/>
    <w:rsid w:val="003F50FC"/>
    <w:rPr>
      <w:sz w:val="24"/>
      <w:szCs w:val="24"/>
    </w:rPr>
  </w:style>
  <w:style w:type="paragraph" w:customStyle="1" w:styleId="DefaultText">
    <w:name w:val="Default Text"/>
    <w:basedOn w:val="Normal"/>
    <w:rsid w:val="00557473"/>
    <w:pPr>
      <w:overflowPunct w:val="0"/>
      <w:autoSpaceDE w:val="0"/>
      <w:autoSpaceDN w:val="0"/>
      <w:adjustRightInd w:val="0"/>
      <w:textAlignment w:val="baseline"/>
    </w:pPr>
    <w:rPr>
      <w:szCs w:val="20"/>
    </w:rPr>
  </w:style>
  <w:style w:type="table" w:styleId="TableGrid">
    <w:name w:val="Table Grid"/>
    <w:basedOn w:val="TableNormal"/>
    <w:rsid w:val="0055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296">
    <w:name w:val="296"/>
    <w:basedOn w:val="Normal"/>
    <w:rsid w:val="00567079"/>
    <w:pPr>
      <w:overflowPunct w:val="0"/>
      <w:autoSpaceDE w:val="0"/>
      <w:autoSpaceDN w:val="0"/>
      <w:adjustRightInd w:val="0"/>
      <w:textAlignment w:val="baseline"/>
    </w:pPr>
  </w:style>
  <w:style w:type="paragraph" w:customStyle="1" w:styleId="300">
    <w:name w:val="300"/>
    <w:basedOn w:val="Normal"/>
    <w:rsid w:val="00567079"/>
    <w:pPr>
      <w:overflowPunct w:val="0"/>
      <w:autoSpaceDE w:val="0"/>
      <w:autoSpaceDN w:val="0"/>
      <w:adjustRightInd w:val="0"/>
      <w:textAlignment w:val="baseline"/>
    </w:pPr>
    <w:rPr>
      <w:sz w:val="20"/>
      <w:szCs w:val="20"/>
    </w:rPr>
  </w:style>
  <w:style w:type="character" w:styleId="Strong">
    <w:name w:val="Strong"/>
    <w:uiPriority w:val="22"/>
    <w:qFormat/>
    <w:rsid w:val="001B6DEC"/>
    <w:rPr>
      <w:b/>
      <w:bCs/>
    </w:rPr>
  </w:style>
  <w:style w:type="paragraph" w:styleId="BalloonText">
    <w:name w:val="Balloon Text"/>
    <w:basedOn w:val="Normal"/>
    <w:link w:val="BalloonTextChar"/>
    <w:uiPriority w:val="99"/>
    <w:semiHidden/>
    <w:unhideWhenUsed/>
    <w:rsid w:val="00DD7473"/>
    <w:rPr>
      <w:rFonts w:ascii="Tahoma" w:hAnsi="Tahoma" w:cs="Tahoma"/>
      <w:sz w:val="16"/>
      <w:szCs w:val="16"/>
    </w:rPr>
  </w:style>
  <w:style w:type="character" w:customStyle="1" w:styleId="BalloonTextChar">
    <w:name w:val="Balloon Text Char"/>
    <w:link w:val="BalloonText"/>
    <w:uiPriority w:val="99"/>
    <w:semiHidden/>
    <w:rsid w:val="00DD7473"/>
    <w:rPr>
      <w:rFonts w:ascii="Tahoma" w:hAnsi="Tahoma" w:cs="Tahoma"/>
      <w:sz w:val="16"/>
      <w:szCs w:val="16"/>
    </w:rPr>
  </w:style>
  <w:style w:type="character" w:customStyle="1" w:styleId="InitialStyle">
    <w:name w:val="InitialStyle"/>
    <w:rsid w:val="00651175"/>
    <w:rPr>
      <w:rFonts w:ascii="Courier New" w:hAnsi="Courier New"/>
      <w:color w:val="auto"/>
      <w:spacing w:val="0"/>
      <w:sz w:val="24"/>
    </w:rPr>
  </w:style>
  <w:style w:type="character" w:styleId="FollowedHyperlink">
    <w:name w:val="FollowedHyperlink"/>
    <w:basedOn w:val="DefaultParagraphFont"/>
    <w:uiPriority w:val="99"/>
    <w:semiHidden/>
    <w:unhideWhenUsed/>
    <w:rsid w:val="00BE4A01"/>
    <w:rPr>
      <w:color w:val="800080" w:themeColor="followedHyperlink"/>
      <w:u w:val="single"/>
    </w:rPr>
  </w:style>
  <w:style w:type="paragraph" w:styleId="Header">
    <w:name w:val="header"/>
    <w:basedOn w:val="Normal"/>
    <w:link w:val="HeaderChar"/>
    <w:uiPriority w:val="99"/>
    <w:unhideWhenUsed/>
    <w:rsid w:val="003F50FC"/>
    <w:pPr>
      <w:tabs>
        <w:tab w:val="center" w:pos="4680"/>
        <w:tab w:val="right" w:pos="9360"/>
      </w:tabs>
    </w:pPr>
  </w:style>
  <w:style w:type="character" w:customStyle="1" w:styleId="HeaderChar">
    <w:name w:val="Header Char"/>
    <w:basedOn w:val="DefaultParagraphFont"/>
    <w:link w:val="Header"/>
    <w:uiPriority w:val="99"/>
    <w:rsid w:val="003F50FC"/>
    <w:rPr>
      <w:sz w:val="24"/>
      <w:szCs w:val="24"/>
    </w:rPr>
  </w:style>
  <w:style w:type="paragraph" w:styleId="Footer">
    <w:name w:val="footer"/>
    <w:basedOn w:val="Normal"/>
    <w:link w:val="FooterChar"/>
    <w:uiPriority w:val="99"/>
    <w:unhideWhenUsed/>
    <w:rsid w:val="003F50FC"/>
    <w:pPr>
      <w:tabs>
        <w:tab w:val="center" w:pos="4680"/>
        <w:tab w:val="right" w:pos="9360"/>
      </w:tabs>
    </w:pPr>
  </w:style>
  <w:style w:type="character" w:customStyle="1" w:styleId="FooterChar">
    <w:name w:val="Footer Char"/>
    <w:basedOn w:val="DefaultParagraphFont"/>
    <w:link w:val="Footer"/>
    <w:uiPriority w:val="99"/>
    <w:rsid w:val="003F50FC"/>
    <w:rPr>
      <w:sz w:val="24"/>
      <w:szCs w:val="24"/>
    </w:rPr>
  </w:style>
  <w:style w:type="paragraph" w:customStyle="1" w:styleId="DefaultText">
    <w:name w:val="Default Text"/>
    <w:basedOn w:val="Normal"/>
    <w:rsid w:val="00557473"/>
    <w:pPr>
      <w:overflowPunct w:val="0"/>
      <w:autoSpaceDE w:val="0"/>
      <w:autoSpaceDN w:val="0"/>
      <w:adjustRightInd w:val="0"/>
      <w:textAlignment w:val="baseline"/>
    </w:pPr>
    <w:rPr>
      <w:szCs w:val="20"/>
    </w:rPr>
  </w:style>
  <w:style w:type="table" w:styleId="TableGrid">
    <w:name w:val="Table Grid"/>
    <w:basedOn w:val="TableNormal"/>
    <w:rsid w:val="0055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2983">
      <w:bodyDiv w:val="1"/>
      <w:marLeft w:val="0"/>
      <w:marRight w:val="0"/>
      <w:marTop w:val="0"/>
      <w:marBottom w:val="0"/>
      <w:divBdr>
        <w:top w:val="none" w:sz="0" w:space="0" w:color="auto"/>
        <w:left w:val="none" w:sz="0" w:space="0" w:color="auto"/>
        <w:bottom w:val="none" w:sz="0" w:space="0" w:color="auto"/>
        <w:right w:val="none" w:sz="0" w:space="0" w:color="auto"/>
      </w:divBdr>
    </w:div>
    <w:div w:id="923874738">
      <w:bodyDiv w:val="1"/>
      <w:marLeft w:val="0"/>
      <w:marRight w:val="0"/>
      <w:marTop w:val="0"/>
      <w:marBottom w:val="0"/>
      <w:divBdr>
        <w:top w:val="none" w:sz="0" w:space="0" w:color="auto"/>
        <w:left w:val="none" w:sz="0" w:space="0" w:color="auto"/>
        <w:bottom w:val="none" w:sz="0" w:space="0" w:color="auto"/>
        <w:right w:val="none" w:sz="0" w:space="0" w:color="auto"/>
      </w:divBdr>
    </w:div>
    <w:div w:id="1817532047">
      <w:bodyDiv w:val="1"/>
      <w:marLeft w:val="0"/>
      <w:marRight w:val="0"/>
      <w:marTop w:val="0"/>
      <w:marBottom w:val="0"/>
      <w:divBdr>
        <w:top w:val="none" w:sz="0" w:space="0" w:color="auto"/>
        <w:left w:val="none" w:sz="0" w:space="0" w:color="auto"/>
        <w:bottom w:val="none" w:sz="0" w:space="0" w:color="auto"/>
        <w:right w:val="none" w:sz="0" w:space="0" w:color="auto"/>
      </w:divBdr>
      <w:divsChild>
        <w:div w:id="1301811194">
          <w:marLeft w:val="0"/>
          <w:marRight w:val="0"/>
          <w:marTop w:val="0"/>
          <w:marBottom w:val="0"/>
          <w:divBdr>
            <w:top w:val="none" w:sz="0" w:space="0" w:color="auto"/>
            <w:left w:val="none" w:sz="0" w:space="0" w:color="auto"/>
            <w:bottom w:val="none" w:sz="0" w:space="0" w:color="auto"/>
            <w:right w:val="none" w:sz="0" w:space="0" w:color="auto"/>
          </w:divBdr>
          <w:divsChild>
            <w:div w:id="1068504938">
              <w:marLeft w:val="0"/>
              <w:marRight w:val="0"/>
              <w:marTop w:val="0"/>
              <w:marBottom w:val="0"/>
              <w:divBdr>
                <w:top w:val="none" w:sz="0" w:space="0" w:color="auto"/>
                <w:left w:val="none" w:sz="0" w:space="0" w:color="auto"/>
                <w:bottom w:val="none" w:sz="0" w:space="0" w:color="auto"/>
                <w:right w:val="none" w:sz="0" w:space="0" w:color="auto"/>
              </w:divBdr>
              <w:divsChild>
                <w:div w:id="19819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2892">
      <w:bodyDiv w:val="1"/>
      <w:marLeft w:val="0"/>
      <w:marRight w:val="0"/>
      <w:marTop w:val="0"/>
      <w:marBottom w:val="0"/>
      <w:divBdr>
        <w:top w:val="none" w:sz="0" w:space="0" w:color="auto"/>
        <w:left w:val="none" w:sz="0" w:space="0" w:color="auto"/>
        <w:bottom w:val="none" w:sz="0" w:space="0" w:color="auto"/>
        <w:right w:val="none" w:sz="0" w:space="0" w:color="auto"/>
      </w:divBdr>
    </w:div>
    <w:div w:id="19932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phis.usda.gov/library/forms/pdf/ppq51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999101.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Canada Pine Shoot Beetle Host Material</Project_x0020_Name>
    <OMB_x0020_control_x0020__x0023_ xmlns="64E31D74-685E-46CD-AE51-A264634057B8">0579-0257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475580-0AA1-473C-8F40-E50E98D0E648}">
  <ds:schemaRefs>
    <ds:schemaRef ds:uri="http://schemas.microsoft.com/sharepoint/events"/>
  </ds:schemaRefs>
</ds:datastoreItem>
</file>

<file path=customXml/itemProps2.xml><?xml version="1.0" encoding="utf-8"?>
<ds:datastoreItem xmlns:ds="http://schemas.openxmlformats.org/officeDocument/2006/customXml" ds:itemID="{FCE13C61-2CCB-40F3-B392-C5AF8066E884}">
  <ds:schemaRefs>
    <ds:schemaRef ds:uri="http://schemas.microsoft.com/sharepoint/v3/contenttype/forms"/>
  </ds:schemaRefs>
</ds:datastoreItem>
</file>

<file path=customXml/itemProps3.xml><?xml version="1.0" encoding="utf-8"?>
<ds:datastoreItem xmlns:ds="http://schemas.openxmlformats.org/officeDocument/2006/customXml" ds:itemID="{C0343569-2899-4E80-B9A8-8BB33ECB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35144-5626-4D19-A47E-C00F01D37EA4}">
  <ds:schemaRefs>
    <ds:schemaRef ds:uri="http://www.w3.org/XML/1998/namespace"/>
    <ds:schemaRef ds:uri="http://purl.org/dc/elements/1.1/"/>
    <ds:schemaRef ds:uri="http://schemas.openxmlformats.org/package/2006/metadata/core-properties"/>
    <ds:schemaRef ds:uri="http://schemas.microsoft.com/office/infopath/2007/PartnerControls"/>
    <ds:schemaRef ds:uri="ed6d8045-9bce-45b8-96e9-ffa15b628daa"/>
    <ds:schemaRef ds:uri="64E31D74-685E-46CD-AE51-A264634057B8"/>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65F9B2E9-8C89-49D0-9813-BDFAE13AFF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2096</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14140</CharactersWithSpaces>
  <SharedDoc>false</SharedDoc>
  <HLinks>
    <vt:vector size="12" baseType="variant">
      <vt:variant>
        <vt:i4>6619237</vt:i4>
      </vt:variant>
      <vt:variant>
        <vt:i4>3</vt:i4>
      </vt:variant>
      <vt:variant>
        <vt:i4>0</vt:i4>
      </vt:variant>
      <vt:variant>
        <vt:i4>5</vt:i4>
      </vt:variant>
      <vt:variant>
        <vt:lpwstr>http://www.bls.gov/news.release/ocwage.t03.htm</vt:lpwstr>
      </vt:variant>
      <vt:variant>
        <vt:lpwstr/>
      </vt:variant>
      <vt:variant>
        <vt:i4>6946918</vt:i4>
      </vt:variant>
      <vt:variant>
        <vt:i4>0</vt:i4>
      </vt:variant>
      <vt:variant>
        <vt:i4>0</vt:i4>
      </vt:variant>
      <vt:variant>
        <vt:i4>5</vt:i4>
      </vt:variant>
      <vt:variant>
        <vt:lpwstr>http://www.aphis.usda.gov/library/forms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Harris, Sheniqua M - APHIS</cp:lastModifiedBy>
  <cp:revision>5</cp:revision>
  <cp:lastPrinted>2014-08-15T14:28:00Z</cp:lastPrinted>
  <dcterms:created xsi:type="dcterms:W3CDTF">2014-04-07T14:52:00Z</dcterms:created>
  <dcterms:modified xsi:type="dcterms:W3CDTF">2014-08-15T14:34:00Z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A7UXA6N55WET-2455-423</vt:lpwstr>
  </property>
  <property fmtid="{D5CDD505-2E9C-101B-9397-08002B2CF9AE}" pid="3" name="_dlc_DocIdItemGuid">
    <vt:lpwstr>8abfaabb-afb9-4c23-9d0d-744ac7c0ff2e</vt:lpwstr>
  </property>
  <property fmtid="{D5CDD505-2E9C-101B-9397-08002B2CF9AE}" pid="4" name="_dlc_DocIdUrl">
    <vt:lpwstr>http://sp.we.aphis.gov/PPQ/policy/php/rpm/Paperwork Burden/_layouts/DocIdRedir.aspx?ID=A7UXA6N55WET-2455-423, A7UXA6N55WET-2455-423</vt:lpwstr>
  </property>
</Properties>
</file>