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715EE">
        <w:rPr>
          <w:sz w:val="28"/>
        </w:rPr>
        <w:t>3145</w:t>
      </w:r>
      <w:r>
        <w:rPr>
          <w:sz w:val="28"/>
        </w:rPr>
        <w:t>-</w:t>
      </w:r>
      <w:r w:rsidR="00C715EE">
        <w:rPr>
          <w:sz w:val="28"/>
        </w:rPr>
        <w:t>0215</w:t>
      </w:r>
      <w:r>
        <w:rPr>
          <w:sz w:val="28"/>
        </w:rPr>
        <w:t>)</w:t>
      </w:r>
    </w:p>
    <w:p w:rsidR="00E50293" w:rsidRDefault="006C040C"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rsidR="00635F15" w:rsidRPr="009239AA" w:rsidRDefault="00635F15" w:rsidP="00434E33">
      <w:pPr>
        <w:rPr>
          <w:b/>
        </w:rPr>
      </w:pPr>
    </w:p>
    <w:p w:rsidR="00AC1D10" w:rsidRPr="00AC1D10" w:rsidRDefault="00AC1D10" w:rsidP="00AC1D10">
      <w:pPr>
        <w:rPr>
          <w:bCs/>
        </w:rPr>
      </w:pPr>
      <w:r w:rsidRPr="00AC1D10">
        <w:rPr>
          <w:bCs/>
        </w:rPr>
        <w:t xml:space="preserve">Feedback Survey Regarding NSF </w:t>
      </w:r>
      <w:r w:rsidR="0006437F">
        <w:rPr>
          <w:bCs/>
        </w:rPr>
        <w:t>EFRI Topic Selection Process</w:t>
      </w:r>
    </w:p>
    <w:p w:rsidR="00635F15" w:rsidRDefault="00AC1D10" w:rsidP="00AC1D10">
      <w:pPr>
        <w:rPr>
          <w:bCs/>
        </w:rPr>
      </w:pPr>
      <w:r w:rsidRPr="00AC1D10">
        <w:rPr>
          <w:bCs/>
        </w:rPr>
        <w:t>Process</w:t>
      </w:r>
    </w:p>
    <w:p w:rsidR="00AC1D10" w:rsidRDefault="00AC1D10" w:rsidP="00AC1D10"/>
    <w:p w:rsidR="001B0AAA" w:rsidRDefault="00F15956">
      <w:r>
        <w:rPr>
          <w:b/>
        </w:rPr>
        <w:t>PURPOSE</w:t>
      </w:r>
      <w:r w:rsidRPr="009239AA">
        <w:rPr>
          <w:b/>
        </w:rPr>
        <w:t>:</w:t>
      </w:r>
      <w:r w:rsidR="00C14CC4" w:rsidRPr="009239AA">
        <w:rPr>
          <w:b/>
        </w:rPr>
        <w:t xml:space="preserve">  </w:t>
      </w:r>
    </w:p>
    <w:p w:rsidR="001B0AAA" w:rsidRDefault="001B0AAA"/>
    <w:p w:rsidR="001B032D" w:rsidRDefault="005A4D4B" w:rsidP="001B032D">
      <w:pPr>
        <w:pStyle w:val="NormalWeb"/>
      </w:pPr>
      <w:r w:rsidRPr="003A3469">
        <w:rPr>
          <w:bCs/>
        </w:rPr>
        <w:t>We are requesting v</w:t>
      </w:r>
      <w:r w:rsidR="003A3469">
        <w:rPr>
          <w:bCs/>
        </w:rPr>
        <w:t xml:space="preserve">oluntary </w:t>
      </w:r>
      <w:r w:rsidR="00543A92">
        <w:rPr>
          <w:bCs/>
        </w:rPr>
        <w:t>feedback</w:t>
      </w:r>
      <w:r w:rsidR="003A3469">
        <w:rPr>
          <w:bCs/>
        </w:rPr>
        <w:t xml:space="preserve"> from </w:t>
      </w:r>
      <w:r w:rsidR="00DB4DB3">
        <w:rPr>
          <w:bCs/>
        </w:rPr>
        <w:t xml:space="preserve">NSF </w:t>
      </w:r>
      <w:r w:rsidR="0006437F">
        <w:rPr>
          <w:bCs/>
        </w:rPr>
        <w:t xml:space="preserve">EFRI Topic </w:t>
      </w:r>
      <w:r w:rsidR="001B032D">
        <w:rPr>
          <w:bCs/>
        </w:rPr>
        <w:t>submitters concerning</w:t>
      </w:r>
      <w:r w:rsidR="00DB4DB3">
        <w:rPr>
          <w:bCs/>
        </w:rPr>
        <w:t xml:space="preserve"> their satisfaction with the </w:t>
      </w:r>
      <w:r w:rsidR="0006437F">
        <w:rPr>
          <w:bCs/>
        </w:rPr>
        <w:t>EFRI topic</w:t>
      </w:r>
      <w:r w:rsidR="00DB4DB3">
        <w:rPr>
          <w:bCs/>
        </w:rPr>
        <w:t xml:space="preserve"> submission process. </w:t>
      </w:r>
      <w:r w:rsidR="001B032D">
        <w:rPr>
          <w:bCs/>
        </w:rPr>
        <w:t>Every two years, the Emer</w:t>
      </w:r>
      <w:r w:rsidR="00231948">
        <w:rPr>
          <w:bCs/>
        </w:rPr>
        <w:t xml:space="preserve">ging Frontiers in Research and Innovation </w:t>
      </w:r>
      <w:r w:rsidR="001B032D">
        <w:rPr>
          <w:bCs/>
        </w:rPr>
        <w:t xml:space="preserve">Office of the Directorate for Engineering (EFRI) </w:t>
      </w:r>
      <w:r w:rsidR="001B032D">
        <w:t xml:space="preserve">invites the research community to submit suggestions for </w:t>
      </w:r>
      <w:r w:rsidR="001B032D">
        <w:rPr>
          <w:rStyle w:val="Strong"/>
        </w:rPr>
        <w:t>Topic Ideas</w:t>
      </w:r>
      <w:r w:rsidR="001B032D">
        <w:t xml:space="preserve"> to be considered for the subsequent Emerging Frontiers in Research and Innovation (EFRI) Program Solicitation. </w:t>
      </w:r>
    </w:p>
    <w:p w:rsidR="001B032D" w:rsidRDefault="001B032D" w:rsidP="001B032D">
      <w:pPr>
        <w:pStyle w:val="NormalWeb"/>
      </w:pPr>
      <w:r>
        <w:t>Suggestions for EFRI Topic Ideas were solicited and vetted in Fy12. Selected Topics become the foci of EFRI-supported research. Solicitations are announced annually for research proposals that fall under the specified Topic areas.</w:t>
      </w:r>
    </w:p>
    <w:p w:rsidR="001B032D" w:rsidRDefault="00DB6C13" w:rsidP="001B032D">
      <w:pPr>
        <w:pStyle w:val="NormalWeb"/>
        <w:rPr>
          <w:bCs/>
        </w:rPr>
      </w:pPr>
      <w:r>
        <w:t>The request</w:t>
      </w:r>
      <w:r w:rsidR="001B032D">
        <w:t xml:space="preserve"> </w:t>
      </w:r>
      <w:r>
        <w:t xml:space="preserve">to the broader research community is </w:t>
      </w:r>
      <w:r w:rsidR="001B032D">
        <w:t xml:space="preserve">meant to generate potential topic areas of emerging transformational research and innovation. Topic submitters do </w:t>
      </w:r>
      <w:r w:rsidR="004C700A">
        <w:t>so by</w:t>
      </w:r>
      <w:r w:rsidR="001B032D">
        <w:t xml:space="preserve"> submitting their candidate topic idea along with a one-page description. The process by which topics are selected has been openly disclosed and includes external panel expert opinions as well as internal program directors championship. The process was designed with the </w:t>
      </w:r>
      <w:r w:rsidR="004C700A">
        <w:t>final goal</w:t>
      </w:r>
      <w:r w:rsidR="001B032D">
        <w:t xml:space="preserve"> of </w:t>
      </w:r>
      <w:r w:rsidR="004C700A">
        <w:t xml:space="preserve">assuring that the selected </w:t>
      </w:r>
      <w:r w:rsidR="001B032D">
        <w:t xml:space="preserve">topics have the potential to become emerging frontiers, and are </w:t>
      </w:r>
      <w:r w:rsidR="00580AFA">
        <w:t>transformative;</w:t>
      </w:r>
      <w:r w:rsidR="001B032D">
        <w:t xml:space="preserve"> attend to a national need</w:t>
      </w:r>
      <w:r w:rsidR="004C700A">
        <w:t xml:space="preserve"> or grand challenge</w:t>
      </w:r>
      <w:r>
        <w:t>; is interdisciplinary</w:t>
      </w:r>
      <w:r w:rsidR="004C700A">
        <w:t>, and for which engineering as a discipline can take leadership.</w:t>
      </w:r>
    </w:p>
    <w:p w:rsidR="00AA3931" w:rsidRDefault="00DB4DB3" w:rsidP="003A3469">
      <w:pPr>
        <w:rPr>
          <w:bCs/>
        </w:rPr>
      </w:pPr>
      <w:r>
        <w:rPr>
          <w:bCs/>
        </w:rPr>
        <w:t xml:space="preserve">However, we need to better evaluate these efforts to guide future strategy. </w:t>
      </w:r>
      <w:r w:rsidR="001D68D7">
        <w:rPr>
          <w:bCs/>
        </w:rPr>
        <w:t>Participants will be asked to complete a short questionnaire regarding their experience</w:t>
      </w:r>
      <w:r w:rsidR="004C700A">
        <w:rPr>
          <w:bCs/>
        </w:rPr>
        <w:t xml:space="preserve"> with potential topic submission</w:t>
      </w:r>
      <w:r w:rsidR="001D68D7">
        <w:rPr>
          <w:bCs/>
        </w:rPr>
        <w:t xml:space="preserve">. The questionnaire will be administered </w:t>
      </w:r>
      <w:r w:rsidR="004C700A">
        <w:rPr>
          <w:bCs/>
        </w:rPr>
        <w:t xml:space="preserve">to submitters </w:t>
      </w:r>
      <w:r w:rsidR="001D68D7">
        <w:rPr>
          <w:bCs/>
        </w:rPr>
        <w:t>using</w:t>
      </w:r>
      <w:r w:rsidR="00AA3931">
        <w:rPr>
          <w:bCs/>
        </w:rPr>
        <w:t xml:space="preserve"> </w:t>
      </w:r>
      <w:r w:rsidR="001D68D7" w:rsidRPr="003A3469">
        <w:rPr>
          <w:bCs/>
        </w:rPr>
        <w:t>www.surveymonkey.com</w:t>
      </w:r>
      <w:r w:rsidR="001D68D7">
        <w:rPr>
          <w:bCs/>
        </w:rPr>
        <w:t>.</w:t>
      </w:r>
    </w:p>
    <w:p w:rsidR="00AA3931" w:rsidRDefault="00AA3931" w:rsidP="003A3469">
      <w:pPr>
        <w:rPr>
          <w:bCs/>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F15956" w:rsidRPr="003A3469" w:rsidRDefault="00D70CC0">
      <w:pPr>
        <w:rPr>
          <w:bCs/>
        </w:rPr>
      </w:pPr>
      <w:r w:rsidRPr="003A3469">
        <w:rPr>
          <w:bCs/>
        </w:rPr>
        <w:t>The respo</w:t>
      </w:r>
      <w:r w:rsidR="00DB4DB3">
        <w:rPr>
          <w:bCs/>
        </w:rPr>
        <w:t xml:space="preserve">ndents to this query will be </w:t>
      </w:r>
      <w:r w:rsidR="004C700A">
        <w:rPr>
          <w:bCs/>
        </w:rPr>
        <w:t>people from the scientific community</w:t>
      </w:r>
      <w:r w:rsidR="00DB4DB3">
        <w:rPr>
          <w:bCs/>
        </w:rPr>
        <w:t xml:space="preserve"> who have submitted </w:t>
      </w:r>
      <w:r w:rsidR="004C700A">
        <w:rPr>
          <w:bCs/>
        </w:rPr>
        <w:t xml:space="preserve">potential topics </w:t>
      </w:r>
      <w:r w:rsidR="00DB4DB3">
        <w:rPr>
          <w:bCs/>
        </w:rPr>
        <w:t xml:space="preserve">to the NSF </w:t>
      </w:r>
      <w:r w:rsidR="004C700A">
        <w:rPr>
          <w:bCs/>
        </w:rPr>
        <w:t>EFRI</w:t>
      </w:r>
      <w:r w:rsidR="00DB4DB3">
        <w:rPr>
          <w:bCs/>
        </w:rPr>
        <w:t xml:space="preserve"> Program, specifically in the most recent submission window. There are approximately </w:t>
      </w:r>
      <w:r w:rsidR="004C700A">
        <w:rPr>
          <w:bCs/>
        </w:rPr>
        <w:t>200</w:t>
      </w:r>
      <w:r w:rsidR="00DB4DB3">
        <w:rPr>
          <w:bCs/>
        </w:rPr>
        <w:t xml:space="preserve"> </w:t>
      </w:r>
      <w:r w:rsidR="004C700A">
        <w:rPr>
          <w:bCs/>
        </w:rPr>
        <w:t>submissions each year</w:t>
      </w:r>
      <w:r w:rsidR="00DB4DB3">
        <w:rPr>
          <w:bCs/>
        </w:rPr>
        <w:t>. The “submission cohort” of the respondents will be known, but the respondents will otherwise be anonymous.</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D70CC0" w:rsidRPr="00543A92">
        <w:rPr>
          <w:bCs/>
          <w:sz w:val="24"/>
        </w:rPr>
        <w:t>x</w:t>
      </w:r>
      <w:r w:rsidRPr="00543A92">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052B30">
        <w:rPr>
          <w:bCs/>
          <w:color w:val="FF0000"/>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lastRenderedPageBreak/>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w:t>
      </w:r>
      <w:r w:rsidR="00C715EE">
        <w:rPr>
          <w:u w:val="single"/>
        </w:rPr>
        <w:t>Suzanne Plimpton, NSF Reports Clearance Officer</w:t>
      </w:r>
      <w:r>
        <w:t>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96058A">
        <w:rPr>
          <w:color w:val="FF0000"/>
        </w:rPr>
        <w:t xml:space="preserve"> </w:t>
      </w:r>
      <w:r w:rsidR="009239AA">
        <w:t xml:space="preserve"> ] Yes  [ </w:t>
      </w:r>
      <w:r w:rsidR="0096058A">
        <w:t xml:space="preserve">x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96058A">
        <w:t xml:space="preserve"> </w:t>
      </w:r>
      <w:r w:rsidR="007E55EA">
        <w:t xml:space="preserve"> </w:t>
      </w:r>
      <w:r w:rsidR="009239AA">
        <w:t>] No</w:t>
      </w:r>
      <w:r w:rsidR="00C86E91">
        <w:t xml:space="preserve">   </w:t>
      </w:r>
    </w:p>
    <w:p w:rsidR="00C86E91" w:rsidRDefault="00C86E91" w:rsidP="00C86E91">
      <w:pPr>
        <w:pStyle w:val="ListParagraph"/>
        <w:numPr>
          <w:ilvl w:val="0"/>
          <w:numId w:val="18"/>
        </w:numPr>
      </w:pPr>
      <w:r>
        <w:t xml:space="preserve">If Applicable, has a System or Records Notice been published?  [ </w:t>
      </w:r>
      <w:r w:rsidR="007E55EA">
        <w:t xml:space="preserve"> </w:t>
      </w:r>
      <w:r>
        <w:t xml:space="preserve"> ] Yes  [ </w:t>
      </w:r>
      <w:r w:rsidR="007E55EA">
        <w:t xml:space="preserve"> </w:t>
      </w:r>
      <w:r>
        <w:t xml:space="preserve">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D70CC0" w:rsidRPr="0096058A">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B33848">
        <w:t xml:space="preserve">(for each </w:t>
      </w:r>
      <w:r w:rsidR="00B7783F">
        <w:t>proposal submission window</w:t>
      </w:r>
      <w:r w:rsidR="00B33848">
        <w:t>)</w:t>
      </w:r>
    </w:p>
    <w:p w:rsidR="006832D9" w:rsidRPr="006832D9" w:rsidRDefault="006832D9" w:rsidP="00F3170F">
      <w:pPr>
        <w:keepNext/>
        <w:keepLines/>
        <w:rPr>
          <w:b/>
        </w:rPr>
      </w:pPr>
    </w:p>
    <w:tbl>
      <w:tblPr>
        <w:tblStyle w:val="TableGrid"/>
        <w:tblW w:w="9133" w:type="dxa"/>
        <w:tblLayout w:type="fixed"/>
        <w:tblLook w:val="01E0" w:firstRow="1" w:lastRow="1" w:firstColumn="1" w:lastColumn="1" w:noHBand="0" w:noVBand="0"/>
      </w:tblPr>
      <w:tblGrid>
        <w:gridCol w:w="2898"/>
        <w:gridCol w:w="2610"/>
        <w:gridCol w:w="2250"/>
        <w:gridCol w:w="1375"/>
      </w:tblGrid>
      <w:tr w:rsidR="00EF2095" w:rsidTr="00B33848">
        <w:trPr>
          <w:trHeight w:val="278"/>
        </w:trPr>
        <w:tc>
          <w:tcPr>
            <w:tcW w:w="2898" w:type="dxa"/>
          </w:tcPr>
          <w:p w:rsidR="006832D9" w:rsidRPr="00F6240A" w:rsidRDefault="00E40B50" w:rsidP="00C8488C">
            <w:pPr>
              <w:rPr>
                <w:b/>
              </w:rPr>
            </w:pPr>
            <w:r>
              <w:rPr>
                <w:b/>
              </w:rPr>
              <w:t>Category of Respondent</w:t>
            </w:r>
            <w:r w:rsidR="00EF2095">
              <w:rPr>
                <w:b/>
              </w:rPr>
              <w:t xml:space="preserve"> </w:t>
            </w:r>
          </w:p>
        </w:tc>
        <w:tc>
          <w:tcPr>
            <w:tcW w:w="261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250" w:type="dxa"/>
          </w:tcPr>
          <w:p w:rsidR="006832D9" w:rsidRPr="00F6240A" w:rsidRDefault="006832D9" w:rsidP="00843796">
            <w:pPr>
              <w:rPr>
                <w:b/>
              </w:rPr>
            </w:pPr>
            <w:r w:rsidRPr="00F6240A">
              <w:rPr>
                <w:b/>
              </w:rPr>
              <w:t>Participation Time</w:t>
            </w:r>
          </w:p>
        </w:tc>
        <w:tc>
          <w:tcPr>
            <w:tcW w:w="1375" w:type="dxa"/>
          </w:tcPr>
          <w:p w:rsidR="006832D9" w:rsidRPr="00F6240A" w:rsidRDefault="006832D9" w:rsidP="00843796">
            <w:pPr>
              <w:rPr>
                <w:b/>
              </w:rPr>
            </w:pPr>
            <w:r w:rsidRPr="00F6240A">
              <w:rPr>
                <w:b/>
              </w:rPr>
              <w:t>Burden</w:t>
            </w:r>
          </w:p>
        </w:tc>
      </w:tr>
      <w:tr w:rsidR="00EF2095" w:rsidTr="00B33848">
        <w:trPr>
          <w:trHeight w:val="278"/>
        </w:trPr>
        <w:tc>
          <w:tcPr>
            <w:tcW w:w="2898" w:type="dxa"/>
          </w:tcPr>
          <w:p w:rsidR="006832D9" w:rsidRDefault="00C3145E" w:rsidP="00843796">
            <w:r>
              <w:t>Private Sector</w:t>
            </w:r>
          </w:p>
        </w:tc>
        <w:tc>
          <w:tcPr>
            <w:tcW w:w="2610" w:type="dxa"/>
          </w:tcPr>
          <w:p w:rsidR="006832D9" w:rsidRPr="0096058A" w:rsidRDefault="004C700A" w:rsidP="004C700A">
            <w:r>
              <w:t xml:space="preserve">200 </w:t>
            </w:r>
            <w:r w:rsidR="00B7783F">
              <w:t xml:space="preserve"> (every </w:t>
            </w:r>
            <w:r>
              <w:t>2</w:t>
            </w:r>
            <w:r w:rsidR="00B7783F">
              <w:t xml:space="preserve"> </w:t>
            </w:r>
            <w:r>
              <w:t>years</w:t>
            </w:r>
            <w:r w:rsidR="00B7783F">
              <w:t>)</w:t>
            </w:r>
          </w:p>
        </w:tc>
        <w:tc>
          <w:tcPr>
            <w:tcW w:w="2250" w:type="dxa"/>
          </w:tcPr>
          <w:p w:rsidR="006832D9" w:rsidRPr="0096058A" w:rsidRDefault="00B33848" w:rsidP="00006A24">
            <w:r>
              <w:t>5</w:t>
            </w:r>
            <w:r w:rsidR="00FB1B86" w:rsidRPr="0096058A">
              <w:t xml:space="preserve"> minutes</w:t>
            </w:r>
            <w:r w:rsidR="00D70CC0" w:rsidRPr="0096058A">
              <w:t xml:space="preserve"> </w:t>
            </w:r>
          </w:p>
        </w:tc>
        <w:tc>
          <w:tcPr>
            <w:tcW w:w="1375" w:type="dxa"/>
          </w:tcPr>
          <w:p w:rsidR="006832D9" w:rsidRPr="0096058A" w:rsidRDefault="004C700A" w:rsidP="00843796">
            <w:r>
              <w:t xml:space="preserve">17 </w:t>
            </w:r>
            <w:r w:rsidR="00FB1B86" w:rsidRPr="0096058A">
              <w:t>hours</w:t>
            </w:r>
          </w:p>
        </w:tc>
      </w:tr>
      <w:tr w:rsidR="00D70CC0" w:rsidTr="00B33848">
        <w:trPr>
          <w:trHeight w:val="278"/>
        </w:trPr>
        <w:tc>
          <w:tcPr>
            <w:tcW w:w="2898" w:type="dxa"/>
          </w:tcPr>
          <w:p w:rsidR="00D70CC0" w:rsidRDefault="00D70CC0" w:rsidP="00843796"/>
        </w:tc>
        <w:tc>
          <w:tcPr>
            <w:tcW w:w="2610" w:type="dxa"/>
          </w:tcPr>
          <w:p w:rsidR="00D70CC0" w:rsidRDefault="00D70CC0" w:rsidP="00843796"/>
        </w:tc>
        <w:tc>
          <w:tcPr>
            <w:tcW w:w="2250" w:type="dxa"/>
          </w:tcPr>
          <w:p w:rsidR="00D70CC0" w:rsidRDefault="00D70CC0" w:rsidP="00D70CC0"/>
        </w:tc>
        <w:tc>
          <w:tcPr>
            <w:tcW w:w="1375" w:type="dxa"/>
          </w:tcPr>
          <w:p w:rsidR="00D70CC0" w:rsidRPr="00A67402" w:rsidRDefault="00D70CC0" w:rsidP="00006A24"/>
        </w:tc>
      </w:tr>
      <w:tr w:rsidR="00EF2095" w:rsidTr="00B33848">
        <w:trPr>
          <w:trHeight w:val="294"/>
        </w:trPr>
        <w:tc>
          <w:tcPr>
            <w:tcW w:w="2898" w:type="dxa"/>
          </w:tcPr>
          <w:p w:rsidR="006832D9" w:rsidRPr="00F6240A" w:rsidRDefault="006832D9" w:rsidP="00843796">
            <w:pPr>
              <w:rPr>
                <w:b/>
              </w:rPr>
            </w:pPr>
            <w:r>
              <w:rPr>
                <w:b/>
              </w:rPr>
              <w:t>Totals</w:t>
            </w:r>
          </w:p>
        </w:tc>
        <w:tc>
          <w:tcPr>
            <w:tcW w:w="2610" w:type="dxa"/>
          </w:tcPr>
          <w:p w:rsidR="006832D9" w:rsidRPr="00F6240A" w:rsidRDefault="004C700A" w:rsidP="004C700A">
            <w:pPr>
              <w:rPr>
                <w:b/>
              </w:rPr>
            </w:pPr>
            <w:r>
              <w:rPr>
                <w:b/>
              </w:rPr>
              <w:t>200</w:t>
            </w:r>
            <w:r w:rsidR="00B7783F">
              <w:rPr>
                <w:b/>
              </w:rPr>
              <w:t xml:space="preserve"> </w:t>
            </w:r>
            <w:r w:rsidR="00B7783F">
              <w:t>(</w:t>
            </w:r>
            <w:r>
              <w:t>2 years</w:t>
            </w:r>
            <w:r w:rsidR="00B7783F">
              <w:t>)</w:t>
            </w:r>
          </w:p>
        </w:tc>
        <w:tc>
          <w:tcPr>
            <w:tcW w:w="2250" w:type="dxa"/>
          </w:tcPr>
          <w:p w:rsidR="006832D9" w:rsidRPr="00006A24" w:rsidRDefault="00B33848" w:rsidP="00D70CC0">
            <w:pPr>
              <w:rPr>
                <w:b/>
              </w:rPr>
            </w:pPr>
            <w:r>
              <w:rPr>
                <w:b/>
              </w:rPr>
              <w:t>5</w:t>
            </w:r>
            <w:r w:rsidR="00FB1B86">
              <w:rPr>
                <w:b/>
              </w:rPr>
              <w:t xml:space="preserve"> minutes</w:t>
            </w:r>
          </w:p>
        </w:tc>
        <w:tc>
          <w:tcPr>
            <w:tcW w:w="1375" w:type="dxa"/>
          </w:tcPr>
          <w:p w:rsidR="006832D9" w:rsidRPr="00F6240A" w:rsidRDefault="004C700A" w:rsidP="00843796">
            <w:pPr>
              <w:rPr>
                <w:b/>
              </w:rPr>
            </w:pPr>
            <w:r>
              <w:rPr>
                <w:b/>
              </w:rPr>
              <w:t>17</w:t>
            </w:r>
            <w:r w:rsidR="0096058A">
              <w:rPr>
                <w:b/>
              </w:rPr>
              <w:t xml:space="preserve"> </w:t>
            </w:r>
            <w:r w:rsidR="00FB1B86">
              <w:rPr>
                <w:b/>
              </w:rP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96058A">
        <w:rPr>
          <w:u w:val="single"/>
        </w:rPr>
        <w:t>__</w:t>
      </w:r>
      <w:r w:rsidR="0096058A" w:rsidRPr="0096058A">
        <w:rPr>
          <w:u w:val="single"/>
        </w:rPr>
        <w:t>$0</w:t>
      </w:r>
      <w:r w:rsidR="00C86E91" w:rsidRPr="0096058A">
        <w:rPr>
          <w:u w:val="single"/>
        </w:rPr>
        <w:t>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580AFA">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A27B8A">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27B8A">
        <w:t xml:space="preserve"> x </w:t>
      </w:r>
      <w:r>
        <w:t>] Yes</w:t>
      </w:r>
      <w:r>
        <w:tab/>
        <w:t>[</w:t>
      </w:r>
      <w:r w:rsidR="00B33848">
        <w:t xml:space="preserve">  </w:t>
      </w:r>
      <w:r>
        <w:t>]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33848" w:rsidRDefault="00B33848" w:rsidP="001B0AAA"/>
    <w:p w:rsidR="00B33848" w:rsidRDefault="00A27B8A" w:rsidP="001B0AAA">
      <w:r>
        <w:t xml:space="preserve">The group of respondents will be </w:t>
      </w:r>
      <w:r w:rsidR="00B7783F">
        <w:t xml:space="preserve">known and will consist of the </w:t>
      </w:r>
      <w:r w:rsidR="004C700A">
        <w:t xml:space="preserve">scientific community members </w:t>
      </w:r>
      <w:r w:rsidR="00B7783F">
        <w:t xml:space="preserve">  that have submitted a </w:t>
      </w:r>
      <w:r w:rsidR="004C700A">
        <w:t>potential EFRI topic for the EFRI</w:t>
      </w:r>
      <w:r w:rsidR="00B7783F">
        <w:t xml:space="preserve"> program. </w:t>
      </w:r>
      <w:r w:rsidR="009C5BA8">
        <w:t xml:space="preserve">We will attempt a census of all applicants. However, we acknowledge that it is likely that not all applicants will respond. There may be selection bias as with any customer satisfaction survey. Those with particularly negative experiences may be more </w:t>
      </w:r>
      <w:r w:rsidR="00162EFF">
        <w:t xml:space="preserve">likely to respond to the survey, for example. Another possibility is that we may see more participation from first-time applicants or return applicants. If we see &lt;80% response rate, we will evaluate non-response. One measure will be to compare the reported </w:t>
      </w:r>
      <w:r w:rsidR="004C700A">
        <w:t xml:space="preserve">percentage </w:t>
      </w:r>
      <w:r w:rsidR="0048577E">
        <w:t>of the respondents with topics</w:t>
      </w:r>
      <w:r w:rsidR="004C700A">
        <w:t xml:space="preserve"> that were not invited further in the selection process (to present at NSF for example) </w:t>
      </w:r>
      <w:r w:rsidR="00162EFF">
        <w:t>to</w:t>
      </w:r>
      <w:r w:rsidR="00383742">
        <w:t xml:space="preserve"> those of the entire population. We know the characteristics of the entire population because of </w:t>
      </w:r>
      <w:r w:rsidR="00162EFF">
        <w:t>administrative data</w:t>
      </w:r>
      <w:r w:rsidR="00383742">
        <w:t xml:space="preserve"> that we have available</w:t>
      </w:r>
      <w:r w:rsidR="00162EFF">
        <w:t xml:space="preserve"> </w:t>
      </w:r>
      <w:r w:rsidR="00383742">
        <w:t>at</w:t>
      </w:r>
      <w:r w:rsidR="00162EFF">
        <w:t xml:space="preserve"> a high response rate</w:t>
      </w:r>
      <w:r w:rsidR="00383742">
        <w:t xml:space="preserve"> via the </w:t>
      </w:r>
      <w:r w:rsidR="004C700A">
        <w:t>topic submission</w:t>
      </w:r>
      <w:r w:rsidR="00162EFF">
        <w:t>. We could also explore any relationship between the time o</w:t>
      </w:r>
      <w:r w:rsidR="00D63F21">
        <w:t>f response (e.g., immediately following email receipt versus a month later and/or after a 2</w:t>
      </w:r>
      <w:r w:rsidR="00D63F21" w:rsidRPr="00D63F21">
        <w:rPr>
          <w:vertAlign w:val="superscript"/>
        </w:rPr>
        <w:t>nd</w:t>
      </w:r>
      <w:r w:rsidR="00D63F21">
        <w:t xml:space="preserve"> follow-up email) and responses. </w:t>
      </w:r>
    </w:p>
    <w:p w:rsidR="00A403BB" w:rsidRPr="00DE6637" w:rsidRDefault="00A403BB" w:rsidP="00A403BB">
      <w:pPr>
        <w:pStyle w:val="ListParagraph"/>
        <w:rPr>
          <w:color w:val="FF0000"/>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CA3437" w:rsidRPr="0096058A">
        <w:t>x</w:t>
      </w:r>
      <w:r w:rsidR="001B0AAA" w:rsidRPr="0096058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A27B8A">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A27B8A">
        <w:t xml:space="preserve">  </w:t>
      </w:r>
      <w:r>
        <w:t xml:space="preserve"> ] Yes [ </w:t>
      </w:r>
      <w:r w:rsidR="00A27B8A">
        <w:t>x</w:t>
      </w:r>
      <w:r>
        <w:t xml:space="preserve"> ] No </w:t>
      </w:r>
    </w:p>
    <w:p w:rsidR="005E714A" w:rsidRDefault="005E714A" w:rsidP="00A27B8A"/>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532" w:rsidRDefault="005D0532">
      <w:r>
        <w:separator/>
      </w:r>
    </w:p>
  </w:endnote>
  <w:endnote w:type="continuationSeparator" w:id="0">
    <w:p w:rsidR="005D0532" w:rsidRDefault="005D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274" w:rsidRDefault="00970B96">
    <w:pPr>
      <w:pStyle w:val="Footer"/>
      <w:tabs>
        <w:tab w:val="clear" w:pos="8640"/>
        <w:tab w:val="right" w:pos="9000"/>
      </w:tabs>
      <w:jc w:val="center"/>
      <w:rPr>
        <w:iCs/>
        <w:sz w:val="20"/>
        <w:szCs w:val="20"/>
      </w:rPr>
    </w:pPr>
    <w:r>
      <w:rPr>
        <w:rStyle w:val="PageNumber"/>
        <w:sz w:val="20"/>
        <w:szCs w:val="20"/>
      </w:rPr>
      <w:fldChar w:fldCharType="begin"/>
    </w:r>
    <w:r w:rsidR="00D37274">
      <w:rPr>
        <w:rStyle w:val="PageNumber"/>
        <w:sz w:val="20"/>
        <w:szCs w:val="20"/>
      </w:rPr>
      <w:instrText xml:space="preserve"> PAGE </w:instrText>
    </w:r>
    <w:r>
      <w:rPr>
        <w:rStyle w:val="PageNumber"/>
        <w:sz w:val="20"/>
        <w:szCs w:val="20"/>
      </w:rPr>
      <w:fldChar w:fldCharType="separate"/>
    </w:r>
    <w:r w:rsidR="00253577">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532" w:rsidRDefault="005D0532">
      <w:r>
        <w:separator/>
      </w:r>
    </w:p>
  </w:footnote>
  <w:footnote w:type="continuationSeparator" w:id="0">
    <w:p w:rsidR="005D0532" w:rsidRDefault="005D0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A24"/>
    <w:rsid w:val="00023A57"/>
    <w:rsid w:val="00023C53"/>
    <w:rsid w:val="00027431"/>
    <w:rsid w:val="00047A64"/>
    <w:rsid w:val="00052B30"/>
    <w:rsid w:val="0006437F"/>
    <w:rsid w:val="00067329"/>
    <w:rsid w:val="000B2838"/>
    <w:rsid w:val="000D44CA"/>
    <w:rsid w:val="000E200B"/>
    <w:rsid w:val="000F68BE"/>
    <w:rsid w:val="00133FB3"/>
    <w:rsid w:val="00162EFF"/>
    <w:rsid w:val="001927A4"/>
    <w:rsid w:val="00194AC6"/>
    <w:rsid w:val="001A23B0"/>
    <w:rsid w:val="001A25CC"/>
    <w:rsid w:val="001B032D"/>
    <w:rsid w:val="001B0AAA"/>
    <w:rsid w:val="001C39F7"/>
    <w:rsid w:val="001D68D7"/>
    <w:rsid w:val="00231948"/>
    <w:rsid w:val="00237B48"/>
    <w:rsid w:val="0024521E"/>
    <w:rsid w:val="00253577"/>
    <w:rsid w:val="00263C3D"/>
    <w:rsid w:val="00274D0B"/>
    <w:rsid w:val="002B3C95"/>
    <w:rsid w:val="002D0B92"/>
    <w:rsid w:val="00383742"/>
    <w:rsid w:val="003A3469"/>
    <w:rsid w:val="003B367B"/>
    <w:rsid w:val="003B3D16"/>
    <w:rsid w:val="003D5BBE"/>
    <w:rsid w:val="003E3C61"/>
    <w:rsid w:val="003F1C5B"/>
    <w:rsid w:val="003F4A8C"/>
    <w:rsid w:val="004107A1"/>
    <w:rsid w:val="00426947"/>
    <w:rsid w:val="00434E33"/>
    <w:rsid w:val="00441434"/>
    <w:rsid w:val="0045264C"/>
    <w:rsid w:val="00464353"/>
    <w:rsid w:val="0048577E"/>
    <w:rsid w:val="004876EC"/>
    <w:rsid w:val="004C700A"/>
    <w:rsid w:val="004D27ED"/>
    <w:rsid w:val="004D6E14"/>
    <w:rsid w:val="005009B0"/>
    <w:rsid w:val="005336D0"/>
    <w:rsid w:val="00535FDD"/>
    <w:rsid w:val="00543A92"/>
    <w:rsid w:val="00567BFD"/>
    <w:rsid w:val="00580AFA"/>
    <w:rsid w:val="005A1006"/>
    <w:rsid w:val="005A4D4B"/>
    <w:rsid w:val="005D0532"/>
    <w:rsid w:val="005E714A"/>
    <w:rsid w:val="006140A0"/>
    <w:rsid w:val="00635F15"/>
    <w:rsid w:val="00636621"/>
    <w:rsid w:val="00642B49"/>
    <w:rsid w:val="006832D9"/>
    <w:rsid w:val="0069403B"/>
    <w:rsid w:val="006C040C"/>
    <w:rsid w:val="006E6B16"/>
    <w:rsid w:val="006F26ED"/>
    <w:rsid w:val="006F3DDE"/>
    <w:rsid w:val="00704678"/>
    <w:rsid w:val="007425E7"/>
    <w:rsid w:val="00795C07"/>
    <w:rsid w:val="007D5BEE"/>
    <w:rsid w:val="007E55EA"/>
    <w:rsid w:val="008009CC"/>
    <w:rsid w:val="00802607"/>
    <w:rsid w:val="008101A5"/>
    <w:rsid w:val="00822664"/>
    <w:rsid w:val="00843796"/>
    <w:rsid w:val="008709AF"/>
    <w:rsid w:val="00881FE8"/>
    <w:rsid w:val="008872B7"/>
    <w:rsid w:val="00895229"/>
    <w:rsid w:val="008F0203"/>
    <w:rsid w:val="008F50D4"/>
    <w:rsid w:val="008F708C"/>
    <w:rsid w:val="0090783F"/>
    <w:rsid w:val="009239AA"/>
    <w:rsid w:val="00935ADA"/>
    <w:rsid w:val="00946B6C"/>
    <w:rsid w:val="00955A71"/>
    <w:rsid w:val="0096058A"/>
    <w:rsid w:val="0096108F"/>
    <w:rsid w:val="00970B96"/>
    <w:rsid w:val="009C13B9"/>
    <w:rsid w:val="009C5BA8"/>
    <w:rsid w:val="009D01A2"/>
    <w:rsid w:val="009F5923"/>
    <w:rsid w:val="00A27B8A"/>
    <w:rsid w:val="00A403BB"/>
    <w:rsid w:val="00A57349"/>
    <w:rsid w:val="00A674DF"/>
    <w:rsid w:val="00A83AA6"/>
    <w:rsid w:val="00AA3931"/>
    <w:rsid w:val="00AC0F57"/>
    <w:rsid w:val="00AC1D10"/>
    <w:rsid w:val="00AC75C4"/>
    <w:rsid w:val="00AE1809"/>
    <w:rsid w:val="00B0034D"/>
    <w:rsid w:val="00B0703E"/>
    <w:rsid w:val="00B2465E"/>
    <w:rsid w:val="00B33848"/>
    <w:rsid w:val="00B362D4"/>
    <w:rsid w:val="00B7676E"/>
    <w:rsid w:val="00B7783F"/>
    <w:rsid w:val="00B80D76"/>
    <w:rsid w:val="00BA2105"/>
    <w:rsid w:val="00BA7E06"/>
    <w:rsid w:val="00BB43B5"/>
    <w:rsid w:val="00BB6219"/>
    <w:rsid w:val="00BD290F"/>
    <w:rsid w:val="00C14CC4"/>
    <w:rsid w:val="00C3145E"/>
    <w:rsid w:val="00C33C52"/>
    <w:rsid w:val="00C40D8B"/>
    <w:rsid w:val="00C715EE"/>
    <w:rsid w:val="00C8407A"/>
    <w:rsid w:val="00C8488C"/>
    <w:rsid w:val="00C86E91"/>
    <w:rsid w:val="00CA2650"/>
    <w:rsid w:val="00CA3437"/>
    <w:rsid w:val="00CB1078"/>
    <w:rsid w:val="00CC6FAF"/>
    <w:rsid w:val="00CF1A76"/>
    <w:rsid w:val="00D0653E"/>
    <w:rsid w:val="00D24698"/>
    <w:rsid w:val="00D336CA"/>
    <w:rsid w:val="00D37274"/>
    <w:rsid w:val="00D6198F"/>
    <w:rsid w:val="00D6383F"/>
    <w:rsid w:val="00D63F21"/>
    <w:rsid w:val="00D70CC0"/>
    <w:rsid w:val="00DB4DB3"/>
    <w:rsid w:val="00DB59D0"/>
    <w:rsid w:val="00DB6C13"/>
    <w:rsid w:val="00DB7973"/>
    <w:rsid w:val="00DC33D3"/>
    <w:rsid w:val="00DD03D3"/>
    <w:rsid w:val="00DE4C70"/>
    <w:rsid w:val="00DE6637"/>
    <w:rsid w:val="00E26329"/>
    <w:rsid w:val="00E40B50"/>
    <w:rsid w:val="00E50293"/>
    <w:rsid w:val="00E65FFC"/>
    <w:rsid w:val="00E80951"/>
    <w:rsid w:val="00E86CC6"/>
    <w:rsid w:val="00EA714D"/>
    <w:rsid w:val="00EB56B3"/>
    <w:rsid w:val="00ED6492"/>
    <w:rsid w:val="00EF2095"/>
    <w:rsid w:val="00F06866"/>
    <w:rsid w:val="00F142DD"/>
    <w:rsid w:val="00F15956"/>
    <w:rsid w:val="00F24CFC"/>
    <w:rsid w:val="00F26BF1"/>
    <w:rsid w:val="00F3170F"/>
    <w:rsid w:val="00F976B0"/>
    <w:rsid w:val="00FA6DE7"/>
    <w:rsid w:val="00FB1B86"/>
    <w:rsid w:val="00FC0A8E"/>
    <w:rsid w:val="00FD3B5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635F15"/>
    <w:rPr>
      <w:color w:val="0000FF" w:themeColor="hyperlink"/>
      <w:u w:val="single"/>
    </w:rPr>
  </w:style>
  <w:style w:type="character" w:styleId="Strong">
    <w:name w:val="Strong"/>
    <w:basedOn w:val="DefaultParagraphFont"/>
    <w:uiPriority w:val="22"/>
    <w:qFormat/>
    <w:rsid w:val="001B03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635F15"/>
    <w:rPr>
      <w:color w:val="0000FF" w:themeColor="hyperlink"/>
      <w:u w:val="single"/>
    </w:rPr>
  </w:style>
  <w:style w:type="character" w:styleId="Strong">
    <w:name w:val="Strong"/>
    <w:basedOn w:val="DefaultParagraphFont"/>
    <w:uiPriority w:val="22"/>
    <w:qFormat/>
    <w:rsid w:val="001B0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737333">
      <w:bodyDiv w:val="1"/>
      <w:marLeft w:val="0"/>
      <w:marRight w:val="0"/>
      <w:marTop w:val="0"/>
      <w:marBottom w:val="0"/>
      <w:divBdr>
        <w:top w:val="none" w:sz="0" w:space="0" w:color="auto"/>
        <w:left w:val="none" w:sz="0" w:space="0" w:color="auto"/>
        <w:bottom w:val="none" w:sz="0" w:space="0" w:color="auto"/>
        <w:right w:val="none" w:sz="0" w:space="0" w:color="auto"/>
      </w:divBdr>
    </w:div>
    <w:div w:id="17177751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5195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2</cp:revision>
  <cp:lastPrinted>2014-09-26T13:14:00Z</cp:lastPrinted>
  <dcterms:created xsi:type="dcterms:W3CDTF">2014-09-26T13:16:00Z</dcterms:created>
  <dcterms:modified xsi:type="dcterms:W3CDTF">2014-09-26T13:16:00Z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