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C715EE">
        <w:rPr>
          <w:sz w:val="28"/>
        </w:rPr>
        <w:t>3145</w:t>
      </w:r>
      <w:r>
        <w:rPr>
          <w:sz w:val="28"/>
        </w:rPr>
        <w:t>-</w:t>
      </w:r>
      <w:r w:rsidR="00C715EE">
        <w:rPr>
          <w:sz w:val="28"/>
        </w:rPr>
        <w:t>0215</w:t>
      </w:r>
      <w:r>
        <w:rPr>
          <w:sz w:val="28"/>
        </w:rPr>
        <w:t>)</w:t>
      </w:r>
    </w:p>
    <w:p w:rsidR="00E50293" w:rsidRDefault="006C040C"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p>
    <w:p w:rsidR="00635F15" w:rsidRPr="009239AA" w:rsidRDefault="00635F15" w:rsidP="00434E33">
      <w:pPr>
        <w:rPr>
          <w:b/>
        </w:rPr>
      </w:pPr>
    </w:p>
    <w:p w:rsidR="00AC1D10" w:rsidRPr="00AC1D10" w:rsidRDefault="00AC1D10" w:rsidP="00AC1D10">
      <w:pPr>
        <w:rPr>
          <w:bCs/>
        </w:rPr>
      </w:pPr>
      <w:r w:rsidRPr="00AC1D10">
        <w:rPr>
          <w:bCs/>
        </w:rPr>
        <w:t>Feedback Survey Regarding NSF SBIR/STTR Phase I Proposal Submission</w:t>
      </w:r>
    </w:p>
    <w:p w:rsidR="00635F15" w:rsidRDefault="00AC1D10" w:rsidP="00AC1D10">
      <w:pPr>
        <w:rPr>
          <w:bCs/>
        </w:rPr>
      </w:pPr>
      <w:r w:rsidRPr="00AC1D10">
        <w:rPr>
          <w:bCs/>
        </w:rPr>
        <w:t>Process</w:t>
      </w:r>
    </w:p>
    <w:p w:rsidR="00AC1D10" w:rsidRDefault="00AC1D10" w:rsidP="00AC1D10"/>
    <w:p w:rsidR="001B0AAA" w:rsidRDefault="00F15956">
      <w:r>
        <w:rPr>
          <w:b/>
        </w:rPr>
        <w:t>PURPOSE</w:t>
      </w:r>
      <w:r w:rsidRPr="009239AA">
        <w:rPr>
          <w:b/>
        </w:rPr>
        <w:t>:</w:t>
      </w:r>
      <w:r w:rsidR="00C14CC4" w:rsidRPr="009239AA">
        <w:rPr>
          <w:b/>
        </w:rPr>
        <w:t xml:space="preserve">  </w:t>
      </w:r>
    </w:p>
    <w:p w:rsidR="001B0AAA" w:rsidRDefault="001B0AAA"/>
    <w:p w:rsidR="00AA3931" w:rsidRDefault="005A4D4B" w:rsidP="003A3469">
      <w:pPr>
        <w:rPr>
          <w:bCs/>
        </w:rPr>
      </w:pPr>
      <w:r w:rsidRPr="003A3469">
        <w:rPr>
          <w:bCs/>
        </w:rPr>
        <w:t>We are requesting v</w:t>
      </w:r>
      <w:r w:rsidR="003A3469">
        <w:rPr>
          <w:bCs/>
        </w:rPr>
        <w:t xml:space="preserve">oluntary </w:t>
      </w:r>
      <w:r w:rsidR="00543A92">
        <w:rPr>
          <w:bCs/>
        </w:rPr>
        <w:t>feedback</w:t>
      </w:r>
      <w:r w:rsidR="003A3469">
        <w:rPr>
          <w:bCs/>
        </w:rPr>
        <w:t xml:space="preserve"> from </w:t>
      </w:r>
      <w:r w:rsidR="00DB4DB3">
        <w:rPr>
          <w:bCs/>
        </w:rPr>
        <w:t>NSF SBIR/STTR applicants</w:t>
      </w:r>
      <w:r w:rsidR="00AA3931">
        <w:rPr>
          <w:bCs/>
        </w:rPr>
        <w:t xml:space="preserve"> </w:t>
      </w:r>
      <w:r w:rsidR="00DB4DB3">
        <w:rPr>
          <w:bCs/>
        </w:rPr>
        <w:t xml:space="preserve">concerning their satisfaction with the proposal preparation help and submission process. Outreach to new firms has been a priority of the SBIR program in general and specifically at the NSF SBIR/STTR program. In particular, this effort is underpinned by an administrative 3% set aside of the NSF SBIR/STTR budget that is mandated by Congress for outreach activities. We have employed multiple techniques to reach out to and better prepare new proposers. However, we need to better evaluate these efforts to guide future strategy. </w:t>
      </w:r>
      <w:r w:rsidR="001D68D7">
        <w:rPr>
          <w:bCs/>
        </w:rPr>
        <w:t xml:space="preserve">Participants will be asked to complete a short questionnaire regarding their experience. The questionnaire will be administered </w:t>
      </w:r>
      <w:r w:rsidR="00DB4DB3">
        <w:rPr>
          <w:bCs/>
        </w:rPr>
        <w:t>after the proposers have submitted</w:t>
      </w:r>
      <w:r w:rsidR="001D68D7">
        <w:rPr>
          <w:bCs/>
        </w:rPr>
        <w:t>, using</w:t>
      </w:r>
      <w:r w:rsidR="00AA3931">
        <w:rPr>
          <w:bCs/>
        </w:rPr>
        <w:t xml:space="preserve"> </w:t>
      </w:r>
      <w:r w:rsidR="001D68D7" w:rsidRPr="003A3469">
        <w:rPr>
          <w:bCs/>
        </w:rPr>
        <w:t>www.surveymonkey.com</w:t>
      </w:r>
      <w:r w:rsidR="001D68D7">
        <w:rPr>
          <w:bCs/>
        </w:rPr>
        <w:t>.</w:t>
      </w:r>
    </w:p>
    <w:p w:rsidR="00AA3931" w:rsidRDefault="00AA3931" w:rsidP="003A3469">
      <w:pPr>
        <w:rPr>
          <w:bCs/>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Pr="003A3469" w:rsidRDefault="00D70CC0">
      <w:pPr>
        <w:rPr>
          <w:bCs/>
        </w:rPr>
      </w:pPr>
      <w:r w:rsidRPr="003A3469">
        <w:rPr>
          <w:bCs/>
        </w:rPr>
        <w:t>The respo</w:t>
      </w:r>
      <w:r w:rsidR="00DB4DB3">
        <w:rPr>
          <w:bCs/>
        </w:rPr>
        <w:t>ndents to this query will be applicants who have submitted to the NSF SBIR/STTR Program, specifically in the most recent submission window. There are two submission windows each year, with approximately 1,000 applications to each. The “submission cohort” of the respondents will be known, but the respondents will otherwise be anonymous.</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proofErr w:type="gramStart"/>
      <w:r w:rsidR="00D70CC0" w:rsidRPr="00543A92">
        <w:rPr>
          <w:bCs/>
          <w:sz w:val="24"/>
        </w:rPr>
        <w:t>x</w:t>
      </w:r>
      <w:r w:rsidRPr="00543A92">
        <w:rPr>
          <w:bCs/>
          <w:sz w:val="24"/>
        </w:rPr>
        <w:t xml:space="preserve"> </w:t>
      </w:r>
      <w:r w:rsidRPr="00F06866">
        <w:rPr>
          <w:bCs/>
          <w:sz w:val="24"/>
        </w:rPr>
        <w:t>]</w:t>
      </w:r>
      <w:proofErr w:type="gramEnd"/>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052B30">
        <w:rPr>
          <w:bCs/>
          <w:color w:val="FF0000"/>
          <w:sz w:val="24"/>
        </w:rPr>
        <w:t xml:space="preserve"> </w:t>
      </w: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_____</w:t>
      </w:r>
      <w:r w:rsidR="00C715EE">
        <w:rPr>
          <w:u w:val="single"/>
        </w:rPr>
        <w:t>Suzanne</w:t>
      </w:r>
      <w:proofErr w:type="spellEnd"/>
      <w:r w:rsidR="00C715EE">
        <w:rPr>
          <w:u w:val="single"/>
        </w:rPr>
        <w:t xml:space="preserve"> Plimpton, NSF Reports Clearance Officer</w:t>
      </w:r>
      <w:r>
        <w:t>______________________</w:t>
      </w:r>
    </w:p>
    <w:p w:rsidR="009C13B9" w:rsidRDefault="009C13B9" w:rsidP="009C13B9">
      <w:pPr>
        <w:pStyle w:val="ListParagraph"/>
        <w:ind w:left="360"/>
      </w:pPr>
    </w:p>
    <w:p w:rsidR="009C13B9" w:rsidRDefault="009C13B9" w:rsidP="009C13B9">
      <w:r>
        <w:lastRenderedPageBreak/>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xml:space="preserve">[ </w:t>
      </w:r>
      <w:r w:rsidR="0096058A">
        <w:rPr>
          <w:color w:val="FF0000"/>
        </w:rPr>
        <w:t xml:space="preserve"> </w:t>
      </w:r>
      <w:r w:rsidR="009239AA">
        <w:t xml:space="preserve"> ] Yes  [ </w:t>
      </w:r>
      <w:r w:rsidR="0096058A">
        <w:t xml:space="preserve">x </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w:t>
      </w:r>
      <w:r w:rsidR="0096058A">
        <w:t xml:space="preserve"> </w:t>
      </w:r>
      <w:r w:rsidR="007E55EA">
        <w:t xml:space="preserve"> </w:t>
      </w:r>
      <w:r w:rsidR="009239AA">
        <w:t>] No</w:t>
      </w:r>
      <w:r w:rsidR="00C86E91">
        <w:t xml:space="preserve">   </w:t>
      </w:r>
    </w:p>
    <w:p w:rsidR="00C86E91" w:rsidRDefault="00C86E91" w:rsidP="00C86E91">
      <w:pPr>
        <w:pStyle w:val="ListParagraph"/>
        <w:numPr>
          <w:ilvl w:val="0"/>
          <w:numId w:val="18"/>
        </w:numPr>
      </w:pPr>
      <w:r>
        <w:t xml:space="preserve">If Applicable, has a System or Records Notice been published?  [ </w:t>
      </w:r>
      <w:r w:rsidR="007E55EA">
        <w:t xml:space="preserve"> </w:t>
      </w:r>
      <w:r>
        <w:t xml:space="preserve"> ] Yes  [ </w:t>
      </w:r>
      <w:r w:rsidR="007E55EA">
        <w:t xml:space="preserve"> </w:t>
      </w:r>
      <w:r>
        <w:t xml:space="preserve">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D70CC0" w:rsidRPr="0096058A">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r w:rsidR="00B33848">
        <w:t xml:space="preserve">(for each </w:t>
      </w:r>
      <w:r w:rsidR="00B7783F">
        <w:t>proposal submission window</w:t>
      </w:r>
      <w:r w:rsidR="00B33848">
        <w:t>)</w:t>
      </w:r>
    </w:p>
    <w:p w:rsidR="006832D9" w:rsidRPr="006832D9" w:rsidRDefault="006832D9" w:rsidP="00F3170F">
      <w:pPr>
        <w:keepNext/>
        <w:keepLines/>
        <w:rPr>
          <w:b/>
        </w:rPr>
      </w:pPr>
    </w:p>
    <w:tbl>
      <w:tblPr>
        <w:tblStyle w:val="TableGrid"/>
        <w:tblW w:w="9133" w:type="dxa"/>
        <w:tblLayout w:type="fixed"/>
        <w:tblLook w:val="01E0" w:firstRow="1" w:lastRow="1" w:firstColumn="1" w:lastColumn="1" w:noHBand="0" w:noVBand="0"/>
      </w:tblPr>
      <w:tblGrid>
        <w:gridCol w:w="2898"/>
        <w:gridCol w:w="2610"/>
        <w:gridCol w:w="2250"/>
        <w:gridCol w:w="1375"/>
      </w:tblGrid>
      <w:tr w:rsidR="00EF2095" w:rsidTr="00B33848">
        <w:trPr>
          <w:trHeight w:val="278"/>
        </w:trPr>
        <w:tc>
          <w:tcPr>
            <w:tcW w:w="2898" w:type="dxa"/>
          </w:tcPr>
          <w:p w:rsidR="006832D9" w:rsidRPr="00F6240A" w:rsidRDefault="00E40B50" w:rsidP="00C8488C">
            <w:pPr>
              <w:rPr>
                <w:b/>
              </w:rPr>
            </w:pPr>
            <w:r>
              <w:rPr>
                <w:b/>
              </w:rPr>
              <w:t>Category of Respondent</w:t>
            </w:r>
            <w:r w:rsidR="00EF2095">
              <w:rPr>
                <w:b/>
              </w:rPr>
              <w:t xml:space="preserve"> </w:t>
            </w:r>
          </w:p>
        </w:tc>
        <w:tc>
          <w:tcPr>
            <w:tcW w:w="26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250" w:type="dxa"/>
          </w:tcPr>
          <w:p w:rsidR="006832D9" w:rsidRPr="00F6240A" w:rsidRDefault="006832D9" w:rsidP="00843796">
            <w:pPr>
              <w:rPr>
                <w:b/>
              </w:rPr>
            </w:pPr>
            <w:r w:rsidRPr="00F6240A">
              <w:rPr>
                <w:b/>
              </w:rPr>
              <w:t>Participation Time</w:t>
            </w:r>
          </w:p>
        </w:tc>
        <w:tc>
          <w:tcPr>
            <w:tcW w:w="1375" w:type="dxa"/>
          </w:tcPr>
          <w:p w:rsidR="006832D9" w:rsidRPr="00F6240A" w:rsidRDefault="006832D9" w:rsidP="00843796">
            <w:pPr>
              <w:rPr>
                <w:b/>
              </w:rPr>
            </w:pPr>
            <w:r w:rsidRPr="00F6240A">
              <w:rPr>
                <w:b/>
              </w:rPr>
              <w:t>Burden</w:t>
            </w:r>
          </w:p>
        </w:tc>
      </w:tr>
      <w:tr w:rsidR="00EF2095" w:rsidTr="00B33848">
        <w:trPr>
          <w:trHeight w:val="278"/>
        </w:trPr>
        <w:tc>
          <w:tcPr>
            <w:tcW w:w="2898" w:type="dxa"/>
          </w:tcPr>
          <w:p w:rsidR="006832D9" w:rsidRDefault="00C3145E" w:rsidP="00843796">
            <w:r>
              <w:t>Private Sector</w:t>
            </w:r>
          </w:p>
        </w:tc>
        <w:tc>
          <w:tcPr>
            <w:tcW w:w="2610" w:type="dxa"/>
          </w:tcPr>
          <w:p w:rsidR="006832D9" w:rsidRPr="0096058A" w:rsidRDefault="004D27ED" w:rsidP="00B33848">
            <w:r>
              <w:t>1,000</w:t>
            </w:r>
            <w:r w:rsidR="00B7783F">
              <w:t xml:space="preserve"> (every 6 months)</w:t>
            </w:r>
          </w:p>
        </w:tc>
        <w:tc>
          <w:tcPr>
            <w:tcW w:w="2250" w:type="dxa"/>
          </w:tcPr>
          <w:p w:rsidR="006832D9" w:rsidRPr="0096058A" w:rsidRDefault="00B33848" w:rsidP="00006A24">
            <w:r>
              <w:t>5</w:t>
            </w:r>
            <w:r w:rsidR="00FB1B86" w:rsidRPr="0096058A">
              <w:t xml:space="preserve"> minutes</w:t>
            </w:r>
            <w:r w:rsidR="00D70CC0" w:rsidRPr="0096058A">
              <w:t xml:space="preserve"> </w:t>
            </w:r>
          </w:p>
        </w:tc>
        <w:tc>
          <w:tcPr>
            <w:tcW w:w="1375" w:type="dxa"/>
          </w:tcPr>
          <w:p w:rsidR="006832D9" w:rsidRPr="0096058A" w:rsidRDefault="00B7783F" w:rsidP="002E7698">
            <w:r>
              <w:t>8</w:t>
            </w:r>
            <w:r w:rsidR="002E7698">
              <w:t>3</w:t>
            </w:r>
            <w:r w:rsidR="00FB1B86" w:rsidRPr="0096058A">
              <w:t xml:space="preserve"> hours</w:t>
            </w:r>
          </w:p>
        </w:tc>
      </w:tr>
      <w:tr w:rsidR="00D70CC0" w:rsidTr="00B33848">
        <w:trPr>
          <w:trHeight w:val="278"/>
        </w:trPr>
        <w:tc>
          <w:tcPr>
            <w:tcW w:w="2898" w:type="dxa"/>
          </w:tcPr>
          <w:p w:rsidR="00D70CC0" w:rsidRDefault="00D70CC0" w:rsidP="00843796"/>
        </w:tc>
        <w:tc>
          <w:tcPr>
            <w:tcW w:w="2610" w:type="dxa"/>
          </w:tcPr>
          <w:p w:rsidR="00D70CC0" w:rsidRDefault="00D70CC0" w:rsidP="00843796"/>
        </w:tc>
        <w:tc>
          <w:tcPr>
            <w:tcW w:w="2250" w:type="dxa"/>
          </w:tcPr>
          <w:p w:rsidR="00D70CC0" w:rsidRDefault="00D70CC0" w:rsidP="00D70CC0"/>
        </w:tc>
        <w:tc>
          <w:tcPr>
            <w:tcW w:w="1375" w:type="dxa"/>
          </w:tcPr>
          <w:p w:rsidR="00D70CC0" w:rsidRPr="00A67402" w:rsidRDefault="00D70CC0" w:rsidP="00006A24"/>
        </w:tc>
      </w:tr>
      <w:tr w:rsidR="00EF2095" w:rsidTr="00B33848">
        <w:trPr>
          <w:trHeight w:val="294"/>
        </w:trPr>
        <w:tc>
          <w:tcPr>
            <w:tcW w:w="2898" w:type="dxa"/>
          </w:tcPr>
          <w:p w:rsidR="006832D9" w:rsidRPr="00F6240A" w:rsidRDefault="006832D9" w:rsidP="00843796">
            <w:pPr>
              <w:rPr>
                <w:b/>
              </w:rPr>
            </w:pPr>
            <w:r>
              <w:rPr>
                <w:b/>
              </w:rPr>
              <w:t>Totals</w:t>
            </w:r>
          </w:p>
        </w:tc>
        <w:tc>
          <w:tcPr>
            <w:tcW w:w="2610" w:type="dxa"/>
          </w:tcPr>
          <w:p w:rsidR="006832D9" w:rsidRPr="00F6240A" w:rsidRDefault="004D27ED" w:rsidP="00843796">
            <w:pPr>
              <w:rPr>
                <w:b/>
              </w:rPr>
            </w:pPr>
            <w:r>
              <w:rPr>
                <w:b/>
              </w:rPr>
              <w:t>1,000</w:t>
            </w:r>
            <w:r w:rsidR="00B7783F">
              <w:rPr>
                <w:b/>
              </w:rPr>
              <w:t xml:space="preserve"> </w:t>
            </w:r>
            <w:r w:rsidR="00B7783F">
              <w:t>(every 6 months)</w:t>
            </w:r>
          </w:p>
        </w:tc>
        <w:tc>
          <w:tcPr>
            <w:tcW w:w="2250" w:type="dxa"/>
          </w:tcPr>
          <w:p w:rsidR="006832D9" w:rsidRPr="00006A24" w:rsidRDefault="00B33848" w:rsidP="00D70CC0">
            <w:pPr>
              <w:rPr>
                <w:b/>
              </w:rPr>
            </w:pPr>
            <w:r>
              <w:rPr>
                <w:b/>
              </w:rPr>
              <w:t>5</w:t>
            </w:r>
            <w:r w:rsidR="00FB1B86">
              <w:rPr>
                <w:b/>
              </w:rPr>
              <w:t xml:space="preserve"> minutes</w:t>
            </w:r>
          </w:p>
        </w:tc>
        <w:tc>
          <w:tcPr>
            <w:tcW w:w="1375" w:type="dxa"/>
          </w:tcPr>
          <w:p w:rsidR="006832D9" w:rsidRPr="00F6240A" w:rsidRDefault="00B7783F" w:rsidP="002E7698">
            <w:pPr>
              <w:rPr>
                <w:b/>
              </w:rPr>
            </w:pPr>
            <w:r>
              <w:rPr>
                <w:b/>
              </w:rPr>
              <w:t>8</w:t>
            </w:r>
            <w:r w:rsidR="002E7698">
              <w:rPr>
                <w:b/>
              </w:rPr>
              <w:t>3</w:t>
            </w:r>
            <w:bookmarkStart w:id="0" w:name="_GoBack"/>
            <w:bookmarkEnd w:id="0"/>
            <w:r w:rsidR="0096058A">
              <w:rPr>
                <w:b/>
              </w:rPr>
              <w:t xml:space="preserve"> </w:t>
            </w:r>
            <w:r w:rsidR="00FB1B86">
              <w:rPr>
                <w:b/>
              </w:rPr>
              <w:t>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 xml:space="preserve">is  </w:t>
      </w:r>
      <w:r w:rsidR="00C86E91" w:rsidRPr="0096058A">
        <w:rPr>
          <w:u w:val="single"/>
        </w:rPr>
        <w:t>_</w:t>
      </w:r>
      <w:proofErr w:type="gramEnd"/>
      <w:r w:rsidR="00C86E91" w:rsidRPr="0096058A">
        <w:rPr>
          <w:u w:val="single"/>
        </w:rPr>
        <w:t>_</w:t>
      </w:r>
      <w:r w:rsidR="0096058A" w:rsidRPr="0096058A">
        <w:rPr>
          <w:u w:val="single"/>
        </w:rPr>
        <w:t>$0</w:t>
      </w:r>
      <w:r w:rsidR="00C86E91" w:rsidRPr="0096058A">
        <w:rPr>
          <w:u w:val="single"/>
        </w:rPr>
        <w:t>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A27B8A">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proofErr w:type="gramStart"/>
      <w:r>
        <w:t>[</w:t>
      </w:r>
      <w:r w:rsidR="00A27B8A">
        <w:t xml:space="preserve"> x</w:t>
      </w:r>
      <w:proofErr w:type="gramEnd"/>
      <w:r w:rsidR="00A27B8A">
        <w:t xml:space="preserve"> </w:t>
      </w:r>
      <w:r>
        <w:t>] Yes</w:t>
      </w:r>
      <w:r>
        <w:tab/>
        <w:t>[</w:t>
      </w:r>
      <w:r w:rsidR="00B33848">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B33848" w:rsidRDefault="00B33848" w:rsidP="001B0AAA"/>
    <w:p w:rsidR="00B33848" w:rsidRDefault="00A27B8A" w:rsidP="001B0AAA">
      <w:r>
        <w:t xml:space="preserve">The group of respondents will be </w:t>
      </w:r>
      <w:r w:rsidR="00B7783F">
        <w:t xml:space="preserve">known and will consist of the Principal Investigators (PIs) that have submitted a proposal to a particular solicitation submission window for the SBIR/STTR program. </w:t>
      </w:r>
      <w:r w:rsidR="009C5BA8">
        <w:t xml:space="preserve">We will attempt a census of all applicants. However, we acknowledge that it is likely that not all applicants will respond. There may be selection bias as with any customer satisfaction survey. Those with particularly negative experiences may be more </w:t>
      </w:r>
      <w:r w:rsidR="00162EFF">
        <w:t>likely to respond to the survey, for example. Another possibility is that we may see more participation from first-time applicants or return applicants. If we see &lt;80% response rate, we will evaluate non-response. One measure will be to compare the reported “age” of the company and previous NSF application history of the respondents to</w:t>
      </w:r>
      <w:r w:rsidR="00383742">
        <w:t xml:space="preserve"> those of the entire population. We know the characteristics of the entire population because of </w:t>
      </w:r>
      <w:r w:rsidR="00162EFF">
        <w:t>administrative data</w:t>
      </w:r>
      <w:r w:rsidR="00383742">
        <w:t xml:space="preserve"> that we have available</w:t>
      </w:r>
      <w:r w:rsidR="00162EFF">
        <w:t xml:space="preserve"> </w:t>
      </w:r>
      <w:r w:rsidR="00383742">
        <w:t>at</w:t>
      </w:r>
      <w:r w:rsidR="00162EFF">
        <w:t xml:space="preserve"> a high response rate</w:t>
      </w:r>
      <w:r w:rsidR="00383742">
        <w:t xml:space="preserve"> via the proposal submission process</w:t>
      </w:r>
      <w:r w:rsidR="00162EFF">
        <w:t>. We could also explore any relationship between the time o</w:t>
      </w:r>
      <w:r w:rsidR="00D63F21">
        <w:t xml:space="preserve">f response (e.g., immediately following email receipt versus a month later </w:t>
      </w:r>
      <w:proofErr w:type="gramStart"/>
      <w:r w:rsidR="00D63F21">
        <w:t>and/or</w:t>
      </w:r>
      <w:proofErr w:type="gramEnd"/>
      <w:r w:rsidR="00D63F21">
        <w:t xml:space="preserve"> after a 2</w:t>
      </w:r>
      <w:r w:rsidR="00D63F21" w:rsidRPr="00D63F21">
        <w:rPr>
          <w:vertAlign w:val="superscript"/>
        </w:rPr>
        <w:t>nd</w:t>
      </w:r>
      <w:r w:rsidR="00D63F21">
        <w:t xml:space="preserve"> follow-up email) and responses. </w:t>
      </w:r>
    </w:p>
    <w:p w:rsidR="00A403BB" w:rsidRPr="00DE6637" w:rsidRDefault="00A403BB" w:rsidP="00A403BB">
      <w:pPr>
        <w:pStyle w:val="ListParagraph"/>
        <w:rPr>
          <w:color w:val="FF0000"/>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proofErr w:type="gramStart"/>
      <w:r>
        <w:t xml:space="preserve">[ </w:t>
      </w:r>
      <w:r w:rsidR="00CA3437" w:rsidRPr="0096058A">
        <w:t>x</w:t>
      </w:r>
      <w:proofErr w:type="gramEnd"/>
      <w:r w:rsidR="001B0AAA" w:rsidRPr="0096058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A27B8A">
        <w:t xml:space="preserve">  </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A27B8A">
        <w:t xml:space="preserve">  </w:t>
      </w:r>
      <w:r>
        <w:t xml:space="preserve"> ] Yes [ </w:t>
      </w:r>
      <w:r w:rsidR="00A27B8A">
        <w:t>x</w:t>
      </w:r>
      <w:r>
        <w:t xml:space="preserve"> ] No </w:t>
      </w:r>
    </w:p>
    <w:p w:rsidR="005E714A" w:rsidRDefault="005E714A" w:rsidP="00A27B8A"/>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0532" w:rsidRDefault="005D0532">
      <w:r>
        <w:separator/>
      </w:r>
    </w:p>
  </w:endnote>
  <w:endnote w:type="continuationSeparator" w:id="0">
    <w:p w:rsidR="005D0532" w:rsidRDefault="005D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274" w:rsidRDefault="00970B96">
    <w:pPr>
      <w:pStyle w:val="Footer"/>
      <w:tabs>
        <w:tab w:val="clear" w:pos="8640"/>
        <w:tab w:val="right" w:pos="9000"/>
      </w:tabs>
      <w:jc w:val="center"/>
      <w:rPr>
        <w:iCs/>
        <w:sz w:val="20"/>
        <w:szCs w:val="20"/>
      </w:rPr>
    </w:pPr>
    <w:r>
      <w:rPr>
        <w:rStyle w:val="PageNumber"/>
        <w:sz w:val="20"/>
        <w:szCs w:val="20"/>
      </w:rPr>
      <w:fldChar w:fldCharType="begin"/>
    </w:r>
    <w:r w:rsidR="00D37274">
      <w:rPr>
        <w:rStyle w:val="PageNumber"/>
        <w:sz w:val="20"/>
        <w:szCs w:val="20"/>
      </w:rPr>
      <w:instrText xml:space="preserve"> PAGE </w:instrText>
    </w:r>
    <w:r>
      <w:rPr>
        <w:rStyle w:val="PageNumber"/>
        <w:sz w:val="20"/>
        <w:szCs w:val="20"/>
      </w:rPr>
      <w:fldChar w:fldCharType="separate"/>
    </w:r>
    <w:r w:rsidR="002E7698">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0532" w:rsidRDefault="005D0532">
      <w:r>
        <w:separator/>
      </w:r>
    </w:p>
  </w:footnote>
  <w:footnote w:type="continuationSeparator" w:id="0">
    <w:p w:rsidR="005D0532" w:rsidRDefault="005D0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6A24"/>
    <w:rsid w:val="00023A57"/>
    <w:rsid w:val="00023C53"/>
    <w:rsid w:val="00027431"/>
    <w:rsid w:val="00047A64"/>
    <w:rsid w:val="00052B30"/>
    <w:rsid w:val="00067329"/>
    <w:rsid w:val="000B2838"/>
    <w:rsid w:val="000D44CA"/>
    <w:rsid w:val="000E200B"/>
    <w:rsid w:val="000F68BE"/>
    <w:rsid w:val="00133FB3"/>
    <w:rsid w:val="00162EFF"/>
    <w:rsid w:val="001927A4"/>
    <w:rsid w:val="00194AC6"/>
    <w:rsid w:val="001A23B0"/>
    <w:rsid w:val="001A25CC"/>
    <w:rsid w:val="001B0AAA"/>
    <w:rsid w:val="001C39F7"/>
    <w:rsid w:val="001D68D7"/>
    <w:rsid w:val="00237B48"/>
    <w:rsid w:val="0024521E"/>
    <w:rsid w:val="00263C3D"/>
    <w:rsid w:val="00274D0B"/>
    <w:rsid w:val="002B3C95"/>
    <w:rsid w:val="002D0B92"/>
    <w:rsid w:val="002E7698"/>
    <w:rsid w:val="00383742"/>
    <w:rsid w:val="003A3469"/>
    <w:rsid w:val="003B367B"/>
    <w:rsid w:val="003B3D16"/>
    <w:rsid w:val="003D5BBE"/>
    <w:rsid w:val="003E3C61"/>
    <w:rsid w:val="003F1C5B"/>
    <w:rsid w:val="003F4A8C"/>
    <w:rsid w:val="004107A1"/>
    <w:rsid w:val="00426947"/>
    <w:rsid w:val="00434E33"/>
    <w:rsid w:val="00441434"/>
    <w:rsid w:val="0045264C"/>
    <w:rsid w:val="00464353"/>
    <w:rsid w:val="004876EC"/>
    <w:rsid w:val="004D27ED"/>
    <w:rsid w:val="004D6E14"/>
    <w:rsid w:val="004F2534"/>
    <w:rsid w:val="005009B0"/>
    <w:rsid w:val="005336D0"/>
    <w:rsid w:val="00535FDD"/>
    <w:rsid w:val="00543A92"/>
    <w:rsid w:val="00567BFD"/>
    <w:rsid w:val="005A1006"/>
    <w:rsid w:val="005A4D4B"/>
    <w:rsid w:val="005D0532"/>
    <w:rsid w:val="005E714A"/>
    <w:rsid w:val="006140A0"/>
    <w:rsid w:val="00635F15"/>
    <w:rsid w:val="00636621"/>
    <w:rsid w:val="00642B49"/>
    <w:rsid w:val="006832D9"/>
    <w:rsid w:val="0069403B"/>
    <w:rsid w:val="006C040C"/>
    <w:rsid w:val="006E6B16"/>
    <w:rsid w:val="006F26ED"/>
    <w:rsid w:val="006F3DDE"/>
    <w:rsid w:val="00704678"/>
    <w:rsid w:val="007425E7"/>
    <w:rsid w:val="00795C07"/>
    <w:rsid w:val="007D5BEE"/>
    <w:rsid w:val="007E55EA"/>
    <w:rsid w:val="008009CC"/>
    <w:rsid w:val="00802607"/>
    <w:rsid w:val="008101A5"/>
    <w:rsid w:val="00822664"/>
    <w:rsid w:val="00843796"/>
    <w:rsid w:val="008709AF"/>
    <w:rsid w:val="00881FE8"/>
    <w:rsid w:val="008872B7"/>
    <w:rsid w:val="00895229"/>
    <w:rsid w:val="008F0203"/>
    <w:rsid w:val="008F50D4"/>
    <w:rsid w:val="008F708C"/>
    <w:rsid w:val="0090783F"/>
    <w:rsid w:val="009239AA"/>
    <w:rsid w:val="00935ADA"/>
    <w:rsid w:val="00946B6C"/>
    <w:rsid w:val="00955A71"/>
    <w:rsid w:val="0096058A"/>
    <w:rsid w:val="0096108F"/>
    <w:rsid w:val="00970B96"/>
    <w:rsid w:val="009C13B9"/>
    <w:rsid w:val="009C5BA8"/>
    <w:rsid w:val="009D01A2"/>
    <w:rsid w:val="009F5923"/>
    <w:rsid w:val="00A27B8A"/>
    <w:rsid w:val="00A403BB"/>
    <w:rsid w:val="00A57349"/>
    <w:rsid w:val="00A674DF"/>
    <w:rsid w:val="00A83AA6"/>
    <w:rsid w:val="00AA3931"/>
    <w:rsid w:val="00AC0F57"/>
    <w:rsid w:val="00AC1D10"/>
    <w:rsid w:val="00AC75C4"/>
    <w:rsid w:val="00AE1809"/>
    <w:rsid w:val="00B0034D"/>
    <w:rsid w:val="00B0703E"/>
    <w:rsid w:val="00B2465E"/>
    <w:rsid w:val="00B33848"/>
    <w:rsid w:val="00B362D4"/>
    <w:rsid w:val="00B7676E"/>
    <w:rsid w:val="00B7783F"/>
    <w:rsid w:val="00B80D76"/>
    <w:rsid w:val="00BA2105"/>
    <w:rsid w:val="00BA7E06"/>
    <w:rsid w:val="00BB43B5"/>
    <w:rsid w:val="00BB6219"/>
    <w:rsid w:val="00BD290F"/>
    <w:rsid w:val="00C14CC4"/>
    <w:rsid w:val="00C3145E"/>
    <w:rsid w:val="00C33C52"/>
    <w:rsid w:val="00C40D8B"/>
    <w:rsid w:val="00C715EE"/>
    <w:rsid w:val="00C8407A"/>
    <w:rsid w:val="00C8488C"/>
    <w:rsid w:val="00C86E91"/>
    <w:rsid w:val="00CA2650"/>
    <w:rsid w:val="00CA3437"/>
    <w:rsid w:val="00CB1078"/>
    <w:rsid w:val="00CC6FAF"/>
    <w:rsid w:val="00CF1A76"/>
    <w:rsid w:val="00D0653E"/>
    <w:rsid w:val="00D24698"/>
    <w:rsid w:val="00D336CA"/>
    <w:rsid w:val="00D37274"/>
    <w:rsid w:val="00D6198F"/>
    <w:rsid w:val="00D6383F"/>
    <w:rsid w:val="00D63F21"/>
    <w:rsid w:val="00D70CC0"/>
    <w:rsid w:val="00DB4DB3"/>
    <w:rsid w:val="00DB59D0"/>
    <w:rsid w:val="00DB7973"/>
    <w:rsid w:val="00DC33D3"/>
    <w:rsid w:val="00DD03D3"/>
    <w:rsid w:val="00DE4C70"/>
    <w:rsid w:val="00DE6637"/>
    <w:rsid w:val="00E26329"/>
    <w:rsid w:val="00E40B50"/>
    <w:rsid w:val="00E50293"/>
    <w:rsid w:val="00E65FFC"/>
    <w:rsid w:val="00E80951"/>
    <w:rsid w:val="00E86CC6"/>
    <w:rsid w:val="00EA714D"/>
    <w:rsid w:val="00EB56B3"/>
    <w:rsid w:val="00ED6492"/>
    <w:rsid w:val="00EF2095"/>
    <w:rsid w:val="00F06866"/>
    <w:rsid w:val="00F142DD"/>
    <w:rsid w:val="00F15956"/>
    <w:rsid w:val="00F24CFC"/>
    <w:rsid w:val="00F26BF1"/>
    <w:rsid w:val="00F3170F"/>
    <w:rsid w:val="00F976B0"/>
    <w:rsid w:val="00FA6DE7"/>
    <w:rsid w:val="00FB1B86"/>
    <w:rsid w:val="00FC0A8E"/>
    <w:rsid w:val="00FD3B56"/>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35F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rsid w:val="00635F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737333">
      <w:bodyDiv w:val="1"/>
      <w:marLeft w:val="0"/>
      <w:marRight w:val="0"/>
      <w:marTop w:val="0"/>
      <w:marBottom w:val="0"/>
      <w:divBdr>
        <w:top w:val="none" w:sz="0" w:space="0" w:color="auto"/>
        <w:left w:val="none" w:sz="0" w:space="0" w:color="auto"/>
        <w:bottom w:val="none" w:sz="0" w:space="0" w:color="auto"/>
        <w:right w:val="none" w:sz="0" w:space="0" w:color="auto"/>
      </w:divBdr>
    </w:div>
    <w:div w:id="171777518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829</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Plimpton, Suzanne H.</cp:lastModifiedBy>
  <cp:revision>3</cp:revision>
  <cp:lastPrinted>2014-07-02T16:59:00Z</cp:lastPrinted>
  <dcterms:created xsi:type="dcterms:W3CDTF">2014-07-02T20:58:00Z</dcterms:created>
  <dcterms:modified xsi:type="dcterms:W3CDTF">2014-07-02T21:03:00Z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