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5D0ABC"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8066B5">
      <w:pPr>
        <w:rPr>
          <w:color w:val="000000"/>
        </w:rPr>
      </w:pPr>
      <w:r w:rsidRPr="008066B5">
        <w:rPr>
          <w:b/>
        </w:rPr>
        <w:t xml:space="preserve">NSPS for Sewage Sludge Incineration Units (40 CFR </w:t>
      </w:r>
      <w:r w:rsidR="00EA6640">
        <w:rPr>
          <w:b/>
        </w:rPr>
        <w:t>P</w:t>
      </w:r>
      <w:r w:rsidRPr="008066B5">
        <w:rPr>
          <w:b/>
        </w:rPr>
        <w:t xml:space="preserve">art 60, </w:t>
      </w:r>
      <w:r w:rsidR="00EA6640">
        <w:rPr>
          <w:b/>
        </w:rPr>
        <w:t>S</w:t>
      </w:r>
      <w:r w:rsidRPr="008066B5">
        <w:rPr>
          <w:b/>
        </w:rPr>
        <w:t xml:space="preserve">ubpart LLLL) </w:t>
      </w:r>
      <w:r w:rsidR="002B29A5" w:rsidRPr="008066B5">
        <w:rPr>
          <w:b/>
        </w:rPr>
        <w:t>(Renewal</w:t>
      </w:r>
      <w:r w:rsidR="002B29A5" w:rsidRPr="00236DB3">
        <w:rPr>
          <w:b/>
        </w:rPr>
        <w:t>)</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Pr="008066B5" w:rsidRDefault="00CA4CD6">
      <w:pPr>
        <w:rPr>
          <w:b/>
          <w:bCs/>
        </w:rPr>
      </w:pPr>
    </w:p>
    <w:p w:rsidR="008066B5" w:rsidRPr="008066B5" w:rsidRDefault="008066B5" w:rsidP="008066B5">
      <w:pPr>
        <w:rPr>
          <w:bCs/>
        </w:rPr>
      </w:pPr>
      <w:r w:rsidRPr="008066B5">
        <w:rPr>
          <w:bCs/>
        </w:rPr>
        <w:t xml:space="preserve">NSPS for Sewage Sludge Incineration Units (40 CFR </w:t>
      </w:r>
      <w:r w:rsidR="00EA6640">
        <w:rPr>
          <w:bCs/>
        </w:rPr>
        <w:t>P</w:t>
      </w:r>
      <w:r w:rsidRPr="008066B5">
        <w:rPr>
          <w:bCs/>
        </w:rPr>
        <w:t xml:space="preserve">art 60, </w:t>
      </w:r>
      <w:r w:rsidR="00EA6640">
        <w:rPr>
          <w:bCs/>
        </w:rPr>
        <w:t>S</w:t>
      </w:r>
      <w:r w:rsidRPr="008066B5">
        <w:rPr>
          <w:bCs/>
        </w:rPr>
        <w:t>ubpart LLLL) (</w:t>
      </w:r>
      <w:r>
        <w:rPr>
          <w:bCs/>
        </w:rPr>
        <w:t>Renewal</w:t>
      </w:r>
      <w:r w:rsidRPr="008066B5">
        <w:rPr>
          <w:bCs/>
        </w:rPr>
        <w:t>), EPA ICR Number 2369.0</w:t>
      </w:r>
      <w:r>
        <w:rPr>
          <w:bCs/>
        </w:rPr>
        <w:t>3</w:t>
      </w:r>
      <w:r w:rsidRPr="008066B5">
        <w:rPr>
          <w:bCs/>
        </w:rPr>
        <w:t>, OMB Control Number 2060-</w:t>
      </w:r>
      <w:r w:rsidR="008971BF">
        <w:rPr>
          <w:bCs/>
        </w:rPr>
        <w:t>0658</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8066B5">
        <w:t>The New Source Performance Standards (NSPS)</w:t>
      </w:r>
      <w:r w:rsidR="008066B5" w:rsidRPr="008066B5">
        <w:t xml:space="preserve"> </w:t>
      </w:r>
      <w:r w:rsidRPr="008066B5">
        <w:t>for</w:t>
      </w:r>
      <w:r>
        <w:rPr>
          <w:color w:val="000000"/>
        </w:rPr>
        <w:t xml:space="preserve"> </w:t>
      </w:r>
      <w:r w:rsidR="000C717D" w:rsidRPr="008066B5">
        <w:rPr>
          <w:bCs/>
        </w:rPr>
        <w:t xml:space="preserve">Sewage Sludge Incineration Units </w:t>
      </w:r>
      <w:r w:rsidR="000C717D">
        <w:rPr>
          <w:bCs/>
        </w:rPr>
        <w:t>(</w:t>
      </w:r>
      <w:r w:rsidR="007D4E74" w:rsidRPr="008066B5">
        <w:rPr>
          <w:bCs/>
        </w:rPr>
        <w:t>40 CFR part 60, subpart LLLL</w:t>
      </w:r>
      <w:r w:rsidR="000C717D">
        <w:rPr>
          <w:bCs/>
        </w:rPr>
        <w:t>)</w:t>
      </w:r>
      <w:r w:rsidR="007D4E74">
        <w:rPr>
          <w:color w:val="000000"/>
        </w:rPr>
        <w:t xml:space="preserve"> </w:t>
      </w:r>
      <w:r>
        <w:rPr>
          <w:color w:val="000000"/>
        </w:rPr>
        <w:t xml:space="preserve">were proposed on </w:t>
      </w:r>
      <w:r w:rsidR="007D4E74">
        <w:rPr>
          <w:color w:val="000000"/>
        </w:rPr>
        <w:t>October 14, 2010 (</w:t>
      </w:r>
      <w:r w:rsidR="007D4E74" w:rsidRPr="007D4E74">
        <w:rPr>
          <w:color w:val="000000"/>
        </w:rPr>
        <w:t xml:space="preserve">75 </w:t>
      </w:r>
      <w:r w:rsidR="007D4E74" w:rsidRPr="007D4E74">
        <w:rPr>
          <w:color w:val="000000"/>
          <w:u w:val="single"/>
        </w:rPr>
        <w:t>FR</w:t>
      </w:r>
      <w:r w:rsidR="007D4E74" w:rsidRPr="007D4E74">
        <w:rPr>
          <w:color w:val="000000"/>
        </w:rPr>
        <w:t xml:space="preserve"> 63260</w:t>
      </w:r>
      <w:r w:rsidR="007D4E74">
        <w:rPr>
          <w:color w:val="000000"/>
        </w:rPr>
        <w:t>)</w:t>
      </w:r>
      <w:r>
        <w:rPr>
          <w:color w:val="000000"/>
        </w:rPr>
        <w:t xml:space="preserve"> and promulgated on </w:t>
      </w:r>
      <w:r w:rsidR="007D4E74">
        <w:rPr>
          <w:color w:val="000000"/>
        </w:rPr>
        <w:t>March 21, 2011 (</w:t>
      </w:r>
      <w:r w:rsidR="007D4E74" w:rsidRPr="007D4E74">
        <w:rPr>
          <w:color w:val="000000"/>
        </w:rPr>
        <w:t xml:space="preserve">76 </w:t>
      </w:r>
      <w:r w:rsidR="007D4E74" w:rsidRPr="007D4E74">
        <w:rPr>
          <w:color w:val="000000"/>
          <w:u w:val="single"/>
        </w:rPr>
        <w:t>FR</w:t>
      </w:r>
      <w:r w:rsidR="007D4E74" w:rsidRPr="007D4E74">
        <w:rPr>
          <w:color w:val="000000"/>
        </w:rPr>
        <w:t xml:space="preserve"> 15372</w:t>
      </w:r>
      <w:r w:rsidR="007D4E74">
        <w:rPr>
          <w:color w:val="000000"/>
        </w:rPr>
        <w:t>).</w:t>
      </w:r>
      <w:r w:rsidR="00EA6640">
        <w:rPr>
          <w:color w:val="000000"/>
        </w:rPr>
        <w:t xml:space="preserve"> </w:t>
      </w:r>
      <w:r w:rsidR="007D4E74">
        <w:rPr>
          <w:color w:val="000000"/>
        </w:rPr>
        <w:t xml:space="preserve"> </w:t>
      </w:r>
      <w:r>
        <w:rPr>
          <w:color w:val="000000"/>
        </w:rPr>
        <w:t xml:space="preserve">These regulations apply </w:t>
      </w:r>
      <w:r w:rsidR="00724BC7">
        <w:rPr>
          <w:color w:val="000000"/>
        </w:rPr>
        <w:t xml:space="preserve">to new </w:t>
      </w:r>
      <w:r>
        <w:rPr>
          <w:color w:val="000000"/>
        </w:rPr>
        <w:t>facilities</w:t>
      </w:r>
      <w:r w:rsidR="00EA6640">
        <w:rPr>
          <w:color w:val="000000"/>
        </w:rPr>
        <w:t xml:space="preserve">, which </w:t>
      </w:r>
      <w:r w:rsidR="000526E2">
        <w:rPr>
          <w:color w:val="000000"/>
        </w:rPr>
        <w:t xml:space="preserve">include those </w:t>
      </w:r>
      <w:r w:rsidR="00EA6640">
        <w:rPr>
          <w:color w:val="000000"/>
        </w:rPr>
        <w:t xml:space="preserve">with </w:t>
      </w:r>
      <w:r w:rsidR="000526E2">
        <w:rPr>
          <w:color w:val="000000"/>
        </w:rPr>
        <w:t xml:space="preserve">a sewage sludge incineration (SSI) unit </w:t>
      </w:r>
      <w:r w:rsidR="00EA6640">
        <w:rPr>
          <w:color w:val="000000"/>
        </w:rPr>
        <w:t xml:space="preserve">constructed </w:t>
      </w:r>
      <w:r w:rsidR="00247370" w:rsidRPr="00247370">
        <w:rPr>
          <w:color w:val="000000"/>
        </w:rPr>
        <w:t xml:space="preserve">after </w:t>
      </w:r>
      <w:r w:rsidR="000526E2">
        <w:rPr>
          <w:color w:val="000000"/>
        </w:rPr>
        <w:t>the date of proposal</w:t>
      </w:r>
      <w:r w:rsidR="00247370" w:rsidRPr="00247370">
        <w:rPr>
          <w:color w:val="000000"/>
        </w:rPr>
        <w:t xml:space="preserve"> or </w:t>
      </w:r>
      <w:r w:rsidR="000526E2">
        <w:rPr>
          <w:color w:val="000000"/>
        </w:rPr>
        <w:t xml:space="preserve">commenced </w:t>
      </w:r>
      <w:r w:rsidR="00247370" w:rsidRPr="00247370">
        <w:rPr>
          <w:color w:val="000000"/>
        </w:rPr>
        <w:t>modifi</w:t>
      </w:r>
      <w:r w:rsidR="000526E2">
        <w:rPr>
          <w:color w:val="000000"/>
        </w:rPr>
        <w:t>cation</w:t>
      </w:r>
      <w:r w:rsidR="00247370" w:rsidRPr="00247370">
        <w:rPr>
          <w:color w:val="000000"/>
        </w:rPr>
        <w:t xml:space="preserve"> </w:t>
      </w:r>
      <w:r w:rsidR="00E058C8">
        <w:rPr>
          <w:color w:val="000000"/>
        </w:rPr>
        <w:t xml:space="preserve">later than six months </w:t>
      </w:r>
      <w:r w:rsidR="00247370" w:rsidRPr="00247370">
        <w:rPr>
          <w:color w:val="000000"/>
        </w:rPr>
        <w:t xml:space="preserve">after </w:t>
      </w:r>
      <w:r w:rsidR="00E058C8">
        <w:rPr>
          <w:color w:val="000000"/>
        </w:rPr>
        <w:t>the promulgation of the final standards.</w:t>
      </w:r>
      <w:r>
        <w:rPr>
          <w:color w:val="000000"/>
        </w:rPr>
        <w:t xml:space="preserve">  This information is being collected to assure compliance with 40 CFR </w:t>
      </w:r>
      <w:proofErr w:type="gramStart"/>
      <w:r>
        <w:rPr>
          <w:color w:val="000000"/>
        </w:rPr>
        <w:t>part</w:t>
      </w:r>
      <w:proofErr w:type="gramEnd"/>
      <w:r>
        <w:rPr>
          <w:color w:val="000000"/>
        </w:rPr>
        <w:t xml:space="preserve"> 60</w:t>
      </w:r>
      <w:r w:rsidR="000526E2">
        <w:rPr>
          <w:color w:val="000000"/>
        </w:rPr>
        <w:t>, subpart LLLL</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Pr="000526E2">
        <w:t>all NSPS standards</w:t>
      </w:r>
      <w:r>
        <w:rPr>
          <w:color w:val="000000"/>
        </w:rPr>
        <w:t xml:space="preserve"> require initial notification</w:t>
      </w:r>
      <w:r w:rsidR="006761D5">
        <w:rPr>
          <w:color w:val="000000"/>
        </w:rPr>
        <w:t xml:space="preserve"> report</w:t>
      </w:r>
      <w:r>
        <w:rPr>
          <w:color w:val="000000"/>
        </w:rPr>
        <w:t xml:space="preserve">s, performance tests, </w:t>
      </w:r>
      <w:r w:rsidR="006761D5">
        <w:rPr>
          <w:color w:val="000000"/>
        </w:rPr>
        <w:t xml:space="preserve">   </w:t>
      </w:r>
      <w:r>
        <w:rPr>
          <w:color w:val="000000"/>
        </w:rPr>
        <w:t xml:space="preserve">and periodic reports by the owners/operators of the affected facilities.  They are also required </w:t>
      </w:r>
      <w:r w:rsidR="006761D5">
        <w:rPr>
          <w:color w:val="000000"/>
        </w:rPr>
        <w:t xml:space="preserve">   </w:t>
      </w:r>
      <w:r>
        <w:rPr>
          <w:color w:val="000000"/>
        </w:rPr>
        <w:t xml:space="preserve">to maintain records of the occurrence and duration of any startup, shutdown, or malfunction </w:t>
      </w:r>
      <w:r w:rsidR="006761D5">
        <w:rPr>
          <w:color w:val="000000"/>
        </w:rPr>
        <w:t xml:space="preserve">     </w:t>
      </w:r>
      <w:r>
        <w:rPr>
          <w:color w:val="000000"/>
        </w:rPr>
        <w:t xml:space="preserve">in the operation of an affected facility, or any period during which the monitoring system is inoperative.  These notifications, reports, and </w:t>
      </w:r>
      <w:r w:rsidRPr="000526E2">
        <w:t>records are essential in determining compliance, and are required of all affected facilities subject to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0526E2">
        <w:t>least five years</w:t>
      </w:r>
      <w:r>
        <w:rPr>
          <w:color w:val="000000"/>
        </w:rPr>
        <w:t xml:space="preserve"> following the date of such measurements, maintenance reports, and records.  All reports are sent to the delegated state or local authority.  </w:t>
      </w:r>
      <w:r w:rsidR="006761D5">
        <w:rPr>
          <w:color w:val="000000"/>
        </w:rPr>
        <w:t xml:space="preserve"> </w:t>
      </w:r>
      <w:r>
        <w:rPr>
          <w:color w:val="000000"/>
        </w:rPr>
        <w:t>In the event that there is no such delegated authority, the reports are sent directly to the U</w:t>
      </w:r>
      <w:r w:rsidR="006761D5">
        <w:rPr>
          <w:color w:val="000000"/>
        </w:rPr>
        <w:t>.</w:t>
      </w:r>
      <w:r>
        <w:rPr>
          <w:color w:val="000000"/>
        </w:rPr>
        <w:t xml:space="preserve"> S</w:t>
      </w:r>
      <w:r w:rsidR="006761D5">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w:t>
      </w:r>
      <w:r w:rsidR="00057BED">
        <w:rPr>
          <w:color w:val="000000"/>
        </w:rPr>
        <w:t xml:space="preserve">ndustry representatives, there is </w:t>
      </w:r>
      <w:r w:rsidRPr="006661EB">
        <w:t xml:space="preserve">an average of </w:t>
      </w:r>
      <w:r w:rsidR="00057BED" w:rsidRPr="006661EB">
        <w:t>one affected facility</w:t>
      </w:r>
      <w:r w:rsidRPr="006661EB">
        <w:t xml:space="preserve"> at each plant site</w:t>
      </w:r>
      <w:r w:rsidR="00057BED" w:rsidRPr="006661EB">
        <w:t>,</w:t>
      </w:r>
      <w:r w:rsidRPr="006661EB">
        <w:t xml:space="preserve"> and each plant site has only one respondent</w:t>
      </w:r>
      <w:r>
        <w:rPr>
          <w:color w:val="000000"/>
        </w:rPr>
        <w:t xml:space="preserve">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761D5" w:rsidRDefault="00053BC5" w:rsidP="00FF27C3">
      <w:pPr>
        <w:pBdr>
          <w:top w:val="single" w:sz="6" w:space="0" w:color="FFFFFF"/>
          <w:left w:val="single" w:sz="6" w:space="0" w:color="FFFFFF"/>
          <w:bottom w:val="single" w:sz="6" w:space="0" w:color="FFFFFF"/>
          <w:right w:val="single" w:sz="6" w:space="0" w:color="FFFFFF"/>
        </w:pBdr>
        <w:ind w:firstLine="720"/>
        <w:rPr>
          <w:color w:val="000000"/>
        </w:rPr>
      </w:pPr>
      <w:r>
        <w:rPr>
          <w:color w:val="000000"/>
        </w:rPr>
        <w:t>According to the National Association of Clean Water Agencies (NACWA), most facilities with operating units will comply with the existing source emission limits</w:t>
      </w:r>
      <w:r w:rsidR="006761D5">
        <w:rPr>
          <w:color w:val="000000"/>
        </w:rPr>
        <w:t>,</w:t>
      </w:r>
      <w:r>
        <w:rPr>
          <w:color w:val="000000"/>
        </w:rPr>
        <w:t xml:space="preserve"> rather than the NSPS limits</w:t>
      </w:r>
      <w:r w:rsidR="006761D5">
        <w:rPr>
          <w:color w:val="000000"/>
        </w:rPr>
        <w:t>,</w:t>
      </w:r>
      <w:r>
        <w:rPr>
          <w:color w:val="000000"/>
        </w:rPr>
        <w:t xml:space="preserve"> because they were constructed or modified before the applicable NSPS dates. However, </w:t>
      </w:r>
      <w:r w:rsidRPr="00053BC5">
        <w:rPr>
          <w:color w:val="000000"/>
        </w:rPr>
        <w:t xml:space="preserve">one existing source </w:t>
      </w:r>
      <w:r w:rsidR="006761D5">
        <w:rPr>
          <w:color w:val="000000"/>
        </w:rPr>
        <w:t>intends</w:t>
      </w:r>
      <w:r w:rsidRPr="00053BC5">
        <w:rPr>
          <w:color w:val="000000"/>
        </w:rPr>
        <w:t xml:space="preserve"> to comply with the NSPS due to modification</w:t>
      </w:r>
      <w:r w:rsidR="00A532BF">
        <w:rPr>
          <w:color w:val="000000"/>
        </w:rPr>
        <w:t xml:space="preserve"> after the applicable date</w:t>
      </w:r>
      <w:r w:rsidRPr="00053BC5">
        <w:rPr>
          <w:color w:val="000000"/>
        </w:rPr>
        <w:t xml:space="preserve">, and there are two utilities that have </w:t>
      </w:r>
      <w:r w:rsidR="006761D5">
        <w:rPr>
          <w:color w:val="000000"/>
        </w:rPr>
        <w:t xml:space="preserve">already </w:t>
      </w:r>
      <w:r w:rsidRPr="00053BC5">
        <w:rPr>
          <w:color w:val="000000"/>
        </w:rPr>
        <w:t>initiated</w:t>
      </w:r>
      <w:r w:rsidR="006761D5">
        <w:rPr>
          <w:color w:val="000000"/>
        </w:rPr>
        <w:t>,</w:t>
      </w:r>
      <w:r w:rsidRPr="00053BC5">
        <w:rPr>
          <w:color w:val="000000"/>
        </w:rPr>
        <w:t xml:space="preserve"> or plan to i</w:t>
      </w:r>
      <w:r>
        <w:rPr>
          <w:color w:val="000000"/>
        </w:rPr>
        <w:t>nitiate</w:t>
      </w:r>
      <w:r w:rsidR="006761D5">
        <w:rPr>
          <w:color w:val="000000"/>
        </w:rPr>
        <w:t>,</w:t>
      </w:r>
      <w:r>
        <w:rPr>
          <w:color w:val="000000"/>
        </w:rPr>
        <w:t xml:space="preserve"> construction of new SSI units</w:t>
      </w:r>
      <w:r w:rsidRPr="00053BC5">
        <w:rPr>
          <w:color w:val="000000"/>
        </w:rPr>
        <w:t>.</w:t>
      </w:r>
      <w:r w:rsidR="00EA6640">
        <w:rPr>
          <w:color w:val="000000"/>
        </w:rPr>
        <w:t xml:space="preserve"> </w:t>
      </w:r>
      <w:r w:rsidRPr="00053BC5">
        <w:rPr>
          <w:color w:val="000000"/>
        </w:rPr>
        <w:t xml:space="preserve"> </w:t>
      </w:r>
      <w:r w:rsidR="00A532BF">
        <w:rPr>
          <w:color w:val="000000"/>
        </w:rPr>
        <w:t>Therefore, although currently there are no respondents subject to the standard</w:t>
      </w:r>
      <w:r w:rsidR="006761D5">
        <w:rPr>
          <w:color w:val="000000"/>
        </w:rPr>
        <w:t>s</w:t>
      </w:r>
      <w:r w:rsidR="00A532BF">
        <w:rPr>
          <w:color w:val="000000"/>
        </w:rPr>
        <w:t xml:space="preserve">, we anticipate that three facilities will become subject over the next three years. </w:t>
      </w:r>
      <w:r w:rsidR="00EA6640">
        <w:rPr>
          <w:color w:val="000000"/>
        </w:rPr>
        <w:t xml:space="preserve"> </w:t>
      </w:r>
      <w:r w:rsidR="00A532BF">
        <w:rPr>
          <w:color w:val="000000"/>
        </w:rPr>
        <w:t>For the purposes of calculating</w:t>
      </w:r>
      <w:r w:rsidR="006761D5">
        <w:rPr>
          <w:color w:val="000000"/>
        </w:rPr>
        <w:t xml:space="preserve"> the</w:t>
      </w:r>
      <w:r w:rsidR="00A532BF">
        <w:rPr>
          <w:color w:val="000000"/>
        </w:rPr>
        <w:t xml:space="preserve"> </w:t>
      </w:r>
      <w:r w:rsidR="006761D5">
        <w:rPr>
          <w:color w:val="000000"/>
        </w:rPr>
        <w:t>“</w:t>
      </w:r>
      <w:r w:rsidR="00A532BF">
        <w:rPr>
          <w:color w:val="000000"/>
        </w:rPr>
        <w:t>burden</w:t>
      </w:r>
      <w:r w:rsidR="006761D5">
        <w:rPr>
          <w:color w:val="000000"/>
        </w:rPr>
        <w:t>”</w:t>
      </w:r>
      <w:r w:rsidR="00A532BF">
        <w:rPr>
          <w:color w:val="000000"/>
        </w:rPr>
        <w:t>, we assume</w:t>
      </w:r>
      <w:r w:rsidR="00E10DA7">
        <w:rPr>
          <w:color w:val="000000"/>
        </w:rPr>
        <w:t xml:space="preserve"> an average </w:t>
      </w:r>
      <w:r w:rsidR="00E10DA7" w:rsidRPr="006661EB">
        <w:t xml:space="preserve">of </w:t>
      </w:r>
      <w:r w:rsidR="00B22AA2">
        <w:t>one respondent</w:t>
      </w:r>
      <w:r w:rsidR="00CA4CD6" w:rsidRPr="006661EB">
        <w:t xml:space="preserve"> </w:t>
      </w:r>
      <w:r w:rsidR="00B22AA2">
        <w:t xml:space="preserve">per year </w:t>
      </w:r>
      <w:r w:rsidR="00EA6640">
        <w:t xml:space="preserve">will become </w:t>
      </w:r>
      <w:r w:rsidR="00E10DA7" w:rsidRPr="006661EB">
        <w:t>subject to the standard</w:t>
      </w:r>
      <w:r w:rsidR="006761D5">
        <w:t>s</w:t>
      </w:r>
      <w:r w:rsidR="00E10DA7">
        <w:rPr>
          <w:color w:val="000000"/>
        </w:rPr>
        <w:t>.</w:t>
      </w:r>
    </w:p>
    <w:p w:rsidR="00E058C8" w:rsidRPr="00BC448F" w:rsidRDefault="00E10DA7" w:rsidP="00F31D6E">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  </w:t>
      </w:r>
      <w:r w:rsidR="00F31D6E">
        <w:rPr>
          <w:color w:val="000000"/>
        </w:rPr>
        <w:t>B</w:t>
      </w:r>
      <w:r w:rsidR="00E058C8" w:rsidRPr="00F65DD9">
        <w:rPr>
          <w:color w:val="000000"/>
        </w:rPr>
        <w:t xml:space="preserve">ased on the assumed distribution of </w:t>
      </w:r>
      <w:r w:rsidR="00E058C8" w:rsidRPr="00F65DD9">
        <w:t xml:space="preserve">new or modified </w:t>
      </w:r>
      <w:r w:rsidR="00E058C8" w:rsidRPr="00F65DD9">
        <w:rPr>
          <w:color w:val="000000"/>
        </w:rPr>
        <w:t xml:space="preserve">facilities with affected sewage sludge incinerators, </w:t>
      </w:r>
      <w:r w:rsidR="00E058C8" w:rsidRPr="00F65DD9">
        <w:rPr>
          <w:spacing w:val="-4"/>
        </w:rPr>
        <w:t xml:space="preserve">there are </w:t>
      </w:r>
      <w:r w:rsidR="006661EB">
        <w:rPr>
          <w:spacing w:val="-4"/>
        </w:rPr>
        <w:t>three</w:t>
      </w:r>
      <w:r w:rsidR="00E058C8" w:rsidRPr="00F65DD9">
        <w:rPr>
          <w:spacing w:val="-4"/>
        </w:rPr>
        <w:t xml:space="preserve"> facilities which will be affected</w:t>
      </w:r>
      <w:r w:rsidR="00EA6640">
        <w:rPr>
          <w:spacing w:val="-4"/>
        </w:rPr>
        <w:t>:</w:t>
      </w:r>
      <w:r w:rsidR="006661EB">
        <w:rPr>
          <w:spacing w:val="-4"/>
        </w:rPr>
        <w:t xml:space="preserve"> two newly constructed SSI units and one modified unit are expected to be subject to the </w:t>
      </w:r>
      <w:r w:rsidR="006661EB" w:rsidRPr="004C2B89">
        <w:rPr>
          <w:spacing w:val="-4"/>
        </w:rPr>
        <w:t>standard</w:t>
      </w:r>
      <w:r w:rsidR="006761D5">
        <w:rPr>
          <w:spacing w:val="-4"/>
        </w:rPr>
        <w:t>s</w:t>
      </w:r>
      <w:r w:rsidR="006661EB" w:rsidRPr="004C2B89">
        <w:rPr>
          <w:spacing w:val="-4"/>
        </w:rPr>
        <w:t>.</w:t>
      </w:r>
      <w:r w:rsidR="00C05492" w:rsidRPr="004C2B89">
        <w:t xml:space="preserve"> </w:t>
      </w:r>
      <w:r w:rsidR="005D5EE6">
        <w:t xml:space="preserve">These facilities are assumed to be located in the public sector. </w:t>
      </w:r>
      <w:r w:rsidR="00EA6640">
        <w:t xml:space="preserve"> </w:t>
      </w:r>
      <w:r w:rsidR="002B29A5" w:rsidRPr="004C2B89">
        <w:t xml:space="preserve">The </w:t>
      </w:r>
      <w:r w:rsidR="006761D5">
        <w:t>“</w:t>
      </w:r>
      <w:r w:rsidR="002B29A5" w:rsidRPr="004C2B89">
        <w:t>burden</w:t>
      </w:r>
      <w:r w:rsidR="006761D5">
        <w:t>”</w:t>
      </w:r>
      <w:r w:rsidR="004A4B25" w:rsidRPr="004C2B89">
        <w:t xml:space="preserve"> to the “Affected Public” may be found </w:t>
      </w:r>
      <w:r w:rsidR="00982318">
        <w:t xml:space="preserve">below </w:t>
      </w:r>
      <w:r w:rsidR="004A4B25" w:rsidRPr="004C2B89">
        <w:t>in Table 1</w:t>
      </w:r>
      <w:r w:rsidR="002B29A5" w:rsidRPr="004C2B89">
        <w:t xml:space="preserve">: Annual Respondent Burden and Cost – </w:t>
      </w:r>
      <w:r w:rsidR="004C2B89" w:rsidRPr="004C2B89">
        <w:t>NS</w:t>
      </w:r>
      <w:r w:rsidR="002B29A5" w:rsidRPr="004C2B89">
        <w:t>P</w:t>
      </w:r>
      <w:r w:rsidR="004C2B89" w:rsidRPr="004C2B89">
        <w:t>S</w:t>
      </w:r>
      <w:r w:rsidR="002B29A5" w:rsidRPr="004C2B89">
        <w:t xml:space="preserve"> for </w:t>
      </w:r>
      <w:r w:rsidR="004C2B89" w:rsidRPr="004C2B89">
        <w:rPr>
          <w:bCs/>
        </w:rPr>
        <w:t xml:space="preserve">Sewage </w:t>
      </w:r>
      <w:r w:rsidR="004C2B89" w:rsidRPr="00BC448F">
        <w:rPr>
          <w:bCs/>
        </w:rPr>
        <w:t>Sludge Incineration Units</w:t>
      </w:r>
      <w:r w:rsidR="002B29A5" w:rsidRPr="00BC448F">
        <w:t xml:space="preserve"> (40 CFR Part </w:t>
      </w:r>
      <w:r w:rsidR="004C2B89" w:rsidRPr="00BC448F">
        <w:t>60</w:t>
      </w:r>
      <w:r w:rsidR="002B29A5" w:rsidRPr="00BC448F">
        <w:t xml:space="preserve">, Subpart </w:t>
      </w:r>
      <w:r w:rsidR="004C2B89" w:rsidRPr="00BC448F">
        <w:t>LLLL</w:t>
      </w:r>
      <w:r w:rsidR="002B29A5" w:rsidRPr="00BC448F">
        <w:t>) (Renewal)</w:t>
      </w:r>
      <w:r w:rsidR="004A4B25" w:rsidRPr="00BC448F">
        <w:t xml:space="preserve">.  </w:t>
      </w:r>
      <w:r w:rsidR="004C2B89" w:rsidRPr="00BC448F">
        <w:t>T</w:t>
      </w:r>
      <w:r w:rsidR="009D6567" w:rsidRPr="00BC448F">
        <w:t xml:space="preserve">he </w:t>
      </w:r>
      <w:r w:rsidR="006761D5">
        <w:t>“</w:t>
      </w:r>
      <w:r w:rsidR="004A4B25" w:rsidRPr="00BC448F">
        <w:t>burden</w:t>
      </w:r>
      <w:r w:rsidR="006761D5">
        <w:t>”</w:t>
      </w:r>
      <w:r w:rsidR="004A4B25" w:rsidRPr="00BC448F">
        <w:t xml:space="preserve"> to the </w:t>
      </w:r>
      <w:r w:rsidR="009D6567" w:rsidRPr="00BC448F">
        <w:t xml:space="preserve">Federal Government is attributed entirely to work performed by </w:t>
      </w:r>
      <w:r w:rsidR="006761D5">
        <w:t>either F</w:t>
      </w:r>
      <w:r w:rsidR="009D6567" w:rsidRPr="00BC448F">
        <w:t>ederal employees</w:t>
      </w:r>
      <w:r w:rsidR="004A4B25" w:rsidRPr="00BC448F">
        <w:t xml:space="preserve"> or government contractor</w:t>
      </w:r>
      <w:r w:rsidR="00EF113F" w:rsidRPr="00BC448F">
        <w:t>s</w:t>
      </w:r>
      <w:r w:rsidR="004A4B25" w:rsidRPr="00BC448F">
        <w:t xml:space="preserve"> and </w:t>
      </w:r>
      <w:r w:rsidR="004C2B89" w:rsidRPr="00BC448F">
        <w:t>is presented in</w:t>
      </w:r>
      <w:r w:rsidR="004A4B25" w:rsidRPr="00BC448F">
        <w:t xml:space="preserve"> </w:t>
      </w:r>
      <w:r w:rsidR="006761D5">
        <w:t xml:space="preserve">below </w:t>
      </w:r>
      <w:r w:rsidR="004A4B25" w:rsidRPr="00BC448F">
        <w:t xml:space="preserve">Table 2: </w:t>
      </w:r>
      <w:r w:rsidR="002B29A5" w:rsidRPr="00BC448F">
        <w:t xml:space="preserve">Average Annual EPA Burden and Cost – </w:t>
      </w:r>
      <w:r w:rsidR="004C2B89" w:rsidRPr="00BC448F">
        <w:t xml:space="preserve">NSPS for </w:t>
      </w:r>
      <w:r w:rsidR="004C2B89" w:rsidRPr="00BC448F">
        <w:rPr>
          <w:bCs/>
        </w:rPr>
        <w:t>Sewage Sludge Incineration Units</w:t>
      </w:r>
      <w:r w:rsidR="004C2B89" w:rsidRPr="00BC448F">
        <w:t xml:space="preserve"> (40 CFR Part 60, Subpart LLLL) (Renewal).</w:t>
      </w:r>
    </w:p>
    <w:p w:rsidR="004C2B89" w:rsidRPr="00BC448F" w:rsidRDefault="004C2B89" w:rsidP="002B29A5"/>
    <w:p w:rsidR="00CA4CD6" w:rsidRPr="00BC448F" w:rsidRDefault="00E058C8" w:rsidP="00E058C8">
      <w:pPr>
        <w:ind w:firstLine="720"/>
      </w:pPr>
      <w:r w:rsidRPr="00BC448F">
        <w:t>The Office of Management and Budget (OMB) approved the currently active Information Collection Request (ICR) without any “Terms of Clearance.”</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3295" w:rsidRDefault="00CA4CD6">
      <w:pPr>
        <w:pBdr>
          <w:top w:val="single" w:sz="6" w:space="0" w:color="FFFFFF"/>
          <w:left w:val="single" w:sz="6" w:space="0" w:color="FFFFFF"/>
          <w:bottom w:val="single" w:sz="6" w:space="0" w:color="FFFFFF"/>
          <w:right w:val="single" w:sz="6" w:space="0" w:color="FFFFFF"/>
        </w:pBdr>
        <w:ind w:firstLine="720"/>
        <w:rPr>
          <w:b/>
          <w:bCs/>
        </w:rPr>
      </w:pPr>
      <w:r w:rsidRPr="00FD3295">
        <w:rPr>
          <w:b/>
          <w:bCs/>
        </w:rPr>
        <w:t>2(a</w:t>
      </w:r>
      <w:proofErr w:type="gramStart"/>
      <w:r w:rsidRPr="00FD3295">
        <w:rPr>
          <w:b/>
          <w:bCs/>
        </w:rPr>
        <w:t>)  Need</w:t>
      </w:r>
      <w:proofErr w:type="gramEnd"/>
      <w:r w:rsidRPr="00FD3295">
        <w:rPr>
          <w:b/>
          <w:bCs/>
        </w:rPr>
        <w:t>/Authority for the Collection</w:t>
      </w:r>
    </w:p>
    <w:p w:rsidR="00CA4CD6" w:rsidRPr="00FD3295" w:rsidRDefault="00CA4CD6">
      <w:pPr>
        <w:pBdr>
          <w:top w:val="single" w:sz="6" w:space="0" w:color="FFFFFF"/>
          <w:left w:val="single" w:sz="6" w:space="0" w:color="FFFFFF"/>
          <w:bottom w:val="single" w:sz="6" w:space="0" w:color="FFFFFF"/>
          <w:right w:val="single" w:sz="6" w:space="0" w:color="FFFFFF"/>
        </w:pBdr>
      </w:pPr>
    </w:p>
    <w:p w:rsidR="00CA4CD6" w:rsidRPr="00FD3295" w:rsidRDefault="00BC448F">
      <w:pPr>
        <w:pBdr>
          <w:top w:val="single" w:sz="6" w:space="0" w:color="FFFFFF"/>
          <w:left w:val="single" w:sz="6" w:space="0" w:color="FFFFFF"/>
          <w:bottom w:val="single" w:sz="6" w:space="0" w:color="FFFFFF"/>
          <w:right w:val="single" w:sz="6" w:space="0" w:color="FFFFFF"/>
        </w:pBdr>
        <w:ind w:firstLine="720"/>
      </w:pPr>
      <w:r w:rsidRPr="00FD3295">
        <w:t>T</w:t>
      </w:r>
      <w:r w:rsidR="00CA4CD6" w:rsidRPr="00FD3295">
        <w:t xml:space="preserve">he EPA is charged under Section 111 of the Clean Air Act (CAA), as amended, to establish standards of performance for new stationary sources that reflect: </w:t>
      </w:r>
    </w:p>
    <w:p w:rsidR="00CA4CD6" w:rsidRPr="00FD3295" w:rsidRDefault="00CA4CD6">
      <w:pPr>
        <w:pBdr>
          <w:top w:val="single" w:sz="6" w:space="0" w:color="FFFFFF"/>
          <w:left w:val="single" w:sz="6" w:space="0" w:color="FFFFFF"/>
          <w:bottom w:val="single" w:sz="6" w:space="0" w:color="FFFFFF"/>
          <w:right w:val="single" w:sz="6" w:space="0" w:color="FFFFFF"/>
        </w:pBdr>
      </w:pPr>
    </w:p>
    <w:p w:rsidR="00CA4CD6" w:rsidRPr="00FD3295" w:rsidRDefault="00CA4CD6">
      <w:pPr>
        <w:pBdr>
          <w:top w:val="single" w:sz="6" w:space="0" w:color="FFFFFF"/>
          <w:left w:val="single" w:sz="6" w:space="0" w:color="FFFFFF"/>
          <w:bottom w:val="single" w:sz="6" w:space="0" w:color="FFFFFF"/>
          <w:right w:val="single" w:sz="6" w:space="0" w:color="FFFFFF"/>
        </w:pBdr>
        <w:ind w:left="1440" w:right="1440"/>
      </w:pPr>
      <w:r w:rsidRPr="00FD3295">
        <w:rPr>
          <w:b/>
          <w:bCs/>
        </w:rPr>
        <w:t>. . .</w:t>
      </w:r>
      <w:r w:rsidRPr="00FD3295">
        <w:t xml:space="preserve"> </w:t>
      </w:r>
      <w:proofErr w:type="gramStart"/>
      <w:r w:rsidRPr="00FD3295">
        <w:t>application</w:t>
      </w:r>
      <w:proofErr w:type="gramEnd"/>
      <w:r w:rsidRPr="00FD3295">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FD3295">
        <w:t>)(</w:t>
      </w:r>
      <w:proofErr w:type="gramEnd"/>
      <w:r w:rsidRPr="00FD3295">
        <w:t>l).</w:t>
      </w:r>
    </w:p>
    <w:p w:rsidR="00CA4CD6" w:rsidRPr="00FD3295" w:rsidRDefault="00CA4CD6">
      <w:pPr>
        <w:pBdr>
          <w:top w:val="single" w:sz="6" w:space="0" w:color="FFFFFF"/>
          <w:left w:val="single" w:sz="6" w:space="0" w:color="FFFFFF"/>
          <w:bottom w:val="single" w:sz="6" w:space="0" w:color="FFFFFF"/>
          <w:right w:val="single" w:sz="6" w:space="0" w:color="FFFFFF"/>
        </w:pBdr>
      </w:pPr>
    </w:p>
    <w:p w:rsidR="00CA4CD6" w:rsidRPr="00FD3295" w:rsidRDefault="00CA4CD6">
      <w:pPr>
        <w:pBdr>
          <w:top w:val="single" w:sz="6" w:space="0" w:color="FFFFFF"/>
          <w:left w:val="single" w:sz="6" w:space="0" w:color="FFFFFF"/>
          <w:bottom w:val="single" w:sz="6" w:space="0" w:color="FFFFFF"/>
          <w:right w:val="single" w:sz="6" w:space="0" w:color="FFFFFF"/>
        </w:pBdr>
      </w:pPr>
      <w:r w:rsidRPr="00FD3295">
        <w:t>The Agency refers to this charge as selecting the best demonstrated technology (BDT).  Section 111 also requires that the Administrator review and, if appropriate, revise su</w:t>
      </w:r>
      <w:r w:rsidR="00BC448F" w:rsidRPr="00FD3295">
        <w:t>ch standards every four years.</w:t>
      </w:r>
    </w:p>
    <w:p w:rsidR="00CA4CD6" w:rsidRPr="00EA6640" w:rsidRDefault="00CA4CD6">
      <w:pPr>
        <w:pBdr>
          <w:top w:val="single" w:sz="6" w:space="0" w:color="FFFFFF"/>
          <w:left w:val="single" w:sz="6" w:space="0" w:color="FFFFFF"/>
          <w:bottom w:val="single" w:sz="6" w:space="0" w:color="FFFFFF"/>
          <w:right w:val="single" w:sz="6" w:space="0" w:color="FFFFFF"/>
        </w:pBdr>
      </w:pPr>
    </w:p>
    <w:p w:rsidR="00EA6640" w:rsidRPr="00EA6640" w:rsidRDefault="00EA6640" w:rsidP="00EA6640">
      <w:pPr>
        <w:pBdr>
          <w:top w:val="single" w:sz="6" w:space="0" w:color="FFFFFF"/>
          <w:left w:val="single" w:sz="6" w:space="0" w:color="FFFFFF"/>
          <w:bottom w:val="single" w:sz="6" w:space="0" w:color="FFFFFF"/>
          <w:right w:val="single" w:sz="6" w:space="0" w:color="FFFFFF"/>
        </w:pBdr>
        <w:ind w:firstLine="720"/>
      </w:pPr>
      <w:r w:rsidRPr="00EA6640">
        <w:t xml:space="preserve">In addition, section 114(a) states that the Administrator may require any owner/operator subject to any requirement of this Act to: </w:t>
      </w:r>
    </w:p>
    <w:p w:rsidR="00EA6640" w:rsidRPr="00EA6640" w:rsidRDefault="00EA6640" w:rsidP="00EA6640">
      <w:pPr>
        <w:pBdr>
          <w:top w:val="single" w:sz="6" w:space="0" w:color="FFFFFF"/>
          <w:left w:val="single" w:sz="6" w:space="0" w:color="FFFFFF"/>
          <w:bottom w:val="single" w:sz="6" w:space="0" w:color="FFFFFF"/>
          <w:right w:val="single" w:sz="6" w:space="0" w:color="FFFFFF"/>
        </w:pBdr>
      </w:pPr>
    </w:p>
    <w:p w:rsidR="00FF27C3" w:rsidRDefault="00EA6640" w:rsidP="00EA6640">
      <w:pPr>
        <w:pBdr>
          <w:top w:val="single" w:sz="6" w:space="0" w:color="FFFFFF"/>
          <w:left w:val="single" w:sz="6" w:space="0" w:color="FFFFFF"/>
          <w:bottom w:val="single" w:sz="6" w:space="0" w:color="FFFFFF"/>
          <w:right w:val="single" w:sz="6" w:space="0" w:color="FFFFFF"/>
        </w:pBdr>
        <w:ind w:left="1440" w:right="1440"/>
      </w:pPr>
      <w:r w:rsidRPr="00EA6640">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p>
    <w:p w:rsidR="00FF27C3" w:rsidRDefault="00FF27C3" w:rsidP="00EA6640">
      <w:pPr>
        <w:pBdr>
          <w:top w:val="single" w:sz="6" w:space="0" w:color="FFFFFF"/>
          <w:left w:val="single" w:sz="6" w:space="0" w:color="FFFFFF"/>
          <w:bottom w:val="single" w:sz="6" w:space="0" w:color="FFFFFF"/>
          <w:right w:val="single" w:sz="6" w:space="0" w:color="FFFFFF"/>
        </w:pBdr>
        <w:ind w:left="1440" w:right="1440"/>
      </w:pPr>
    </w:p>
    <w:p w:rsidR="00EA6640" w:rsidRPr="00EA6640" w:rsidRDefault="00EA6640" w:rsidP="00EA6640">
      <w:pPr>
        <w:pBdr>
          <w:top w:val="single" w:sz="6" w:space="0" w:color="FFFFFF"/>
          <w:left w:val="single" w:sz="6" w:space="0" w:color="FFFFFF"/>
          <w:bottom w:val="single" w:sz="6" w:space="0" w:color="FFFFFF"/>
          <w:right w:val="single" w:sz="6" w:space="0" w:color="FFFFFF"/>
        </w:pBdr>
        <w:ind w:left="1440" w:right="1440"/>
      </w:pPr>
      <w:proofErr w:type="gramStart"/>
      <w:r w:rsidRPr="00EA6640">
        <w:lastRenderedPageBreak/>
        <w:t>and</w:t>
      </w:r>
      <w:proofErr w:type="gramEnd"/>
      <w:r w:rsidRPr="00EA6640">
        <w:t xml:space="preserve"> (G) provide such other information as the Administrator may reasonably require.</w:t>
      </w:r>
    </w:p>
    <w:p w:rsidR="00EA6640" w:rsidRPr="00FD3295" w:rsidRDefault="00EA6640">
      <w:pPr>
        <w:pBdr>
          <w:top w:val="single" w:sz="6" w:space="0" w:color="FFFFFF"/>
          <w:left w:val="single" w:sz="6" w:space="0" w:color="FFFFFF"/>
          <w:bottom w:val="single" w:sz="6" w:space="0" w:color="FFFFFF"/>
          <w:right w:val="single" w:sz="6" w:space="0" w:color="FFFFFF"/>
        </w:pBdr>
      </w:pPr>
    </w:p>
    <w:p w:rsidR="00CA4CD6" w:rsidRPr="00FD3295" w:rsidRDefault="00CA4CD6">
      <w:pPr>
        <w:pBdr>
          <w:top w:val="single" w:sz="6" w:space="0" w:color="FFFFFF"/>
          <w:left w:val="single" w:sz="6" w:space="0" w:color="FFFFFF"/>
          <w:bottom w:val="single" w:sz="6" w:space="0" w:color="FFFFFF"/>
          <w:right w:val="single" w:sz="6" w:space="0" w:color="FFFFFF"/>
        </w:pBdr>
        <w:ind w:firstLine="720"/>
      </w:pPr>
      <w:r w:rsidRPr="00FD3295">
        <w:t xml:space="preserve">In the Administrator's judgment, </w:t>
      </w:r>
      <w:r w:rsidR="00EA6640">
        <w:t>particulate matter (PM), hydrogen chloride (HCl), carbon monoxide (CO), dioxin/furan, mercury (Hg), oxides of nitrogen (</w:t>
      </w:r>
      <w:proofErr w:type="spellStart"/>
      <w:r w:rsidR="00EA6640">
        <w:t>NOx</w:t>
      </w:r>
      <w:proofErr w:type="spellEnd"/>
      <w:r w:rsidR="00EA6640">
        <w:t>), sulfur dioxide (SO</w:t>
      </w:r>
      <w:r w:rsidR="00EA6640" w:rsidRPr="00EA6640">
        <w:rPr>
          <w:vertAlign w:val="subscript"/>
        </w:rPr>
        <w:t>2</w:t>
      </w:r>
      <w:r w:rsidR="00EA6640">
        <w:t xml:space="preserve">), cadmium, lead, and fugitive </w:t>
      </w:r>
      <w:r w:rsidRPr="00FD3295">
        <w:t xml:space="preserve">emissions from </w:t>
      </w:r>
      <w:r w:rsidR="00BC448F" w:rsidRPr="00FD3295">
        <w:t>sewage sludge incineration</w:t>
      </w:r>
      <w:r w:rsidRPr="00FD3295">
        <w:t xml:space="preserve"> </w:t>
      </w:r>
      <w:r w:rsidR="006B797E">
        <w:t xml:space="preserve">either </w:t>
      </w:r>
      <w:r w:rsidRPr="00FD3295">
        <w:t xml:space="preserve">cause or contribute to air pollution that may reasonably be anticipated to endanger public health </w:t>
      </w:r>
      <w:r w:rsidR="006B797E">
        <w:t>and/</w:t>
      </w:r>
      <w:r w:rsidRPr="00FD3295">
        <w:t xml:space="preserve">or welfare.  Therefore, the NSPS were promulgated for this source category at 40 CFR </w:t>
      </w:r>
      <w:proofErr w:type="gramStart"/>
      <w:r w:rsidRPr="00FD3295">
        <w:t>part</w:t>
      </w:r>
      <w:proofErr w:type="gramEnd"/>
      <w:r w:rsidRPr="00FD3295">
        <w:t xml:space="preserve"> 60,</w:t>
      </w:r>
      <w:r w:rsidRPr="00FD3295">
        <w:rPr>
          <w:b/>
          <w:bCs/>
          <w:i/>
          <w:iCs/>
        </w:rPr>
        <w:t xml:space="preserve"> </w:t>
      </w:r>
      <w:r w:rsidRPr="00FD3295">
        <w:t xml:space="preserve">subpart </w:t>
      </w:r>
      <w:r w:rsidR="00FD3295" w:rsidRPr="00FD3295">
        <w:t>LLLL</w:t>
      </w:r>
      <w:r w:rsidRPr="00FD3295">
        <w:t>.</w:t>
      </w:r>
      <w:r w:rsidR="00DD71A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DD71A9">
        <w:rPr>
          <w:color w:val="000000"/>
        </w:rPr>
        <w:t xml:space="preserve"> requirements in the standard</w:t>
      </w:r>
      <w:r>
        <w:rPr>
          <w:color w:val="000000"/>
        </w:rPr>
        <w:t xml:space="preserve"> ensure compliance </w:t>
      </w:r>
      <w:proofErr w:type="gramStart"/>
      <w:r>
        <w:rPr>
          <w:color w:val="000000"/>
        </w:rPr>
        <w:t>with</w:t>
      </w:r>
      <w:r w:rsidR="006B797E">
        <w:rPr>
          <w:color w:val="000000"/>
        </w:rPr>
        <w:t xml:space="preserve"> </w:t>
      </w:r>
      <w:r>
        <w:rPr>
          <w:color w:val="000000"/>
        </w:rPr>
        <w:t xml:space="preserve"> the</w:t>
      </w:r>
      <w:proofErr w:type="gramEnd"/>
      <w:r>
        <w:rPr>
          <w:color w:val="000000"/>
        </w:rPr>
        <w:t xml:space="preserv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00D0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DD71A9">
        <w:rPr>
          <w:color w:val="000000"/>
        </w:rPr>
        <w:t>ly with the emission standard</w:t>
      </w:r>
      <w:r>
        <w:rPr>
          <w:color w:val="000000"/>
        </w:rPr>
        <w:t xml:space="preserve">. Continuous emission monitors </w:t>
      </w:r>
      <w:r w:rsidR="00200D0D">
        <w:rPr>
          <w:color w:val="000000"/>
        </w:rPr>
        <w:t>or continuous parametric monitors are</w:t>
      </w:r>
      <w:r>
        <w:rPr>
          <w:color w:val="000000"/>
        </w:rPr>
        <w:t xml:space="preserve"> used to ensure compliance with the standard at all times.</w:t>
      </w:r>
      <w:r w:rsidR="000A7ECF">
        <w:rPr>
          <w:color w:val="000000"/>
        </w:rPr>
        <w:t xml:space="preserve"> </w:t>
      </w:r>
      <w:r>
        <w:rPr>
          <w:color w:val="000000"/>
        </w:rPr>
        <w:t xml:space="preserve"> </w:t>
      </w:r>
      <w:r w:rsidRPr="00200D0D">
        <w:t>During the performance test</w:t>
      </w:r>
      <w:r w:rsidR="00200D0D">
        <w:t>,</w:t>
      </w:r>
      <w:r w:rsidRPr="00200D0D">
        <w:t xml:space="preserve"> a record of the operating parameters under which compliance was achieved may be recorded and used to determine compliance in place of</w:t>
      </w:r>
      <w:r w:rsidR="00200D0D">
        <w:t xml:space="preserve"> a continuous emission monitor.</w:t>
      </w:r>
      <w:r w:rsidRPr="00200D0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w:t>
      </w:r>
      <w:r w:rsidRPr="00200D0D">
        <w:t>source to check if the pollution control devices are properly installed and operated</w:t>
      </w:r>
      <w:r w:rsidR="00200D0D" w:rsidRPr="00200D0D">
        <w:t xml:space="preserve"> </w:t>
      </w:r>
      <w:r w:rsidRPr="00200D0D">
        <w:t xml:space="preserve">(and/or) leaks are being detected </w:t>
      </w:r>
      <w:r w:rsidR="00DD71A9">
        <w:t>and repaired and the standard</w:t>
      </w:r>
      <w:r w:rsidRPr="00200D0D">
        <w:t xml:space="preserve"> </w:t>
      </w:r>
      <w:r w:rsidR="008A51D9">
        <w:t>is</w:t>
      </w:r>
      <w:r w:rsidRPr="00200D0D">
        <w:t xml:space="preserve"> being met.  The performance test may</w:t>
      </w:r>
      <w:r>
        <w:rPr>
          <w:color w:val="000000"/>
        </w:rPr>
        <w:t xml:space="preserve">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200D0D" w:rsidRPr="00200D0D">
        <w:t>semiannual</w:t>
      </w:r>
      <w:r w:rsidRPr="00200D0D">
        <w:t xml:space="preserve"> reports are used to determine periods of excess emissions, identify problems at the facility, verify operation/maintenance procedures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FD18B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w:t>
      </w:r>
      <w:r w:rsidR="00DD71A9">
        <w:rPr>
          <w:color w:val="000000"/>
        </w:rPr>
        <w:t xml:space="preserve"> required under </w:t>
      </w:r>
      <w:r w:rsidR="006833C0">
        <w:rPr>
          <w:color w:val="000000"/>
        </w:rPr>
        <w:t>40 CFR part 60</w:t>
      </w:r>
      <w:r>
        <w:rPr>
          <w:color w:val="000000"/>
        </w:rPr>
        <w:t>, subpart</w:t>
      </w:r>
      <w:r w:rsidR="006833C0">
        <w:rPr>
          <w:color w:val="000000"/>
        </w:rPr>
        <w:t xml:space="preserve"> LLLL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FD18B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0167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0A7ECF">
        <w:rPr>
          <w:color w:val="000000"/>
        </w:rPr>
        <w:t xml:space="preserve">    </w:t>
      </w:r>
      <w:r>
        <w:rPr>
          <w:color w:val="000000"/>
        </w:rPr>
        <w:t xml:space="preserve">can be sent to the Administrator in lieu of the report required by the Federal standards.  Therefore, duplication </w:t>
      </w:r>
      <w:r w:rsidR="006B797E">
        <w:rPr>
          <w:color w:val="000000"/>
        </w:rPr>
        <w:t xml:space="preserve">does not </w:t>
      </w:r>
      <w:r>
        <w:rPr>
          <w:color w:val="000000"/>
        </w:rPr>
        <w:t>exist.</w:t>
      </w:r>
    </w:p>
    <w:p w:rsidR="00CA4CD6" w:rsidRPr="006833C0" w:rsidRDefault="00CA4CD6">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3(b</w:t>
      </w:r>
      <w:proofErr w:type="gramStart"/>
      <w:r>
        <w:rPr>
          <w:b/>
          <w:bCs/>
          <w:color w:val="000000"/>
        </w:rPr>
        <w:t>)  Public</w:t>
      </w:r>
      <w:proofErr w:type="gramEnd"/>
      <w:r>
        <w:rPr>
          <w:b/>
          <w:bCs/>
          <w:color w:val="000000"/>
        </w:rPr>
        <w:t xml:space="preserve"> Notice </w:t>
      </w:r>
      <w:r w:rsidRPr="006833C0">
        <w:rPr>
          <w:b/>
          <w:bCs/>
        </w:rPr>
        <w:t>Required Prior to ICR Submission to OMB</w:t>
      </w:r>
    </w:p>
    <w:p w:rsidR="00CA4CD6" w:rsidRPr="006833C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833C0">
        <w:t xml:space="preserve">An announcement of a public comment period for the renewal of this ICR was published in the </w:t>
      </w:r>
      <w:r w:rsidRPr="006833C0">
        <w:rPr>
          <w:u w:val="single"/>
        </w:rPr>
        <w:t>Federal Register</w:t>
      </w:r>
      <w:r w:rsidRPr="006833C0">
        <w:t xml:space="preserve"> (</w:t>
      </w:r>
      <w:r w:rsidRPr="006B797E">
        <w:rPr>
          <w:u w:val="single"/>
        </w:rPr>
        <w:t>FR</w:t>
      </w:r>
      <w:r w:rsidRPr="006833C0">
        <w:t xml:space="preserve"> citation, e.g., </w:t>
      </w:r>
      <w:r w:rsidR="006833C0" w:rsidRPr="006833C0">
        <w:t>7</w:t>
      </w:r>
      <w:r w:rsidRPr="006833C0">
        <w:t xml:space="preserve">8 </w:t>
      </w:r>
      <w:r w:rsidRPr="006833C0">
        <w:rPr>
          <w:u w:val="single"/>
        </w:rPr>
        <w:t>FR</w:t>
      </w:r>
      <w:r w:rsidRPr="006833C0">
        <w:t xml:space="preserve"> </w:t>
      </w:r>
      <w:r w:rsidR="006833C0" w:rsidRPr="006833C0">
        <w:t>35023</w:t>
      </w:r>
      <w:r w:rsidRPr="006833C0">
        <w:t xml:space="preserve">) on </w:t>
      </w:r>
      <w:r w:rsidR="006833C0" w:rsidRPr="006833C0">
        <w:t>June 11, 2013</w:t>
      </w:r>
      <w:r w:rsidRPr="006833C0">
        <w:t>.</w:t>
      </w:r>
      <w:r w:rsidR="006833C0" w:rsidRPr="006833C0">
        <w:t xml:space="preserve">  </w:t>
      </w:r>
      <w:r w:rsidRPr="006833C0">
        <w:t xml:space="preserve">No comments were received on the burden published in the </w:t>
      </w:r>
      <w:r w:rsidRPr="006833C0">
        <w:rPr>
          <w:u w:val="single"/>
        </w:rPr>
        <w:t>Federal Register</w:t>
      </w:r>
      <w:r w:rsidR="006833C0" w:rsidRPr="006833C0">
        <w:t>.</w:t>
      </w:r>
      <w:r w:rsidRPr="006833C0">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277F42" w:rsidRPr="006833C0" w:rsidRDefault="002B6993" w:rsidP="006833C0">
      <w:pPr>
        <w:widowControl/>
        <w:ind w:firstLine="720"/>
      </w:pPr>
      <w:r w:rsidRPr="006833C0">
        <w:t>The Agency has consulted i</w:t>
      </w:r>
      <w:r w:rsidR="00E25DB6" w:rsidRPr="006833C0">
        <w:rPr>
          <w:bCs/>
        </w:rPr>
        <w:t xml:space="preserve">ndustry experts and internal data sources </w:t>
      </w:r>
      <w:r w:rsidRPr="006833C0">
        <w:rPr>
          <w:bCs/>
        </w:rPr>
        <w:t xml:space="preserve">to </w:t>
      </w:r>
      <w:r w:rsidR="00E25DB6" w:rsidRPr="006833C0">
        <w:rPr>
          <w:bCs/>
        </w:rPr>
        <w:t>project</w:t>
      </w:r>
      <w:r w:rsidRPr="006833C0">
        <w:rPr>
          <w:bCs/>
        </w:rPr>
        <w:t xml:space="preserve"> the number of affected facilities and </w:t>
      </w:r>
      <w:r w:rsidR="00E25DB6" w:rsidRPr="006833C0">
        <w:rPr>
          <w:bCs/>
        </w:rPr>
        <w:t>industry growth over the next three years.</w:t>
      </w:r>
      <w:r w:rsidR="00E25DB6" w:rsidRPr="006833C0">
        <w:rPr>
          <w:b/>
          <w:bCs/>
        </w:rPr>
        <w:t xml:space="preserve">  </w:t>
      </w:r>
      <w:r w:rsidR="00277F42" w:rsidRPr="006833C0">
        <w:t xml:space="preserve">The primary source of information as reported by industry, in compliance with the recordkeeping and reporting provisions in the standard, is the </w:t>
      </w:r>
      <w:r w:rsidR="00560AD2" w:rsidRPr="006833C0">
        <w:t>Online Tracking Information System</w:t>
      </w:r>
      <w:r w:rsidR="00102B52" w:rsidRPr="006833C0">
        <w:t xml:space="preserve"> (OTIS</w:t>
      </w:r>
      <w:r w:rsidR="00277F42" w:rsidRPr="006833C0">
        <w:t xml:space="preserve">) which is operated and maintained by EPA's Office of Compliance.  </w:t>
      </w:r>
      <w:r w:rsidR="00560AD2" w:rsidRPr="006833C0">
        <w:t>OTIS</w:t>
      </w:r>
      <w:r w:rsidR="00277F42" w:rsidRPr="006833C0">
        <w:t xml:space="preserve"> is EPA</w:t>
      </w:r>
      <w:r w:rsidR="00560AD2" w:rsidRPr="006833C0">
        <w:t>’</w:t>
      </w:r>
      <w:r w:rsidR="00277F42" w:rsidRPr="006833C0">
        <w:t>s database for the collection, maintenance, and retrieval of all compliance data.  The growth rate for the industry is based on our consultations with the Agency’s internal industry experts.</w:t>
      </w:r>
      <w:r w:rsidR="006B797E">
        <w:t xml:space="preserve"> </w:t>
      </w:r>
      <w:r w:rsidR="00277F42" w:rsidRPr="006833C0">
        <w:t xml:space="preserve"> Approximately </w:t>
      </w:r>
      <w:r w:rsidR="006833C0" w:rsidRPr="006833C0">
        <w:t>three</w:t>
      </w:r>
      <w:r w:rsidR="00277F42" w:rsidRPr="006833C0">
        <w:t xml:space="preserve"> respondents will be subject to the standard over the three year period covered by this ICR.</w:t>
      </w:r>
    </w:p>
    <w:p w:rsidR="00277F42" w:rsidRPr="00277F42" w:rsidRDefault="00277F42" w:rsidP="00277F42">
      <w:pPr>
        <w:rPr>
          <w:color w:val="FF0000"/>
        </w:rPr>
      </w:pPr>
    </w:p>
    <w:p w:rsidR="00CF2B37" w:rsidRPr="00DD71A9" w:rsidRDefault="0029006A" w:rsidP="00DD71A9">
      <w:pPr>
        <w:ind w:firstLine="720"/>
      </w:pPr>
      <w:r w:rsidRPr="006833C0">
        <w:t>I</w:t>
      </w:r>
      <w:r w:rsidR="00123889" w:rsidRPr="006833C0">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DD71A9">
        <w:t xml:space="preserve">  </w:t>
      </w:r>
      <w:r w:rsidR="00CF2B37" w:rsidRPr="00DD71A9">
        <w:t>In developing this ICR, we contacted</w:t>
      </w:r>
      <w:r w:rsidR="00B87FDF">
        <w:t>: 1)</w:t>
      </w:r>
      <w:r w:rsidR="00CF2B37" w:rsidRPr="00DD71A9">
        <w:t xml:space="preserve"> the </w:t>
      </w:r>
      <w:r w:rsidR="00BB7A59" w:rsidRPr="00DD71A9">
        <w:t>National Association of Clean Water Agencies</w:t>
      </w:r>
      <w:r w:rsidR="00B87FDF">
        <w:t>,</w:t>
      </w:r>
      <w:r w:rsidR="00CF2B37" w:rsidRPr="00DD71A9">
        <w:t xml:space="preserve"> at </w:t>
      </w:r>
      <w:r w:rsidR="00DD71A9">
        <w:t>(</w:t>
      </w:r>
      <w:r w:rsidR="00BB7A59" w:rsidRPr="00DD71A9">
        <w:t>202</w:t>
      </w:r>
      <w:r w:rsidR="00DD71A9">
        <w:t>)</w:t>
      </w:r>
      <w:r w:rsidR="00BB7A59" w:rsidRPr="00DD71A9">
        <w:t>833</w:t>
      </w:r>
      <w:r w:rsidR="00A11EF2" w:rsidRPr="00DD71A9">
        <w:t>-</w:t>
      </w:r>
      <w:r w:rsidR="00BB7A59" w:rsidRPr="00DD71A9">
        <w:t>9106</w:t>
      </w:r>
      <w:r w:rsidR="00B87FDF">
        <w:t>;</w:t>
      </w:r>
      <w:r w:rsidR="00BB7A59" w:rsidRPr="00DD71A9">
        <w:t xml:space="preserve"> </w:t>
      </w:r>
      <w:r w:rsidR="00CF2B37" w:rsidRPr="00DD71A9">
        <w:t xml:space="preserve">and </w:t>
      </w:r>
      <w:r w:rsidR="00B87FDF">
        <w:t xml:space="preserve">2) </w:t>
      </w:r>
      <w:r w:rsidR="00CF2B37" w:rsidRPr="00DD71A9">
        <w:t xml:space="preserve">the </w:t>
      </w:r>
      <w:r w:rsidR="00BB7A59" w:rsidRPr="00DD71A9">
        <w:t>Water Environment</w:t>
      </w:r>
      <w:r w:rsidR="00724BC7" w:rsidRPr="00DD71A9">
        <w:t xml:space="preserve"> </w:t>
      </w:r>
      <w:r w:rsidR="00A11EF2" w:rsidRPr="00DD71A9">
        <w:t>Federation</w:t>
      </w:r>
      <w:r w:rsidR="00B87FDF">
        <w:t>,</w:t>
      </w:r>
      <w:r w:rsidR="00A11EF2" w:rsidRPr="00DD71A9">
        <w:t xml:space="preserve"> </w:t>
      </w:r>
      <w:r w:rsidR="00724BC7" w:rsidRPr="00DD71A9">
        <w:t xml:space="preserve">at </w:t>
      </w:r>
      <w:r w:rsidR="00DD71A9">
        <w:t>(</w:t>
      </w:r>
      <w:r w:rsidR="00A11EF2" w:rsidRPr="00DD71A9">
        <w:t>703</w:t>
      </w:r>
      <w:r w:rsidR="00DD71A9">
        <w:t>)</w:t>
      </w:r>
      <w:r w:rsidR="00A11EF2" w:rsidRPr="00DD71A9">
        <w:t>684-2437</w:t>
      </w:r>
      <w:r w:rsidR="00CF2B37" w:rsidRPr="00DD71A9">
        <w:t>.</w:t>
      </w:r>
    </w:p>
    <w:p w:rsidR="00A11EF2" w:rsidRDefault="00A11EF2" w:rsidP="00CF2B37">
      <w:pPr>
        <w:ind w:firstLine="720"/>
        <w:rPr>
          <w:color w:val="FF0000"/>
        </w:rPr>
      </w:pPr>
    </w:p>
    <w:p w:rsidR="00A11EF2" w:rsidRPr="00A11F59" w:rsidRDefault="00A11EF2" w:rsidP="00A11EF2">
      <w:pPr>
        <w:widowControl/>
        <w:ind w:firstLine="720"/>
      </w:pPr>
      <w:r w:rsidRPr="00184E33">
        <w:rPr>
          <w:bCs/>
        </w:rPr>
        <w:t xml:space="preserve">It is our policy to respond after a thorough review of comments received since the last ICR renewal as well as those submitted in response to the first </w:t>
      </w:r>
      <w:r w:rsidRPr="00184E33">
        <w:rPr>
          <w:bCs/>
          <w:u w:val="single"/>
        </w:rPr>
        <w:t xml:space="preserve">Federal </w:t>
      </w:r>
      <w:r w:rsidRPr="00A11F59">
        <w:rPr>
          <w:bCs/>
          <w:u w:val="single"/>
        </w:rPr>
        <w:t>Register</w:t>
      </w:r>
      <w:r w:rsidRPr="00A11F59">
        <w:rPr>
          <w:bCs/>
        </w:rPr>
        <w:t xml:space="preserve"> notice.  </w:t>
      </w:r>
      <w:r w:rsidRPr="00A11F59">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E1BF9" w:rsidRDefault="00CA4CD6" w:rsidP="002E1BF9">
      <w:pPr>
        <w:pBdr>
          <w:top w:val="single" w:sz="6" w:space="0" w:color="FFFFFF"/>
          <w:left w:val="single" w:sz="6" w:space="0" w:color="FFFFFF"/>
          <w:bottom w:val="single" w:sz="6" w:space="0" w:color="FFFFFF"/>
          <w:right w:val="single" w:sz="6" w:space="0" w:color="FFFFFF"/>
        </w:pBdr>
        <w:ind w:firstLine="720"/>
      </w:pPr>
      <w:r w:rsidRPr="002E1BF9">
        <w:t>These standards require the respondents to maintain all records, including reports and notifications for at least five years.  This is consistent with the General Provisions as applied to the standards.  EPA believes that the five</w:t>
      </w:r>
      <w:r w:rsidR="006B797E">
        <w:t>-</w:t>
      </w:r>
      <w:r w:rsidRPr="002E1BF9">
        <w:t xml:space="preserve">year records retention requirement is consistent </w:t>
      </w:r>
      <w:r w:rsidR="004D347D">
        <w:t xml:space="preserve">with </w:t>
      </w:r>
      <w:r w:rsidRPr="002E1BF9">
        <w:t>Part 70 permit program and the five</w:t>
      </w:r>
      <w:r w:rsidR="00442D0E">
        <w:t>-</w:t>
      </w:r>
      <w:r w:rsidRPr="002E1BF9">
        <w:t xml:space="preserve">year statute of limitations on which the permit program is based.  </w:t>
      </w:r>
      <w:r w:rsidR="005F42F8" w:rsidRPr="002E1BF9">
        <w:t>T</w:t>
      </w:r>
      <w:r w:rsidRPr="002E1BF9">
        <w:t>he retention of records for five</w:t>
      </w:r>
      <w:r w:rsidR="00442D0E">
        <w:t>-</w:t>
      </w:r>
      <w:r w:rsidRPr="002E1BF9">
        <w:t>years allow</w:t>
      </w:r>
      <w:r w:rsidR="005F42F8" w:rsidRPr="002E1BF9">
        <w:t>s</w:t>
      </w:r>
      <w:r w:rsidRPr="002E1BF9">
        <w:t xml:space="preserve"> EPA to establish the compliance history of a source</w:t>
      </w:r>
      <w:r w:rsidR="005F42F8" w:rsidRPr="002E1BF9">
        <w:t xml:space="preserve">, </w:t>
      </w:r>
      <w:r w:rsidRPr="002E1BF9">
        <w:t xml:space="preserve">any pattern of </w:t>
      </w:r>
      <w:r w:rsidR="005F42F8" w:rsidRPr="002E1BF9">
        <w:t>non-</w:t>
      </w:r>
      <w:r w:rsidRPr="002E1BF9">
        <w:t>compliance</w:t>
      </w:r>
      <w:r w:rsidR="006B797E">
        <w:t>,</w:t>
      </w:r>
      <w:r w:rsidR="005F42F8" w:rsidRPr="002E1BF9">
        <w:t xml:space="preserve"> and to determine the appropriate level of enforcement action.  </w:t>
      </w:r>
      <w:r w:rsidRPr="002E1BF9">
        <w:t xml:space="preserve">EPA has found that the most flagrant violators have violations extending beyond five </w:t>
      </w:r>
      <w:r w:rsidRPr="002E1BF9">
        <w:lastRenderedPageBreak/>
        <w:t xml:space="preserve">years.  </w:t>
      </w:r>
      <w:r w:rsidR="005F42F8" w:rsidRPr="002E1BF9">
        <w:t xml:space="preserve">In addition, </w:t>
      </w:r>
      <w:r w:rsidRPr="002E1BF9">
        <w:t xml:space="preserve">EPA would be prevented from pursuing the violators due to the destruction or nonexistence of </w:t>
      </w:r>
      <w:r w:rsidR="005F42F8" w:rsidRPr="002E1BF9">
        <w:t xml:space="preserve">essential </w:t>
      </w:r>
      <w:r w:rsidRPr="002E1BF9">
        <w:t>records</w:t>
      </w:r>
      <w:r w:rsidR="002E1BF9" w:rsidRPr="002E1BF9">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5349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 standard</w:t>
      </w:r>
      <w:r w:rsidR="006B797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072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w:t>
      </w:r>
      <w:r w:rsidRPr="0036539F">
        <w:t xml:space="preserve">recordkeeping and reporting requirements are </w:t>
      </w:r>
      <w:r w:rsidR="0036539F" w:rsidRPr="0036539F">
        <w:t>owners or operators of new or modified SSI units.</w:t>
      </w:r>
      <w:r w:rsidRPr="0036539F">
        <w:t xml:space="preserve">  The </w:t>
      </w:r>
      <w:r w:rsidR="00CF2B37" w:rsidRPr="0036539F">
        <w:t>Uni</w:t>
      </w:r>
      <w:r w:rsidR="00CF2B37">
        <w:rPr>
          <w:color w:val="000000"/>
        </w:rPr>
        <w:t>ted States Standard Industrial Classification (</w:t>
      </w:r>
      <w:r>
        <w:rPr>
          <w:color w:val="000000"/>
        </w:rPr>
        <w:t>SIC</w:t>
      </w:r>
      <w:r w:rsidR="00CF2B37">
        <w:rPr>
          <w:color w:val="000000"/>
        </w:rPr>
        <w:t>)</w:t>
      </w:r>
      <w:r>
        <w:rPr>
          <w:color w:val="000000"/>
        </w:rPr>
        <w:t xml:space="preserve"> code for the respondents affected by the standards is SIC </w:t>
      </w:r>
      <w:r w:rsidR="00907219" w:rsidRPr="00907219">
        <w:rPr>
          <w:color w:val="000000"/>
        </w:rPr>
        <w:t>49539907</w:t>
      </w:r>
      <w:r w:rsidR="00907219">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DD71A9">
        <w:rPr>
          <w:color w:val="000000"/>
        </w:rPr>
        <w:t>c</w:t>
      </w:r>
      <w:r w:rsidR="00907219">
        <w:rPr>
          <w:color w:val="000000"/>
        </w:rPr>
        <w:t xml:space="preserve">ode </w:t>
      </w:r>
      <w:r w:rsidR="008A7DE5">
        <w:rPr>
          <w:color w:val="000000"/>
        </w:rPr>
        <w:t>221</w:t>
      </w:r>
      <w:r w:rsidR="00907219">
        <w:rPr>
          <w:color w:val="000000"/>
        </w:rPr>
        <w:t>320</w:t>
      </w:r>
      <w:r>
        <w:rPr>
          <w:color w:val="000000"/>
        </w:rPr>
        <w:t xml:space="preserve"> </w:t>
      </w:r>
      <w:r w:rsidRPr="00907219">
        <w:t xml:space="preserve">for </w:t>
      </w:r>
      <w:r w:rsidR="00907219" w:rsidRPr="00907219">
        <w:t>Sewage Treatment Facilities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Pr="009B4219" w:rsidRDefault="00CA4CD6">
      <w:pPr>
        <w:pBdr>
          <w:top w:val="single" w:sz="6" w:space="0" w:color="FFFFFF"/>
          <w:left w:val="single" w:sz="6" w:space="0" w:color="FFFFFF"/>
          <w:bottom w:val="single" w:sz="6" w:space="0" w:color="FFFFFF"/>
          <w:right w:val="single" w:sz="6" w:space="0" w:color="FFFFFF"/>
        </w:pBdr>
      </w:pPr>
    </w:p>
    <w:p w:rsidR="00CA4CD6" w:rsidRPr="009B4219" w:rsidRDefault="00817E8B">
      <w:pPr>
        <w:pBdr>
          <w:top w:val="single" w:sz="6" w:space="0" w:color="FFFFFF"/>
          <w:left w:val="single" w:sz="6" w:space="0" w:color="FFFFFF"/>
          <w:bottom w:val="single" w:sz="6" w:space="0" w:color="FFFFFF"/>
          <w:right w:val="single" w:sz="6" w:space="0" w:color="FFFFFF"/>
        </w:pBdr>
        <w:ind w:firstLine="720"/>
      </w:pPr>
      <w:r w:rsidRPr="009B4219">
        <w:t>I</w:t>
      </w:r>
      <w:r w:rsidR="00CA4CD6" w:rsidRPr="009B4219">
        <w:t>n this ICR</w:t>
      </w:r>
      <w:r w:rsidRPr="009B4219">
        <w:t>, all the data</w:t>
      </w:r>
      <w:r w:rsidR="00CA4CD6" w:rsidRPr="009B4219">
        <w:t xml:space="preserve"> </w:t>
      </w:r>
      <w:r w:rsidRPr="009B4219">
        <w:t xml:space="preserve">that is </w:t>
      </w:r>
      <w:r w:rsidR="00CA4CD6" w:rsidRPr="009B4219">
        <w:t xml:space="preserve">recorded or reported </w:t>
      </w:r>
      <w:r w:rsidRPr="009B4219">
        <w:t>is</w:t>
      </w:r>
      <w:r w:rsidR="00CA4CD6" w:rsidRPr="009B4219">
        <w:t xml:space="preserve"> required by </w:t>
      </w:r>
      <w:r w:rsidR="009B4219">
        <w:t xml:space="preserve">the </w:t>
      </w:r>
      <w:r w:rsidR="009B4219" w:rsidRPr="009B4219">
        <w:t xml:space="preserve">NSPS for Sewage Sludge Incineration Units (40 CFR </w:t>
      </w:r>
      <w:r w:rsidR="00DD71A9">
        <w:t>P</w:t>
      </w:r>
      <w:r w:rsidR="009B4219" w:rsidRPr="009B4219">
        <w:t xml:space="preserve">art 60, </w:t>
      </w:r>
      <w:r w:rsidR="00DD71A9">
        <w:t>S</w:t>
      </w:r>
      <w:r w:rsidR="009B4219" w:rsidRPr="009B4219">
        <w:t>ubpart LLLL)</w:t>
      </w:r>
      <w:r w:rsidR="00CA4CD6" w:rsidRPr="009B421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D3452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D374A9" w:rsidP="00D374A9">
            <w:pPr>
              <w:pBdr>
                <w:top w:val="single" w:sz="6" w:space="0" w:color="FFFFFF"/>
                <w:left w:val="single" w:sz="6" w:space="0" w:color="FFFFFF"/>
                <w:bottom w:val="single" w:sz="6" w:space="0" w:color="FFFFFF"/>
                <w:right w:val="single" w:sz="6" w:space="0" w:color="FFFFFF"/>
              </w:pBdr>
              <w:spacing w:after="58"/>
            </w:pPr>
            <w:r>
              <w:t>Notification of intent to construct, including anticipated date of commencement of construction, documentation for siting requirements, and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374A9" w:rsidP="008348E7">
            <w:pPr>
              <w:pBdr>
                <w:top w:val="single" w:sz="6" w:space="0" w:color="FFFFFF"/>
                <w:left w:val="single" w:sz="6" w:space="0" w:color="FFFFFF"/>
                <w:bottom w:val="single" w:sz="6" w:space="0" w:color="FFFFFF"/>
                <w:right w:val="single" w:sz="6" w:space="0" w:color="FFFFFF"/>
              </w:pBdr>
              <w:spacing w:after="58"/>
            </w:pPr>
            <w:r w:rsidRPr="00BC7FCA">
              <w:t>60.</w:t>
            </w:r>
            <w:r>
              <w:t>4915</w:t>
            </w:r>
            <w:r w:rsidRPr="00BC7FCA">
              <w:t>(a)</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D374A9">
            <w:pPr>
              <w:pBdr>
                <w:top w:val="single" w:sz="6" w:space="0" w:color="FFFFFF"/>
                <w:left w:val="single" w:sz="6" w:space="0" w:color="FFFFFF"/>
                <w:bottom w:val="single" w:sz="6" w:space="0" w:color="FFFFFF"/>
                <w:right w:val="single" w:sz="6" w:space="0" w:color="FFFFFF"/>
              </w:pBdr>
              <w:spacing w:after="58"/>
            </w:pPr>
            <w:r>
              <w:t>Notification of actual startup, including maximum design dry sewage sludge burning capacity, anticipated maximum feed rate, petition for site-specific operating limits if applicable, and site-specific monitoring plan.</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374A9" w:rsidP="008348E7">
            <w:pPr>
              <w:pBdr>
                <w:top w:val="single" w:sz="6" w:space="0" w:color="FFFFFF"/>
                <w:left w:val="single" w:sz="6" w:space="0" w:color="FFFFFF"/>
                <w:bottom w:val="single" w:sz="6" w:space="0" w:color="FFFFFF"/>
                <w:right w:val="single" w:sz="6" w:space="0" w:color="FFFFFF"/>
              </w:pBdr>
              <w:spacing w:after="58"/>
            </w:pPr>
            <w:r w:rsidRPr="00BC7FCA">
              <w:t>60.</w:t>
            </w:r>
            <w:r>
              <w:t>4915</w:t>
            </w:r>
            <w:r w:rsidRPr="00BC7FCA">
              <w:t>(b)</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D374A9" w:rsidP="00D374A9">
            <w:pPr>
              <w:pBdr>
                <w:top w:val="single" w:sz="6" w:space="0" w:color="FFFFFF"/>
                <w:left w:val="single" w:sz="6" w:space="0" w:color="FFFFFF"/>
                <w:bottom w:val="single" w:sz="6" w:space="0" w:color="FFFFFF"/>
                <w:right w:val="single" w:sz="6" w:space="0" w:color="FFFFFF"/>
              </w:pBdr>
              <w:spacing w:after="58"/>
            </w:pPr>
            <w:r>
              <w:lastRenderedPageBreak/>
              <w:t>Notification of intent to start or stop use of a CMS.</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374A9" w:rsidP="008348E7">
            <w:pPr>
              <w:pBdr>
                <w:top w:val="single" w:sz="6" w:space="0" w:color="FFFFFF"/>
                <w:left w:val="single" w:sz="6" w:space="0" w:color="FFFFFF"/>
                <w:bottom w:val="single" w:sz="6" w:space="0" w:color="FFFFFF"/>
                <w:right w:val="single" w:sz="6" w:space="0" w:color="FFFFFF"/>
              </w:pBdr>
              <w:spacing w:after="58"/>
            </w:pPr>
            <w:r w:rsidRPr="007532CC">
              <w:t>60.</w:t>
            </w:r>
            <w:r>
              <w:t>4915(h)</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D374A9" w:rsidP="00D374A9">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374A9" w:rsidP="008348E7">
            <w:pPr>
              <w:pBdr>
                <w:top w:val="single" w:sz="6" w:space="0" w:color="FFFFFF"/>
                <w:left w:val="single" w:sz="6" w:space="0" w:color="FFFFFF"/>
                <w:bottom w:val="single" w:sz="6" w:space="0" w:color="FFFFFF"/>
                <w:right w:val="single" w:sz="6" w:space="0" w:color="FFFFFF"/>
              </w:pBdr>
              <w:spacing w:after="58"/>
            </w:pPr>
            <w:r w:rsidRPr="007532CC">
              <w:t>60.</w:t>
            </w:r>
            <w:r>
              <w:t>4915(h)</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D374A9">
            <w:pPr>
              <w:pBdr>
                <w:top w:val="single" w:sz="6" w:space="0" w:color="FFFFFF"/>
                <w:left w:val="single" w:sz="6" w:space="0" w:color="FFFFFF"/>
                <w:bottom w:val="single" w:sz="6" w:space="0" w:color="FFFFFF"/>
                <w:right w:val="single" w:sz="6" w:space="0" w:color="FFFFFF"/>
              </w:pBdr>
              <w:spacing w:after="58"/>
            </w:pPr>
            <w:r>
              <w:t>Notification to reschedule performance test.</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374A9" w:rsidP="008348E7">
            <w:pPr>
              <w:pBdr>
                <w:top w:val="single" w:sz="6" w:space="0" w:color="FFFFFF"/>
                <w:left w:val="single" w:sz="6" w:space="0" w:color="FFFFFF"/>
                <w:bottom w:val="single" w:sz="6" w:space="0" w:color="FFFFFF"/>
                <w:right w:val="single" w:sz="6" w:space="0" w:color="FFFFFF"/>
              </w:pBdr>
              <w:spacing w:after="58"/>
            </w:pPr>
            <w:r w:rsidRPr="007532CC">
              <w:t>60.</w:t>
            </w:r>
            <w:r>
              <w:t>4915(h)</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9B4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rsidTr="009B4219">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2C2972">
            <w:pPr>
              <w:pBdr>
                <w:top w:val="single" w:sz="6" w:space="0" w:color="FFFFFF"/>
                <w:left w:val="single" w:sz="6" w:space="0" w:color="FFFFFF"/>
                <w:bottom w:val="single" w:sz="6" w:space="0" w:color="FFFFFF"/>
                <w:right w:val="single" w:sz="6" w:space="0" w:color="FFFFFF"/>
              </w:pBdr>
              <w:spacing w:after="58"/>
            </w:pPr>
            <w:r>
              <w:t>Initial compliance report, no later than 60 days after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2C2972" w:rsidP="008348E7">
            <w:pPr>
              <w:pBdr>
                <w:top w:val="single" w:sz="6" w:space="0" w:color="FFFFFF"/>
                <w:left w:val="single" w:sz="6" w:space="0" w:color="FFFFFF"/>
                <w:bottom w:val="single" w:sz="6" w:space="0" w:color="FFFFFF"/>
                <w:right w:val="single" w:sz="6" w:space="0" w:color="FFFFFF"/>
              </w:pBdr>
              <w:spacing w:after="58"/>
            </w:pPr>
            <w:r w:rsidRPr="00BC7FCA">
              <w:t>60.</w:t>
            </w:r>
            <w:r>
              <w:t>4915</w:t>
            </w:r>
            <w:r w:rsidRPr="00BC7FCA">
              <w:t>(c)</w:t>
            </w:r>
          </w:p>
        </w:tc>
      </w:tr>
      <w:tr w:rsidR="00CA4CD6" w:rsidRPr="00CF2B37" w:rsidTr="009B4219">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2C2972">
            <w:pPr>
              <w:pBdr>
                <w:top w:val="single" w:sz="6" w:space="0" w:color="FFFFFF"/>
                <w:left w:val="single" w:sz="6" w:space="0" w:color="FFFFFF"/>
                <w:bottom w:val="single" w:sz="6" w:space="0" w:color="FFFFFF"/>
                <w:right w:val="single" w:sz="6" w:space="0" w:color="FFFFFF"/>
              </w:pBdr>
              <w:spacing w:after="58"/>
            </w:pPr>
            <w:r>
              <w:t>Annual compliance report.</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2C2972" w:rsidP="008348E7">
            <w:pPr>
              <w:pBdr>
                <w:top w:val="single" w:sz="6" w:space="0" w:color="FFFFFF"/>
                <w:left w:val="single" w:sz="6" w:space="0" w:color="FFFFFF"/>
                <w:bottom w:val="single" w:sz="6" w:space="0" w:color="FFFFFF"/>
                <w:right w:val="single" w:sz="6" w:space="0" w:color="FFFFFF"/>
              </w:pBdr>
              <w:spacing w:after="58"/>
            </w:pPr>
            <w:r w:rsidRPr="00BC7FCA">
              <w:t>60.</w:t>
            </w:r>
            <w:r>
              <w:t>4915</w:t>
            </w:r>
            <w:r w:rsidRPr="00BC7FCA">
              <w:t>(d)</w:t>
            </w:r>
          </w:p>
        </w:tc>
      </w:tr>
      <w:tr w:rsidR="00CA4CD6" w:rsidRPr="00CF2B37" w:rsidTr="009B4219">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2C2972">
            <w:pPr>
              <w:pBdr>
                <w:top w:val="single" w:sz="6" w:space="0" w:color="FFFFFF"/>
                <w:left w:val="single" w:sz="6" w:space="0" w:color="FFFFFF"/>
                <w:bottom w:val="single" w:sz="6" w:space="0" w:color="FFFFFF"/>
                <w:right w:val="single" w:sz="6" w:space="0" w:color="FFFFFF"/>
              </w:pBdr>
              <w:spacing w:after="58"/>
            </w:pPr>
            <w:r>
              <w:t>Deviation report if operating limits or emission limits are exceeded.</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2C2972" w:rsidP="008348E7">
            <w:pPr>
              <w:pBdr>
                <w:top w:val="single" w:sz="6" w:space="0" w:color="FFFFFF"/>
                <w:left w:val="single" w:sz="6" w:space="0" w:color="FFFFFF"/>
                <w:bottom w:val="single" w:sz="6" w:space="0" w:color="FFFFFF"/>
                <w:right w:val="single" w:sz="6" w:space="0" w:color="FFFFFF"/>
              </w:pBdr>
              <w:spacing w:after="58"/>
            </w:pPr>
            <w:r w:rsidRPr="00BC7FCA">
              <w:t>60.</w:t>
            </w:r>
            <w:r>
              <w:t>4915</w:t>
            </w:r>
            <w:r w:rsidRPr="00BC7FCA">
              <w:t>(e)</w:t>
            </w:r>
          </w:p>
        </w:tc>
      </w:tr>
      <w:tr w:rsidR="002C2972" w:rsidRPr="00CF2B37" w:rsidTr="009B4219">
        <w:trPr>
          <w:jc w:val="center"/>
        </w:trPr>
        <w:tc>
          <w:tcPr>
            <w:tcW w:w="7020" w:type="dxa"/>
            <w:tcBorders>
              <w:top w:val="single" w:sz="7" w:space="0" w:color="000000"/>
              <w:left w:val="single" w:sz="7" w:space="0" w:color="000000"/>
              <w:bottom w:val="single" w:sz="7" w:space="0" w:color="000000"/>
              <w:right w:val="single" w:sz="7" w:space="0" w:color="000000"/>
            </w:tcBorders>
          </w:tcPr>
          <w:p w:rsidR="002C2972" w:rsidRDefault="002C2972">
            <w:pPr>
              <w:pBdr>
                <w:top w:val="single" w:sz="6" w:space="0" w:color="FFFFFF"/>
                <w:left w:val="single" w:sz="6" w:space="0" w:color="FFFFFF"/>
                <w:bottom w:val="single" w:sz="6" w:space="0" w:color="FFFFFF"/>
                <w:right w:val="single" w:sz="6" w:space="0" w:color="FFFFFF"/>
              </w:pBdr>
              <w:spacing w:after="58"/>
            </w:pPr>
            <w:r>
              <w:t>Report of force majeure event occur</w:t>
            </w:r>
            <w:r w:rsidR="00DD71A9">
              <w:t>re</w:t>
            </w:r>
            <w:r>
              <w:t>nces.</w:t>
            </w:r>
          </w:p>
        </w:tc>
        <w:tc>
          <w:tcPr>
            <w:tcW w:w="2340" w:type="dxa"/>
            <w:tcBorders>
              <w:top w:val="single" w:sz="7" w:space="0" w:color="000000"/>
              <w:left w:val="single" w:sz="7" w:space="0" w:color="000000"/>
              <w:bottom w:val="single" w:sz="7" w:space="0" w:color="000000"/>
              <w:right w:val="single" w:sz="7" w:space="0" w:color="000000"/>
            </w:tcBorders>
          </w:tcPr>
          <w:p w:rsidR="002C2972" w:rsidRPr="00BC7FCA" w:rsidRDefault="002C2972" w:rsidP="008348E7">
            <w:pPr>
              <w:pBdr>
                <w:top w:val="single" w:sz="6" w:space="0" w:color="FFFFFF"/>
                <w:left w:val="single" w:sz="6" w:space="0" w:color="FFFFFF"/>
                <w:bottom w:val="single" w:sz="6" w:space="0" w:color="FFFFFF"/>
                <w:right w:val="single" w:sz="6" w:space="0" w:color="FFFFFF"/>
              </w:pBdr>
              <w:spacing w:after="58"/>
            </w:pPr>
            <w:r w:rsidRPr="007532CC">
              <w:t>60.</w:t>
            </w:r>
            <w:r>
              <w:t>4915(g)</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9B4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rsidRDefault="009B4219" w:rsidP="009B4219">
            <w:pPr>
              <w:pBdr>
                <w:top w:val="single" w:sz="6" w:space="0" w:color="FFFFFF"/>
                <w:left w:val="single" w:sz="6" w:space="0" w:color="FFFFFF"/>
                <w:bottom w:val="single" w:sz="6" w:space="0" w:color="FFFFFF"/>
                <w:right w:val="single" w:sz="6" w:space="0" w:color="FFFFFF"/>
              </w:pBdr>
              <w:spacing w:after="58"/>
            </w:pPr>
            <w:r>
              <w:t>Maintain all records for five years.</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rsidRDefault="009B4219" w:rsidP="008348E7">
            <w:pPr>
              <w:pBdr>
                <w:top w:val="single" w:sz="6" w:space="0" w:color="FFFFFF"/>
                <w:left w:val="single" w:sz="6" w:space="0" w:color="FFFFFF"/>
                <w:bottom w:val="single" w:sz="6" w:space="0" w:color="FFFFFF"/>
                <w:right w:val="single" w:sz="6" w:space="0" w:color="FFFFFF"/>
              </w:pBdr>
              <w:spacing w:after="58"/>
            </w:pPr>
            <w:r w:rsidRPr="00BC7FCA">
              <w:t>60.491</w:t>
            </w:r>
            <w:r>
              <w:t>0</w:t>
            </w:r>
          </w:p>
        </w:tc>
      </w:tr>
      <w:tr w:rsidR="00CA4CD6"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rsidRDefault="009B4219" w:rsidP="009B4219">
            <w:pPr>
              <w:pBdr>
                <w:top w:val="single" w:sz="6" w:space="0" w:color="FFFFFF"/>
                <w:left w:val="single" w:sz="6" w:space="0" w:color="FFFFFF"/>
                <w:bottom w:val="single" w:sz="6" w:space="0" w:color="FFFFFF"/>
                <w:right w:val="single" w:sz="6" w:space="0" w:color="FFFFFF"/>
              </w:pBdr>
              <w:spacing w:after="58"/>
            </w:pPr>
            <w:r>
              <w:t>Record c</w:t>
            </w:r>
            <w:r w:rsidRPr="009B4219">
              <w:t>alendar date of each record.</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rsidRDefault="009B4219" w:rsidP="008348E7">
            <w:pPr>
              <w:pBdr>
                <w:top w:val="single" w:sz="6" w:space="0" w:color="FFFFFF"/>
                <w:left w:val="single" w:sz="6" w:space="0" w:color="FFFFFF"/>
                <w:bottom w:val="single" w:sz="6" w:space="0" w:color="FFFFFF"/>
                <w:right w:val="single" w:sz="6" w:space="0" w:color="FFFFFF"/>
              </w:pBdr>
              <w:spacing w:after="58"/>
            </w:pPr>
            <w:r w:rsidRPr="00BC7FCA">
              <w:t>60.491</w:t>
            </w:r>
            <w:r>
              <w:t>0</w:t>
            </w:r>
            <w:r w:rsidRPr="00BC7FCA">
              <w:t>(a)</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spacing w:before="120" w:after="120"/>
            </w:pPr>
            <w:r>
              <w:t>Maintain r</w:t>
            </w:r>
            <w:r w:rsidRPr="007532CC">
              <w:t>ecords of documentation of siting requirements.</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spacing w:before="120" w:after="120"/>
            </w:pPr>
            <w:r w:rsidRPr="00BC7FCA">
              <w:t>60.</w:t>
            </w:r>
            <w:r>
              <w:t>4910</w:t>
            </w:r>
            <w:r w:rsidRPr="00BC7FCA">
              <w:t>(b)</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r</w:t>
            </w:r>
            <w:r w:rsidRPr="007532CC">
              <w:t>ecords of site-specific information and incinerator operation procedures</w:t>
            </w:r>
            <w:r>
              <w:t xml:space="preserve"> and the</w:t>
            </w:r>
            <w:r w:rsidRPr="007532CC">
              <w:t xml:space="preserve"> names of persons who have completed review</w:t>
            </w:r>
            <w:r>
              <w:t xml:space="preserve"> of this information</w:t>
            </w:r>
            <w:r w:rsidRPr="007532CC">
              <w:t>.</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w:t>
            </w:r>
            <w:r w:rsidRPr="00BC7FCA">
              <w:t>(c)(1)</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r</w:t>
            </w:r>
            <w:r w:rsidRPr="007532CC">
              <w:t xml:space="preserve">ecords of names of persons who have completed the </w:t>
            </w:r>
            <w:r>
              <w:t>operator training requirements, i</w:t>
            </w:r>
            <w:r w:rsidRPr="007532CC">
              <w:t>nclud</w:t>
            </w:r>
            <w:r>
              <w:t>ing</w:t>
            </w:r>
            <w:r w:rsidRPr="007532CC">
              <w:t xml:space="preserve"> documentation of the training and the dates of the training.</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w:t>
            </w:r>
            <w:r w:rsidRPr="00BC7FCA">
              <w:t>(c)(2)</w:t>
            </w:r>
          </w:p>
        </w:tc>
      </w:tr>
      <w:tr w:rsidR="009B4219" w:rsidRPr="00CF2B37" w:rsidTr="009B4219">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spacing w:before="120" w:after="120"/>
            </w:pPr>
            <w:r>
              <w:t>Maintain r</w:t>
            </w:r>
            <w:r w:rsidRPr="007532CC">
              <w:t>ecords showing the periods when no qualified operators were accessible for more than 8 hours, but less than two weeks.</w:t>
            </w:r>
          </w:p>
        </w:tc>
        <w:tc>
          <w:tcPr>
            <w:tcW w:w="2250" w:type="dxa"/>
            <w:tcBorders>
              <w:top w:val="single" w:sz="7" w:space="0" w:color="000000"/>
              <w:left w:val="single" w:sz="7" w:space="0" w:color="000000"/>
              <w:bottom w:val="single" w:sz="7" w:space="0" w:color="000000"/>
              <w:right w:val="single" w:sz="7" w:space="0" w:color="000000"/>
            </w:tcBorders>
            <w:vAlign w:val="center"/>
          </w:tcPr>
          <w:p w:rsidR="009B4219" w:rsidRPr="00BC7FCA" w:rsidRDefault="009B4219" w:rsidP="008348E7">
            <w:pPr>
              <w:spacing w:before="120" w:after="120"/>
            </w:pPr>
            <w:r w:rsidRPr="00BC7FCA">
              <w:t>60.</w:t>
            </w:r>
            <w:r>
              <w:t>4910</w:t>
            </w:r>
            <w:r w:rsidRPr="00BC7FCA">
              <w:t>(c)(3)</w:t>
            </w:r>
          </w:p>
        </w:tc>
      </w:tr>
      <w:tr w:rsidR="009B4219" w:rsidRPr="00CF2B37" w:rsidTr="009B4219">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spacing w:before="120" w:after="120"/>
            </w:pPr>
            <w:r>
              <w:t>Maintain r</w:t>
            </w:r>
            <w:r w:rsidRPr="007532CC">
              <w:t>ecords showing the periods when no qualified operators were accessible for two weeks or more.</w:t>
            </w:r>
          </w:p>
        </w:tc>
        <w:tc>
          <w:tcPr>
            <w:tcW w:w="2250" w:type="dxa"/>
            <w:tcBorders>
              <w:top w:val="single" w:sz="7" w:space="0" w:color="000000"/>
              <w:left w:val="single" w:sz="7" w:space="0" w:color="000000"/>
              <w:bottom w:val="single" w:sz="7" w:space="0" w:color="000000"/>
              <w:right w:val="single" w:sz="7" w:space="0" w:color="000000"/>
            </w:tcBorders>
            <w:vAlign w:val="center"/>
          </w:tcPr>
          <w:p w:rsidR="009B4219" w:rsidRPr="00BC7FCA" w:rsidRDefault="009B4219" w:rsidP="008348E7">
            <w:pPr>
              <w:spacing w:before="120" w:after="120"/>
            </w:pPr>
            <w:r w:rsidRPr="00BC7FCA">
              <w:t>60.</w:t>
            </w:r>
            <w:r>
              <w:t>4910</w:t>
            </w:r>
            <w:r w:rsidRPr="00BC7FCA">
              <w:t>(c)(4)</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spacing w:before="120" w:after="120"/>
            </w:pPr>
            <w:r>
              <w:t>Maintain r</w:t>
            </w:r>
            <w:r w:rsidRPr="007532CC">
              <w:t>ecords of control device inspections.</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spacing w:before="120" w:after="120"/>
            </w:pPr>
            <w:r w:rsidRPr="00BC7FCA">
              <w:t>60.</w:t>
            </w:r>
            <w:r>
              <w:t>4910</w:t>
            </w:r>
            <w:r w:rsidRPr="00BC7FCA">
              <w:t>(d)</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r</w:t>
            </w:r>
            <w:r w:rsidRPr="007532CC">
              <w:t>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w:t>
            </w:r>
            <w:r w:rsidRPr="00BC7FCA">
              <w:t>(e)</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spacing w:before="120" w:after="120"/>
            </w:pPr>
            <w:r>
              <w:lastRenderedPageBreak/>
              <w:t>Maintain r</w:t>
            </w:r>
            <w:r w:rsidRPr="007532CC">
              <w:t>ecords of all continuous monitoring data; includes continuous emissions monitors, continuous automated sampling systems, and continuous parameter monitors.</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spacing w:before="120" w:after="120"/>
            </w:pPr>
            <w:r w:rsidRPr="00BC7FCA">
              <w:t>60.</w:t>
            </w:r>
            <w:r>
              <w:t>4910</w:t>
            </w:r>
            <w:r w:rsidRPr="00BC7FCA">
              <w:t>(f)</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records of other information for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w:t>
            </w:r>
            <w:r w:rsidRPr="00BC7FCA">
              <w:t>(g)</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r</w:t>
            </w:r>
            <w:r w:rsidRPr="007532CC">
              <w:t xml:space="preserve">ecords of days when a deviation from the operating </w:t>
            </w:r>
            <w:r>
              <w:t xml:space="preserve">or emission </w:t>
            </w:r>
            <w:r w:rsidRPr="007532CC">
              <w:t>limits have occurred</w:t>
            </w:r>
            <w:r>
              <w:t>, including</w:t>
            </w:r>
            <w:r w:rsidRPr="007532CC">
              <w:t xml:space="preserve"> a description of the deviation and a description of the corrective actions taken.  </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w:t>
            </w:r>
            <w:r w:rsidRPr="00BC7FCA">
              <w:t>(</w:t>
            </w:r>
            <w:r>
              <w:t>h</w:t>
            </w:r>
            <w:r w:rsidRPr="00BC7FCA">
              <w:t>)</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9B4219" w:rsidP="009B42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e</w:t>
            </w:r>
            <w:r w:rsidRPr="007532CC">
              <w:t>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w:t>
            </w:r>
            <w:r w:rsidRPr="00BC7FCA">
              <w:t>(</w:t>
            </w:r>
            <w:proofErr w:type="spellStart"/>
            <w:r>
              <w:t>i</w:t>
            </w:r>
            <w:proofErr w:type="spellEnd"/>
            <w:r w:rsidRPr="00BC7FCA">
              <w:t>)</w:t>
            </w:r>
          </w:p>
        </w:tc>
      </w:tr>
      <w:tr w:rsidR="009B421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2F3B80" w:rsidP="002F3B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Maintain r</w:t>
            </w:r>
            <w:r w:rsidR="009B4219" w:rsidRPr="007532CC">
              <w:t>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tcPr>
          <w:p w:rsidR="009B4219" w:rsidRPr="00BC7FCA" w:rsidRDefault="009B4219" w:rsidP="008348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BC7FCA">
              <w:t>60.</w:t>
            </w:r>
            <w:r>
              <w:t>4910(j</w:t>
            </w:r>
            <w:r w:rsidRPr="00BC7FCA">
              <w:t>)</w:t>
            </w:r>
          </w:p>
        </w:tc>
      </w:tr>
      <w:tr w:rsidR="009B4219" w:rsidRPr="00CF2B37" w:rsidTr="009B4219">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2F3B80" w:rsidP="009B4219">
            <w:pPr>
              <w:spacing w:before="120" w:after="120"/>
            </w:pPr>
            <w:r>
              <w:t>Maintain r</w:t>
            </w:r>
            <w:r w:rsidRPr="007532CC">
              <w:t>ecords</w:t>
            </w:r>
            <w:r w:rsidR="009B4219" w:rsidRPr="007532CC">
              <w:t xml:space="preserve"> of monitoring plan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9B4219" w:rsidRPr="00BC7FCA" w:rsidRDefault="009B4219" w:rsidP="008348E7">
            <w:pPr>
              <w:spacing w:before="120" w:after="120"/>
            </w:pPr>
            <w:r w:rsidRPr="00BC7FCA">
              <w:t>60.</w:t>
            </w:r>
            <w:r>
              <w:t>4910</w:t>
            </w:r>
            <w:r w:rsidRPr="00BC7FCA">
              <w:t>(</w:t>
            </w:r>
            <w:r>
              <w:t>k</w:t>
            </w:r>
            <w:r w:rsidRPr="00BC7FCA">
              <w:t>)</w:t>
            </w:r>
          </w:p>
        </w:tc>
      </w:tr>
      <w:tr w:rsidR="009B4219" w:rsidRPr="00CF2B37" w:rsidTr="009B4219">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2F3B80" w:rsidP="009B4219">
            <w:pPr>
              <w:spacing w:before="120" w:after="120"/>
            </w:pPr>
            <w:r>
              <w:t>Maintain r</w:t>
            </w:r>
            <w:r w:rsidRPr="007532CC">
              <w:t>ecords</w:t>
            </w:r>
            <w:r w:rsidR="009B4219" w:rsidRPr="007532CC">
              <w:t xml:space="preserve"> of less frequent testing.</w:t>
            </w:r>
          </w:p>
        </w:tc>
        <w:tc>
          <w:tcPr>
            <w:tcW w:w="2250" w:type="dxa"/>
            <w:tcBorders>
              <w:top w:val="single" w:sz="7" w:space="0" w:color="000000"/>
              <w:left w:val="single" w:sz="7" w:space="0" w:color="000000"/>
              <w:bottom w:val="single" w:sz="7" w:space="0" w:color="000000"/>
              <w:right w:val="single" w:sz="7" w:space="0" w:color="000000"/>
            </w:tcBorders>
            <w:vAlign w:val="center"/>
          </w:tcPr>
          <w:p w:rsidR="009B4219" w:rsidRPr="00BC7FCA" w:rsidRDefault="009B4219" w:rsidP="008348E7">
            <w:pPr>
              <w:spacing w:before="120" w:after="120"/>
            </w:pPr>
            <w:r w:rsidRPr="00BC7FCA">
              <w:t>60.</w:t>
            </w:r>
            <w:r>
              <w:t>4910(l</w:t>
            </w:r>
            <w:r w:rsidRPr="00BC7FCA">
              <w:t>)</w:t>
            </w:r>
          </w:p>
        </w:tc>
      </w:tr>
      <w:tr w:rsidR="009B4219" w:rsidRPr="00CF2B37" w:rsidTr="009B4219">
        <w:trPr>
          <w:jc w:val="center"/>
        </w:trPr>
        <w:tc>
          <w:tcPr>
            <w:tcW w:w="7110" w:type="dxa"/>
            <w:tcBorders>
              <w:top w:val="single" w:sz="7" w:space="0" w:color="000000"/>
              <w:left w:val="single" w:sz="7" w:space="0" w:color="000000"/>
              <w:bottom w:val="single" w:sz="7" w:space="0" w:color="000000"/>
              <w:right w:val="single" w:sz="7" w:space="0" w:color="000000"/>
            </w:tcBorders>
          </w:tcPr>
          <w:p w:rsidR="009B4219" w:rsidRPr="007532CC" w:rsidRDefault="002F3B80" w:rsidP="009B4219">
            <w:pPr>
              <w:spacing w:before="120" w:after="120"/>
            </w:pPr>
            <w:r>
              <w:t>Maintain r</w:t>
            </w:r>
            <w:r w:rsidRPr="007532CC">
              <w:t>ecords</w:t>
            </w:r>
            <w:r w:rsidR="009B4219" w:rsidRPr="007532CC">
              <w:t xml:space="preserve"> of use of bypass stack.</w:t>
            </w:r>
          </w:p>
        </w:tc>
        <w:tc>
          <w:tcPr>
            <w:tcW w:w="2250" w:type="dxa"/>
            <w:tcBorders>
              <w:top w:val="single" w:sz="7" w:space="0" w:color="000000"/>
              <w:left w:val="single" w:sz="7" w:space="0" w:color="000000"/>
              <w:bottom w:val="single" w:sz="7" w:space="0" w:color="000000"/>
              <w:right w:val="single" w:sz="7" w:space="0" w:color="000000"/>
            </w:tcBorders>
            <w:vAlign w:val="center"/>
          </w:tcPr>
          <w:p w:rsidR="009B4219" w:rsidRPr="00BC7FCA" w:rsidRDefault="009B4219" w:rsidP="008348E7">
            <w:pPr>
              <w:spacing w:before="120" w:after="120"/>
            </w:pPr>
            <w:r w:rsidRPr="00BC7FCA">
              <w:t>60.</w:t>
            </w:r>
            <w:r>
              <w:t>4910(m</w:t>
            </w:r>
            <w:r w:rsidRPr="00BC7FCA">
              <w:t>)</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w:t>
      </w:r>
      <w:r w:rsidR="00675873">
        <w:rPr>
          <w:color w:val="000000"/>
        </w:rPr>
        <w:t>may use</w:t>
      </w:r>
      <w:r w:rsidR="00CA4CD6">
        <w:rPr>
          <w:color w:val="000000"/>
        </w:rPr>
        <w:t xml:space="preserve">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w:t>
      </w:r>
      <w:r w:rsidR="00DD71A9">
        <w:rPr>
          <w:color w:val="000000"/>
        </w:rPr>
        <w:t xml:space="preserve">ems are still not widely used.  At this time, it is estimated that approximately 10 percent of the respondents use electronic reporting.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B4C53" w:rsidRPr="000B4C53" w:rsidRDefault="00CA4CD6" w:rsidP="000B4C5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A1380E" w:rsidTr="00895E51">
        <w:trPr>
          <w:jc w:val="center"/>
        </w:trPr>
        <w:tc>
          <w:tcPr>
            <w:tcW w:w="9360" w:type="dxa"/>
            <w:tcBorders>
              <w:top w:val="single" w:sz="7" w:space="0" w:color="000000"/>
              <w:left w:val="single" w:sz="7" w:space="0" w:color="000000"/>
              <w:bottom w:val="single" w:sz="6" w:space="0" w:color="FFFFFF"/>
              <w:right w:val="single" w:sz="7" w:space="0" w:color="000000"/>
            </w:tcBorders>
          </w:tcPr>
          <w:p w:rsidR="00A1380E" w:rsidRDefault="00A1380E" w:rsidP="00895E51">
            <w:pPr>
              <w:spacing w:line="120" w:lineRule="exact"/>
              <w:rPr>
                <w:b/>
                <w:bCs/>
                <w:color w:val="000000"/>
              </w:rPr>
            </w:pPr>
          </w:p>
          <w:p w:rsidR="00A1380E" w:rsidRDefault="00A1380E" w:rsidP="00895E51">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and understand rule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A1380E" w:rsidP="002A15A4">
            <w:pPr>
              <w:pBdr>
                <w:top w:val="single" w:sz="6" w:space="0" w:color="FFFFFF"/>
                <w:left w:val="single" w:sz="6" w:space="0" w:color="FFFFFF"/>
                <w:bottom w:val="single" w:sz="6" w:space="0" w:color="FFFFFF"/>
                <w:right w:val="single" w:sz="6" w:space="0" w:color="FFFFFF"/>
              </w:pBdr>
              <w:spacing w:after="55"/>
              <w:rPr>
                <w:color w:val="000000"/>
              </w:rPr>
            </w:pPr>
            <w:r>
              <w:rPr>
                <w:color w:val="000000"/>
              </w:rPr>
              <w:t>Prepare siting analysis</w:t>
            </w:r>
            <w:r w:rsidR="00CA4CD6">
              <w:rPr>
                <w:color w:val="000000"/>
              </w:rPr>
              <w:t>.</w:t>
            </w:r>
          </w:p>
        </w:tc>
      </w:tr>
      <w:tr w:rsidR="00A1380E" w:rsidTr="00895E51">
        <w:trPr>
          <w:jc w:val="center"/>
        </w:trPr>
        <w:tc>
          <w:tcPr>
            <w:tcW w:w="9360" w:type="dxa"/>
            <w:tcBorders>
              <w:top w:val="single" w:sz="7" w:space="0" w:color="000000"/>
              <w:left w:val="single" w:sz="7" w:space="0" w:color="000000"/>
              <w:bottom w:val="single" w:sz="6" w:space="0" w:color="FFFFFF"/>
              <w:right w:val="single" w:sz="7" w:space="0" w:color="000000"/>
            </w:tcBorders>
          </w:tcPr>
          <w:p w:rsidR="00A1380E" w:rsidRDefault="00A1380E" w:rsidP="00895E51">
            <w:pPr>
              <w:spacing w:line="120" w:lineRule="exact"/>
              <w:rPr>
                <w:color w:val="000000"/>
              </w:rPr>
            </w:pPr>
          </w:p>
          <w:p w:rsidR="00A1380E" w:rsidRDefault="00A1380E" w:rsidP="00895E5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Establish </w:t>
            </w:r>
            <w:r w:rsidRPr="00AB3AD1">
              <w:rPr>
                <w:color w:val="000000"/>
              </w:rPr>
              <w:t>and teach operator qualification course</w:t>
            </w:r>
            <w:r>
              <w:rPr>
                <w:color w:val="000000"/>
              </w:rPr>
              <w:t xml:space="preserve"> and obtain operator qualification.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2A15A4">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 xml:space="preserve">Install, calibrate, maintain, and operate </w:t>
            </w:r>
            <w:r w:rsidR="002A15A4">
              <w:rPr>
                <w:color w:val="000000"/>
              </w:rPr>
              <w:t>continuous parameter monitoring systems, including CEMS.</w:t>
            </w:r>
          </w:p>
        </w:tc>
      </w:tr>
      <w:tr w:rsidR="00A1380E" w:rsidTr="00895E51">
        <w:trPr>
          <w:jc w:val="center"/>
        </w:trPr>
        <w:tc>
          <w:tcPr>
            <w:tcW w:w="9360" w:type="dxa"/>
            <w:tcBorders>
              <w:top w:val="single" w:sz="7" w:space="0" w:color="000000"/>
              <w:left w:val="single" w:sz="7" w:space="0" w:color="000000"/>
              <w:bottom w:val="single" w:sz="6" w:space="0" w:color="FFFFFF"/>
              <w:right w:val="single" w:sz="7" w:space="0" w:color="000000"/>
            </w:tcBorders>
          </w:tcPr>
          <w:p w:rsidR="00A1380E" w:rsidRDefault="00A1380E" w:rsidP="00895E51">
            <w:pPr>
              <w:spacing w:line="120" w:lineRule="exact"/>
              <w:rPr>
                <w:color w:val="000000"/>
              </w:rPr>
            </w:pPr>
          </w:p>
          <w:p w:rsidR="00A1380E" w:rsidRDefault="00A1380E" w:rsidP="00895E51">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establish operating limits for each operating parameter.</w:t>
            </w:r>
          </w:p>
        </w:tc>
      </w:tr>
      <w:tr w:rsidR="00A1380E" w:rsidTr="00895E51">
        <w:trPr>
          <w:jc w:val="center"/>
        </w:trPr>
        <w:tc>
          <w:tcPr>
            <w:tcW w:w="9360" w:type="dxa"/>
            <w:tcBorders>
              <w:top w:val="single" w:sz="7" w:space="0" w:color="000000"/>
              <w:left w:val="single" w:sz="7" w:space="0" w:color="000000"/>
              <w:bottom w:val="single" w:sz="6" w:space="0" w:color="FFFFFF"/>
              <w:right w:val="single" w:sz="7" w:space="0" w:color="000000"/>
            </w:tcBorders>
          </w:tcPr>
          <w:p w:rsidR="00A1380E" w:rsidRDefault="00A1380E" w:rsidP="00895E51">
            <w:pPr>
              <w:spacing w:line="120" w:lineRule="exact"/>
              <w:rPr>
                <w:color w:val="000000"/>
              </w:rPr>
            </w:pPr>
          </w:p>
          <w:p w:rsidR="00A1380E" w:rsidRDefault="00A1380E" w:rsidP="00895E51">
            <w:pPr>
              <w:pBdr>
                <w:top w:val="single" w:sz="6" w:space="0" w:color="FFFFFF"/>
                <w:left w:val="single" w:sz="6" w:space="0" w:color="FFFFFF"/>
                <w:bottom w:val="single" w:sz="6" w:space="0" w:color="FFFFFF"/>
                <w:right w:val="single" w:sz="6" w:space="0" w:color="FFFFFF"/>
              </w:pBdr>
              <w:spacing w:after="55"/>
              <w:rPr>
                <w:color w:val="000000"/>
              </w:rPr>
            </w:pPr>
            <w:r>
              <w:rPr>
                <w:color w:val="000000"/>
              </w:rPr>
              <w:t>Continuously monitor operating parameters.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A1380E" w:rsidP="00A1380E">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 annual performance tests.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E3356D" w:rsidRDefault="00E3356D" w:rsidP="00CF2B37">
      <w:pPr>
        <w:pBdr>
          <w:top w:val="single" w:sz="6" w:space="0" w:color="FFFFFF"/>
          <w:left w:val="single" w:sz="6" w:space="0" w:color="FFFFFF"/>
          <w:bottom w:val="single" w:sz="6" w:space="0" w:color="FFFFFF"/>
          <w:right w:val="single" w:sz="6" w:space="0" w:color="FFFFFF"/>
        </w:pBdr>
        <w:ind w:firstLine="720"/>
      </w:pPr>
      <w:r w:rsidRPr="00E3356D">
        <w:t>Sources will us</w:t>
      </w:r>
      <w:r w:rsidR="00CF2B37" w:rsidRPr="00E3356D">
        <w:t xml:space="preserve"> monitoring and reporting equipment that provide parameter data in an automated way </w:t>
      </w:r>
      <w:r w:rsidRPr="00E3356D">
        <w:t>(</w:t>
      </w:r>
      <w:r w:rsidR="00CF2B37" w:rsidRPr="00E3356D">
        <w:t>e.g., continuous parameter monitoring system</w:t>
      </w:r>
      <w:r w:rsidRPr="00E3356D">
        <w:t>)</w:t>
      </w:r>
      <w:r w:rsidR="00CF2B37" w:rsidRPr="00E3356D">
        <w:t xml:space="preserve">.  Although personnel at the source still need to evaluate the data, this type of monitoring equipment has significantly reduced the burden associated with monitoring and recordkeeping. </w:t>
      </w:r>
    </w:p>
    <w:p w:rsidR="00AC1949" w:rsidRDefault="00AC1949"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F3592" w:rsidRDefault="006F3592">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E6DD4" w:rsidTr="00895E51">
        <w:tc>
          <w:tcPr>
            <w:tcW w:w="9360" w:type="dxa"/>
            <w:tcBorders>
              <w:top w:val="single" w:sz="7" w:space="0" w:color="000000"/>
              <w:left w:val="single" w:sz="7" w:space="0" w:color="000000"/>
              <w:bottom w:val="single" w:sz="6" w:space="0" w:color="FFFFFF"/>
              <w:right w:val="single" w:sz="7" w:space="0" w:color="000000"/>
            </w:tcBorders>
          </w:tcPr>
          <w:p w:rsidR="00DE6DD4" w:rsidRDefault="00DE6DD4" w:rsidP="00895E51">
            <w:pPr>
              <w:spacing w:line="120" w:lineRule="exact"/>
              <w:rPr>
                <w:color w:val="000000"/>
              </w:rPr>
            </w:pPr>
          </w:p>
          <w:p w:rsidR="00DE6DD4" w:rsidRDefault="00DE6DD4" w:rsidP="00895E51">
            <w:pPr>
              <w:pBdr>
                <w:top w:val="single" w:sz="6" w:space="0" w:color="FFFFFF"/>
                <w:left w:val="single" w:sz="6" w:space="0" w:color="FFFFFF"/>
                <w:bottom w:val="single" w:sz="6" w:space="0" w:color="FFFFFF"/>
                <w:right w:val="single" w:sz="6" w:space="0" w:color="FFFFFF"/>
              </w:pBdr>
              <w:spacing w:after="52"/>
              <w:rPr>
                <w:color w:val="000000"/>
              </w:rPr>
            </w:pPr>
            <w:r w:rsidRPr="009479D0">
              <w:rPr>
                <w:color w:val="000000"/>
              </w:rPr>
              <w:t>Observe initial performance tests and repeat performance tests if necessary</w:t>
            </w:r>
            <w:r>
              <w:rPr>
                <w:color w:val="000000"/>
              </w:rPr>
              <w:t>.</w:t>
            </w:r>
          </w:p>
        </w:tc>
      </w:tr>
      <w:tr w:rsidR="00DE6DD4" w:rsidTr="00895E51">
        <w:tc>
          <w:tcPr>
            <w:tcW w:w="9360" w:type="dxa"/>
            <w:tcBorders>
              <w:top w:val="single" w:sz="7" w:space="0" w:color="000000"/>
              <w:left w:val="single" w:sz="7" w:space="0" w:color="000000"/>
              <w:bottom w:val="single" w:sz="6" w:space="0" w:color="FFFFFF"/>
              <w:right w:val="single" w:sz="7" w:space="0" w:color="000000"/>
            </w:tcBorders>
          </w:tcPr>
          <w:p w:rsidR="00DE6DD4" w:rsidRDefault="00DE6DD4" w:rsidP="00895E51">
            <w:pPr>
              <w:spacing w:line="120" w:lineRule="exact"/>
              <w:rPr>
                <w:color w:val="000000"/>
              </w:rPr>
            </w:pPr>
          </w:p>
          <w:p w:rsidR="00DE6DD4" w:rsidRDefault="00DE6DD4" w:rsidP="00895E51">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DE6DD4">
            <w:pPr>
              <w:pBdr>
                <w:top w:val="single" w:sz="6" w:space="0" w:color="FFFFFF"/>
                <w:left w:val="single" w:sz="6" w:space="0" w:color="FFFFFF"/>
                <w:bottom w:val="single" w:sz="6" w:space="0" w:color="FFFFFF"/>
                <w:right w:val="single" w:sz="6" w:space="0" w:color="FFFFFF"/>
              </w:pBdr>
              <w:spacing w:after="52"/>
              <w:rPr>
                <w:color w:val="000000"/>
              </w:rPr>
            </w:pPr>
            <w:r>
              <w:rPr>
                <w:color w:val="000000"/>
              </w:rPr>
              <w:t>Prepare an annual summary report.</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E6DD4" w:rsidRDefault="00DE6DD4" w:rsidP="00DE6DD4">
      <w:pPr>
        <w:pBdr>
          <w:top w:val="single" w:sz="6" w:space="0" w:color="FFFFFF"/>
          <w:left w:val="single" w:sz="6" w:space="0" w:color="FFFFFF"/>
          <w:bottom w:val="single" w:sz="6" w:space="0" w:color="FFFFFF"/>
          <w:right w:val="single" w:sz="6" w:space="0" w:color="FFFFFF"/>
        </w:pBdr>
        <w:ind w:firstLine="720"/>
        <w:rPr>
          <w:color w:val="000000"/>
        </w:rPr>
      </w:pPr>
      <w:r w:rsidRPr="009479D0">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w:t>
      </w:r>
      <w:r>
        <w:rPr>
          <w:color w:val="FF0000"/>
        </w:rPr>
        <w:t xml:space="preserve"> </w:t>
      </w:r>
      <w:r w:rsidR="00AC1949">
        <w:rPr>
          <w:color w:val="FF0000"/>
        </w:rPr>
        <w:t xml:space="preserve"> </w:t>
      </w:r>
      <w:r>
        <w:rPr>
          <w:color w:val="000000"/>
        </w:rPr>
        <w:t xml:space="preserve">Data and records maintained by </w:t>
      </w:r>
      <w:r w:rsidRPr="009479D0">
        <w:t>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DE6DD4">
        <w:rPr>
          <w:color w:val="000000"/>
        </w:rPr>
        <w:t xml:space="preserve"> 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DE6DD4" w:rsidRPr="00F65DD9" w:rsidRDefault="00DE6DD4" w:rsidP="00DE6D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65DD9">
        <w:rPr>
          <w:color w:val="000000"/>
        </w:rPr>
        <w:t>There are no small entities (i.e., small businesses) affected by this regulation.</w:t>
      </w:r>
      <w:r w:rsidRPr="00F65DD9">
        <w:rPr>
          <w:color w:val="FF0000"/>
        </w:rPr>
        <w:t xml:space="preserve"> </w:t>
      </w:r>
    </w:p>
    <w:p w:rsidR="00DE6DD4" w:rsidRDefault="00DE6DD4" w:rsidP="00DE6D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DE6DD4" w:rsidRPr="00F65DD9" w:rsidRDefault="00DE6DD4" w:rsidP="00DE6D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65DD9">
        <w:t xml:space="preserve">The NSPS does not contain any provisions reserved exclusively for the benefit of small entities.  However, the NSPS does contain provisions that reduce the impact on all regulated entities, which would include any small entities.  </w:t>
      </w:r>
      <w:r>
        <w:t xml:space="preserve">The owner or operator is allowed to conduct performance tests once every three years to show compliance if certain criteria are met.  </w:t>
      </w:r>
      <w:r w:rsidRPr="00F65DD9">
        <w:t>Deviation reports are required only if there is a deviation, otherwise reporting is annual, and operating parameter monitoring is required instead of continuous emissions monitoring systems (CEMS)</w:t>
      </w:r>
      <w:r>
        <w:t xml:space="preserve"> for all pollutants except for CO</w:t>
      </w:r>
      <w:r w:rsidRPr="00F65DD9">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7A458D">
        <w:rPr>
          <w:color w:val="000000"/>
        </w:rPr>
        <w:t xml:space="preserve">below </w:t>
      </w:r>
      <w:r w:rsidR="000B4C53">
        <w:rPr>
          <w:color w:val="000000"/>
        </w:rPr>
        <w:t xml:space="preserve">in </w:t>
      </w:r>
      <w:r>
        <w:rPr>
          <w:color w:val="000000"/>
        </w:rPr>
        <w:t xml:space="preserve">Table 1: </w:t>
      </w:r>
      <w:r w:rsidR="00CF2B37" w:rsidRPr="00724BC7">
        <w:t xml:space="preserve">Annual Respondent Burden and Cost </w:t>
      </w:r>
      <w:r w:rsidR="00DE6DD4" w:rsidRPr="004C2B89">
        <w:t xml:space="preserve">– NSPS for </w:t>
      </w:r>
      <w:r w:rsidR="00DE6DD4" w:rsidRPr="004C2B89">
        <w:rPr>
          <w:bCs/>
        </w:rPr>
        <w:t xml:space="preserve">Sewage </w:t>
      </w:r>
      <w:r w:rsidR="00DE6DD4" w:rsidRPr="00BC448F">
        <w:rPr>
          <w:bCs/>
        </w:rPr>
        <w:t>Sludge Incineration Units</w:t>
      </w:r>
      <w:r w:rsidR="00DE6DD4" w:rsidRPr="00BC448F">
        <w:t xml:space="preserve"> (40 CFR Part 60, Subpart LLLL)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AC1949">
        <w:rPr>
          <w:color w:val="000000"/>
        </w:rPr>
        <w:t xml:space="preserve">   </w:t>
      </w:r>
      <w:r>
        <w:rPr>
          <w:color w:val="000000"/>
        </w:rPr>
        <w:t>the concept of burden under the Paperwork Reduction Act.  Where</w:t>
      </w:r>
      <w:r w:rsidR="006F3592">
        <w:rPr>
          <w:color w:val="000000"/>
        </w:rPr>
        <w:t>ver</w:t>
      </w:r>
      <w:r>
        <w:rPr>
          <w:color w:val="000000"/>
        </w:rPr>
        <w:t xml:space="preserve"> appropriate, specific </w:t>
      </w:r>
      <w:r w:rsidR="00AC1949">
        <w:rPr>
          <w:color w:val="000000"/>
        </w:rPr>
        <w:t xml:space="preserve">  </w:t>
      </w:r>
      <w:r>
        <w:rPr>
          <w:color w:val="000000"/>
        </w:rPr>
        <w:t xml:space="preserve">tasks and major assumptions have been identified.  Responses to this information collection </w:t>
      </w:r>
      <w:r w:rsidR="00AC1949">
        <w:rPr>
          <w:color w:val="000000"/>
        </w:rPr>
        <w:t xml:space="preserve">    </w:t>
      </w:r>
      <w:r>
        <w:rPr>
          <w:color w:val="000000"/>
        </w:rPr>
        <w:t>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D71A9">
        <w:rPr>
          <w:color w:val="000000"/>
        </w:rPr>
        <w:t>798</w:t>
      </w:r>
      <w:r w:rsidR="00DE6DD4">
        <w:rPr>
          <w:color w:val="000000"/>
        </w:rPr>
        <w:t xml:space="preserve"> hours</w:t>
      </w:r>
      <w:r w:rsidR="004C701D">
        <w:rPr>
          <w:color w:val="000000"/>
        </w:rPr>
        <w:t xml:space="preserve"> (</w:t>
      </w:r>
      <w:r>
        <w:rPr>
          <w:color w:val="000000"/>
        </w:rPr>
        <w:t>Total Labor Hours from Table 1</w:t>
      </w:r>
      <w:r w:rsidR="003C76BA">
        <w:rPr>
          <w:color w:val="000000"/>
        </w:rPr>
        <w:t xml:space="preserve"> below</w:t>
      </w:r>
      <w:r>
        <w:rPr>
          <w:color w:val="000000"/>
        </w:rPr>
        <w:t xml:space="preserve">). </w:t>
      </w:r>
      <w:r w:rsidR="001C5991">
        <w:rPr>
          <w:color w:val="000000"/>
        </w:rPr>
        <w:t xml:space="preserve">  T</w:t>
      </w:r>
      <w:r>
        <w:rPr>
          <w:color w:val="000000"/>
        </w:rPr>
        <w:t xml:space="preserve">hese hours are based on Agency studies and </w:t>
      </w:r>
      <w:r w:rsidRPr="00DE6DD4">
        <w:t>background documen</w:t>
      </w:r>
      <w:r w:rsidR="004C701D" w:rsidRPr="00DE6DD4">
        <w:t xml:space="preserve">ts from the development of the </w:t>
      </w:r>
      <w:r w:rsidRPr="00DE6DD4">
        <w:t>regulation, Agency knowledge and experience with the NSPS</w:t>
      </w:r>
      <w:r w:rsidR="00DE6DD4" w:rsidRPr="00DE6DD4">
        <w:t xml:space="preserve"> </w:t>
      </w:r>
      <w:r w:rsidRPr="00DE6DD4">
        <w:t>program, the previously</w:t>
      </w:r>
      <w:r>
        <w:rPr>
          <w:color w:val="000000"/>
        </w:rPr>
        <w:t xml:space="preserve">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E6DD4">
        <w:rPr>
          <w:color w:val="000000"/>
        </w:rPr>
        <w:t>3</w:t>
      </w:r>
      <w:r w:rsidR="004F6FCD">
        <w:rPr>
          <w:color w:val="000000"/>
        </w:rPr>
        <w:t>.</w:t>
      </w:r>
      <w:r w:rsidR="00DE6DD4">
        <w:rPr>
          <w:color w:val="000000"/>
        </w:rPr>
        <w:t>04</w:t>
      </w:r>
      <w:r>
        <w:rPr>
          <w:color w:val="000000"/>
        </w:rPr>
        <w:t xml:space="preserve"> ($5</w:t>
      </w:r>
      <w:r w:rsidR="00E72D70">
        <w:rPr>
          <w:color w:val="000000"/>
        </w:rPr>
        <w:t>8</w:t>
      </w:r>
      <w:r w:rsidR="004F6FCD">
        <w:rPr>
          <w:color w:val="000000"/>
        </w:rPr>
        <w:t>.</w:t>
      </w:r>
      <w:r w:rsidR="00DE6DD4">
        <w:rPr>
          <w:color w:val="000000"/>
        </w:rPr>
        <w:t xml:space="preserve">59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DE6DD4">
        <w:rPr>
          <w:color w:val="000000"/>
        </w:rPr>
        <w:t>2</w:t>
      </w:r>
      <w:r>
        <w:rPr>
          <w:color w:val="000000"/>
        </w:rPr>
        <w:t xml:space="preserve"> ($4</w:t>
      </w:r>
      <w:r w:rsidR="00E72D70">
        <w:rPr>
          <w:color w:val="000000"/>
        </w:rPr>
        <w:t>8</w:t>
      </w:r>
      <w:r>
        <w:rPr>
          <w:color w:val="000000"/>
        </w:rPr>
        <w:t>.</w:t>
      </w:r>
      <w:r w:rsidR="00E72D70">
        <w:rPr>
          <w:color w:val="000000"/>
        </w:rPr>
        <w:t>2</w:t>
      </w:r>
      <w:r w:rsidR="00DE6DD4">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DE6DD4">
        <w:rPr>
          <w:color w:val="000000"/>
        </w:rPr>
        <w:t>51</w:t>
      </w:r>
      <w:r>
        <w:rPr>
          <w:color w:val="000000"/>
        </w:rPr>
        <w:t>.</w:t>
      </w:r>
      <w:r w:rsidR="00DE6DD4">
        <w:rPr>
          <w:color w:val="000000"/>
        </w:rPr>
        <w:t>1</w:t>
      </w:r>
      <w:r w:rsidR="00E72D70">
        <w:rPr>
          <w:color w:val="000000"/>
        </w:rPr>
        <w:t>8</w:t>
      </w:r>
      <w:r>
        <w:rPr>
          <w:color w:val="000000"/>
        </w:rPr>
        <w:t xml:space="preserve"> ($2</w:t>
      </w:r>
      <w:r w:rsidR="00102B52">
        <w:rPr>
          <w:color w:val="000000"/>
        </w:rPr>
        <w:t>4</w:t>
      </w:r>
      <w:r>
        <w:rPr>
          <w:color w:val="000000"/>
        </w:rPr>
        <w:t>.</w:t>
      </w:r>
      <w:r w:rsidR="00DE6DD4">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E6DD4">
        <w:rPr>
          <w:color w:val="000000"/>
        </w:rPr>
        <w:t>March</w:t>
      </w:r>
      <w:r w:rsidR="00102B52">
        <w:rPr>
          <w:color w:val="000000"/>
        </w:rPr>
        <w:t xml:space="preserve"> 201</w:t>
      </w:r>
      <w:r w:rsidR="00DE6DD4">
        <w:rPr>
          <w:color w:val="000000"/>
        </w:rPr>
        <w:t>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DC2449" w:rsidRDefault="00DC244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DD71A9">
        <w:rPr>
          <w:color w:val="000000"/>
        </w:rPr>
        <w:t>ities in the subject standard</w:t>
      </w:r>
      <w:r w:rsidR="003B3637">
        <w:rPr>
          <w:color w:val="000000"/>
        </w:rPr>
        <w:t>s</w:t>
      </w:r>
      <w:r>
        <w:rPr>
          <w:color w:val="000000"/>
        </w:rPr>
        <w:t xml:space="preserve"> are both labor costs which are addressed elsewhere in this ICR and the costs associated with continuous monitoring</w:t>
      </w:r>
      <w:r w:rsidR="00DC2449">
        <w:rPr>
          <w:color w:val="000000"/>
        </w:rPr>
        <w:t xml:space="preserve"> and performance test</w:t>
      </w:r>
      <w:r w:rsidR="00DD71A9">
        <w:rPr>
          <w:color w:val="000000"/>
        </w:rPr>
        <w:t>s</w:t>
      </w:r>
      <w:r>
        <w:rPr>
          <w:color w:val="000000"/>
        </w:rPr>
        <w:t>.  The capital/startup costs are one</w:t>
      </w:r>
      <w:r w:rsidR="003B3637">
        <w:rPr>
          <w:color w:val="000000"/>
        </w:rPr>
        <w:t>-</w:t>
      </w:r>
      <w:r>
        <w:rPr>
          <w:color w:val="000000"/>
        </w:rPr>
        <w:t xml:space="preserve"> time costs when a facility becomes subject to the regulation</w:t>
      </w:r>
      <w:r w:rsidR="003B3637">
        <w:rPr>
          <w:color w:val="000000"/>
        </w:rPr>
        <w:t>s</w:t>
      </w:r>
      <w:r>
        <w:rPr>
          <w:color w:val="000000"/>
        </w:rPr>
        <w:t xml:space="preserve">.  The annual operation and maintenance costs are the ongoing </w:t>
      </w:r>
      <w:r w:rsidR="00DD71A9">
        <w:rPr>
          <w:color w:val="000000"/>
        </w:rPr>
        <w:t>costs to maintain the monitors</w:t>
      </w:r>
      <w:r>
        <w:rPr>
          <w:color w:val="000000"/>
        </w:rPr>
        <w:t xml:space="preserve"> and other costs su</w:t>
      </w:r>
      <w:r w:rsidR="00DC2449">
        <w:rPr>
          <w:color w:val="000000"/>
        </w:rPr>
        <w:t xml:space="preserve">ch as </w:t>
      </w:r>
      <w:r w:rsidR="00DC2449">
        <w:rPr>
          <w:color w:val="000000"/>
        </w:rPr>
        <w:lastRenderedPageBreak/>
        <w:t>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5C3CEE">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sidR="00611DA4">
              <w:rPr>
                <w:color w:val="000000"/>
                <w:sz w:val="20"/>
                <w:szCs w:val="20"/>
              </w:rPr>
              <w:t>per Year</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Respondents  </w:t>
            </w:r>
            <w:r w:rsidR="00611DA4">
              <w:rPr>
                <w:color w:val="000000"/>
                <w:sz w:val="20"/>
                <w:szCs w:val="20"/>
              </w:rPr>
              <w:t xml:space="preserve">per Year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E85F8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Total </w:t>
            </w:r>
            <w:r w:rsidR="00611DA4">
              <w:rPr>
                <w:color w:val="000000"/>
                <w:sz w:val="20"/>
                <w:szCs w:val="20"/>
              </w:rPr>
              <w:t xml:space="preserve">Annual </w:t>
            </w:r>
            <w:r>
              <w:rPr>
                <w:color w:val="000000"/>
                <w:sz w:val="20"/>
                <w:szCs w:val="20"/>
              </w:rPr>
              <w:t>O&amp;M,</w:t>
            </w:r>
          </w:p>
          <w:p w:rsidR="00CA4CD6" w:rsidRDefault="00CA4CD6" w:rsidP="00E85F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205D02" w:rsidTr="005C3CEE">
        <w:tc>
          <w:tcPr>
            <w:tcW w:w="1170" w:type="dxa"/>
            <w:tcBorders>
              <w:top w:val="single" w:sz="7" w:space="0" w:color="000000"/>
              <w:left w:val="single" w:sz="7" w:space="0" w:color="000000"/>
              <w:bottom w:val="single" w:sz="6" w:space="0" w:color="FFFFFF"/>
              <w:right w:val="single" w:sz="6" w:space="0" w:color="FFFFFF"/>
            </w:tcBorders>
          </w:tcPr>
          <w:p w:rsidR="00205D02" w:rsidRDefault="00205D02" w:rsidP="00E85F8A">
            <w:pPr>
              <w:spacing w:line="120" w:lineRule="exact"/>
              <w:rPr>
                <w:color w:val="000000"/>
                <w:sz w:val="20"/>
                <w:szCs w:val="20"/>
              </w:rPr>
            </w:pPr>
          </w:p>
          <w:p w:rsidR="00205D02" w:rsidRDefault="00205D02" w:rsidP="00E85F8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CPMS </w:t>
            </w:r>
            <w:r w:rsidRPr="00E64DCE">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$226,946</w:t>
            </w:r>
          </w:p>
        </w:tc>
        <w:tc>
          <w:tcPr>
            <w:tcW w:w="135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0D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$226,946</w:t>
            </w:r>
          </w:p>
        </w:tc>
        <w:tc>
          <w:tcPr>
            <w:tcW w:w="135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$81,160</w:t>
            </w:r>
          </w:p>
        </w:tc>
        <w:tc>
          <w:tcPr>
            <w:tcW w:w="126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rsidR="00205D02" w:rsidRPr="005C3CEE" w:rsidRDefault="00205D02" w:rsidP="003D4F70">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5C3CEE">
              <w:rPr>
                <w:color w:val="000000"/>
                <w:sz w:val="20"/>
                <w:szCs w:val="20"/>
              </w:rPr>
              <w:t>$81,160</w:t>
            </w:r>
          </w:p>
        </w:tc>
      </w:tr>
      <w:tr w:rsidR="00205D02" w:rsidTr="00D230C8">
        <w:tc>
          <w:tcPr>
            <w:tcW w:w="1170" w:type="dxa"/>
            <w:tcBorders>
              <w:top w:val="single" w:sz="7" w:space="0" w:color="000000"/>
              <w:left w:val="single" w:sz="7" w:space="0" w:color="000000"/>
              <w:bottom w:val="single" w:sz="6" w:space="0" w:color="FFFFFF"/>
              <w:right w:val="single" w:sz="6" w:space="0" w:color="FFFFFF"/>
            </w:tcBorders>
          </w:tcPr>
          <w:p w:rsidR="00205D02" w:rsidRDefault="00205D02" w:rsidP="00E85F8A">
            <w:pPr>
              <w:spacing w:line="120" w:lineRule="exact"/>
              <w:rPr>
                <w:color w:val="000000"/>
                <w:sz w:val="20"/>
                <w:szCs w:val="20"/>
              </w:rPr>
            </w:pPr>
          </w:p>
          <w:p w:rsidR="00205D02" w:rsidRDefault="00205D02" w:rsidP="00E85F8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Stack </w:t>
            </w:r>
            <w:r w:rsidR="00E85F8A">
              <w:rPr>
                <w:color w:val="000000"/>
                <w:sz w:val="20"/>
                <w:szCs w:val="20"/>
              </w:rPr>
              <w:t>t</w:t>
            </w:r>
            <w:r>
              <w:rPr>
                <w:color w:val="000000"/>
                <w:sz w:val="20"/>
                <w:szCs w:val="20"/>
              </w:rPr>
              <w:t xml:space="preserve">esting </w:t>
            </w:r>
            <w:r w:rsidRPr="00E64DCE">
              <w:rPr>
                <w:color w:val="000000"/>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30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$61.350</w:t>
            </w:r>
          </w:p>
        </w:tc>
        <w:tc>
          <w:tcPr>
            <w:tcW w:w="135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30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0D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$61.350</w:t>
            </w:r>
          </w:p>
        </w:tc>
        <w:tc>
          <w:tcPr>
            <w:tcW w:w="135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30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30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6" w:space="0" w:color="FFFFFF"/>
              <w:right w:val="single" w:sz="7" w:space="0" w:color="000000"/>
            </w:tcBorders>
            <w:vAlign w:val="center"/>
          </w:tcPr>
          <w:p w:rsidR="00205D02" w:rsidRPr="005C3CEE" w:rsidRDefault="00205D02" w:rsidP="003D4F70">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5C3CEE">
              <w:rPr>
                <w:color w:val="000000"/>
                <w:sz w:val="20"/>
                <w:szCs w:val="20"/>
              </w:rPr>
              <w:t>$</w:t>
            </w:r>
            <w:r>
              <w:rPr>
                <w:color w:val="000000"/>
                <w:sz w:val="20"/>
                <w:szCs w:val="20"/>
              </w:rPr>
              <w:t>0</w:t>
            </w:r>
          </w:p>
        </w:tc>
      </w:tr>
      <w:tr w:rsidR="00205D02" w:rsidTr="005C3CEE">
        <w:tc>
          <w:tcPr>
            <w:tcW w:w="1170" w:type="dxa"/>
            <w:tcBorders>
              <w:top w:val="single" w:sz="7" w:space="0" w:color="000000"/>
              <w:left w:val="single" w:sz="7" w:space="0" w:color="000000"/>
              <w:bottom w:val="single" w:sz="6" w:space="0" w:color="FFFFFF"/>
              <w:right w:val="single" w:sz="6" w:space="0" w:color="FFFFFF"/>
            </w:tcBorders>
          </w:tcPr>
          <w:p w:rsidR="00205D02" w:rsidRDefault="00205D02" w:rsidP="00E85F8A">
            <w:pPr>
              <w:spacing w:line="120" w:lineRule="exact"/>
              <w:rPr>
                <w:color w:val="000000"/>
                <w:sz w:val="20"/>
                <w:szCs w:val="20"/>
              </w:rPr>
            </w:pPr>
          </w:p>
          <w:p w:rsidR="00205D02" w:rsidRDefault="00205D02" w:rsidP="00E85F8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Filing cabinet </w:t>
            </w:r>
            <w:r>
              <w:rPr>
                <w:color w:val="000000"/>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183B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w:t>
            </w:r>
            <w:r>
              <w:rPr>
                <w:color w:val="000000"/>
                <w:sz w:val="20"/>
                <w:szCs w:val="20"/>
              </w:rPr>
              <w:t>100</w:t>
            </w:r>
          </w:p>
        </w:tc>
        <w:tc>
          <w:tcPr>
            <w:tcW w:w="135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D20D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C3CEE">
              <w:rPr>
                <w:color w:val="000000"/>
                <w:sz w:val="20"/>
                <w:szCs w:val="20"/>
              </w:rPr>
              <w:t>$</w:t>
            </w:r>
            <w:r>
              <w:rPr>
                <w:color w:val="000000"/>
                <w:sz w:val="20"/>
                <w:szCs w:val="20"/>
              </w:rPr>
              <w:t>100</w:t>
            </w:r>
          </w:p>
        </w:tc>
        <w:tc>
          <w:tcPr>
            <w:tcW w:w="135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205D02" w:rsidRPr="005C3CEE" w:rsidRDefault="00205D02" w:rsidP="005C3C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6" w:space="0" w:color="FFFFFF"/>
              <w:right w:val="single" w:sz="7" w:space="0" w:color="000000"/>
            </w:tcBorders>
            <w:vAlign w:val="center"/>
          </w:tcPr>
          <w:p w:rsidR="00205D02" w:rsidRPr="005C3CEE" w:rsidRDefault="00205D02" w:rsidP="003D4F70">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5C3CEE">
              <w:rPr>
                <w:color w:val="000000"/>
                <w:sz w:val="20"/>
                <w:szCs w:val="20"/>
              </w:rPr>
              <w:t>$</w:t>
            </w:r>
            <w:r>
              <w:rPr>
                <w:color w:val="000000"/>
                <w:sz w:val="20"/>
                <w:szCs w:val="20"/>
              </w:rPr>
              <w:t>0</w:t>
            </w:r>
          </w:p>
        </w:tc>
      </w:tr>
      <w:tr w:rsidR="00CA4CD6" w:rsidTr="005C3CEE">
        <w:tc>
          <w:tcPr>
            <w:tcW w:w="1170" w:type="dxa"/>
            <w:tcBorders>
              <w:top w:val="single" w:sz="7" w:space="0" w:color="000000"/>
              <w:left w:val="single" w:sz="7" w:space="0" w:color="000000"/>
              <w:bottom w:val="single" w:sz="7" w:space="0" w:color="000000"/>
              <w:right w:val="single" w:sz="6" w:space="0" w:color="FFFFFF"/>
            </w:tcBorders>
          </w:tcPr>
          <w:p w:rsidR="00CA4CD6" w:rsidRPr="003D4F70" w:rsidRDefault="00CA4CD6" w:rsidP="005D76E8">
            <w:pPr>
              <w:spacing w:line="120" w:lineRule="exact"/>
              <w:jc w:val="center"/>
              <w:rPr>
                <w:b/>
                <w:color w:val="000000"/>
                <w:sz w:val="20"/>
                <w:szCs w:val="20"/>
              </w:rPr>
            </w:pPr>
          </w:p>
          <w:p w:rsidR="00CA4CD6" w:rsidRPr="003D4F70" w:rsidRDefault="005C3CEE" w:rsidP="005D76E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3D4F70">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Pr="003D4F70" w:rsidRDefault="00CA4CD6" w:rsidP="005C3CEE">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Pr="003D4F70" w:rsidRDefault="00CA4CD6" w:rsidP="005C3CEE">
            <w:pPr>
              <w:spacing w:line="120" w:lineRule="exact"/>
              <w:jc w:val="center"/>
              <w:rPr>
                <w:b/>
                <w:color w:val="000000"/>
                <w:sz w:val="20"/>
                <w:szCs w:val="20"/>
              </w:rPr>
            </w:pPr>
          </w:p>
          <w:p w:rsidR="00CA4CD6" w:rsidRPr="003D4F70" w:rsidRDefault="00CA4CD6" w:rsidP="005C3CEE">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Pr="003D4F70" w:rsidRDefault="00205D02" w:rsidP="00183B4D">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3D4F70">
              <w:rPr>
                <w:b/>
                <w:color w:val="000000"/>
                <w:sz w:val="20"/>
                <w:szCs w:val="20"/>
              </w:rPr>
              <w:t>$288,396</w:t>
            </w: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Pr="003D4F70" w:rsidRDefault="00CA4CD6" w:rsidP="005C3CEE">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3D4F70" w:rsidRDefault="00CA4CD6" w:rsidP="005C3CEE">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CA4CD6" w:rsidRPr="003D4F70" w:rsidRDefault="00611DA4" w:rsidP="003D4F70">
            <w:pPr>
              <w:pBdr>
                <w:top w:val="single" w:sz="6" w:space="0" w:color="FFFFFF"/>
                <w:left w:val="single" w:sz="6" w:space="0" w:color="FFFFFF"/>
                <w:bottom w:val="single" w:sz="6" w:space="0" w:color="FFFFFF"/>
                <w:right w:val="single" w:sz="6" w:space="0" w:color="FFFFFF"/>
              </w:pBdr>
              <w:spacing w:after="72"/>
              <w:jc w:val="right"/>
              <w:rPr>
                <w:b/>
                <w:color w:val="000000"/>
                <w:sz w:val="20"/>
              </w:rPr>
            </w:pPr>
            <w:r w:rsidRPr="003D4F70">
              <w:rPr>
                <w:b/>
                <w:color w:val="000000"/>
                <w:sz w:val="20"/>
                <w:szCs w:val="20"/>
              </w:rPr>
              <w:t>$81,160</w:t>
            </w:r>
          </w:p>
        </w:tc>
      </w:tr>
    </w:tbl>
    <w:p w:rsidR="00CA4CD6" w:rsidRDefault="00E64DCE">
      <w:pPr>
        <w:pBdr>
          <w:top w:val="single" w:sz="6" w:space="0" w:color="FFFFFF"/>
          <w:left w:val="single" w:sz="6" w:space="0" w:color="FFFFFF"/>
          <w:bottom w:val="single" w:sz="6" w:space="0" w:color="FFFFFF"/>
          <w:right w:val="single" w:sz="6" w:space="0" w:color="FFFFFF"/>
        </w:pBdr>
        <w:rPr>
          <w:color w:val="000000"/>
          <w:sz w:val="20"/>
          <w:szCs w:val="20"/>
        </w:rPr>
      </w:pPr>
      <w:r w:rsidRPr="00E64DCE">
        <w:rPr>
          <w:color w:val="000000"/>
          <w:sz w:val="20"/>
          <w:szCs w:val="20"/>
        </w:rPr>
        <w:t>a. Based on estimated monitoring costs provided in regulatory support documentation.</w:t>
      </w:r>
    </w:p>
    <w:p w:rsidR="00E64DCE" w:rsidRDefault="00E64DCE">
      <w:pPr>
        <w:pBdr>
          <w:top w:val="single" w:sz="6" w:space="0" w:color="FFFFFF"/>
          <w:left w:val="single" w:sz="6" w:space="0" w:color="FFFFFF"/>
          <w:bottom w:val="single" w:sz="6" w:space="0" w:color="FFFFFF"/>
          <w:right w:val="single" w:sz="6" w:space="0" w:color="FFFFFF"/>
        </w:pBdr>
        <w:rPr>
          <w:color w:val="000000"/>
          <w:sz w:val="20"/>
          <w:szCs w:val="20"/>
        </w:rPr>
      </w:pPr>
      <w:r w:rsidRPr="00E64DCE">
        <w:rPr>
          <w:color w:val="000000"/>
          <w:sz w:val="20"/>
          <w:szCs w:val="20"/>
        </w:rPr>
        <w:t>b. Total estimated cost for initial stack test, including Method 5 (PM), Method 9 (opacity), Method 10 (CO), Method 26 (HCl), Method 29 (metals), Method 23 (CDD/CDF), Method 7E (</w:t>
      </w:r>
      <w:proofErr w:type="spellStart"/>
      <w:r w:rsidRPr="00E64DCE">
        <w:rPr>
          <w:color w:val="000000"/>
          <w:sz w:val="20"/>
          <w:szCs w:val="20"/>
        </w:rPr>
        <w:t>NOx</w:t>
      </w:r>
      <w:proofErr w:type="spellEnd"/>
      <w:r w:rsidRPr="00E64DCE">
        <w:rPr>
          <w:color w:val="000000"/>
          <w:sz w:val="20"/>
          <w:szCs w:val="20"/>
        </w:rPr>
        <w:t>), and Method 6C (SO2). Facilities may test every three years if certain requirements are met, and it is assumed most facilities would meet the requirements.  Thus, annual testing following the initial performance test is not considered over the 3-year period of this ICR.</w:t>
      </w:r>
    </w:p>
    <w:p w:rsidR="00A01C18" w:rsidRPr="00E64DCE" w:rsidRDefault="00A01C1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 </w:t>
      </w:r>
      <w:r w:rsidRPr="00A01C18">
        <w:rPr>
          <w:color w:val="000000"/>
          <w:sz w:val="20"/>
          <w:szCs w:val="20"/>
        </w:rPr>
        <w:t>Assumed $100 for pu</w:t>
      </w:r>
      <w:r w:rsidR="00CC6497">
        <w:rPr>
          <w:color w:val="000000"/>
          <w:sz w:val="20"/>
          <w:szCs w:val="20"/>
        </w:rPr>
        <w:t>r</w:t>
      </w:r>
      <w:r w:rsidRPr="00A01C18">
        <w:rPr>
          <w:color w:val="000000"/>
          <w:sz w:val="20"/>
          <w:szCs w:val="20"/>
        </w:rPr>
        <w:t>chase of filing cabinet to house copy of rule, records and report copies.</w:t>
      </w:r>
    </w:p>
    <w:p w:rsidR="00E64DCE" w:rsidRDefault="00E64DC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611DA4">
        <w:rPr>
          <w:color w:val="000000"/>
        </w:rPr>
        <w:t xml:space="preserve">annual </w:t>
      </w:r>
      <w:r>
        <w:rPr>
          <w:color w:val="000000"/>
        </w:rPr>
        <w:t>capital/s</w:t>
      </w:r>
      <w:r w:rsidR="00774036">
        <w:rPr>
          <w:color w:val="000000"/>
        </w:rPr>
        <w:t>tartup costs for this ICR are $</w:t>
      </w:r>
      <w:r w:rsidR="00611DA4">
        <w:rPr>
          <w:color w:val="000000"/>
        </w:rPr>
        <w:t>288</w:t>
      </w:r>
      <w:r w:rsidR="00774036">
        <w:rPr>
          <w:color w:val="000000"/>
        </w:rPr>
        <w:t>,</w:t>
      </w:r>
      <w:r w:rsidR="00611DA4">
        <w:rPr>
          <w:color w:val="000000"/>
        </w:rPr>
        <w:t>396</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611DA4">
        <w:rPr>
          <w:color w:val="000000"/>
        </w:rPr>
        <w:t>81</w:t>
      </w:r>
      <w:r w:rsidR="00395C6A">
        <w:rPr>
          <w:color w:val="000000"/>
        </w:rPr>
        <w:t>,</w:t>
      </w:r>
      <w:r w:rsidR="00611DA4">
        <w:rPr>
          <w:color w:val="000000"/>
        </w:rPr>
        <w:t>16</w:t>
      </w:r>
      <w:r w:rsidR="00395C6A">
        <w:rPr>
          <w:color w:val="000000"/>
        </w:rPr>
        <w:t>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95C6A">
        <w:rPr>
          <w:color w:val="000000"/>
        </w:rPr>
        <w:t>369,</w:t>
      </w:r>
      <w:r w:rsidR="003B04D6">
        <w:rPr>
          <w:color w:val="000000"/>
        </w:rPr>
        <w:t>5</w:t>
      </w:r>
      <w:r w:rsidR="00395C6A">
        <w:rPr>
          <w:color w:val="000000"/>
        </w:rPr>
        <w:t>56</w:t>
      </w:r>
      <w:r>
        <w:rPr>
          <w:color w:val="000000"/>
        </w:rPr>
        <w:t>.</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3420FF">
        <w:rPr>
          <w:color w:val="000000"/>
        </w:rPr>
        <w:t>$14,510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420FF" w:rsidRPr="00BC448F" w:rsidRDefault="00CA4CD6" w:rsidP="003420FF">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3D4F7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3420FF" w:rsidRPr="00BC448F">
        <w:t xml:space="preserve">NSPS for </w:t>
      </w:r>
      <w:r w:rsidR="003420FF" w:rsidRPr="00BC448F">
        <w:rPr>
          <w:bCs/>
        </w:rPr>
        <w:t>Sewage Sludge Incineration Units</w:t>
      </w:r>
      <w:r w:rsidR="003420FF" w:rsidRPr="00BC448F">
        <w:t xml:space="preserve"> (40 CFR Part 60, Subpart LLLL)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5A77D2" w:rsidRDefault="005A77D2" w:rsidP="005A77D2">
      <w:pPr>
        <w:pBdr>
          <w:top w:val="single" w:sz="6" w:space="0" w:color="FFFFFF"/>
          <w:left w:val="single" w:sz="6" w:space="0" w:color="FFFFFF"/>
          <w:bottom w:val="single" w:sz="6" w:space="0" w:color="FFFFFF"/>
          <w:right w:val="single" w:sz="6" w:space="0" w:color="FFFFFF"/>
        </w:pBdr>
        <w:ind w:firstLine="720"/>
        <w:rPr>
          <w:color w:val="000000"/>
        </w:rPr>
      </w:pPr>
      <w:r>
        <w:t xml:space="preserve">Based on our research for this ICR, on average over the next three years, </w:t>
      </w:r>
      <w:r w:rsidRPr="001C322A">
        <w:t>approximately one existing respondents will be subject to the standard</w:t>
      </w:r>
      <w:r w:rsidR="003B3637">
        <w:t>s</w:t>
      </w:r>
      <w:r>
        <w:t>.  It is estimated that</w:t>
      </w:r>
      <w:r w:rsidRPr="001C322A">
        <w:t xml:space="preserve"> one additional respondent per year will become subject</w:t>
      </w:r>
      <w:r w:rsidR="003B3637">
        <w:t xml:space="preserve"> to the standards</w:t>
      </w:r>
      <w:r w:rsidRPr="001C322A">
        <w:t>.  The overall average number of respondents</w:t>
      </w:r>
      <w:r>
        <w:rPr>
          <w:color w:val="000000"/>
        </w:rPr>
        <w:t xml:space="preserve">, as shown in the table below, is two per year.  </w:t>
      </w:r>
    </w:p>
    <w:p w:rsidR="005A77D2" w:rsidRDefault="005A77D2" w:rsidP="005A77D2">
      <w:pPr>
        <w:pBdr>
          <w:top w:val="single" w:sz="6" w:space="0" w:color="FFFFFF"/>
          <w:left w:val="single" w:sz="6" w:space="0" w:color="FFFFFF"/>
          <w:bottom w:val="single" w:sz="6" w:space="0" w:color="FFFFFF"/>
          <w:right w:val="single" w:sz="6" w:space="0" w:color="FFFFFF"/>
        </w:pBdr>
        <w:ind w:firstLine="720"/>
        <w:rPr>
          <w:color w:val="000000"/>
        </w:rPr>
      </w:pPr>
    </w:p>
    <w:p w:rsidR="00CA4CD6" w:rsidRPr="005A77D2" w:rsidRDefault="005A77D2" w:rsidP="005A77D2">
      <w:pPr>
        <w:pBdr>
          <w:top w:val="single" w:sz="6" w:space="0" w:color="FFFFFF"/>
          <w:left w:val="single" w:sz="6" w:space="0" w:color="FFFFFF"/>
          <w:bottom w:val="single" w:sz="6" w:space="0" w:color="FFFFFF"/>
          <w:right w:val="single" w:sz="6" w:space="0" w:color="FFFFFF"/>
        </w:pBdr>
        <w:ind w:firstLine="720"/>
      </w:pPr>
      <w:r w:rsidRPr="005A77D2">
        <w:t>This is based on industry data indicating n</w:t>
      </w:r>
      <w:r w:rsidR="00F337B2" w:rsidRPr="005A77D2">
        <w:t>o respondents are currently subject to the standard</w:t>
      </w:r>
      <w:r w:rsidR="003B3637">
        <w:t>s</w:t>
      </w:r>
      <w:r w:rsidR="00F337B2" w:rsidRPr="005A77D2">
        <w:t>; however, two new units and one modified unit are expected to become subject to the standard</w:t>
      </w:r>
      <w:r w:rsidR="003B3637">
        <w:t>s</w:t>
      </w:r>
      <w:r w:rsidR="00F337B2" w:rsidRPr="005A77D2">
        <w:t xml:space="preserve"> within the next three years.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AD0FFA">
        <w:trPr>
          <w:tblHeader/>
        </w:trPr>
        <w:tc>
          <w:tcPr>
            <w:tcW w:w="9359" w:type="dxa"/>
            <w:gridSpan w:val="6"/>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AD0FFA">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D0FF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D0FF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rsidP="00AD0FF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D0FF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2A72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2A72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AD0FFA">
        <w:tc>
          <w:tcPr>
            <w:tcW w:w="900" w:type="dxa"/>
            <w:tcBorders>
              <w:top w:val="single" w:sz="4" w:space="0" w:color="auto"/>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22AA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22AA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F337B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420F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420F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420F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420F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1C322A" w:rsidRDefault="00F337B2">
            <w:pPr>
              <w:pBdr>
                <w:top w:val="single" w:sz="6" w:space="0" w:color="FFFFFF"/>
                <w:left w:val="single" w:sz="6" w:space="0" w:color="FFFFFF"/>
                <w:bottom w:val="single" w:sz="6" w:space="0" w:color="FFFFFF"/>
                <w:right w:val="single" w:sz="6" w:space="0" w:color="FFFFFF"/>
              </w:pBdr>
              <w:spacing w:after="72"/>
              <w:jc w:val="center"/>
              <w:rPr>
                <w:sz w:val="18"/>
                <w:szCs w:val="18"/>
              </w:rPr>
            </w:pPr>
            <w:r w:rsidRPr="001C322A">
              <w:rPr>
                <w:sz w:val="18"/>
                <w:szCs w:val="18"/>
              </w:rPr>
              <w:t>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FD2EA0">
        <w:rPr>
          <w:color w:val="000000"/>
        </w:rPr>
        <w:t>-</w:t>
      </w:r>
      <w:r w:rsidR="00CA4CD6">
        <w:rPr>
          <w:color w:val="000000"/>
        </w:rPr>
        <w:t>year period of this ICR is</w:t>
      </w:r>
      <w:r w:rsidR="00F337B2">
        <w:rPr>
          <w:color w:val="000000"/>
        </w:rPr>
        <w:t xml:space="preserve"> 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457011">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rsidP="00457011">
            <w:pPr>
              <w:spacing w:line="120" w:lineRule="exact"/>
              <w:rPr>
                <w:color w:val="000000"/>
                <w:sz w:val="18"/>
                <w:szCs w:val="18"/>
              </w:rPr>
            </w:pPr>
          </w:p>
          <w:p w:rsidR="00CA4CD6" w:rsidRDefault="00457011" w:rsidP="004570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Notification of construction</w:t>
            </w:r>
          </w:p>
        </w:tc>
        <w:tc>
          <w:tcPr>
            <w:tcW w:w="1260" w:type="dxa"/>
          </w:tcPr>
          <w:p w:rsidR="00CA4CD6" w:rsidRDefault="00CA4CD6">
            <w:pPr>
              <w:spacing w:line="120" w:lineRule="exact"/>
              <w:rPr>
                <w:color w:val="000000"/>
                <w:sz w:val="18"/>
                <w:szCs w:val="18"/>
              </w:rPr>
            </w:pPr>
          </w:p>
          <w:p w:rsidR="00CA4CD6" w:rsidRDefault="004570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CA4CD6">
            <w:pPr>
              <w:spacing w:line="120" w:lineRule="exact"/>
              <w:rPr>
                <w:color w:val="000000"/>
                <w:sz w:val="18"/>
                <w:szCs w:val="18"/>
              </w:rPr>
            </w:pPr>
          </w:p>
          <w:p w:rsidR="00CA4CD6" w:rsidRDefault="00E37A1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tc>
          <w:tcPr>
            <w:tcW w:w="2700" w:type="dxa"/>
          </w:tcPr>
          <w:p w:rsidR="00CA4CD6" w:rsidRDefault="00CA4CD6" w:rsidP="00457011">
            <w:pPr>
              <w:spacing w:line="120" w:lineRule="exact"/>
              <w:rPr>
                <w:color w:val="000000"/>
                <w:sz w:val="18"/>
                <w:szCs w:val="18"/>
              </w:rPr>
            </w:pPr>
          </w:p>
          <w:p w:rsidR="00CA4CD6" w:rsidRDefault="00457011" w:rsidP="004570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Notification of start-up</w:t>
            </w:r>
          </w:p>
        </w:tc>
        <w:tc>
          <w:tcPr>
            <w:tcW w:w="1260" w:type="dxa"/>
          </w:tcPr>
          <w:p w:rsidR="00CA4CD6" w:rsidRDefault="00CA4CD6">
            <w:pPr>
              <w:spacing w:line="120" w:lineRule="exact"/>
              <w:rPr>
                <w:color w:val="000000"/>
                <w:sz w:val="18"/>
                <w:szCs w:val="18"/>
              </w:rPr>
            </w:pPr>
          </w:p>
          <w:p w:rsidR="00CA4CD6" w:rsidRDefault="004570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CA4CD6">
            <w:pPr>
              <w:spacing w:line="120" w:lineRule="exact"/>
              <w:rPr>
                <w:color w:val="000000"/>
                <w:sz w:val="18"/>
                <w:szCs w:val="18"/>
              </w:rPr>
            </w:pPr>
          </w:p>
          <w:p w:rsidR="00CA4CD6" w:rsidRDefault="00E37A1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tc>
          <w:tcPr>
            <w:tcW w:w="2700" w:type="dxa"/>
          </w:tcPr>
          <w:p w:rsidR="00CA4CD6" w:rsidRDefault="00CA4CD6" w:rsidP="00457011">
            <w:pPr>
              <w:spacing w:line="120" w:lineRule="exact"/>
              <w:rPr>
                <w:color w:val="000000"/>
                <w:sz w:val="18"/>
                <w:szCs w:val="18"/>
              </w:rPr>
            </w:pPr>
          </w:p>
          <w:p w:rsidR="00CA4CD6" w:rsidRDefault="00457011" w:rsidP="004570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 xml:space="preserve">Notification of initial </w:t>
            </w:r>
            <w:r>
              <w:rPr>
                <w:color w:val="000000"/>
                <w:sz w:val="18"/>
                <w:szCs w:val="18"/>
              </w:rPr>
              <w:t>p</w:t>
            </w:r>
            <w:r w:rsidRPr="00457011">
              <w:rPr>
                <w:color w:val="000000"/>
                <w:sz w:val="18"/>
                <w:szCs w:val="18"/>
              </w:rPr>
              <w:t>erformance test</w:t>
            </w:r>
          </w:p>
        </w:tc>
        <w:tc>
          <w:tcPr>
            <w:tcW w:w="1260" w:type="dxa"/>
          </w:tcPr>
          <w:p w:rsidR="00CA4CD6" w:rsidRDefault="00CA4CD6">
            <w:pPr>
              <w:spacing w:line="120" w:lineRule="exact"/>
              <w:rPr>
                <w:color w:val="000000"/>
                <w:sz w:val="18"/>
                <w:szCs w:val="18"/>
              </w:rPr>
            </w:pPr>
          </w:p>
          <w:p w:rsidR="00CA4CD6" w:rsidRDefault="004570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CA4CD6">
            <w:pPr>
              <w:spacing w:line="120" w:lineRule="exact"/>
              <w:rPr>
                <w:color w:val="000000"/>
                <w:sz w:val="18"/>
                <w:szCs w:val="18"/>
              </w:rPr>
            </w:pPr>
          </w:p>
          <w:p w:rsidR="00CA4CD6" w:rsidRDefault="00E37A1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tc>
          <w:tcPr>
            <w:tcW w:w="2700" w:type="dxa"/>
          </w:tcPr>
          <w:p w:rsidR="00CA4CD6" w:rsidRDefault="00CA4CD6" w:rsidP="00457011">
            <w:pPr>
              <w:spacing w:line="120" w:lineRule="exact"/>
              <w:rPr>
                <w:color w:val="000000"/>
                <w:sz w:val="18"/>
                <w:szCs w:val="18"/>
              </w:rPr>
            </w:pPr>
          </w:p>
          <w:p w:rsidR="00CA4CD6" w:rsidRDefault="00457011" w:rsidP="004570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Notification of initial CMS Demonstration</w:t>
            </w:r>
          </w:p>
        </w:tc>
        <w:tc>
          <w:tcPr>
            <w:tcW w:w="1260" w:type="dxa"/>
          </w:tcPr>
          <w:p w:rsidR="00CA4CD6" w:rsidRDefault="00CA4CD6">
            <w:pPr>
              <w:spacing w:line="120" w:lineRule="exact"/>
              <w:rPr>
                <w:color w:val="000000"/>
                <w:sz w:val="18"/>
                <w:szCs w:val="18"/>
              </w:rPr>
            </w:pPr>
          </w:p>
          <w:p w:rsidR="00CA4CD6" w:rsidRDefault="004570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CA4CD6">
            <w:pPr>
              <w:spacing w:line="120" w:lineRule="exact"/>
              <w:rPr>
                <w:color w:val="000000"/>
                <w:sz w:val="18"/>
                <w:szCs w:val="18"/>
              </w:rPr>
            </w:pPr>
          </w:p>
          <w:p w:rsidR="00CA4CD6" w:rsidRDefault="00E37A1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457011" w:rsidTr="00D230C8">
        <w:tc>
          <w:tcPr>
            <w:tcW w:w="2700" w:type="dxa"/>
          </w:tcPr>
          <w:p w:rsidR="00457011" w:rsidRDefault="00457011" w:rsidP="00D230C8">
            <w:pPr>
              <w:spacing w:line="120" w:lineRule="exact"/>
              <w:rPr>
                <w:color w:val="000000"/>
                <w:sz w:val="18"/>
                <w:szCs w:val="18"/>
              </w:rPr>
            </w:pPr>
          </w:p>
          <w:p w:rsidR="00457011" w:rsidRDefault="00457011" w:rsidP="00D230C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Initial Compliance Report</w:t>
            </w:r>
          </w:p>
        </w:tc>
        <w:tc>
          <w:tcPr>
            <w:tcW w:w="1260" w:type="dxa"/>
          </w:tcPr>
          <w:p w:rsidR="00457011" w:rsidRDefault="00457011" w:rsidP="00D230C8">
            <w:pPr>
              <w:spacing w:line="120" w:lineRule="exact"/>
              <w:rPr>
                <w:color w:val="000000"/>
                <w:sz w:val="18"/>
                <w:szCs w:val="18"/>
              </w:rPr>
            </w:pPr>
          </w:p>
          <w:p w:rsidR="00457011" w:rsidRDefault="00E37A1F"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457011" w:rsidRDefault="00457011" w:rsidP="00D230C8">
            <w:pPr>
              <w:spacing w:line="120" w:lineRule="exact"/>
              <w:rPr>
                <w:color w:val="000000"/>
                <w:sz w:val="18"/>
                <w:szCs w:val="18"/>
              </w:rPr>
            </w:pPr>
          </w:p>
          <w:p w:rsidR="00457011" w:rsidRDefault="00E37A1F"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457011" w:rsidTr="00D230C8">
        <w:tc>
          <w:tcPr>
            <w:tcW w:w="2700" w:type="dxa"/>
          </w:tcPr>
          <w:p w:rsidR="00457011" w:rsidRDefault="00457011" w:rsidP="00D230C8">
            <w:pPr>
              <w:spacing w:line="120" w:lineRule="exact"/>
              <w:rPr>
                <w:color w:val="000000"/>
                <w:sz w:val="18"/>
                <w:szCs w:val="18"/>
              </w:rPr>
            </w:pPr>
          </w:p>
          <w:p w:rsidR="00457011" w:rsidRDefault="00457011" w:rsidP="00D230C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Annual Compliance Report</w:t>
            </w:r>
            <w:r w:rsidR="00D528B8">
              <w:rPr>
                <w:color w:val="000000"/>
                <w:sz w:val="18"/>
                <w:szCs w:val="18"/>
              </w:rPr>
              <w:t xml:space="preserve"> </w:t>
            </w:r>
            <w:r w:rsidR="00D528B8" w:rsidRPr="00D528B8">
              <w:rPr>
                <w:color w:val="000000"/>
                <w:sz w:val="18"/>
                <w:szCs w:val="18"/>
                <w:vertAlign w:val="superscript"/>
              </w:rPr>
              <w:t>a</w:t>
            </w:r>
          </w:p>
        </w:tc>
        <w:tc>
          <w:tcPr>
            <w:tcW w:w="1260" w:type="dxa"/>
          </w:tcPr>
          <w:p w:rsidR="00457011" w:rsidRDefault="00457011" w:rsidP="00D230C8">
            <w:pPr>
              <w:spacing w:line="120" w:lineRule="exact"/>
              <w:rPr>
                <w:color w:val="000000"/>
                <w:sz w:val="18"/>
                <w:szCs w:val="18"/>
              </w:rPr>
            </w:pPr>
          </w:p>
          <w:p w:rsidR="00457011" w:rsidRDefault="00E37A1F"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457011" w:rsidRDefault="00457011" w:rsidP="00D230C8">
            <w:pPr>
              <w:spacing w:line="120" w:lineRule="exact"/>
              <w:rPr>
                <w:color w:val="000000"/>
                <w:sz w:val="18"/>
                <w:szCs w:val="18"/>
              </w:rPr>
            </w:pPr>
          </w:p>
          <w:p w:rsidR="00457011" w:rsidRDefault="00E37A1F"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457011" w:rsidTr="00D230C8">
        <w:tc>
          <w:tcPr>
            <w:tcW w:w="2700" w:type="dxa"/>
          </w:tcPr>
          <w:p w:rsidR="00457011" w:rsidRDefault="00457011" w:rsidP="00D230C8">
            <w:pPr>
              <w:spacing w:line="120" w:lineRule="exact"/>
              <w:rPr>
                <w:color w:val="000000"/>
                <w:sz w:val="18"/>
                <w:szCs w:val="18"/>
              </w:rPr>
            </w:pPr>
          </w:p>
          <w:p w:rsidR="00457011" w:rsidRDefault="00457011" w:rsidP="00D528B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Status report for operators that are off-site for more than 2 week</w:t>
            </w:r>
            <w:r w:rsidR="00D528B8">
              <w:rPr>
                <w:color w:val="000000"/>
                <w:sz w:val="18"/>
                <w:szCs w:val="18"/>
              </w:rPr>
              <w:t xml:space="preserve"> </w:t>
            </w:r>
            <w:r w:rsidR="00D528B8" w:rsidRPr="00D528B8">
              <w:rPr>
                <w:color w:val="000000"/>
                <w:sz w:val="18"/>
                <w:szCs w:val="18"/>
                <w:vertAlign w:val="superscript"/>
              </w:rPr>
              <w:t>b</w:t>
            </w:r>
          </w:p>
        </w:tc>
        <w:tc>
          <w:tcPr>
            <w:tcW w:w="1260" w:type="dxa"/>
          </w:tcPr>
          <w:p w:rsidR="00457011" w:rsidRDefault="00457011" w:rsidP="00D230C8">
            <w:pPr>
              <w:spacing w:line="120" w:lineRule="exact"/>
              <w:rPr>
                <w:color w:val="000000"/>
                <w:sz w:val="18"/>
                <w:szCs w:val="18"/>
              </w:rPr>
            </w:pPr>
          </w:p>
          <w:p w:rsidR="00457011" w:rsidRDefault="00D528B8"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457011" w:rsidRDefault="00457011" w:rsidP="00D230C8">
            <w:pPr>
              <w:spacing w:line="120" w:lineRule="exact"/>
              <w:rPr>
                <w:color w:val="000000"/>
                <w:sz w:val="18"/>
                <w:szCs w:val="18"/>
              </w:rPr>
            </w:pPr>
          </w:p>
          <w:p w:rsidR="00457011" w:rsidRDefault="00D528B8"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457011" w:rsidTr="00D230C8">
        <w:tc>
          <w:tcPr>
            <w:tcW w:w="2700" w:type="dxa"/>
          </w:tcPr>
          <w:p w:rsidR="00457011" w:rsidRDefault="00457011" w:rsidP="00D230C8">
            <w:pPr>
              <w:spacing w:line="120" w:lineRule="exact"/>
              <w:rPr>
                <w:color w:val="000000"/>
                <w:sz w:val="18"/>
                <w:szCs w:val="18"/>
              </w:rPr>
            </w:pPr>
          </w:p>
          <w:p w:rsidR="00457011" w:rsidRDefault="00457011" w:rsidP="00D528B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Corrective action summary for operators that are off-site for more than 2 weeks</w:t>
            </w:r>
            <w:r w:rsidR="00D528B8">
              <w:rPr>
                <w:color w:val="000000"/>
                <w:sz w:val="18"/>
                <w:szCs w:val="18"/>
              </w:rPr>
              <w:t xml:space="preserve"> </w:t>
            </w:r>
            <w:r w:rsidR="00D528B8" w:rsidRPr="00D528B8">
              <w:rPr>
                <w:color w:val="000000"/>
                <w:sz w:val="18"/>
                <w:szCs w:val="18"/>
                <w:vertAlign w:val="superscript"/>
              </w:rPr>
              <w:t>b</w:t>
            </w:r>
          </w:p>
        </w:tc>
        <w:tc>
          <w:tcPr>
            <w:tcW w:w="126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457011" w:rsidRDefault="00457011" w:rsidP="00D230C8">
            <w:pPr>
              <w:spacing w:line="120" w:lineRule="exact"/>
              <w:rPr>
                <w:color w:val="000000"/>
                <w:sz w:val="18"/>
                <w:szCs w:val="18"/>
              </w:rPr>
            </w:pPr>
          </w:p>
          <w:p w:rsidR="00457011" w:rsidRDefault="00446C7C" w:rsidP="00D230C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tc>
          <w:tcPr>
            <w:tcW w:w="2700" w:type="dxa"/>
          </w:tcPr>
          <w:p w:rsidR="00CA4CD6" w:rsidRDefault="00CA4CD6" w:rsidP="00457011">
            <w:pPr>
              <w:spacing w:line="120" w:lineRule="exact"/>
              <w:rPr>
                <w:color w:val="000000"/>
                <w:sz w:val="18"/>
                <w:szCs w:val="18"/>
              </w:rPr>
            </w:pPr>
          </w:p>
          <w:p w:rsidR="00CA4CD6" w:rsidRDefault="00457011" w:rsidP="004570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457011">
              <w:rPr>
                <w:color w:val="000000"/>
                <w:sz w:val="18"/>
                <w:szCs w:val="18"/>
              </w:rPr>
              <w:t>Semiannual Deviation Report</w:t>
            </w:r>
          </w:p>
        </w:tc>
        <w:tc>
          <w:tcPr>
            <w:tcW w:w="126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446C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F166B9" w:rsidRDefault="00CA4CD6">
            <w:pPr>
              <w:spacing w:line="120" w:lineRule="exact"/>
              <w:rPr>
                <w:b/>
                <w:color w:val="000000"/>
                <w:sz w:val="18"/>
                <w:szCs w:val="18"/>
              </w:rPr>
            </w:pPr>
          </w:p>
          <w:p w:rsidR="00CA4CD6" w:rsidRPr="00F166B9" w:rsidRDefault="00CA4CD6">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166B9">
              <w:rPr>
                <w:b/>
                <w:color w:val="000000"/>
                <w:sz w:val="18"/>
                <w:szCs w:val="18"/>
              </w:rPr>
              <w:t>Total</w:t>
            </w:r>
          </w:p>
        </w:tc>
        <w:tc>
          <w:tcPr>
            <w:tcW w:w="2070" w:type="dxa"/>
          </w:tcPr>
          <w:p w:rsidR="00CA4CD6" w:rsidRPr="00F166B9" w:rsidRDefault="00CA4CD6">
            <w:pPr>
              <w:spacing w:line="120" w:lineRule="exact"/>
              <w:rPr>
                <w:b/>
                <w:color w:val="000000"/>
                <w:sz w:val="18"/>
                <w:szCs w:val="18"/>
              </w:rPr>
            </w:pPr>
          </w:p>
          <w:p w:rsidR="00CA4CD6" w:rsidRPr="00F166B9" w:rsidRDefault="00446C7C" w:rsidP="00D528B8">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F166B9">
              <w:rPr>
                <w:b/>
                <w:sz w:val="18"/>
                <w:szCs w:val="18"/>
              </w:rPr>
              <w:t>1</w:t>
            </w:r>
            <w:r w:rsidR="00D528B8" w:rsidRPr="00F166B9">
              <w:rPr>
                <w:b/>
                <w:sz w:val="18"/>
                <w:szCs w:val="18"/>
              </w:rPr>
              <w:t>0</w:t>
            </w:r>
          </w:p>
        </w:tc>
      </w:tr>
    </w:tbl>
    <w:p w:rsidR="00CA4CD6" w:rsidRPr="002A7226" w:rsidRDefault="002A7226" w:rsidP="00D528B8">
      <w:pPr>
        <w:pBdr>
          <w:top w:val="single" w:sz="6" w:space="0" w:color="FFFFFF"/>
          <w:left w:val="single" w:sz="6" w:space="0" w:color="FFFFFF"/>
          <w:bottom w:val="single" w:sz="6" w:space="0" w:color="FFFFFF"/>
          <w:right w:val="single" w:sz="6" w:space="0" w:color="FFFFFF"/>
        </w:pBdr>
        <w:ind w:left="90"/>
        <w:rPr>
          <w:color w:val="000000"/>
          <w:sz w:val="18"/>
          <w:szCs w:val="18"/>
        </w:rPr>
      </w:pPr>
      <w:r w:rsidRPr="002A7226">
        <w:rPr>
          <w:color w:val="000000"/>
          <w:sz w:val="20"/>
          <w:szCs w:val="20"/>
          <w:vertAlign w:val="superscript"/>
        </w:rPr>
        <w:t xml:space="preserve">a </w:t>
      </w:r>
      <w:r w:rsidR="00D528B8">
        <w:rPr>
          <w:color w:val="000000"/>
          <w:sz w:val="20"/>
          <w:szCs w:val="20"/>
        </w:rPr>
        <w:t xml:space="preserve"> </w:t>
      </w:r>
      <w:r w:rsidR="00D528B8" w:rsidRPr="002A7226">
        <w:rPr>
          <w:color w:val="000000"/>
          <w:sz w:val="18"/>
          <w:szCs w:val="18"/>
        </w:rPr>
        <w:t>Facilities may test every three years if certain requirements are met, and it is assumed most facilities would meet the requirements.</w:t>
      </w:r>
    </w:p>
    <w:p w:rsidR="00D528B8" w:rsidRPr="002A7226" w:rsidRDefault="00D528B8" w:rsidP="00D528B8">
      <w:pPr>
        <w:pBdr>
          <w:top w:val="single" w:sz="6" w:space="0" w:color="FFFFFF"/>
          <w:left w:val="single" w:sz="6" w:space="0" w:color="FFFFFF"/>
          <w:bottom w:val="single" w:sz="6" w:space="0" w:color="FFFFFF"/>
          <w:right w:val="single" w:sz="6" w:space="0" w:color="FFFFFF"/>
        </w:pBdr>
        <w:ind w:left="90"/>
        <w:rPr>
          <w:color w:val="000000"/>
          <w:sz w:val="18"/>
          <w:szCs w:val="18"/>
        </w:rPr>
      </w:pPr>
      <w:proofErr w:type="gramStart"/>
      <w:r w:rsidRPr="002A7226">
        <w:rPr>
          <w:color w:val="000000"/>
          <w:sz w:val="20"/>
          <w:szCs w:val="20"/>
          <w:vertAlign w:val="superscript"/>
        </w:rPr>
        <w:t>b</w:t>
      </w:r>
      <w:proofErr w:type="gramEnd"/>
      <w:r w:rsidRPr="00D528B8">
        <w:t xml:space="preserve"> </w:t>
      </w:r>
      <w:r w:rsidRPr="002A7226">
        <w:rPr>
          <w:color w:val="000000"/>
          <w:sz w:val="18"/>
          <w:szCs w:val="18"/>
        </w:rPr>
        <w:t xml:space="preserve">Assumed that 10 percent of the facilities </w:t>
      </w:r>
      <w:r w:rsidR="00B73877" w:rsidRPr="002A7226">
        <w:rPr>
          <w:color w:val="000000"/>
          <w:sz w:val="18"/>
          <w:szCs w:val="18"/>
        </w:rPr>
        <w:t xml:space="preserve">(conservatively rounded to one) </w:t>
      </w:r>
      <w:r w:rsidRPr="002A7226">
        <w:rPr>
          <w:color w:val="000000"/>
          <w:sz w:val="18"/>
          <w:szCs w:val="18"/>
        </w:rPr>
        <w:t>would not have a qualified operator available for more than tw</w:t>
      </w:r>
      <w:r w:rsidR="009536EC">
        <w:rPr>
          <w:color w:val="000000"/>
          <w:sz w:val="18"/>
          <w:szCs w:val="18"/>
        </w:rPr>
        <w:t xml:space="preserve">o weeks at least once a year.  </w:t>
      </w:r>
      <w:r w:rsidRPr="002A7226">
        <w:rPr>
          <w:color w:val="000000"/>
          <w:sz w:val="18"/>
          <w:szCs w:val="18"/>
        </w:rPr>
        <w:t>Assumed this</w:t>
      </w:r>
      <w:r w:rsidR="00B73877" w:rsidRPr="002A7226">
        <w:rPr>
          <w:color w:val="000000"/>
          <w:sz w:val="18"/>
          <w:szCs w:val="18"/>
        </w:rPr>
        <w:t xml:space="preserve"> would</w:t>
      </w:r>
      <w:r w:rsidRPr="002A7226">
        <w:rPr>
          <w:color w:val="000000"/>
          <w:sz w:val="18"/>
          <w:szCs w:val="18"/>
        </w:rPr>
        <w:t xml:space="preserve"> require only two corrective action summaries. </w:t>
      </w:r>
    </w:p>
    <w:p w:rsidR="00D528B8" w:rsidRPr="00FE1F30" w:rsidRDefault="00D528B8">
      <w:pPr>
        <w:pBdr>
          <w:top w:val="single" w:sz="6" w:space="0" w:color="FFFFFF"/>
          <w:left w:val="single" w:sz="6" w:space="0" w:color="FFFFFF"/>
          <w:bottom w:val="single" w:sz="6" w:space="0" w:color="FFFFFF"/>
          <w:right w:val="single" w:sz="6" w:space="0" w:color="FFFFFF"/>
        </w:pBdr>
      </w:pPr>
    </w:p>
    <w:p w:rsidR="00CA4CD6" w:rsidRPr="00FE1F30" w:rsidRDefault="00CA4CD6">
      <w:pPr>
        <w:pBdr>
          <w:top w:val="single" w:sz="6" w:space="0" w:color="FFFFFF"/>
          <w:left w:val="single" w:sz="6" w:space="0" w:color="FFFFFF"/>
          <w:bottom w:val="single" w:sz="6" w:space="0" w:color="FFFFFF"/>
          <w:right w:val="single" w:sz="6" w:space="0" w:color="FFFFFF"/>
        </w:pBdr>
        <w:ind w:firstLine="720"/>
      </w:pPr>
      <w:r w:rsidRPr="00FE1F30">
        <w:t xml:space="preserve">The </w:t>
      </w:r>
      <w:r w:rsidR="00FD2EA0">
        <w:t xml:space="preserve">total </w:t>
      </w:r>
      <w:r w:rsidRPr="00FE1F30">
        <w:t xml:space="preserve">number of Annual Responses is </w:t>
      </w:r>
      <w:r w:rsidR="00FE1F30" w:rsidRPr="00FE1F30">
        <w:t>10</w:t>
      </w:r>
      <w:r w:rsidRPr="00FE1F30">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3420FF" w:rsidRPr="00BC448F" w:rsidRDefault="00CA4CD6" w:rsidP="003420FF">
      <w:pPr>
        <w:ind w:firstLine="720"/>
      </w:pPr>
      <w:r>
        <w:rPr>
          <w:color w:val="000000"/>
        </w:rPr>
        <w:t>The</w:t>
      </w:r>
      <w:r w:rsidR="003420FF">
        <w:rPr>
          <w:color w:val="000000"/>
        </w:rPr>
        <w:t xml:space="preserve"> total annual labor costs are $78,068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3420FF" w:rsidRPr="00CF2B37">
        <w:t>–</w:t>
      </w:r>
      <w:r w:rsidR="003420FF">
        <w:rPr>
          <w:color w:val="000000"/>
        </w:rPr>
        <w:t xml:space="preserve"> </w:t>
      </w:r>
      <w:r w:rsidR="003420FF" w:rsidRPr="00BC448F">
        <w:t xml:space="preserve">NSPS for </w:t>
      </w:r>
      <w:r w:rsidR="003420FF" w:rsidRPr="00BC448F">
        <w:rPr>
          <w:bCs/>
        </w:rPr>
        <w:t>Sewage Sludge Incineration Units</w:t>
      </w:r>
      <w:r w:rsidR="003420FF" w:rsidRPr="00BC448F">
        <w:t xml:space="preserve"> (40 CFR Part 60, Subpart LLLL) (Renewal).</w:t>
      </w:r>
    </w:p>
    <w:p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C6F3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3420FF">
        <w:rPr>
          <w:color w:val="000000"/>
        </w:rPr>
        <w:t xml:space="preserve"> below</w:t>
      </w:r>
      <w:r>
        <w:rPr>
          <w:color w:val="000000"/>
        </w:rPr>
        <w:t xml:space="preserve"> in Tables 1 </w:t>
      </w:r>
      <w:r w:rsidRPr="003420FF">
        <w:t>and 2, respectively</w:t>
      </w:r>
      <w:r>
        <w:rPr>
          <w:color w:val="000000"/>
        </w:rPr>
        <w:t xml:space="preserve">, and summarized below.  </w:t>
      </w:r>
    </w:p>
    <w:p w:rsidR="00222F8E" w:rsidRDefault="00222F8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7ECF" w:rsidRDefault="000A7EC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7ECF" w:rsidRDefault="000A7EC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420FF" w:rsidRPr="00BC448F" w:rsidRDefault="00CA4CD6" w:rsidP="003420FF">
      <w:pPr>
        <w:ind w:firstLine="720"/>
      </w:pPr>
      <w:r>
        <w:rPr>
          <w:color w:val="000000"/>
        </w:rPr>
        <w:t xml:space="preserve">The total annual labor </w:t>
      </w:r>
      <w:r w:rsidR="002C416A">
        <w:rPr>
          <w:color w:val="000000"/>
        </w:rPr>
        <w:t>hours are</w:t>
      </w:r>
      <w:r w:rsidR="003420FF">
        <w:rPr>
          <w:color w:val="000000"/>
        </w:rPr>
        <w:t xml:space="preserve"> 798</w:t>
      </w:r>
      <w:r w:rsidR="002A7226">
        <w:rPr>
          <w:color w:val="000000"/>
        </w:rPr>
        <w:t xml:space="preserve"> </w:t>
      </w:r>
      <w:r w:rsidR="00222F8E">
        <w:rPr>
          <w:color w:val="000000"/>
        </w:rPr>
        <w:t xml:space="preserve">hours </w:t>
      </w:r>
      <w:r w:rsidR="002A7226">
        <w:rPr>
          <w:color w:val="000000"/>
        </w:rPr>
        <w:t>at a cost of 78,068</w:t>
      </w:r>
      <w:r>
        <w:rPr>
          <w:color w:val="000000"/>
        </w:rPr>
        <w:t>.</w:t>
      </w:r>
      <w:r w:rsidR="00507EC5">
        <w:rPr>
          <w:color w:val="000000"/>
        </w:rPr>
        <w:t xml:space="preserve">  </w:t>
      </w:r>
      <w:r>
        <w:rPr>
          <w:color w:val="000000"/>
        </w:rPr>
        <w:t xml:space="preserve">Details regarding these estimates may be found </w:t>
      </w:r>
      <w:r w:rsidR="002A7226">
        <w:rPr>
          <w:color w:val="000000"/>
        </w:rPr>
        <w:t xml:space="preserve">below </w:t>
      </w:r>
      <w:r>
        <w:rPr>
          <w:color w:val="000000"/>
        </w:rPr>
        <w:t>in Table 1</w:t>
      </w:r>
      <w:r w:rsidR="000A7ECF">
        <w:rPr>
          <w:color w:val="000000"/>
        </w:rPr>
        <w:t>:</w:t>
      </w:r>
      <w:r>
        <w:rPr>
          <w:color w:val="000000"/>
        </w:rPr>
        <w:t xml:space="preserve"> Annual Respondent Burden and Cost</w:t>
      </w:r>
      <w:r w:rsidR="00CF2B37">
        <w:rPr>
          <w:color w:val="000000"/>
        </w:rPr>
        <w:t xml:space="preserve"> – </w:t>
      </w:r>
      <w:r w:rsidR="003420FF" w:rsidRPr="00BC448F">
        <w:t xml:space="preserve">NSPS for </w:t>
      </w:r>
      <w:r w:rsidR="003420FF" w:rsidRPr="00BC448F">
        <w:rPr>
          <w:bCs/>
        </w:rPr>
        <w:t>Sewage Sludge Incineration Units</w:t>
      </w:r>
      <w:r w:rsidR="003420FF" w:rsidRPr="00BC448F">
        <w:t xml:space="preserve"> (40 CFR Part 60, Subpart LLLL) (Renewal).</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222F8E">
        <w:rPr>
          <w:color w:val="000000"/>
        </w:rPr>
        <w:t xml:space="preserve">   </w:t>
      </w:r>
      <w:r>
        <w:rPr>
          <w:color w:val="000000"/>
        </w:rPr>
        <w:t xml:space="preserve">of information is estimated to average </w:t>
      </w:r>
      <w:r w:rsidR="003420FF">
        <w:rPr>
          <w:color w:val="000000"/>
        </w:rPr>
        <w:t>80</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420FF">
        <w:rPr>
          <w:color w:val="000000"/>
        </w:rPr>
        <w:t>$369,556</w:t>
      </w:r>
      <w:r w:rsidR="00507EC5">
        <w:rPr>
          <w:color w:val="000000"/>
        </w:rPr>
        <w:t xml:space="preserve">.  </w:t>
      </w:r>
      <w:r w:rsidR="00222F8E">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3420FF" w:rsidRPr="00BC448F" w:rsidRDefault="00CA4CD6" w:rsidP="003420FF">
      <w:pPr>
        <w:ind w:firstLine="720"/>
      </w:pPr>
      <w:r>
        <w:rPr>
          <w:color w:val="000000"/>
        </w:rPr>
        <w:t>The average annual Agency burden and cost over next three years is estimated to be</w:t>
      </w:r>
      <w:r w:rsidR="003420FF">
        <w:rPr>
          <w:color w:val="000000"/>
        </w:rPr>
        <w:t xml:space="preserve"> 322</w:t>
      </w:r>
      <w:r>
        <w:rPr>
          <w:color w:val="000000"/>
        </w:rPr>
        <w:t xml:space="preserve"> labor hours at </w:t>
      </w:r>
      <w:r w:rsidRPr="003420FF">
        <w:t xml:space="preserve">a cost of </w:t>
      </w:r>
      <w:r w:rsidR="003420FF" w:rsidRPr="003420FF">
        <w:t>$14,510</w:t>
      </w:r>
      <w:r w:rsidR="00144F35" w:rsidRPr="003420FF">
        <w:t>.  See Table 2</w:t>
      </w:r>
      <w:r w:rsidR="00BC6F33">
        <w:t xml:space="preserve"> below</w:t>
      </w:r>
      <w:r w:rsidR="00144F35">
        <w:rPr>
          <w:color w:val="000000"/>
        </w:rPr>
        <w:t xml:space="preserve">: </w:t>
      </w:r>
      <w:r w:rsidR="00CF2B37" w:rsidRPr="00CF2B37">
        <w:t>Average Annual EPA Burden and Cost –</w:t>
      </w:r>
      <w:r w:rsidR="00144F35">
        <w:rPr>
          <w:color w:val="000000"/>
        </w:rPr>
        <w:t xml:space="preserve"> </w:t>
      </w:r>
      <w:r w:rsidR="003420FF" w:rsidRPr="00BC448F">
        <w:t xml:space="preserve">NSPS for </w:t>
      </w:r>
      <w:r w:rsidR="003420FF" w:rsidRPr="00BC448F">
        <w:rPr>
          <w:bCs/>
        </w:rPr>
        <w:t>Sewage Sludge Incineration Units</w:t>
      </w:r>
      <w:r w:rsidR="003420FF" w:rsidRPr="00BC448F">
        <w:t xml:space="preserve"> (40 CFR </w:t>
      </w:r>
      <w:proofErr w:type="gramStart"/>
      <w:r w:rsidR="003420FF" w:rsidRPr="00BC448F">
        <w:t>Part</w:t>
      </w:r>
      <w:proofErr w:type="gramEnd"/>
      <w:r w:rsidR="003420FF" w:rsidRPr="00BC448F">
        <w:t xml:space="preserve"> 60, Subpart LLLL) (Renewal).</w:t>
      </w:r>
    </w:p>
    <w:p w:rsidR="00CA4CD6" w:rsidRDefault="00CA4CD6" w:rsidP="003420FF">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DB78EC" w:rsidRDefault="009F197D" w:rsidP="00DB78EC">
      <w:pPr>
        <w:pBdr>
          <w:top w:val="single" w:sz="6" w:space="0" w:color="FFFFFF"/>
          <w:left w:val="single" w:sz="6" w:space="0" w:color="FFFFFF"/>
          <w:bottom w:val="single" w:sz="6" w:space="0" w:color="FFFFFF"/>
          <w:right w:val="single" w:sz="6" w:space="0" w:color="FFFFFF"/>
        </w:pBdr>
        <w:ind w:firstLine="720"/>
        <w:rPr>
          <w:color w:val="FF0000"/>
        </w:rPr>
      </w:pPr>
      <w:r w:rsidRPr="00615412">
        <w:t xml:space="preserve">There is </w:t>
      </w:r>
      <w:r>
        <w:t>an increase</w:t>
      </w:r>
      <w:r w:rsidR="00DB78EC">
        <w:t xml:space="preserve"> in respondent and Agency burden </w:t>
      </w:r>
      <w:r w:rsidRPr="00615412">
        <w:t xml:space="preserve">in this ICR compared to the previous </w:t>
      </w:r>
      <w:r w:rsidRPr="00AE0C99">
        <w:t>ICR.</w:t>
      </w:r>
      <w:r w:rsidR="00DB78EC">
        <w:t xml:space="preserve">  The increase is due to an adjustment in the estimated number of sources. </w:t>
      </w:r>
      <w:r w:rsidRPr="00AE0C99">
        <w:t xml:space="preserve"> </w:t>
      </w:r>
      <w:r w:rsidR="00DB78EC">
        <w:t xml:space="preserve">The previous ICR estimated </w:t>
      </w:r>
      <w:r>
        <w:t>two new units subject to the standard</w:t>
      </w:r>
      <w:r w:rsidR="00DB78EC">
        <w:t xml:space="preserve"> during the initial three-year compliance period</w:t>
      </w:r>
      <w:r>
        <w:t xml:space="preserve">. </w:t>
      </w:r>
      <w:r w:rsidR="00DB78EC">
        <w:t xml:space="preserve"> </w:t>
      </w:r>
      <w:r>
        <w:t xml:space="preserve">However, </w:t>
      </w:r>
      <w:r w:rsidR="00DB78EC">
        <w:t xml:space="preserve">recent research indicates </w:t>
      </w:r>
      <w:r>
        <w:t xml:space="preserve">there are still no units subject to the standard at this time. </w:t>
      </w:r>
      <w:r w:rsidR="00DB78EC">
        <w:t xml:space="preserve"> </w:t>
      </w:r>
      <w:r>
        <w:t>Those</w:t>
      </w:r>
      <w:r w:rsidR="003D7AB7">
        <w:t xml:space="preserve"> same</w:t>
      </w:r>
      <w:r>
        <w:t xml:space="preserve"> two </w:t>
      </w:r>
      <w:r w:rsidR="003D7AB7">
        <w:t xml:space="preserve">new </w:t>
      </w:r>
      <w:r>
        <w:t xml:space="preserve">units are expected to become subject during </w:t>
      </w:r>
      <w:r w:rsidR="00DB78EC">
        <w:t>three-year period of this ICR</w:t>
      </w:r>
      <w:r>
        <w:t>, and another unit is expected to be modified and therefore</w:t>
      </w:r>
      <w:r w:rsidR="00E849A6">
        <w:t>, will</w:t>
      </w:r>
      <w:r>
        <w:t xml:space="preserve"> </w:t>
      </w:r>
      <w:r w:rsidR="00DB78EC">
        <w:t xml:space="preserve">also </w:t>
      </w:r>
      <w:r w:rsidR="00E849A6">
        <w:t xml:space="preserve">be </w:t>
      </w:r>
      <w:r>
        <w:t xml:space="preserve">subject to the NSPS. </w:t>
      </w:r>
      <w:r w:rsidR="00DB78EC">
        <w:t xml:space="preserve"> This change in estimate also results in an increase in </w:t>
      </w:r>
      <w:r w:rsidR="00222F8E">
        <w:t xml:space="preserve">the annual combined sums of the </w:t>
      </w:r>
      <w:r w:rsidR="00DB78EC">
        <w:t>total capital</w:t>
      </w:r>
      <w:r w:rsidR="00222F8E">
        <w:t>/startup</w:t>
      </w:r>
      <w:r w:rsidR="00DB78EC">
        <w:t xml:space="preserve"> and O&amp;M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2E6F73">
        <w:t xml:space="preserve">public reporting and recordkeeping burden for this collection of information is estimated to average </w:t>
      </w:r>
      <w:r w:rsidR="002E6F73" w:rsidRPr="002E6F73">
        <w:t>80</w:t>
      </w:r>
      <w:r w:rsidRPr="002E6F73">
        <w:t xml:space="preserve"> hours per response.  Burden means the total time, effort, or financial resources expended by persons</w:t>
      </w:r>
      <w:r>
        <w:rPr>
          <w:color w:val="000000"/>
        </w:rPr>
        <w:t xml:space="preserve"> to generate, maintain, retain, or disclose or provide information to or for a Federal agency.  This includes the time needed to review instructions; develop, acquire, install, and utilize technology and systems for the purposes of collecting, validating, </w:t>
      </w:r>
      <w:r w:rsidR="004E67DC">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collection of information unless it displays a valid OMB Control Number.  The OMB Control </w:t>
      </w:r>
      <w:r>
        <w:rPr>
          <w:color w:val="000000"/>
        </w:rPr>
        <w:lastRenderedPageBreak/>
        <w:t>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3641B">
        <w:t>EPA-HQ-OECA-2013-0321.</w:t>
      </w:r>
      <w:r w:rsidR="00354C15">
        <w:rPr>
          <w:color w:val="FF0000"/>
        </w:rPr>
        <w:t xml:space="preserve">  </w:t>
      </w:r>
      <w:r w:rsidR="00354C15" w:rsidRPr="00354C15">
        <w:t xml:space="preserve">An electronic version of the public docket is available at </w:t>
      </w:r>
      <w:r w:rsidR="00354C15" w:rsidRPr="004E67DC">
        <w:rPr>
          <w:u w:val="single"/>
        </w:rPr>
        <w:t>http://www.regulations.gov/</w:t>
      </w:r>
      <w:r w:rsidR="004E67DC">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proofErr w:type="gramStart"/>
      <w:r w:rsidR="004E67DC">
        <w:t xml:space="preserve">WJC </w:t>
      </w:r>
      <w:r w:rsidR="00D95819" w:rsidRPr="000E187E">
        <w:t xml:space="preserve"> West</w:t>
      </w:r>
      <w:proofErr w:type="gramEnd"/>
      <w:r w:rsidR="00D95819" w:rsidRPr="000E187E">
        <w:t xml:space="preserve">,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F309B2">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13641B">
        <w:t>2013-0321</w:t>
      </w:r>
      <w:r w:rsidR="00CA4CD6">
        <w:t xml:space="preserve"> and OMB Control Number </w:t>
      </w:r>
      <w:r w:rsidR="0013641B">
        <w:t>2060-0658</w:t>
      </w:r>
      <w:r w:rsidR="00CA4CD6">
        <w:t xml:space="preserve"> in any correspondence. </w:t>
      </w: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61A6A" w:rsidRDefault="00144F35" w:rsidP="00D20D60">
      <w:pPr>
        <w:jc w:val="center"/>
        <w:rPr>
          <w:b/>
        </w:rPr>
      </w:pPr>
      <w:r w:rsidRPr="00C4183F">
        <w:rPr>
          <w:b/>
          <w:bCs/>
          <w:color w:val="000000"/>
        </w:rPr>
        <w:lastRenderedPageBreak/>
        <w:t>Table 1: Annual Respondent Burden and Cost</w:t>
      </w:r>
      <w:r>
        <w:rPr>
          <w:b/>
          <w:bCs/>
          <w:color w:val="000000"/>
        </w:rPr>
        <w:t xml:space="preserve"> – </w:t>
      </w:r>
      <w:r w:rsidR="00895E51" w:rsidRPr="008066B5">
        <w:rPr>
          <w:b/>
        </w:rPr>
        <w:t>NSPS for Sewage Sludge Incineration Units (40 CFR part 60, subpart LLLL)</w:t>
      </w:r>
    </w:p>
    <w:p w:rsidR="00144F35" w:rsidRDefault="00461A6A" w:rsidP="00F76FA9">
      <w:pPr>
        <w:rPr>
          <w:b/>
          <w:bCs/>
          <w:color w:val="000000"/>
        </w:rPr>
      </w:pPr>
      <w:r>
        <w:rPr>
          <w:b/>
        </w:rPr>
        <w:t xml:space="preserve"> </w:t>
      </w:r>
      <w:r w:rsidR="00895E51" w:rsidRPr="008066B5">
        <w:rPr>
          <w:b/>
        </w:rPr>
        <w:t xml:space="preserve"> </w:t>
      </w:r>
      <w:r>
        <w:rPr>
          <w:b/>
        </w:rPr>
        <w:t>(</w:t>
      </w:r>
      <w:r w:rsidR="00895E51" w:rsidRPr="008066B5">
        <w:rPr>
          <w:b/>
        </w:rPr>
        <w:t>Renewal</w:t>
      </w:r>
      <w:r w:rsidR="00895E51" w:rsidRPr="00236DB3">
        <w:rPr>
          <w:b/>
        </w:rPr>
        <w:t>)</w:t>
      </w:r>
      <w:r w:rsidR="00895E51">
        <w:rPr>
          <w:b/>
          <w:bCs/>
          <w:color w:val="000000"/>
        </w:rPr>
        <w:tab/>
      </w:r>
    </w:p>
    <w:tbl>
      <w:tblPr>
        <w:tblW w:w="15278" w:type="dxa"/>
        <w:jc w:val="center"/>
        <w:tblInd w:w="-88"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894"/>
        <w:gridCol w:w="1440"/>
        <w:gridCol w:w="1350"/>
        <w:gridCol w:w="1260"/>
        <w:gridCol w:w="1440"/>
        <w:gridCol w:w="1170"/>
        <w:gridCol w:w="1406"/>
        <w:gridCol w:w="1058"/>
        <w:gridCol w:w="1260"/>
      </w:tblGrid>
      <w:tr w:rsidR="0095267B" w:rsidTr="00F56362">
        <w:trPr>
          <w:tblHeader/>
          <w:jc w:val="center"/>
        </w:trPr>
        <w:tc>
          <w:tcPr>
            <w:tcW w:w="4894" w:type="dxa"/>
            <w:tcBorders>
              <w:top w:val="single" w:sz="6" w:space="0" w:color="000000"/>
              <w:bottom w:val="single" w:sz="6" w:space="0" w:color="000000"/>
              <w:right w:val="single" w:sz="6" w:space="0" w:color="000000"/>
            </w:tcBorders>
            <w:vAlign w:val="center"/>
          </w:tcPr>
          <w:p w:rsidR="00895E51" w:rsidRDefault="00895E51" w:rsidP="00895E51">
            <w:pPr>
              <w:tabs>
                <w:tab w:val="center" w:pos="1351"/>
              </w:tabs>
              <w:spacing w:after="58"/>
              <w:jc w:val="center"/>
              <w:rPr>
                <w:b/>
                <w:bCs/>
                <w:sz w:val="20"/>
                <w:szCs w:val="20"/>
              </w:rPr>
            </w:pPr>
            <w:r>
              <w:rPr>
                <w:b/>
                <w:bCs/>
                <w:sz w:val="20"/>
                <w:szCs w:val="20"/>
              </w:rPr>
              <w:t>Burden item</w:t>
            </w:r>
          </w:p>
        </w:tc>
        <w:tc>
          <w:tcPr>
            <w:tcW w:w="1440"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541"/>
              </w:tabs>
              <w:jc w:val="center"/>
              <w:rPr>
                <w:b/>
                <w:bCs/>
                <w:sz w:val="20"/>
                <w:szCs w:val="20"/>
              </w:rPr>
            </w:pPr>
            <w:r>
              <w:rPr>
                <w:b/>
                <w:bCs/>
                <w:sz w:val="20"/>
                <w:szCs w:val="20"/>
              </w:rPr>
              <w:t>(A)</w:t>
            </w:r>
          </w:p>
          <w:p w:rsidR="00895E51" w:rsidRDefault="00895E51" w:rsidP="00895E51">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541"/>
              </w:tabs>
              <w:jc w:val="center"/>
              <w:rPr>
                <w:b/>
                <w:bCs/>
                <w:sz w:val="20"/>
                <w:szCs w:val="20"/>
              </w:rPr>
            </w:pPr>
            <w:r>
              <w:rPr>
                <w:b/>
                <w:bCs/>
                <w:sz w:val="20"/>
                <w:szCs w:val="20"/>
              </w:rPr>
              <w:t>(B)</w:t>
            </w:r>
          </w:p>
          <w:p w:rsidR="00895E51" w:rsidRDefault="00895E51" w:rsidP="00895E51">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541"/>
              </w:tabs>
              <w:jc w:val="center"/>
              <w:rPr>
                <w:b/>
                <w:bCs/>
                <w:sz w:val="20"/>
                <w:szCs w:val="20"/>
              </w:rPr>
            </w:pPr>
            <w:r>
              <w:rPr>
                <w:b/>
                <w:bCs/>
                <w:sz w:val="20"/>
                <w:szCs w:val="20"/>
              </w:rPr>
              <w:t>(C)</w:t>
            </w:r>
          </w:p>
          <w:p w:rsidR="00895E51" w:rsidRDefault="00895E51" w:rsidP="00895E51">
            <w:pPr>
              <w:tabs>
                <w:tab w:val="center" w:pos="541"/>
              </w:tabs>
              <w:jc w:val="center"/>
              <w:rPr>
                <w:b/>
                <w:bCs/>
                <w:sz w:val="20"/>
                <w:szCs w:val="20"/>
              </w:rPr>
            </w:pPr>
            <w:r>
              <w:rPr>
                <w:b/>
                <w:bCs/>
                <w:sz w:val="20"/>
                <w:szCs w:val="20"/>
              </w:rPr>
              <w:t>Person hours per respondent per year</w:t>
            </w:r>
          </w:p>
          <w:p w:rsidR="00895E51" w:rsidRDefault="00895E51" w:rsidP="00895E51">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541"/>
              </w:tabs>
              <w:jc w:val="center"/>
              <w:rPr>
                <w:b/>
                <w:bCs/>
                <w:sz w:val="20"/>
                <w:szCs w:val="20"/>
              </w:rPr>
            </w:pPr>
            <w:r>
              <w:rPr>
                <w:b/>
                <w:bCs/>
                <w:sz w:val="20"/>
                <w:szCs w:val="20"/>
              </w:rPr>
              <w:t>(D)</w:t>
            </w:r>
          </w:p>
          <w:p w:rsidR="00895E51" w:rsidRDefault="00895E51" w:rsidP="00895E51">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451"/>
              </w:tabs>
              <w:jc w:val="center"/>
              <w:rPr>
                <w:b/>
                <w:bCs/>
                <w:sz w:val="20"/>
                <w:szCs w:val="20"/>
              </w:rPr>
            </w:pPr>
            <w:r>
              <w:rPr>
                <w:b/>
                <w:bCs/>
                <w:sz w:val="20"/>
                <w:szCs w:val="20"/>
              </w:rPr>
              <w:t>(E)</w:t>
            </w:r>
          </w:p>
          <w:p w:rsidR="00895E51" w:rsidRDefault="00895E51" w:rsidP="00895E51">
            <w:pPr>
              <w:tabs>
                <w:tab w:val="center" w:pos="451"/>
              </w:tabs>
              <w:jc w:val="center"/>
              <w:rPr>
                <w:b/>
                <w:bCs/>
                <w:sz w:val="20"/>
                <w:szCs w:val="20"/>
              </w:rPr>
            </w:pPr>
            <w:r>
              <w:rPr>
                <w:b/>
                <w:bCs/>
                <w:sz w:val="20"/>
                <w:szCs w:val="20"/>
              </w:rPr>
              <w:t>Technical person- hours per year</w:t>
            </w:r>
          </w:p>
          <w:p w:rsidR="00895E51" w:rsidRDefault="00895E51" w:rsidP="00895E51">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586"/>
              </w:tabs>
              <w:jc w:val="center"/>
              <w:rPr>
                <w:b/>
                <w:bCs/>
                <w:sz w:val="20"/>
                <w:szCs w:val="20"/>
              </w:rPr>
            </w:pPr>
            <w:r>
              <w:rPr>
                <w:b/>
                <w:bCs/>
                <w:sz w:val="20"/>
                <w:szCs w:val="20"/>
              </w:rPr>
              <w:t>(F)</w:t>
            </w:r>
          </w:p>
          <w:p w:rsidR="00895E51" w:rsidRDefault="00895E51" w:rsidP="00895E51">
            <w:pPr>
              <w:tabs>
                <w:tab w:val="center" w:pos="586"/>
              </w:tabs>
              <w:jc w:val="center"/>
              <w:rPr>
                <w:b/>
                <w:bCs/>
                <w:sz w:val="20"/>
                <w:szCs w:val="20"/>
              </w:rPr>
            </w:pPr>
            <w:r>
              <w:rPr>
                <w:b/>
                <w:bCs/>
                <w:sz w:val="20"/>
                <w:szCs w:val="20"/>
              </w:rPr>
              <w:t>Management person/ hours per year</w:t>
            </w:r>
          </w:p>
          <w:p w:rsidR="00895E51" w:rsidRDefault="00895E51" w:rsidP="00895E51">
            <w:pPr>
              <w:tabs>
                <w:tab w:val="center" w:pos="586"/>
              </w:tabs>
              <w:spacing w:after="58"/>
              <w:jc w:val="center"/>
              <w:rPr>
                <w:b/>
                <w:bCs/>
                <w:sz w:val="20"/>
                <w:szCs w:val="20"/>
              </w:rPr>
            </w:pPr>
            <w:r>
              <w:rPr>
                <w:b/>
                <w:bCs/>
                <w:sz w:val="20"/>
                <w:szCs w:val="20"/>
              </w:rPr>
              <w:t>(Ex0.05)</w:t>
            </w:r>
          </w:p>
        </w:tc>
        <w:tc>
          <w:tcPr>
            <w:tcW w:w="1058" w:type="dxa"/>
            <w:tcBorders>
              <w:top w:val="single" w:sz="6" w:space="0" w:color="000000"/>
              <w:left w:val="single" w:sz="6" w:space="0" w:color="000000"/>
              <w:bottom w:val="single" w:sz="6" w:space="0" w:color="000000"/>
              <w:right w:val="single" w:sz="6" w:space="0" w:color="000000"/>
            </w:tcBorders>
          </w:tcPr>
          <w:p w:rsidR="00895E51" w:rsidRDefault="00895E51" w:rsidP="00895E51">
            <w:pPr>
              <w:tabs>
                <w:tab w:val="center" w:pos="406"/>
              </w:tabs>
              <w:jc w:val="center"/>
              <w:rPr>
                <w:b/>
                <w:bCs/>
                <w:sz w:val="20"/>
                <w:szCs w:val="20"/>
              </w:rPr>
            </w:pPr>
            <w:r>
              <w:rPr>
                <w:b/>
                <w:bCs/>
                <w:sz w:val="20"/>
                <w:szCs w:val="20"/>
              </w:rPr>
              <w:t>(G)</w:t>
            </w:r>
          </w:p>
          <w:p w:rsidR="00895E51" w:rsidRDefault="00895E51" w:rsidP="00895E51">
            <w:pPr>
              <w:tabs>
                <w:tab w:val="center" w:pos="406"/>
              </w:tabs>
              <w:jc w:val="center"/>
              <w:rPr>
                <w:b/>
                <w:bCs/>
                <w:sz w:val="20"/>
                <w:szCs w:val="20"/>
              </w:rPr>
            </w:pPr>
            <w:r>
              <w:rPr>
                <w:b/>
                <w:bCs/>
                <w:sz w:val="20"/>
                <w:szCs w:val="20"/>
              </w:rPr>
              <w:t>Clerical person hours per year</w:t>
            </w:r>
          </w:p>
          <w:p w:rsidR="00895E51" w:rsidRDefault="00895E51" w:rsidP="00895E51">
            <w:pPr>
              <w:tabs>
                <w:tab w:val="center" w:pos="406"/>
              </w:tabs>
              <w:spacing w:after="58"/>
              <w:jc w:val="center"/>
              <w:rPr>
                <w:b/>
                <w:bCs/>
                <w:sz w:val="20"/>
                <w:szCs w:val="20"/>
              </w:rPr>
            </w:pPr>
            <w:r>
              <w:rPr>
                <w:b/>
                <w:bCs/>
                <w:sz w:val="20"/>
                <w:szCs w:val="20"/>
              </w:rPr>
              <w:t>(Ex0.1)</w:t>
            </w:r>
          </w:p>
        </w:tc>
        <w:tc>
          <w:tcPr>
            <w:tcW w:w="1260" w:type="dxa"/>
            <w:tcBorders>
              <w:top w:val="single" w:sz="6" w:space="0" w:color="000000"/>
              <w:left w:val="single" w:sz="6" w:space="0" w:color="000000"/>
              <w:bottom w:val="single" w:sz="6" w:space="0" w:color="000000"/>
            </w:tcBorders>
          </w:tcPr>
          <w:p w:rsidR="00895E51" w:rsidRDefault="00895E51" w:rsidP="00895E51">
            <w:pPr>
              <w:tabs>
                <w:tab w:val="center" w:pos="631"/>
              </w:tabs>
              <w:jc w:val="center"/>
              <w:rPr>
                <w:b/>
                <w:bCs/>
                <w:sz w:val="20"/>
                <w:szCs w:val="20"/>
              </w:rPr>
            </w:pPr>
            <w:r>
              <w:rPr>
                <w:b/>
                <w:bCs/>
                <w:sz w:val="20"/>
                <w:szCs w:val="20"/>
              </w:rPr>
              <w:t>(H)</w:t>
            </w:r>
          </w:p>
          <w:p w:rsidR="00895E51" w:rsidRDefault="00895E51" w:rsidP="00895E51">
            <w:pPr>
              <w:tabs>
                <w:tab w:val="center" w:pos="631"/>
              </w:tabs>
              <w:spacing w:after="58"/>
              <w:jc w:val="center"/>
              <w:rPr>
                <w:b/>
                <w:bCs/>
                <w:sz w:val="20"/>
                <w:szCs w:val="20"/>
              </w:rPr>
            </w:pPr>
            <w:r>
              <w:rPr>
                <w:b/>
                <w:bCs/>
                <w:sz w:val="20"/>
                <w:szCs w:val="20"/>
              </w:rPr>
              <w:t xml:space="preserve">Total Cost </w:t>
            </w:r>
          </w:p>
          <w:p w:rsidR="00895E51" w:rsidRDefault="00895E51" w:rsidP="00895E51">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895E51" w:rsidRDefault="00895E51" w:rsidP="00895E51">
            <w:pPr>
              <w:tabs>
                <w:tab w:val="center" w:pos="631"/>
              </w:tabs>
              <w:spacing w:after="58"/>
              <w:rPr>
                <w:b/>
                <w:bCs/>
                <w:sz w:val="20"/>
                <w:szCs w:val="20"/>
              </w:rPr>
            </w:pPr>
          </w:p>
        </w:tc>
      </w:tr>
      <w:tr w:rsidR="0095267B" w:rsidTr="00F76FA9">
        <w:trPr>
          <w:trHeight w:val="165"/>
          <w:jc w:val="center"/>
        </w:trPr>
        <w:tc>
          <w:tcPr>
            <w:tcW w:w="4894" w:type="dxa"/>
            <w:tcBorders>
              <w:top w:val="nil"/>
              <w:bottom w:val="single" w:sz="6" w:space="0" w:color="000000"/>
              <w:right w:val="single" w:sz="6" w:space="0" w:color="000000"/>
            </w:tcBorders>
          </w:tcPr>
          <w:p w:rsidR="00895E51" w:rsidRDefault="00895E51" w:rsidP="00895E51">
            <w:pPr>
              <w:rPr>
                <w:sz w:val="20"/>
              </w:rPr>
            </w:pPr>
            <w:r>
              <w:rPr>
                <w:sz w:val="20"/>
              </w:rPr>
              <w:t>1.  Applications</w:t>
            </w:r>
          </w:p>
        </w:tc>
        <w:tc>
          <w:tcPr>
            <w:tcW w:w="1440" w:type="dxa"/>
            <w:tcBorders>
              <w:top w:val="nil"/>
              <w:left w:val="single" w:sz="6" w:space="0" w:color="000000"/>
              <w:bottom w:val="single" w:sz="4" w:space="0" w:color="auto"/>
              <w:right w:val="single" w:sz="6" w:space="0" w:color="000000"/>
            </w:tcBorders>
          </w:tcPr>
          <w:p w:rsidR="00895E51" w:rsidRPr="00895E51" w:rsidRDefault="00895E51" w:rsidP="00895E51">
            <w:pPr>
              <w:jc w:val="center"/>
              <w:rPr>
                <w:sz w:val="20"/>
              </w:rPr>
            </w:pPr>
            <w:r w:rsidRPr="00895E51">
              <w:rPr>
                <w:sz w:val="20"/>
              </w:rPr>
              <w:t>N/A</w:t>
            </w:r>
          </w:p>
        </w:tc>
        <w:tc>
          <w:tcPr>
            <w:tcW w:w="1350" w:type="dxa"/>
            <w:tcBorders>
              <w:top w:val="nil"/>
              <w:left w:val="single" w:sz="6" w:space="0" w:color="000000"/>
              <w:bottom w:val="single" w:sz="6" w:space="0" w:color="000000"/>
              <w:right w:val="single" w:sz="6" w:space="0" w:color="000000"/>
            </w:tcBorders>
          </w:tcPr>
          <w:p w:rsidR="00895E51" w:rsidRPr="00020003" w:rsidRDefault="00895E51" w:rsidP="00895E51">
            <w:pPr>
              <w:jc w:val="center"/>
              <w:rPr>
                <w:sz w:val="20"/>
              </w:rPr>
            </w:pPr>
          </w:p>
        </w:tc>
        <w:tc>
          <w:tcPr>
            <w:tcW w:w="126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44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17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406"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058"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260" w:type="dxa"/>
            <w:tcBorders>
              <w:top w:val="nil"/>
              <w:left w:val="single" w:sz="6" w:space="0" w:color="000000"/>
              <w:bottom w:val="single" w:sz="6" w:space="0" w:color="000000"/>
            </w:tcBorders>
          </w:tcPr>
          <w:p w:rsidR="00895E51" w:rsidRPr="00895E51" w:rsidRDefault="00895E51" w:rsidP="00895E51">
            <w:pPr>
              <w:ind w:right="100"/>
              <w:jc w:val="right"/>
              <w:rPr>
                <w:color w:val="FF0000"/>
                <w:sz w:val="20"/>
              </w:rPr>
            </w:pPr>
          </w:p>
        </w:tc>
      </w:tr>
      <w:tr w:rsidR="0095267B" w:rsidTr="00F76FA9">
        <w:trPr>
          <w:trHeight w:val="183"/>
          <w:jc w:val="center"/>
        </w:trPr>
        <w:tc>
          <w:tcPr>
            <w:tcW w:w="4894" w:type="dxa"/>
            <w:tcBorders>
              <w:top w:val="nil"/>
              <w:bottom w:val="single" w:sz="6" w:space="0" w:color="000000"/>
              <w:right w:val="single" w:sz="6" w:space="0" w:color="000000"/>
            </w:tcBorders>
          </w:tcPr>
          <w:p w:rsidR="00895E51" w:rsidRDefault="00895E51" w:rsidP="00895E51">
            <w:pPr>
              <w:rPr>
                <w:sz w:val="20"/>
              </w:rPr>
            </w:pPr>
            <w:r>
              <w:rPr>
                <w:sz w:val="20"/>
              </w:rPr>
              <w:t>2.  Surveys and studies</w:t>
            </w:r>
          </w:p>
        </w:tc>
        <w:tc>
          <w:tcPr>
            <w:tcW w:w="1440" w:type="dxa"/>
            <w:tcBorders>
              <w:top w:val="nil"/>
              <w:left w:val="single" w:sz="6" w:space="0" w:color="000000"/>
              <w:bottom w:val="single" w:sz="4" w:space="0" w:color="auto"/>
              <w:right w:val="single" w:sz="6" w:space="0" w:color="000000"/>
            </w:tcBorders>
          </w:tcPr>
          <w:p w:rsidR="00895E51" w:rsidRPr="00CD01CC" w:rsidRDefault="00895E51" w:rsidP="00895E51">
            <w:pPr>
              <w:jc w:val="center"/>
              <w:rPr>
                <w:sz w:val="20"/>
              </w:rPr>
            </w:pPr>
            <w:r w:rsidRPr="00CD01CC">
              <w:rPr>
                <w:sz w:val="20"/>
              </w:rPr>
              <w:t>N/A</w:t>
            </w:r>
          </w:p>
        </w:tc>
        <w:tc>
          <w:tcPr>
            <w:tcW w:w="1350" w:type="dxa"/>
            <w:tcBorders>
              <w:top w:val="nil"/>
              <w:left w:val="single" w:sz="6" w:space="0" w:color="000000"/>
              <w:bottom w:val="single" w:sz="6" w:space="0" w:color="000000"/>
              <w:right w:val="single" w:sz="6" w:space="0" w:color="000000"/>
            </w:tcBorders>
          </w:tcPr>
          <w:p w:rsidR="00895E51" w:rsidRPr="00020003" w:rsidRDefault="00895E51" w:rsidP="00895E51">
            <w:pPr>
              <w:jc w:val="center"/>
              <w:rPr>
                <w:sz w:val="20"/>
              </w:rPr>
            </w:pPr>
          </w:p>
        </w:tc>
        <w:tc>
          <w:tcPr>
            <w:tcW w:w="126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44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17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406"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058"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260" w:type="dxa"/>
            <w:tcBorders>
              <w:top w:val="nil"/>
              <w:left w:val="single" w:sz="6" w:space="0" w:color="000000"/>
              <w:bottom w:val="single" w:sz="6" w:space="0" w:color="000000"/>
            </w:tcBorders>
          </w:tcPr>
          <w:p w:rsidR="00895E51" w:rsidRPr="00895E51" w:rsidRDefault="00895E51" w:rsidP="00895E51">
            <w:pPr>
              <w:ind w:right="100"/>
              <w:jc w:val="right"/>
              <w:rPr>
                <w:color w:val="FF0000"/>
                <w:sz w:val="20"/>
              </w:rPr>
            </w:pPr>
          </w:p>
        </w:tc>
      </w:tr>
      <w:tr w:rsidR="0095267B" w:rsidTr="00F56362">
        <w:trPr>
          <w:jc w:val="center"/>
        </w:trPr>
        <w:tc>
          <w:tcPr>
            <w:tcW w:w="4894" w:type="dxa"/>
            <w:tcBorders>
              <w:top w:val="nil"/>
              <w:bottom w:val="single" w:sz="6" w:space="0" w:color="000000"/>
              <w:right w:val="single" w:sz="6" w:space="0" w:color="000000"/>
            </w:tcBorders>
          </w:tcPr>
          <w:p w:rsidR="00895E51" w:rsidRDefault="00895E51" w:rsidP="00895E51">
            <w:pPr>
              <w:rPr>
                <w:sz w:val="20"/>
              </w:rPr>
            </w:pPr>
            <w:r>
              <w:rPr>
                <w:sz w:val="20"/>
              </w:rPr>
              <w:t>3.  Reporting requirements</w:t>
            </w:r>
          </w:p>
        </w:tc>
        <w:tc>
          <w:tcPr>
            <w:tcW w:w="1440" w:type="dxa"/>
            <w:tcBorders>
              <w:top w:val="nil"/>
              <w:left w:val="single" w:sz="6" w:space="0" w:color="000000"/>
              <w:bottom w:val="single" w:sz="4" w:space="0" w:color="auto"/>
              <w:right w:val="single" w:sz="6" w:space="0" w:color="000000"/>
            </w:tcBorders>
          </w:tcPr>
          <w:p w:rsidR="00895E51" w:rsidRPr="00CD01CC" w:rsidRDefault="00895E51" w:rsidP="00895E51">
            <w:pPr>
              <w:jc w:val="center"/>
              <w:rPr>
                <w:sz w:val="20"/>
              </w:rPr>
            </w:pPr>
          </w:p>
        </w:tc>
        <w:tc>
          <w:tcPr>
            <w:tcW w:w="1350" w:type="dxa"/>
            <w:tcBorders>
              <w:top w:val="nil"/>
              <w:left w:val="single" w:sz="6" w:space="0" w:color="000000"/>
              <w:bottom w:val="single" w:sz="6" w:space="0" w:color="000000"/>
              <w:right w:val="single" w:sz="6" w:space="0" w:color="000000"/>
            </w:tcBorders>
          </w:tcPr>
          <w:p w:rsidR="00895E51" w:rsidRPr="00020003" w:rsidRDefault="00895E51" w:rsidP="00895E51">
            <w:pPr>
              <w:jc w:val="center"/>
              <w:rPr>
                <w:sz w:val="20"/>
              </w:rPr>
            </w:pPr>
          </w:p>
        </w:tc>
        <w:tc>
          <w:tcPr>
            <w:tcW w:w="126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44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170"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406"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058" w:type="dxa"/>
            <w:tcBorders>
              <w:top w:val="nil"/>
              <w:left w:val="single" w:sz="6" w:space="0" w:color="000000"/>
              <w:bottom w:val="single" w:sz="6" w:space="0" w:color="000000"/>
              <w:right w:val="single" w:sz="6" w:space="0" w:color="000000"/>
            </w:tcBorders>
          </w:tcPr>
          <w:p w:rsidR="00895E51" w:rsidRPr="00895E51" w:rsidRDefault="00895E51" w:rsidP="00895E51">
            <w:pPr>
              <w:jc w:val="center"/>
              <w:rPr>
                <w:color w:val="FF0000"/>
                <w:sz w:val="20"/>
              </w:rPr>
            </w:pPr>
          </w:p>
        </w:tc>
        <w:tc>
          <w:tcPr>
            <w:tcW w:w="1260" w:type="dxa"/>
            <w:tcBorders>
              <w:top w:val="nil"/>
              <w:left w:val="single" w:sz="6" w:space="0" w:color="000000"/>
              <w:bottom w:val="single" w:sz="6" w:space="0" w:color="000000"/>
            </w:tcBorders>
          </w:tcPr>
          <w:p w:rsidR="00895E51" w:rsidRPr="00895E51" w:rsidRDefault="00895E51" w:rsidP="00895E51">
            <w:pPr>
              <w:ind w:right="100"/>
              <w:jc w:val="right"/>
              <w:rPr>
                <w:color w:val="FF0000"/>
                <w:sz w:val="20"/>
              </w:rPr>
            </w:pP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rPr>
                <w:sz w:val="20"/>
              </w:rPr>
            </w:pPr>
            <w:r>
              <w:rPr>
                <w:sz w:val="20"/>
              </w:rPr>
              <w:t xml:space="preserve">    A.  Read instructions </w:t>
            </w:r>
            <w:r w:rsidR="00F243E1">
              <w:rPr>
                <w:sz w:val="20"/>
                <w:vertAlign w:val="superscript"/>
              </w:rPr>
              <w:t>c</w:t>
            </w:r>
            <w:r>
              <w:rPr>
                <w:sz w:val="20"/>
                <w:vertAlign w:val="superscript"/>
              </w:rPr>
              <w:t xml:space="preserve">, </w:t>
            </w:r>
            <w:r w:rsidR="00F243E1">
              <w:rPr>
                <w:sz w:val="20"/>
                <w:vertAlign w:val="superscript"/>
              </w:rPr>
              <w:t>d</w:t>
            </w:r>
            <w:r>
              <w:rPr>
                <w:sz w:val="20"/>
                <w:vertAlign w:val="superscript"/>
              </w:rPr>
              <w:t xml:space="preserve">, </w:t>
            </w:r>
            <w:r w:rsidR="00F243E1">
              <w:rPr>
                <w:sz w:val="20"/>
                <w:vertAlign w:val="superscript"/>
              </w:rPr>
              <w:t>h</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$4,499.59</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895E51">
            <w:pPr>
              <w:rPr>
                <w:sz w:val="20"/>
              </w:rPr>
            </w:pPr>
            <w:r>
              <w:rPr>
                <w:sz w:val="20"/>
              </w:rPr>
              <w:t xml:space="preserve">    B.  Required activities</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proofErr w:type="spellStart"/>
            <w:r>
              <w:rPr>
                <w:sz w:val="20"/>
              </w:rPr>
              <w:t>i</w:t>
            </w:r>
            <w:proofErr w:type="spellEnd"/>
            <w:r>
              <w:rPr>
                <w:sz w:val="20"/>
              </w:rPr>
              <w:t xml:space="preserve">. Initial stack test and report </w:t>
            </w:r>
            <w:r w:rsidR="00F243E1">
              <w:rPr>
                <w:sz w:val="20"/>
                <w:vertAlign w:val="superscript"/>
              </w:rPr>
              <w:t>c</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$4,499.59</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r>
              <w:rPr>
                <w:sz w:val="20"/>
              </w:rPr>
              <w:t xml:space="preserve">ii. Annual stack test and report </w:t>
            </w:r>
            <w:r w:rsidR="00F243E1">
              <w:rPr>
                <w:sz w:val="20"/>
                <w:vertAlign w:val="superscript"/>
              </w:rPr>
              <w:t>e</w:t>
            </w:r>
            <w:r>
              <w:rPr>
                <w:sz w:val="20"/>
                <w:vertAlign w:val="superscript"/>
              </w:rPr>
              <w:t xml:space="preserve">, </w:t>
            </w:r>
            <w:r w:rsidR="00F243E1">
              <w:rPr>
                <w:sz w:val="20"/>
                <w:vertAlign w:val="superscript"/>
              </w:rPr>
              <w:t>h</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260" w:type="dxa"/>
            <w:tcBorders>
              <w:top w:val="nil"/>
              <w:left w:val="single" w:sz="6" w:space="0" w:color="000000"/>
              <w:bottom w:val="single" w:sz="6" w:space="0" w:color="000000"/>
            </w:tcBorders>
            <w:vAlign w:val="bottom"/>
          </w:tcPr>
          <w:p w:rsidR="005D28A1" w:rsidRPr="005D28A1" w:rsidRDefault="00DB78EC" w:rsidP="00461A6A">
            <w:pPr>
              <w:jc w:val="right"/>
              <w:rPr>
                <w:color w:val="000000"/>
                <w:sz w:val="20"/>
                <w:szCs w:val="20"/>
              </w:rPr>
            </w:pPr>
            <w:r>
              <w:rPr>
                <w:color w:val="000000"/>
                <w:sz w:val="20"/>
                <w:szCs w:val="20"/>
              </w:rPr>
              <w:t>$0</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9F5862">
            <w:pPr>
              <w:ind w:left="630"/>
              <w:rPr>
                <w:sz w:val="20"/>
              </w:rPr>
            </w:pPr>
            <w:r>
              <w:rPr>
                <w:sz w:val="20"/>
              </w:rPr>
              <w:t xml:space="preserve">iii. </w:t>
            </w:r>
            <w:r w:rsidRPr="00895E51">
              <w:rPr>
                <w:sz w:val="20"/>
              </w:rPr>
              <w:t xml:space="preserve">Operator  training and qualification </w:t>
            </w:r>
            <w:r>
              <w:rPr>
                <w:sz w:val="20"/>
              </w:rPr>
              <w:t xml:space="preserve">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p>
        </w:tc>
      </w:tr>
      <w:tr w:rsidR="0095267B" w:rsidTr="00F56362">
        <w:trPr>
          <w:jc w:val="center"/>
        </w:trPr>
        <w:tc>
          <w:tcPr>
            <w:tcW w:w="4894" w:type="dxa"/>
            <w:tcBorders>
              <w:top w:val="nil"/>
              <w:bottom w:val="single" w:sz="6" w:space="0" w:color="000000"/>
              <w:right w:val="single" w:sz="6" w:space="0" w:color="000000"/>
            </w:tcBorders>
          </w:tcPr>
          <w:p w:rsidR="005D28A1" w:rsidRPr="00895E51" w:rsidRDefault="005D28A1" w:rsidP="00895E51">
            <w:pPr>
              <w:ind w:left="900"/>
              <w:rPr>
                <w:sz w:val="20"/>
              </w:rPr>
            </w:pPr>
            <w:r w:rsidRPr="00895E51">
              <w:rPr>
                <w:sz w:val="20"/>
              </w:rPr>
              <w:t>a.</w:t>
            </w:r>
            <w:r>
              <w:rPr>
                <w:sz w:val="20"/>
              </w:rPr>
              <w:t xml:space="preserve"> </w:t>
            </w:r>
            <w:r w:rsidRPr="00895E51">
              <w:rPr>
                <w:sz w:val="20"/>
              </w:rPr>
              <w:t xml:space="preserve">Establish and teach operator qualification course </w:t>
            </w:r>
            <w:r w:rsidR="00F243E1">
              <w:rPr>
                <w:sz w:val="20"/>
                <w:vertAlign w:val="superscript"/>
              </w:rPr>
              <w:t>c, d</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64</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64</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64</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3.2</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6.4</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$7,199.34</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900"/>
              <w:rPr>
                <w:sz w:val="20"/>
              </w:rPr>
            </w:pPr>
            <w:r>
              <w:rPr>
                <w:sz w:val="20"/>
              </w:rPr>
              <w:t xml:space="preserve">b. </w:t>
            </w:r>
            <w:r w:rsidRPr="00895E51">
              <w:rPr>
                <w:sz w:val="20"/>
              </w:rPr>
              <w:t xml:space="preserve">Obtain operator qualification </w:t>
            </w:r>
            <w:r w:rsidR="00F243E1">
              <w:rPr>
                <w:sz w:val="20"/>
                <w:vertAlign w:val="superscript"/>
              </w:rPr>
              <w:t>c, d</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72</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72</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72</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3.6</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7.2</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$8,099.25</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895E51">
            <w:pPr>
              <w:ind w:left="900"/>
              <w:rPr>
                <w:sz w:val="20"/>
              </w:rPr>
            </w:pPr>
            <w:r>
              <w:rPr>
                <w:sz w:val="20"/>
              </w:rPr>
              <w:t>c. Annual refresher course</w:t>
            </w:r>
            <w:r w:rsidRPr="00895E51">
              <w:rPr>
                <w:sz w:val="20"/>
              </w:rPr>
              <w:t xml:space="preserve">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12</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12</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0.6</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1.2</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$1,349.88</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95267B">
            <w:pPr>
              <w:ind w:left="900"/>
              <w:rPr>
                <w:sz w:val="20"/>
              </w:rPr>
            </w:pPr>
            <w:r>
              <w:rPr>
                <w:sz w:val="20"/>
              </w:rPr>
              <w:t xml:space="preserve">d. </w:t>
            </w:r>
            <w:r w:rsidRPr="00895E51">
              <w:rPr>
                <w:sz w:val="20"/>
              </w:rPr>
              <w:t>Initial review of site-specific information</w:t>
            </w:r>
            <w:r>
              <w:rPr>
                <w:sz w:val="20"/>
              </w:rPr>
              <w:t xml:space="preserve">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95267B" w:rsidP="0095267B">
            <w:pPr>
              <w:jc w:val="center"/>
              <w:rPr>
                <w:color w:val="000000"/>
                <w:sz w:val="20"/>
                <w:szCs w:val="20"/>
              </w:rPr>
            </w:pPr>
            <w:r>
              <w:rPr>
                <w:color w:val="000000"/>
                <w:sz w:val="20"/>
                <w:szCs w:val="20"/>
              </w:rPr>
              <w:t>See</w:t>
            </w:r>
            <w:r w:rsidR="005D28A1">
              <w:rPr>
                <w:color w:val="000000"/>
                <w:sz w:val="20"/>
                <w:szCs w:val="20"/>
              </w:rPr>
              <w:t xml:space="preserve"> </w:t>
            </w:r>
            <w:r>
              <w:rPr>
                <w:color w:val="000000"/>
                <w:sz w:val="20"/>
                <w:szCs w:val="20"/>
              </w:rPr>
              <w:t>3B (</w:t>
            </w:r>
            <w:proofErr w:type="spellStart"/>
            <w:r w:rsidR="005D28A1">
              <w:rPr>
                <w:color w:val="000000"/>
                <w:sz w:val="20"/>
                <w:szCs w:val="20"/>
              </w:rPr>
              <w:t>iii.a</w:t>
            </w:r>
            <w:proofErr w:type="spellEnd"/>
            <w:r w:rsidR="005D28A1">
              <w:rPr>
                <w:color w:val="000000"/>
                <w:sz w:val="20"/>
                <w:szCs w:val="20"/>
              </w:rPr>
              <w:t>.</w:t>
            </w:r>
            <w:r>
              <w:rPr>
                <w:color w:val="000000"/>
                <w:sz w:val="20"/>
                <w:szCs w:val="20"/>
              </w:rPr>
              <w:t>)</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95267B">
            <w:pPr>
              <w:ind w:left="900"/>
              <w:rPr>
                <w:sz w:val="20"/>
              </w:rPr>
            </w:pPr>
            <w:r>
              <w:rPr>
                <w:sz w:val="20"/>
              </w:rPr>
              <w:t xml:space="preserve">e. Annual </w:t>
            </w:r>
            <w:r w:rsidRPr="00895E51">
              <w:rPr>
                <w:sz w:val="20"/>
              </w:rPr>
              <w:t>review of site-specific information</w:t>
            </w:r>
            <w:r w:rsidR="00F56362">
              <w:rPr>
                <w:sz w:val="20"/>
              </w:rPr>
              <w:t xml:space="preserve"> </w:t>
            </w:r>
            <w:r w:rsidR="0095267B" w:rsidRPr="0095267B">
              <w:rPr>
                <w:sz w:val="20"/>
                <w:vertAlign w:val="superscript"/>
              </w:rPr>
              <w:t>e</w:t>
            </w:r>
            <w:r>
              <w:rPr>
                <w:sz w:val="20"/>
              </w:rPr>
              <w:t xml:space="preserve">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0.8</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$1,799.83</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r>
              <w:rPr>
                <w:sz w:val="20"/>
              </w:rPr>
              <w:t>iv. Establish operating parameters</w:t>
            </w:r>
            <w:r w:rsidRPr="00895E51">
              <w:rPr>
                <w:sz w:val="20"/>
              </w:rPr>
              <w:t xml:space="preserve"> </w:t>
            </w:r>
            <w:r w:rsidR="00F243E1">
              <w:rPr>
                <w:sz w:val="20"/>
                <w:vertAlign w:val="superscript"/>
              </w:rPr>
              <w:t>c</w:t>
            </w:r>
            <w:r w:rsidR="00F76FA9">
              <w:rPr>
                <w:sz w:val="20"/>
                <w:vertAlign w:val="superscript"/>
              </w:rPr>
              <w:t xml:space="preserve">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$4,499.59</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895E51">
            <w:pPr>
              <w:ind w:left="630"/>
              <w:rPr>
                <w:sz w:val="20"/>
              </w:rPr>
            </w:pPr>
            <w:r>
              <w:rPr>
                <w:sz w:val="20"/>
              </w:rPr>
              <w:t xml:space="preserve">v. </w:t>
            </w:r>
            <w:r w:rsidRPr="00895E51">
              <w:rPr>
                <w:sz w:val="20"/>
              </w:rPr>
              <w:t xml:space="preserve">Continuous parameter monitoring (including </w:t>
            </w:r>
            <w:r w:rsidR="00F76FA9">
              <w:rPr>
                <w:sz w:val="20"/>
              </w:rPr>
              <w:t xml:space="preserve">   </w:t>
            </w:r>
            <w:r w:rsidRPr="00895E51">
              <w:rPr>
                <w:sz w:val="20"/>
              </w:rPr>
              <w:t>CEMS)</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11</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11</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22</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1.1</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2.2</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$2,474.77</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895E51">
            <w:pPr>
              <w:rPr>
                <w:sz w:val="20"/>
              </w:rPr>
            </w:pPr>
            <w:r>
              <w:rPr>
                <w:sz w:val="20"/>
              </w:rPr>
              <w:t xml:space="preserve">   C.   Create information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95267B" w:rsidP="005D28A1">
            <w:pPr>
              <w:jc w:val="center"/>
              <w:rPr>
                <w:color w:val="000000"/>
                <w:sz w:val="20"/>
                <w:szCs w:val="20"/>
              </w:rPr>
            </w:pPr>
            <w:r>
              <w:rPr>
                <w:color w:val="000000"/>
                <w:sz w:val="20"/>
                <w:szCs w:val="20"/>
              </w:rPr>
              <w:t>S</w:t>
            </w:r>
            <w:r w:rsidR="005D28A1" w:rsidRPr="005D28A1">
              <w:rPr>
                <w:color w:val="000000"/>
                <w:sz w:val="20"/>
                <w:szCs w:val="20"/>
              </w:rPr>
              <w:t>ee 3B</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895E51">
            <w:pPr>
              <w:rPr>
                <w:sz w:val="20"/>
              </w:rPr>
            </w:pPr>
            <w:r>
              <w:rPr>
                <w:sz w:val="20"/>
              </w:rPr>
              <w:t xml:space="preserve">   D.   Gather existing information</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95267B" w:rsidP="005D28A1">
            <w:pPr>
              <w:jc w:val="center"/>
              <w:rPr>
                <w:color w:val="000000"/>
                <w:sz w:val="20"/>
                <w:szCs w:val="20"/>
              </w:rPr>
            </w:pPr>
            <w:r>
              <w:rPr>
                <w:color w:val="000000"/>
                <w:sz w:val="20"/>
                <w:szCs w:val="20"/>
              </w:rPr>
              <w:t>Se</w:t>
            </w:r>
            <w:r w:rsidR="005D28A1" w:rsidRPr="005D28A1">
              <w:rPr>
                <w:color w:val="000000"/>
                <w:sz w:val="20"/>
                <w:szCs w:val="20"/>
              </w:rPr>
              <w:t>e 3E</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895E51">
            <w:pPr>
              <w:rPr>
                <w:sz w:val="20"/>
              </w:rPr>
            </w:pPr>
            <w:r>
              <w:rPr>
                <w:sz w:val="20"/>
              </w:rPr>
              <w:t xml:space="preserve">   E.  Write report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p>
        </w:tc>
      </w:tr>
      <w:tr w:rsidR="0095267B" w:rsidTr="00F56362">
        <w:trPr>
          <w:jc w:val="center"/>
        </w:trPr>
        <w:tc>
          <w:tcPr>
            <w:tcW w:w="4894" w:type="dxa"/>
            <w:tcBorders>
              <w:top w:val="nil"/>
              <w:bottom w:val="single" w:sz="6" w:space="0" w:color="000000"/>
              <w:right w:val="single" w:sz="6" w:space="0" w:color="000000"/>
            </w:tcBorders>
          </w:tcPr>
          <w:p w:rsidR="005D28A1" w:rsidRPr="00A15E4A" w:rsidRDefault="005D28A1" w:rsidP="00F243E1">
            <w:pPr>
              <w:ind w:left="630"/>
              <w:rPr>
                <w:sz w:val="20"/>
              </w:rPr>
            </w:pPr>
            <w:proofErr w:type="spellStart"/>
            <w:r w:rsidRPr="00A15E4A">
              <w:rPr>
                <w:sz w:val="20"/>
              </w:rPr>
              <w:t>i</w:t>
            </w:r>
            <w:proofErr w:type="spellEnd"/>
            <w:r w:rsidRPr="00A15E4A">
              <w:rPr>
                <w:sz w:val="20"/>
              </w:rPr>
              <w:t>.</w:t>
            </w:r>
            <w:r>
              <w:rPr>
                <w:sz w:val="20"/>
              </w:rPr>
              <w:t xml:space="preserve"> </w:t>
            </w:r>
            <w:r w:rsidRPr="00A15E4A">
              <w:rPr>
                <w:sz w:val="20"/>
              </w:rPr>
              <w:t>Notification of construction/reconstruction</w:t>
            </w:r>
            <w:r>
              <w:rPr>
                <w:sz w:val="20"/>
              </w:rPr>
              <w:t xml:space="preserve"> and siting analysis</w:t>
            </w:r>
            <w:r w:rsidRPr="00A15E4A">
              <w:rPr>
                <w:sz w:val="20"/>
              </w:rPr>
              <w:t xml:space="preserve"> </w:t>
            </w:r>
            <w:r w:rsidR="00F243E1">
              <w:rPr>
                <w:sz w:val="20"/>
                <w:vertAlign w:val="superscript"/>
              </w:rPr>
              <w:t>c</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$17,998.34</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A15E4A">
            <w:pPr>
              <w:ind w:left="630"/>
              <w:rPr>
                <w:sz w:val="20"/>
              </w:rPr>
            </w:pPr>
            <w:r>
              <w:rPr>
                <w:sz w:val="20"/>
              </w:rPr>
              <w:t>ii. Notification of actual startup and monitoring plan</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$4,499.59</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r>
              <w:rPr>
                <w:sz w:val="20"/>
              </w:rPr>
              <w:t xml:space="preserve">iii. Notification of initial performance test </w:t>
            </w:r>
            <w:r w:rsidR="00F243E1">
              <w:rPr>
                <w:sz w:val="20"/>
                <w:vertAlign w:val="superscript"/>
              </w:rPr>
              <w:t>c</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0.1</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0.2</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$224.98</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A15E4A">
            <w:pPr>
              <w:ind w:left="630"/>
              <w:rPr>
                <w:sz w:val="20"/>
              </w:rPr>
            </w:pPr>
            <w:r>
              <w:rPr>
                <w:sz w:val="20"/>
              </w:rPr>
              <w:t xml:space="preserve">iv. Notification of demonstration of CMS </w:t>
            </w:r>
            <w:r>
              <w:rPr>
                <w:sz w:val="20"/>
                <w:vertAlign w:val="superscript"/>
              </w:rPr>
              <w:t>b</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sz w:val="20"/>
                <w:szCs w:val="20"/>
              </w:rPr>
            </w:pPr>
            <w:r w:rsidRPr="005D28A1">
              <w:rPr>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sz w:val="20"/>
                <w:szCs w:val="20"/>
              </w:rPr>
            </w:pPr>
            <w:r w:rsidRPr="005D28A1">
              <w:rPr>
                <w:sz w:val="20"/>
                <w:szCs w:val="20"/>
              </w:rPr>
              <w:t>2</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sz w:val="20"/>
                <w:szCs w:val="20"/>
              </w:rPr>
            </w:pPr>
            <w:r w:rsidRPr="005D28A1">
              <w:rPr>
                <w:sz w:val="20"/>
                <w:szCs w:val="20"/>
              </w:rPr>
              <w:t>0.1</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sz w:val="20"/>
                <w:szCs w:val="20"/>
              </w:rPr>
            </w:pPr>
            <w:r w:rsidRPr="005D28A1">
              <w:rPr>
                <w:sz w:val="20"/>
                <w:szCs w:val="20"/>
              </w:rPr>
              <w:t>0.2</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sz w:val="20"/>
                <w:szCs w:val="20"/>
              </w:rPr>
            </w:pPr>
            <w:r w:rsidRPr="005D28A1">
              <w:rPr>
                <w:sz w:val="20"/>
                <w:szCs w:val="20"/>
              </w:rPr>
              <w:t>$224.98</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A15E4A">
            <w:pPr>
              <w:ind w:left="630"/>
              <w:rPr>
                <w:sz w:val="20"/>
              </w:rPr>
            </w:pPr>
            <w:r>
              <w:rPr>
                <w:sz w:val="20"/>
              </w:rPr>
              <w:t xml:space="preserve">v. Initial compliance report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$4,499.59</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A15E4A">
            <w:pPr>
              <w:ind w:left="630"/>
              <w:rPr>
                <w:sz w:val="20"/>
              </w:rPr>
            </w:pPr>
            <w:r>
              <w:rPr>
                <w:sz w:val="20"/>
              </w:rPr>
              <w:t xml:space="preserve">vi. Annual compliance report </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40</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w:t>
            </w:r>
          </w:p>
        </w:tc>
        <w:tc>
          <w:tcPr>
            <w:tcW w:w="1260" w:type="dxa"/>
            <w:tcBorders>
              <w:top w:val="nil"/>
              <w:left w:val="single" w:sz="6" w:space="0" w:color="000000"/>
              <w:bottom w:val="single" w:sz="6" w:space="0" w:color="000000"/>
            </w:tcBorders>
            <w:vAlign w:val="bottom"/>
          </w:tcPr>
          <w:p w:rsidR="005D28A1" w:rsidRPr="005D28A1" w:rsidRDefault="00DB78EC" w:rsidP="00461A6A">
            <w:pPr>
              <w:jc w:val="right"/>
              <w:rPr>
                <w:color w:val="000000"/>
                <w:sz w:val="20"/>
                <w:szCs w:val="20"/>
              </w:rPr>
            </w:pPr>
            <w:r>
              <w:rPr>
                <w:color w:val="000000"/>
                <w:sz w:val="20"/>
                <w:szCs w:val="20"/>
              </w:rPr>
              <w:t>$0</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r>
              <w:rPr>
                <w:sz w:val="20"/>
              </w:rPr>
              <w:lastRenderedPageBreak/>
              <w:t xml:space="preserve">vii. </w:t>
            </w:r>
            <w:r w:rsidRPr="00A15E4A">
              <w:rPr>
                <w:sz w:val="20"/>
              </w:rPr>
              <w:t xml:space="preserve">Status report for operators that are off-site for more than 2 weeks </w:t>
            </w:r>
            <w:r w:rsidR="00F243E1">
              <w:rPr>
                <w:sz w:val="20"/>
                <w:vertAlign w:val="superscript"/>
              </w:rPr>
              <w:t>f</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0.4</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0.8</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$899.92</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r>
              <w:rPr>
                <w:sz w:val="20"/>
              </w:rPr>
              <w:t xml:space="preserve">viii. </w:t>
            </w:r>
            <w:r w:rsidRPr="00A15E4A">
              <w:rPr>
                <w:sz w:val="20"/>
              </w:rPr>
              <w:t xml:space="preserve">Corrective action summary for operators that are off-site for more than 2 weeks </w:t>
            </w:r>
            <w:r w:rsidR="00F243E1">
              <w:rPr>
                <w:sz w:val="20"/>
                <w:vertAlign w:val="superscript"/>
              </w:rPr>
              <w:t>f</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8</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0.8</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1.6</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$1,799.83</w:t>
            </w:r>
          </w:p>
        </w:tc>
      </w:tr>
      <w:tr w:rsidR="0095267B" w:rsidTr="00F56362">
        <w:trPr>
          <w:jc w:val="center"/>
        </w:trPr>
        <w:tc>
          <w:tcPr>
            <w:tcW w:w="4894" w:type="dxa"/>
            <w:tcBorders>
              <w:top w:val="nil"/>
              <w:bottom w:val="single" w:sz="6" w:space="0" w:color="000000"/>
              <w:right w:val="single" w:sz="6" w:space="0" w:color="000000"/>
            </w:tcBorders>
          </w:tcPr>
          <w:p w:rsidR="005D28A1" w:rsidRDefault="005D28A1" w:rsidP="00F243E1">
            <w:pPr>
              <w:ind w:left="630"/>
              <w:rPr>
                <w:sz w:val="20"/>
              </w:rPr>
            </w:pPr>
            <w:r>
              <w:rPr>
                <w:sz w:val="20"/>
              </w:rPr>
              <w:t xml:space="preserve">ix. </w:t>
            </w:r>
            <w:r w:rsidRPr="00A15E4A">
              <w:rPr>
                <w:sz w:val="20"/>
              </w:rPr>
              <w:t>Semiannual Deviation Report</w:t>
            </w:r>
            <w:r>
              <w:rPr>
                <w:sz w:val="20"/>
              </w:rPr>
              <w:t xml:space="preserve"> </w:t>
            </w:r>
            <w:r w:rsidR="00F243E1">
              <w:rPr>
                <w:sz w:val="20"/>
                <w:vertAlign w:val="superscript"/>
              </w:rPr>
              <w:t>g</w:t>
            </w:r>
          </w:p>
        </w:tc>
        <w:tc>
          <w:tcPr>
            <w:tcW w:w="1440" w:type="dxa"/>
            <w:tcBorders>
              <w:top w:val="nil"/>
              <w:left w:val="single" w:sz="6" w:space="0" w:color="000000"/>
              <w:bottom w:val="single" w:sz="4" w:space="0" w:color="auto"/>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24</w:t>
            </w:r>
          </w:p>
        </w:tc>
        <w:tc>
          <w:tcPr>
            <w:tcW w:w="135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w:t>
            </w:r>
          </w:p>
        </w:tc>
        <w:tc>
          <w:tcPr>
            <w:tcW w:w="126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48</w:t>
            </w:r>
          </w:p>
        </w:tc>
        <w:tc>
          <w:tcPr>
            <w:tcW w:w="144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1</w:t>
            </w:r>
          </w:p>
        </w:tc>
        <w:tc>
          <w:tcPr>
            <w:tcW w:w="1170"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48</w:t>
            </w:r>
          </w:p>
        </w:tc>
        <w:tc>
          <w:tcPr>
            <w:tcW w:w="1406"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2.4</w:t>
            </w:r>
          </w:p>
        </w:tc>
        <w:tc>
          <w:tcPr>
            <w:tcW w:w="1058" w:type="dxa"/>
            <w:tcBorders>
              <w:top w:val="nil"/>
              <w:left w:val="single" w:sz="6" w:space="0" w:color="000000"/>
              <w:bottom w:val="single" w:sz="6" w:space="0" w:color="000000"/>
              <w:right w:val="single" w:sz="6" w:space="0" w:color="000000"/>
            </w:tcBorders>
            <w:vAlign w:val="bottom"/>
          </w:tcPr>
          <w:p w:rsidR="005D28A1" w:rsidRPr="005D28A1" w:rsidRDefault="005D28A1" w:rsidP="005D28A1">
            <w:pPr>
              <w:jc w:val="center"/>
              <w:rPr>
                <w:color w:val="000000"/>
                <w:sz w:val="20"/>
                <w:szCs w:val="20"/>
              </w:rPr>
            </w:pPr>
            <w:r w:rsidRPr="005D28A1">
              <w:rPr>
                <w:color w:val="000000"/>
                <w:sz w:val="20"/>
                <w:szCs w:val="20"/>
              </w:rPr>
              <w:t>4.8</w:t>
            </w:r>
          </w:p>
        </w:tc>
        <w:tc>
          <w:tcPr>
            <w:tcW w:w="1260" w:type="dxa"/>
            <w:tcBorders>
              <w:top w:val="nil"/>
              <w:left w:val="single" w:sz="6" w:space="0" w:color="000000"/>
              <w:bottom w:val="single" w:sz="6" w:space="0" w:color="000000"/>
            </w:tcBorders>
            <w:vAlign w:val="bottom"/>
          </w:tcPr>
          <w:p w:rsidR="005D28A1" w:rsidRPr="005D28A1" w:rsidRDefault="005D28A1" w:rsidP="00461A6A">
            <w:pPr>
              <w:jc w:val="right"/>
              <w:rPr>
                <w:color w:val="000000"/>
                <w:sz w:val="20"/>
                <w:szCs w:val="20"/>
              </w:rPr>
            </w:pPr>
            <w:r w:rsidRPr="005D28A1">
              <w:rPr>
                <w:color w:val="000000"/>
                <w:sz w:val="20"/>
                <w:szCs w:val="20"/>
              </w:rPr>
              <w:t>$5,399.50</w:t>
            </w:r>
          </w:p>
        </w:tc>
      </w:tr>
      <w:tr w:rsidR="0095267B" w:rsidRPr="00D20D60" w:rsidTr="00F56362">
        <w:trPr>
          <w:jc w:val="center"/>
        </w:trPr>
        <w:tc>
          <w:tcPr>
            <w:tcW w:w="4894" w:type="dxa"/>
            <w:tcBorders>
              <w:top w:val="nil"/>
              <w:bottom w:val="single" w:sz="6" w:space="0" w:color="000000"/>
              <w:right w:val="single" w:sz="6" w:space="0" w:color="000000"/>
            </w:tcBorders>
          </w:tcPr>
          <w:p w:rsidR="00020003" w:rsidRPr="00D20D60" w:rsidRDefault="00020003" w:rsidP="00895E51">
            <w:pPr>
              <w:rPr>
                <w:b/>
                <w:sz w:val="20"/>
              </w:rPr>
            </w:pPr>
            <w:r w:rsidRPr="00D20D60">
              <w:rPr>
                <w:b/>
                <w:sz w:val="20"/>
              </w:rPr>
              <w:t>Subtotal  for Reporting  Requirements</w:t>
            </w:r>
          </w:p>
        </w:tc>
        <w:tc>
          <w:tcPr>
            <w:tcW w:w="1440" w:type="dxa"/>
            <w:tcBorders>
              <w:top w:val="nil"/>
              <w:left w:val="single" w:sz="6" w:space="0" w:color="000000"/>
              <w:bottom w:val="single" w:sz="4" w:space="0" w:color="auto"/>
              <w:right w:val="single" w:sz="6" w:space="0" w:color="000000"/>
            </w:tcBorders>
          </w:tcPr>
          <w:p w:rsidR="00020003" w:rsidRPr="00D20D60" w:rsidRDefault="00020003" w:rsidP="00020003">
            <w:pPr>
              <w:jc w:val="center"/>
              <w:rPr>
                <w:b/>
                <w:sz w:val="20"/>
              </w:rPr>
            </w:pPr>
          </w:p>
        </w:tc>
        <w:tc>
          <w:tcPr>
            <w:tcW w:w="1350" w:type="dxa"/>
            <w:tcBorders>
              <w:top w:val="nil"/>
              <w:left w:val="single" w:sz="6" w:space="0" w:color="000000"/>
              <w:bottom w:val="single" w:sz="6" w:space="0" w:color="000000"/>
              <w:right w:val="single" w:sz="6" w:space="0" w:color="000000"/>
            </w:tcBorders>
          </w:tcPr>
          <w:p w:rsidR="00020003" w:rsidRPr="00D20D60" w:rsidRDefault="00020003" w:rsidP="00020003">
            <w:pPr>
              <w:jc w:val="center"/>
              <w:rPr>
                <w:b/>
                <w:sz w:val="20"/>
              </w:rPr>
            </w:pPr>
          </w:p>
        </w:tc>
        <w:tc>
          <w:tcPr>
            <w:tcW w:w="1260" w:type="dxa"/>
            <w:tcBorders>
              <w:top w:val="nil"/>
              <w:left w:val="single" w:sz="6" w:space="0" w:color="000000"/>
              <w:bottom w:val="single" w:sz="6" w:space="0" w:color="000000"/>
              <w:right w:val="single" w:sz="6" w:space="0" w:color="000000"/>
            </w:tcBorders>
          </w:tcPr>
          <w:p w:rsidR="00020003" w:rsidRPr="00D20D60" w:rsidRDefault="00020003" w:rsidP="00020003">
            <w:pPr>
              <w:jc w:val="center"/>
              <w:rPr>
                <w:b/>
                <w:bCs/>
                <w:color w:val="000000"/>
                <w:sz w:val="20"/>
                <w:szCs w:val="20"/>
              </w:rPr>
            </w:pPr>
          </w:p>
        </w:tc>
        <w:tc>
          <w:tcPr>
            <w:tcW w:w="1440" w:type="dxa"/>
            <w:tcBorders>
              <w:top w:val="nil"/>
              <w:left w:val="single" w:sz="6" w:space="0" w:color="000000"/>
              <w:bottom w:val="single" w:sz="6" w:space="0" w:color="000000"/>
              <w:right w:val="single" w:sz="6" w:space="0" w:color="000000"/>
            </w:tcBorders>
          </w:tcPr>
          <w:p w:rsidR="00020003" w:rsidRPr="00D20D60" w:rsidRDefault="00020003" w:rsidP="00020003">
            <w:pPr>
              <w:jc w:val="center"/>
              <w:rPr>
                <w:b/>
                <w:color w:val="FF0000"/>
                <w:sz w:val="20"/>
              </w:rPr>
            </w:pPr>
          </w:p>
        </w:tc>
        <w:tc>
          <w:tcPr>
            <w:tcW w:w="1170" w:type="dxa"/>
            <w:tcBorders>
              <w:top w:val="single" w:sz="6" w:space="0" w:color="000000"/>
              <w:left w:val="single" w:sz="6" w:space="0" w:color="000000"/>
              <w:bottom w:val="single" w:sz="6" w:space="0" w:color="000000"/>
              <w:right w:val="nil"/>
            </w:tcBorders>
          </w:tcPr>
          <w:p w:rsidR="00020003" w:rsidRPr="00D20D60" w:rsidRDefault="00020003" w:rsidP="00020003">
            <w:pPr>
              <w:jc w:val="center"/>
              <w:rPr>
                <w:b/>
                <w:sz w:val="20"/>
              </w:rPr>
            </w:pPr>
          </w:p>
        </w:tc>
        <w:tc>
          <w:tcPr>
            <w:tcW w:w="1406" w:type="dxa"/>
            <w:tcBorders>
              <w:top w:val="single" w:sz="6" w:space="0" w:color="000000"/>
              <w:left w:val="nil"/>
              <w:bottom w:val="single" w:sz="6" w:space="0" w:color="000000"/>
              <w:right w:val="nil"/>
            </w:tcBorders>
          </w:tcPr>
          <w:p w:rsidR="00020003" w:rsidRPr="00D20D60" w:rsidRDefault="005D28A1" w:rsidP="00020003">
            <w:pPr>
              <w:jc w:val="center"/>
              <w:rPr>
                <w:b/>
                <w:sz w:val="20"/>
              </w:rPr>
            </w:pPr>
            <w:r w:rsidRPr="00D20D60">
              <w:rPr>
                <w:b/>
                <w:sz w:val="20"/>
              </w:rPr>
              <w:t>715</w:t>
            </w:r>
            <w:r w:rsidR="0043520B">
              <w:rPr>
                <w:b/>
                <w:sz w:val="20"/>
              </w:rPr>
              <w:t>.3</w:t>
            </w:r>
          </w:p>
        </w:tc>
        <w:tc>
          <w:tcPr>
            <w:tcW w:w="1058" w:type="dxa"/>
            <w:tcBorders>
              <w:top w:val="single" w:sz="6" w:space="0" w:color="000000"/>
              <w:left w:val="nil"/>
              <w:bottom w:val="single" w:sz="6" w:space="0" w:color="000000"/>
              <w:right w:val="single" w:sz="6" w:space="0" w:color="000000"/>
            </w:tcBorders>
          </w:tcPr>
          <w:p w:rsidR="00020003" w:rsidRPr="00D20D60" w:rsidRDefault="00020003" w:rsidP="00020003">
            <w:pPr>
              <w:jc w:val="center"/>
              <w:rPr>
                <w:b/>
                <w:sz w:val="20"/>
              </w:rPr>
            </w:pPr>
          </w:p>
        </w:tc>
        <w:tc>
          <w:tcPr>
            <w:tcW w:w="1260" w:type="dxa"/>
            <w:tcBorders>
              <w:top w:val="nil"/>
              <w:left w:val="single" w:sz="6" w:space="0" w:color="000000"/>
              <w:bottom w:val="single" w:sz="6" w:space="0" w:color="000000"/>
            </w:tcBorders>
          </w:tcPr>
          <w:p w:rsidR="00020003" w:rsidRPr="00D20D60" w:rsidRDefault="005D28A1" w:rsidP="00461A6A">
            <w:pPr>
              <w:ind w:right="-14"/>
              <w:jc w:val="right"/>
              <w:rPr>
                <w:b/>
                <w:sz w:val="20"/>
              </w:rPr>
            </w:pPr>
            <w:r w:rsidRPr="00D20D60">
              <w:rPr>
                <w:b/>
                <w:sz w:val="20"/>
              </w:rPr>
              <w:t>$69,968.56</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020003" w:rsidRDefault="00020003" w:rsidP="00EF2A25">
            <w:pPr>
              <w:rPr>
                <w:sz w:val="20"/>
              </w:rPr>
            </w:pPr>
            <w:r>
              <w:rPr>
                <w:sz w:val="20"/>
              </w:rPr>
              <w:t>4.  Recordkeeping requirements</w:t>
            </w:r>
          </w:p>
        </w:tc>
        <w:tc>
          <w:tcPr>
            <w:tcW w:w="1440" w:type="dxa"/>
            <w:tcBorders>
              <w:top w:val="single" w:sz="6" w:space="0" w:color="000000"/>
              <w:left w:val="single" w:sz="6" w:space="0" w:color="000000"/>
              <w:bottom w:val="single" w:sz="6" w:space="0" w:color="000000"/>
              <w:right w:val="single" w:sz="6" w:space="0" w:color="000000"/>
            </w:tcBorders>
          </w:tcPr>
          <w:p w:rsidR="00020003" w:rsidRPr="00CD01CC" w:rsidRDefault="00020003" w:rsidP="00020003">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020003" w:rsidRPr="00020003" w:rsidRDefault="00020003" w:rsidP="00020003">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020003" w:rsidRPr="00020003" w:rsidRDefault="00020003" w:rsidP="00020003">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020003" w:rsidRPr="00895E51" w:rsidRDefault="00020003" w:rsidP="00020003">
            <w:pPr>
              <w:jc w:val="center"/>
              <w:rPr>
                <w:color w:val="FF0000"/>
                <w:sz w:val="20"/>
              </w:rPr>
            </w:pPr>
          </w:p>
        </w:tc>
        <w:tc>
          <w:tcPr>
            <w:tcW w:w="1170" w:type="dxa"/>
            <w:tcBorders>
              <w:top w:val="single" w:sz="6" w:space="0" w:color="000000"/>
              <w:left w:val="single" w:sz="6" w:space="0" w:color="000000"/>
              <w:bottom w:val="single" w:sz="6" w:space="0" w:color="000000"/>
              <w:right w:val="single" w:sz="6" w:space="0" w:color="000000"/>
            </w:tcBorders>
          </w:tcPr>
          <w:p w:rsidR="00020003" w:rsidRPr="00895E51" w:rsidRDefault="00020003" w:rsidP="00020003">
            <w:pPr>
              <w:jc w:val="center"/>
              <w:rPr>
                <w:color w:val="FF0000"/>
                <w:sz w:val="20"/>
              </w:rPr>
            </w:pPr>
          </w:p>
        </w:tc>
        <w:tc>
          <w:tcPr>
            <w:tcW w:w="1406" w:type="dxa"/>
            <w:tcBorders>
              <w:top w:val="single" w:sz="6" w:space="0" w:color="000000"/>
              <w:left w:val="single" w:sz="6" w:space="0" w:color="000000"/>
              <w:bottom w:val="single" w:sz="6" w:space="0" w:color="000000"/>
              <w:right w:val="single" w:sz="6" w:space="0" w:color="000000"/>
            </w:tcBorders>
          </w:tcPr>
          <w:p w:rsidR="00020003" w:rsidRPr="00895E51" w:rsidRDefault="00020003" w:rsidP="00020003">
            <w:pPr>
              <w:jc w:val="center"/>
              <w:rPr>
                <w:color w:val="FF0000"/>
                <w:sz w:val="20"/>
              </w:rPr>
            </w:pPr>
          </w:p>
        </w:tc>
        <w:tc>
          <w:tcPr>
            <w:tcW w:w="1058" w:type="dxa"/>
            <w:tcBorders>
              <w:top w:val="single" w:sz="6" w:space="0" w:color="000000"/>
              <w:left w:val="single" w:sz="6" w:space="0" w:color="000000"/>
              <w:bottom w:val="single" w:sz="6" w:space="0" w:color="000000"/>
              <w:right w:val="single" w:sz="6" w:space="0" w:color="000000"/>
            </w:tcBorders>
          </w:tcPr>
          <w:p w:rsidR="00020003" w:rsidRPr="00895E51" w:rsidRDefault="00020003" w:rsidP="00020003">
            <w:pPr>
              <w:jc w:val="center"/>
              <w:rPr>
                <w:color w:val="FF0000"/>
                <w:sz w:val="20"/>
              </w:rPr>
            </w:pPr>
          </w:p>
        </w:tc>
        <w:tc>
          <w:tcPr>
            <w:tcW w:w="1260" w:type="dxa"/>
            <w:tcBorders>
              <w:top w:val="single" w:sz="6" w:space="0" w:color="000000"/>
              <w:left w:val="single" w:sz="6" w:space="0" w:color="000000"/>
              <w:bottom w:val="single" w:sz="6" w:space="0" w:color="000000"/>
            </w:tcBorders>
          </w:tcPr>
          <w:p w:rsidR="00020003" w:rsidRPr="00895E51" w:rsidRDefault="00020003" w:rsidP="00461A6A">
            <w:pPr>
              <w:ind w:right="-14"/>
              <w:jc w:val="right"/>
              <w:rPr>
                <w:color w:val="FF0000"/>
                <w:sz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895E51">
            <w:pPr>
              <w:rPr>
                <w:sz w:val="20"/>
              </w:rPr>
            </w:pPr>
            <w:r>
              <w:rPr>
                <w:sz w:val="20"/>
              </w:rPr>
              <w:t xml:space="preserve">     A.  Read instructions </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F76FA9" w:rsidP="00D230C8">
            <w:pPr>
              <w:jc w:val="center"/>
              <w:rPr>
                <w:color w:val="000000"/>
                <w:sz w:val="20"/>
                <w:szCs w:val="20"/>
              </w:rPr>
            </w:pPr>
            <w:r>
              <w:rPr>
                <w:color w:val="000000"/>
                <w:sz w:val="20"/>
                <w:szCs w:val="20"/>
              </w:rPr>
              <w:t>S</w:t>
            </w:r>
            <w:r w:rsidR="00D230C8" w:rsidRPr="00D230C8">
              <w:rPr>
                <w:color w:val="000000"/>
                <w:sz w:val="20"/>
                <w:szCs w:val="20"/>
              </w:rPr>
              <w:t>ee 3A</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895E51">
            <w:pPr>
              <w:rPr>
                <w:sz w:val="20"/>
              </w:rPr>
            </w:pPr>
            <w:r>
              <w:rPr>
                <w:sz w:val="20"/>
              </w:rPr>
              <w:t xml:space="preserve">     B.  Plan activities </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895E51">
            <w:pPr>
              <w:rPr>
                <w:sz w:val="20"/>
              </w:rPr>
            </w:pPr>
            <w:r>
              <w:rPr>
                <w:sz w:val="20"/>
              </w:rPr>
              <w:t xml:space="preserve">     C.  Implement activities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EF2A25">
            <w:pPr>
              <w:rPr>
                <w:sz w:val="20"/>
              </w:rPr>
            </w:pPr>
            <w:r>
              <w:rPr>
                <w:sz w:val="20"/>
              </w:rPr>
              <w:t xml:space="preserve">     D.  Develop record system </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EF2A25">
            <w:pPr>
              <w:ind w:left="195"/>
              <w:rPr>
                <w:sz w:val="20"/>
              </w:rPr>
            </w:pPr>
            <w:r>
              <w:rPr>
                <w:sz w:val="20"/>
              </w:rPr>
              <w:t xml:space="preserve"> E.  Record Information</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Pr="00A15E4A" w:rsidRDefault="00D230C8" w:rsidP="00D84162">
            <w:pPr>
              <w:ind w:left="630"/>
              <w:rPr>
                <w:sz w:val="20"/>
              </w:rPr>
            </w:pPr>
            <w:proofErr w:type="spellStart"/>
            <w:r w:rsidRPr="00A15E4A">
              <w:rPr>
                <w:sz w:val="20"/>
              </w:rPr>
              <w:t>i</w:t>
            </w:r>
            <w:proofErr w:type="spellEnd"/>
            <w:r w:rsidRPr="00A15E4A">
              <w:rPr>
                <w:sz w:val="20"/>
              </w:rPr>
              <w:t>.</w:t>
            </w:r>
            <w:r>
              <w:rPr>
                <w:sz w:val="20"/>
              </w:rPr>
              <w:t xml:space="preserve"> </w:t>
            </w:r>
            <w:r w:rsidRPr="00EF2A25">
              <w:rPr>
                <w:sz w:val="20"/>
              </w:rPr>
              <w:t>Records of operating parameters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52</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104</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w:t>
            </w:r>
          </w:p>
        </w:tc>
        <w:tc>
          <w:tcPr>
            <w:tcW w:w="1260" w:type="dxa"/>
            <w:tcBorders>
              <w:top w:val="single" w:sz="6" w:space="0" w:color="000000"/>
              <w:left w:val="single" w:sz="6" w:space="0" w:color="000000"/>
              <w:bottom w:val="single" w:sz="6" w:space="0" w:color="000000"/>
            </w:tcBorders>
            <w:vAlign w:val="bottom"/>
          </w:tcPr>
          <w:p w:rsidR="00D230C8" w:rsidRPr="00D230C8" w:rsidRDefault="00DB78EC" w:rsidP="00461A6A">
            <w:pPr>
              <w:jc w:val="right"/>
              <w:rPr>
                <w:color w:val="000000"/>
                <w:sz w:val="20"/>
                <w:szCs w:val="20"/>
              </w:rPr>
            </w:pPr>
            <w:r>
              <w:rPr>
                <w:color w:val="000000"/>
                <w:sz w:val="20"/>
                <w:szCs w:val="20"/>
              </w:rPr>
              <w:t>$0</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ii. </w:t>
            </w:r>
            <w:r w:rsidRPr="00EF2A25">
              <w:rPr>
                <w:sz w:val="20"/>
              </w:rPr>
              <w:t>Records of exceedances of the operating parameters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0.1</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$224.98</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iii. </w:t>
            </w:r>
            <w:r w:rsidRPr="00EF2A25">
              <w:rPr>
                <w:sz w:val="20"/>
              </w:rPr>
              <w:t>Records of stack tests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0.4</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$449.96</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iv. </w:t>
            </w:r>
            <w:r w:rsidRPr="00EF2A25">
              <w:rPr>
                <w:sz w:val="20"/>
              </w:rPr>
              <w:t>Records of siting analysis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0.1</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$224.98</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v.  </w:t>
            </w:r>
            <w:r w:rsidRPr="00EF2A25">
              <w:rPr>
                <w:sz w:val="20"/>
              </w:rPr>
              <w:t>Records of persons who have reviewed operating procedures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0.4</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$449.96</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vi. </w:t>
            </w:r>
            <w:r w:rsidRPr="00EF2A25">
              <w:rPr>
                <w:sz w:val="20"/>
              </w:rPr>
              <w:t>Records of persons who have completed operator training</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0.4</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$449.96</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vii. </w:t>
            </w:r>
            <w:r w:rsidRPr="00EF2A25">
              <w:rPr>
                <w:sz w:val="20"/>
              </w:rPr>
              <w:t>Records of persons who meet operator qualification criteria</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0.4</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$449.96</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viii. </w:t>
            </w:r>
            <w:r w:rsidRPr="00EF2A25">
              <w:rPr>
                <w:sz w:val="20"/>
              </w:rPr>
              <w:t>Records of monitoring device calibration</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0.2</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0.4</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$449.96</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D84162">
            <w:pPr>
              <w:ind w:left="630"/>
              <w:rPr>
                <w:sz w:val="20"/>
              </w:rPr>
            </w:pPr>
            <w:r>
              <w:rPr>
                <w:sz w:val="20"/>
              </w:rPr>
              <w:t xml:space="preserve">ix. </w:t>
            </w:r>
            <w:r w:rsidRPr="00EF2A25">
              <w:rPr>
                <w:sz w:val="20"/>
              </w:rPr>
              <w:t>Records of site-specific documentation</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24</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24</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48</w:t>
            </w: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2.4</w:t>
            </w: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4.8</w:t>
            </w: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r w:rsidRPr="00D230C8">
              <w:rPr>
                <w:color w:val="000000"/>
                <w:sz w:val="20"/>
                <w:szCs w:val="20"/>
              </w:rPr>
              <w:t>$5,399.50</w:t>
            </w: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EF2A25">
            <w:pPr>
              <w:rPr>
                <w:sz w:val="20"/>
              </w:rPr>
            </w:pPr>
            <w:r>
              <w:rPr>
                <w:sz w:val="20"/>
              </w:rPr>
              <w:t xml:space="preserve">    F.  Train personnel</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F76FA9" w:rsidP="00D230C8">
            <w:pPr>
              <w:jc w:val="center"/>
              <w:rPr>
                <w:color w:val="000000"/>
                <w:sz w:val="20"/>
                <w:szCs w:val="20"/>
              </w:rPr>
            </w:pPr>
            <w:r>
              <w:rPr>
                <w:color w:val="000000"/>
                <w:sz w:val="20"/>
                <w:szCs w:val="20"/>
              </w:rPr>
              <w:t>S</w:t>
            </w:r>
            <w:r w:rsidR="00D230C8" w:rsidRPr="00D230C8">
              <w:rPr>
                <w:color w:val="000000"/>
                <w:sz w:val="20"/>
                <w:szCs w:val="20"/>
              </w:rPr>
              <w:t>ee 3B</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Tr="00F56362">
        <w:trPr>
          <w:jc w:val="center"/>
        </w:trPr>
        <w:tc>
          <w:tcPr>
            <w:tcW w:w="4894" w:type="dxa"/>
            <w:tcBorders>
              <w:top w:val="single" w:sz="6" w:space="0" w:color="000000"/>
              <w:bottom w:val="single" w:sz="6" w:space="0" w:color="000000"/>
              <w:right w:val="single" w:sz="6" w:space="0" w:color="000000"/>
            </w:tcBorders>
          </w:tcPr>
          <w:p w:rsidR="00D230C8" w:rsidRDefault="00D230C8" w:rsidP="00EF2A25">
            <w:pPr>
              <w:rPr>
                <w:sz w:val="20"/>
              </w:rPr>
            </w:pPr>
            <w:r>
              <w:rPr>
                <w:sz w:val="20"/>
              </w:rPr>
              <w:t xml:space="preserve">    G.  Audits</w:t>
            </w: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r w:rsidRPr="00D230C8">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406"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058" w:type="dxa"/>
            <w:tcBorders>
              <w:top w:val="single" w:sz="6" w:space="0" w:color="000000"/>
              <w:left w:val="single" w:sz="6" w:space="0" w:color="000000"/>
              <w:bottom w:val="single" w:sz="6" w:space="0" w:color="000000"/>
              <w:right w:val="single" w:sz="6" w:space="0" w:color="000000"/>
            </w:tcBorders>
            <w:vAlign w:val="bottom"/>
          </w:tcPr>
          <w:p w:rsidR="00D230C8" w:rsidRPr="00D230C8" w:rsidRDefault="00D230C8" w:rsidP="00D230C8">
            <w:pPr>
              <w:jc w:val="center"/>
              <w:rPr>
                <w:color w:val="000000"/>
                <w:sz w:val="20"/>
                <w:szCs w:val="20"/>
              </w:rPr>
            </w:pPr>
          </w:p>
        </w:tc>
        <w:tc>
          <w:tcPr>
            <w:tcW w:w="1260" w:type="dxa"/>
            <w:tcBorders>
              <w:top w:val="single" w:sz="6" w:space="0" w:color="000000"/>
              <w:left w:val="single" w:sz="6" w:space="0" w:color="000000"/>
              <w:bottom w:val="single" w:sz="6" w:space="0" w:color="000000"/>
            </w:tcBorders>
            <w:vAlign w:val="bottom"/>
          </w:tcPr>
          <w:p w:rsidR="00D230C8" w:rsidRPr="00D230C8" w:rsidRDefault="00D230C8" w:rsidP="00461A6A">
            <w:pPr>
              <w:jc w:val="right"/>
              <w:rPr>
                <w:color w:val="000000"/>
                <w:sz w:val="20"/>
                <w:szCs w:val="20"/>
              </w:rPr>
            </w:pPr>
          </w:p>
        </w:tc>
      </w:tr>
      <w:tr w:rsidR="0095267B" w:rsidRPr="00D20D60" w:rsidTr="00F56362">
        <w:trPr>
          <w:jc w:val="center"/>
        </w:trPr>
        <w:tc>
          <w:tcPr>
            <w:tcW w:w="4894" w:type="dxa"/>
            <w:tcBorders>
              <w:top w:val="single" w:sz="6" w:space="0" w:color="000000"/>
              <w:bottom w:val="single" w:sz="6" w:space="0" w:color="000000"/>
              <w:right w:val="single" w:sz="6" w:space="0" w:color="000000"/>
            </w:tcBorders>
          </w:tcPr>
          <w:p w:rsidR="00895E51" w:rsidRPr="00D20D60" w:rsidRDefault="00895E51" w:rsidP="00895E51">
            <w:pPr>
              <w:rPr>
                <w:b/>
                <w:sz w:val="20"/>
              </w:rPr>
            </w:pPr>
            <w:r w:rsidRPr="00D20D60">
              <w:rPr>
                <w:b/>
                <w:sz w:val="20"/>
              </w:rPr>
              <w:t xml:space="preserve">Subtotal  for Recordkeeping Requirements  </w:t>
            </w:r>
          </w:p>
        </w:tc>
        <w:tc>
          <w:tcPr>
            <w:tcW w:w="1440" w:type="dxa"/>
            <w:tcBorders>
              <w:top w:val="single" w:sz="6" w:space="0" w:color="000000"/>
              <w:left w:val="single" w:sz="6" w:space="0" w:color="000000"/>
              <w:bottom w:val="single" w:sz="6" w:space="0" w:color="000000"/>
              <w:right w:val="single" w:sz="6" w:space="0" w:color="000000"/>
            </w:tcBorders>
          </w:tcPr>
          <w:p w:rsidR="00895E51" w:rsidRPr="00D20D60" w:rsidRDefault="00895E51" w:rsidP="00895E51">
            <w:pPr>
              <w:jc w:val="center"/>
              <w:rPr>
                <w:b/>
                <w:color w:val="FF0000"/>
                <w:sz w:val="20"/>
              </w:rPr>
            </w:pPr>
          </w:p>
        </w:tc>
        <w:tc>
          <w:tcPr>
            <w:tcW w:w="1350" w:type="dxa"/>
            <w:tcBorders>
              <w:top w:val="single" w:sz="6" w:space="0" w:color="000000"/>
              <w:left w:val="single" w:sz="6" w:space="0" w:color="000000"/>
              <w:bottom w:val="single" w:sz="6" w:space="0" w:color="000000"/>
              <w:right w:val="single" w:sz="6" w:space="0" w:color="000000"/>
            </w:tcBorders>
          </w:tcPr>
          <w:p w:rsidR="00895E51" w:rsidRPr="00D20D60" w:rsidRDefault="00895E51" w:rsidP="00895E51">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895E51" w:rsidRPr="00D20D60" w:rsidRDefault="00895E51" w:rsidP="00895E51">
            <w:pPr>
              <w:jc w:val="center"/>
              <w:rPr>
                <w:b/>
                <w:color w:val="FF0000"/>
                <w:sz w:val="20"/>
              </w:rPr>
            </w:pPr>
          </w:p>
        </w:tc>
        <w:tc>
          <w:tcPr>
            <w:tcW w:w="1440" w:type="dxa"/>
            <w:tcBorders>
              <w:top w:val="single" w:sz="6" w:space="0" w:color="000000"/>
              <w:left w:val="single" w:sz="6" w:space="0" w:color="000000"/>
              <w:bottom w:val="single" w:sz="6" w:space="0" w:color="000000"/>
              <w:right w:val="single" w:sz="6" w:space="0" w:color="000000"/>
            </w:tcBorders>
          </w:tcPr>
          <w:p w:rsidR="00895E51" w:rsidRPr="00D20D60" w:rsidRDefault="00895E51" w:rsidP="00895E51">
            <w:pPr>
              <w:jc w:val="center"/>
              <w:rPr>
                <w:b/>
                <w:color w:val="FF0000"/>
                <w:sz w:val="20"/>
              </w:rPr>
            </w:pPr>
          </w:p>
        </w:tc>
        <w:tc>
          <w:tcPr>
            <w:tcW w:w="1170" w:type="dxa"/>
            <w:tcBorders>
              <w:top w:val="single" w:sz="6" w:space="0" w:color="000000"/>
              <w:left w:val="single" w:sz="6" w:space="0" w:color="000000"/>
              <w:bottom w:val="single" w:sz="6" w:space="0" w:color="000000"/>
              <w:right w:val="nil"/>
            </w:tcBorders>
          </w:tcPr>
          <w:p w:rsidR="00895E51" w:rsidRPr="00D20D60" w:rsidRDefault="00895E51" w:rsidP="00895E51">
            <w:pPr>
              <w:jc w:val="center"/>
              <w:rPr>
                <w:b/>
                <w:sz w:val="20"/>
              </w:rPr>
            </w:pPr>
          </w:p>
        </w:tc>
        <w:tc>
          <w:tcPr>
            <w:tcW w:w="1406" w:type="dxa"/>
            <w:tcBorders>
              <w:top w:val="single" w:sz="6" w:space="0" w:color="000000"/>
              <w:left w:val="nil"/>
              <w:bottom w:val="single" w:sz="6" w:space="0" w:color="000000"/>
              <w:right w:val="nil"/>
            </w:tcBorders>
          </w:tcPr>
          <w:p w:rsidR="00895E51" w:rsidRPr="00D20D60" w:rsidRDefault="00D230C8" w:rsidP="0043520B">
            <w:pPr>
              <w:jc w:val="center"/>
              <w:rPr>
                <w:b/>
                <w:sz w:val="20"/>
              </w:rPr>
            </w:pPr>
            <w:r w:rsidRPr="00D20D60">
              <w:rPr>
                <w:b/>
                <w:sz w:val="20"/>
              </w:rPr>
              <w:t>8</w:t>
            </w:r>
            <w:r w:rsidR="0043520B">
              <w:rPr>
                <w:b/>
                <w:sz w:val="20"/>
              </w:rPr>
              <w:t>2.8</w:t>
            </w:r>
          </w:p>
        </w:tc>
        <w:tc>
          <w:tcPr>
            <w:tcW w:w="1058" w:type="dxa"/>
            <w:tcBorders>
              <w:top w:val="single" w:sz="6" w:space="0" w:color="000000"/>
              <w:left w:val="nil"/>
              <w:bottom w:val="single" w:sz="6" w:space="0" w:color="000000"/>
              <w:right w:val="single" w:sz="6" w:space="0" w:color="000000"/>
            </w:tcBorders>
          </w:tcPr>
          <w:p w:rsidR="00895E51" w:rsidRPr="00D20D60" w:rsidRDefault="00895E51" w:rsidP="00895E51">
            <w:pPr>
              <w:jc w:val="center"/>
              <w:rPr>
                <w:b/>
                <w:sz w:val="20"/>
              </w:rPr>
            </w:pPr>
          </w:p>
        </w:tc>
        <w:tc>
          <w:tcPr>
            <w:tcW w:w="1260" w:type="dxa"/>
            <w:tcBorders>
              <w:top w:val="single" w:sz="6" w:space="0" w:color="000000"/>
              <w:left w:val="single" w:sz="6" w:space="0" w:color="000000"/>
              <w:bottom w:val="single" w:sz="6" w:space="0" w:color="000000"/>
            </w:tcBorders>
          </w:tcPr>
          <w:p w:rsidR="00895E51" w:rsidRPr="00D20D60" w:rsidRDefault="002C4C59" w:rsidP="00461A6A">
            <w:pPr>
              <w:ind w:right="-14"/>
              <w:jc w:val="right"/>
              <w:rPr>
                <w:b/>
                <w:sz w:val="20"/>
              </w:rPr>
            </w:pPr>
            <w:r w:rsidRPr="00D20D60">
              <w:rPr>
                <w:b/>
                <w:sz w:val="20"/>
              </w:rPr>
              <w:t>$8,099.25</w:t>
            </w:r>
          </w:p>
        </w:tc>
      </w:tr>
      <w:tr w:rsidR="0095267B" w:rsidTr="00B31963">
        <w:trPr>
          <w:trHeight w:val="327"/>
          <w:jc w:val="center"/>
        </w:trPr>
        <w:tc>
          <w:tcPr>
            <w:tcW w:w="4894" w:type="dxa"/>
            <w:tcBorders>
              <w:top w:val="single" w:sz="6" w:space="0" w:color="000000"/>
              <w:bottom w:val="single" w:sz="6" w:space="0" w:color="000000"/>
              <w:right w:val="single" w:sz="6" w:space="0" w:color="000000"/>
            </w:tcBorders>
          </w:tcPr>
          <w:p w:rsidR="00895E51" w:rsidRDefault="00895E51" w:rsidP="00895E51">
            <w:pPr>
              <w:rPr>
                <w:sz w:val="20"/>
              </w:rPr>
            </w:pPr>
            <w:r>
              <w:rPr>
                <w:b/>
                <w:sz w:val="18"/>
                <w:szCs w:val="18"/>
              </w:rPr>
              <w:t>TOTAL LABOR BURDEN AND COST (rounded)</w:t>
            </w:r>
          </w:p>
        </w:tc>
        <w:tc>
          <w:tcPr>
            <w:tcW w:w="1440" w:type="dxa"/>
            <w:tcBorders>
              <w:top w:val="single" w:sz="6" w:space="0" w:color="000000"/>
              <w:left w:val="single" w:sz="6" w:space="0" w:color="000000"/>
              <w:bottom w:val="single" w:sz="6" w:space="0" w:color="000000"/>
              <w:right w:val="single" w:sz="6" w:space="0" w:color="000000"/>
            </w:tcBorders>
          </w:tcPr>
          <w:p w:rsidR="00895E51" w:rsidRPr="00895E51" w:rsidRDefault="00895E51" w:rsidP="00895E51">
            <w:pPr>
              <w:rPr>
                <w:color w:val="FF0000"/>
                <w:sz w:val="20"/>
              </w:rPr>
            </w:pPr>
          </w:p>
        </w:tc>
        <w:tc>
          <w:tcPr>
            <w:tcW w:w="1350" w:type="dxa"/>
            <w:tcBorders>
              <w:top w:val="single" w:sz="6" w:space="0" w:color="000000"/>
              <w:left w:val="single" w:sz="6" w:space="0" w:color="000000"/>
              <w:bottom w:val="single" w:sz="6" w:space="0" w:color="000000"/>
              <w:right w:val="single" w:sz="6" w:space="0" w:color="000000"/>
            </w:tcBorders>
          </w:tcPr>
          <w:p w:rsidR="00895E51" w:rsidRPr="00020003" w:rsidRDefault="00895E51" w:rsidP="00895E51">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895E51" w:rsidRPr="00895E51" w:rsidRDefault="00895E51" w:rsidP="00895E51">
            <w:pPr>
              <w:rPr>
                <w:color w:val="FF0000"/>
                <w:sz w:val="20"/>
              </w:rPr>
            </w:pPr>
          </w:p>
        </w:tc>
        <w:tc>
          <w:tcPr>
            <w:tcW w:w="1440" w:type="dxa"/>
            <w:tcBorders>
              <w:top w:val="single" w:sz="6" w:space="0" w:color="000000"/>
              <w:left w:val="single" w:sz="6" w:space="0" w:color="000000"/>
              <w:bottom w:val="single" w:sz="6" w:space="0" w:color="000000"/>
              <w:right w:val="single" w:sz="6" w:space="0" w:color="000000"/>
            </w:tcBorders>
          </w:tcPr>
          <w:p w:rsidR="00895E51" w:rsidRPr="00895E51" w:rsidRDefault="00895E51" w:rsidP="00895E51">
            <w:pPr>
              <w:rPr>
                <w:color w:val="FF0000"/>
                <w:sz w:val="20"/>
              </w:rPr>
            </w:pPr>
          </w:p>
        </w:tc>
        <w:tc>
          <w:tcPr>
            <w:tcW w:w="3634" w:type="dxa"/>
            <w:gridSpan w:val="3"/>
            <w:tcBorders>
              <w:top w:val="single" w:sz="6" w:space="0" w:color="000000"/>
              <w:left w:val="single" w:sz="6" w:space="0" w:color="000000"/>
              <w:bottom w:val="single" w:sz="6" w:space="0" w:color="000000"/>
              <w:right w:val="single" w:sz="6" w:space="0" w:color="000000"/>
            </w:tcBorders>
          </w:tcPr>
          <w:p w:rsidR="00895E51" w:rsidRPr="00D20D60" w:rsidRDefault="002C4C59" w:rsidP="00A16C03">
            <w:pPr>
              <w:jc w:val="center"/>
              <w:rPr>
                <w:b/>
                <w:sz w:val="20"/>
              </w:rPr>
            </w:pPr>
            <w:r w:rsidRPr="00D20D60">
              <w:rPr>
                <w:b/>
                <w:sz w:val="20"/>
              </w:rPr>
              <w:t>798</w:t>
            </w:r>
          </w:p>
        </w:tc>
        <w:tc>
          <w:tcPr>
            <w:tcW w:w="1260" w:type="dxa"/>
            <w:tcBorders>
              <w:top w:val="single" w:sz="6" w:space="0" w:color="000000"/>
              <w:left w:val="single" w:sz="6" w:space="0" w:color="000000"/>
              <w:bottom w:val="single" w:sz="6" w:space="0" w:color="000000"/>
            </w:tcBorders>
          </w:tcPr>
          <w:p w:rsidR="00895E51" w:rsidRPr="00D20D60" w:rsidRDefault="002C4C59" w:rsidP="00461A6A">
            <w:pPr>
              <w:ind w:right="-14"/>
              <w:jc w:val="right"/>
              <w:rPr>
                <w:b/>
                <w:sz w:val="20"/>
              </w:rPr>
            </w:pPr>
            <w:r w:rsidRPr="00D20D60">
              <w:rPr>
                <w:b/>
                <w:sz w:val="20"/>
              </w:rPr>
              <w:t>$78,068</w:t>
            </w:r>
          </w:p>
        </w:tc>
      </w:tr>
    </w:tbl>
    <w:p w:rsidR="00461A6A" w:rsidRDefault="00461A6A" w:rsidP="00F243E1">
      <w:pPr>
        <w:ind w:right="-270"/>
        <w:rPr>
          <w:sz w:val="20"/>
          <w:szCs w:val="20"/>
        </w:rPr>
      </w:pPr>
    </w:p>
    <w:p w:rsidR="00461A6A" w:rsidRPr="00B31963" w:rsidRDefault="00B31963" w:rsidP="00F243E1">
      <w:pPr>
        <w:ind w:right="-270"/>
        <w:rPr>
          <w:b/>
          <w:sz w:val="20"/>
          <w:szCs w:val="20"/>
        </w:rPr>
      </w:pPr>
      <w:r w:rsidRPr="00B31963">
        <w:rPr>
          <w:b/>
          <w:sz w:val="20"/>
          <w:szCs w:val="20"/>
        </w:rPr>
        <w:lastRenderedPageBreak/>
        <w:t>Assumptions:</w:t>
      </w:r>
    </w:p>
    <w:p w:rsidR="008C75EF" w:rsidRDefault="00410952" w:rsidP="00F243E1">
      <w:pPr>
        <w:ind w:right="-270"/>
        <w:rPr>
          <w:sz w:val="20"/>
          <w:szCs w:val="20"/>
        </w:rPr>
      </w:pPr>
      <w:r w:rsidRPr="001B4753">
        <w:rPr>
          <w:sz w:val="20"/>
          <w:szCs w:val="20"/>
          <w:vertAlign w:val="superscript"/>
        </w:rPr>
        <w:t>a.</w:t>
      </w:r>
      <w:r>
        <w:rPr>
          <w:sz w:val="20"/>
          <w:szCs w:val="20"/>
        </w:rPr>
        <w:t xml:space="preserve"> </w:t>
      </w:r>
      <w:r w:rsidR="008C75EF">
        <w:rPr>
          <w:sz w:val="20"/>
          <w:szCs w:val="20"/>
        </w:rPr>
        <w:t xml:space="preserve">There are currently no existing units subject to the standard, and we expect three new sources to become subject over the three-year period of this ICR. </w:t>
      </w:r>
      <w:r>
        <w:rPr>
          <w:sz w:val="20"/>
          <w:szCs w:val="20"/>
        </w:rPr>
        <w:t>W</w:t>
      </w:r>
      <w:r w:rsidR="00F243E1">
        <w:rPr>
          <w:sz w:val="20"/>
          <w:szCs w:val="20"/>
        </w:rPr>
        <w:t xml:space="preserve">e have assumed that the average number of </w:t>
      </w:r>
      <w:r w:rsidR="00F243E1" w:rsidRPr="00CA5DEF">
        <w:rPr>
          <w:sz w:val="20"/>
          <w:szCs w:val="20"/>
        </w:rPr>
        <w:t xml:space="preserve">respondents that will be subject to the rule will be </w:t>
      </w:r>
      <w:r w:rsidR="008C75EF">
        <w:rPr>
          <w:sz w:val="20"/>
          <w:szCs w:val="20"/>
        </w:rPr>
        <w:t>1 existing source and one new source</w:t>
      </w:r>
      <w:r w:rsidR="00F243E1" w:rsidRPr="00CA5DEF">
        <w:rPr>
          <w:sz w:val="20"/>
          <w:szCs w:val="20"/>
        </w:rPr>
        <w:t xml:space="preserve">.  </w:t>
      </w:r>
    </w:p>
    <w:p w:rsidR="00F243E1" w:rsidRPr="00CA5DEF" w:rsidRDefault="00410952" w:rsidP="00F243E1">
      <w:pPr>
        <w:ind w:right="-270"/>
        <w:rPr>
          <w:sz w:val="20"/>
          <w:szCs w:val="20"/>
        </w:rPr>
      </w:pPr>
      <w:r w:rsidRPr="001B4753">
        <w:rPr>
          <w:sz w:val="20"/>
          <w:szCs w:val="20"/>
          <w:vertAlign w:val="superscript"/>
        </w:rPr>
        <w:t>b.</w:t>
      </w:r>
      <w:r>
        <w:rPr>
          <w:sz w:val="20"/>
          <w:szCs w:val="20"/>
        </w:rPr>
        <w:t xml:space="preserve"> </w:t>
      </w:r>
      <w:r w:rsidR="00F243E1" w:rsidRPr="00CA5DEF">
        <w:rPr>
          <w:sz w:val="20"/>
          <w:szCs w:val="20"/>
        </w:rPr>
        <w:t xml:space="preserve">This ICR uses the following labor rates:  $123.04 per hour for Executive, Administrative, and Managerial labor; $101.22 per hour for Technical labor, and $51.18 </w:t>
      </w:r>
    </w:p>
    <w:p w:rsidR="00F243E1" w:rsidRDefault="00F243E1" w:rsidP="00F243E1">
      <w:pPr>
        <w:ind w:right="-270"/>
        <w:rPr>
          <w:sz w:val="20"/>
          <w:szCs w:val="20"/>
        </w:rPr>
      </w:pPr>
      <w:proofErr w:type="gramStart"/>
      <w:r w:rsidRPr="00CA5DEF">
        <w:rPr>
          <w:sz w:val="20"/>
          <w:szCs w:val="20"/>
        </w:rPr>
        <w:t>per</w:t>
      </w:r>
      <w:proofErr w:type="gramEnd"/>
      <w:r w:rsidRPr="00CA5DEF">
        <w:rPr>
          <w:sz w:val="20"/>
          <w:szCs w:val="20"/>
        </w:rPr>
        <w:t xml:space="preserve"> hour for Clerical labor.  These rates are from the United States Department of Labor, Bureau of Labor Statistics, March 2013, “Table 2. </w:t>
      </w:r>
      <w:proofErr w:type="gramStart"/>
      <w:r w:rsidRPr="00CA5DEF">
        <w:rPr>
          <w:sz w:val="20"/>
          <w:szCs w:val="20"/>
        </w:rPr>
        <w:t>Civilian Workers, by</w:t>
      </w:r>
      <w:r>
        <w:rPr>
          <w:sz w:val="20"/>
          <w:szCs w:val="20"/>
        </w:rPr>
        <w:t xml:space="preserve">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9F5862" w:rsidRPr="009F5862" w:rsidRDefault="00F243E1" w:rsidP="009F5862">
      <w:pPr>
        <w:outlineLvl w:val="0"/>
        <w:rPr>
          <w:bCs/>
          <w:color w:val="000000"/>
          <w:sz w:val="20"/>
        </w:rPr>
      </w:pPr>
      <w:r w:rsidRPr="001B4753">
        <w:rPr>
          <w:bCs/>
          <w:color w:val="000000"/>
          <w:sz w:val="20"/>
          <w:vertAlign w:val="superscript"/>
        </w:rPr>
        <w:t>c.</w:t>
      </w:r>
      <w:r>
        <w:rPr>
          <w:bCs/>
          <w:color w:val="000000"/>
          <w:sz w:val="20"/>
        </w:rPr>
        <w:t xml:space="preserve"> </w:t>
      </w:r>
      <w:r w:rsidR="009F5862" w:rsidRPr="009F5862">
        <w:rPr>
          <w:bCs/>
          <w:color w:val="000000"/>
          <w:sz w:val="20"/>
        </w:rPr>
        <w:t>One-time only costs.</w:t>
      </w:r>
    </w:p>
    <w:p w:rsidR="009F5862" w:rsidRPr="009F5862" w:rsidRDefault="00F243E1" w:rsidP="009F5862">
      <w:pPr>
        <w:outlineLvl w:val="0"/>
        <w:rPr>
          <w:bCs/>
          <w:color w:val="000000"/>
          <w:sz w:val="20"/>
        </w:rPr>
      </w:pPr>
      <w:r w:rsidRPr="001B4753">
        <w:rPr>
          <w:bCs/>
          <w:color w:val="000000"/>
          <w:sz w:val="20"/>
          <w:vertAlign w:val="superscript"/>
        </w:rPr>
        <w:t>d.</w:t>
      </w:r>
      <w:r>
        <w:rPr>
          <w:bCs/>
          <w:color w:val="000000"/>
          <w:sz w:val="20"/>
        </w:rPr>
        <w:t xml:space="preserve"> </w:t>
      </w:r>
      <w:r w:rsidR="009F5862" w:rsidRPr="009F5862">
        <w:rPr>
          <w:bCs/>
          <w:color w:val="000000"/>
          <w:sz w:val="20"/>
        </w:rPr>
        <w:t>Cost incurred by a facility regardless of the number of affected units at the plant.</w:t>
      </w:r>
    </w:p>
    <w:p w:rsidR="009F5862" w:rsidRPr="009F5862" w:rsidRDefault="00F243E1" w:rsidP="009F5862">
      <w:pPr>
        <w:outlineLvl w:val="0"/>
        <w:rPr>
          <w:bCs/>
          <w:color w:val="000000"/>
          <w:sz w:val="20"/>
        </w:rPr>
      </w:pPr>
      <w:r w:rsidRPr="001B4753">
        <w:rPr>
          <w:bCs/>
          <w:color w:val="000000"/>
          <w:sz w:val="20"/>
          <w:vertAlign w:val="superscript"/>
        </w:rPr>
        <w:t>e.</w:t>
      </w:r>
      <w:r>
        <w:rPr>
          <w:bCs/>
          <w:color w:val="000000"/>
          <w:sz w:val="20"/>
        </w:rPr>
        <w:t xml:space="preserve"> </w:t>
      </w:r>
      <w:r w:rsidR="009F5862" w:rsidRPr="009F5862">
        <w:rPr>
          <w:bCs/>
          <w:color w:val="000000"/>
          <w:sz w:val="20"/>
        </w:rPr>
        <w:t>Annual cost.  Annual costs are not incurred until the second year of operation.</w:t>
      </w:r>
    </w:p>
    <w:p w:rsidR="009F5862" w:rsidRPr="009F5862" w:rsidRDefault="00F243E1" w:rsidP="009F5862">
      <w:pPr>
        <w:outlineLvl w:val="0"/>
        <w:rPr>
          <w:bCs/>
          <w:color w:val="000000"/>
          <w:sz w:val="20"/>
        </w:rPr>
      </w:pPr>
      <w:proofErr w:type="gramStart"/>
      <w:r w:rsidRPr="001B4753">
        <w:rPr>
          <w:bCs/>
          <w:color w:val="000000"/>
          <w:sz w:val="20"/>
          <w:vertAlign w:val="superscript"/>
        </w:rPr>
        <w:t>f</w:t>
      </w:r>
      <w:proofErr w:type="gramEnd"/>
      <w:r w:rsidRPr="001B4753">
        <w:rPr>
          <w:bCs/>
          <w:color w:val="000000"/>
          <w:sz w:val="20"/>
          <w:vertAlign w:val="superscript"/>
        </w:rPr>
        <w:t>.</w:t>
      </w:r>
      <w:r>
        <w:rPr>
          <w:bCs/>
          <w:color w:val="000000"/>
          <w:sz w:val="20"/>
        </w:rPr>
        <w:t xml:space="preserve"> </w:t>
      </w:r>
      <w:r w:rsidR="009F5862" w:rsidRPr="009F5862">
        <w:rPr>
          <w:bCs/>
          <w:color w:val="000000"/>
          <w:sz w:val="20"/>
        </w:rPr>
        <w:t xml:space="preserve">Assumed that 10 percent of the facilities </w:t>
      </w:r>
      <w:r w:rsidR="009F5862">
        <w:rPr>
          <w:bCs/>
          <w:color w:val="000000"/>
          <w:sz w:val="20"/>
        </w:rPr>
        <w:t xml:space="preserve">(conservatively rounded to one) </w:t>
      </w:r>
      <w:r w:rsidR="009F5862" w:rsidRPr="009F5862">
        <w:rPr>
          <w:bCs/>
          <w:color w:val="000000"/>
          <w:sz w:val="20"/>
        </w:rPr>
        <w:t>would not have a qualified operator available for more than two weeks at least o</w:t>
      </w:r>
      <w:r w:rsidR="009F5862">
        <w:rPr>
          <w:bCs/>
          <w:color w:val="000000"/>
          <w:sz w:val="20"/>
        </w:rPr>
        <w:t xml:space="preserve">nce a year. Assume that this would </w:t>
      </w:r>
      <w:r w:rsidR="009F5862" w:rsidRPr="009F5862">
        <w:rPr>
          <w:bCs/>
          <w:color w:val="000000"/>
          <w:sz w:val="20"/>
        </w:rPr>
        <w:t>require only two corrective action summaries.</w:t>
      </w:r>
    </w:p>
    <w:p w:rsidR="009F5862" w:rsidRPr="009F5862" w:rsidRDefault="00F243E1" w:rsidP="009F5862">
      <w:pPr>
        <w:outlineLvl w:val="0"/>
        <w:rPr>
          <w:bCs/>
          <w:color w:val="000000"/>
          <w:sz w:val="20"/>
        </w:rPr>
      </w:pPr>
      <w:r w:rsidRPr="001B4753">
        <w:rPr>
          <w:bCs/>
          <w:color w:val="000000"/>
          <w:sz w:val="20"/>
          <w:vertAlign w:val="superscript"/>
        </w:rPr>
        <w:t>g.</w:t>
      </w:r>
      <w:r>
        <w:rPr>
          <w:bCs/>
          <w:color w:val="000000"/>
          <w:sz w:val="20"/>
        </w:rPr>
        <w:t xml:space="preserve"> </w:t>
      </w:r>
      <w:r w:rsidR="009F5862" w:rsidRPr="009F5862">
        <w:rPr>
          <w:bCs/>
          <w:color w:val="000000"/>
          <w:sz w:val="20"/>
        </w:rPr>
        <w:t xml:space="preserve">Assumed that 10 percent of the facilities would have an exceedance during the year.  </w:t>
      </w:r>
    </w:p>
    <w:p w:rsidR="00DB78EC" w:rsidRDefault="00F243E1" w:rsidP="00DB78EC">
      <w:pPr>
        <w:rPr>
          <w:bCs/>
          <w:color w:val="000000"/>
          <w:sz w:val="20"/>
        </w:rPr>
      </w:pPr>
      <w:r w:rsidRPr="001B4753">
        <w:rPr>
          <w:bCs/>
          <w:color w:val="000000"/>
          <w:sz w:val="20"/>
          <w:vertAlign w:val="superscript"/>
        </w:rPr>
        <w:t>h.</w:t>
      </w:r>
      <w:r>
        <w:rPr>
          <w:bCs/>
          <w:color w:val="000000"/>
          <w:sz w:val="20"/>
        </w:rPr>
        <w:t xml:space="preserve"> </w:t>
      </w:r>
      <w:r w:rsidR="009F5862" w:rsidRPr="009F5862">
        <w:rPr>
          <w:bCs/>
          <w:color w:val="000000"/>
          <w:sz w:val="20"/>
        </w:rPr>
        <w:t>Facilities may test every three years if certain requirements are met, thus annual testing is divided by three to give a per year cost.  It is assumed most facilities would meet the requirements.</w:t>
      </w:r>
    </w:p>
    <w:p w:rsidR="00461A6A" w:rsidRDefault="00144F35" w:rsidP="00DB78EC">
      <w:pPr>
        <w:jc w:val="center"/>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5D3D22" w:rsidRPr="008066B5">
        <w:rPr>
          <w:b/>
        </w:rPr>
        <w:t xml:space="preserve">NSPS for Sewage Sludge Incineration Units (40 CFR </w:t>
      </w:r>
      <w:proofErr w:type="gramStart"/>
      <w:r w:rsidR="00D20D60">
        <w:rPr>
          <w:b/>
        </w:rPr>
        <w:t>P</w:t>
      </w:r>
      <w:r w:rsidR="005D3D22" w:rsidRPr="008066B5">
        <w:rPr>
          <w:b/>
        </w:rPr>
        <w:t>art</w:t>
      </w:r>
      <w:proofErr w:type="gramEnd"/>
      <w:r w:rsidR="005D3D22" w:rsidRPr="008066B5">
        <w:rPr>
          <w:b/>
        </w:rPr>
        <w:t xml:space="preserve"> 60, </w:t>
      </w:r>
      <w:r w:rsidR="00D20D60">
        <w:rPr>
          <w:b/>
        </w:rPr>
        <w:t>S</w:t>
      </w:r>
      <w:r w:rsidR="005D3D22" w:rsidRPr="008066B5">
        <w:rPr>
          <w:b/>
        </w:rPr>
        <w:t>ubpar</w:t>
      </w:r>
      <w:r w:rsidR="00461A6A">
        <w:rPr>
          <w:b/>
        </w:rPr>
        <w:t xml:space="preserve"> </w:t>
      </w:r>
      <w:r w:rsidR="005D3D22" w:rsidRPr="008066B5">
        <w:rPr>
          <w:b/>
        </w:rPr>
        <w:t>LLLL)</w:t>
      </w:r>
    </w:p>
    <w:p w:rsidR="00144F35" w:rsidRPr="00D529CD" w:rsidRDefault="005D3D22" w:rsidP="00D529CD">
      <w:pPr>
        <w:rPr>
          <w:color w:val="000000"/>
        </w:rPr>
      </w:pPr>
      <w:r w:rsidRPr="008066B5">
        <w:rPr>
          <w:b/>
        </w:rPr>
        <w:t xml:space="preserve"> (Renewal</w:t>
      </w:r>
      <w:r w:rsidRPr="00236DB3">
        <w:rPr>
          <w:b/>
        </w:rPr>
        <w:t>)</w:t>
      </w:r>
    </w:p>
    <w:tbl>
      <w:tblPr>
        <w:tblW w:w="14175" w:type="dxa"/>
        <w:jc w:val="center"/>
        <w:tblLayout w:type="fixed"/>
        <w:tblCellMar>
          <w:left w:w="134" w:type="dxa"/>
          <w:right w:w="134" w:type="dxa"/>
        </w:tblCellMar>
        <w:tblLook w:val="0000"/>
      </w:tblPr>
      <w:tblGrid>
        <w:gridCol w:w="4199"/>
        <w:gridCol w:w="1260"/>
        <w:gridCol w:w="1393"/>
        <w:gridCol w:w="1412"/>
        <w:gridCol w:w="891"/>
        <w:gridCol w:w="1170"/>
        <w:gridCol w:w="1468"/>
        <w:gridCol w:w="1080"/>
        <w:gridCol w:w="1302"/>
      </w:tblGrid>
      <w:tr w:rsidR="00D50709" w:rsidTr="00DB78EC">
        <w:trPr>
          <w:tblHeader/>
          <w:jc w:val="center"/>
        </w:trPr>
        <w:tc>
          <w:tcPr>
            <w:tcW w:w="4199" w:type="dxa"/>
            <w:tcBorders>
              <w:top w:val="single" w:sz="8" w:space="0" w:color="000000"/>
              <w:left w:val="single" w:sz="4" w:space="0" w:color="auto"/>
              <w:bottom w:val="single" w:sz="4" w:space="0" w:color="auto"/>
              <w:right w:val="single" w:sz="6" w:space="0" w:color="FFFFFF"/>
            </w:tcBorders>
            <w:vAlign w:val="center"/>
          </w:tcPr>
          <w:p w:rsidR="00D50709" w:rsidRDefault="00D50709" w:rsidP="00053BC5">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D50709" w:rsidRDefault="00D50709" w:rsidP="00053BC5">
            <w:pPr>
              <w:tabs>
                <w:tab w:val="center" w:pos="496"/>
              </w:tabs>
              <w:jc w:val="center"/>
              <w:rPr>
                <w:b/>
                <w:bCs/>
                <w:sz w:val="20"/>
                <w:szCs w:val="20"/>
              </w:rPr>
            </w:pPr>
            <w:r>
              <w:rPr>
                <w:b/>
                <w:bCs/>
                <w:sz w:val="20"/>
                <w:szCs w:val="20"/>
              </w:rPr>
              <w:t>(A)</w:t>
            </w:r>
          </w:p>
          <w:p w:rsidR="00D50709" w:rsidRDefault="00D50709" w:rsidP="00053BC5">
            <w:pPr>
              <w:jc w:val="center"/>
              <w:rPr>
                <w:b/>
                <w:bCs/>
                <w:sz w:val="20"/>
                <w:szCs w:val="20"/>
              </w:rPr>
            </w:pPr>
            <w:r>
              <w:rPr>
                <w:b/>
                <w:bCs/>
                <w:sz w:val="20"/>
                <w:szCs w:val="20"/>
              </w:rPr>
              <w:t>EPA person- hours per occurrence</w:t>
            </w:r>
          </w:p>
        </w:tc>
        <w:tc>
          <w:tcPr>
            <w:tcW w:w="1393" w:type="dxa"/>
            <w:tcBorders>
              <w:top w:val="single" w:sz="8" w:space="0" w:color="000000"/>
              <w:left w:val="single" w:sz="7" w:space="0" w:color="000000"/>
              <w:bottom w:val="single" w:sz="4" w:space="0" w:color="auto"/>
              <w:right w:val="single" w:sz="6" w:space="0" w:color="FFFFFF"/>
            </w:tcBorders>
          </w:tcPr>
          <w:p w:rsidR="00D50709" w:rsidRDefault="00D50709" w:rsidP="00053BC5">
            <w:pPr>
              <w:tabs>
                <w:tab w:val="center" w:pos="541"/>
              </w:tabs>
              <w:jc w:val="center"/>
              <w:rPr>
                <w:b/>
                <w:bCs/>
                <w:sz w:val="20"/>
                <w:szCs w:val="20"/>
              </w:rPr>
            </w:pPr>
            <w:r>
              <w:rPr>
                <w:b/>
                <w:bCs/>
                <w:sz w:val="20"/>
                <w:szCs w:val="20"/>
              </w:rPr>
              <w:t>(B)</w:t>
            </w:r>
          </w:p>
          <w:p w:rsidR="00D50709" w:rsidRDefault="00D50709" w:rsidP="00053BC5">
            <w:pPr>
              <w:tabs>
                <w:tab w:val="center" w:pos="541"/>
              </w:tabs>
              <w:jc w:val="center"/>
              <w:rPr>
                <w:b/>
                <w:bCs/>
                <w:sz w:val="20"/>
                <w:szCs w:val="20"/>
              </w:rPr>
            </w:pPr>
            <w:r>
              <w:rPr>
                <w:b/>
                <w:bCs/>
                <w:sz w:val="20"/>
                <w:szCs w:val="20"/>
              </w:rPr>
              <w:t>No. of occurrences per plant per year</w:t>
            </w:r>
          </w:p>
        </w:tc>
        <w:tc>
          <w:tcPr>
            <w:tcW w:w="1412" w:type="dxa"/>
            <w:tcBorders>
              <w:top w:val="single" w:sz="8" w:space="0" w:color="000000"/>
              <w:left w:val="single" w:sz="7" w:space="0" w:color="000000"/>
              <w:bottom w:val="single" w:sz="4" w:space="0" w:color="auto"/>
              <w:right w:val="single" w:sz="6" w:space="0" w:color="FFFFFF"/>
            </w:tcBorders>
          </w:tcPr>
          <w:p w:rsidR="00D50709" w:rsidRDefault="00D50709" w:rsidP="00053BC5">
            <w:pPr>
              <w:tabs>
                <w:tab w:val="center" w:pos="541"/>
              </w:tabs>
              <w:jc w:val="center"/>
              <w:rPr>
                <w:b/>
                <w:bCs/>
                <w:sz w:val="20"/>
                <w:szCs w:val="20"/>
              </w:rPr>
            </w:pPr>
            <w:r>
              <w:rPr>
                <w:b/>
                <w:bCs/>
                <w:sz w:val="20"/>
                <w:szCs w:val="20"/>
              </w:rPr>
              <w:t>(C)</w:t>
            </w:r>
          </w:p>
          <w:p w:rsidR="00D50709" w:rsidRDefault="00D50709" w:rsidP="00053BC5">
            <w:pPr>
              <w:tabs>
                <w:tab w:val="center" w:pos="541"/>
              </w:tabs>
              <w:jc w:val="center"/>
              <w:rPr>
                <w:b/>
                <w:bCs/>
                <w:sz w:val="20"/>
                <w:szCs w:val="20"/>
              </w:rPr>
            </w:pPr>
            <w:r>
              <w:rPr>
                <w:b/>
                <w:bCs/>
                <w:sz w:val="20"/>
                <w:szCs w:val="20"/>
              </w:rPr>
              <w:t>EPA person- hours per plant per year</w:t>
            </w:r>
          </w:p>
          <w:p w:rsidR="00D50709" w:rsidRDefault="00D50709" w:rsidP="00053BC5">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891" w:type="dxa"/>
            <w:tcBorders>
              <w:top w:val="single" w:sz="8" w:space="0" w:color="000000"/>
              <w:left w:val="single" w:sz="7" w:space="0" w:color="000000"/>
              <w:bottom w:val="single" w:sz="4" w:space="0" w:color="auto"/>
              <w:right w:val="single" w:sz="6" w:space="0" w:color="FFFFFF"/>
            </w:tcBorders>
          </w:tcPr>
          <w:p w:rsidR="00D50709" w:rsidRDefault="00D50709" w:rsidP="00053BC5">
            <w:pPr>
              <w:tabs>
                <w:tab w:val="center" w:pos="451"/>
              </w:tabs>
              <w:jc w:val="center"/>
              <w:rPr>
                <w:b/>
                <w:bCs/>
                <w:sz w:val="20"/>
                <w:szCs w:val="20"/>
              </w:rPr>
            </w:pPr>
            <w:r>
              <w:rPr>
                <w:b/>
                <w:bCs/>
                <w:sz w:val="20"/>
                <w:szCs w:val="20"/>
              </w:rPr>
              <w:t>(D)</w:t>
            </w:r>
          </w:p>
          <w:p w:rsidR="00D50709" w:rsidRDefault="00D50709" w:rsidP="00053BC5">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D50709" w:rsidRDefault="00D50709" w:rsidP="00053BC5">
            <w:pPr>
              <w:tabs>
                <w:tab w:val="center" w:pos="451"/>
              </w:tabs>
              <w:jc w:val="center"/>
              <w:rPr>
                <w:b/>
                <w:bCs/>
                <w:sz w:val="20"/>
                <w:szCs w:val="20"/>
              </w:rPr>
            </w:pPr>
            <w:r>
              <w:rPr>
                <w:b/>
                <w:bCs/>
                <w:sz w:val="20"/>
                <w:szCs w:val="20"/>
              </w:rPr>
              <w:t>(E)</w:t>
            </w:r>
          </w:p>
          <w:p w:rsidR="00D50709" w:rsidRDefault="00D50709" w:rsidP="00053BC5">
            <w:pPr>
              <w:tabs>
                <w:tab w:val="center" w:pos="451"/>
              </w:tabs>
              <w:jc w:val="center"/>
              <w:rPr>
                <w:b/>
                <w:bCs/>
                <w:sz w:val="20"/>
                <w:szCs w:val="20"/>
              </w:rPr>
            </w:pPr>
            <w:r>
              <w:rPr>
                <w:b/>
                <w:bCs/>
                <w:sz w:val="20"/>
                <w:szCs w:val="20"/>
              </w:rPr>
              <w:t>Technical person- hours per year</w:t>
            </w:r>
          </w:p>
          <w:p w:rsidR="00D50709" w:rsidRDefault="00D50709" w:rsidP="00053BC5">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68" w:type="dxa"/>
            <w:tcBorders>
              <w:top w:val="single" w:sz="8" w:space="0" w:color="000000"/>
              <w:left w:val="single" w:sz="7" w:space="0" w:color="000000"/>
              <w:bottom w:val="single" w:sz="4" w:space="0" w:color="auto"/>
              <w:right w:val="single" w:sz="6" w:space="0" w:color="FFFFFF"/>
            </w:tcBorders>
          </w:tcPr>
          <w:p w:rsidR="00D50709" w:rsidRDefault="00D50709" w:rsidP="00053BC5">
            <w:pPr>
              <w:tabs>
                <w:tab w:val="center" w:pos="676"/>
              </w:tabs>
              <w:jc w:val="center"/>
              <w:rPr>
                <w:b/>
                <w:bCs/>
                <w:sz w:val="20"/>
                <w:szCs w:val="20"/>
              </w:rPr>
            </w:pPr>
            <w:r>
              <w:rPr>
                <w:b/>
                <w:bCs/>
                <w:sz w:val="20"/>
                <w:szCs w:val="20"/>
              </w:rPr>
              <w:t>(F)</w:t>
            </w:r>
          </w:p>
          <w:p w:rsidR="00D50709" w:rsidRDefault="00D50709" w:rsidP="00053BC5">
            <w:pPr>
              <w:tabs>
                <w:tab w:val="center" w:pos="676"/>
              </w:tabs>
              <w:jc w:val="center"/>
              <w:rPr>
                <w:b/>
                <w:bCs/>
                <w:sz w:val="20"/>
                <w:szCs w:val="20"/>
              </w:rPr>
            </w:pPr>
            <w:r>
              <w:rPr>
                <w:b/>
                <w:bCs/>
                <w:sz w:val="20"/>
                <w:szCs w:val="20"/>
              </w:rPr>
              <w:t>Management person-hours per year</w:t>
            </w:r>
          </w:p>
          <w:p w:rsidR="00D50709" w:rsidRDefault="00D50709" w:rsidP="00053BC5">
            <w:pPr>
              <w:tabs>
                <w:tab w:val="center" w:pos="676"/>
              </w:tabs>
              <w:jc w:val="center"/>
              <w:rPr>
                <w:b/>
                <w:bCs/>
                <w:sz w:val="20"/>
                <w:szCs w:val="20"/>
              </w:rPr>
            </w:pPr>
            <w:r>
              <w:rPr>
                <w:b/>
                <w:bCs/>
                <w:sz w:val="20"/>
                <w:szCs w:val="20"/>
              </w:rPr>
              <w:t>(Ex0.05)</w:t>
            </w:r>
          </w:p>
          <w:p w:rsidR="00D50709" w:rsidRDefault="00D50709" w:rsidP="00053BC5">
            <w:pPr>
              <w:spacing w:after="58"/>
              <w:jc w:val="center"/>
              <w:rPr>
                <w:b/>
                <w:bCs/>
                <w:sz w:val="20"/>
                <w:szCs w:val="20"/>
              </w:rPr>
            </w:pPr>
          </w:p>
        </w:tc>
        <w:tc>
          <w:tcPr>
            <w:tcW w:w="1080" w:type="dxa"/>
            <w:tcBorders>
              <w:top w:val="single" w:sz="8" w:space="0" w:color="000000"/>
              <w:left w:val="single" w:sz="7" w:space="0" w:color="000000"/>
              <w:bottom w:val="single" w:sz="4" w:space="0" w:color="auto"/>
              <w:right w:val="single" w:sz="8" w:space="0" w:color="000000"/>
            </w:tcBorders>
          </w:tcPr>
          <w:p w:rsidR="00D50709" w:rsidRDefault="00D50709" w:rsidP="00053BC5">
            <w:pPr>
              <w:tabs>
                <w:tab w:val="center" w:pos="451"/>
              </w:tabs>
              <w:jc w:val="center"/>
              <w:rPr>
                <w:b/>
                <w:bCs/>
                <w:sz w:val="20"/>
                <w:szCs w:val="20"/>
              </w:rPr>
            </w:pPr>
            <w:r>
              <w:rPr>
                <w:b/>
                <w:bCs/>
                <w:sz w:val="20"/>
                <w:szCs w:val="20"/>
              </w:rPr>
              <w:t>(G)</w:t>
            </w:r>
          </w:p>
          <w:p w:rsidR="00D50709" w:rsidRDefault="00D50709" w:rsidP="00053BC5">
            <w:pPr>
              <w:tabs>
                <w:tab w:val="center" w:pos="451"/>
              </w:tabs>
              <w:jc w:val="center"/>
              <w:rPr>
                <w:b/>
                <w:bCs/>
                <w:sz w:val="20"/>
                <w:szCs w:val="20"/>
              </w:rPr>
            </w:pPr>
            <w:r>
              <w:rPr>
                <w:b/>
                <w:bCs/>
                <w:sz w:val="20"/>
                <w:szCs w:val="20"/>
              </w:rPr>
              <w:t>Clerical person-</w:t>
            </w:r>
          </w:p>
          <w:p w:rsidR="00D50709" w:rsidRDefault="00D50709" w:rsidP="00053BC5">
            <w:pPr>
              <w:tabs>
                <w:tab w:val="center" w:pos="451"/>
              </w:tabs>
              <w:jc w:val="center"/>
              <w:rPr>
                <w:b/>
                <w:bCs/>
                <w:sz w:val="20"/>
                <w:szCs w:val="20"/>
              </w:rPr>
            </w:pPr>
            <w:r>
              <w:rPr>
                <w:b/>
                <w:bCs/>
                <w:sz w:val="20"/>
                <w:szCs w:val="20"/>
              </w:rPr>
              <w:t>hours per year</w:t>
            </w:r>
          </w:p>
          <w:p w:rsidR="00D50709" w:rsidRDefault="00D50709" w:rsidP="00053BC5">
            <w:pPr>
              <w:tabs>
                <w:tab w:val="center" w:pos="451"/>
              </w:tabs>
              <w:jc w:val="center"/>
              <w:rPr>
                <w:b/>
                <w:bCs/>
                <w:sz w:val="20"/>
                <w:szCs w:val="20"/>
              </w:rPr>
            </w:pPr>
            <w:r>
              <w:rPr>
                <w:b/>
                <w:bCs/>
                <w:sz w:val="20"/>
                <w:szCs w:val="20"/>
              </w:rPr>
              <w:t>(Ex0.1)</w:t>
            </w:r>
          </w:p>
        </w:tc>
        <w:tc>
          <w:tcPr>
            <w:tcW w:w="1302" w:type="dxa"/>
            <w:tcBorders>
              <w:top w:val="single" w:sz="8" w:space="0" w:color="000000"/>
              <w:left w:val="single" w:sz="8" w:space="0" w:color="000000"/>
              <w:bottom w:val="single" w:sz="4" w:space="0" w:color="auto"/>
              <w:right w:val="single" w:sz="4" w:space="0" w:color="auto"/>
            </w:tcBorders>
          </w:tcPr>
          <w:p w:rsidR="00D50709" w:rsidRDefault="00D50709" w:rsidP="00053BC5">
            <w:pPr>
              <w:tabs>
                <w:tab w:val="center" w:pos="541"/>
              </w:tabs>
              <w:jc w:val="center"/>
              <w:rPr>
                <w:b/>
                <w:bCs/>
                <w:sz w:val="20"/>
                <w:szCs w:val="20"/>
              </w:rPr>
            </w:pPr>
            <w:r>
              <w:rPr>
                <w:b/>
                <w:bCs/>
                <w:sz w:val="20"/>
                <w:szCs w:val="20"/>
              </w:rPr>
              <w:t>(H)</w:t>
            </w:r>
          </w:p>
          <w:p w:rsidR="00D50709" w:rsidRDefault="00D50709" w:rsidP="00053BC5">
            <w:pPr>
              <w:tabs>
                <w:tab w:val="center" w:pos="541"/>
              </w:tabs>
              <w:spacing w:after="58"/>
              <w:jc w:val="center"/>
              <w:rPr>
                <w:b/>
                <w:bCs/>
                <w:sz w:val="20"/>
                <w:szCs w:val="20"/>
              </w:rPr>
            </w:pPr>
            <w:r>
              <w:rPr>
                <w:b/>
                <w:bCs/>
                <w:sz w:val="20"/>
                <w:szCs w:val="20"/>
              </w:rPr>
              <w:t xml:space="preserve">Cost, $ </w:t>
            </w:r>
            <w:r>
              <w:rPr>
                <w:b/>
                <w:bCs/>
                <w:vertAlign w:val="superscript"/>
              </w:rPr>
              <w:t>b</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rPr>
                <w:color w:val="000000"/>
                <w:sz w:val="20"/>
                <w:szCs w:val="20"/>
              </w:rPr>
            </w:pPr>
            <w:r w:rsidRPr="00CF3AD5">
              <w:rPr>
                <w:color w:val="000000"/>
                <w:sz w:val="20"/>
                <w:szCs w:val="20"/>
              </w:rPr>
              <w:t>1.  Applications</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N/A</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rPr>
                <w:color w:val="000000"/>
                <w:sz w:val="20"/>
                <w:szCs w:val="20"/>
              </w:rPr>
            </w:pPr>
            <w:r w:rsidRPr="00CF3AD5">
              <w:rPr>
                <w:color w:val="000000"/>
                <w:sz w:val="20"/>
                <w:szCs w:val="20"/>
              </w:rPr>
              <w:t>2. Read and Understand Rule Requirements</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$2,072.90</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rPr>
                <w:color w:val="000000"/>
                <w:sz w:val="20"/>
                <w:szCs w:val="20"/>
              </w:rPr>
            </w:pPr>
            <w:r w:rsidRPr="00CF3AD5">
              <w:rPr>
                <w:color w:val="000000"/>
                <w:sz w:val="20"/>
                <w:szCs w:val="20"/>
              </w:rPr>
              <w:t>3. Required Activities</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7A6022">
            <w:pPr>
              <w:ind w:left="297"/>
              <w:rPr>
                <w:color w:val="000000"/>
                <w:sz w:val="20"/>
                <w:szCs w:val="20"/>
              </w:rPr>
            </w:pPr>
            <w:r w:rsidRPr="00CF3AD5">
              <w:rPr>
                <w:color w:val="000000"/>
                <w:sz w:val="20"/>
                <w:szCs w:val="20"/>
              </w:rPr>
              <w:t xml:space="preserve">A. Observe stack tests </w:t>
            </w:r>
            <w:r w:rsidR="007A6022" w:rsidRPr="007A6022">
              <w:rPr>
                <w:color w:val="000000"/>
                <w:sz w:val="20"/>
                <w:szCs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48</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48</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48</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2.4</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4.8</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$2,487.48</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297"/>
              <w:rPr>
                <w:color w:val="000000"/>
                <w:sz w:val="20"/>
                <w:szCs w:val="20"/>
              </w:rPr>
            </w:pPr>
            <w:r w:rsidRPr="00CF3AD5">
              <w:rPr>
                <w:color w:val="000000"/>
                <w:sz w:val="20"/>
                <w:szCs w:val="20"/>
              </w:rPr>
              <w:t>B. Excess emissions - Enforcement activities</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24</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24</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24</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1.2</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2.4</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$1,243.74</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297"/>
              <w:rPr>
                <w:color w:val="000000"/>
                <w:sz w:val="20"/>
                <w:szCs w:val="20"/>
              </w:rPr>
            </w:pPr>
            <w:r w:rsidRPr="00CF3AD5">
              <w:rPr>
                <w:color w:val="000000"/>
                <w:sz w:val="20"/>
                <w:szCs w:val="20"/>
              </w:rPr>
              <w:t>C. Create Information</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N/A</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297"/>
              <w:rPr>
                <w:color w:val="000000"/>
                <w:sz w:val="20"/>
                <w:szCs w:val="20"/>
              </w:rPr>
            </w:pPr>
            <w:r w:rsidRPr="00CF3AD5">
              <w:rPr>
                <w:color w:val="000000"/>
                <w:sz w:val="20"/>
                <w:szCs w:val="20"/>
              </w:rPr>
              <w:t>D. Gather Information</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N/A</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297"/>
              <w:rPr>
                <w:color w:val="000000"/>
                <w:sz w:val="20"/>
                <w:szCs w:val="20"/>
              </w:rPr>
            </w:pPr>
            <w:r w:rsidRPr="00CF3AD5">
              <w:rPr>
                <w:color w:val="000000"/>
                <w:sz w:val="20"/>
                <w:szCs w:val="20"/>
              </w:rPr>
              <w:t>E. Report Reviews</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7A6022">
            <w:pPr>
              <w:ind w:left="567"/>
              <w:rPr>
                <w:color w:val="000000"/>
                <w:sz w:val="20"/>
                <w:szCs w:val="20"/>
              </w:rPr>
            </w:pPr>
            <w:proofErr w:type="spellStart"/>
            <w:r>
              <w:rPr>
                <w:color w:val="000000"/>
                <w:sz w:val="20"/>
                <w:szCs w:val="20"/>
              </w:rPr>
              <w:t>i</w:t>
            </w:r>
            <w:proofErr w:type="spellEnd"/>
            <w:r w:rsidRPr="00CF3AD5">
              <w:rPr>
                <w:color w:val="000000"/>
                <w:sz w:val="20"/>
                <w:szCs w:val="20"/>
              </w:rPr>
              <w:t xml:space="preserve">. Review initial notifications </w:t>
            </w:r>
            <w:r w:rsidR="007A6022">
              <w:rPr>
                <w:color w:val="000000"/>
                <w:sz w:val="20"/>
                <w:szCs w:val="20"/>
                <w:vertAlign w:val="superscript"/>
              </w:rPr>
              <w:t>d</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80</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80</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8</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$4,145.79</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567"/>
              <w:rPr>
                <w:color w:val="000000"/>
                <w:sz w:val="20"/>
                <w:szCs w:val="20"/>
              </w:rPr>
            </w:pPr>
            <w:r>
              <w:rPr>
                <w:color w:val="000000"/>
                <w:sz w:val="20"/>
                <w:szCs w:val="20"/>
              </w:rPr>
              <w:t>ii</w:t>
            </w:r>
            <w:r w:rsidRPr="00CF3AD5">
              <w:rPr>
                <w:color w:val="000000"/>
                <w:sz w:val="20"/>
                <w:szCs w:val="20"/>
              </w:rPr>
              <w:t>. Review initial compliance report</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40</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$2,072.90</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567"/>
              <w:rPr>
                <w:color w:val="000000"/>
                <w:sz w:val="20"/>
                <w:szCs w:val="20"/>
              </w:rPr>
            </w:pPr>
            <w:r>
              <w:rPr>
                <w:color w:val="000000"/>
                <w:sz w:val="20"/>
                <w:szCs w:val="20"/>
              </w:rPr>
              <w:t>iii</w:t>
            </w:r>
            <w:r w:rsidRPr="00CF3AD5">
              <w:rPr>
                <w:color w:val="000000"/>
                <w:sz w:val="20"/>
                <w:szCs w:val="20"/>
              </w:rPr>
              <w:t>. Review annual compliance report</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8</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$0</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567"/>
              <w:rPr>
                <w:color w:val="000000"/>
                <w:sz w:val="20"/>
                <w:szCs w:val="20"/>
              </w:rPr>
            </w:pPr>
            <w:r>
              <w:rPr>
                <w:color w:val="000000"/>
                <w:sz w:val="20"/>
                <w:szCs w:val="20"/>
              </w:rPr>
              <w:t>iv</w:t>
            </w:r>
            <w:r w:rsidRPr="00CF3AD5">
              <w:rPr>
                <w:color w:val="000000"/>
                <w:sz w:val="20"/>
                <w:szCs w:val="20"/>
              </w:rPr>
              <w:t>. Review semi-annual excess emission and parameter exceedance report</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16</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16</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32</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1.6</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3.2</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$1,658.32</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CF3AD5">
            <w:pPr>
              <w:ind w:left="567"/>
              <w:rPr>
                <w:color w:val="000000"/>
                <w:sz w:val="20"/>
                <w:szCs w:val="20"/>
              </w:rPr>
            </w:pPr>
            <w:r>
              <w:rPr>
                <w:color w:val="000000"/>
                <w:sz w:val="20"/>
                <w:szCs w:val="20"/>
              </w:rPr>
              <w:t>v</w:t>
            </w:r>
            <w:r w:rsidRPr="00CF3AD5">
              <w:rPr>
                <w:color w:val="000000"/>
                <w:sz w:val="20"/>
                <w:szCs w:val="20"/>
              </w:rPr>
              <w:t>. Review status reports and  corrective action summary for operators off-site</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8</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0.4</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0.8</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$414.58</w:t>
            </w:r>
          </w:p>
        </w:tc>
      </w:tr>
      <w:tr w:rsidR="00947DEA" w:rsidTr="00DB78EC">
        <w:trPr>
          <w:jc w:val="center"/>
        </w:trPr>
        <w:tc>
          <w:tcPr>
            <w:tcW w:w="4199" w:type="dxa"/>
            <w:tcBorders>
              <w:top w:val="single" w:sz="4" w:space="0" w:color="auto"/>
              <w:left w:val="single" w:sz="4" w:space="0" w:color="auto"/>
              <w:bottom w:val="single" w:sz="4" w:space="0" w:color="auto"/>
              <w:right w:val="single" w:sz="4" w:space="0" w:color="auto"/>
            </w:tcBorders>
            <w:vAlign w:val="bottom"/>
          </w:tcPr>
          <w:p w:rsidR="00947DEA" w:rsidRPr="00CF3AD5" w:rsidRDefault="00947DEA" w:rsidP="007A6022">
            <w:pPr>
              <w:ind w:left="297"/>
              <w:rPr>
                <w:color w:val="000000"/>
                <w:sz w:val="20"/>
                <w:szCs w:val="20"/>
              </w:rPr>
            </w:pPr>
            <w:r w:rsidRPr="00CF3AD5">
              <w:rPr>
                <w:color w:val="000000"/>
                <w:sz w:val="20"/>
                <w:szCs w:val="20"/>
              </w:rPr>
              <w:t xml:space="preserve">F. Prepare annual summary report </w:t>
            </w:r>
            <w:r w:rsidR="007A6022">
              <w:rPr>
                <w:color w:val="000000"/>
                <w:sz w:val="20"/>
                <w:szCs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1393"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1</w:t>
            </w:r>
          </w:p>
        </w:tc>
        <w:tc>
          <w:tcPr>
            <w:tcW w:w="141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4</w:t>
            </w:r>
          </w:p>
        </w:tc>
        <w:tc>
          <w:tcPr>
            <w:tcW w:w="891"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8</w:t>
            </w:r>
          </w:p>
        </w:tc>
        <w:tc>
          <w:tcPr>
            <w:tcW w:w="1468"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0.4</w:t>
            </w:r>
          </w:p>
        </w:tc>
        <w:tc>
          <w:tcPr>
            <w:tcW w:w="1080"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947DEA">
            <w:pPr>
              <w:jc w:val="center"/>
              <w:rPr>
                <w:color w:val="000000"/>
                <w:sz w:val="20"/>
                <w:szCs w:val="20"/>
              </w:rPr>
            </w:pPr>
            <w:r w:rsidRPr="00947DEA">
              <w:rPr>
                <w:color w:val="000000"/>
                <w:sz w:val="20"/>
                <w:szCs w:val="20"/>
              </w:rPr>
              <w:t>0.8</w:t>
            </w:r>
          </w:p>
        </w:tc>
        <w:tc>
          <w:tcPr>
            <w:tcW w:w="1302" w:type="dxa"/>
            <w:tcBorders>
              <w:top w:val="single" w:sz="4" w:space="0" w:color="auto"/>
              <w:left w:val="single" w:sz="4" w:space="0" w:color="auto"/>
              <w:bottom w:val="single" w:sz="4" w:space="0" w:color="auto"/>
              <w:right w:val="single" w:sz="4" w:space="0" w:color="auto"/>
            </w:tcBorders>
            <w:vAlign w:val="bottom"/>
          </w:tcPr>
          <w:p w:rsidR="00947DEA" w:rsidRPr="00947DEA" w:rsidRDefault="00947DEA" w:rsidP="00461A6A">
            <w:pPr>
              <w:jc w:val="right"/>
              <w:rPr>
                <w:color w:val="000000"/>
                <w:sz w:val="20"/>
                <w:szCs w:val="20"/>
              </w:rPr>
            </w:pPr>
            <w:r w:rsidRPr="00947DEA">
              <w:rPr>
                <w:color w:val="000000"/>
                <w:sz w:val="20"/>
                <w:szCs w:val="20"/>
              </w:rPr>
              <w:t>$414.58</w:t>
            </w:r>
          </w:p>
        </w:tc>
      </w:tr>
      <w:tr w:rsidR="00D50709" w:rsidTr="00DB78EC">
        <w:trPr>
          <w:jc w:val="center"/>
        </w:trPr>
        <w:tc>
          <w:tcPr>
            <w:tcW w:w="4199" w:type="dxa"/>
            <w:tcBorders>
              <w:top w:val="single" w:sz="4" w:space="0" w:color="auto"/>
              <w:left w:val="single" w:sz="4" w:space="0" w:color="auto"/>
              <w:bottom w:val="single" w:sz="4" w:space="0" w:color="auto"/>
              <w:right w:val="single" w:sz="4" w:space="0" w:color="auto"/>
            </w:tcBorders>
          </w:tcPr>
          <w:p w:rsidR="00D50709" w:rsidRDefault="00D50709" w:rsidP="00053BC5">
            <w:pPr>
              <w:rPr>
                <w:sz w:val="20"/>
              </w:rPr>
            </w:pPr>
            <w:r>
              <w:rPr>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tcPr>
          <w:p w:rsidR="00D50709" w:rsidRDefault="00D50709" w:rsidP="00053BC5">
            <w:pPr>
              <w:jc w:val="center"/>
              <w:rPr>
                <w:sz w:val="20"/>
              </w:rPr>
            </w:pPr>
          </w:p>
        </w:tc>
        <w:tc>
          <w:tcPr>
            <w:tcW w:w="1393" w:type="dxa"/>
            <w:tcBorders>
              <w:top w:val="single" w:sz="4" w:space="0" w:color="auto"/>
              <w:left w:val="single" w:sz="4" w:space="0" w:color="auto"/>
              <w:bottom w:val="single" w:sz="4" w:space="0" w:color="auto"/>
              <w:right w:val="single" w:sz="4" w:space="0" w:color="auto"/>
            </w:tcBorders>
          </w:tcPr>
          <w:p w:rsidR="00D50709" w:rsidRDefault="00D50709" w:rsidP="00053BC5">
            <w:pPr>
              <w:jc w:val="center"/>
              <w:rPr>
                <w:sz w:val="20"/>
              </w:rPr>
            </w:pPr>
          </w:p>
        </w:tc>
        <w:tc>
          <w:tcPr>
            <w:tcW w:w="1412" w:type="dxa"/>
            <w:tcBorders>
              <w:top w:val="single" w:sz="4" w:space="0" w:color="auto"/>
              <w:left w:val="single" w:sz="4" w:space="0" w:color="auto"/>
              <w:bottom w:val="single" w:sz="4" w:space="0" w:color="auto"/>
              <w:right w:val="single" w:sz="4" w:space="0" w:color="auto"/>
            </w:tcBorders>
          </w:tcPr>
          <w:p w:rsidR="00D50709" w:rsidRDefault="00D50709" w:rsidP="00053BC5">
            <w:pPr>
              <w:jc w:val="center"/>
              <w:rPr>
                <w:sz w:val="20"/>
              </w:rPr>
            </w:pPr>
          </w:p>
        </w:tc>
        <w:tc>
          <w:tcPr>
            <w:tcW w:w="891" w:type="dxa"/>
            <w:tcBorders>
              <w:top w:val="single" w:sz="4" w:space="0" w:color="auto"/>
              <w:left w:val="single" w:sz="4" w:space="0" w:color="auto"/>
              <w:bottom w:val="single" w:sz="4" w:space="0" w:color="auto"/>
              <w:right w:val="single" w:sz="4" w:space="0" w:color="auto"/>
            </w:tcBorders>
          </w:tcPr>
          <w:p w:rsidR="00D50709" w:rsidRDefault="00D50709" w:rsidP="00053BC5">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D50709" w:rsidRDefault="00D50709" w:rsidP="00053BC5">
            <w:pPr>
              <w:jc w:val="center"/>
              <w:rPr>
                <w:sz w:val="20"/>
              </w:rPr>
            </w:pPr>
            <w:r>
              <w:rPr>
                <w:sz w:val="20"/>
              </w:rPr>
              <w:t>280</w:t>
            </w:r>
          </w:p>
        </w:tc>
        <w:tc>
          <w:tcPr>
            <w:tcW w:w="1468" w:type="dxa"/>
            <w:tcBorders>
              <w:top w:val="single" w:sz="4" w:space="0" w:color="auto"/>
              <w:left w:val="single" w:sz="4" w:space="0" w:color="auto"/>
              <w:bottom w:val="single" w:sz="4" w:space="0" w:color="auto"/>
              <w:right w:val="single" w:sz="4" w:space="0" w:color="auto"/>
            </w:tcBorders>
          </w:tcPr>
          <w:p w:rsidR="00D50709" w:rsidRDefault="00D50709" w:rsidP="00053BC5">
            <w:pPr>
              <w:jc w:val="center"/>
              <w:rPr>
                <w:sz w:val="20"/>
              </w:rPr>
            </w:pPr>
            <w:r>
              <w:rPr>
                <w:sz w:val="20"/>
              </w:rPr>
              <w:t>14</w:t>
            </w:r>
          </w:p>
        </w:tc>
        <w:tc>
          <w:tcPr>
            <w:tcW w:w="1080" w:type="dxa"/>
            <w:tcBorders>
              <w:top w:val="single" w:sz="4" w:space="0" w:color="auto"/>
              <w:left w:val="single" w:sz="4" w:space="0" w:color="auto"/>
              <w:bottom w:val="single" w:sz="4" w:space="0" w:color="auto"/>
              <w:right w:val="single" w:sz="4" w:space="0" w:color="auto"/>
            </w:tcBorders>
          </w:tcPr>
          <w:p w:rsidR="00D50709" w:rsidRPr="00CA5DEF" w:rsidRDefault="00D50709" w:rsidP="00053BC5">
            <w:pPr>
              <w:jc w:val="center"/>
              <w:rPr>
                <w:sz w:val="20"/>
              </w:rPr>
            </w:pPr>
            <w:r w:rsidRPr="00CA5DEF">
              <w:rPr>
                <w:sz w:val="20"/>
              </w:rPr>
              <w:t>28</w:t>
            </w:r>
          </w:p>
        </w:tc>
        <w:tc>
          <w:tcPr>
            <w:tcW w:w="1302" w:type="dxa"/>
            <w:tcBorders>
              <w:top w:val="single" w:sz="4" w:space="0" w:color="auto"/>
              <w:left w:val="single" w:sz="4" w:space="0" w:color="auto"/>
              <w:bottom w:val="single" w:sz="4" w:space="0" w:color="auto"/>
              <w:right w:val="single" w:sz="4" w:space="0" w:color="auto"/>
            </w:tcBorders>
          </w:tcPr>
          <w:p w:rsidR="00D50709" w:rsidRPr="00CA5DEF" w:rsidRDefault="00D50709" w:rsidP="00461A6A">
            <w:pPr>
              <w:jc w:val="right"/>
              <w:rPr>
                <w:sz w:val="20"/>
              </w:rPr>
            </w:pPr>
            <w:r w:rsidRPr="00CA5DEF">
              <w:rPr>
                <w:sz w:val="20"/>
              </w:rPr>
              <w:t>$</w:t>
            </w:r>
            <w:r w:rsidR="00947DEA">
              <w:rPr>
                <w:sz w:val="20"/>
              </w:rPr>
              <w:t>14,510.27</w:t>
            </w:r>
          </w:p>
        </w:tc>
      </w:tr>
      <w:tr w:rsidR="00D50709" w:rsidRPr="00D20D60" w:rsidTr="00DB78EC">
        <w:trPr>
          <w:jc w:val="center"/>
        </w:trPr>
        <w:tc>
          <w:tcPr>
            <w:tcW w:w="4199" w:type="dxa"/>
            <w:tcBorders>
              <w:top w:val="single" w:sz="4" w:space="0" w:color="auto"/>
              <w:left w:val="single" w:sz="4" w:space="0" w:color="auto"/>
              <w:bottom w:val="single" w:sz="4" w:space="0" w:color="auto"/>
              <w:right w:val="single" w:sz="4" w:space="0" w:color="auto"/>
            </w:tcBorders>
          </w:tcPr>
          <w:p w:rsidR="00D50709" w:rsidRPr="00D20D60" w:rsidRDefault="00D50709" w:rsidP="00053BC5">
            <w:pPr>
              <w:rPr>
                <w:b/>
                <w:sz w:val="20"/>
              </w:rPr>
            </w:pPr>
            <w:r w:rsidRPr="00D20D60">
              <w:rPr>
                <w:b/>
                <w:sz w:val="18"/>
                <w:szCs w:val="18"/>
              </w:rPr>
              <w:t>TOTAL LABOR BURDEN AND COST (rounded)</w:t>
            </w:r>
          </w:p>
        </w:tc>
        <w:tc>
          <w:tcPr>
            <w:tcW w:w="1260" w:type="dxa"/>
            <w:tcBorders>
              <w:top w:val="single" w:sz="4" w:space="0" w:color="auto"/>
              <w:left w:val="single" w:sz="4" w:space="0" w:color="auto"/>
              <w:bottom w:val="single" w:sz="4" w:space="0" w:color="auto"/>
              <w:right w:val="single" w:sz="4" w:space="0" w:color="auto"/>
            </w:tcBorders>
          </w:tcPr>
          <w:p w:rsidR="00D50709" w:rsidRPr="00D20D60" w:rsidRDefault="00D50709" w:rsidP="00053BC5">
            <w:pPr>
              <w:rPr>
                <w:b/>
                <w:sz w:val="20"/>
              </w:rPr>
            </w:pPr>
          </w:p>
        </w:tc>
        <w:tc>
          <w:tcPr>
            <w:tcW w:w="1393" w:type="dxa"/>
            <w:tcBorders>
              <w:top w:val="single" w:sz="4" w:space="0" w:color="auto"/>
              <w:left w:val="single" w:sz="4" w:space="0" w:color="auto"/>
              <w:bottom w:val="single" w:sz="4" w:space="0" w:color="auto"/>
              <w:right w:val="single" w:sz="4" w:space="0" w:color="auto"/>
            </w:tcBorders>
          </w:tcPr>
          <w:p w:rsidR="00D50709" w:rsidRPr="00D20D60" w:rsidRDefault="00D50709" w:rsidP="00053BC5">
            <w:pPr>
              <w:rPr>
                <w:b/>
                <w:sz w:val="20"/>
              </w:rPr>
            </w:pPr>
          </w:p>
        </w:tc>
        <w:tc>
          <w:tcPr>
            <w:tcW w:w="1412" w:type="dxa"/>
            <w:tcBorders>
              <w:top w:val="single" w:sz="4" w:space="0" w:color="auto"/>
              <w:left w:val="single" w:sz="4" w:space="0" w:color="auto"/>
              <w:bottom w:val="single" w:sz="4" w:space="0" w:color="auto"/>
              <w:right w:val="single" w:sz="4" w:space="0" w:color="auto"/>
            </w:tcBorders>
          </w:tcPr>
          <w:p w:rsidR="00D50709" w:rsidRPr="00D20D60" w:rsidRDefault="00D50709" w:rsidP="00053BC5">
            <w:pPr>
              <w:rPr>
                <w:b/>
                <w:sz w:val="20"/>
              </w:rPr>
            </w:pPr>
          </w:p>
        </w:tc>
        <w:tc>
          <w:tcPr>
            <w:tcW w:w="891" w:type="dxa"/>
            <w:tcBorders>
              <w:top w:val="single" w:sz="4" w:space="0" w:color="auto"/>
              <w:left w:val="single" w:sz="4" w:space="0" w:color="auto"/>
              <w:bottom w:val="single" w:sz="4" w:space="0" w:color="auto"/>
              <w:right w:val="single" w:sz="4" w:space="0" w:color="auto"/>
            </w:tcBorders>
          </w:tcPr>
          <w:p w:rsidR="00D50709" w:rsidRPr="00D20D60" w:rsidRDefault="00D50709" w:rsidP="00053BC5">
            <w:pPr>
              <w:rPr>
                <w:b/>
                <w:sz w:val="20"/>
              </w:rPr>
            </w:pPr>
          </w:p>
        </w:tc>
        <w:tc>
          <w:tcPr>
            <w:tcW w:w="3718" w:type="dxa"/>
            <w:gridSpan w:val="3"/>
            <w:tcBorders>
              <w:top w:val="single" w:sz="4" w:space="0" w:color="auto"/>
              <w:left w:val="single" w:sz="4" w:space="0" w:color="auto"/>
              <w:bottom w:val="single" w:sz="4" w:space="0" w:color="auto"/>
              <w:right w:val="single" w:sz="4" w:space="0" w:color="auto"/>
            </w:tcBorders>
          </w:tcPr>
          <w:p w:rsidR="00D50709" w:rsidRPr="00D20D60" w:rsidRDefault="00947DEA" w:rsidP="00053BC5">
            <w:pPr>
              <w:jc w:val="center"/>
              <w:rPr>
                <w:b/>
                <w:sz w:val="20"/>
              </w:rPr>
            </w:pPr>
            <w:r w:rsidRPr="00D20D60">
              <w:rPr>
                <w:b/>
                <w:sz w:val="20"/>
              </w:rPr>
              <w:t>3</w:t>
            </w:r>
            <w:r w:rsidR="00D50709" w:rsidRPr="00D20D60">
              <w:rPr>
                <w:b/>
                <w:sz w:val="20"/>
              </w:rPr>
              <w:t>22</w:t>
            </w:r>
          </w:p>
        </w:tc>
        <w:tc>
          <w:tcPr>
            <w:tcW w:w="1302" w:type="dxa"/>
            <w:tcBorders>
              <w:top w:val="single" w:sz="4" w:space="0" w:color="auto"/>
              <w:left w:val="single" w:sz="4" w:space="0" w:color="auto"/>
              <w:bottom w:val="single" w:sz="4" w:space="0" w:color="auto"/>
              <w:right w:val="single" w:sz="4" w:space="0" w:color="auto"/>
            </w:tcBorders>
          </w:tcPr>
          <w:p w:rsidR="00D50709" w:rsidRPr="00D20D60" w:rsidRDefault="00D50709" w:rsidP="00461A6A">
            <w:pPr>
              <w:jc w:val="right"/>
              <w:rPr>
                <w:b/>
                <w:sz w:val="20"/>
              </w:rPr>
            </w:pPr>
            <w:r w:rsidRPr="00D20D60">
              <w:rPr>
                <w:b/>
                <w:sz w:val="20"/>
              </w:rPr>
              <w:t>$</w:t>
            </w:r>
            <w:r w:rsidR="00947DEA" w:rsidRPr="00D20D60">
              <w:rPr>
                <w:b/>
                <w:sz w:val="20"/>
              </w:rPr>
              <w:t>14,510</w:t>
            </w:r>
          </w:p>
        </w:tc>
      </w:tr>
    </w:tbl>
    <w:p w:rsidR="00461A6A" w:rsidRDefault="00461A6A" w:rsidP="007A6022">
      <w:pPr>
        <w:ind w:left="-360" w:right="-270"/>
        <w:rPr>
          <w:sz w:val="20"/>
          <w:szCs w:val="20"/>
        </w:rPr>
      </w:pPr>
    </w:p>
    <w:p w:rsidR="00461A6A" w:rsidRPr="00461A6A" w:rsidRDefault="00461A6A" w:rsidP="007A6022">
      <w:pPr>
        <w:ind w:left="-360" w:right="-270"/>
        <w:rPr>
          <w:b/>
          <w:sz w:val="20"/>
          <w:szCs w:val="20"/>
        </w:rPr>
      </w:pPr>
      <w:r w:rsidRPr="00461A6A">
        <w:rPr>
          <w:b/>
          <w:sz w:val="20"/>
          <w:szCs w:val="20"/>
        </w:rPr>
        <w:t>Assumptions:</w:t>
      </w:r>
    </w:p>
    <w:p w:rsidR="007A6022" w:rsidRPr="007A6022" w:rsidRDefault="007A6022" w:rsidP="007A6022">
      <w:pPr>
        <w:ind w:left="-360" w:right="-270"/>
        <w:rPr>
          <w:sz w:val="20"/>
          <w:szCs w:val="20"/>
        </w:rPr>
      </w:pPr>
      <w:r>
        <w:rPr>
          <w:sz w:val="20"/>
          <w:szCs w:val="20"/>
        </w:rPr>
        <w:t xml:space="preserve">a. There are currently no existing units subject to the standard, and we expect three new sources to become subject over the three-year period of this ICR. We have </w:t>
      </w:r>
      <w:r w:rsidRPr="007A6022">
        <w:rPr>
          <w:sz w:val="20"/>
          <w:szCs w:val="20"/>
        </w:rPr>
        <w:t xml:space="preserve">assumed that the average number of respondents that will be subject to the rule will be 1 existing source and one new source.  </w:t>
      </w:r>
    </w:p>
    <w:p w:rsidR="007A6022" w:rsidRPr="007A6022" w:rsidRDefault="007A6022" w:rsidP="007A6022">
      <w:pPr>
        <w:ind w:left="-360" w:right="-270"/>
        <w:rPr>
          <w:sz w:val="20"/>
          <w:szCs w:val="20"/>
        </w:rPr>
      </w:pPr>
      <w:r w:rsidRPr="007A6022">
        <w:rPr>
          <w:sz w:val="20"/>
          <w:szCs w:val="20"/>
        </w:rPr>
        <w:t>b.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“2010 General Schedule”, which excludes locality rates of pay.</w:t>
      </w:r>
    </w:p>
    <w:p w:rsidR="00144F35" w:rsidRPr="007A6022" w:rsidRDefault="007A6022" w:rsidP="007A6022">
      <w:pPr>
        <w:ind w:left="-360"/>
        <w:rPr>
          <w:color w:val="000000"/>
          <w:sz w:val="20"/>
          <w:szCs w:val="20"/>
        </w:rPr>
      </w:pPr>
      <w:proofErr w:type="gramStart"/>
      <w:r w:rsidRPr="007A6022">
        <w:rPr>
          <w:color w:val="000000"/>
          <w:sz w:val="20"/>
          <w:szCs w:val="20"/>
        </w:rPr>
        <w:t>c</w:t>
      </w:r>
      <w:proofErr w:type="gramEnd"/>
      <w:r w:rsidRPr="007A6022">
        <w:rPr>
          <w:color w:val="000000"/>
          <w:sz w:val="20"/>
          <w:szCs w:val="20"/>
        </w:rPr>
        <w:t>. Assumes EPA personnel attend 20 percent of the stack tests (conservatively rounded up to one plant). Assume all facilities meet reduced testing requirements, so only initial stack test required over three year period.</w:t>
      </w:r>
    </w:p>
    <w:p w:rsidR="007A6022" w:rsidRPr="007A6022" w:rsidRDefault="007A6022" w:rsidP="007A6022">
      <w:pPr>
        <w:ind w:left="-360"/>
        <w:rPr>
          <w:color w:val="000000"/>
          <w:sz w:val="20"/>
          <w:szCs w:val="20"/>
        </w:rPr>
      </w:pPr>
      <w:r w:rsidRPr="007A6022">
        <w:rPr>
          <w:color w:val="000000"/>
          <w:sz w:val="20"/>
          <w:szCs w:val="20"/>
        </w:rPr>
        <w:t>d. Includes notification of construction and notification of start-up for new units.</w:t>
      </w:r>
    </w:p>
    <w:p w:rsidR="007A6022" w:rsidRDefault="007A6022" w:rsidP="007A6022">
      <w:pPr>
        <w:ind w:left="-360"/>
        <w:rPr>
          <w:color w:val="000000"/>
        </w:rPr>
      </w:pPr>
      <w:r w:rsidRPr="007A6022">
        <w:rPr>
          <w:color w:val="000000"/>
          <w:sz w:val="20"/>
          <w:szCs w:val="20"/>
        </w:rPr>
        <w:t>e. Assumes four hours per state to write annual summary report.</w:t>
      </w:r>
      <w:r>
        <w:rPr>
          <w:color w:val="000000"/>
        </w:rPr>
        <w:t xml:space="preserve"> </w:t>
      </w:r>
    </w:p>
    <w:sectPr w:rsidR="007A602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AA4" w:rsidRDefault="00386AA4">
      <w:r>
        <w:separator/>
      </w:r>
    </w:p>
  </w:endnote>
  <w:endnote w:type="continuationSeparator" w:id="0">
    <w:p w:rsidR="00386AA4" w:rsidRDefault="00386A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Geology AGSO 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AA4" w:rsidRDefault="00386AA4">
      <w:r>
        <w:separator/>
      </w:r>
    </w:p>
  </w:footnote>
  <w:footnote w:type="continuationSeparator" w:id="0">
    <w:p w:rsidR="00386AA4" w:rsidRDefault="00386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7E" w:rsidRDefault="006B797E">
    <w:pPr>
      <w:framePr w:w="9361" w:wrap="notBeside" w:vAnchor="text" w:hAnchor="text" w:x="1" w:y="1"/>
      <w:jc w:val="center"/>
    </w:pPr>
    <w:fldSimple w:instr="PAGE ">
      <w:r w:rsidR="000A7ECF">
        <w:rPr>
          <w:noProof/>
        </w:rPr>
        <w:t>14</w:t>
      </w:r>
    </w:fldSimple>
  </w:p>
  <w:p w:rsidR="006B797E" w:rsidRDefault="006B797E"/>
  <w:p w:rsidR="006B797E" w:rsidRDefault="006B797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nsid w:val="6C80294E"/>
    <w:multiLevelType w:val="hybridMultilevel"/>
    <w:tmpl w:val="0EA67C0A"/>
    <w:lvl w:ilvl="0" w:tplc="4A0E6D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7A1E15D1"/>
    <w:multiLevelType w:val="hybridMultilevel"/>
    <w:tmpl w:val="ACDE6C96"/>
    <w:lvl w:ilvl="0" w:tplc="32DC869C">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 w:numId="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69C9"/>
    <w:rsid w:val="0001677D"/>
    <w:rsid w:val="000178CE"/>
    <w:rsid w:val="00020003"/>
    <w:rsid w:val="0003619B"/>
    <w:rsid w:val="000526E2"/>
    <w:rsid w:val="00053BC5"/>
    <w:rsid w:val="00055BDF"/>
    <w:rsid w:val="00055DC5"/>
    <w:rsid w:val="00057BED"/>
    <w:rsid w:val="000A1FBB"/>
    <w:rsid w:val="000A687C"/>
    <w:rsid w:val="000A7ECF"/>
    <w:rsid w:val="000B4C53"/>
    <w:rsid w:val="000C717D"/>
    <w:rsid w:val="000D2272"/>
    <w:rsid w:val="000F772C"/>
    <w:rsid w:val="00101B40"/>
    <w:rsid w:val="00102B52"/>
    <w:rsid w:val="0010697C"/>
    <w:rsid w:val="00123889"/>
    <w:rsid w:val="00126A7C"/>
    <w:rsid w:val="001356D4"/>
    <w:rsid w:val="0013641B"/>
    <w:rsid w:val="0014079D"/>
    <w:rsid w:val="00144978"/>
    <w:rsid w:val="00144A82"/>
    <w:rsid w:val="00144F35"/>
    <w:rsid w:val="0015433E"/>
    <w:rsid w:val="00157C27"/>
    <w:rsid w:val="00183B4D"/>
    <w:rsid w:val="00186DA3"/>
    <w:rsid w:val="00195753"/>
    <w:rsid w:val="001A0B41"/>
    <w:rsid w:val="001B0B9A"/>
    <w:rsid w:val="001B35F2"/>
    <w:rsid w:val="001B4753"/>
    <w:rsid w:val="001C322A"/>
    <w:rsid w:val="001C5991"/>
    <w:rsid w:val="001D4DA5"/>
    <w:rsid w:val="001D762C"/>
    <w:rsid w:val="001F19FF"/>
    <w:rsid w:val="00200D0D"/>
    <w:rsid w:val="002041C5"/>
    <w:rsid w:val="00205D02"/>
    <w:rsid w:val="002063FE"/>
    <w:rsid w:val="00206932"/>
    <w:rsid w:val="0021722B"/>
    <w:rsid w:val="00222F8E"/>
    <w:rsid w:val="0022738C"/>
    <w:rsid w:val="00234A28"/>
    <w:rsid w:val="00236DB3"/>
    <w:rsid w:val="002431D9"/>
    <w:rsid w:val="00247370"/>
    <w:rsid w:val="002638A0"/>
    <w:rsid w:val="002712EB"/>
    <w:rsid w:val="0027222A"/>
    <w:rsid w:val="002743D2"/>
    <w:rsid w:val="00277F42"/>
    <w:rsid w:val="00281CAE"/>
    <w:rsid w:val="0029006A"/>
    <w:rsid w:val="002904E7"/>
    <w:rsid w:val="002976E9"/>
    <w:rsid w:val="002A15A4"/>
    <w:rsid w:val="002A6522"/>
    <w:rsid w:val="002A7226"/>
    <w:rsid w:val="002B29A5"/>
    <w:rsid w:val="002B29A7"/>
    <w:rsid w:val="002B517F"/>
    <w:rsid w:val="002B6993"/>
    <w:rsid w:val="002C1F95"/>
    <w:rsid w:val="002C2972"/>
    <w:rsid w:val="002C416A"/>
    <w:rsid w:val="002C4C59"/>
    <w:rsid w:val="002C77DF"/>
    <w:rsid w:val="002D7683"/>
    <w:rsid w:val="002E1BF9"/>
    <w:rsid w:val="002E6F73"/>
    <w:rsid w:val="002F3487"/>
    <w:rsid w:val="002F3B80"/>
    <w:rsid w:val="002F674B"/>
    <w:rsid w:val="002F6DB3"/>
    <w:rsid w:val="00311E4A"/>
    <w:rsid w:val="003139FC"/>
    <w:rsid w:val="00341540"/>
    <w:rsid w:val="003420FF"/>
    <w:rsid w:val="003511C6"/>
    <w:rsid w:val="0035325B"/>
    <w:rsid w:val="003540E8"/>
    <w:rsid w:val="00354C15"/>
    <w:rsid w:val="0036539F"/>
    <w:rsid w:val="00386AA4"/>
    <w:rsid w:val="00395C6A"/>
    <w:rsid w:val="003B04D6"/>
    <w:rsid w:val="003B3637"/>
    <w:rsid w:val="003C4B46"/>
    <w:rsid w:val="003C5023"/>
    <w:rsid w:val="003C76BA"/>
    <w:rsid w:val="003D4F70"/>
    <w:rsid w:val="003D7AB7"/>
    <w:rsid w:val="003E0231"/>
    <w:rsid w:val="003E30B5"/>
    <w:rsid w:val="003E4C18"/>
    <w:rsid w:val="0040391F"/>
    <w:rsid w:val="00410952"/>
    <w:rsid w:val="0043520B"/>
    <w:rsid w:val="0044133C"/>
    <w:rsid w:val="00442D0E"/>
    <w:rsid w:val="00446C7C"/>
    <w:rsid w:val="00455557"/>
    <w:rsid w:val="00457011"/>
    <w:rsid w:val="00461A6A"/>
    <w:rsid w:val="00461CF6"/>
    <w:rsid w:val="00484A45"/>
    <w:rsid w:val="00487F9A"/>
    <w:rsid w:val="004A13F1"/>
    <w:rsid w:val="004A4B25"/>
    <w:rsid w:val="004C2B89"/>
    <w:rsid w:val="004C5E95"/>
    <w:rsid w:val="004C701D"/>
    <w:rsid w:val="004D347D"/>
    <w:rsid w:val="004E67DC"/>
    <w:rsid w:val="004F1469"/>
    <w:rsid w:val="004F6FCD"/>
    <w:rsid w:val="00504745"/>
    <w:rsid w:val="00506F64"/>
    <w:rsid w:val="00507EC5"/>
    <w:rsid w:val="00516952"/>
    <w:rsid w:val="0052005C"/>
    <w:rsid w:val="005253D4"/>
    <w:rsid w:val="00551815"/>
    <w:rsid w:val="00560AD2"/>
    <w:rsid w:val="00563346"/>
    <w:rsid w:val="00565A51"/>
    <w:rsid w:val="00566C54"/>
    <w:rsid w:val="00571260"/>
    <w:rsid w:val="0057157E"/>
    <w:rsid w:val="00583626"/>
    <w:rsid w:val="005A1986"/>
    <w:rsid w:val="005A4FA3"/>
    <w:rsid w:val="005A77D2"/>
    <w:rsid w:val="005B5DE8"/>
    <w:rsid w:val="005C3665"/>
    <w:rsid w:val="005C3CEE"/>
    <w:rsid w:val="005C42AC"/>
    <w:rsid w:val="005D0ABC"/>
    <w:rsid w:val="005D28A1"/>
    <w:rsid w:val="005D2B6A"/>
    <w:rsid w:val="005D385C"/>
    <w:rsid w:val="005D3D22"/>
    <w:rsid w:val="005D5EE6"/>
    <w:rsid w:val="005D76E8"/>
    <w:rsid w:val="005E194B"/>
    <w:rsid w:val="005F42F8"/>
    <w:rsid w:val="00601205"/>
    <w:rsid w:val="00606DEF"/>
    <w:rsid w:val="00611DA4"/>
    <w:rsid w:val="006276BA"/>
    <w:rsid w:val="00631517"/>
    <w:rsid w:val="00635DBD"/>
    <w:rsid w:val="006661EB"/>
    <w:rsid w:val="006741F7"/>
    <w:rsid w:val="00675873"/>
    <w:rsid w:val="006761D5"/>
    <w:rsid w:val="006833C0"/>
    <w:rsid w:val="00694B55"/>
    <w:rsid w:val="006B316E"/>
    <w:rsid w:val="006B797E"/>
    <w:rsid w:val="006D1B12"/>
    <w:rsid w:val="006E4A6E"/>
    <w:rsid w:val="006E642B"/>
    <w:rsid w:val="006F3592"/>
    <w:rsid w:val="00724BC7"/>
    <w:rsid w:val="00741BF6"/>
    <w:rsid w:val="00763160"/>
    <w:rsid w:val="00774036"/>
    <w:rsid w:val="00780612"/>
    <w:rsid w:val="00786A20"/>
    <w:rsid w:val="00787AD7"/>
    <w:rsid w:val="007A0634"/>
    <w:rsid w:val="007A16F4"/>
    <w:rsid w:val="007A458D"/>
    <w:rsid w:val="007A6022"/>
    <w:rsid w:val="007C0FAA"/>
    <w:rsid w:val="007C4158"/>
    <w:rsid w:val="007D4E74"/>
    <w:rsid w:val="007E6FF4"/>
    <w:rsid w:val="007F07FB"/>
    <w:rsid w:val="008066B5"/>
    <w:rsid w:val="00810507"/>
    <w:rsid w:val="00813E69"/>
    <w:rsid w:val="00817E8B"/>
    <w:rsid w:val="008338D4"/>
    <w:rsid w:val="008348E7"/>
    <w:rsid w:val="0084255D"/>
    <w:rsid w:val="00850ACF"/>
    <w:rsid w:val="00852038"/>
    <w:rsid w:val="00853496"/>
    <w:rsid w:val="00861489"/>
    <w:rsid w:val="008658F2"/>
    <w:rsid w:val="0088639E"/>
    <w:rsid w:val="00895E51"/>
    <w:rsid w:val="008971BF"/>
    <w:rsid w:val="008A46EB"/>
    <w:rsid w:val="008A51D9"/>
    <w:rsid w:val="008A7DE5"/>
    <w:rsid w:val="008B407C"/>
    <w:rsid w:val="008C75EF"/>
    <w:rsid w:val="008E65E6"/>
    <w:rsid w:val="008F285B"/>
    <w:rsid w:val="008F4564"/>
    <w:rsid w:val="008F77FB"/>
    <w:rsid w:val="009018EC"/>
    <w:rsid w:val="00906EDB"/>
    <w:rsid w:val="00907219"/>
    <w:rsid w:val="00912E00"/>
    <w:rsid w:val="00923C46"/>
    <w:rsid w:val="00947DEA"/>
    <w:rsid w:val="0095267B"/>
    <w:rsid w:val="009536EC"/>
    <w:rsid w:val="009711DB"/>
    <w:rsid w:val="00982318"/>
    <w:rsid w:val="009A0F50"/>
    <w:rsid w:val="009A16CD"/>
    <w:rsid w:val="009B4219"/>
    <w:rsid w:val="009C06F5"/>
    <w:rsid w:val="009C5698"/>
    <w:rsid w:val="009D6567"/>
    <w:rsid w:val="009E0F31"/>
    <w:rsid w:val="009F197D"/>
    <w:rsid w:val="009F5862"/>
    <w:rsid w:val="00A007F5"/>
    <w:rsid w:val="00A01C18"/>
    <w:rsid w:val="00A038EC"/>
    <w:rsid w:val="00A06B7C"/>
    <w:rsid w:val="00A11EF2"/>
    <w:rsid w:val="00A1380E"/>
    <w:rsid w:val="00A145B0"/>
    <w:rsid w:val="00A15172"/>
    <w:rsid w:val="00A15E4A"/>
    <w:rsid w:val="00A16C03"/>
    <w:rsid w:val="00A26EF7"/>
    <w:rsid w:val="00A277D6"/>
    <w:rsid w:val="00A379F8"/>
    <w:rsid w:val="00A532BF"/>
    <w:rsid w:val="00A54EEA"/>
    <w:rsid w:val="00A56AE6"/>
    <w:rsid w:val="00A56BFF"/>
    <w:rsid w:val="00A73600"/>
    <w:rsid w:val="00A74C1E"/>
    <w:rsid w:val="00A7661C"/>
    <w:rsid w:val="00A95BC7"/>
    <w:rsid w:val="00A962DF"/>
    <w:rsid w:val="00AA6636"/>
    <w:rsid w:val="00AB3AD1"/>
    <w:rsid w:val="00AC1949"/>
    <w:rsid w:val="00AD0FFA"/>
    <w:rsid w:val="00AE2C1C"/>
    <w:rsid w:val="00AF70A1"/>
    <w:rsid w:val="00B07F79"/>
    <w:rsid w:val="00B16C07"/>
    <w:rsid w:val="00B22AA2"/>
    <w:rsid w:val="00B31963"/>
    <w:rsid w:val="00B46A57"/>
    <w:rsid w:val="00B65754"/>
    <w:rsid w:val="00B66231"/>
    <w:rsid w:val="00B73877"/>
    <w:rsid w:val="00B769F1"/>
    <w:rsid w:val="00B82025"/>
    <w:rsid w:val="00B87FDF"/>
    <w:rsid w:val="00BA0A91"/>
    <w:rsid w:val="00BA4887"/>
    <w:rsid w:val="00BB3390"/>
    <w:rsid w:val="00BB3C1A"/>
    <w:rsid w:val="00BB7A59"/>
    <w:rsid w:val="00BC448F"/>
    <w:rsid w:val="00BC6DEF"/>
    <w:rsid w:val="00BC6F33"/>
    <w:rsid w:val="00BD7CAE"/>
    <w:rsid w:val="00BE2989"/>
    <w:rsid w:val="00BE7A11"/>
    <w:rsid w:val="00BF722F"/>
    <w:rsid w:val="00C05492"/>
    <w:rsid w:val="00C13FE8"/>
    <w:rsid w:val="00C30A60"/>
    <w:rsid w:val="00C33ABA"/>
    <w:rsid w:val="00C37BB6"/>
    <w:rsid w:val="00C41121"/>
    <w:rsid w:val="00C52EFD"/>
    <w:rsid w:val="00C64378"/>
    <w:rsid w:val="00C75CF0"/>
    <w:rsid w:val="00C808B5"/>
    <w:rsid w:val="00C82DB6"/>
    <w:rsid w:val="00CA4CD6"/>
    <w:rsid w:val="00CA7DA0"/>
    <w:rsid w:val="00CC48AB"/>
    <w:rsid w:val="00CC58F6"/>
    <w:rsid w:val="00CC6497"/>
    <w:rsid w:val="00CD01CC"/>
    <w:rsid w:val="00CD2069"/>
    <w:rsid w:val="00CD280D"/>
    <w:rsid w:val="00CD7E38"/>
    <w:rsid w:val="00CF2B37"/>
    <w:rsid w:val="00CF3AD5"/>
    <w:rsid w:val="00D13D9A"/>
    <w:rsid w:val="00D14A8D"/>
    <w:rsid w:val="00D20D60"/>
    <w:rsid w:val="00D21198"/>
    <w:rsid w:val="00D2273E"/>
    <w:rsid w:val="00D230C8"/>
    <w:rsid w:val="00D3452A"/>
    <w:rsid w:val="00D374A9"/>
    <w:rsid w:val="00D42D52"/>
    <w:rsid w:val="00D46FA2"/>
    <w:rsid w:val="00D50709"/>
    <w:rsid w:val="00D5080D"/>
    <w:rsid w:val="00D528B8"/>
    <w:rsid w:val="00D529CD"/>
    <w:rsid w:val="00D56F5F"/>
    <w:rsid w:val="00D61B37"/>
    <w:rsid w:val="00D63B96"/>
    <w:rsid w:val="00D84162"/>
    <w:rsid w:val="00D9059D"/>
    <w:rsid w:val="00D92F66"/>
    <w:rsid w:val="00D95819"/>
    <w:rsid w:val="00DA7285"/>
    <w:rsid w:val="00DB59E1"/>
    <w:rsid w:val="00DB78EC"/>
    <w:rsid w:val="00DC2449"/>
    <w:rsid w:val="00DD1AC1"/>
    <w:rsid w:val="00DD6B4D"/>
    <w:rsid w:val="00DD71A9"/>
    <w:rsid w:val="00DD7D49"/>
    <w:rsid w:val="00DE51E6"/>
    <w:rsid w:val="00DE6DD4"/>
    <w:rsid w:val="00DF5C4E"/>
    <w:rsid w:val="00E058C8"/>
    <w:rsid w:val="00E10DA7"/>
    <w:rsid w:val="00E1538C"/>
    <w:rsid w:val="00E25DB6"/>
    <w:rsid w:val="00E276CD"/>
    <w:rsid w:val="00E32EDA"/>
    <w:rsid w:val="00E3356D"/>
    <w:rsid w:val="00E37A1F"/>
    <w:rsid w:val="00E53137"/>
    <w:rsid w:val="00E64DCE"/>
    <w:rsid w:val="00E702F6"/>
    <w:rsid w:val="00E72D70"/>
    <w:rsid w:val="00E77D5E"/>
    <w:rsid w:val="00E849A6"/>
    <w:rsid w:val="00E85F8A"/>
    <w:rsid w:val="00E868BB"/>
    <w:rsid w:val="00EA37A9"/>
    <w:rsid w:val="00EA6640"/>
    <w:rsid w:val="00EA7026"/>
    <w:rsid w:val="00EC4074"/>
    <w:rsid w:val="00ED741E"/>
    <w:rsid w:val="00EF113F"/>
    <w:rsid w:val="00EF2A25"/>
    <w:rsid w:val="00F033F0"/>
    <w:rsid w:val="00F03803"/>
    <w:rsid w:val="00F04B44"/>
    <w:rsid w:val="00F066C9"/>
    <w:rsid w:val="00F13EE4"/>
    <w:rsid w:val="00F166B9"/>
    <w:rsid w:val="00F20822"/>
    <w:rsid w:val="00F243E1"/>
    <w:rsid w:val="00F309B2"/>
    <w:rsid w:val="00F31D6E"/>
    <w:rsid w:val="00F337B2"/>
    <w:rsid w:val="00F340DF"/>
    <w:rsid w:val="00F538BC"/>
    <w:rsid w:val="00F56362"/>
    <w:rsid w:val="00F76FA9"/>
    <w:rsid w:val="00F9092B"/>
    <w:rsid w:val="00F92D22"/>
    <w:rsid w:val="00FA7140"/>
    <w:rsid w:val="00FB0650"/>
    <w:rsid w:val="00FB2FAC"/>
    <w:rsid w:val="00FB4D98"/>
    <w:rsid w:val="00FB6378"/>
    <w:rsid w:val="00FB7BCE"/>
    <w:rsid w:val="00FC4E09"/>
    <w:rsid w:val="00FD18BE"/>
    <w:rsid w:val="00FD2EA0"/>
    <w:rsid w:val="00FD3295"/>
    <w:rsid w:val="00FD72B2"/>
    <w:rsid w:val="00FE1F30"/>
    <w:rsid w:val="00FE2099"/>
    <w:rsid w:val="00FF2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895E51"/>
    <w:pPr>
      <w:ind w:left="720"/>
      <w:contextualSpacing/>
    </w:pPr>
  </w:style>
</w:styles>
</file>

<file path=word/webSettings.xml><?xml version="1.0" encoding="utf-8"?>
<w:webSettings xmlns:r="http://schemas.openxmlformats.org/officeDocument/2006/relationships" xmlns:w="http://schemas.openxmlformats.org/wordprocessingml/2006/main">
  <w:divs>
    <w:div w:id="127404343">
      <w:bodyDiv w:val="1"/>
      <w:marLeft w:val="0"/>
      <w:marRight w:val="0"/>
      <w:marTop w:val="0"/>
      <w:marBottom w:val="0"/>
      <w:divBdr>
        <w:top w:val="none" w:sz="0" w:space="0" w:color="auto"/>
        <w:left w:val="none" w:sz="0" w:space="0" w:color="auto"/>
        <w:bottom w:val="none" w:sz="0" w:space="0" w:color="auto"/>
        <w:right w:val="none" w:sz="0" w:space="0" w:color="auto"/>
      </w:divBdr>
    </w:div>
    <w:div w:id="17716080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69225318">
      <w:bodyDiv w:val="1"/>
      <w:marLeft w:val="0"/>
      <w:marRight w:val="0"/>
      <w:marTop w:val="0"/>
      <w:marBottom w:val="0"/>
      <w:divBdr>
        <w:top w:val="none" w:sz="0" w:space="0" w:color="auto"/>
        <w:left w:val="none" w:sz="0" w:space="0" w:color="auto"/>
        <w:bottom w:val="none" w:sz="0" w:space="0" w:color="auto"/>
        <w:right w:val="none" w:sz="0" w:space="0" w:color="auto"/>
      </w:divBdr>
    </w:div>
    <w:div w:id="1540166354">
      <w:bodyDiv w:val="1"/>
      <w:marLeft w:val="0"/>
      <w:marRight w:val="0"/>
      <w:marTop w:val="0"/>
      <w:marBottom w:val="0"/>
      <w:divBdr>
        <w:top w:val="none" w:sz="0" w:space="0" w:color="auto"/>
        <w:left w:val="none" w:sz="0" w:space="0" w:color="auto"/>
        <w:bottom w:val="none" w:sz="0" w:space="0" w:color="auto"/>
        <w:right w:val="none" w:sz="0" w:space="0" w:color="auto"/>
      </w:divBdr>
    </w:div>
    <w:div w:id="20749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D7B5-1ACF-4099-BB20-F27CA49A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5972</Words>
  <Characters>34047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2014-02-11T14:29:00Z</dcterms:created>
  <dcterms:modified xsi:type="dcterms:W3CDTF">2014-02-11T14:29:00Z</dcterms:modified>
</cp:coreProperties>
</file>