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B79F22" w14:textId="77777777" w:rsidR="00D47174" w:rsidRPr="009468C0" w:rsidRDefault="00D47174" w:rsidP="00FD66F1">
      <w:pPr>
        <w:spacing w:after="0"/>
        <w:jc w:val="center"/>
        <w:rPr>
          <w:rFonts w:ascii="Times New Roman" w:hAnsi="Times New Roman"/>
          <w:sz w:val="24"/>
          <w:szCs w:val="24"/>
        </w:rPr>
      </w:pPr>
      <w:r w:rsidRPr="009468C0">
        <w:rPr>
          <w:rFonts w:ascii="Times New Roman" w:hAnsi="Times New Roman"/>
          <w:sz w:val="24"/>
          <w:szCs w:val="24"/>
        </w:rPr>
        <w:t>Supporting Statement</w:t>
      </w:r>
    </w:p>
    <w:p w14:paraId="5BB79F23" w14:textId="77777777" w:rsidR="00D47174" w:rsidRPr="009468C0" w:rsidRDefault="00D47174" w:rsidP="00FD66F1">
      <w:pPr>
        <w:spacing w:after="0"/>
        <w:jc w:val="center"/>
        <w:rPr>
          <w:rFonts w:ascii="Times New Roman" w:hAnsi="Times New Roman"/>
          <w:b/>
          <w:sz w:val="24"/>
          <w:szCs w:val="24"/>
        </w:rPr>
      </w:pPr>
      <w:r w:rsidRPr="009468C0">
        <w:rPr>
          <w:rFonts w:ascii="Times New Roman" w:hAnsi="Times New Roman"/>
          <w:b/>
          <w:sz w:val="24"/>
          <w:szCs w:val="24"/>
        </w:rPr>
        <w:t>FERC-725B, Mandatory Reliability Standards for Critical Infrastructure Protection</w:t>
      </w:r>
    </w:p>
    <w:p w14:paraId="5BB79F24" w14:textId="0FD77AE2" w:rsidR="00D47174" w:rsidRPr="009468C0" w:rsidRDefault="00D47174" w:rsidP="00A96B65">
      <w:pPr>
        <w:spacing w:after="0"/>
        <w:jc w:val="center"/>
        <w:rPr>
          <w:rFonts w:ascii="Times New Roman" w:hAnsi="Times New Roman"/>
          <w:b/>
          <w:sz w:val="24"/>
          <w:szCs w:val="24"/>
        </w:rPr>
      </w:pPr>
      <w:proofErr w:type="gramStart"/>
      <w:r w:rsidRPr="009468C0">
        <w:rPr>
          <w:rFonts w:ascii="Times New Roman" w:hAnsi="Times New Roman"/>
          <w:b/>
          <w:sz w:val="24"/>
          <w:szCs w:val="24"/>
        </w:rPr>
        <w:t xml:space="preserve">(As modified in the </w:t>
      </w:r>
      <w:r w:rsidR="00E15D36">
        <w:rPr>
          <w:rFonts w:ascii="Times New Roman" w:hAnsi="Times New Roman"/>
          <w:b/>
          <w:sz w:val="24"/>
          <w:szCs w:val="24"/>
        </w:rPr>
        <w:t>Final Rule</w:t>
      </w:r>
      <w:r w:rsidRPr="009468C0">
        <w:rPr>
          <w:rFonts w:ascii="Times New Roman" w:hAnsi="Times New Roman"/>
          <w:b/>
          <w:sz w:val="24"/>
          <w:szCs w:val="24"/>
        </w:rPr>
        <w:t xml:space="preserve"> in Docket No.</w:t>
      </w:r>
      <w:proofErr w:type="gramEnd"/>
      <w:r w:rsidRPr="009468C0">
        <w:rPr>
          <w:rFonts w:ascii="Times New Roman" w:hAnsi="Times New Roman"/>
          <w:b/>
          <w:sz w:val="24"/>
          <w:szCs w:val="24"/>
        </w:rPr>
        <w:t xml:space="preserve"> RM13-5, issued </w:t>
      </w:r>
      <w:r w:rsidR="00E15D36">
        <w:rPr>
          <w:rFonts w:ascii="Times New Roman" w:hAnsi="Times New Roman"/>
          <w:b/>
          <w:sz w:val="24"/>
          <w:szCs w:val="24"/>
        </w:rPr>
        <w:t>11</w:t>
      </w:r>
      <w:r w:rsidRPr="009468C0">
        <w:rPr>
          <w:rFonts w:ascii="Times New Roman" w:hAnsi="Times New Roman"/>
          <w:b/>
          <w:sz w:val="24"/>
          <w:szCs w:val="24"/>
        </w:rPr>
        <w:t>/</w:t>
      </w:r>
      <w:r w:rsidR="00E15D36">
        <w:rPr>
          <w:rFonts w:ascii="Times New Roman" w:hAnsi="Times New Roman"/>
          <w:b/>
          <w:sz w:val="24"/>
          <w:szCs w:val="24"/>
        </w:rPr>
        <w:t>2</w:t>
      </w:r>
      <w:r w:rsidR="00833B4B">
        <w:rPr>
          <w:rFonts w:ascii="Times New Roman" w:hAnsi="Times New Roman"/>
          <w:b/>
          <w:sz w:val="24"/>
          <w:szCs w:val="24"/>
        </w:rPr>
        <w:t>2</w:t>
      </w:r>
      <w:r w:rsidRPr="009468C0">
        <w:rPr>
          <w:rFonts w:ascii="Times New Roman" w:hAnsi="Times New Roman"/>
          <w:b/>
          <w:sz w:val="24"/>
          <w:szCs w:val="24"/>
        </w:rPr>
        <w:t>/2013)</w:t>
      </w:r>
      <w:r w:rsidR="00415BFC" w:rsidRPr="00A473F6">
        <w:rPr>
          <w:rStyle w:val="FootnoteReference"/>
          <w:rFonts w:ascii="Times New Roman" w:hAnsi="Times New Roman"/>
          <w:b/>
          <w:sz w:val="24"/>
          <w:szCs w:val="24"/>
        </w:rPr>
        <w:footnoteReference w:id="2"/>
      </w:r>
    </w:p>
    <w:p w14:paraId="5BB79F25" w14:textId="77777777" w:rsidR="00D47174" w:rsidRPr="009468C0" w:rsidRDefault="00D47174" w:rsidP="00FD66F1">
      <w:pPr>
        <w:spacing w:after="0"/>
        <w:jc w:val="center"/>
        <w:rPr>
          <w:rFonts w:ascii="Times New Roman" w:hAnsi="Times New Roman"/>
          <w:sz w:val="24"/>
          <w:szCs w:val="24"/>
        </w:rPr>
      </w:pPr>
    </w:p>
    <w:p w14:paraId="5BB79F26" w14:textId="699777C1" w:rsidR="00D47174" w:rsidRPr="009468C0" w:rsidRDefault="00D47174" w:rsidP="00F03F3B">
      <w:pPr>
        <w:spacing w:after="0"/>
        <w:rPr>
          <w:rFonts w:ascii="Times New Roman" w:hAnsi="Times New Roman"/>
          <w:sz w:val="24"/>
          <w:szCs w:val="24"/>
        </w:rPr>
      </w:pPr>
      <w:r w:rsidRPr="009468C0">
        <w:rPr>
          <w:rFonts w:ascii="Times New Roman" w:hAnsi="Times New Roman"/>
          <w:sz w:val="24"/>
          <w:szCs w:val="24"/>
        </w:rPr>
        <w:t xml:space="preserve">The Federal Energy Regulatory Commission (Commission or FERC) requests that the Office of Management and Budget (OMB) approve </w:t>
      </w:r>
      <w:r w:rsidRPr="009468C0">
        <w:rPr>
          <w:rFonts w:ascii="Times New Roman" w:hAnsi="Times New Roman"/>
          <w:b/>
          <w:bCs/>
          <w:sz w:val="24"/>
          <w:szCs w:val="24"/>
        </w:rPr>
        <w:t>FERC</w:t>
      </w:r>
      <w:r w:rsidRPr="009468C0">
        <w:rPr>
          <w:rFonts w:ascii="Times New Roman" w:hAnsi="Times New Roman"/>
          <w:b/>
          <w:bCs/>
          <w:sz w:val="24"/>
          <w:szCs w:val="24"/>
        </w:rPr>
        <w:noBreakHyphen/>
        <w:t>725B, Mandatory Reliability Standards for Critical Infrastructure Protection (CIP)</w:t>
      </w:r>
      <w:r w:rsidRPr="009468C0">
        <w:rPr>
          <w:rFonts w:ascii="Times New Roman" w:hAnsi="Times New Roman"/>
          <w:sz w:val="24"/>
          <w:szCs w:val="24"/>
        </w:rPr>
        <w:t xml:space="preserve">, for the revisions to the Reliability Standards found in </w:t>
      </w:r>
      <w:proofErr w:type="gramStart"/>
      <w:r w:rsidRPr="009468C0">
        <w:rPr>
          <w:rFonts w:ascii="Times New Roman" w:hAnsi="Times New Roman"/>
          <w:sz w:val="24"/>
          <w:szCs w:val="24"/>
        </w:rPr>
        <w:t>the</w:t>
      </w:r>
      <w:proofErr w:type="gramEnd"/>
      <w:r w:rsidRPr="009468C0">
        <w:rPr>
          <w:rFonts w:ascii="Times New Roman" w:hAnsi="Times New Roman"/>
          <w:sz w:val="24"/>
          <w:szCs w:val="24"/>
        </w:rPr>
        <w:t xml:space="preserve"> </w:t>
      </w:r>
      <w:r w:rsidR="00E15D36">
        <w:rPr>
          <w:rFonts w:ascii="Times New Roman" w:hAnsi="Times New Roman"/>
          <w:sz w:val="24"/>
          <w:szCs w:val="24"/>
        </w:rPr>
        <w:t xml:space="preserve">final rule </w:t>
      </w:r>
      <w:r w:rsidRPr="009468C0">
        <w:rPr>
          <w:rFonts w:ascii="Times New Roman" w:hAnsi="Times New Roman"/>
          <w:sz w:val="24"/>
          <w:szCs w:val="24"/>
        </w:rPr>
        <w:t xml:space="preserve">in Docket No. </w:t>
      </w:r>
      <w:proofErr w:type="gramStart"/>
      <w:r w:rsidRPr="009468C0">
        <w:rPr>
          <w:rFonts w:ascii="Times New Roman" w:hAnsi="Times New Roman"/>
          <w:sz w:val="24"/>
          <w:szCs w:val="24"/>
        </w:rPr>
        <w:t>RM13-5.</w:t>
      </w:r>
      <w:bookmarkStart w:id="0" w:name="_Ref355702017"/>
      <w:proofErr w:type="gramEnd"/>
      <w:r w:rsidR="003C24EA" w:rsidRPr="00181482">
        <w:rPr>
          <w:rStyle w:val="FootnoteReference"/>
          <w:rFonts w:ascii="Times New Roman" w:hAnsi="Times New Roman"/>
          <w:sz w:val="24"/>
          <w:szCs w:val="24"/>
          <w:vertAlign w:val="superscript"/>
        </w:rPr>
        <w:footnoteReference w:id="3"/>
      </w:r>
      <w:bookmarkEnd w:id="0"/>
      <w:r w:rsidRPr="00181482">
        <w:rPr>
          <w:rFonts w:ascii="Times New Roman" w:hAnsi="Times New Roman"/>
          <w:sz w:val="24"/>
          <w:szCs w:val="24"/>
          <w:vertAlign w:val="superscript"/>
        </w:rPr>
        <w:t xml:space="preserve"> </w:t>
      </w:r>
      <w:r w:rsidRPr="009468C0">
        <w:rPr>
          <w:rFonts w:ascii="Times New Roman" w:hAnsi="Times New Roman"/>
          <w:sz w:val="24"/>
          <w:szCs w:val="24"/>
        </w:rPr>
        <w:t xml:space="preserve">  FERC-725B</w:t>
      </w:r>
      <w:r w:rsidRPr="009468C0">
        <w:rPr>
          <w:rFonts w:ascii="Times New Roman" w:hAnsi="Times New Roman"/>
          <w:sz w:val="24"/>
          <w:szCs w:val="24"/>
          <w:vertAlign w:val="superscript"/>
        </w:rPr>
        <w:t xml:space="preserve"> </w:t>
      </w:r>
      <w:r w:rsidRPr="009468C0">
        <w:rPr>
          <w:rFonts w:ascii="Times New Roman" w:hAnsi="Times New Roman"/>
          <w:sz w:val="24"/>
          <w:szCs w:val="24"/>
        </w:rPr>
        <w:t xml:space="preserve">(OMB Control No. 1902-0248) is an existing data collection, as contained in 18 Code of Federal Regulations (CFR), Part 40.   </w:t>
      </w:r>
    </w:p>
    <w:p w14:paraId="5BB79F27" w14:textId="77777777" w:rsidR="00D47174" w:rsidRPr="009468C0" w:rsidRDefault="00D47174" w:rsidP="00FD66F1">
      <w:pPr>
        <w:spacing w:after="0"/>
        <w:rPr>
          <w:rFonts w:ascii="Times New Roman" w:hAnsi="Times New Roman"/>
          <w:sz w:val="24"/>
          <w:szCs w:val="24"/>
        </w:rPr>
      </w:pPr>
    </w:p>
    <w:p w14:paraId="5BB79F28" w14:textId="77777777" w:rsidR="00D47174" w:rsidRPr="009468C0" w:rsidRDefault="00D47174" w:rsidP="00A72E7B">
      <w:pPr>
        <w:pStyle w:val="ListParagraph"/>
        <w:numPr>
          <w:ilvl w:val="0"/>
          <w:numId w:val="1"/>
        </w:numPr>
        <w:spacing w:after="0"/>
        <w:ind w:left="360"/>
        <w:rPr>
          <w:rFonts w:ascii="Times New Roman" w:hAnsi="Times New Roman"/>
          <w:b/>
          <w:sz w:val="24"/>
          <w:szCs w:val="24"/>
        </w:rPr>
      </w:pPr>
      <w:r w:rsidRPr="009468C0">
        <w:rPr>
          <w:rFonts w:ascii="Times New Roman" w:hAnsi="Times New Roman"/>
          <w:b/>
          <w:sz w:val="24"/>
          <w:szCs w:val="24"/>
        </w:rPr>
        <w:t>CIRCUMSTANCES THAT MAKE THE COLLECTION OF INFORMATION NECESSARY</w:t>
      </w:r>
    </w:p>
    <w:p w14:paraId="5BB79F29" w14:textId="77777777" w:rsidR="00D47174" w:rsidRPr="009468C0" w:rsidRDefault="00D47174" w:rsidP="00EB3E6F">
      <w:pPr>
        <w:spacing w:after="0"/>
        <w:rPr>
          <w:rFonts w:ascii="Times New Roman" w:hAnsi="Times New Roman"/>
          <w:sz w:val="24"/>
          <w:szCs w:val="24"/>
        </w:rPr>
      </w:pPr>
    </w:p>
    <w:p w14:paraId="5BB79F2A" w14:textId="36CDD5C7" w:rsidR="00D47174" w:rsidRPr="009468C0" w:rsidRDefault="00D47174" w:rsidP="00EB3E6F">
      <w:pPr>
        <w:spacing w:after="0"/>
        <w:rPr>
          <w:rFonts w:ascii="Times New Roman" w:hAnsi="Times New Roman"/>
          <w:sz w:val="24"/>
          <w:szCs w:val="24"/>
        </w:rPr>
      </w:pPr>
      <w:r w:rsidRPr="009468C0">
        <w:rPr>
          <w:rFonts w:ascii="Times New Roman" w:hAnsi="Times New Roman"/>
          <w:sz w:val="24"/>
          <w:szCs w:val="24"/>
        </w:rPr>
        <w:t>On August 8, 2005, The Electricity Modernization Act of 2005, which is Title XII of the Energy Policy Act of 2005 (</w:t>
      </w:r>
      <w:proofErr w:type="spellStart"/>
      <w:r w:rsidRPr="009468C0">
        <w:rPr>
          <w:rFonts w:ascii="Times New Roman" w:hAnsi="Times New Roman"/>
          <w:sz w:val="24"/>
          <w:szCs w:val="24"/>
        </w:rPr>
        <w:t>EPAct</w:t>
      </w:r>
      <w:proofErr w:type="spellEnd"/>
      <w:r w:rsidRPr="009468C0">
        <w:rPr>
          <w:rFonts w:ascii="Times New Roman" w:hAnsi="Times New Roman"/>
          <w:sz w:val="24"/>
          <w:szCs w:val="24"/>
        </w:rPr>
        <w:t xml:space="preserve"> 2005), was enacted into law.</w:t>
      </w:r>
      <w:r w:rsidRPr="009468C0">
        <w:rPr>
          <w:rFonts w:ascii="Times New Roman" w:hAnsi="Times New Roman"/>
          <w:sz w:val="24"/>
          <w:szCs w:val="24"/>
          <w:vertAlign w:val="superscript"/>
        </w:rPr>
        <w:footnoteReference w:id="4"/>
      </w:r>
      <w:r w:rsidRPr="009468C0">
        <w:rPr>
          <w:rFonts w:ascii="Times New Roman" w:hAnsi="Times New Roman"/>
          <w:sz w:val="24"/>
          <w:szCs w:val="24"/>
        </w:rPr>
        <w:t xml:space="preserve">  </w:t>
      </w:r>
      <w:proofErr w:type="spellStart"/>
      <w:r w:rsidRPr="009468C0">
        <w:rPr>
          <w:rFonts w:ascii="Times New Roman" w:hAnsi="Times New Roman"/>
          <w:sz w:val="24"/>
          <w:szCs w:val="24"/>
        </w:rPr>
        <w:t>EPAct</w:t>
      </w:r>
      <w:proofErr w:type="spellEnd"/>
      <w:r w:rsidRPr="009468C0">
        <w:rPr>
          <w:rFonts w:ascii="Times New Roman" w:hAnsi="Times New Roman"/>
          <w:sz w:val="24"/>
          <w:szCs w:val="24"/>
        </w:rPr>
        <w:t xml:space="preserve"> 2005 added a new section 215 to the Federal Power Act (FPA), which requires a Commission-certified Electric Reliability Organization (ERO) to develop mandatory and enforceable Reliability Standards, which are subject to Commission review and approval.  Once approved </w:t>
      </w:r>
      <w:r w:rsidR="00B143BB">
        <w:rPr>
          <w:rFonts w:ascii="Times New Roman" w:hAnsi="Times New Roman"/>
          <w:sz w:val="24"/>
          <w:szCs w:val="24"/>
        </w:rPr>
        <w:t xml:space="preserve">by the Commission, </w:t>
      </w:r>
      <w:r w:rsidRPr="009468C0">
        <w:rPr>
          <w:rFonts w:ascii="Times New Roman" w:hAnsi="Times New Roman"/>
          <w:sz w:val="24"/>
          <w:szCs w:val="24"/>
        </w:rPr>
        <w:t>the Reliability Standards may be enforced by the ERO, subject to Commission oversight.</w:t>
      </w:r>
      <w:r w:rsidR="00CF0669">
        <w:rPr>
          <w:rFonts w:ascii="Times New Roman" w:hAnsi="Times New Roman"/>
          <w:sz w:val="24"/>
          <w:szCs w:val="24"/>
        </w:rPr>
        <w:t xml:space="preserve">  The North American Electric Reliability Corporation (NERC) is the Commission-certified ERO.</w:t>
      </w:r>
    </w:p>
    <w:p w14:paraId="5BB79F2B" w14:textId="77777777" w:rsidR="00D47174" w:rsidRPr="009468C0" w:rsidRDefault="00D47174" w:rsidP="00EB3E6F">
      <w:pPr>
        <w:spacing w:after="0"/>
        <w:rPr>
          <w:rFonts w:ascii="Times New Roman" w:hAnsi="Times New Roman"/>
          <w:sz w:val="24"/>
          <w:szCs w:val="24"/>
        </w:rPr>
      </w:pPr>
    </w:p>
    <w:p w14:paraId="5BB79F2C" w14:textId="2346122F" w:rsidR="00D47174" w:rsidRPr="009468C0" w:rsidRDefault="00D47174" w:rsidP="00F03F3B">
      <w:pPr>
        <w:spacing w:after="0"/>
        <w:rPr>
          <w:rFonts w:ascii="Times New Roman" w:hAnsi="Times New Roman"/>
          <w:sz w:val="24"/>
          <w:szCs w:val="24"/>
        </w:rPr>
      </w:pPr>
      <w:r w:rsidRPr="009468C0">
        <w:rPr>
          <w:rFonts w:ascii="Times New Roman" w:hAnsi="Times New Roman"/>
          <w:sz w:val="24"/>
          <w:szCs w:val="24"/>
        </w:rPr>
        <w:t>On January 18, 2008, the Commission issued Order No. 706, which approved the CIP version 1 Standards to address cyber security of the Bulk-Power System.</w:t>
      </w:r>
      <w:r w:rsidRPr="009468C0">
        <w:rPr>
          <w:rFonts w:ascii="Times New Roman" w:hAnsi="Times New Roman"/>
          <w:b/>
          <w:sz w:val="24"/>
          <w:szCs w:val="24"/>
          <w:vertAlign w:val="superscript"/>
        </w:rPr>
        <w:footnoteReference w:id="5"/>
      </w:r>
      <w:r w:rsidRPr="009468C0">
        <w:rPr>
          <w:rFonts w:ascii="Times New Roman" w:hAnsi="Times New Roman"/>
          <w:sz w:val="24"/>
          <w:szCs w:val="24"/>
        </w:rPr>
        <w:t xml:space="preserve">  In Order No. 706, the Commission approved eight CIP Reliability Standards (CIP-002-1 through CIP-009-1).  While approving the CIP version 1 Standards, the Commission also directed NERC to develop modifications to the CIP version 1 Standards, intended to enhance the protection provided by the CIP Reliability Standards. </w:t>
      </w:r>
      <w:r w:rsidR="00E86857">
        <w:rPr>
          <w:rFonts w:ascii="Times New Roman" w:hAnsi="Times New Roman"/>
          <w:sz w:val="24"/>
          <w:szCs w:val="24"/>
        </w:rPr>
        <w:t xml:space="preserve"> </w:t>
      </w:r>
      <w:r w:rsidRPr="009468C0">
        <w:rPr>
          <w:rFonts w:ascii="Times New Roman" w:hAnsi="Times New Roman"/>
          <w:sz w:val="24"/>
          <w:szCs w:val="24"/>
        </w:rPr>
        <w:t>Subsequently, NERC filed the CIP version 2 and CIP version 3 Standards in partial compliance with Order No. 706.  The Commission approved these standards in September 2009</w:t>
      </w:r>
      <w:r w:rsidRPr="009468C0">
        <w:rPr>
          <w:rFonts w:ascii="Times New Roman" w:hAnsi="Times New Roman"/>
          <w:b/>
          <w:sz w:val="24"/>
          <w:szCs w:val="24"/>
          <w:vertAlign w:val="superscript"/>
        </w:rPr>
        <w:footnoteReference w:id="6"/>
      </w:r>
      <w:r w:rsidRPr="009468C0">
        <w:rPr>
          <w:rFonts w:ascii="Times New Roman" w:hAnsi="Times New Roman"/>
          <w:sz w:val="24"/>
          <w:szCs w:val="24"/>
        </w:rPr>
        <w:t xml:space="preserve"> and March 2010,</w:t>
      </w:r>
      <w:r w:rsidRPr="009468C0">
        <w:rPr>
          <w:rFonts w:ascii="Times New Roman" w:hAnsi="Times New Roman"/>
          <w:b/>
          <w:sz w:val="24"/>
          <w:szCs w:val="24"/>
          <w:vertAlign w:val="superscript"/>
        </w:rPr>
        <w:footnoteReference w:id="7"/>
      </w:r>
      <w:r w:rsidRPr="009468C0">
        <w:rPr>
          <w:rFonts w:ascii="Times New Roman" w:hAnsi="Times New Roman"/>
          <w:sz w:val="24"/>
          <w:szCs w:val="24"/>
        </w:rPr>
        <w:t xml:space="preserve"> respectively.  </w:t>
      </w:r>
    </w:p>
    <w:p w14:paraId="5BB79F2D" w14:textId="77777777" w:rsidR="00D47174" w:rsidRPr="009468C0" w:rsidRDefault="00D47174" w:rsidP="00F03F3B">
      <w:pPr>
        <w:spacing w:after="0"/>
        <w:rPr>
          <w:rFonts w:ascii="Times New Roman" w:hAnsi="Times New Roman"/>
          <w:sz w:val="24"/>
          <w:szCs w:val="24"/>
        </w:rPr>
      </w:pPr>
    </w:p>
    <w:p w14:paraId="5BB79F2E" w14:textId="7BD79B56" w:rsidR="00D47174" w:rsidRPr="009468C0" w:rsidRDefault="00D47174" w:rsidP="00F03F3B">
      <w:pPr>
        <w:spacing w:after="0"/>
        <w:rPr>
          <w:rFonts w:ascii="Times New Roman" w:hAnsi="Times New Roman"/>
          <w:sz w:val="24"/>
          <w:szCs w:val="24"/>
        </w:rPr>
      </w:pPr>
      <w:r w:rsidRPr="009468C0">
        <w:rPr>
          <w:rFonts w:ascii="Times New Roman" w:hAnsi="Times New Roman"/>
          <w:sz w:val="24"/>
          <w:szCs w:val="24"/>
        </w:rPr>
        <w:t>On April 19, 2012, the Commission issued Order No. 761, which approved the CIP version 4 Standards (CIP-002-4 through CIP-009-4).</w:t>
      </w:r>
      <w:r w:rsidRPr="009468C0">
        <w:rPr>
          <w:rFonts w:ascii="Times New Roman" w:hAnsi="Times New Roman"/>
          <w:b/>
          <w:sz w:val="24"/>
          <w:szCs w:val="24"/>
          <w:vertAlign w:val="superscript"/>
        </w:rPr>
        <w:footnoteReference w:id="8"/>
      </w:r>
      <w:r w:rsidRPr="009468C0">
        <w:rPr>
          <w:rFonts w:ascii="Times New Roman" w:hAnsi="Times New Roman"/>
          <w:sz w:val="24"/>
          <w:szCs w:val="24"/>
        </w:rPr>
        <w:t xml:space="preserve">  Reliability Standard CIP-002-4 (Critical Cyber Asset Identification) sets forth 17 uniform “bright line” criteria for identifying Critical Assets.  </w:t>
      </w:r>
      <w:r w:rsidR="00B004BF">
        <w:rPr>
          <w:rFonts w:ascii="Times New Roman" w:hAnsi="Times New Roman"/>
          <w:sz w:val="24"/>
          <w:szCs w:val="24"/>
        </w:rPr>
        <w:t>In the final rule in RM13-5</w:t>
      </w:r>
      <w:r w:rsidR="00B143BB">
        <w:rPr>
          <w:rFonts w:ascii="Times New Roman" w:hAnsi="Times New Roman"/>
          <w:sz w:val="24"/>
          <w:szCs w:val="24"/>
        </w:rPr>
        <w:t>,</w:t>
      </w:r>
      <w:r w:rsidR="00B004BF">
        <w:rPr>
          <w:rFonts w:ascii="Times New Roman" w:hAnsi="Times New Roman"/>
          <w:sz w:val="24"/>
          <w:szCs w:val="24"/>
        </w:rPr>
        <w:t xml:space="preserve"> t</w:t>
      </w:r>
      <w:r w:rsidR="00B004BF" w:rsidRPr="00B004BF">
        <w:rPr>
          <w:rFonts w:ascii="Times New Roman" w:hAnsi="Times New Roman"/>
          <w:sz w:val="24"/>
          <w:szCs w:val="24"/>
        </w:rPr>
        <w:t>he Commission approves NERC’s proposal to allow responsible entities to transition from compliance with the currently-effective CIP version 3 Standards to compliance with the CIP version 5 Standards.  Thus, CIP-002-4 through CIP-009-4 will not become effective, and CIP-002-3 through CIP-009-3 will remain in effect until the effective date of the CIP version 5 Standards.</w:t>
      </w:r>
      <w:r w:rsidR="00B004BF" w:rsidRPr="00B004BF">
        <w:rPr>
          <w:rFonts w:ascii="Times New Roman" w:hAnsi="Times New Roman"/>
          <w:b/>
          <w:sz w:val="24"/>
          <w:szCs w:val="24"/>
          <w:vertAlign w:val="superscript"/>
        </w:rPr>
        <w:footnoteReference w:id="9"/>
      </w:r>
    </w:p>
    <w:p w14:paraId="5BB79F2F" w14:textId="77777777" w:rsidR="00D47174" w:rsidRPr="009468C0" w:rsidRDefault="00D47174" w:rsidP="00F03F3B">
      <w:pPr>
        <w:spacing w:after="0"/>
        <w:rPr>
          <w:rFonts w:ascii="Times New Roman" w:hAnsi="Times New Roman"/>
          <w:sz w:val="24"/>
          <w:szCs w:val="24"/>
        </w:rPr>
      </w:pPr>
    </w:p>
    <w:p w14:paraId="5BB79F30" w14:textId="0F81833A" w:rsidR="00D47174" w:rsidRPr="009468C0" w:rsidRDefault="00D47174" w:rsidP="00F03F3B">
      <w:pPr>
        <w:spacing w:after="0"/>
        <w:rPr>
          <w:rFonts w:ascii="Times New Roman" w:hAnsi="Times New Roman"/>
          <w:sz w:val="24"/>
          <w:szCs w:val="24"/>
        </w:rPr>
      </w:pPr>
      <w:r w:rsidRPr="009468C0">
        <w:rPr>
          <w:rFonts w:ascii="Times New Roman" w:hAnsi="Times New Roman"/>
          <w:sz w:val="24"/>
          <w:szCs w:val="24"/>
        </w:rPr>
        <w:t>In its petition to the Commission to approve the CIP version 5 standards, NERC states that it took into consideration</w:t>
      </w:r>
      <w:r w:rsidR="00B143BB">
        <w:rPr>
          <w:rFonts w:ascii="Times New Roman" w:hAnsi="Times New Roman"/>
          <w:sz w:val="24"/>
          <w:szCs w:val="24"/>
        </w:rPr>
        <w:t xml:space="preserve"> the</w:t>
      </w:r>
      <w:r w:rsidRPr="009468C0">
        <w:rPr>
          <w:rFonts w:ascii="Times New Roman" w:hAnsi="Times New Roman"/>
          <w:sz w:val="24"/>
          <w:szCs w:val="24"/>
        </w:rPr>
        <w:t xml:space="preserve"> 4 years of experience since the first CIP standards were implemented, “as well as FERC directives…</w:t>
      </w:r>
      <w:r w:rsidR="00B143BB">
        <w:rPr>
          <w:rFonts w:ascii="Times New Roman" w:hAnsi="Times New Roman"/>
          <w:sz w:val="24"/>
          <w:szCs w:val="24"/>
        </w:rPr>
        <w:t xml:space="preserve">[and] </w:t>
      </w:r>
      <w:r w:rsidR="00210E4B">
        <w:rPr>
          <w:rFonts w:ascii="Times New Roman" w:hAnsi="Times New Roman"/>
          <w:sz w:val="24"/>
          <w:szCs w:val="24"/>
        </w:rPr>
        <w:t>developed the proposed CIP v</w:t>
      </w:r>
      <w:r w:rsidRPr="009468C0">
        <w:rPr>
          <w:rFonts w:ascii="Times New Roman" w:hAnsi="Times New Roman"/>
          <w:sz w:val="24"/>
          <w:szCs w:val="24"/>
        </w:rPr>
        <w:t>ersion 5 standards to better protect the reliability of the nation’s Bulk Electric System (“BES”) from cyber-attacks.”</w:t>
      </w:r>
      <w:r w:rsidR="009B0B14" w:rsidRPr="009B0B14">
        <w:rPr>
          <w:rStyle w:val="FootnoteReference"/>
          <w:rFonts w:ascii="Times New Roman" w:hAnsi="Times New Roman"/>
          <w:sz w:val="24"/>
          <w:szCs w:val="24"/>
          <w:vertAlign w:val="superscript"/>
        </w:rPr>
        <w:footnoteReference w:id="10"/>
      </w:r>
    </w:p>
    <w:p w14:paraId="5BB79F31" w14:textId="77777777" w:rsidR="00D47174" w:rsidRPr="009468C0" w:rsidRDefault="00D47174" w:rsidP="00F03F3B">
      <w:pPr>
        <w:spacing w:after="0"/>
        <w:rPr>
          <w:rFonts w:ascii="Times New Roman" w:hAnsi="Times New Roman"/>
          <w:sz w:val="24"/>
          <w:szCs w:val="24"/>
        </w:rPr>
      </w:pPr>
    </w:p>
    <w:p w14:paraId="5BB79F32" w14:textId="77777777" w:rsidR="00D47174" w:rsidRPr="009468C0" w:rsidRDefault="00D47174" w:rsidP="00F03F3B">
      <w:pPr>
        <w:spacing w:after="0"/>
        <w:rPr>
          <w:rFonts w:ascii="Times New Roman" w:hAnsi="Times New Roman"/>
          <w:sz w:val="24"/>
          <w:szCs w:val="24"/>
        </w:rPr>
      </w:pPr>
      <w:r w:rsidRPr="009468C0">
        <w:rPr>
          <w:rFonts w:ascii="Times New Roman" w:hAnsi="Times New Roman"/>
          <w:sz w:val="24"/>
          <w:szCs w:val="24"/>
        </w:rPr>
        <w:t>NERC goes on to state that:</w:t>
      </w:r>
    </w:p>
    <w:p w14:paraId="5BB79F33" w14:textId="77777777" w:rsidR="00D47174" w:rsidRPr="009468C0" w:rsidRDefault="00D47174" w:rsidP="008D2123">
      <w:pPr>
        <w:spacing w:after="0"/>
        <w:rPr>
          <w:rFonts w:ascii="Times New Roman" w:hAnsi="Times New Roman"/>
          <w:sz w:val="24"/>
          <w:szCs w:val="24"/>
        </w:rPr>
      </w:pPr>
    </w:p>
    <w:p w14:paraId="5BB79F34" w14:textId="3BBBB1F3" w:rsidR="00D47174" w:rsidRPr="009468C0" w:rsidRDefault="00D47174" w:rsidP="008D2123">
      <w:pPr>
        <w:spacing w:after="0"/>
        <w:ind w:left="720"/>
        <w:rPr>
          <w:rFonts w:ascii="Times New Roman" w:hAnsi="Times New Roman"/>
          <w:sz w:val="24"/>
          <w:szCs w:val="24"/>
        </w:rPr>
      </w:pPr>
      <w:r w:rsidRPr="009468C0">
        <w:rPr>
          <w:rFonts w:ascii="Times New Roman" w:hAnsi="Times New Roman"/>
          <w:sz w:val="24"/>
          <w:szCs w:val="24"/>
        </w:rPr>
        <w:t>Th</w:t>
      </w:r>
      <w:r w:rsidR="00210E4B">
        <w:rPr>
          <w:rFonts w:ascii="Times New Roman" w:hAnsi="Times New Roman"/>
          <w:sz w:val="24"/>
          <w:szCs w:val="24"/>
        </w:rPr>
        <w:t>e improvements included in CIP v</w:t>
      </w:r>
      <w:r w:rsidRPr="009468C0">
        <w:rPr>
          <w:rFonts w:ascii="Times New Roman" w:hAnsi="Times New Roman"/>
          <w:sz w:val="24"/>
          <w:szCs w:val="24"/>
        </w:rPr>
        <w:t xml:space="preserve">ersion 5 reflect a maturity of the NERC CIP program. While the general framework of the proposed standards follow the organization of the previous CIP versions, a new process is introduced in proposed CIP-002-05 for identifying and classifying BES Cyber Systems according to “Low-Medium-High” impact.  Once BES Cyber Systems are identified, a Responsible Entity must then comply with proposed CIP-003-5 to CIP-011-1, according to specific criteria relating to impact and other characteristics such as communications connectivity. </w:t>
      </w:r>
      <w:r w:rsidR="00E15D36">
        <w:rPr>
          <w:rFonts w:ascii="Times New Roman" w:hAnsi="Times New Roman"/>
          <w:sz w:val="24"/>
          <w:szCs w:val="24"/>
        </w:rPr>
        <w:t xml:space="preserve"> </w:t>
      </w:r>
      <w:r w:rsidRPr="009468C0">
        <w:rPr>
          <w:rFonts w:ascii="Times New Roman" w:hAnsi="Times New Roman"/>
          <w:sz w:val="24"/>
          <w:szCs w:val="24"/>
        </w:rPr>
        <w:t>As such, NERC and its stakeholders have proposed the most comprehensive set of mandatory cybersecurity standards ever utilized on a widespread basis in the electric industry.</w:t>
      </w:r>
    </w:p>
    <w:p w14:paraId="5BB79F35" w14:textId="77777777" w:rsidR="00D47174" w:rsidRPr="009468C0" w:rsidRDefault="00D47174" w:rsidP="008D2123">
      <w:pPr>
        <w:spacing w:after="0"/>
        <w:rPr>
          <w:rFonts w:ascii="Times New Roman" w:hAnsi="Times New Roman"/>
          <w:sz w:val="24"/>
          <w:szCs w:val="24"/>
        </w:rPr>
      </w:pPr>
    </w:p>
    <w:p w14:paraId="5BB79F36" w14:textId="77777777" w:rsidR="00D47174" w:rsidRPr="009468C0" w:rsidRDefault="00D47174" w:rsidP="008D2123">
      <w:pPr>
        <w:spacing w:after="0"/>
        <w:rPr>
          <w:rFonts w:ascii="Times New Roman" w:hAnsi="Times New Roman"/>
          <w:sz w:val="24"/>
          <w:szCs w:val="24"/>
        </w:rPr>
      </w:pPr>
      <w:r w:rsidRPr="009468C0">
        <w:rPr>
          <w:rFonts w:ascii="Times New Roman" w:hAnsi="Times New Roman"/>
          <w:sz w:val="24"/>
          <w:szCs w:val="24"/>
        </w:rPr>
        <w:t>In terms of information collection, the CIP standards require entities to document their compliance with requirements</w:t>
      </w:r>
      <w:r w:rsidR="00DE5A98">
        <w:rPr>
          <w:rFonts w:ascii="Times New Roman" w:hAnsi="Times New Roman"/>
          <w:sz w:val="24"/>
          <w:szCs w:val="24"/>
        </w:rPr>
        <w:t xml:space="preserve"> and to develop cyber securit</w:t>
      </w:r>
      <w:r w:rsidRPr="009468C0">
        <w:rPr>
          <w:rFonts w:ascii="Times New Roman" w:hAnsi="Times New Roman"/>
          <w:sz w:val="24"/>
          <w:szCs w:val="24"/>
        </w:rPr>
        <w:t>y policies and procedures.</w:t>
      </w:r>
    </w:p>
    <w:p w14:paraId="5BB79F37" w14:textId="77777777" w:rsidR="00D47174" w:rsidRPr="009468C0" w:rsidRDefault="00D47174" w:rsidP="00EB3E6F">
      <w:pPr>
        <w:spacing w:after="0"/>
        <w:rPr>
          <w:rFonts w:ascii="Times New Roman" w:hAnsi="Times New Roman"/>
          <w:sz w:val="24"/>
          <w:szCs w:val="24"/>
        </w:rPr>
      </w:pPr>
    </w:p>
    <w:p w14:paraId="5BB79F38" w14:textId="77777777" w:rsidR="00D47174" w:rsidRPr="009468C0" w:rsidRDefault="00D47174" w:rsidP="00A72E7B">
      <w:pPr>
        <w:pStyle w:val="ListParagraph"/>
        <w:numPr>
          <w:ilvl w:val="0"/>
          <w:numId w:val="1"/>
        </w:numPr>
        <w:spacing w:after="0"/>
        <w:ind w:left="360"/>
        <w:rPr>
          <w:rFonts w:ascii="Times New Roman" w:hAnsi="Times New Roman"/>
          <w:b/>
          <w:sz w:val="24"/>
          <w:szCs w:val="24"/>
        </w:rPr>
      </w:pPr>
      <w:r w:rsidRPr="009468C0">
        <w:rPr>
          <w:rFonts w:ascii="Times New Roman" w:hAnsi="Times New Roman"/>
          <w:b/>
          <w:sz w:val="24"/>
          <w:szCs w:val="24"/>
        </w:rPr>
        <w:t>HOW, BY WHOM, AND FOR WHAT PURPOSE THE INFORMATION IS TO BE USED AND THE CONSEQUENCES OF NOT COLLECTING THE INFORMATION</w:t>
      </w:r>
    </w:p>
    <w:p w14:paraId="5BB79F39" w14:textId="77777777" w:rsidR="00D47174" w:rsidRPr="009468C0" w:rsidRDefault="00D47174" w:rsidP="00EB3E6F">
      <w:pPr>
        <w:spacing w:after="0"/>
        <w:rPr>
          <w:rFonts w:ascii="Times New Roman" w:hAnsi="Times New Roman"/>
          <w:sz w:val="24"/>
          <w:szCs w:val="24"/>
        </w:rPr>
      </w:pPr>
    </w:p>
    <w:p w14:paraId="5BB79F3A" w14:textId="1710B72C" w:rsidR="00D47174" w:rsidRPr="009468C0" w:rsidRDefault="00D47174" w:rsidP="00EB3E6F">
      <w:pPr>
        <w:spacing w:after="0"/>
        <w:rPr>
          <w:rFonts w:ascii="Times New Roman" w:hAnsi="Times New Roman"/>
          <w:sz w:val="24"/>
          <w:szCs w:val="24"/>
        </w:rPr>
      </w:pPr>
      <w:r w:rsidRPr="009468C0">
        <w:rPr>
          <w:rFonts w:ascii="Times New Roman" w:hAnsi="Times New Roman"/>
          <w:sz w:val="24"/>
          <w:szCs w:val="24"/>
        </w:rPr>
        <w:lastRenderedPageBreak/>
        <w:t>The information coll</w:t>
      </w:r>
      <w:r w:rsidR="00210E4B">
        <w:rPr>
          <w:rFonts w:ascii="Times New Roman" w:hAnsi="Times New Roman"/>
          <w:sz w:val="24"/>
          <w:szCs w:val="24"/>
        </w:rPr>
        <w:t>ection requirements in the CIP v</w:t>
      </w:r>
      <w:r w:rsidRPr="009468C0">
        <w:rPr>
          <w:rFonts w:ascii="Times New Roman" w:hAnsi="Times New Roman"/>
          <w:sz w:val="24"/>
          <w:szCs w:val="24"/>
        </w:rPr>
        <w:t xml:space="preserve">ersion 5 standards apply to </w:t>
      </w:r>
      <w:r w:rsidR="00326DDD">
        <w:rPr>
          <w:rFonts w:ascii="Times New Roman" w:hAnsi="Times New Roman"/>
          <w:sz w:val="24"/>
          <w:szCs w:val="24"/>
        </w:rPr>
        <w:t xml:space="preserve">entities registered as </w:t>
      </w:r>
      <w:r w:rsidRPr="009468C0">
        <w:rPr>
          <w:rFonts w:ascii="Times New Roman" w:hAnsi="Times New Roman"/>
          <w:sz w:val="24"/>
          <w:szCs w:val="24"/>
        </w:rPr>
        <w:t xml:space="preserve">the following </w:t>
      </w:r>
      <w:r w:rsidR="00326DDD">
        <w:rPr>
          <w:rFonts w:ascii="Times New Roman" w:hAnsi="Times New Roman"/>
          <w:sz w:val="24"/>
          <w:szCs w:val="24"/>
        </w:rPr>
        <w:t>functions</w:t>
      </w:r>
      <w:r w:rsidRPr="009468C0">
        <w:rPr>
          <w:rFonts w:ascii="Times New Roman" w:hAnsi="Times New Roman"/>
          <w:sz w:val="24"/>
          <w:szCs w:val="24"/>
        </w:rPr>
        <w:t>:</w:t>
      </w:r>
      <w:r w:rsidR="008A1635">
        <w:rPr>
          <w:rFonts w:ascii="Times New Roman" w:hAnsi="Times New Roman"/>
          <w:sz w:val="24"/>
          <w:szCs w:val="24"/>
        </w:rPr>
        <w:t xml:space="preserve"> </w:t>
      </w:r>
      <w:r w:rsidRPr="009468C0">
        <w:rPr>
          <w:rFonts w:ascii="Times New Roman" w:hAnsi="Times New Roman"/>
          <w:sz w:val="24"/>
          <w:szCs w:val="24"/>
        </w:rPr>
        <w:t xml:space="preserve"> balancing authorities, distribution providers, generator operators, generator owners, interchange coordinators (or interchange authorities), reliability coordinators, transmission operators, and transmission owners.  Based on the NERC </w:t>
      </w:r>
      <w:r w:rsidR="00DE5A98">
        <w:rPr>
          <w:rFonts w:ascii="Times New Roman" w:hAnsi="Times New Roman"/>
          <w:sz w:val="24"/>
          <w:szCs w:val="24"/>
        </w:rPr>
        <w:t xml:space="preserve">compliance </w:t>
      </w:r>
      <w:r w:rsidRPr="009468C0">
        <w:rPr>
          <w:rFonts w:ascii="Times New Roman" w:hAnsi="Times New Roman"/>
          <w:sz w:val="24"/>
          <w:szCs w:val="24"/>
        </w:rPr>
        <w:t>registry, FERC estimates there are 1,475 entities</w:t>
      </w:r>
      <w:r w:rsidR="00CF0669">
        <w:rPr>
          <w:rFonts w:ascii="Times New Roman" w:hAnsi="Times New Roman"/>
          <w:sz w:val="24"/>
          <w:szCs w:val="24"/>
        </w:rPr>
        <w:t xml:space="preserve"> in the U.S.</w:t>
      </w:r>
      <w:r w:rsidRPr="009468C0">
        <w:rPr>
          <w:rFonts w:ascii="Times New Roman" w:hAnsi="Times New Roman"/>
          <w:sz w:val="24"/>
          <w:szCs w:val="24"/>
        </w:rPr>
        <w:t xml:space="preserve"> registered for at least one of the functions listed above.</w:t>
      </w:r>
      <w:r w:rsidR="00AE77C5">
        <w:rPr>
          <w:rFonts w:ascii="Times New Roman" w:hAnsi="Times New Roman"/>
          <w:sz w:val="24"/>
          <w:szCs w:val="24"/>
        </w:rPr>
        <w:t xml:space="preserve">  Each of these entities </w:t>
      </w:r>
      <w:r w:rsidR="00E15D36">
        <w:rPr>
          <w:rFonts w:ascii="Times New Roman" w:hAnsi="Times New Roman"/>
          <w:sz w:val="24"/>
          <w:szCs w:val="24"/>
        </w:rPr>
        <w:t>is</w:t>
      </w:r>
      <w:r w:rsidR="00AE77C5">
        <w:rPr>
          <w:rFonts w:ascii="Times New Roman" w:hAnsi="Times New Roman"/>
          <w:sz w:val="24"/>
          <w:szCs w:val="24"/>
        </w:rPr>
        <w:t xml:space="preserve"> considered </w:t>
      </w:r>
      <w:r w:rsidR="00E15D36">
        <w:rPr>
          <w:rFonts w:ascii="Times New Roman" w:hAnsi="Times New Roman"/>
          <w:sz w:val="24"/>
          <w:szCs w:val="24"/>
        </w:rPr>
        <w:t xml:space="preserve">a </w:t>
      </w:r>
      <w:r w:rsidR="00AE77C5">
        <w:rPr>
          <w:rFonts w:ascii="Times New Roman" w:hAnsi="Times New Roman"/>
          <w:sz w:val="24"/>
          <w:szCs w:val="24"/>
        </w:rPr>
        <w:t>“respondent” for the purposes of fulfilling the paperwork requirements.</w:t>
      </w:r>
      <w:r w:rsidRPr="009468C0">
        <w:rPr>
          <w:rFonts w:ascii="Times New Roman" w:hAnsi="Times New Roman"/>
          <w:sz w:val="24"/>
          <w:szCs w:val="24"/>
        </w:rPr>
        <w:t xml:space="preserve">   </w:t>
      </w:r>
    </w:p>
    <w:p w14:paraId="5BB79F3B" w14:textId="77777777" w:rsidR="00FA2A53" w:rsidRPr="009468C0" w:rsidRDefault="00FA2A53" w:rsidP="00EB3E6F">
      <w:pPr>
        <w:spacing w:after="0"/>
        <w:rPr>
          <w:rFonts w:ascii="Times New Roman" w:hAnsi="Times New Roman"/>
          <w:sz w:val="24"/>
          <w:szCs w:val="24"/>
        </w:rPr>
      </w:pPr>
    </w:p>
    <w:p w14:paraId="5BB79F3C" w14:textId="77777777" w:rsidR="00D47174" w:rsidRPr="009468C0" w:rsidRDefault="00D47174" w:rsidP="00EB3E6F">
      <w:pPr>
        <w:spacing w:after="0"/>
        <w:rPr>
          <w:rFonts w:ascii="Times New Roman" w:hAnsi="Times New Roman"/>
          <w:sz w:val="24"/>
          <w:szCs w:val="24"/>
        </w:rPr>
      </w:pPr>
      <w:r w:rsidRPr="009468C0">
        <w:rPr>
          <w:rFonts w:ascii="Times New Roman" w:hAnsi="Times New Roman"/>
          <w:sz w:val="24"/>
          <w:szCs w:val="24"/>
        </w:rPr>
        <w:t>The cyber security policy, process, and procedure documentation required by the CIP standards are the principal components of a cyber-security program.  The main use for the information generated is to achieve and maintain a cyber-secure operational state, a process which requires vigilant monitoring of activity agains</w:t>
      </w:r>
      <w:r w:rsidR="00B61CAD" w:rsidRPr="009468C0">
        <w:rPr>
          <w:rFonts w:ascii="Times New Roman" w:hAnsi="Times New Roman"/>
          <w:sz w:val="24"/>
          <w:szCs w:val="24"/>
        </w:rPr>
        <w:t>t documented policies and proce</w:t>
      </w:r>
      <w:r w:rsidRPr="009468C0">
        <w:rPr>
          <w:rFonts w:ascii="Times New Roman" w:hAnsi="Times New Roman"/>
          <w:sz w:val="24"/>
          <w:szCs w:val="24"/>
        </w:rPr>
        <w:t xml:space="preserve">dures.  </w:t>
      </w:r>
      <w:r w:rsidR="007168B2">
        <w:rPr>
          <w:rFonts w:ascii="Times New Roman" w:hAnsi="Times New Roman"/>
          <w:sz w:val="24"/>
          <w:szCs w:val="24"/>
        </w:rPr>
        <w:t xml:space="preserve">The information generated can also be used to show auditors that required cyber security policies, processes, and procedures are designed to achieve the requirement and are implemented as designed.  </w:t>
      </w:r>
      <w:r w:rsidRPr="009468C0">
        <w:rPr>
          <w:rFonts w:ascii="Times New Roman" w:hAnsi="Times New Roman"/>
          <w:sz w:val="24"/>
          <w:szCs w:val="24"/>
        </w:rPr>
        <w:t xml:space="preserve">Similarly, the applicable compliance enforcement authority (regional entity or NERC) </w:t>
      </w:r>
      <w:r w:rsidR="007168B2">
        <w:rPr>
          <w:rFonts w:ascii="Times New Roman" w:hAnsi="Times New Roman"/>
          <w:sz w:val="24"/>
          <w:szCs w:val="24"/>
        </w:rPr>
        <w:t xml:space="preserve">relies upon any such documentation it is shown </w:t>
      </w:r>
      <w:r w:rsidRPr="009468C0">
        <w:rPr>
          <w:rFonts w:ascii="Times New Roman" w:hAnsi="Times New Roman"/>
          <w:sz w:val="24"/>
          <w:szCs w:val="24"/>
        </w:rPr>
        <w:t>to measure an entity’s compliance with a given requirement.</w:t>
      </w:r>
      <w:r w:rsidR="00AE77C5">
        <w:rPr>
          <w:rFonts w:ascii="Times New Roman" w:hAnsi="Times New Roman"/>
          <w:sz w:val="24"/>
          <w:szCs w:val="24"/>
        </w:rPr>
        <w:t xml:space="preserve">  The information is also used for evaluating reliability events or for enforcement actions.</w:t>
      </w:r>
      <w:r w:rsidRPr="009468C0">
        <w:rPr>
          <w:rFonts w:ascii="Times New Roman" w:hAnsi="Times New Roman"/>
          <w:sz w:val="24"/>
          <w:szCs w:val="24"/>
        </w:rPr>
        <w:t xml:space="preserve"> </w:t>
      </w:r>
    </w:p>
    <w:p w14:paraId="5BB79F3D" w14:textId="77777777" w:rsidR="00D47174" w:rsidRPr="009468C0" w:rsidRDefault="00D47174" w:rsidP="00EB3E6F">
      <w:pPr>
        <w:spacing w:after="0"/>
        <w:rPr>
          <w:rFonts w:ascii="Times New Roman" w:hAnsi="Times New Roman"/>
          <w:sz w:val="24"/>
          <w:szCs w:val="24"/>
        </w:rPr>
      </w:pPr>
    </w:p>
    <w:p w14:paraId="5BB79F3E" w14:textId="1073FB51" w:rsidR="00D47174" w:rsidRPr="009468C0" w:rsidRDefault="00D47174" w:rsidP="00EB3E6F">
      <w:pPr>
        <w:spacing w:after="0"/>
        <w:rPr>
          <w:rFonts w:ascii="Times New Roman" w:hAnsi="Times New Roman"/>
          <w:sz w:val="24"/>
          <w:szCs w:val="24"/>
        </w:rPr>
      </w:pPr>
      <w:r w:rsidRPr="009468C0">
        <w:rPr>
          <w:rFonts w:ascii="Times New Roman" w:hAnsi="Times New Roman"/>
          <w:sz w:val="24"/>
          <w:szCs w:val="24"/>
        </w:rPr>
        <w:t xml:space="preserve">If the information collection requirements did not exist then it would be difficult to monitor and enforce compliance with the standards which could lead entities to relax their compliance with the requirements.  Also, creating and maintaining documentation is integral to the task of performing cyber security, as reflected in the fact that some of the reliability standards’ requirements actually require an entity to create a document (as opposed to </w:t>
      </w:r>
      <w:r w:rsidRPr="009468C0">
        <w:rPr>
          <w:rFonts w:ascii="Times New Roman" w:hAnsi="Times New Roman"/>
          <w:i/>
          <w:sz w:val="24"/>
          <w:szCs w:val="24"/>
        </w:rPr>
        <w:t xml:space="preserve">documenting </w:t>
      </w:r>
      <w:r w:rsidRPr="009468C0">
        <w:rPr>
          <w:rFonts w:ascii="Times New Roman" w:hAnsi="Times New Roman"/>
          <w:sz w:val="24"/>
          <w:szCs w:val="24"/>
        </w:rPr>
        <w:t>compliance with a requirement).  Without such information collection an entity may fail to perform actions that may affect the reliability and security of the grid.</w:t>
      </w:r>
    </w:p>
    <w:p w14:paraId="5BB79F3F" w14:textId="77777777" w:rsidR="00D47174" w:rsidRPr="009468C0" w:rsidRDefault="00D47174" w:rsidP="00EB3E6F">
      <w:pPr>
        <w:spacing w:after="0"/>
        <w:rPr>
          <w:rFonts w:ascii="Times New Roman" w:hAnsi="Times New Roman"/>
          <w:sz w:val="24"/>
          <w:szCs w:val="24"/>
        </w:rPr>
      </w:pPr>
    </w:p>
    <w:p w14:paraId="5BB79F40" w14:textId="77777777" w:rsidR="00D47174" w:rsidRPr="009468C0" w:rsidRDefault="00D47174" w:rsidP="00A72E7B">
      <w:pPr>
        <w:pStyle w:val="ListParagraph"/>
        <w:numPr>
          <w:ilvl w:val="0"/>
          <w:numId w:val="1"/>
        </w:numPr>
        <w:spacing w:after="0"/>
        <w:ind w:left="360"/>
        <w:rPr>
          <w:rFonts w:ascii="Times New Roman" w:hAnsi="Times New Roman"/>
          <w:b/>
          <w:sz w:val="24"/>
          <w:szCs w:val="24"/>
        </w:rPr>
      </w:pPr>
      <w:r w:rsidRPr="009468C0">
        <w:rPr>
          <w:rFonts w:ascii="Times New Roman" w:hAnsi="Times New Roman"/>
          <w:b/>
          <w:sz w:val="24"/>
          <w:szCs w:val="24"/>
        </w:rPr>
        <w:t>DESCRIBE ANY CONSIDERATION OF THE USE OF IMPROVED INFORMATION TECHNOLOGY TO REDUCE THE BURDEN AND TECHNICAL OR LEGAL OBSTACLES TO REDUCING BURDEN</w:t>
      </w:r>
    </w:p>
    <w:p w14:paraId="5BB79F41" w14:textId="77777777" w:rsidR="00D47174" w:rsidRPr="009468C0" w:rsidRDefault="00D47174" w:rsidP="00EB3E6F">
      <w:pPr>
        <w:spacing w:after="0"/>
        <w:rPr>
          <w:rFonts w:ascii="Times New Roman" w:hAnsi="Times New Roman"/>
          <w:sz w:val="24"/>
          <w:szCs w:val="24"/>
        </w:rPr>
      </w:pPr>
    </w:p>
    <w:p w14:paraId="5BB79F42" w14:textId="77777777" w:rsidR="00D47174" w:rsidRPr="009468C0" w:rsidRDefault="00D47174" w:rsidP="00EB3E6F">
      <w:pPr>
        <w:spacing w:after="0"/>
        <w:rPr>
          <w:rFonts w:ascii="Times New Roman" w:hAnsi="Times New Roman"/>
          <w:sz w:val="24"/>
          <w:szCs w:val="24"/>
        </w:rPr>
      </w:pPr>
      <w:r w:rsidRPr="009468C0">
        <w:rPr>
          <w:rFonts w:ascii="Times New Roman" w:hAnsi="Times New Roman"/>
          <w:sz w:val="24"/>
          <w:szCs w:val="24"/>
        </w:rPr>
        <w:t>The use of current or improved technology is not covered in the CIP Reliability Standards, and is therefore left to the discretion of each responsible entity.</w:t>
      </w:r>
    </w:p>
    <w:p w14:paraId="5BB79F43" w14:textId="77777777" w:rsidR="00D47174" w:rsidRPr="009468C0" w:rsidRDefault="00D47174" w:rsidP="00EB3E6F">
      <w:pPr>
        <w:spacing w:after="0"/>
        <w:rPr>
          <w:rFonts w:ascii="Times New Roman" w:hAnsi="Times New Roman"/>
          <w:sz w:val="24"/>
          <w:szCs w:val="24"/>
        </w:rPr>
      </w:pPr>
    </w:p>
    <w:p w14:paraId="5BB79F44" w14:textId="77777777" w:rsidR="00D47174" w:rsidRPr="009468C0" w:rsidRDefault="00D47174" w:rsidP="00A72E7B">
      <w:pPr>
        <w:pStyle w:val="ListParagraph"/>
        <w:numPr>
          <w:ilvl w:val="0"/>
          <w:numId w:val="1"/>
        </w:numPr>
        <w:spacing w:after="0"/>
        <w:ind w:left="360"/>
        <w:rPr>
          <w:rFonts w:ascii="Times New Roman" w:hAnsi="Times New Roman"/>
          <w:b/>
          <w:sz w:val="24"/>
          <w:szCs w:val="24"/>
        </w:rPr>
      </w:pPr>
      <w:r w:rsidRPr="009468C0">
        <w:rPr>
          <w:rFonts w:ascii="Times New Roman" w:hAnsi="Times New Roman"/>
          <w:b/>
          <w:sz w:val="24"/>
          <w:szCs w:val="24"/>
        </w:rPr>
        <w:t>DESCRIBE EFFORTS TO IDENTIFY DUPLICATION AND SHOW SPECIFICALLY WHY ANY SIMILAR INFORMATION ALREADY AVAILABLE CANNOT BE USED OR MODIFIED FOR USE FOR THE PURPOSE(S) DESCRIBED IN INSTRUCTION NO. 2</w:t>
      </w:r>
    </w:p>
    <w:p w14:paraId="5BB79F45" w14:textId="77777777" w:rsidR="00D47174" w:rsidRPr="009468C0" w:rsidRDefault="00D47174" w:rsidP="00EB3E6F">
      <w:pPr>
        <w:spacing w:after="0"/>
        <w:rPr>
          <w:rFonts w:ascii="Times New Roman" w:hAnsi="Times New Roman"/>
          <w:sz w:val="24"/>
          <w:szCs w:val="24"/>
        </w:rPr>
      </w:pPr>
    </w:p>
    <w:p w14:paraId="5BB79F46" w14:textId="77777777" w:rsidR="00D47174" w:rsidRPr="009468C0" w:rsidRDefault="00D47174" w:rsidP="00EB3E6F">
      <w:pPr>
        <w:spacing w:after="0"/>
        <w:rPr>
          <w:rFonts w:ascii="Times New Roman" w:hAnsi="Times New Roman"/>
          <w:sz w:val="24"/>
          <w:szCs w:val="24"/>
        </w:rPr>
      </w:pPr>
      <w:r w:rsidRPr="009468C0">
        <w:rPr>
          <w:rFonts w:ascii="Times New Roman" w:hAnsi="Times New Roman"/>
          <w:sz w:val="24"/>
          <w:szCs w:val="24"/>
        </w:rPr>
        <w:lastRenderedPageBreak/>
        <w:t>The information collection requirements are unique to this reliability standard and to this information collection.  The Commission does not know of any duplication in the requirements.</w:t>
      </w:r>
    </w:p>
    <w:p w14:paraId="5BB79F47" w14:textId="77777777" w:rsidR="00D47174" w:rsidRPr="009468C0" w:rsidRDefault="00D47174" w:rsidP="00EB3E6F">
      <w:pPr>
        <w:spacing w:after="0"/>
        <w:rPr>
          <w:rFonts w:ascii="Times New Roman" w:hAnsi="Times New Roman"/>
          <w:sz w:val="24"/>
          <w:szCs w:val="24"/>
        </w:rPr>
      </w:pPr>
    </w:p>
    <w:p w14:paraId="5BB79F48" w14:textId="77777777" w:rsidR="00D47174" w:rsidRPr="009468C0" w:rsidRDefault="00D47174" w:rsidP="00A72E7B">
      <w:pPr>
        <w:pStyle w:val="ListParagraph"/>
        <w:numPr>
          <w:ilvl w:val="0"/>
          <w:numId w:val="1"/>
        </w:numPr>
        <w:spacing w:after="0"/>
        <w:ind w:left="360"/>
        <w:rPr>
          <w:rFonts w:ascii="Times New Roman" w:hAnsi="Times New Roman"/>
          <w:b/>
          <w:sz w:val="24"/>
          <w:szCs w:val="24"/>
        </w:rPr>
      </w:pPr>
      <w:r w:rsidRPr="009468C0">
        <w:rPr>
          <w:rFonts w:ascii="Times New Roman" w:hAnsi="Times New Roman"/>
          <w:b/>
          <w:sz w:val="24"/>
          <w:szCs w:val="24"/>
        </w:rPr>
        <w:t>METHODS USED TO MINIMIZE THE BURDEN IN COLLECTION OF INFORMATION INVOLVING SMALL ENTITIES</w:t>
      </w:r>
    </w:p>
    <w:p w14:paraId="5BB79F49" w14:textId="77777777" w:rsidR="00D47174" w:rsidRPr="009468C0" w:rsidRDefault="00D47174" w:rsidP="00EB3E6F">
      <w:pPr>
        <w:spacing w:after="0"/>
        <w:rPr>
          <w:rFonts w:ascii="Times New Roman" w:hAnsi="Times New Roman"/>
          <w:sz w:val="24"/>
          <w:szCs w:val="24"/>
        </w:rPr>
      </w:pPr>
    </w:p>
    <w:p w14:paraId="5BB79F4A" w14:textId="0CA6F2AD" w:rsidR="00D47174" w:rsidRPr="009468C0" w:rsidRDefault="00210E4B" w:rsidP="00EB3E6F">
      <w:pPr>
        <w:spacing w:after="0"/>
        <w:rPr>
          <w:rFonts w:ascii="Times New Roman" w:hAnsi="Times New Roman"/>
          <w:sz w:val="24"/>
          <w:szCs w:val="24"/>
        </w:rPr>
      </w:pPr>
      <w:r>
        <w:rPr>
          <w:rFonts w:ascii="Times New Roman" w:hAnsi="Times New Roman"/>
          <w:sz w:val="24"/>
          <w:szCs w:val="24"/>
        </w:rPr>
        <w:t>The CIP v</w:t>
      </w:r>
      <w:r w:rsidR="00D47174" w:rsidRPr="009468C0">
        <w:rPr>
          <w:rFonts w:ascii="Times New Roman" w:hAnsi="Times New Roman"/>
          <w:sz w:val="24"/>
          <w:szCs w:val="24"/>
        </w:rPr>
        <w:t>ersion 5 Reliability Standards</w:t>
      </w:r>
      <w:r w:rsidR="008920E4" w:rsidRPr="009468C0">
        <w:rPr>
          <w:rFonts w:ascii="Times New Roman" w:hAnsi="Times New Roman"/>
          <w:sz w:val="24"/>
          <w:szCs w:val="24"/>
        </w:rPr>
        <w:t xml:space="preserve"> generally</w:t>
      </w:r>
      <w:r w:rsidR="00D47174" w:rsidRPr="009468C0">
        <w:rPr>
          <w:rFonts w:ascii="Times New Roman" w:hAnsi="Times New Roman"/>
          <w:sz w:val="24"/>
          <w:szCs w:val="24"/>
        </w:rPr>
        <w:t xml:space="preserve"> do apply to small entities, depending first on their registered function(s) and then on the type</w:t>
      </w:r>
      <w:r w:rsidR="008A1635">
        <w:rPr>
          <w:rFonts w:ascii="Times New Roman" w:hAnsi="Times New Roman"/>
          <w:sz w:val="24"/>
          <w:szCs w:val="24"/>
        </w:rPr>
        <w:t>s</w:t>
      </w:r>
      <w:r w:rsidR="00D47174" w:rsidRPr="009468C0">
        <w:rPr>
          <w:rFonts w:ascii="Times New Roman" w:hAnsi="Times New Roman"/>
          <w:sz w:val="24"/>
          <w:szCs w:val="24"/>
        </w:rPr>
        <w:t xml:space="preserve"> of facilities they own.  Nearly all of the small entities</w:t>
      </w:r>
      <w:r w:rsidR="003C24EA">
        <w:rPr>
          <w:rFonts w:ascii="Times New Roman" w:hAnsi="Times New Roman"/>
          <w:sz w:val="24"/>
          <w:szCs w:val="24"/>
        </w:rPr>
        <w:t>, which are</w:t>
      </w:r>
      <w:r w:rsidR="00DC48D4">
        <w:rPr>
          <w:rFonts w:ascii="Times New Roman" w:hAnsi="Times New Roman"/>
          <w:sz w:val="24"/>
          <w:szCs w:val="24"/>
        </w:rPr>
        <w:t xml:space="preserve"> </w:t>
      </w:r>
      <w:r w:rsidR="00D47174" w:rsidRPr="009468C0">
        <w:rPr>
          <w:rFonts w:ascii="Times New Roman" w:hAnsi="Times New Roman"/>
          <w:sz w:val="24"/>
          <w:szCs w:val="24"/>
        </w:rPr>
        <w:t>subject to the CIP version 5 standards</w:t>
      </w:r>
      <w:r w:rsidR="00DC48D4">
        <w:rPr>
          <w:rFonts w:ascii="Times New Roman" w:hAnsi="Times New Roman"/>
          <w:sz w:val="24"/>
          <w:szCs w:val="24"/>
        </w:rPr>
        <w:t>,</w:t>
      </w:r>
      <w:r w:rsidR="00D47174" w:rsidRPr="009468C0">
        <w:rPr>
          <w:rFonts w:ascii="Times New Roman" w:hAnsi="Times New Roman"/>
          <w:sz w:val="24"/>
          <w:szCs w:val="24"/>
        </w:rPr>
        <w:t xml:space="preserve"> </w:t>
      </w:r>
      <w:r w:rsidR="00DC48D4" w:rsidRPr="009468C0">
        <w:rPr>
          <w:rFonts w:ascii="Times New Roman" w:hAnsi="Times New Roman"/>
          <w:sz w:val="24"/>
          <w:szCs w:val="24"/>
        </w:rPr>
        <w:t xml:space="preserve">own </w:t>
      </w:r>
      <w:r w:rsidR="00DC48D4" w:rsidRPr="009468C0">
        <w:rPr>
          <w:rFonts w:ascii="Times New Roman" w:hAnsi="Times New Roman"/>
          <w:i/>
          <w:sz w:val="24"/>
          <w:szCs w:val="24"/>
        </w:rPr>
        <w:t>only</w:t>
      </w:r>
      <w:r w:rsidR="00DC48D4" w:rsidRPr="009468C0">
        <w:rPr>
          <w:rFonts w:ascii="Times New Roman" w:hAnsi="Times New Roman"/>
          <w:sz w:val="24"/>
          <w:szCs w:val="24"/>
        </w:rPr>
        <w:t xml:space="preserve"> facilities </w:t>
      </w:r>
      <w:r w:rsidR="00D47174" w:rsidRPr="009468C0">
        <w:rPr>
          <w:rFonts w:ascii="Times New Roman" w:hAnsi="Times New Roman"/>
          <w:sz w:val="24"/>
          <w:szCs w:val="24"/>
        </w:rPr>
        <w:t>that</w:t>
      </w:r>
      <w:r w:rsidR="001D520B">
        <w:rPr>
          <w:rFonts w:ascii="Times New Roman" w:hAnsi="Times New Roman"/>
          <w:sz w:val="24"/>
          <w:szCs w:val="24"/>
        </w:rPr>
        <w:t xml:space="preserve"> should</w:t>
      </w:r>
      <w:r w:rsidR="00D47174" w:rsidRPr="009468C0">
        <w:rPr>
          <w:rFonts w:ascii="Times New Roman" w:hAnsi="Times New Roman"/>
          <w:sz w:val="24"/>
          <w:szCs w:val="24"/>
        </w:rPr>
        <w:t xml:space="preserve"> fall into the Low impact category for these standards.  This means the burden for these entities is relatively minor compared with the rest of the applicable entities.</w:t>
      </w:r>
      <w:r w:rsidR="001D520B">
        <w:rPr>
          <w:rFonts w:ascii="Times New Roman" w:hAnsi="Times New Roman"/>
          <w:sz w:val="24"/>
          <w:szCs w:val="24"/>
        </w:rPr>
        <w:t xml:space="preserve">  The </w:t>
      </w:r>
      <w:r w:rsidR="00605A2B">
        <w:rPr>
          <w:rFonts w:ascii="Times New Roman" w:hAnsi="Times New Roman"/>
          <w:sz w:val="24"/>
          <w:szCs w:val="24"/>
        </w:rPr>
        <w:t xml:space="preserve">only requirement </w:t>
      </w:r>
      <w:r>
        <w:rPr>
          <w:rFonts w:ascii="Times New Roman" w:hAnsi="Times New Roman"/>
          <w:sz w:val="24"/>
          <w:szCs w:val="24"/>
        </w:rPr>
        <w:t>CIP v</w:t>
      </w:r>
      <w:r w:rsidR="001D520B">
        <w:rPr>
          <w:rFonts w:ascii="Times New Roman" w:hAnsi="Times New Roman"/>
          <w:sz w:val="24"/>
          <w:szCs w:val="24"/>
        </w:rPr>
        <w:t xml:space="preserve">ersion 5 Reliability Standards </w:t>
      </w:r>
      <w:r w:rsidR="00605A2B">
        <w:rPr>
          <w:rFonts w:ascii="Times New Roman" w:hAnsi="Times New Roman"/>
          <w:sz w:val="24"/>
          <w:szCs w:val="24"/>
        </w:rPr>
        <w:t xml:space="preserve">impose on </w:t>
      </w:r>
      <w:r w:rsidR="001D520B">
        <w:rPr>
          <w:rFonts w:ascii="Times New Roman" w:hAnsi="Times New Roman"/>
          <w:sz w:val="24"/>
          <w:szCs w:val="24"/>
        </w:rPr>
        <w:t xml:space="preserve">owners </w:t>
      </w:r>
      <w:r w:rsidR="00605A2B">
        <w:rPr>
          <w:rFonts w:ascii="Times New Roman" w:hAnsi="Times New Roman"/>
          <w:sz w:val="24"/>
          <w:szCs w:val="24"/>
        </w:rPr>
        <w:t>with regard to their</w:t>
      </w:r>
      <w:r w:rsidR="001D520B">
        <w:rPr>
          <w:rFonts w:ascii="Times New Roman" w:hAnsi="Times New Roman"/>
          <w:sz w:val="24"/>
          <w:szCs w:val="24"/>
        </w:rPr>
        <w:t xml:space="preserve"> Low impact category facilities </w:t>
      </w:r>
      <w:r w:rsidR="00605A2B">
        <w:rPr>
          <w:rFonts w:ascii="Times New Roman" w:hAnsi="Times New Roman"/>
          <w:sz w:val="24"/>
          <w:szCs w:val="24"/>
        </w:rPr>
        <w:t xml:space="preserve">is </w:t>
      </w:r>
      <w:r w:rsidR="001D520B">
        <w:rPr>
          <w:rFonts w:ascii="Times New Roman" w:hAnsi="Times New Roman"/>
          <w:sz w:val="24"/>
          <w:szCs w:val="24"/>
        </w:rPr>
        <w:t>to create and implement policies</w:t>
      </w:r>
      <w:r w:rsidR="001D520B" w:rsidRPr="00377BAB">
        <w:rPr>
          <w:rStyle w:val="FootnoteReference"/>
          <w:rFonts w:ascii="Times New Roman" w:hAnsi="Times New Roman"/>
          <w:sz w:val="24"/>
          <w:szCs w:val="24"/>
          <w:vertAlign w:val="superscript"/>
        </w:rPr>
        <w:footnoteReference w:id="11"/>
      </w:r>
      <w:r w:rsidR="001D520B">
        <w:rPr>
          <w:rFonts w:ascii="Times New Roman" w:hAnsi="Times New Roman"/>
          <w:sz w:val="24"/>
          <w:szCs w:val="24"/>
        </w:rPr>
        <w:t xml:space="preserve"> to protect their cyber assets.  The </w:t>
      </w:r>
      <w:r w:rsidR="00684E9E">
        <w:rPr>
          <w:rFonts w:ascii="Times New Roman" w:hAnsi="Times New Roman"/>
          <w:sz w:val="24"/>
          <w:szCs w:val="24"/>
        </w:rPr>
        <w:t>r</w:t>
      </w:r>
      <w:r w:rsidR="001D520B">
        <w:rPr>
          <w:rFonts w:ascii="Times New Roman" w:hAnsi="Times New Roman"/>
          <w:sz w:val="24"/>
          <w:szCs w:val="24"/>
        </w:rPr>
        <w:t>equirements for</w:t>
      </w:r>
      <w:r w:rsidR="001D520B" w:rsidRPr="00247C54">
        <w:rPr>
          <w:rFonts w:ascii="Times New Roman" w:hAnsi="Times New Roman"/>
          <w:sz w:val="24"/>
          <w:szCs w:val="24"/>
        </w:rPr>
        <w:t xml:space="preserve"> </w:t>
      </w:r>
      <w:r w:rsidR="001D520B">
        <w:rPr>
          <w:rFonts w:ascii="Times New Roman" w:hAnsi="Times New Roman"/>
          <w:sz w:val="24"/>
          <w:szCs w:val="24"/>
        </w:rPr>
        <w:t>Low impact category facilities do not impose any specific, technical security controls, which will provide small entities with more flexibility in complying with the standards.  As FERC stated in Order No. 761, “…control systems that support Bulk-Power System reliability are only as secure as their weakest links, and that a single vulnerability opens the computer network and all other networks with which it is interconnected to potential malicious activity.”</w:t>
      </w:r>
      <w:r w:rsidR="001D520B" w:rsidRPr="00377BAB">
        <w:rPr>
          <w:rStyle w:val="FootnoteReference"/>
          <w:rFonts w:ascii="Times New Roman" w:hAnsi="Times New Roman"/>
          <w:sz w:val="24"/>
          <w:szCs w:val="24"/>
          <w:vertAlign w:val="superscript"/>
        </w:rPr>
        <w:footnoteReference w:id="12"/>
      </w:r>
      <w:r w:rsidR="001D520B">
        <w:rPr>
          <w:rFonts w:ascii="Times New Roman" w:hAnsi="Times New Roman"/>
          <w:sz w:val="24"/>
          <w:szCs w:val="24"/>
        </w:rPr>
        <w:t xml:space="preserve">  Due to the inherent connectivity between entities that must occur to operate </w:t>
      </w:r>
      <w:r>
        <w:rPr>
          <w:rFonts w:ascii="Times New Roman" w:hAnsi="Times New Roman"/>
          <w:sz w:val="24"/>
          <w:szCs w:val="24"/>
        </w:rPr>
        <w:t>the Bulk-Power System, the CIP v</w:t>
      </w:r>
      <w:r w:rsidR="001D520B">
        <w:rPr>
          <w:rFonts w:ascii="Times New Roman" w:hAnsi="Times New Roman"/>
          <w:sz w:val="24"/>
          <w:szCs w:val="24"/>
        </w:rPr>
        <w:t>ersion 5 Reliability Standards cannot exclude entities based on size alone without creating a weak point in the security of the Bulk-Power System that can be exploited to navigate to higher value cyber systems.</w:t>
      </w:r>
    </w:p>
    <w:p w14:paraId="5BB79F4B" w14:textId="77777777" w:rsidR="00D47174" w:rsidRPr="009468C0" w:rsidRDefault="00D47174" w:rsidP="00EB3E6F">
      <w:pPr>
        <w:spacing w:after="0"/>
        <w:rPr>
          <w:rFonts w:ascii="Times New Roman" w:hAnsi="Times New Roman"/>
          <w:sz w:val="24"/>
          <w:szCs w:val="24"/>
        </w:rPr>
      </w:pPr>
    </w:p>
    <w:p w14:paraId="5BB79F4C" w14:textId="3033790E" w:rsidR="005D25F7" w:rsidRDefault="004509F8" w:rsidP="00EB3E6F">
      <w:pPr>
        <w:spacing w:after="0"/>
        <w:rPr>
          <w:rFonts w:ascii="Times New Roman" w:hAnsi="Times New Roman"/>
          <w:sz w:val="24"/>
          <w:szCs w:val="24"/>
        </w:rPr>
      </w:pPr>
      <w:r>
        <w:rPr>
          <w:rFonts w:ascii="Times New Roman" w:hAnsi="Times New Roman"/>
          <w:sz w:val="24"/>
          <w:szCs w:val="24"/>
        </w:rPr>
        <w:t>NERC’s</w:t>
      </w:r>
      <w:r w:rsidR="00D47174" w:rsidRPr="009468C0">
        <w:rPr>
          <w:rFonts w:ascii="Times New Roman" w:hAnsi="Times New Roman"/>
          <w:sz w:val="24"/>
          <w:szCs w:val="24"/>
        </w:rPr>
        <w:t xml:space="preserve"> Standard Drafting Team </w:t>
      </w:r>
      <w:r>
        <w:rPr>
          <w:rFonts w:ascii="Times New Roman" w:hAnsi="Times New Roman"/>
          <w:sz w:val="24"/>
          <w:szCs w:val="24"/>
        </w:rPr>
        <w:t xml:space="preserve">of technical experts </w:t>
      </w:r>
      <w:r w:rsidR="00D47174" w:rsidRPr="009468C0">
        <w:rPr>
          <w:rFonts w:ascii="Times New Roman" w:hAnsi="Times New Roman"/>
          <w:sz w:val="24"/>
          <w:szCs w:val="24"/>
        </w:rPr>
        <w:t xml:space="preserve">considered the impact on small entities when setting the cyber asset impact classification levels and intended that the Low cyber assets would be provided with the least effort and cost, compared to other impact levels. </w:t>
      </w:r>
      <w:r w:rsidR="00BC4A91">
        <w:rPr>
          <w:rFonts w:ascii="Times New Roman" w:hAnsi="Times New Roman"/>
          <w:sz w:val="24"/>
          <w:szCs w:val="24"/>
        </w:rPr>
        <w:t xml:space="preserve"> </w:t>
      </w:r>
    </w:p>
    <w:p w14:paraId="77CF566D" w14:textId="77777777" w:rsidR="00BA21F1" w:rsidRPr="009468C0" w:rsidRDefault="00BA21F1" w:rsidP="00EB3E6F">
      <w:pPr>
        <w:spacing w:after="0"/>
        <w:rPr>
          <w:rFonts w:ascii="Times New Roman" w:hAnsi="Times New Roman"/>
          <w:sz w:val="24"/>
          <w:szCs w:val="24"/>
        </w:rPr>
      </w:pPr>
    </w:p>
    <w:p w14:paraId="5BB79F52" w14:textId="77777777" w:rsidR="00D47174" w:rsidRPr="009468C0" w:rsidRDefault="00D47174" w:rsidP="00A72E7B">
      <w:pPr>
        <w:pStyle w:val="ListParagraph"/>
        <w:numPr>
          <w:ilvl w:val="0"/>
          <w:numId w:val="1"/>
        </w:numPr>
        <w:spacing w:after="0"/>
        <w:ind w:left="360"/>
        <w:rPr>
          <w:rFonts w:ascii="Times New Roman" w:hAnsi="Times New Roman"/>
          <w:b/>
          <w:sz w:val="24"/>
          <w:szCs w:val="24"/>
        </w:rPr>
      </w:pPr>
      <w:r w:rsidRPr="009468C0">
        <w:rPr>
          <w:rFonts w:ascii="Times New Roman" w:hAnsi="Times New Roman"/>
          <w:b/>
          <w:sz w:val="24"/>
          <w:szCs w:val="24"/>
        </w:rPr>
        <w:t>CONSEQUENCE TO FEDERAL PROGRAM IF COLLECTION WERE CONDUCTED LESS FREQUENTLY</w:t>
      </w:r>
    </w:p>
    <w:p w14:paraId="5BB79F53" w14:textId="77777777" w:rsidR="00D47174" w:rsidRPr="009468C0" w:rsidRDefault="00D47174" w:rsidP="00EB3E6F">
      <w:pPr>
        <w:spacing w:after="0"/>
        <w:rPr>
          <w:rFonts w:ascii="Times New Roman" w:hAnsi="Times New Roman"/>
          <w:sz w:val="24"/>
          <w:szCs w:val="24"/>
        </w:rPr>
      </w:pPr>
    </w:p>
    <w:p w14:paraId="5BB79F54" w14:textId="49342C73" w:rsidR="00D47174" w:rsidRPr="009468C0" w:rsidRDefault="00D47174" w:rsidP="00EB3E6F">
      <w:pPr>
        <w:spacing w:after="0"/>
        <w:rPr>
          <w:rFonts w:ascii="Times New Roman" w:hAnsi="Times New Roman"/>
          <w:sz w:val="24"/>
          <w:szCs w:val="24"/>
        </w:rPr>
      </w:pPr>
      <w:r w:rsidRPr="009468C0">
        <w:rPr>
          <w:rFonts w:ascii="Times New Roman" w:hAnsi="Times New Roman"/>
          <w:sz w:val="24"/>
          <w:szCs w:val="24"/>
        </w:rPr>
        <w:lastRenderedPageBreak/>
        <w:t xml:space="preserve">As stated in response to item #2, the documentation related to the CIP reliability standards is an integral part of </w:t>
      </w:r>
      <w:r w:rsidR="004509F8">
        <w:rPr>
          <w:rFonts w:ascii="Times New Roman" w:hAnsi="Times New Roman"/>
          <w:sz w:val="24"/>
          <w:szCs w:val="24"/>
        </w:rPr>
        <w:t xml:space="preserve">establishing and </w:t>
      </w:r>
      <w:r w:rsidRPr="009468C0">
        <w:rPr>
          <w:rFonts w:ascii="Times New Roman" w:hAnsi="Times New Roman"/>
          <w:sz w:val="24"/>
          <w:szCs w:val="24"/>
        </w:rPr>
        <w:t>maintaining cyber security.  The power grid would be at greater risk to cyber threats if the collection was conducted less frequently.</w:t>
      </w:r>
    </w:p>
    <w:p w14:paraId="5BB79F55" w14:textId="77777777" w:rsidR="00D47174" w:rsidRPr="009468C0" w:rsidRDefault="00D47174" w:rsidP="00EB3E6F">
      <w:pPr>
        <w:spacing w:after="0"/>
        <w:rPr>
          <w:rFonts w:ascii="Times New Roman" w:hAnsi="Times New Roman"/>
          <w:sz w:val="24"/>
          <w:szCs w:val="24"/>
        </w:rPr>
      </w:pPr>
    </w:p>
    <w:p w14:paraId="5BB79F56" w14:textId="77777777" w:rsidR="00D47174" w:rsidRPr="009468C0" w:rsidRDefault="00D47174" w:rsidP="00A72E7B">
      <w:pPr>
        <w:pStyle w:val="ListParagraph"/>
        <w:numPr>
          <w:ilvl w:val="0"/>
          <w:numId w:val="1"/>
        </w:numPr>
        <w:spacing w:after="0"/>
        <w:ind w:left="360"/>
        <w:rPr>
          <w:rFonts w:ascii="Times New Roman" w:hAnsi="Times New Roman"/>
          <w:b/>
          <w:sz w:val="24"/>
          <w:szCs w:val="24"/>
        </w:rPr>
      </w:pPr>
      <w:r w:rsidRPr="009468C0">
        <w:rPr>
          <w:rFonts w:ascii="Times New Roman" w:hAnsi="Times New Roman"/>
          <w:b/>
          <w:sz w:val="24"/>
          <w:szCs w:val="24"/>
        </w:rPr>
        <w:t>EXPLAIN ANY SPECIAL CIRCUMSTANCES RELATING TO THE INFORMATION COLLECTION</w:t>
      </w:r>
    </w:p>
    <w:p w14:paraId="5BB79F57" w14:textId="77777777" w:rsidR="00D47174" w:rsidRPr="009468C0" w:rsidRDefault="00D47174" w:rsidP="00EB3E6F">
      <w:pPr>
        <w:spacing w:after="0"/>
        <w:rPr>
          <w:rFonts w:ascii="Times New Roman" w:hAnsi="Times New Roman"/>
          <w:sz w:val="24"/>
          <w:szCs w:val="24"/>
        </w:rPr>
      </w:pPr>
    </w:p>
    <w:p w14:paraId="5BB79F58" w14:textId="77777777" w:rsidR="00D47174" w:rsidRPr="009468C0" w:rsidRDefault="00D47174" w:rsidP="001A7808">
      <w:pPr>
        <w:spacing w:after="0" w:line="240" w:lineRule="auto"/>
        <w:rPr>
          <w:rFonts w:ascii="Times New Roman" w:hAnsi="Times New Roman"/>
          <w:sz w:val="24"/>
          <w:szCs w:val="24"/>
        </w:rPr>
      </w:pPr>
      <w:r w:rsidRPr="009468C0">
        <w:rPr>
          <w:rFonts w:ascii="Times New Roman" w:hAnsi="Times New Roman"/>
          <w:sz w:val="24"/>
          <w:szCs w:val="24"/>
        </w:rPr>
        <w:t xml:space="preserve">There </w:t>
      </w:r>
      <w:r w:rsidR="00055060">
        <w:rPr>
          <w:rFonts w:ascii="Times New Roman" w:hAnsi="Times New Roman"/>
          <w:sz w:val="24"/>
          <w:szCs w:val="24"/>
        </w:rPr>
        <w:t>is one</w:t>
      </w:r>
      <w:r w:rsidRPr="009468C0">
        <w:rPr>
          <w:rFonts w:ascii="Times New Roman" w:hAnsi="Times New Roman"/>
          <w:sz w:val="24"/>
          <w:szCs w:val="24"/>
        </w:rPr>
        <w:t xml:space="preserve"> special circumstances as described in 5 CFR 1320.5(d</w:t>
      </w:r>
      <w:proofErr w:type="gramStart"/>
      <w:r w:rsidRPr="009468C0">
        <w:rPr>
          <w:rFonts w:ascii="Times New Roman" w:hAnsi="Times New Roman"/>
          <w:sz w:val="24"/>
          <w:szCs w:val="24"/>
        </w:rPr>
        <w:t>)(</w:t>
      </w:r>
      <w:proofErr w:type="gramEnd"/>
      <w:r w:rsidRPr="009468C0">
        <w:rPr>
          <w:rFonts w:ascii="Times New Roman" w:hAnsi="Times New Roman"/>
          <w:sz w:val="24"/>
          <w:szCs w:val="24"/>
        </w:rPr>
        <w:t>2) related to this information collection.</w:t>
      </w:r>
    </w:p>
    <w:p w14:paraId="5BB79F5A" w14:textId="77777777" w:rsidR="00D47174" w:rsidRPr="009468C0" w:rsidRDefault="00D47174" w:rsidP="001A7808">
      <w:pPr>
        <w:spacing w:after="0" w:line="240" w:lineRule="auto"/>
        <w:rPr>
          <w:rFonts w:ascii="Times New Roman" w:hAnsi="Times New Roman"/>
          <w:sz w:val="24"/>
          <w:szCs w:val="24"/>
        </w:rPr>
      </w:pPr>
    </w:p>
    <w:p w14:paraId="5BB79F5B" w14:textId="4C7D0334" w:rsidR="00D47174" w:rsidRPr="009468C0" w:rsidRDefault="00D47174" w:rsidP="001A7808">
      <w:pPr>
        <w:spacing w:after="0" w:line="240" w:lineRule="auto"/>
        <w:rPr>
          <w:rFonts w:ascii="Times New Roman" w:hAnsi="Times New Roman"/>
          <w:sz w:val="24"/>
          <w:szCs w:val="24"/>
        </w:rPr>
      </w:pPr>
      <w:r w:rsidRPr="009468C0">
        <w:rPr>
          <w:rFonts w:ascii="Times New Roman" w:hAnsi="Times New Roman"/>
          <w:sz w:val="24"/>
          <w:szCs w:val="24"/>
        </w:rPr>
        <w:t>Entities may have to submit</w:t>
      </w:r>
      <w:r w:rsidR="00B61CAD" w:rsidRPr="009468C0">
        <w:rPr>
          <w:rFonts w:ascii="Times New Roman" w:hAnsi="Times New Roman"/>
          <w:sz w:val="24"/>
          <w:szCs w:val="24"/>
        </w:rPr>
        <w:t xml:space="preserve"> </w:t>
      </w:r>
      <w:r w:rsidR="002345AE" w:rsidRPr="009468C0">
        <w:rPr>
          <w:rFonts w:ascii="Times New Roman" w:hAnsi="Times New Roman"/>
          <w:sz w:val="24"/>
          <w:szCs w:val="24"/>
        </w:rPr>
        <w:t xml:space="preserve">to </w:t>
      </w:r>
      <w:r w:rsidR="00B61CAD" w:rsidRPr="009468C0">
        <w:rPr>
          <w:rFonts w:ascii="Times New Roman" w:hAnsi="Times New Roman"/>
          <w:sz w:val="24"/>
          <w:szCs w:val="24"/>
        </w:rPr>
        <w:t>or show</w:t>
      </w:r>
      <w:r w:rsidRPr="009468C0">
        <w:rPr>
          <w:rFonts w:ascii="Times New Roman" w:hAnsi="Times New Roman"/>
          <w:sz w:val="24"/>
          <w:szCs w:val="24"/>
        </w:rPr>
        <w:t xml:space="preserve"> </w:t>
      </w:r>
      <w:r w:rsidR="002345AE" w:rsidRPr="009468C0">
        <w:rPr>
          <w:rFonts w:ascii="Times New Roman" w:hAnsi="Times New Roman"/>
          <w:sz w:val="24"/>
          <w:szCs w:val="24"/>
        </w:rPr>
        <w:t>the</w:t>
      </w:r>
      <w:r w:rsidRPr="009468C0">
        <w:rPr>
          <w:rFonts w:ascii="Times New Roman" w:hAnsi="Times New Roman"/>
          <w:sz w:val="24"/>
          <w:szCs w:val="24"/>
        </w:rPr>
        <w:t xml:space="preserve"> auditors </w:t>
      </w:r>
      <w:r w:rsidR="00B61CAD" w:rsidRPr="009468C0">
        <w:rPr>
          <w:rFonts w:ascii="Times New Roman" w:hAnsi="Times New Roman"/>
          <w:sz w:val="24"/>
          <w:szCs w:val="24"/>
        </w:rPr>
        <w:t>security or confidential information</w:t>
      </w:r>
      <w:r w:rsidRPr="009468C0">
        <w:rPr>
          <w:rFonts w:ascii="Times New Roman" w:hAnsi="Times New Roman"/>
          <w:sz w:val="24"/>
          <w:szCs w:val="24"/>
        </w:rPr>
        <w:t xml:space="preserve"> that is related to the CIP standards.  </w:t>
      </w:r>
      <w:r w:rsidR="00B61CAD" w:rsidRPr="009468C0">
        <w:rPr>
          <w:rFonts w:ascii="Times New Roman" w:hAnsi="Times New Roman"/>
          <w:sz w:val="24"/>
          <w:szCs w:val="24"/>
        </w:rPr>
        <w:t xml:space="preserve">The general practice is that the auditor </w:t>
      </w:r>
      <w:r w:rsidR="004509F8">
        <w:rPr>
          <w:rFonts w:ascii="Times New Roman" w:hAnsi="Times New Roman"/>
          <w:sz w:val="24"/>
          <w:szCs w:val="24"/>
        </w:rPr>
        <w:t xml:space="preserve">often does not remove the information from the site of the entity and, in any case, </w:t>
      </w:r>
      <w:r w:rsidR="00B61CAD" w:rsidRPr="009468C0">
        <w:rPr>
          <w:rFonts w:ascii="Times New Roman" w:hAnsi="Times New Roman"/>
          <w:sz w:val="24"/>
          <w:szCs w:val="24"/>
        </w:rPr>
        <w:t>return</w:t>
      </w:r>
      <w:r w:rsidR="00BB3E42">
        <w:rPr>
          <w:rFonts w:ascii="Times New Roman" w:hAnsi="Times New Roman"/>
          <w:sz w:val="24"/>
          <w:szCs w:val="24"/>
        </w:rPr>
        <w:t>s</w:t>
      </w:r>
      <w:r w:rsidR="00B61CAD" w:rsidRPr="009468C0">
        <w:rPr>
          <w:rFonts w:ascii="Times New Roman" w:hAnsi="Times New Roman"/>
          <w:sz w:val="24"/>
          <w:szCs w:val="24"/>
        </w:rPr>
        <w:t xml:space="preserve"> the confidential information to the entity following the audit.</w:t>
      </w:r>
      <w:r w:rsidR="00D96A04" w:rsidRPr="00D96A04">
        <w:rPr>
          <w:rStyle w:val="FootnoteReference"/>
          <w:rFonts w:ascii="Times New Roman" w:hAnsi="Times New Roman"/>
          <w:sz w:val="24"/>
          <w:szCs w:val="24"/>
          <w:vertAlign w:val="superscript"/>
        </w:rPr>
        <w:footnoteReference w:id="13"/>
      </w:r>
      <w:r w:rsidRPr="009468C0">
        <w:rPr>
          <w:rFonts w:ascii="Times New Roman" w:hAnsi="Times New Roman"/>
          <w:sz w:val="24"/>
          <w:szCs w:val="24"/>
        </w:rPr>
        <w:t xml:space="preserve">  </w:t>
      </w:r>
    </w:p>
    <w:p w14:paraId="5BB79F5D" w14:textId="77777777" w:rsidR="00D47174" w:rsidRPr="009468C0" w:rsidRDefault="00D47174" w:rsidP="001A7808">
      <w:pPr>
        <w:spacing w:after="0" w:line="240" w:lineRule="auto"/>
        <w:rPr>
          <w:rFonts w:ascii="Times New Roman" w:hAnsi="Times New Roman"/>
          <w:sz w:val="24"/>
          <w:szCs w:val="24"/>
        </w:rPr>
      </w:pPr>
    </w:p>
    <w:p w14:paraId="5BB79F5E" w14:textId="77777777" w:rsidR="00D47174" w:rsidRPr="009468C0" w:rsidRDefault="00D47174" w:rsidP="001A7808">
      <w:pPr>
        <w:spacing w:after="0" w:line="240" w:lineRule="auto"/>
        <w:rPr>
          <w:rFonts w:ascii="Times New Roman" w:hAnsi="Times New Roman"/>
          <w:sz w:val="24"/>
          <w:szCs w:val="24"/>
        </w:rPr>
      </w:pPr>
      <w:r w:rsidRPr="009468C0">
        <w:rPr>
          <w:rFonts w:ascii="Times New Roman" w:hAnsi="Times New Roman"/>
          <w:sz w:val="24"/>
          <w:szCs w:val="24"/>
        </w:rPr>
        <w:t>Th</w:t>
      </w:r>
      <w:r w:rsidR="00055060">
        <w:rPr>
          <w:rFonts w:ascii="Times New Roman" w:hAnsi="Times New Roman"/>
          <w:sz w:val="24"/>
          <w:szCs w:val="24"/>
        </w:rPr>
        <w:t>is</w:t>
      </w:r>
      <w:r w:rsidRPr="009468C0">
        <w:rPr>
          <w:rFonts w:ascii="Times New Roman" w:hAnsi="Times New Roman"/>
          <w:sz w:val="24"/>
          <w:szCs w:val="24"/>
        </w:rPr>
        <w:t xml:space="preserve"> special circumstance </w:t>
      </w:r>
      <w:r w:rsidR="00055060">
        <w:rPr>
          <w:rFonts w:ascii="Times New Roman" w:hAnsi="Times New Roman"/>
          <w:sz w:val="24"/>
          <w:szCs w:val="24"/>
        </w:rPr>
        <w:t>is</w:t>
      </w:r>
      <w:r w:rsidRPr="009468C0">
        <w:rPr>
          <w:rFonts w:ascii="Times New Roman" w:hAnsi="Times New Roman"/>
          <w:sz w:val="24"/>
          <w:szCs w:val="24"/>
        </w:rPr>
        <w:t xml:space="preserve"> necessary to maintain an effective cyber-security program.  </w:t>
      </w:r>
    </w:p>
    <w:p w14:paraId="5BB79F5F" w14:textId="77777777" w:rsidR="00D47174" w:rsidRPr="009468C0" w:rsidRDefault="00D47174" w:rsidP="00EB3E6F">
      <w:pPr>
        <w:spacing w:after="0"/>
        <w:rPr>
          <w:rFonts w:ascii="Times New Roman" w:hAnsi="Times New Roman"/>
          <w:sz w:val="24"/>
          <w:szCs w:val="24"/>
        </w:rPr>
      </w:pPr>
    </w:p>
    <w:p w14:paraId="5BB79F60" w14:textId="77777777" w:rsidR="00D47174" w:rsidRPr="009468C0" w:rsidRDefault="00D47174" w:rsidP="00A72E7B">
      <w:pPr>
        <w:pStyle w:val="ListParagraph"/>
        <w:numPr>
          <w:ilvl w:val="0"/>
          <w:numId w:val="1"/>
        </w:numPr>
        <w:spacing w:after="0"/>
        <w:ind w:left="360"/>
        <w:rPr>
          <w:rFonts w:ascii="Times New Roman" w:hAnsi="Times New Roman"/>
          <w:b/>
          <w:sz w:val="24"/>
          <w:szCs w:val="24"/>
        </w:rPr>
      </w:pPr>
      <w:r w:rsidRPr="009468C0">
        <w:rPr>
          <w:rFonts w:ascii="Times New Roman" w:hAnsi="Times New Roman"/>
          <w:b/>
          <w:sz w:val="24"/>
          <w:szCs w:val="24"/>
        </w:rPr>
        <w:t>DESCRIBE EFFORTS TO CONSULT OUTSIDE THE AGENCY: SUMMARIZE PUBLIC COMMENTS AND THE AGENCY’S RESPONSE</w:t>
      </w:r>
    </w:p>
    <w:p w14:paraId="5BB79F61" w14:textId="77777777" w:rsidR="00D47174" w:rsidRPr="009468C0" w:rsidRDefault="00D47174" w:rsidP="00EB3E6F">
      <w:pPr>
        <w:spacing w:after="0"/>
        <w:rPr>
          <w:rFonts w:ascii="Times New Roman" w:hAnsi="Times New Roman"/>
          <w:sz w:val="24"/>
          <w:szCs w:val="24"/>
        </w:rPr>
      </w:pPr>
    </w:p>
    <w:p w14:paraId="5BB79F62" w14:textId="45FCD7E2" w:rsidR="00D47174" w:rsidRDefault="00D47174" w:rsidP="00EB3E6F">
      <w:pPr>
        <w:spacing w:after="0"/>
        <w:rPr>
          <w:rFonts w:ascii="Times New Roman" w:hAnsi="Times New Roman"/>
          <w:sz w:val="24"/>
          <w:szCs w:val="24"/>
        </w:rPr>
      </w:pPr>
      <w:r w:rsidRPr="009468C0">
        <w:rPr>
          <w:rFonts w:ascii="Times New Roman" w:hAnsi="Times New Roman"/>
          <w:bCs/>
          <w:sz w:val="24"/>
          <w:szCs w:val="24"/>
        </w:rPr>
        <w:t>The ERO process to establish Reliability Standards is a collaborative process with the ERO, Regional Entities and other stakeholders developing and reviewing drafts, and providing comments, with the final proposed standard</w:t>
      </w:r>
      <w:r w:rsidR="002C33CB">
        <w:rPr>
          <w:rFonts w:ascii="Times New Roman" w:hAnsi="Times New Roman"/>
          <w:bCs/>
          <w:sz w:val="24"/>
          <w:szCs w:val="24"/>
        </w:rPr>
        <w:t>, as approved by the ERO’s Board of Trustees,</w:t>
      </w:r>
      <w:r w:rsidRPr="009468C0">
        <w:rPr>
          <w:rFonts w:ascii="Times New Roman" w:hAnsi="Times New Roman"/>
          <w:bCs/>
          <w:sz w:val="24"/>
          <w:szCs w:val="24"/>
        </w:rPr>
        <w:t xml:space="preserve"> submitted to the FERC for review and approval.</w:t>
      </w:r>
      <w:r w:rsidRPr="009468C0">
        <w:rPr>
          <w:rFonts w:ascii="Times New Roman" w:hAnsi="Times New Roman"/>
          <w:b/>
          <w:bCs/>
          <w:sz w:val="24"/>
          <w:szCs w:val="24"/>
          <w:vertAlign w:val="superscript"/>
        </w:rPr>
        <w:footnoteReference w:id="14"/>
      </w:r>
      <w:r w:rsidRPr="009468C0">
        <w:rPr>
          <w:rFonts w:ascii="Times New Roman" w:hAnsi="Times New Roman"/>
          <w:bCs/>
          <w:sz w:val="24"/>
          <w:szCs w:val="24"/>
        </w:rPr>
        <w:t xml:space="preserve">  In addition, each FERC rulemaking (both proposed and final rules) is published in the </w:t>
      </w:r>
      <w:r w:rsidRPr="009468C0">
        <w:rPr>
          <w:rFonts w:ascii="Times New Roman" w:hAnsi="Times New Roman"/>
          <w:bCs/>
          <w:sz w:val="24"/>
          <w:szCs w:val="24"/>
          <w:u w:val="single"/>
        </w:rPr>
        <w:t>Federal Register</w:t>
      </w:r>
      <w:r w:rsidRPr="009468C0">
        <w:rPr>
          <w:rFonts w:ascii="Times New Roman" w:hAnsi="Times New Roman"/>
          <w:bCs/>
          <w:sz w:val="24"/>
          <w:szCs w:val="24"/>
        </w:rPr>
        <w:t xml:space="preserve">, thereby providing public utilities and licensees, state commissions, Federal agencies, and other interested parties an opportunity to submit data, views, comments or suggestions concerning the proposed collection of data. </w:t>
      </w:r>
      <w:r w:rsidRPr="009468C0">
        <w:rPr>
          <w:rFonts w:ascii="Times New Roman" w:hAnsi="Times New Roman"/>
          <w:sz w:val="24"/>
          <w:szCs w:val="24"/>
        </w:rPr>
        <w:t xml:space="preserve"> The proposed rule was published in the Federal Register on April 2</w:t>
      </w:r>
      <w:r w:rsidR="00017CB8" w:rsidRPr="009468C0">
        <w:rPr>
          <w:rFonts w:ascii="Times New Roman" w:hAnsi="Times New Roman"/>
          <w:sz w:val="24"/>
          <w:szCs w:val="24"/>
        </w:rPr>
        <w:t>4</w:t>
      </w:r>
      <w:r w:rsidRPr="009468C0">
        <w:rPr>
          <w:rFonts w:ascii="Times New Roman" w:hAnsi="Times New Roman"/>
          <w:sz w:val="24"/>
          <w:szCs w:val="24"/>
        </w:rPr>
        <w:t>, 201</w:t>
      </w:r>
      <w:r w:rsidR="00017CB8" w:rsidRPr="009468C0">
        <w:rPr>
          <w:rFonts w:ascii="Times New Roman" w:hAnsi="Times New Roman"/>
          <w:sz w:val="24"/>
          <w:szCs w:val="24"/>
        </w:rPr>
        <w:t>3</w:t>
      </w:r>
      <w:r w:rsidRPr="009468C0">
        <w:rPr>
          <w:rFonts w:ascii="Times New Roman" w:hAnsi="Times New Roman"/>
          <w:sz w:val="24"/>
          <w:szCs w:val="24"/>
        </w:rPr>
        <w:t xml:space="preserve"> (</w:t>
      </w:r>
      <w:r w:rsidR="00017CB8" w:rsidRPr="009468C0">
        <w:rPr>
          <w:rFonts w:ascii="Times New Roman" w:hAnsi="Times New Roman"/>
          <w:sz w:val="24"/>
          <w:szCs w:val="24"/>
        </w:rPr>
        <w:t>78</w:t>
      </w:r>
      <w:r w:rsidRPr="009468C0">
        <w:rPr>
          <w:rFonts w:ascii="Times New Roman" w:hAnsi="Times New Roman"/>
          <w:sz w:val="24"/>
          <w:szCs w:val="24"/>
        </w:rPr>
        <w:t xml:space="preserve"> FR </w:t>
      </w:r>
      <w:r w:rsidR="00017CB8" w:rsidRPr="009468C0">
        <w:rPr>
          <w:rFonts w:ascii="Times New Roman" w:hAnsi="Times New Roman"/>
          <w:sz w:val="24"/>
          <w:szCs w:val="24"/>
        </w:rPr>
        <w:t>24107</w:t>
      </w:r>
      <w:r w:rsidRPr="009468C0">
        <w:rPr>
          <w:rFonts w:ascii="Times New Roman" w:hAnsi="Times New Roman"/>
          <w:sz w:val="24"/>
          <w:szCs w:val="24"/>
        </w:rPr>
        <w:t>).</w:t>
      </w:r>
      <w:r w:rsidR="003C24EA">
        <w:rPr>
          <w:rFonts w:ascii="Times New Roman" w:hAnsi="Times New Roman"/>
          <w:sz w:val="24"/>
          <w:szCs w:val="24"/>
        </w:rPr>
        <w:t xml:space="preserve">  </w:t>
      </w:r>
      <w:r w:rsidR="003C24EA" w:rsidRPr="003C24EA">
        <w:rPr>
          <w:rFonts w:ascii="Times New Roman" w:hAnsi="Times New Roman"/>
          <w:sz w:val="24"/>
          <w:szCs w:val="24"/>
        </w:rPr>
        <w:t xml:space="preserve">The Commission also issued </w:t>
      </w:r>
      <w:r w:rsidR="003C24EA" w:rsidRPr="00463A0A">
        <w:rPr>
          <w:rFonts w:ascii="Times New Roman" w:hAnsi="Times New Roman"/>
          <w:sz w:val="24"/>
          <w:szCs w:val="24"/>
        </w:rPr>
        <w:t>an errata notice</w:t>
      </w:r>
      <w:r w:rsidR="00181482" w:rsidRPr="00463A0A">
        <w:rPr>
          <w:rFonts w:ascii="Times New Roman" w:hAnsi="Times New Roman"/>
          <w:sz w:val="24"/>
          <w:szCs w:val="24"/>
          <w:vertAlign w:val="superscript"/>
        </w:rPr>
        <w:fldChar w:fldCharType="begin"/>
      </w:r>
      <w:r w:rsidR="00181482" w:rsidRPr="00463A0A">
        <w:rPr>
          <w:rFonts w:ascii="Times New Roman" w:hAnsi="Times New Roman"/>
          <w:sz w:val="24"/>
          <w:szCs w:val="24"/>
          <w:vertAlign w:val="superscript"/>
        </w:rPr>
        <w:instrText xml:space="preserve"> NOTEREF _Ref355702017 \h  \* MERGEFORMAT </w:instrText>
      </w:r>
      <w:r w:rsidR="00181482" w:rsidRPr="00463A0A">
        <w:rPr>
          <w:rFonts w:ascii="Times New Roman" w:hAnsi="Times New Roman"/>
          <w:sz w:val="24"/>
          <w:szCs w:val="24"/>
          <w:vertAlign w:val="superscript"/>
        </w:rPr>
      </w:r>
      <w:r w:rsidR="00181482" w:rsidRPr="00463A0A">
        <w:rPr>
          <w:rFonts w:ascii="Times New Roman" w:hAnsi="Times New Roman"/>
          <w:sz w:val="24"/>
          <w:szCs w:val="24"/>
          <w:vertAlign w:val="superscript"/>
        </w:rPr>
        <w:fldChar w:fldCharType="separate"/>
      </w:r>
      <w:r w:rsidR="00D93381" w:rsidRPr="00463A0A">
        <w:rPr>
          <w:rFonts w:ascii="Times New Roman" w:hAnsi="Times New Roman"/>
          <w:sz w:val="24"/>
          <w:szCs w:val="24"/>
          <w:vertAlign w:val="superscript"/>
        </w:rPr>
        <w:t>1</w:t>
      </w:r>
      <w:r w:rsidR="00181482" w:rsidRPr="00463A0A">
        <w:rPr>
          <w:rFonts w:ascii="Times New Roman" w:hAnsi="Times New Roman"/>
          <w:sz w:val="24"/>
          <w:szCs w:val="24"/>
          <w:vertAlign w:val="superscript"/>
        </w:rPr>
        <w:fldChar w:fldCharType="end"/>
      </w:r>
      <w:r w:rsidR="003C24EA" w:rsidRPr="00463A0A">
        <w:rPr>
          <w:rFonts w:ascii="Times New Roman" w:hAnsi="Times New Roman"/>
          <w:sz w:val="24"/>
          <w:szCs w:val="24"/>
        </w:rPr>
        <w:t xml:space="preserve"> in</w:t>
      </w:r>
      <w:r w:rsidR="003C24EA" w:rsidRPr="003C24EA">
        <w:rPr>
          <w:rFonts w:ascii="Times New Roman" w:hAnsi="Times New Roman"/>
          <w:sz w:val="24"/>
          <w:szCs w:val="24"/>
        </w:rPr>
        <w:t xml:space="preserve"> this docket on </w:t>
      </w:r>
      <w:r w:rsidR="003C24EA">
        <w:rPr>
          <w:rFonts w:ascii="Times New Roman" w:hAnsi="Times New Roman"/>
          <w:sz w:val="24"/>
          <w:szCs w:val="24"/>
        </w:rPr>
        <w:t xml:space="preserve">May 5, </w:t>
      </w:r>
      <w:r w:rsidR="003C24EA" w:rsidRPr="003C24EA">
        <w:rPr>
          <w:rFonts w:ascii="Times New Roman" w:hAnsi="Times New Roman"/>
          <w:sz w:val="24"/>
          <w:szCs w:val="24"/>
        </w:rPr>
        <w:t>2013 correcting a few mistakes in the proposed rule.</w:t>
      </w:r>
    </w:p>
    <w:p w14:paraId="699ECBD1" w14:textId="77777777" w:rsidR="00EA195B" w:rsidRDefault="00EA195B" w:rsidP="00EB3E6F">
      <w:pPr>
        <w:spacing w:after="0"/>
        <w:rPr>
          <w:rFonts w:ascii="Times New Roman" w:hAnsi="Times New Roman"/>
          <w:sz w:val="24"/>
          <w:szCs w:val="24"/>
        </w:rPr>
      </w:pPr>
    </w:p>
    <w:p w14:paraId="0BFE0D03" w14:textId="4113C608" w:rsidR="00EA195B" w:rsidRDefault="005303B6" w:rsidP="00EB3E6F">
      <w:pPr>
        <w:spacing w:after="0"/>
        <w:rPr>
          <w:rFonts w:ascii="Times New Roman" w:hAnsi="Times New Roman"/>
          <w:sz w:val="24"/>
          <w:szCs w:val="24"/>
        </w:rPr>
      </w:pPr>
      <w:r w:rsidRPr="005303B6">
        <w:rPr>
          <w:rFonts w:ascii="Times New Roman" w:hAnsi="Times New Roman"/>
          <w:sz w:val="24"/>
          <w:szCs w:val="24"/>
        </w:rPr>
        <w:t>In response to the NOPR, interested entities filed 62 comments.</w:t>
      </w:r>
      <w:r w:rsidR="00463A0A">
        <w:rPr>
          <w:rFonts w:ascii="Times New Roman" w:hAnsi="Times New Roman"/>
          <w:sz w:val="24"/>
          <w:szCs w:val="24"/>
        </w:rPr>
        <w:t xml:space="preserve">  The Commission summarized and responded to these comments in the final rule.</w:t>
      </w:r>
      <w:r w:rsidR="006053F6" w:rsidRPr="00A473F6">
        <w:rPr>
          <w:rStyle w:val="FootnoteReference"/>
          <w:rFonts w:ascii="Times New Roman" w:hAnsi="Times New Roman"/>
          <w:sz w:val="24"/>
          <w:szCs w:val="24"/>
        </w:rPr>
        <w:footnoteReference w:id="15"/>
      </w:r>
      <w:r w:rsidR="00463A0A">
        <w:rPr>
          <w:rFonts w:ascii="Times New Roman" w:hAnsi="Times New Roman"/>
          <w:sz w:val="24"/>
          <w:szCs w:val="24"/>
        </w:rPr>
        <w:t xml:space="preserve">  </w:t>
      </w:r>
    </w:p>
    <w:p w14:paraId="384EFA7E" w14:textId="77777777" w:rsidR="005303B6" w:rsidRDefault="005303B6" w:rsidP="00EB3E6F">
      <w:pPr>
        <w:spacing w:after="0"/>
        <w:rPr>
          <w:rFonts w:ascii="Times New Roman" w:hAnsi="Times New Roman"/>
          <w:sz w:val="24"/>
          <w:szCs w:val="24"/>
        </w:rPr>
      </w:pPr>
    </w:p>
    <w:p w14:paraId="239938FF" w14:textId="0080F517" w:rsidR="005303B6" w:rsidRPr="005303B6" w:rsidRDefault="005303B6" w:rsidP="005303B6">
      <w:pPr>
        <w:spacing w:after="0"/>
        <w:rPr>
          <w:rFonts w:ascii="Times New Roman" w:hAnsi="Times New Roman"/>
          <w:b/>
          <w:sz w:val="24"/>
          <w:szCs w:val="24"/>
          <w:u w:val="single"/>
        </w:rPr>
      </w:pPr>
      <w:r w:rsidRPr="005303B6">
        <w:rPr>
          <w:rFonts w:ascii="Times New Roman" w:hAnsi="Times New Roman"/>
          <w:b/>
          <w:sz w:val="24"/>
          <w:szCs w:val="24"/>
          <w:u w:val="single"/>
        </w:rPr>
        <w:t>Comments</w:t>
      </w:r>
      <w:r>
        <w:rPr>
          <w:rFonts w:ascii="Times New Roman" w:hAnsi="Times New Roman"/>
          <w:b/>
          <w:sz w:val="24"/>
          <w:szCs w:val="24"/>
          <w:u w:val="single"/>
        </w:rPr>
        <w:t xml:space="preserve"> regarding the information collection section of the rule</w:t>
      </w:r>
    </w:p>
    <w:p w14:paraId="482C4D94" w14:textId="20C941C9" w:rsidR="005303B6" w:rsidRPr="005303B6" w:rsidRDefault="005303B6" w:rsidP="005303B6">
      <w:pPr>
        <w:spacing w:after="0"/>
        <w:rPr>
          <w:rFonts w:ascii="Times New Roman" w:hAnsi="Times New Roman"/>
          <w:sz w:val="24"/>
          <w:szCs w:val="24"/>
        </w:rPr>
      </w:pPr>
      <w:r w:rsidRPr="005303B6">
        <w:rPr>
          <w:rFonts w:ascii="Times New Roman" w:hAnsi="Times New Roman"/>
          <w:sz w:val="24"/>
          <w:szCs w:val="24"/>
        </w:rPr>
        <w:lastRenderedPageBreak/>
        <w:t>A number of commenters take issue with the Commission’s choice to evaluate the paperwork burden imposed in this Final Rule on an incremental basis from the CIP version 4 Standards to the CIP version 5 Standards, rather than estimate the paperwork burden based on a transition from the CIP version 3 Standards.  In addition, various commenters assert that the Commission underestimates the paperwork and c</w:t>
      </w:r>
      <w:r w:rsidR="00210E4B">
        <w:rPr>
          <w:rFonts w:ascii="Times New Roman" w:hAnsi="Times New Roman"/>
          <w:sz w:val="24"/>
          <w:szCs w:val="24"/>
        </w:rPr>
        <w:t>ost burdens imposed by the CIP v</w:t>
      </w:r>
      <w:r w:rsidRPr="005303B6">
        <w:rPr>
          <w:rFonts w:ascii="Times New Roman" w:hAnsi="Times New Roman"/>
          <w:sz w:val="24"/>
          <w:szCs w:val="24"/>
        </w:rPr>
        <w:t xml:space="preserve">ersion 5 Standards.  </w:t>
      </w:r>
    </w:p>
    <w:p w14:paraId="1DDB48B4" w14:textId="77777777" w:rsidR="005303B6" w:rsidRDefault="005303B6" w:rsidP="005303B6">
      <w:pPr>
        <w:spacing w:after="0"/>
        <w:rPr>
          <w:rFonts w:ascii="Times New Roman" w:hAnsi="Times New Roman"/>
          <w:sz w:val="24"/>
          <w:szCs w:val="24"/>
        </w:rPr>
      </w:pPr>
    </w:p>
    <w:p w14:paraId="66A8F06B" w14:textId="77777777" w:rsidR="005303B6" w:rsidRPr="005303B6" w:rsidRDefault="005303B6" w:rsidP="005303B6">
      <w:pPr>
        <w:spacing w:after="0"/>
        <w:rPr>
          <w:rFonts w:ascii="Times New Roman" w:hAnsi="Times New Roman"/>
          <w:sz w:val="24"/>
          <w:szCs w:val="24"/>
        </w:rPr>
      </w:pPr>
      <w:r w:rsidRPr="005303B6">
        <w:rPr>
          <w:rFonts w:ascii="Times New Roman" w:hAnsi="Times New Roman"/>
          <w:sz w:val="24"/>
          <w:szCs w:val="24"/>
        </w:rPr>
        <w:t>EEI argues that comparing CIP version 5 to CIP version 4 “vastly understates the burden and biases any realistic evaluation,” and “strongly disagrees” with this basic assumption of the estimated paperwork burden.  EEI contends that a more realistic and practical analysis would compare CIP version 3 and CIP version 5, but admits that such a comparison would be problematic because the design of the two versions are so different.  Therefore, EEI urges the Commission to evaluate the CIP version 5 Standards on their own merits.</w:t>
      </w:r>
      <w:r w:rsidRPr="005303B6">
        <w:rPr>
          <w:rFonts w:ascii="Times New Roman" w:hAnsi="Times New Roman"/>
          <w:sz w:val="24"/>
          <w:szCs w:val="24"/>
          <w:vertAlign w:val="superscript"/>
        </w:rPr>
        <w:footnoteReference w:id="16"/>
      </w:r>
      <w:r w:rsidRPr="005303B6">
        <w:rPr>
          <w:rFonts w:ascii="Times New Roman" w:hAnsi="Times New Roman"/>
          <w:sz w:val="24"/>
          <w:szCs w:val="24"/>
        </w:rPr>
        <w:t xml:space="preserve">  According to MidAmerican, the Commission’s comparison of the two versions, and identification of the burden on responsible entities based on the classes of facilities each group of entities owns, “misses the mark” and, therefore, the Commission grossly underestimated the burden to successfully implement the CIP version 5 Standards.</w:t>
      </w:r>
      <w:r w:rsidRPr="005303B6">
        <w:rPr>
          <w:rFonts w:ascii="Times New Roman" w:hAnsi="Times New Roman"/>
          <w:sz w:val="24"/>
          <w:szCs w:val="24"/>
          <w:vertAlign w:val="superscript"/>
        </w:rPr>
        <w:footnoteReference w:id="17"/>
      </w:r>
      <w:r w:rsidRPr="005303B6">
        <w:rPr>
          <w:rFonts w:ascii="Times New Roman" w:hAnsi="Times New Roman"/>
          <w:sz w:val="24"/>
          <w:szCs w:val="24"/>
        </w:rPr>
        <w:t xml:space="preserve">  Similarly, NRECA is unclear why the Commission chose to assess the paperwork burden by comparing CIP version 4 and CIP version 5, noting the differences between the two versions and the fact that CIP version 4 will not be implemented.  NRECA submits that an appropriate analysis of burden should be based on the full cost of implementing CIP version 5.</w:t>
      </w:r>
      <w:r w:rsidRPr="005303B6">
        <w:rPr>
          <w:rFonts w:ascii="Times New Roman" w:hAnsi="Times New Roman"/>
          <w:b/>
          <w:sz w:val="24"/>
          <w:szCs w:val="24"/>
          <w:vertAlign w:val="superscript"/>
        </w:rPr>
        <w:footnoteReference w:id="18"/>
      </w:r>
      <w:r w:rsidRPr="005303B6">
        <w:rPr>
          <w:rFonts w:ascii="Times New Roman" w:hAnsi="Times New Roman"/>
          <w:sz w:val="24"/>
          <w:szCs w:val="24"/>
        </w:rPr>
        <w:t xml:space="preserve">  </w:t>
      </w:r>
    </w:p>
    <w:p w14:paraId="31EE4BB6" w14:textId="77777777" w:rsidR="005303B6" w:rsidRDefault="005303B6" w:rsidP="005303B6">
      <w:pPr>
        <w:spacing w:after="0"/>
        <w:rPr>
          <w:rFonts w:ascii="Times New Roman" w:hAnsi="Times New Roman"/>
          <w:sz w:val="24"/>
          <w:szCs w:val="24"/>
        </w:rPr>
      </w:pPr>
    </w:p>
    <w:p w14:paraId="7A1C27E9" w14:textId="77777777" w:rsidR="005303B6" w:rsidRPr="005303B6" w:rsidRDefault="005303B6" w:rsidP="005303B6">
      <w:pPr>
        <w:spacing w:after="0"/>
        <w:rPr>
          <w:rFonts w:ascii="Times New Roman" w:hAnsi="Times New Roman"/>
          <w:sz w:val="24"/>
          <w:szCs w:val="24"/>
        </w:rPr>
      </w:pPr>
      <w:r w:rsidRPr="005303B6">
        <w:rPr>
          <w:rFonts w:ascii="Times New Roman" w:hAnsi="Times New Roman"/>
          <w:sz w:val="24"/>
          <w:szCs w:val="24"/>
        </w:rPr>
        <w:t xml:space="preserve">Tampa states that the level of effort under the CIP version 5 Standards is considerably higher than described in the NOPR due to the volume of new entities and new facilities coming into scope.  Tampa points out </w:t>
      </w:r>
      <w:proofErr w:type="gramStart"/>
      <w:r w:rsidRPr="005303B6">
        <w:rPr>
          <w:rFonts w:ascii="Times New Roman" w:hAnsi="Times New Roman"/>
          <w:sz w:val="24"/>
          <w:szCs w:val="24"/>
        </w:rPr>
        <w:t>that entities</w:t>
      </w:r>
      <w:proofErr w:type="gramEnd"/>
      <w:r w:rsidRPr="005303B6">
        <w:rPr>
          <w:rFonts w:ascii="Times New Roman" w:hAnsi="Times New Roman"/>
          <w:sz w:val="24"/>
          <w:szCs w:val="24"/>
        </w:rPr>
        <w:t xml:space="preserve"> newly subject to the CIP Reliability Standards “will have a steep learning curve and will need to purchase and install automated workflow and document management systems, which will require time and funding.”</w:t>
      </w:r>
      <w:r w:rsidRPr="005303B6">
        <w:rPr>
          <w:rFonts w:ascii="Times New Roman" w:hAnsi="Times New Roman"/>
          <w:b/>
          <w:sz w:val="24"/>
          <w:szCs w:val="24"/>
          <w:vertAlign w:val="superscript"/>
        </w:rPr>
        <w:footnoteReference w:id="19"/>
      </w:r>
      <w:r w:rsidRPr="005303B6">
        <w:rPr>
          <w:rFonts w:ascii="Times New Roman" w:hAnsi="Times New Roman"/>
          <w:sz w:val="24"/>
          <w:szCs w:val="24"/>
        </w:rPr>
        <w:t xml:space="preserve">  </w:t>
      </w:r>
    </w:p>
    <w:p w14:paraId="14418DEC" w14:textId="77777777" w:rsidR="005303B6" w:rsidRDefault="005303B6" w:rsidP="005303B6">
      <w:pPr>
        <w:spacing w:after="0"/>
        <w:rPr>
          <w:rFonts w:ascii="Times New Roman" w:hAnsi="Times New Roman"/>
          <w:sz w:val="24"/>
          <w:szCs w:val="24"/>
        </w:rPr>
      </w:pPr>
    </w:p>
    <w:p w14:paraId="25341D31" w14:textId="609B1A88" w:rsidR="005303B6" w:rsidRPr="005303B6" w:rsidRDefault="00DA5926" w:rsidP="005303B6">
      <w:pPr>
        <w:spacing w:after="0"/>
        <w:rPr>
          <w:rFonts w:ascii="Times New Roman" w:hAnsi="Times New Roman"/>
          <w:sz w:val="24"/>
          <w:szCs w:val="24"/>
        </w:rPr>
      </w:pPr>
      <w:r>
        <w:rPr>
          <w:rFonts w:ascii="Times New Roman" w:hAnsi="Times New Roman"/>
          <w:sz w:val="24"/>
          <w:szCs w:val="24"/>
        </w:rPr>
        <w:t>Los Angeles Department of Water and Power (</w:t>
      </w:r>
      <w:r w:rsidR="005303B6" w:rsidRPr="005303B6">
        <w:rPr>
          <w:rFonts w:ascii="Times New Roman" w:hAnsi="Times New Roman"/>
          <w:sz w:val="24"/>
          <w:szCs w:val="24"/>
        </w:rPr>
        <w:t>LADWP</w:t>
      </w:r>
      <w:r>
        <w:rPr>
          <w:rFonts w:ascii="Times New Roman" w:hAnsi="Times New Roman"/>
          <w:sz w:val="24"/>
          <w:szCs w:val="24"/>
        </w:rPr>
        <w:t>)</w:t>
      </w:r>
      <w:r w:rsidR="005303B6" w:rsidRPr="005303B6">
        <w:rPr>
          <w:rFonts w:ascii="Times New Roman" w:hAnsi="Times New Roman"/>
          <w:sz w:val="24"/>
          <w:szCs w:val="24"/>
        </w:rPr>
        <w:t xml:space="preserve"> states that it expects the impacts of implementing and complying with the CIP version 5 Standards will be substantial, largely resulting from two changes:  (1) the elimination of the current blanket exemption for non-routable protocols, and (2) the new requirements in CIP-005-5 that require the expanded use of electronic security perimeters.</w:t>
      </w:r>
      <w:r w:rsidR="005303B6" w:rsidRPr="005303B6">
        <w:rPr>
          <w:rFonts w:ascii="Times New Roman" w:hAnsi="Times New Roman"/>
          <w:sz w:val="24"/>
          <w:szCs w:val="24"/>
          <w:vertAlign w:val="superscript"/>
        </w:rPr>
        <w:footnoteReference w:id="20"/>
      </w:r>
      <w:r w:rsidR="005303B6" w:rsidRPr="005303B6">
        <w:rPr>
          <w:rFonts w:ascii="Times New Roman" w:hAnsi="Times New Roman"/>
          <w:sz w:val="24"/>
          <w:szCs w:val="24"/>
        </w:rPr>
        <w:t xml:space="preserve">  LADWP estimates that it will make an initial investment of almost $33 million for equipment, materials, and labor.  LADWP also estimates that it will spend </w:t>
      </w:r>
      <w:r w:rsidR="005303B6" w:rsidRPr="005303B6">
        <w:rPr>
          <w:rFonts w:ascii="Times New Roman" w:hAnsi="Times New Roman"/>
          <w:sz w:val="24"/>
          <w:szCs w:val="24"/>
        </w:rPr>
        <w:lastRenderedPageBreak/>
        <w:t>$3 million annually for software licenses and staff to monitor and implement the CIP version 5 Standards.</w:t>
      </w:r>
    </w:p>
    <w:p w14:paraId="789C038F" w14:textId="77777777" w:rsidR="005303B6" w:rsidRDefault="005303B6" w:rsidP="005303B6">
      <w:pPr>
        <w:spacing w:after="0"/>
        <w:rPr>
          <w:rFonts w:ascii="Times New Roman" w:hAnsi="Times New Roman"/>
          <w:b/>
          <w:sz w:val="24"/>
          <w:szCs w:val="24"/>
          <w:u w:val="single"/>
        </w:rPr>
      </w:pPr>
    </w:p>
    <w:p w14:paraId="5B50AAE7" w14:textId="77777777" w:rsidR="005303B6" w:rsidRPr="005303B6" w:rsidRDefault="005303B6" w:rsidP="005303B6">
      <w:pPr>
        <w:spacing w:after="0"/>
        <w:rPr>
          <w:rFonts w:ascii="Times New Roman" w:hAnsi="Times New Roman"/>
          <w:b/>
          <w:sz w:val="24"/>
          <w:szCs w:val="24"/>
          <w:u w:val="single"/>
        </w:rPr>
      </w:pPr>
      <w:r w:rsidRPr="005303B6">
        <w:rPr>
          <w:rFonts w:ascii="Times New Roman" w:hAnsi="Times New Roman"/>
          <w:b/>
          <w:sz w:val="24"/>
          <w:szCs w:val="24"/>
          <w:u w:val="single"/>
        </w:rPr>
        <w:t>Commission Determination</w:t>
      </w:r>
    </w:p>
    <w:p w14:paraId="40B95269" w14:textId="77777777" w:rsidR="005303B6" w:rsidRPr="005303B6" w:rsidRDefault="005303B6" w:rsidP="005303B6">
      <w:pPr>
        <w:spacing w:after="0"/>
        <w:rPr>
          <w:rFonts w:ascii="Times New Roman" w:hAnsi="Times New Roman"/>
          <w:sz w:val="24"/>
          <w:szCs w:val="24"/>
        </w:rPr>
      </w:pPr>
      <w:r w:rsidRPr="005303B6">
        <w:rPr>
          <w:rFonts w:ascii="Times New Roman" w:hAnsi="Times New Roman"/>
          <w:sz w:val="24"/>
          <w:szCs w:val="24"/>
        </w:rPr>
        <w:t xml:space="preserve">For the reasons discussed below, the Commission adopts the Information Collection Statement outlined in the Docket No. RM13-5-000 NOPR.  </w:t>
      </w:r>
    </w:p>
    <w:p w14:paraId="52A75606" w14:textId="77777777" w:rsidR="005303B6" w:rsidRDefault="005303B6" w:rsidP="005303B6">
      <w:pPr>
        <w:spacing w:after="0"/>
        <w:rPr>
          <w:rFonts w:ascii="Times New Roman" w:hAnsi="Times New Roman"/>
          <w:sz w:val="24"/>
          <w:szCs w:val="24"/>
        </w:rPr>
      </w:pPr>
    </w:p>
    <w:p w14:paraId="209B4E9A" w14:textId="445DB885" w:rsidR="005303B6" w:rsidRPr="005303B6" w:rsidRDefault="005303B6" w:rsidP="005303B6">
      <w:pPr>
        <w:spacing w:after="0"/>
        <w:rPr>
          <w:rFonts w:ascii="Times New Roman" w:hAnsi="Times New Roman"/>
          <w:sz w:val="24"/>
          <w:szCs w:val="24"/>
        </w:rPr>
      </w:pPr>
      <w:r w:rsidRPr="005303B6">
        <w:rPr>
          <w:rFonts w:ascii="Times New Roman" w:hAnsi="Times New Roman"/>
          <w:sz w:val="24"/>
          <w:szCs w:val="24"/>
        </w:rPr>
        <w:t>The Paperwork Reduction Act only applies to the paperwork burden imposed by a rule, it does not apply to the substantive requirements</w:t>
      </w:r>
      <w:r w:rsidR="006053F6">
        <w:rPr>
          <w:rFonts w:ascii="Times New Roman" w:hAnsi="Times New Roman"/>
          <w:sz w:val="24"/>
          <w:szCs w:val="24"/>
        </w:rPr>
        <w:t xml:space="preserve"> (</w:t>
      </w:r>
      <w:proofErr w:type="spellStart"/>
      <w:r w:rsidR="006053F6">
        <w:rPr>
          <w:rFonts w:ascii="Times New Roman" w:hAnsi="Times New Roman"/>
          <w:sz w:val="24"/>
          <w:szCs w:val="24"/>
        </w:rPr>
        <w:t>non paperwork</w:t>
      </w:r>
      <w:proofErr w:type="spellEnd"/>
      <w:r w:rsidR="006053F6">
        <w:rPr>
          <w:rFonts w:ascii="Times New Roman" w:hAnsi="Times New Roman"/>
          <w:sz w:val="24"/>
          <w:szCs w:val="24"/>
        </w:rPr>
        <w:t xml:space="preserve"> burden)</w:t>
      </w:r>
      <w:r w:rsidRPr="005303B6">
        <w:rPr>
          <w:rFonts w:ascii="Times New Roman" w:hAnsi="Times New Roman"/>
          <w:sz w:val="24"/>
          <w:szCs w:val="24"/>
        </w:rPr>
        <w:t xml:space="preserve"> imposed by that rule.</w:t>
      </w:r>
      <w:r w:rsidRPr="005303B6">
        <w:rPr>
          <w:rFonts w:ascii="Times New Roman" w:hAnsi="Times New Roman"/>
          <w:b/>
          <w:sz w:val="24"/>
          <w:szCs w:val="24"/>
          <w:vertAlign w:val="superscript"/>
        </w:rPr>
        <w:footnoteReference w:id="21"/>
      </w:r>
      <w:r w:rsidRPr="005303B6">
        <w:rPr>
          <w:rFonts w:ascii="Times New Roman" w:hAnsi="Times New Roman"/>
          <w:sz w:val="24"/>
          <w:szCs w:val="24"/>
        </w:rPr>
        <w:t xml:space="preserve">  Commenters generally argue that the Commission underestimates the economic burden of the CIP version 5.  However, no commenter provides an analysis regarding the paperwork burden resulting from the approval of the CIP version 5 Standards, as opposed to the anticipated costs of full implementation.  For example, NRECA states that its data suggests that the costs associated with the CIP version 5 Standards are an order of magnitude greater than the NOPR estimates.  Likewise, LADWP provides a cost estimate for full implantation including equipment, materials and labor, but does not segregate out the paperwork burden relevant to the immediate analysis.  Because the Paperwork Reduction Act requires that the Commission estimate the total average annual paperwork cost burden, not the total estimated cost burden of the rule, arguing that the cost of full compliance with CIP version higher than the estimated </w:t>
      </w:r>
      <w:r w:rsidRPr="005303B6">
        <w:rPr>
          <w:rFonts w:ascii="Times New Roman" w:hAnsi="Times New Roman"/>
          <w:i/>
          <w:sz w:val="24"/>
          <w:szCs w:val="24"/>
        </w:rPr>
        <w:t>paperwork burden</w:t>
      </w:r>
      <w:r w:rsidRPr="005303B6">
        <w:rPr>
          <w:rFonts w:ascii="Times New Roman" w:hAnsi="Times New Roman"/>
          <w:sz w:val="24"/>
          <w:szCs w:val="24"/>
        </w:rPr>
        <w:t xml:space="preserve"> does not negate the Commission’s Paperwork Reduction Act estimate.</w:t>
      </w:r>
    </w:p>
    <w:p w14:paraId="1957A6D1" w14:textId="77777777" w:rsidR="005303B6" w:rsidRDefault="005303B6" w:rsidP="005303B6">
      <w:pPr>
        <w:spacing w:after="0"/>
        <w:rPr>
          <w:rFonts w:ascii="Times New Roman" w:hAnsi="Times New Roman"/>
          <w:sz w:val="24"/>
          <w:szCs w:val="24"/>
        </w:rPr>
      </w:pPr>
    </w:p>
    <w:p w14:paraId="0123363A" w14:textId="3FC07920" w:rsidR="005303B6" w:rsidRPr="005303B6" w:rsidRDefault="005303B6" w:rsidP="005303B6">
      <w:pPr>
        <w:spacing w:after="0"/>
        <w:rPr>
          <w:rFonts w:ascii="Times New Roman" w:hAnsi="Times New Roman"/>
          <w:sz w:val="24"/>
          <w:szCs w:val="24"/>
        </w:rPr>
      </w:pPr>
      <w:r w:rsidRPr="005303B6">
        <w:rPr>
          <w:rFonts w:ascii="Times New Roman" w:hAnsi="Times New Roman"/>
          <w:sz w:val="24"/>
          <w:szCs w:val="24"/>
        </w:rPr>
        <w:t xml:space="preserve">With regard to MidAmerican’s and Tampa’s comments regarding the costs associated with the expanded scope of the CIP version 5 Standards, </w:t>
      </w:r>
      <w:r w:rsidR="00D2697A">
        <w:rPr>
          <w:rFonts w:ascii="Times New Roman" w:hAnsi="Times New Roman"/>
          <w:sz w:val="24"/>
          <w:szCs w:val="24"/>
        </w:rPr>
        <w:t>the Commission</w:t>
      </w:r>
      <w:r w:rsidRPr="005303B6">
        <w:rPr>
          <w:rFonts w:ascii="Times New Roman" w:hAnsi="Times New Roman"/>
          <w:sz w:val="24"/>
          <w:szCs w:val="24"/>
        </w:rPr>
        <w:t xml:space="preserve"> recognize</w:t>
      </w:r>
      <w:r w:rsidR="00D2697A">
        <w:rPr>
          <w:rFonts w:ascii="Times New Roman" w:hAnsi="Times New Roman"/>
          <w:sz w:val="24"/>
          <w:szCs w:val="24"/>
        </w:rPr>
        <w:t>d</w:t>
      </w:r>
      <w:r w:rsidRPr="005303B6">
        <w:rPr>
          <w:rFonts w:ascii="Times New Roman" w:hAnsi="Times New Roman"/>
          <w:sz w:val="24"/>
          <w:szCs w:val="24"/>
        </w:rPr>
        <w:t xml:space="preserve"> that the CIP version 5 Standards offer a more comprehensive protection of the bulk electric system, particularly due to the coverage of Low Impact assets.  Statements regarding the expanded scope of the CIP Reliability Standards alone, without additional data, do not undermine the Commission’s approach to estimating the paperwork burden associated with the CIP version 5 Standards or the resulting paperwork burden estimate.  The Commission included the cost of developing and modifying the documentation for the required policies, plans, programs and procedures in the paperwork burden estimate, but did not include the cost of substantive compliance with the CIP Reliability Standards.  Absent specific comments on the paperwork burden associated with the CIP version 5 Standards, the Commission has no basis to amend the NOPR estimate.  </w:t>
      </w:r>
    </w:p>
    <w:p w14:paraId="19F9A5BB" w14:textId="77777777" w:rsidR="005303B6" w:rsidRDefault="005303B6" w:rsidP="005303B6">
      <w:pPr>
        <w:spacing w:after="0"/>
        <w:rPr>
          <w:rFonts w:ascii="Times New Roman" w:hAnsi="Times New Roman"/>
          <w:sz w:val="24"/>
          <w:szCs w:val="24"/>
        </w:rPr>
      </w:pPr>
    </w:p>
    <w:p w14:paraId="3EE3FF1A" w14:textId="33590769" w:rsidR="005303B6" w:rsidRPr="00D2697A" w:rsidRDefault="005303B6" w:rsidP="005303B6">
      <w:pPr>
        <w:spacing w:after="0"/>
        <w:rPr>
          <w:rFonts w:ascii="Times New Roman" w:hAnsi="Times New Roman"/>
          <w:sz w:val="24"/>
          <w:szCs w:val="24"/>
        </w:rPr>
      </w:pPr>
      <w:r w:rsidRPr="005303B6">
        <w:rPr>
          <w:rFonts w:ascii="Times New Roman" w:hAnsi="Times New Roman"/>
          <w:sz w:val="24"/>
          <w:szCs w:val="24"/>
        </w:rPr>
        <w:t xml:space="preserve">In addition, multiple commenters argue that the Commission erred by relying on a burden estimate based on a comparison of the CIP version 5 Standards to the CIP version 4 Standards since the CIP version 4 Standards will not take effect.  </w:t>
      </w:r>
      <w:r w:rsidR="00D2697A">
        <w:rPr>
          <w:rFonts w:ascii="Times New Roman" w:hAnsi="Times New Roman"/>
          <w:sz w:val="24"/>
          <w:szCs w:val="24"/>
        </w:rPr>
        <w:t>The Commission</w:t>
      </w:r>
      <w:r w:rsidRPr="005303B6">
        <w:rPr>
          <w:rFonts w:ascii="Times New Roman" w:hAnsi="Times New Roman"/>
          <w:sz w:val="24"/>
          <w:szCs w:val="24"/>
        </w:rPr>
        <w:t xml:space="preserve"> reiterate</w:t>
      </w:r>
      <w:r w:rsidR="00D2697A">
        <w:rPr>
          <w:rFonts w:ascii="Times New Roman" w:hAnsi="Times New Roman"/>
          <w:sz w:val="24"/>
          <w:szCs w:val="24"/>
        </w:rPr>
        <w:t>d</w:t>
      </w:r>
      <w:r w:rsidRPr="005303B6">
        <w:rPr>
          <w:rFonts w:ascii="Times New Roman" w:hAnsi="Times New Roman"/>
          <w:sz w:val="24"/>
          <w:szCs w:val="24"/>
        </w:rPr>
        <w:t xml:space="preserve"> that, in </w:t>
      </w:r>
      <w:r w:rsidRPr="005303B6">
        <w:rPr>
          <w:rFonts w:ascii="Times New Roman" w:hAnsi="Times New Roman"/>
          <w:sz w:val="24"/>
          <w:szCs w:val="24"/>
        </w:rPr>
        <w:lastRenderedPageBreak/>
        <w:t xml:space="preserve">considering and approving the CIP version 4 Standards, the Commission already compared and accounted for the incremental cost burden resulting from the change from the CIP version 3 Standards to the CIP version 4 Standards.  Therefore, any incremental change in paperwork burden associated with the approval of the CIP version 5 Standards will be relative to the burden imposed by the </w:t>
      </w:r>
      <w:r w:rsidRPr="00D2697A">
        <w:rPr>
          <w:rFonts w:ascii="Times New Roman" w:hAnsi="Times New Roman"/>
          <w:sz w:val="24"/>
          <w:szCs w:val="24"/>
        </w:rPr>
        <w:t>approval of the CIP version 4 Standards, whether that change be positive or negative.</w:t>
      </w:r>
      <w:r w:rsidRPr="00D2697A">
        <w:rPr>
          <w:rFonts w:ascii="Times New Roman" w:hAnsi="Times New Roman"/>
          <w:b/>
          <w:sz w:val="24"/>
          <w:szCs w:val="24"/>
          <w:vertAlign w:val="superscript"/>
        </w:rPr>
        <w:footnoteReference w:id="22"/>
      </w:r>
      <w:r w:rsidRPr="00D2697A">
        <w:rPr>
          <w:rFonts w:ascii="Times New Roman" w:hAnsi="Times New Roman"/>
          <w:sz w:val="24"/>
          <w:szCs w:val="24"/>
        </w:rPr>
        <w:t xml:space="preserve">  </w:t>
      </w:r>
    </w:p>
    <w:p w14:paraId="797E1AD6" w14:textId="77777777" w:rsidR="00D2697A" w:rsidRPr="00D2697A" w:rsidRDefault="00D2697A" w:rsidP="005303B6">
      <w:pPr>
        <w:spacing w:after="0"/>
        <w:rPr>
          <w:rFonts w:ascii="Times New Roman" w:hAnsi="Times New Roman"/>
          <w:sz w:val="24"/>
          <w:szCs w:val="24"/>
        </w:rPr>
      </w:pPr>
    </w:p>
    <w:p w14:paraId="4BBE4C7B" w14:textId="70CAC803" w:rsidR="005303B6" w:rsidRPr="00D2697A" w:rsidRDefault="005303B6" w:rsidP="005303B6">
      <w:pPr>
        <w:spacing w:after="0"/>
        <w:rPr>
          <w:rFonts w:ascii="Times New Roman" w:hAnsi="Times New Roman"/>
          <w:sz w:val="24"/>
          <w:szCs w:val="24"/>
        </w:rPr>
      </w:pPr>
      <w:r w:rsidRPr="00D2697A">
        <w:rPr>
          <w:rFonts w:ascii="Times New Roman" w:hAnsi="Times New Roman"/>
          <w:sz w:val="24"/>
          <w:szCs w:val="24"/>
        </w:rPr>
        <w:t>In reply to concerns regarding potential cost increases associated with changes we direct</w:t>
      </w:r>
      <w:r w:rsidR="00D2697A" w:rsidRPr="00D2697A">
        <w:rPr>
          <w:rFonts w:ascii="Times New Roman" w:hAnsi="Times New Roman"/>
          <w:sz w:val="24"/>
          <w:szCs w:val="24"/>
        </w:rPr>
        <w:t>ed in the</w:t>
      </w:r>
      <w:r w:rsidRPr="00D2697A">
        <w:rPr>
          <w:rFonts w:ascii="Times New Roman" w:hAnsi="Times New Roman"/>
          <w:sz w:val="24"/>
          <w:szCs w:val="24"/>
        </w:rPr>
        <w:t xml:space="preserve"> Final Rule, </w:t>
      </w:r>
      <w:r w:rsidR="00D2697A" w:rsidRPr="00D2697A">
        <w:rPr>
          <w:rFonts w:ascii="Times New Roman" w:hAnsi="Times New Roman"/>
          <w:sz w:val="24"/>
          <w:szCs w:val="24"/>
        </w:rPr>
        <w:t>the Commission</w:t>
      </w:r>
      <w:r w:rsidRPr="00D2697A">
        <w:rPr>
          <w:rFonts w:ascii="Times New Roman" w:hAnsi="Times New Roman"/>
          <w:sz w:val="24"/>
          <w:szCs w:val="24"/>
        </w:rPr>
        <w:t xml:space="preserve"> clarif</w:t>
      </w:r>
      <w:r w:rsidR="00D2697A" w:rsidRPr="00D2697A">
        <w:rPr>
          <w:rFonts w:ascii="Times New Roman" w:hAnsi="Times New Roman"/>
          <w:sz w:val="24"/>
          <w:szCs w:val="24"/>
        </w:rPr>
        <w:t>ied</w:t>
      </w:r>
      <w:r w:rsidRPr="00D2697A">
        <w:rPr>
          <w:rFonts w:ascii="Times New Roman" w:hAnsi="Times New Roman"/>
          <w:sz w:val="24"/>
          <w:szCs w:val="24"/>
        </w:rPr>
        <w:t xml:space="preserve"> that any differences in cost will be evaluated at such time as NERC files the directed changes with the Commission.</w:t>
      </w:r>
      <w:r w:rsidRPr="00D2697A">
        <w:rPr>
          <w:rFonts w:ascii="Times New Roman" w:hAnsi="Times New Roman"/>
          <w:b/>
          <w:sz w:val="24"/>
          <w:szCs w:val="24"/>
          <w:vertAlign w:val="superscript"/>
        </w:rPr>
        <w:footnoteReference w:id="23"/>
      </w:r>
    </w:p>
    <w:p w14:paraId="2F7AA1E0" w14:textId="77777777" w:rsidR="005303B6" w:rsidRPr="00D2697A" w:rsidRDefault="005303B6" w:rsidP="005303B6">
      <w:pPr>
        <w:spacing w:after="0"/>
        <w:rPr>
          <w:rFonts w:ascii="Times New Roman" w:hAnsi="Times New Roman"/>
          <w:sz w:val="24"/>
          <w:szCs w:val="24"/>
        </w:rPr>
      </w:pPr>
    </w:p>
    <w:p w14:paraId="5BB79F65" w14:textId="67EC6072" w:rsidR="00D47174" w:rsidRDefault="005303B6" w:rsidP="00EB3E6F">
      <w:pPr>
        <w:spacing w:after="0"/>
        <w:rPr>
          <w:rFonts w:ascii="Times New Roman" w:hAnsi="Times New Roman"/>
          <w:sz w:val="24"/>
          <w:szCs w:val="24"/>
        </w:rPr>
      </w:pPr>
      <w:r w:rsidRPr="00D2697A">
        <w:rPr>
          <w:rFonts w:ascii="Times New Roman" w:hAnsi="Times New Roman"/>
          <w:sz w:val="24"/>
          <w:szCs w:val="24"/>
        </w:rPr>
        <w:t>After consideration of comments, the Commission adopt</w:t>
      </w:r>
      <w:r w:rsidR="00D2697A" w:rsidRPr="00D2697A">
        <w:rPr>
          <w:rFonts w:ascii="Times New Roman" w:hAnsi="Times New Roman"/>
          <w:sz w:val="24"/>
          <w:szCs w:val="24"/>
        </w:rPr>
        <w:t>ed</w:t>
      </w:r>
      <w:r w:rsidRPr="00D2697A">
        <w:rPr>
          <w:rFonts w:ascii="Times New Roman" w:hAnsi="Times New Roman"/>
          <w:sz w:val="24"/>
          <w:szCs w:val="24"/>
        </w:rPr>
        <w:t xml:space="preserve"> the NOPR proposal for the information collection burden and cost</w:t>
      </w:r>
      <w:r>
        <w:rPr>
          <w:rFonts w:ascii="Times New Roman" w:hAnsi="Times New Roman"/>
          <w:sz w:val="24"/>
          <w:szCs w:val="24"/>
        </w:rPr>
        <w:t xml:space="preserve"> as detailed in items 12-15 of this supporting statement. </w:t>
      </w:r>
    </w:p>
    <w:p w14:paraId="2B4FA21C" w14:textId="77777777" w:rsidR="00BA21F1" w:rsidRPr="009468C0" w:rsidRDefault="00BA21F1" w:rsidP="00EB3E6F">
      <w:pPr>
        <w:spacing w:after="0"/>
        <w:rPr>
          <w:rFonts w:ascii="Times New Roman" w:hAnsi="Times New Roman"/>
          <w:sz w:val="24"/>
          <w:szCs w:val="24"/>
        </w:rPr>
      </w:pPr>
    </w:p>
    <w:p w14:paraId="5BB79F66" w14:textId="77777777" w:rsidR="00D47174" w:rsidRPr="009468C0" w:rsidRDefault="00D47174" w:rsidP="00A72E7B">
      <w:pPr>
        <w:pStyle w:val="ListParagraph"/>
        <w:numPr>
          <w:ilvl w:val="0"/>
          <w:numId w:val="1"/>
        </w:numPr>
        <w:spacing w:after="0"/>
        <w:ind w:left="360"/>
        <w:rPr>
          <w:rFonts w:ascii="Times New Roman" w:hAnsi="Times New Roman"/>
          <w:b/>
          <w:sz w:val="24"/>
          <w:szCs w:val="24"/>
        </w:rPr>
      </w:pPr>
      <w:r w:rsidRPr="009468C0">
        <w:rPr>
          <w:rFonts w:ascii="Times New Roman" w:hAnsi="Times New Roman"/>
          <w:b/>
          <w:sz w:val="24"/>
          <w:szCs w:val="24"/>
        </w:rPr>
        <w:t>EXPLAIN ANY PAYMENT OR GIFTS TO RESPONDENTS</w:t>
      </w:r>
    </w:p>
    <w:p w14:paraId="5BB79F67" w14:textId="77777777" w:rsidR="00D47174" w:rsidRPr="009468C0" w:rsidRDefault="00D47174" w:rsidP="00D80FBD">
      <w:pPr>
        <w:spacing w:after="0"/>
        <w:rPr>
          <w:rFonts w:ascii="Times New Roman" w:hAnsi="Times New Roman"/>
          <w:sz w:val="24"/>
          <w:szCs w:val="24"/>
        </w:rPr>
      </w:pPr>
    </w:p>
    <w:p w14:paraId="5BB79F68" w14:textId="77777777" w:rsidR="00D47174" w:rsidRPr="009468C0" w:rsidRDefault="00D47174" w:rsidP="00D80FBD">
      <w:pPr>
        <w:spacing w:after="0"/>
        <w:rPr>
          <w:rFonts w:ascii="Times New Roman" w:hAnsi="Times New Roman"/>
          <w:sz w:val="24"/>
          <w:szCs w:val="24"/>
        </w:rPr>
      </w:pPr>
      <w:r w:rsidRPr="009468C0">
        <w:rPr>
          <w:rFonts w:ascii="Times New Roman" w:hAnsi="Times New Roman"/>
          <w:sz w:val="24"/>
          <w:szCs w:val="24"/>
        </w:rPr>
        <w:t>There are no payments or gifts for respondents related to this collection.</w:t>
      </w:r>
    </w:p>
    <w:p w14:paraId="5BB79F69" w14:textId="77777777" w:rsidR="00D47174" w:rsidRPr="009468C0" w:rsidRDefault="00D47174" w:rsidP="00D80FBD">
      <w:pPr>
        <w:spacing w:after="0"/>
        <w:rPr>
          <w:rFonts w:ascii="Times New Roman" w:hAnsi="Times New Roman"/>
          <w:sz w:val="24"/>
          <w:szCs w:val="24"/>
        </w:rPr>
      </w:pPr>
    </w:p>
    <w:p w14:paraId="5BB79F6A" w14:textId="77777777" w:rsidR="00D47174" w:rsidRPr="009468C0" w:rsidRDefault="00D47174" w:rsidP="00A72E7B">
      <w:pPr>
        <w:pStyle w:val="ListParagraph"/>
        <w:numPr>
          <w:ilvl w:val="0"/>
          <w:numId w:val="1"/>
        </w:numPr>
        <w:spacing w:after="0"/>
        <w:ind w:left="360"/>
        <w:rPr>
          <w:rFonts w:ascii="Times New Roman" w:hAnsi="Times New Roman"/>
          <w:b/>
          <w:sz w:val="24"/>
          <w:szCs w:val="24"/>
        </w:rPr>
      </w:pPr>
      <w:r w:rsidRPr="009468C0">
        <w:rPr>
          <w:rFonts w:ascii="Times New Roman" w:hAnsi="Times New Roman"/>
          <w:b/>
          <w:sz w:val="24"/>
          <w:szCs w:val="24"/>
        </w:rPr>
        <w:t>DESCRIBE ANY ASSURANCE OF CONFIDENTIALITY PROVIDED TO RESPONDENTS</w:t>
      </w:r>
    </w:p>
    <w:p w14:paraId="5BB79F6B" w14:textId="77777777" w:rsidR="00D47174" w:rsidRPr="009468C0" w:rsidRDefault="00D47174" w:rsidP="00D80FBD">
      <w:pPr>
        <w:spacing w:after="0"/>
        <w:rPr>
          <w:rFonts w:ascii="Times New Roman" w:hAnsi="Times New Roman"/>
          <w:sz w:val="24"/>
          <w:szCs w:val="24"/>
        </w:rPr>
      </w:pPr>
    </w:p>
    <w:p w14:paraId="5BB79F6C" w14:textId="5A7CA7B9" w:rsidR="00D47174" w:rsidRPr="009468C0" w:rsidRDefault="00D47174" w:rsidP="00734BCA">
      <w:pPr>
        <w:spacing w:after="0"/>
        <w:rPr>
          <w:rFonts w:ascii="Times New Roman" w:hAnsi="Times New Roman"/>
          <w:sz w:val="24"/>
          <w:szCs w:val="24"/>
        </w:rPr>
      </w:pPr>
      <w:r w:rsidRPr="009468C0">
        <w:rPr>
          <w:rFonts w:ascii="Times New Roman" w:hAnsi="Times New Roman"/>
          <w:sz w:val="24"/>
          <w:szCs w:val="24"/>
        </w:rPr>
        <w:t xml:space="preserve">As stated in item #7, if a registered entity is required to disclose </w:t>
      </w:r>
      <w:r w:rsidR="000E1EA9" w:rsidRPr="009468C0">
        <w:rPr>
          <w:rFonts w:ascii="Times New Roman" w:hAnsi="Times New Roman"/>
          <w:sz w:val="24"/>
          <w:szCs w:val="24"/>
        </w:rPr>
        <w:t xml:space="preserve">security or </w:t>
      </w:r>
      <w:r w:rsidR="00B61CAD" w:rsidRPr="009468C0">
        <w:rPr>
          <w:rFonts w:ascii="Times New Roman" w:hAnsi="Times New Roman"/>
          <w:sz w:val="24"/>
          <w:szCs w:val="24"/>
        </w:rPr>
        <w:t>confidential information</w:t>
      </w:r>
      <w:r w:rsidRPr="009468C0">
        <w:rPr>
          <w:rFonts w:ascii="Times New Roman" w:hAnsi="Times New Roman"/>
          <w:sz w:val="24"/>
          <w:szCs w:val="24"/>
        </w:rPr>
        <w:t xml:space="preserve"> during an audit, the </w:t>
      </w:r>
      <w:r w:rsidR="00BB3E42">
        <w:rPr>
          <w:rFonts w:ascii="Times New Roman" w:hAnsi="Times New Roman"/>
          <w:sz w:val="24"/>
          <w:szCs w:val="24"/>
        </w:rPr>
        <w:t xml:space="preserve">general practice is that the </w:t>
      </w:r>
      <w:r w:rsidRPr="009468C0">
        <w:rPr>
          <w:rFonts w:ascii="Times New Roman" w:hAnsi="Times New Roman"/>
          <w:sz w:val="24"/>
          <w:szCs w:val="24"/>
        </w:rPr>
        <w:t>auditor returns that information to the entity following the audit.</w:t>
      </w:r>
      <w:r w:rsidR="006053F6" w:rsidRPr="006053F6">
        <w:rPr>
          <w:rStyle w:val="FootnoteReference"/>
          <w:rFonts w:ascii="Times New Roman" w:hAnsi="Times New Roman"/>
          <w:sz w:val="24"/>
          <w:szCs w:val="24"/>
          <w:vertAlign w:val="superscript"/>
        </w:rPr>
        <w:footnoteReference w:id="24"/>
      </w:r>
      <w:r w:rsidRPr="009468C0">
        <w:rPr>
          <w:rFonts w:ascii="Times New Roman" w:hAnsi="Times New Roman"/>
          <w:sz w:val="24"/>
          <w:szCs w:val="24"/>
        </w:rPr>
        <w:t xml:space="preserve">  </w:t>
      </w:r>
    </w:p>
    <w:p w14:paraId="5BB79F6D" w14:textId="77777777" w:rsidR="00D47174" w:rsidRPr="009468C0" w:rsidRDefault="00D47174" w:rsidP="00734BCA">
      <w:pPr>
        <w:spacing w:after="0"/>
        <w:rPr>
          <w:rFonts w:ascii="Times New Roman" w:hAnsi="Times New Roman"/>
          <w:sz w:val="24"/>
          <w:szCs w:val="24"/>
        </w:rPr>
      </w:pPr>
      <w:r w:rsidRPr="009468C0">
        <w:rPr>
          <w:rFonts w:ascii="Times New Roman" w:hAnsi="Times New Roman"/>
          <w:sz w:val="24"/>
          <w:szCs w:val="24"/>
        </w:rPr>
        <w:t xml:space="preserve"> </w:t>
      </w:r>
    </w:p>
    <w:p w14:paraId="5BB79F6E" w14:textId="77777777" w:rsidR="00D47174" w:rsidRPr="009468C0" w:rsidRDefault="00D47174" w:rsidP="00A72E7B">
      <w:pPr>
        <w:pStyle w:val="ListParagraph"/>
        <w:numPr>
          <w:ilvl w:val="0"/>
          <w:numId w:val="1"/>
        </w:numPr>
        <w:spacing w:after="0"/>
        <w:ind w:left="360"/>
        <w:rPr>
          <w:rFonts w:ascii="Times New Roman" w:hAnsi="Times New Roman"/>
          <w:b/>
          <w:sz w:val="24"/>
          <w:szCs w:val="24"/>
        </w:rPr>
      </w:pPr>
      <w:r w:rsidRPr="009468C0">
        <w:rPr>
          <w:rFonts w:ascii="Times New Roman" w:hAnsi="Times New Roman"/>
          <w:b/>
          <w:sz w:val="24"/>
          <w:szCs w:val="24"/>
        </w:rPr>
        <w:t>PROVIDE ADDITIONAL JUSTIFICATION FOR ANY QUESTIONS OF A SENSITIVE NATURE</w:t>
      </w:r>
    </w:p>
    <w:p w14:paraId="5BB79F6F" w14:textId="77777777" w:rsidR="00D47174" w:rsidRPr="009468C0" w:rsidRDefault="00D47174" w:rsidP="00D80FBD">
      <w:pPr>
        <w:spacing w:after="0"/>
        <w:rPr>
          <w:rFonts w:ascii="Times New Roman" w:hAnsi="Times New Roman"/>
          <w:sz w:val="24"/>
          <w:szCs w:val="24"/>
        </w:rPr>
      </w:pPr>
    </w:p>
    <w:p w14:paraId="5BB79F70" w14:textId="77777777" w:rsidR="00D47174" w:rsidRPr="009468C0" w:rsidRDefault="00D47174" w:rsidP="00D80FBD">
      <w:pPr>
        <w:spacing w:after="0"/>
        <w:rPr>
          <w:rFonts w:ascii="Times New Roman" w:hAnsi="Times New Roman"/>
          <w:b/>
          <w:bCs/>
          <w:sz w:val="24"/>
          <w:szCs w:val="24"/>
        </w:rPr>
      </w:pPr>
      <w:r w:rsidRPr="009468C0">
        <w:rPr>
          <w:rFonts w:ascii="Times New Roman" w:hAnsi="Times New Roman"/>
          <w:sz w:val="24"/>
          <w:szCs w:val="24"/>
        </w:rPr>
        <w:t>There are no questions of a sensitive nature that are considered private.</w:t>
      </w:r>
    </w:p>
    <w:p w14:paraId="5BB79F71" w14:textId="77777777" w:rsidR="00D47174" w:rsidRPr="009468C0" w:rsidRDefault="00D47174" w:rsidP="00D80FBD">
      <w:pPr>
        <w:spacing w:after="0"/>
        <w:rPr>
          <w:rFonts w:ascii="Times New Roman" w:hAnsi="Times New Roman"/>
          <w:sz w:val="24"/>
          <w:szCs w:val="24"/>
        </w:rPr>
      </w:pPr>
    </w:p>
    <w:p w14:paraId="5BB79F72" w14:textId="77777777" w:rsidR="00D47174" w:rsidRPr="009468C0" w:rsidRDefault="00D47174" w:rsidP="00A72E7B">
      <w:pPr>
        <w:pStyle w:val="ListParagraph"/>
        <w:numPr>
          <w:ilvl w:val="0"/>
          <w:numId w:val="1"/>
        </w:numPr>
        <w:spacing w:after="0"/>
        <w:ind w:left="360"/>
        <w:rPr>
          <w:rFonts w:ascii="Times New Roman" w:hAnsi="Times New Roman"/>
          <w:b/>
          <w:sz w:val="24"/>
          <w:szCs w:val="24"/>
        </w:rPr>
      </w:pPr>
      <w:r w:rsidRPr="009468C0">
        <w:rPr>
          <w:rFonts w:ascii="Times New Roman" w:hAnsi="Times New Roman"/>
          <w:b/>
          <w:sz w:val="24"/>
          <w:szCs w:val="24"/>
        </w:rPr>
        <w:t>ESTIMATED BURDEN OF COLLECTION OF INFORMATION</w:t>
      </w:r>
    </w:p>
    <w:p w14:paraId="5BB79F73" w14:textId="77777777" w:rsidR="00D47174" w:rsidRDefault="00D47174" w:rsidP="00D80FBD">
      <w:pPr>
        <w:spacing w:after="0"/>
        <w:rPr>
          <w:rFonts w:ascii="Times New Roman" w:hAnsi="Times New Roman"/>
          <w:sz w:val="24"/>
          <w:szCs w:val="24"/>
        </w:rPr>
      </w:pPr>
    </w:p>
    <w:p w14:paraId="66F4EE81" w14:textId="17E467E1" w:rsidR="0026240C" w:rsidRDefault="0026240C" w:rsidP="00D80FBD">
      <w:pPr>
        <w:spacing w:after="0"/>
        <w:rPr>
          <w:rFonts w:ascii="Times New Roman" w:hAnsi="Times New Roman"/>
          <w:sz w:val="24"/>
          <w:szCs w:val="24"/>
        </w:rPr>
      </w:pPr>
      <w:r>
        <w:rPr>
          <w:rFonts w:ascii="Times New Roman" w:hAnsi="Times New Roman"/>
          <w:sz w:val="24"/>
          <w:szCs w:val="24"/>
        </w:rPr>
        <w:lastRenderedPageBreak/>
        <w:t xml:space="preserve">The existing FERC-725B burden is </w:t>
      </w:r>
      <w:r w:rsidR="00E95EAB">
        <w:rPr>
          <w:rFonts w:ascii="Times New Roman" w:hAnsi="Times New Roman"/>
          <w:sz w:val="24"/>
          <w:szCs w:val="24"/>
        </w:rPr>
        <w:t>848,730</w:t>
      </w:r>
      <w:r>
        <w:rPr>
          <w:rFonts w:ascii="Times New Roman" w:hAnsi="Times New Roman"/>
          <w:sz w:val="24"/>
          <w:szCs w:val="24"/>
        </w:rPr>
        <w:t xml:space="preserve"> hours per year.  This burden is for paperwork compliance of version 4 of CIP Reliability Standards (CIP version 4).  </w:t>
      </w:r>
    </w:p>
    <w:p w14:paraId="5D6EBAF4" w14:textId="77777777" w:rsidR="0026240C" w:rsidRPr="009468C0" w:rsidRDefault="0026240C" w:rsidP="00D80FBD">
      <w:pPr>
        <w:spacing w:after="0"/>
        <w:rPr>
          <w:rFonts w:ascii="Times New Roman" w:hAnsi="Times New Roman"/>
          <w:sz w:val="24"/>
          <w:szCs w:val="24"/>
        </w:rPr>
      </w:pPr>
    </w:p>
    <w:p w14:paraId="5BB79F74" w14:textId="02464CA0" w:rsidR="00D47174" w:rsidRPr="009468C0" w:rsidRDefault="0026240C" w:rsidP="00D80FBD">
      <w:pPr>
        <w:spacing w:after="0"/>
        <w:rPr>
          <w:rFonts w:ascii="Times New Roman" w:hAnsi="Times New Roman"/>
          <w:sz w:val="24"/>
          <w:szCs w:val="24"/>
        </w:rPr>
      </w:pPr>
      <w:r>
        <w:rPr>
          <w:rFonts w:ascii="Times New Roman" w:hAnsi="Times New Roman"/>
          <w:sz w:val="24"/>
          <w:szCs w:val="24"/>
        </w:rPr>
        <w:t xml:space="preserve">In the final rule, the Commission </w:t>
      </w:r>
      <w:r w:rsidR="00210E4B">
        <w:rPr>
          <w:rFonts w:ascii="Times New Roman" w:hAnsi="Times New Roman"/>
          <w:sz w:val="24"/>
          <w:szCs w:val="24"/>
        </w:rPr>
        <w:t>approved</w:t>
      </w:r>
      <w:r>
        <w:rPr>
          <w:rFonts w:ascii="Times New Roman" w:hAnsi="Times New Roman"/>
          <w:sz w:val="24"/>
          <w:szCs w:val="24"/>
        </w:rPr>
        <w:t xml:space="preserve"> a new version of the CIP Reliability Standards.  </w:t>
      </w:r>
      <w:r w:rsidR="00D47174" w:rsidRPr="009468C0">
        <w:rPr>
          <w:rFonts w:ascii="Times New Roman" w:hAnsi="Times New Roman"/>
          <w:sz w:val="24"/>
          <w:szCs w:val="24"/>
        </w:rPr>
        <w:t>The Commission based its paperwork burden estimates on the difference between the latest Commission-approved</w:t>
      </w:r>
      <w:r w:rsidR="00916C63">
        <w:rPr>
          <w:rFonts w:ascii="Times New Roman" w:hAnsi="Times New Roman"/>
          <w:sz w:val="24"/>
          <w:szCs w:val="24"/>
        </w:rPr>
        <w:t xml:space="preserve"> (and OMB approved for the information collection </w:t>
      </w:r>
      <w:r w:rsidR="00130B30">
        <w:rPr>
          <w:rFonts w:ascii="Times New Roman" w:hAnsi="Times New Roman"/>
          <w:sz w:val="24"/>
          <w:szCs w:val="24"/>
        </w:rPr>
        <w:t>requirements</w:t>
      </w:r>
      <w:r w:rsidR="00916C63">
        <w:rPr>
          <w:rFonts w:ascii="Times New Roman" w:hAnsi="Times New Roman"/>
          <w:sz w:val="24"/>
          <w:szCs w:val="24"/>
        </w:rPr>
        <w:t>)</w:t>
      </w:r>
      <w:r w:rsidR="00D47174" w:rsidRPr="009468C0">
        <w:rPr>
          <w:rFonts w:ascii="Times New Roman" w:hAnsi="Times New Roman"/>
          <w:sz w:val="24"/>
          <w:szCs w:val="24"/>
        </w:rPr>
        <w:t xml:space="preserve"> version of the CIP Reliability Standards (CIP version 4) and the estimated paperwork burden resulting from CIP version 5</w:t>
      </w:r>
      <w:r w:rsidR="00937689">
        <w:rPr>
          <w:rFonts w:ascii="Times New Roman" w:hAnsi="Times New Roman"/>
          <w:sz w:val="24"/>
          <w:szCs w:val="24"/>
        </w:rPr>
        <w:t xml:space="preserve"> Reliability Standards (CIP Version 5)</w:t>
      </w:r>
      <w:r w:rsidR="00D47174" w:rsidRPr="009468C0">
        <w:rPr>
          <w:rFonts w:ascii="Times New Roman" w:hAnsi="Times New Roman"/>
          <w:sz w:val="24"/>
          <w:szCs w:val="24"/>
        </w:rPr>
        <w:t xml:space="preserve">.  </w:t>
      </w:r>
    </w:p>
    <w:p w14:paraId="5BB79F75" w14:textId="77777777" w:rsidR="00D47174" w:rsidRPr="009468C0" w:rsidRDefault="00D47174" w:rsidP="00D80FBD">
      <w:pPr>
        <w:spacing w:after="0"/>
        <w:rPr>
          <w:rFonts w:ascii="Times New Roman" w:hAnsi="Times New Roman"/>
          <w:sz w:val="24"/>
          <w:szCs w:val="24"/>
        </w:rPr>
      </w:pPr>
    </w:p>
    <w:p w14:paraId="5BB79F76" w14:textId="5C903CE5" w:rsidR="002345AE" w:rsidRPr="009468C0" w:rsidRDefault="00D47174" w:rsidP="00951236">
      <w:pPr>
        <w:spacing w:after="0"/>
        <w:rPr>
          <w:rFonts w:ascii="Times New Roman" w:hAnsi="Times New Roman"/>
          <w:sz w:val="24"/>
          <w:szCs w:val="24"/>
        </w:rPr>
      </w:pPr>
      <w:r w:rsidRPr="009468C0">
        <w:rPr>
          <w:rFonts w:ascii="Times New Roman" w:hAnsi="Times New Roman"/>
          <w:sz w:val="24"/>
          <w:szCs w:val="24"/>
        </w:rPr>
        <w:t xml:space="preserve">The </w:t>
      </w:r>
      <w:r w:rsidR="00B61CAD" w:rsidRPr="009468C0">
        <w:rPr>
          <w:rFonts w:ascii="Times New Roman" w:hAnsi="Times New Roman"/>
          <w:sz w:val="24"/>
          <w:szCs w:val="24"/>
        </w:rPr>
        <w:t>paperwork</w:t>
      </w:r>
      <w:r w:rsidRPr="009468C0">
        <w:rPr>
          <w:rFonts w:ascii="Times New Roman" w:hAnsi="Times New Roman"/>
          <w:sz w:val="24"/>
          <w:szCs w:val="24"/>
        </w:rPr>
        <w:t xml:space="preserve"> burden under CIP version 5 is different than that imposed by CIP version 4.  Under CIP version 4, all applicable entities must first identify, by applying criteria specified in CIP-002-4, which of the Cyber Assets they own are subject to the mandatory protections specified in the remaining CIP standards.  Those identified Cyber Assets are termed Critical Cyber Assets (CCA) in CIP version 4.  If, upon completion of the required process in CIP-002-4, the entity has identified at least one CCA, it must implement all mandatory protections specified in the remaining CIP Reliability Standards with respect to any identified CCA.  If, on the other hand, the entity determines that it does not own any CCAs, it is not required to implement any of the protections specified in the remaining CIP version 4 Standards.</w:t>
      </w:r>
    </w:p>
    <w:p w14:paraId="5BB79F77" w14:textId="77777777" w:rsidR="00D47174" w:rsidRPr="009468C0" w:rsidRDefault="00D47174" w:rsidP="00951236">
      <w:pPr>
        <w:spacing w:after="0"/>
        <w:rPr>
          <w:rFonts w:ascii="Times New Roman" w:hAnsi="Times New Roman"/>
          <w:sz w:val="24"/>
          <w:szCs w:val="24"/>
        </w:rPr>
      </w:pPr>
      <w:r w:rsidRPr="009468C0">
        <w:rPr>
          <w:rFonts w:ascii="Times New Roman" w:hAnsi="Times New Roman"/>
          <w:sz w:val="24"/>
          <w:szCs w:val="24"/>
        </w:rPr>
        <w:t xml:space="preserve">  </w:t>
      </w:r>
    </w:p>
    <w:p w14:paraId="5BB79F78" w14:textId="719FCAD9" w:rsidR="00D47174" w:rsidRPr="009468C0" w:rsidRDefault="00D47174" w:rsidP="00951236">
      <w:pPr>
        <w:spacing w:after="0"/>
        <w:rPr>
          <w:rFonts w:ascii="Times New Roman" w:hAnsi="Times New Roman"/>
          <w:sz w:val="24"/>
          <w:szCs w:val="24"/>
        </w:rPr>
      </w:pPr>
      <w:r w:rsidRPr="009468C0">
        <w:rPr>
          <w:rFonts w:ascii="Times New Roman" w:hAnsi="Times New Roman"/>
          <w:sz w:val="24"/>
          <w:szCs w:val="24"/>
        </w:rPr>
        <w:t>By contrast, CIP version 5 does not use the term CCA.  Under CIP version 5, a responsible entity identifies Cyber Assets for protection by applying the CIP-002-5 definitions and classification criteria.  The responsible entity is required to comply with at least some mandatory protections in the remaining standards for all Cyber Assets identified as BES Cyber Systems</w:t>
      </w:r>
      <w:r w:rsidR="005744EC">
        <w:rPr>
          <w:rFonts w:ascii="Times New Roman" w:hAnsi="Times New Roman"/>
          <w:sz w:val="24"/>
          <w:szCs w:val="24"/>
        </w:rPr>
        <w:t>.  The specific mandatory protections with which the responsible entity must c</w:t>
      </w:r>
      <w:r w:rsidR="0026240C">
        <w:rPr>
          <w:rFonts w:ascii="Times New Roman" w:hAnsi="Times New Roman"/>
          <w:sz w:val="24"/>
          <w:szCs w:val="24"/>
        </w:rPr>
        <w:t>omply depends on whether the</w:t>
      </w:r>
      <w:r w:rsidR="005744EC">
        <w:rPr>
          <w:rFonts w:ascii="Times New Roman" w:hAnsi="Times New Roman"/>
          <w:sz w:val="24"/>
          <w:szCs w:val="24"/>
        </w:rPr>
        <w:t xml:space="preserve"> Cyber Assets it owns and identifies as BES Cyber Systems are classified as Low, Medium, or High impact by CIP-002-5 Attachment 1</w:t>
      </w:r>
      <w:r w:rsidRPr="009468C0">
        <w:rPr>
          <w:rFonts w:ascii="Times New Roman" w:hAnsi="Times New Roman"/>
          <w:b/>
          <w:sz w:val="24"/>
          <w:szCs w:val="24"/>
        </w:rPr>
        <w:t xml:space="preserve"> </w:t>
      </w:r>
      <w:r w:rsidRPr="009468C0">
        <w:rPr>
          <w:rFonts w:ascii="Times New Roman" w:hAnsi="Times New Roman"/>
          <w:sz w:val="24"/>
          <w:szCs w:val="24"/>
        </w:rPr>
        <w:t>(</w:t>
      </w:r>
      <w:r w:rsidR="00DE7A13">
        <w:rPr>
          <w:rFonts w:ascii="Times New Roman" w:hAnsi="Times New Roman"/>
          <w:sz w:val="24"/>
          <w:szCs w:val="24"/>
        </w:rPr>
        <w:t xml:space="preserve">and other </w:t>
      </w:r>
      <w:r w:rsidR="005744EC">
        <w:rPr>
          <w:rFonts w:ascii="Times New Roman" w:hAnsi="Times New Roman"/>
          <w:sz w:val="24"/>
          <w:szCs w:val="24"/>
        </w:rPr>
        <w:t>characteristic</w:t>
      </w:r>
      <w:r w:rsidR="00DE7A13">
        <w:rPr>
          <w:rFonts w:ascii="Times New Roman" w:hAnsi="Times New Roman"/>
          <w:sz w:val="24"/>
          <w:szCs w:val="24"/>
        </w:rPr>
        <w:t xml:space="preserve">s </w:t>
      </w:r>
      <w:r w:rsidR="00130B30">
        <w:rPr>
          <w:rFonts w:ascii="Times New Roman" w:hAnsi="Times New Roman"/>
          <w:sz w:val="24"/>
          <w:szCs w:val="24"/>
        </w:rPr>
        <w:t>detail</w:t>
      </w:r>
      <w:r w:rsidR="00130B30" w:rsidRPr="009468C0">
        <w:rPr>
          <w:rFonts w:ascii="Times New Roman" w:hAnsi="Times New Roman"/>
          <w:sz w:val="24"/>
          <w:szCs w:val="24"/>
        </w:rPr>
        <w:t xml:space="preserve">ed </w:t>
      </w:r>
      <w:r w:rsidRPr="009468C0">
        <w:rPr>
          <w:rFonts w:ascii="Times New Roman" w:hAnsi="Times New Roman"/>
          <w:sz w:val="24"/>
          <w:szCs w:val="24"/>
        </w:rPr>
        <w:t>in various individual requirements).</w:t>
      </w:r>
      <w:r w:rsidR="00DE7A13">
        <w:rPr>
          <w:rFonts w:ascii="Times New Roman" w:hAnsi="Times New Roman"/>
          <w:sz w:val="24"/>
          <w:szCs w:val="24"/>
        </w:rPr>
        <w:t xml:space="preserve">  Each responsible entity that owns Cyber As</w:t>
      </w:r>
      <w:r w:rsidR="00DE3EC8">
        <w:rPr>
          <w:rFonts w:ascii="Times New Roman" w:hAnsi="Times New Roman"/>
          <w:sz w:val="24"/>
          <w:szCs w:val="24"/>
        </w:rPr>
        <w:t>s</w:t>
      </w:r>
      <w:r w:rsidR="00DE7A13">
        <w:rPr>
          <w:rFonts w:ascii="Times New Roman" w:hAnsi="Times New Roman"/>
          <w:sz w:val="24"/>
          <w:szCs w:val="24"/>
        </w:rPr>
        <w:t>ets identified as BES Cyber Systems will be concerned at least with the Low impact classification.</w:t>
      </w:r>
    </w:p>
    <w:p w14:paraId="5BB79F79" w14:textId="77777777" w:rsidR="00D47174" w:rsidRPr="009468C0" w:rsidRDefault="00D47174" w:rsidP="00951236">
      <w:pPr>
        <w:spacing w:after="0"/>
        <w:rPr>
          <w:rFonts w:ascii="Times New Roman" w:hAnsi="Times New Roman"/>
          <w:sz w:val="24"/>
          <w:szCs w:val="24"/>
        </w:rPr>
      </w:pPr>
    </w:p>
    <w:p w14:paraId="5BB79F7A" w14:textId="77777777" w:rsidR="00D47174" w:rsidRPr="009468C0" w:rsidRDefault="00D47174" w:rsidP="00951236">
      <w:pPr>
        <w:spacing w:after="0"/>
        <w:rPr>
          <w:rFonts w:ascii="Times New Roman" w:hAnsi="Times New Roman"/>
          <w:sz w:val="24"/>
          <w:szCs w:val="24"/>
        </w:rPr>
      </w:pPr>
      <w:r w:rsidRPr="009468C0">
        <w:rPr>
          <w:rFonts w:ascii="Times New Roman" w:hAnsi="Times New Roman"/>
          <w:sz w:val="24"/>
          <w:szCs w:val="24"/>
        </w:rPr>
        <w:t>Because the change in paperwork burden between CIP version 4 and CIP version 5 differs depending upon the extent to which that entity had to comply with CIP version 4, we delineate the registered entities into three groupings</w:t>
      </w:r>
      <w:r w:rsidR="005744EC">
        <w:rPr>
          <w:rFonts w:ascii="Times New Roman" w:hAnsi="Times New Roman"/>
          <w:sz w:val="24"/>
          <w:szCs w:val="24"/>
        </w:rPr>
        <w:t xml:space="preserve"> related to their status under CIP version 4</w:t>
      </w:r>
      <w:r w:rsidRPr="009468C0">
        <w:rPr>
          <w:rFonts w:ascii="Times New Roman" w:hAnsi="Times New Roman"/>
          <w:sz w:val="24"/>
          <w:szCs w:val="24"/>
        </w:rPr>
        <w:t>, as follows:</w:t>
      </w:r>
    </w:p>
    <w:p w14:paraId="5BB79F7B" w14:textId="77777777" w:rsidR="00D47174" w:rsidRPr="009468C0" w:rsidRDefault="00D47174" w:rsidP="00951236">
      <w:pPr>
        <w:spacing w:after="0"/>
        <w:rPr>
          <w:rFonts w:ascii="Times New Roman" w:hAnsi="Times New Roman"/>
          <w:sz w:val="24"/>
          <w:szCs w:val="24"/>
        </w:rPr>
      </w:pPr>
    </w:p>
    <w:p w14:paraId="5BB79F7C" w14:textId="77777777" w:rsidR="0061015D" w:rsidRDefault="00D47174" w:rsidP="00951236">
      <w:pPr>
        <w:pStyle w:val="ListParagraph"/>
        <w:numPr>
          <w:ilvl w:val="0"/>
          <w:numId w:val="7"/>
        </w:numPr>
        <w:spacing w:after="0"/>
        <w:rPr>
          <w:rFonts w:ascii="Times New Roman" w:hAnsi="Times New Roman"/>
          <w:sz w:val="24"/>
          <w:szCs w:val="24"/>
        </w:rPr>
      </w:pPr>
      <w:r w:rsidRPr="009468C0">
        <w:rPr>
          <w:rFonts w:ascii="Times New Roman" w:hAnsi="Times New Roman"/>
          <w:b/>
          <w:sz w:val="24"/>
          <w:szCs w:val="24"/>
        </w:rPr>
        <w:t>Group A:</w:t>
      </w:r>
      <w:r w:rsidRPr="009468C0">
        <w:rPr>
          <w:rFonts w:ascii="Times New Roman" w:hAnsi="Times New Roman"/>
          <w:sz w:val="24"/>
          <w:szCs w:val="24"/>
        </w:rPr>
        <w:t xml:space="preserve"> Entities that are not subject to the CIP version 4 Standards, but are subject to the CIP version 5 Standards.  The Group </w:t>
      </w:r>
      <w:proofErr w:type="gramStart"/>
      <w:r w:rsidRPr="009468C0">
        <w:rPr>
          <w:rFonts w:ascii="Times New Roman" w:hAnsi="Times New Roman"/>
          <w:sz w:val="24"/>
          <w:szCs w:val="24"/>
        </w:rPr>
        <w:t>A</w:t>
      </w:r>
      <w:proofErr w:type="gramEnd"/>
      <w:r w:rsidRPr="009468C0">
        <w:rPr>
          <w:rFonts w:ascii="Times New Roman" w:hAnsi="Times New Roman"/>
          <w:sz w:val="24"/>
          <w:szCs w:val="24"/>
        </w:rPr>
        <w:t xml:space="preserve"> entities consist of those Distribution Providers that are not also registered for another CIP function, such as the Load Serving Entity function (</w:t>
      </w:r>
      <w:r w:rsidRPr="00210E4B">
        <w:rPr>
          <w:rFonts w:ascii="Times New Roman" w:hAnsi="Times New Roman"/>
          <w:sz w:val="24"/>
          <w:szCs w:val="24"/>
        </w:rPr>
        <w:t>which is subject to CIP version 4).</w:t>
      </w:r>
      <w:r w:rsidR="001D3B61" w:rsidRPr="00210E4B">
        <w:rPr>
          <w:rFonts w:ascii="Times New Roman" w:hAnsi="Times New Roman"/>
          <w:sz w:val="24"/>
          <w:szCs w:val="24"/>
        </w:rPr>
        <w:t xml:space="preserve">  All of these entities </w:t>
      </w:r>
      <w:r w:rsidR="005F4E8F" w:rsidRPr="00210E4B">
        <w:rPr>
          <w:rFonts w:ascii="Times New Roman" w:hAnsi="Times New Roman"/>
          <w:sz w:val="24"/>
          <w:szCs w:val="24"/>
        </w:rPr>
        <w:t xml:space="preserve">are concerned only with </w:t>
      </w:r>
      <w:r w:rsidR="001D3B61" w:rsidRPr="00210E4B">
        <w:rPr>
          <w:rFonts w:ascii="Times New Roman" w:hAnsi="Times New Roman"/>
          <w:sz w:val="24"/>
          <w:szCs w:val="24"/>
        </w:rPr>
        <w:t xml:space="preserve">the Low classification because they </w:t>
      </w:r>
      <w:r w:rsidR="0061015D" w:rsidRPr="00210E4B">
        <w:rPr>
          <w:rFonts w:ascii="Times New Roman" w:hAnsi="Times New Roman"/>
          <w:sz w:val="24"/>
          <w:szCs w:val="24"/>
        </w:rPr>
        <w:t>do not own any assets classified as Medium or High under CIP-002-5 Attachment 1.</w:t>
      </w:r>
    </w:p>
    <w:p w14:paraId="5BB79F7D" w14:textId="77777777" w:rsidR="00D47174" w:rsidRPr="009468C0" w:rsidRDefault="00D47174" w:rsidP="00377BAB">
      <w:pPr>
        <w:pStyle w:val="ListParagraph"/>
        <w:spacing w:after="0"/>
        <w:rPr>
          <w:rFonts w:ascii="Times New Roman" w:hAnsi="Times New Roman"/>
          <w:sz w:val="24"/>
          <w:szCs w:val="24"/>
        </w:rPr>
      </w:pPr>
    </w:p>
    <w:p w14:paraId="5BB79F7E" w14:textId="66F1D922" w:rsidR="00D47174" w:rsidRDefault="00D47174">
      <w:pPr>
        <w:pStyle w:val="ListParagraph"/>
        <w:numPr>
          <w:ilvl w:val="0"/>
          <w:numId w:val="7"/>
        </w:numPr>
        <w:spacing w:after="0"/>
        <w:rPr>
          <w:rFonts w:ascii="Times New Roman" w:hAnsi="Times New Roman"/>
          <w:sz w:val="24"/>
          <w:szCs w:val="24"/>
        </w:rPr>
      </w:pPr>
      <w:r w:rsidRPr="009468C0">
        <w:rPr>
          <w:rFonts w:ascii="Times New Roman" w:hAnsi="Times New Roman"/>
          <w:b/>
          <w:sz w:val="24"/>
          <w:szCs w:val="24"/>
        </w:rPr>
        <w:t xml:space="preserve">Group B: </w:t>
      </w:r>
      <w:r w:rsidRPr="009468C0">
        <w:rPr>
          <w:rFonts w:ascii="Times New Roman" w:hAnsi="Times New Roman"/>
          <w:sz w:val="24"/>
          <w:szCs w:val="24"/>
        </w:rPr>
        <w:t>Entities that are registered for functions subject to CIP version 4, but that did not identify any CCAs under CIP-002-4.  Therefore, Group B entities do not own facilities that require the implementation of mandatory protections specified by the remaining CIP version 4 Standards.</w:t>
      </w:r>
      <w:r w:rsidR="00E634C8">
        <w:rPr>
          <w:rFonts w:ascii="Times New Roman" w:hAnsi="Times New Roman"/>
          <w:sz w:val="24"/>
          <w:szCs w:val="24"/>
        </w:rPr>
        <w:t xml:space="preserve">  </w:t>
      </w:r>
      <w:r w:rsidR="00DE7A13">
        <w:rPr>
          <w:rFonts w:ascii="Times New Roman" w:hAnsi="Times New Roman"/>
          <w:sz w:val="24"/>
          <w:szCs w:val="24"/>
        </w:rPr>
        <w:t xml:space="preserve">Cyber </w:t>
      </w:r>
      <w:r w:rsidR="005F4E8F">
        <w:rPr>
          <w:rFonts w:ascii="Times New Roman" w:hAnsi="Times New Roman"/>
          <w:sz w:val="24"/>
          <w:szCs w:val="24"/>
        </w:rPr>
        <w:t xml:space="preserve">Assets that would not have been subject to mandatory protections under the CIP version 4 Standards are not classified as High impact under the CIP version 5 Standards.  Therefore, Group B entities </w:t>
      </w:r>
      <w:r w:rsidR="005744EC">
        <w:rPr>
          <w:rFonts w:ascii="Times New Roman" w:hAnsi="Times New Roman"/>
          <w:sz w:val="24"/>
          <w:szCs w:val="24"/>
        </w:rPr>
        <w:t>do not own any assets classified as High impact by CIP-002-5 Attachment 1, and</w:t>
      </w:r>
      <w:r w:rsidR="00100708">
        <w:rPr>
          <w:rFonts w:ascii="Times New Roman" w:hAnsi="Times New Roman"/>
          <w:sz w:val="24"/>
          <w:szCs w:val="24"/>
        </w:rPr>
        <w:t xml:space="preserve"> are subject to requirements </w:t>
      </w:r>
      <w:r w:rsidR="005F4E8F">
        <w:rPr>
          <w:rFonts w:ascii="Times New Roman" w:hAnsi="Times New Roman"/>
          <w:sz w:val="24"/>
          <w:szCs w:val="24"/>
        </w:rPr>
        <w:t xml:space="preserve">concerned with </w:t>
      </w:r>
      <w:r w:rsidR="005744EC">
        <w:rPr>
          <w:rFonts w:ascii="Times New Roman" w:hAnsi="Times New Roman"/>
          <w:sz w:val="24"/>
          <w:szCs w:val="24"/>
        </w:rPr>
        <w:t xml:space="preserve">only </w:t>
      </w:r>
      <w:r w:rsidR="005F4E8F">
        <w:rPr>
          <w:rFonts w:ascii="Times New Roman" w:hAnsi="Times New Roman"/>
          <w:sz w:val="24"/>
          <w:szCs w:val="24"/>
        </w:rPr>
        <w:t>the Low and potentially Medium impact classifications</w:t>
      </w:r>
      <w:r w:rsidR="005744EC">
        <w:rPr>
          <w:rFonts w:ascii="Times New Roman" w:hAnsi="Times New Roman"/>
          <w:sz w:val="24"/>
          <w:szCs w:val="24"/>
        </w:rPr>
        <w:t xml:space="preserve"> (depending</w:t>
      </w:r>
      <w:r w:rsidR="00DE7A13">
        <w:rPr>
          <w:rFonts w:ascii="Times New Roman" w:hAnsi="Times New Roman"/>
          <w:sz w:val="24"/>
          <w:szCs w:val="24"/>
        </w:rPr>
        <w:t xml:space="preserve"> whether any assets they own meet the Medium criteria).</w:t>
      </w:r>
      <w:r w:rsidR="00E634C8">
        <w:rPr>
          <w:rFonts w:ascii="Times New Roman" w:hAnsi="Times New Roman"/>
          <w:sz w:val="24"/>
          <w:szCs w:val="24"/>
        </w:rPr>
        <w:t xml:space="preserve"> </w:t>
      </w:r>
      <w:r w:rsidRPr="009468C0">
        <w:rPr>
          <w:rFonts w:ascii="Times New Roman" w:hAnsi="Times New Roman"/>
          <w:sz w:val="24"/>
          <w:szCs w:val="24"/>
        </w:rPr>
        <w:t xml:space="preserve">  </w:t>
      </w:r>
    </w:p>
    <w:p w14:paraId="1A35D8A7" w14:textId="77777777" w:rsidR="0026240C" w:rsidRPr="0026240C" w:rsidRDefault="0026240C" w:rsidP="0026240C">
      <w:pPr>
        <w:spacing w:after="0"/>
        <w:rPr>
          <w:rFonts w:ascii="Times New Roman" w:hAnsi="Times New Roman"/>
          <w:sz w:val="24"/>
          <w:szCs w:val="24"/>
        </w:rPr>
      </w:pPr>
    </w:p>
    <w:p w14:paraId="5BB79F7F" w14:textId="77777777" w:rsidR="00D47174" w:rsidRPr="009468C0" w:rsidRDefault="00D47174" w:rsidP="00951236">
      <w:pPr>
        <w:pStyle w:val="ListParagraph"/>
        <w:numPr>
          <w:ilvl w:val="0"/>
          <w:numId w:val="7"/>
        </w:numPr>
        <w:spacing w:after="0"/>
        <w:rPr>
          <w:rFonts w:ascii="Times New Roman" w:hAnsi="Times New Roman"/>
          <w:b/>
          <w:sz w:val="24"/>
          <w:szCs w:val="24"/>
        </w:rPr>
      </w:pPr>
      <w:r w:rsidRPr="009468C0">
        <w:rPr>
          <w:rFonts w:ascii="Times New Roman" w:hAnsi="Times New Roman"/>
          <w:b/>
          <w:sz w:val="24"/>
          <w:szCs w:val="24"/>
        </w:rPr>
        <w:t xml:space="preserve">Group C: </w:t>
      </w:r>
      <w:r w:rsidRPr="009468C0">
        <w:rPr>
          <w:rFonts w:ascii="Times New Roman" w:hAnsi="Times New Roman"/>
          <w:sz w:val="24"/>
          <w:szCs w:val="24"/>
        </w:rPr>
        <w:t xml:space="preserve">Entities that are registered for functions subject to CIP version 4 </w:t>
      </w:r>
      <w:r w:rsidRPr="009468C0">
        <w:rPr>
          <w:rFonts w:ascii="Times New Roman" w:hAnsi="Times New Roman"/>
          <w:i/>
          <w:sz w:val="24"/>
          <w:szCs w:val="24"/>
        </w:rPr>
        <w:t>and</w:t>
      </w:r>
      <w:r w:rsidRPr="009468C0">
        <w:rPr>
          <w:rFonts w:ascii="Times New Roman" w:hAnsi="Times New Roman"/>
          <w:sz w:val="24"/>
          <w:szCs w:val="24"/>
        </w:rPr>
        <w:t xml:space="preserve"> that identify, upon completion of the CIP-002-4 analysis, at least one asset as a CCA.  Therefore, Group C entities own facilities that require the implementation of the mandatory protections specified in the remaining CIP version 4 Standards.</w:t>
      </w:r>
      <w:r w:rsidR="005A6413">
        <w:rPr>
          <w:rFonts w:ascii="Times New Roman" w:hAnsi="Times New Roman"/>
          <w:sz w:val="24"/>
          <w:szCs w:val="24"/>
        </w:rPr>
        <w:t xml:space="preserve">  </w:t>
      </w:r>
      <w:r w:rsidR="00DE7A13">
        <w:rPr>
          <w:rFonts w:ascii="Times New Roman" w:hAnsi="Times New Roman"/>
          <w:sz w:val="24"/>
          <w:szCs w:val="24"/>
        </w:rPr>
        <w:t>Most types of Cyber Assets that would been subject to mandatory protections under the CIP version 4 Standards</w:t>
      </w:r>
      <w:r w:rsidR="00233949">
        <w:rPr>
          <w:rFonts w:ascii="Times New Roman" w:hAnsi="Times New Roman"/>
          <w:sz w:val="24"/>
          <w:szCs w:val="24"/>
        </w:rPr>
        <w:t xml:space="preserve"> (all except </w:t>
      </w:r>
      <w:proofErr w:type="spellStart"/>
      <w:r w:rsidR="00233949">
        <w:rPr>
          <w:rFonts w:ascii="Times New Roman" w:hAnsi="Times New Roman"/>
          <w:sz w:val="24"/>
          <w:szCs w:val="24"/>
        </w:rPr>
        <w:t>blackstart</w:t>
      </w:r>
      <w:proofErr w:type="spellEnd"/>
      <w:r w:rsidR="00233949">
        <w:rPr>
          <w:rFonts w:ascii="Times New Roman" w:hAnsi="Times New Roman"/>
          <w:sz w:val="24"/>
          <w:szCs w:val="24"/>
        </w:rPr>
        <w:t xml:space="preserve"> generation and cranking path facilities)</w:t>
      </w:r>
      <w:r w:rsidR="00DE7A13">
        <w:rPr>
          <w:rFonts w:ascii="Times New Roman" w:hAnsi="Times New Roman"/>
          <w:sz w:val="24"/>
          <w:szCs w:val="24"/>
        </w:rPr>
        <w:t xml:space="preserve"> are classified as either High or Medium impact under the CIP version 5 Standards.  Therefore, Group C entities </w:t>
      </w:r>
      <w:r w:rsidR="00233949">
        <w:rPr>
          <w:rFonts w:ascii="Times New Roman" w:hAnsi="Times New Roman"/>
          <w:sz w:val="24"/>
          <w:szCs w:val="24"/>
        </w:rPr>
        <w:t xml:space="preserve">potentially </w:t>
      </w:r>
      <w:r w:rsidR="00DE7A13">
        <w:rPr>
          <w:rFonts w:ascii="Times New Roman" w:hAnsi="Times New Roman"/>
          <w:sz w:val="24"/>
          <w:szCs w:val="24"/>
        </w:rPr>
        <w:t xml:space="preserve">own Cyber Assets that are classified as High </w:t>
      </w:r>
      <w:r w:rsidR="00233949">
        <w:rPr>
          <w:rFonts w:ascii="Times New Roman" w:hAnsi="Times New Roman"/>
          <w:sz w:val="24"/>
          <w:szCs w:val="24"/>
        </w:rPr>
        <w:t xml:space="preserve">or Medium </w:t>
      </w:r>
      <w:r w:rsidR="00DE7A13">
        <w:rPr>
          <w:rFonts w:ascii="Times New Roman" w:hAnsi="Times New Roman"/>
          <w:sz w:val="24"/>
          <w:szCs w:val="24"/>
        </w:rPr>
        <w:t xml:space="preserve">impact by CIP-002-5 Attachment 1, and are concerned with </w:t>
      </w:r>
      <w:r w:rsidR="00233949">
        <w:rPr>
          <w:rFonts w:ascii="Times New Roman" w:hAnsi="Times New Roman"/>
          <w:sz w:val="24"/>
          <w:szCs w:val="24"/>
        </w:rPr>
        <w:t xml:space="preserve">all three </w:t>
      </w:r>
      <w:r w:rsidR="00DE7A13">
        <w:rPr>
          <w:rFonts w:ascii="Times New Roman" w:hAnsi="Times New Roman"/>
          <w:sz w:val="24"/>
          <w:szCs w:val="24"/>
        </w:rPr>
        <w:t xml:space="preserve">impact classifications (depending </w:t>
      </w:r>
      <w:r w:rsidR="00233949">
        <w:rPr>
          <w:rFonts w:ascii="Times New Roman" w:hAnsi="Times New Roman"/>
          <w:sz w:val="24"/>
          <w:szCs w:val="24"/>
        </w:rPr>
        <w:t xml:space="preserve">on the extent to which the </w:t>
      </w:r>
      <w:r w:rsidR="00DE7A13">
        <w:rPr>
          <w:rFonts w:ascii="Times New Roman" w:hAnsi="Times New Roman"/>
          <w:sz w:val="24"/>
          <w:szCs w:val="24"/>
        </w:rPr>
        <w:t xml:space="preserve">assets they own meet the Medium </w:t>
      </w:r>
      <w:r w:rsidR="00233949">
        <w:rPr>
          <w:rFonts w:ascii="Times New Roman" w:hAnsi="Times New Roman"/>
          <w:sz w:val="24"/>
          <w:szCs w:val="24"/>
        </w:rPr>
        <w:t xml:space="preserve">or High </w:t>
      </w:r>
      <w:r w:rsidR="00DE7A13">
        <w:rPr>
          <w:rFonts w:ascii="Times New Roman" w:hAnsi="Times New Roman"/>
          <w:sz w:val="24"/>
          <w:szCs w:val="24"/>
        </w:rPr>
        <w:t>criteria).</w:t>
      </w:r>
      <w:r w:rsidR="00233949">
        <w:rPr>
          <w:rFonts w:ascii="Times New Roman" w:hAnsi="Times New Roman"/>
          <w:sz w:val="24"/>
          <w:szCs w:val="24"/>
        </w:rPr>
        <w:t xml:space="preserve">  </w:t>
      </w:r>
      <w:r w:rsidR="005A6413">
        <w:rPr>
          <w:rFonts w:ascii="Times New Roman" w:hAnsi="Times New Roman"/>
          <w:sz w:val="24"/>
          <w:szCs w:val="24"/>
        </w:rPr>
        <w:t xml:space="preserve">  </w:t>
      </w:r>
    </w:p>
    <w:p w14:paraId="5BB79F80" w14:textId="77777777" w:rsidR="00D47174" w:rsidRPr="009468C0" w:rsidRDefault="00D47174" w:rsidP="00951236">
      <w:pPr>
        <w:spacing w:after="0"/>
        <w:rPr>
          <w:rFonts w:ascii="Times New Roman" w:hAnsi="Times New Roman"/>
          <w:sz w:val="24"/>
          <w:szCs w:val="24"/>
        </w:rPr>
      </w:pPr>
    </w:p>
    <w:p w14:paraId="5BB79F81" w14:textId="7D11E6E4" w:rsidR="005C6C79" w:rsidRDefault="00F7734B" w:rsidP="00951236">
      <w:pPr>
        <w:spacing w:after="0"/>
        <w:rPr>
          <w:rFonts w:ascii="Times New Roman" w:hAnsi="Times New Roman"/>
          <w:sz w:val="24"/>
          <w:szCs w:val="24"/>
        </w:rPr>
      </w:pPr>
      <w:r>
        <w:rPr>
          <w:rFonts w:ascii="Times New Roman" w:hAnsi="Times New Roman"/>
          <w:sz w:val="24"/>
          <w:szCs w:val="24"/>
        </w:rPr>
        <w:t>NERC states on its website that, “All bulk power system owners, operators, and users must comply with approved NERC Reliability standards.  These entities are required to register with NERC through the appropriate regional entity.”</w:t>
      </w:r>
      <w:r w:rsidRPr="00377BAB">
        <w:rPr>
          <w:rStyle w:val="FootnoteReference"/>
          <w:rFonts w:ascii="Times New Roman" w:hAnsi="Times New Roman"/>
          <w:sz w:val="24"/>
          <w:szCs w:val="24"/>
          <w:vertAlign w:val="superscript"/>
        </w:rPr>
        <w:footnoteReference w:id="25"/>
      </w:r>
      <w:r w:rsidRPr="00377BAB">
        <w:rPr>
          <w:rFonts w:ascii="Times New Roman" w:hAnsi="Times New Roman"/>
          <w:sz w:val="24"/>
          <w:szCs w:val="24"/>
          <w:vertAlign w:val="superscript"/>
        </w:rPr>
        <w:t xml:space="preserve"> </w:t>
      </w:r>
      <w:r w:rsidRPr="009468C0">
        <w:rPr>
          <w:rFonts w:ascii="Times New Roman" w:hAnsi="Times New Roman"/>
          <w:sz w:val="24"/>
          <w:szCs w:val="24"/>
        </w:rPr>
        <w:t xml:space="preserve"> </w:t>
      </w:r>
      <w:r w:rsidR="00D47174" w:rsidRPr="009468C0">
        <w:rPr>
          <w:rFonts w:ascii="Times New Roman" w:hAnsi="Times New Roman"/>
          <w:sz w:val="24"/>
          <w:szCs w:val="24"/>
        </w:rPr>
        <w:t xml:space="preserve">The NERC Compliance Registry as of February 28, 2013 indicated that 1,927 entities were registered for NERC’s compliance program.  Of these, 1,911 were identified as being U.S. entities.  Staff concluded that </w:t>
      </w:r>
      <w:r w:rsidR="00455839">
        <w:rPr>
          <w:rFonts w:ascii="Times New Roman" w:hAnsi="Times New Roman"/>
          <w:sz w:val="24"/>
          <w:szCs w:val="24"/>
        </w:rPr>
        <w:t>approximately 1,475</w:t>
      </w:r>
      <w:r w:rsidR="00D47174" w:rsidRPr="009468C0">
        <w:rPr>
          <w:rFonts w:ascii="Times New Roman" w:hAnsi="Times New Roman"/>
          <w:sz w:val="24"/>
          <w:szCs w:val="24"/>
        </w:rPr>
        <w:t xml:space="preserve"> U.S. entities were registered for at least one CIP-applicable function, and therefore must comply with the </w:t>
      </w:r>
      <w:r w:rsidR="005C6C79">
        <w:rPr>
          <w:rFonts w:ascii="Times New Roman" w:hAnsi="Times New Roman"/>
          <w:sz w:val="24"/>
          <w:szCs w:val="24"/>
        </w:rPr>
        <w:t xml:space="preserve">proposed </w:t>
      </w:r>
      <w:r w:rsidR="00D47174" w:rsidRPr="009468C0">
        <w:rPr>
          <w:rFonts w:ascii="Times New Roman" w:hAnsi="Times New Roman"/>
          <w:sz w:val="24"/>
          <w:szCs w:val="24"/>
        </w:rPr>
        <w:t xml:space="preserve">CIP </w:t>
      </w:r>
      <w:r w:rsidR="00455839">
        <w:rPr>
          <w:rFonts w:ascii="Times New Roman" w:hAnsi="Times New Roman"/>
          <w:sz w:val="24"/>
          <w:szCs w:val="24"/>
        </w:rPr>
        <w:t xml:space="preserve">version 5 </w:t>
      </w:r>
      <w:r w:rsidR="00D47174" w:rsidRPr="009468C0">
        <w:rPr>
          <w:rFonts w:ascii="Times New Roman" w:hAnsi="Times New Roman"/>
          <w:sz w:val="24"/>
          <w:szCs w:val="24"/>
        </w:rPr>
        <w:t xml:space="preserve">Reliability Standards.  Further, 1,414 are subject </w:t>
      </w:r>
      <w:r w:rsidR="005C6C79">
        <w:rPr>
          <w:rFonts w:ascii="Times New Roman" w:hAnsi="Times New Roman"/>
          <w:sz w:val="24"/>
          <w:szCs w:val="24"/>
        </w:rPr>
        <w:t xml:space="preserve">to the currently approved </w:t>
      </w:r>
      <w:r w:rsidR="00D47174" w:rsidRPr="009468C0">
        <w:rPr>
          <w:rFonts w:ascii="Times New Roman" w:hAnsi="Times New Roman"/>
          <w:sz w:val="24"/>
          <w:szCs w:val="24"/>
        </w:rPr>
        <w:t xml:space="preserve">CIP version 4.  </w:t>
      </w:r>
      <w:r w:rsidR="00F2538B">
        <w:rPr>
          <w:rFonts w:ascii="Times New Roman" w:hAnsi="Times New Roman"/>
          <w:sz w:val="24"/>
          <w:szCs w:val="24"/>
        </w:rPr>
        <w:t xml:space="preserve">There is one functional registration that was not subject to CIP version 4 (or other prior versions) but which is now subject to CIP version 5, by virtue of being added to the list of responsible entities under the Applicability section of each of the CIP version 5 Standards (Distribution Providers).  However, many entities registered for the Distribution Provider function </w:t>
      </w:r>
      <w:r w:rsidR="008408D0">
        <w:rPr>
          <w:rFonts w:ascii="Times New Roman" w:hAnsi="Times New Roman"/>
          <w:sz w:val="24"/>
          <w:szCs w:val="24"/>
        </w:rPr>
        <w:t>are</w:t>
      </w:r>
      <w:r w:rsidR="00F2538B">
        <w:rPr>
          <w:rFonts w:ascii="Times New Roman" w:hAnsi="Times New Roman"/>
          <w:sz w:val="24"/>
          <w:szCs w:val="24"/>
        </w:rPr>
        <w:t xml:space="preserve"> also registered for another function that made </w:t>
      </w:r>
      <w:r w:rsidR="008408D0">
        <w:rPr>
          <w:rFonts w:ascii="Times New Roman" w:hAnsi="Times New Roman"/>
          <w:sz w:val="24"/>
          <w:szCs w:val="24"/>
        </w:rPr>
        <w:t>them</w:t>
      </w:r>
      <w:r w:rsidR="00F2538B">
        <w:rPr>
          <w:rFonts w:ascii="Times New Roman" w:hAnsi="Times New Roman"/>
          <w:sz w:val="24"/>
          <w:szCs w:val="24"/>
        </w:rPr>
        <w:t xml:space="preserve"> subject to CIP version 4 (and past versions).  The net difference</w:t>
      </w:r>
      <w:r w:rsidR="008408D0">
        <w:rPr>
          <w:rFonts w:ascii="Times New Roman" w:hAnsi="Times New Roman"/>
          <w:sz w:val="24"/>
          <w:szCs w:val="24"/>
        </w:rPr>
        <w:t xml:space="preserve"> (t</w:t>
      </w:r>
      <w:r w:rsidR="005A6413">
        <w:rPr>
          <w:rFonts w:ascii="Times New Roman" w:hAnsi="Times New Roman"/>
          <w:sz w:val="24"/>
          <w:szCs w:val="24"/>
        </w:rPr>
        <w:t xml:space="preserve">he entities registered </w:t>
      </w:r>
      <w:r w:rsidR="008408D0">
        <w:rPr>
          <w:rFonts w:ascii="Times New Roman" w:hAnsi="Times New Roman"/>
          <w:sz w:val="24"/>
          <w:szCs w:val="24"/>
        </w:rPr>
        <w:t>such that they are subject to</w:t>
      </w:r>
      <w:r w:rsidR="005A6413">
        <w:rPr>
          <w:rFonts w:ascii="Times New Roman" w:hAnsi="Times New Roman"/>
          <w:sz w:val="24"/>
          <w:szCs w:val="24"/>
        </w:rPr>
        <w:t xml:space="preserve"> CIP version 5 but are not subject to </w:t>
      </w:r>
      <w:r w:rsidR="008408D0">
        <w:rPr>
          <w:rFonts w:ascii="Times New Roman" w:hAnsi="Times New Roman"/>
          <w:sz w:val="24"/>
          <w:szCs w:val="24"/>
        </w:rPr>
        <w:t xml:space="preserve">CIP </w:t>
      </w:r>
      <w:r w:rsidR="005A6413">
        <w:rPr>
          <w:rFonts w:ascii="Times New Roman" w:hAnsi="Times New Roman"/>
          <w:sz w:val="24"/>
          <w:szCs w:val="24"/>
        </w:rPr>
        <w:t>version 4</w:t>
      </w:r>
      <w:r w:rsidR="008408D0">
        <w:rPr>
          <w:rFonts w:ascii="Times New Roman" w:hAnsi="Times New Roman"/>
          <w:sz w:val="24"/>
          <w:szCs w:val="24"/>
        </w:rPr>
        <w:t>)</w:t>
      </w:r>
      <w:r w:rsidR="005A6413">
        <w:rPr>
          <w:rFonts w:ascii="Times New Roman" w:hAnsi="Times New Roman"/>
          <w:sz w:val="24"/>
          <w:szCs w:val="24"/>
        </w:rPr>
        <w:t xml:space="preserve"> </w:t>
      </w:r>
      <w:r w:rsidR="0026240C">
        <w:rPr>
          <w:rFonts w:ascii="Times New Roman" w:hAnsi="Times New Roman"/>
          <w:sz w:val="24"/>
          <w:szCs w:val="24"/>
        </w:rPr>
        <w:t>is</w:t>
      </w:r>
      <w:r w:rsidR="005A6413">
        <w:rPr>
          <w:rFonts w:ascii="Times New Roman" w:hAnsi="Times New Roman"/>
          <w:sz w:val="24"/>
          <w:szCs w:val="24"/>
        </w:rPr>
        <w:t xml:space="preserve"> the entities that constitute Group </w:t>
      </w:r>
      <w:proofErr w:type="gramStart"/>
      <w:r w:rsidR="005A6413">
        <w:rPr>
          <w:rFonts w:ascii="Times New Roman" w:hAnsi="Times New Roman"/>
          <w:sz w:val="24"/>
          <w:szCs w:val="24"/>
        </w:rPr>
        <w:t>A</w:t>
      </w:r>
      <w:proofErr w:type="gramEnd"/>
      <w:r w:rsidR="005A6413">
        <w:rPr>
          <w:rFonts w:ascii="Times New Roman" w:hAnsi="Times New Roman"/>
          <w:sz w:val="24"/>
          <w:szCs w:val="24"/>
        </w:rPr>
        <w:t xml:space="preserve"> (61 entities).  </w:t>
      </w:r>
    </w:p>
    <w:p w14:paraId="5BB79F82" w14:textId="77777777" w:rsidR="005C6C79" w:rsidRDefault="005C6C79" w:rsidP="00951236">
      <w:pPr>
        <w:spacing w:after="0"/>
        <w:rPr>
          <w:rFonts w:ascii="Times New Roman" w:hAnsi="Times New Roman"/>
          <w:sz w:val="24"/>
          <w:szCs w:val="24"/>
        </w:rPr>
      </w:pPr>
    </w:p>
    <w:p w14:paraId="5BB79F83" w14:textId="77777777" w:rsidR="00D47174" w:rsidRPr="009468C0" w:rsidRDefault="00D47174" w:rsidP="00951236">
      <w:pPr>
        <w:spacing w:after="0"/>
        <w:rPr>
          <w:rFonts w:ascii="Times New Roman" w:hAnsi="Times New Roman"/>
          <w:sz w:val="24"/>
          <w:szCs w:val="24"/>
        </w:rPr>
      </w:pPr>
      <w:r w:rsidRPr="009468C0">
        <w:rPr>
          <w:rFonts w:ascii="Times New Roman" w:hAnsi="Times New Roman"/>
          <w:sz w:val="24"/>
          <w:szCs w:val="24"/>
        </w:rPr>
        <w:lastRenderedPageBreak/>
        <w:t>Consistent with the Commission’s approach in Order No. 761 (CIP version 4),</w:t>
      </w:r>
      <w:r w:rsidRPr="009468C0">
        <w:rPr>
          <w:rFonts w:ascii="Times New Roman" w:hAnsi="Times New Roman"/>
          <w:b/>
          <w:sz w:val="24"/>
          <w:szCs w:val="24"/>
          <w:vertAlign w:val="superscript"/>
        </w:rPr>
        <w:footnoteReference w:id="26"/>
      </w:r>
      <w:r w:rsidRPr="009468C0">
        <w:rPr>
          <w:rFonts w:ascii="Times New Roman" w:hAnsi="Times New Roman"/>
          <w:sz w:val="24"/>
          <w:szCs w:val="24"/>
        </w:rPr>
        <w:t xml:space="preserve"> we assume that 23 percent (325</w:t>
      </w:r>
      <w:r w:rsidR="006D0ABE">
        <w:rPr>
          <w:rFonts w:ascii="Times New Roman" w:hAnsi="Times New Roman"/>
          <w:sz w:val="24"/>
          <w:szCs w:val="24"/>
        </w:rPr>
        <w:t xml:space="preserve"> unique entities</w:t>
      </w:r>
      <w:r w:rsidRPr="009468C0">
        <w:rPr>
          <w:rFonts w:ascii="Times New Roman" w:hAnsi="Times New Roman"/>
          <w:sz w:val="24"/>
          <w:szCs w:val="24"/>
        </w:rPr>
        <w:t>) of the 1,414 US entities subject to CIP version 4 identified CCAs (Group C).  It follows that the remaining 77 percent (1089</w:t>
      </w:r>
      <w:r w:rsidR="006D0ABE">
        <w:rPr>
          <w:rFonts w:ascii="Times New Roman" w:hAnsi="Times New Roman"/>
          <w:sz w:val="24"/>
          <w:szCs w:val="24"/>
        </w:rPr>
        <w:t xml:space="preserve"> unique entities</w:t>
      </w:r>
      <w:r w:rsidRPr="009468C0">
        <w:rPr>
          <w:rFonts w:ascii="Times New Roman" w:hAnsi="Times New Roman"/>
          <w:sz w:val="24"/>
          <w:szCs w:val="24"/>
        </w:rPr>
        <w:t>) of the U</w:t>
      </w:r>
      <w:r w:rsidR="005C6C79">
        <w:rPr>
          <w:rFonts w:ascii="Times New Roman" w:hAnsi="Times New Roman"/>
          <w:sz w:val="24"/>
          <w:szCs w:val="24"/>
        </w:rPr>
        <w:t>.</w:t>
      </w:r>
      <w:r w:rsidRPr="009468C0">
        <w:rPr>
          <w:rFonts w:ascii="Times New Roman" w:hAnsi="Times New Roman"/>
          <w:sz w:val="24"/>
          <w:szCs w:val="24"/>
        </w:rPr>
        <w:t>S</w:t>
      </w:r>
      <w:r w:rsidR="005C6C79">
        <w:rPr>
          <w:rFonts w:ascii="Times New Roman" w:hAnsi="Times New Roman"/>
          <w:sz w:val="24"/>
          <w:szCs w:val="24"/>
        </w:rPr>
        <w:t>.</w:t>
      </w:r>
      <w:r w:rsidRPr="009468C0">
        <w:rPr>
          <w:rFonts w:ascii="Times New Roman" w:hAnsi="Times New Roman"/>
          <w:sz w:val="24"/>
          <w:szCs w:val="24"/>
        </w:rPr>
        <w:t xml:space="preserve"> entities did not identify any CCAs under CIP version 4 (Group B).  This ratio factors into several of the calculations needed to estimate the differences in effort among entities in Group B, as compared to Group C.  </w:t>
      </w:r>
    </w:p>
    <w:p w14:paraId="5BB79F84" w14:textId="77777777" w:rsidR="00D47174" w:rsidRPr="009468C0" w:rsidRDefault="00D47174" w:rsidP="00951236">
      <w:pPr>
        <w:spacing w:after="0"/>
        <w:rPr>
          <w:rFonts w:ascii="Times New Roman" w:hAnsi="Times New Roman"/>
          <w:sz w:val="24"/>
          <w:szCs w:val="24"/>
        </w:rPr>
      </w:pPr>
      <w:r w:rsidRPr="009468C0">
        <w:rPr>
          <w:rFonts w:ascii="Times New Roman" w:hAnsi="Times New Roman"/>
          <w:sz w:val="24"/>
          <w:szCs w:val="24"/>
        </w:rPr>
        <w:t xml:space="preserve"> </w:t>
      </w:r>
    </w:p>
    <w:p w14:paraId="5BB79F85" w14:textId="77777777" w:rsidR="00D47174" w:rsidRPr="009468C0" w:rsidRDefault="00D47174" w:rsidP="00951236">
      <w:pPr>
        <w:spacing w:after="0"/>
        <w:rPr>
          <w:rFonts w:ascii="Times New Roman" w:hAnsi="Times New Roman"/>
          <w:sz w:val="24"/>
          <w:szCs w:val="24"/>
        </w:rPr>
      </w:pPr>
      <w:r w:rsidRPr="009468C0">
        <w:rPr>
          <w:rFonts w:ascii="Times New Roman" w:hAnsi="Times New Roman"/>
          <w:sz w:val="24"/>
          <w:szCs w:val="24"/>
        </w:rPr>
        <w:t xml:space="preserve">To estimate the change in paperwork burden between CIP version 4 and </w:t>
      </w:r>
      <w:r w:rsidR="005C6C79">
        <w:rPr>
          <w:rFonts w:ascii="Times New Roman" w:hAnsi="Times New Roman"/>
          <w:sz w:val="24"/>
          <w:szCs w:val="24"/>
        </w:rPr>
        <w:t xml:space="preserve">proposed </w:t>
      </w:r>
      <w:r w:rsidRPr="009468C0">
        <w:rPr>
          <w:rFonts w:ascii="Times New Roman" w:hAnsi="Times New Roman"/>
          <w:sz w:val="24"/>
          <w:szCs w:val="24"/>
        </w:rPr>
        <w:t xml:space="preserve">CIP version 5, we recognize that the entities in all groups will undertake the following paperwork tasks to at least some extent:  1) create or modify documentation of processes used to identify and classify the cyber assets to be protected under the CIP Reliability Standards; 2) create or modify policy, process and compliance documentation; and 3) </w:t>
      </w:r>
      <w:r w:rsidR="0066122C">
        <w:rPr>
          <w:rFonts w:ascii="Times New Roman" w:hAnsi="Times New Roman"/>
          <w:sz w:val="24"/>
          <w:szCs w:val="24"/>
        </w:rPr>
        <w:t xml:space="preserve">create and maintain </w:t>
      </w:r>
      <w:r w:rsidRPr="009468C0">
        <w:rPr>
          <w:rFonts w:ascii="Times New Roman" w:hAnsi="Times New Roman"/>
          <w:sz w:val="24"/>
          <w:szCs w:val="24"/>
        </w:rPr>
        <w:t xml:space="preserve">documentation </w:t>
      </w:r>
      <w:r w:rsidR="0066122C">
        <w:rPr>
          <w:rFonts w:ascii="Times New Roman" w:hAnsi="Times New Roman"/>
          <w:sz w:val="24"/>
          <w:szCs w:val="24"/>
        </w:rPr>
        <w:t>related to compliance activities</w:t>
      </w:r>
      <w:r w:rsidRPr="009468C0">
        <w:rPr>
          <w:rFonts w:ascii="Times New Roman" w:hAnsi="Times New Roman"/>
          <w:sz w:val="24"/>
          <w:szCs w:val="24"/>
        </w:rPr>
        <w:t xml:space="preserve">.  </w:t>
      </w:r>
      <w:r w:rsidR="00D80AA5">
        <w:rPr>
          <w:rFonts w:ascii="Times New Roman" w:hAnsi="Times New Roman"/>
          <w:sz w:val="24"/>
          <w:szCs w:val="24"/>
        </w:rPr>
        <w:t>Entities have two years to comply with requirements applicable to Cyber Assets classified as High or Medium, and three years to comply with requirements applicable to those classified as Low.</w:t>
      </w:r>
      <w:r w:rsidR="00337EC4">
        <w:rPr>
          <w:rFonts w:ascii="Times New Roman" w:hAnsi="Times New Roman"/>
          <w:sz w:val="24"/>
          <w:szCs w:val="24"/>
        </w:rPr>
        <w:t xml:space="preserve">  We assume that entities with High or Medium assets will incur burden over years one and two and entities with Low assets will incur burden over years two and three.</w:t>
      </w:r>
    </w:p>
    <w:p w14:paraId="5BB79F86" w14:textId="77777777" w:rsidR="00D47174" w:rsidRPr="009468C0" w:rsidRDefault="00D47174" w:rsidP="00951236">
      <w:pPr>
        <w:spacing w:after="0"/>
        <w:rPr>
          <w:rFonts w:ascii="Times New Roman" w:hAnsi="Times New Roman"/>
          <w:sz w:val="24"/>
          <w:szCs w:val="24"/>
        </w:rPr>
      </w:pPr>
    </w:p>
    <w:p w14:paraId="5BB79F87" w14:textId="77777777" w:rsidR="00D47174" w:rsidRPr="009468C0" w:rsidRDefault="00D47174" w:rsidP="00951236">
      <w:pPr>
        <w:spacing w:after="0"/>
        <w:rPr>
          <w:rFonts w:ascii="Times New Roman" w:hAnsi="Times New Roman"/>
          <w:sz w:val="24"/>
          <w:szCs w:val="24"/>
        </w:rPr>
      </w:pPr>
      <w:r w:rsidRPr="009468C0">
        <w:rPr>
          <w:rFonts w:ascii="Times New Roman" w:hAnsi="Times New Roman"/>
          <w:sz w:val="24"/>
          <w:szCs w:val="24"/>
        </w:rPr>
        <w:t xml:space="preserve">We estimate the level of paperwork burden for each Group as follows:  </w:t>
      </w:r>
    </w:p>
    <w:p w14:paraId="5BB79F88" w14:textId="77777777" w:rsidR="00D47174" w:rsidRPr="009468C0" w:rsidRDefault="00D47174" w:rsidP="00951236">
      <w:pPr>
        <w:spacing w:after="0"/>
        <w:rPr>
          <w:rFonts w:ascii="Times New Roman" w:hAnsi="Times New Roman"/>
          <w:sz w:val="24"/>
          <w:szCs w:val="24"/>
        </w:rPr>
      </w:pPr>
    </w:p>
    <w:p w14:paraId="5BB79F89" w14:textId="5AA19DE4" w:rsidR="00D47174" w:rsidRPr="009468C0" w:rsidRDefault="003C24EA" w:rsidP="00951236">
      <w:pPr>
        <w:numPr>
          <w:ilvl w:val="0"/>
          <w:numId w:val="6"/>
        </w:numPr>
        <w:spacing w:after="0"/>
        <w:rPr>
          <w:rFonts w:ascii="Times New Roman" w:hAnsi="Times New Roman"/>
          <w:sz w:val="24"/>
          <w:szCs w:val="24"/>
        </w:rPr>
      </w:pPr>
      <w:r>
        <w:rPr>
          <w:rFonts w:ascii="Times New Roman" w:hAnsi="Times New Roman"/>
          <w:sz w:val="24"/>
          <w:szCs w:val="24"/>
        </w:rPr>
        <w:t xml:space="preserve">No more than 10 percent of the Group </w:t>
      </w:r>
      <w:proofErr w:type="gramStart"/>
      <w:r>
        <w:rPr>
          <w:rFonts w:ascii="Times New Roman" w:hAnsi="Times New Roman"/>
          <w:sz w:val="24"/>
          <w:szCs w:val="24"/>
        </w:rPr>
        <w:t>A</w:t>
      </w:r>
      <w:proofErr w:type="gramEnd"/>
      <w:r>
        <w:rPr>
          <w:rFonts w:ascii="Times New Roman" w:hAnsi="Times New Roman"/>
          <w:sz w:val="24"/>
          <w:szCs w:val="24"/>
        </w:rPr>
        <w:t xml:space="preserve"> entities, and a</w:t>
      </w:r>
      <w:r w:rsidR="00D47174" w:rsidRPr="009468C0">
        <w:rPr>
          <w:rFonts w:ascii="Times New Roman" w:hAnsi="Times New Roman"/>
          <w:sz w:val="24"/>
          <w:szCs w:val="24"/>
        </w:rPr>
        <w:t xml:space="preserve">ll of Group B &amp; C entities will own at least one subject </w:t>
      </w:r>
      <w:r w:rsidR="00F64E6F">
        <w:rPr>
          <w:rFonts w:ascii="Times New Roman" w:hAnsi="Times New Roman"/>
          <w:sz w:val="24"/>
          <w:szCs w:val="24"/>
        </w:rPr>
        <w:t>facility</w:t>
      </w:r>
      <w:r w:rsidR="00F64E6F" w:rsidRPr="009468C0">
        <w:rPr>
          <w:rFonts w:ascii="Times New Roman" w:hAnsi="Times New Roman"/>
          <w:sz w:val="24"/>
          <w:szCs w:val="24"/>
        </w:rPr>
        <w:t xml:space="preserve"> </w:t>
      </w:r>
      <w:r w:rsidR="00D47174" w:rsidRPr="009468C0">
        <w:rPr>
          <w:rFonts w:ascii="Times New Roman" w:hAnsi="Times New Roman"/>
          <w:sz w:val="24"/>
          <w:szCs w:val="24"/>
        </w:rPr>
        <w:t>classified as Low under the CIP version 5 Standards.  We estimate 24 hours</w:t>
      </w:r>
      <w:r w:rsidR="00D47174" w:rsidRPr="009468C0">
        <w:rPr>
          <w:rFonts w:ascii="Times New Roman" w:hAnsi="Times New Roman"/>
          <w:b/>
          <w:sz w:val="24"/>
          <w:szCs w:val="24"/>
          <w:vertAlign w:val="superscript"/>
        </w:rPr>
        <w:footnoteReference w:id="27"/>
      </w:r>
      <w:r w:rsidR="00D47174" w:rsidRPr="009468C0">
        <w:rPr>
          <w:rFonts w:ascii="Times New Roman" w:hAnsi="Times New Roman"/>
          <w:sz w:val="24"/>
          <w:szCs w:val="24"/>
        </w:rPr>
        <w:t xml:space="preserve"> per entity to develop its evaluation process documentation for identifying the facilities subject to the standard, and 1,024 hours</w:t>
      </w:r>
      <w:r w:rsidR="00D47174" w:rsidRPr="009468C0">
        <w:rPr>
          <w:rFonts w:ascii="Times New Roman" w:hAnsi="Times New Roman"/>
          <w:b/>
          <w:sz w:val="24"/>
          <w:szCs w:val="24"/>
          <w:vertAlign w:val="superscript"/>
        </w:rPr>
        <w:footnoteReference w:id="28"/>
      </w:r>
      <w:r w:rsidR="00D47174" w:rsidRPr="009468C0">
        <w:rPr>
          <w:rFonts w:ascii="Times New Roman" w:hAnsi="Times New Roman"/>
          <w:sz w:val="24"/>
          <w:szCs w:val="24"/>
        </w:rPr>
        <w:t xml:space="preserve"> to develop the required documentation for covered assets.  We divide the total burden hours between the second and third years of the compliance period allowed for the </w:t>
      </w:r>
      <w:r w:rsidR="00F64E6F">
        <w:rPr>
          <w:rFonts w:ascii="Times New Roman" w:hAnsi="Times New Roman"/>
          <w:sz w:val="24"/>
          <w:szCs w:val="24"/>
        </w:rPr>
        <w:t>facilities</w:t>
      </w:r>
      <w:r w:rsidR="00F64E6F" w:rsidRPr="009468C0">
        <w:rPr>
          <w:rFonts w:ascii="Times New Roman" w:hAnsi="Times New Roman"/>
          <w:sz w:val="24"/>
          <w:szCs w:val="24"/>
        </w:rPr>
        <w:t xml:space="preserve"> </w:t>
      </w:r>
      <w:r w:rsidR="00D47174" w:rsidRPr="009468C0">
        <w:rPr>
          <w:rFonts w:ascii="Times New Roman" w:hAnsi="Times New Roman"/>
          <w:sz w:val="24"/>
          <w:szCs w:val="24"/>
        </w:rPr>
        <w:t>classified as Low</w:t>
      </w:r>
      <w:r w:rsidR="00A86E48">
        <w:rPr>
          <w:rFonts w:ascii="Times New Roman" w:hAnsi="Times New Roman"/>
          <w:sz w:val="24"/>
          <w:szCs w:val="24"/>
        </w:rPr>
        <w:t xml:space="preserve"> because this is when we assume the entities will do the work</w:t>
      </w:r>
      <w:r w:rsidR="00D47174" w:rsidRPr="009468C0">
        <w:rPr>
          <w:rFonts w:ascii="Times New Roman" w:hAnsi="Times New Roman"/>
          <w:sz w:val="24"/>
          <w:szCs w:val="24"/>
        </w:rPr>
        <w:t xml:space="preserve">. </w:t>
      </w:r>
    </w:p>
    <w:p w14:paraId="5BB79F8A" w14:textId="45701113" w:rsidR="00D47174" w:rsidRPr="009468C0" w:rsidRDefault="00D47174" w:rsidP="00951236">
      <w:pPr>
        <w:numPr>
          <w:ilvl w:val="0"/>
          <w:numId w:val="6"/>
        </w:numPr>
        <w:spacing w:after="0"/>
        <w:rPr>
          <w:rFonts w:ascii="Times New Roman" w:hAnsi="Times New Roman"/>
          <w:sz w:val="24"/>
          <w:szCs w:val="24"/>
        </w:rPr>
      </w:pPr>
      <w:r w:rsidRPr="009468C0">
        <w:rPr>
          <w:rFonts w:ascii="Times New Roman" w:hAnsi="Times New Roman"/>
          <w:sz w:val="24"/>
          <w:szCs w:val="24"/>
        </w:rPr>
        <w:t xml:space="preserve">The burden hours for facilities classified as Medium and High are split between the first and second year, since Groups B and C are allowed a 24-month period to bring </w:t>
      </w:r>
      <w:r w:rsidR="009F755A">
        <w:rPr>
          <w:rFonts w:ascii="Times New Roman" w:hAnsi="Times New Roman"/>
          <w:sz w:val="24"/>
          <w:szCs w:val="24"/>
        </w:rPr>
        <w:t>facilities</w:t>
      </w:r>
      <w:r w:rsidRPr="009468C0">
        <w:rPr>
          <w:rFonts w:ascii="Times New Roman" w:hAnsi="Times New Roman"/>
          <w:sz w:val="24"/>
          <w:szCs w:val="24"/>
        </w:rPr>
        <w:t xml:space="preserve"> into compliance.  (The third year figure shown for these rows represents an ongoing effort level).  Except for Group C </w:t>
      </w:r>
      <w:proofErr w:type="spellStart"/>
      <w:r w:rsidRPr="009468C0">
        <w:rPr>
          <w:rFonts w:ascii="Times New Roman" w:hAnsi="Times New Roman"/>
          <w:sz w:val="24"/>
          <w:szCs w:val="24"/>
        </w:rPr>
        <w:t>Blackstart</w:t>
      </w:r>
      <w:proofErr w:type="spellEnd"/>
      <w:r w:rsidRPr="009468C0">
        <w:rPr>
          <w:rFonts w:ascii="Times New Roman" w:hAnsi="Times New Roman"/>
          <w:sz w:val="24"/>
          <w:szCs w:val="24"/>
        </w:rPr>
        <w:t xml:space="preserve"> facilities</w:t>
      </w:r>
      <w:r w:rsidR="00F64E6F">
        <w:rPr>
          <w:rFonts w:ascii="Times New Roman" w:hAnsi="Times New Roman"/>
          <w:sz w:val="24"/>
          <w:szCs w:val="24"/>
        </w:rPr>
        <w:t xml:space="preserve"> (see bullet on </w:t>
      </w:r>
      <w:proofErr w:type="spellStart"/>
      <w:r w:rsidR="00F64E6F">
        <w:rPr>
          <w:rFonts w:ascii="Times New Roman" w:hAnsi="Times New Roman"/>
          <w:sz w:val="24"/>
          <w:szCs w:val="24"/>
        </w:rPr>
        <w:t>Blackstart</w:t>
      </w:r>
      <w:proofErr w:type="spellEnd"/>
      <w:r w:rsidR="00F64E6F">
        <w:rPr>
          <w:rFonts w:ascii="Times New Roman" w:hAnsi="Times New Roman"/>
          <w:sz w:val="24"/>
          <w:szCs w:val="24"/>
        </w:rPr>
        <w:t xml:space="preserve"> facilities below)</w:t>
      </w:r>
      <w:r w:rsidRPr="009468C0">
        <w:rPr>
          <w:rFonts w:ascii="Times New Roman" w:hAnsi="Times New Roman"/>
          <w:sz w:val="24"/>
          <w:szCs w:val="24"/>
        </w:rPr>
        <w:t xml:space="preserve">, </w:t>
      </w:r>
      <w:r w:rsidR="00EB6056">
        <w:rPr>
          <w:rFonts w:ascii="Times New Roman" w:hAnsi="Times New Roman"/>
          <w:sz w:val="24"/>
          <w:szCs w:val="24"/>
        </w:rPr>
        <w:t xml:space="preserve">we assume </w:t>
      </w:r>
      <w:r w:rsidRPr="009468C0">
        <w:rPr>
          <w:rFonts w:ascii="Times New Roman" w:hAnsi="Times New Roman"/>
          <w:sz w:val="24"/>
          <w:szCs w:val="24"/>
        </w:rPr>
        <w:t>32 hours</w:t>
      </w:r>
      <w:r w:rsidRPr="009468C0">
        <w:rPr>
          <w:rFonts w:ascii="Times New Roman" w:hAnsi="Times New Roman"/>
          <w:b/>
          <w:sz w:val="24"/>
          <w:szCs w:val="24"/>
          <w:vertAlign w:val="superscript"/>
        </w:rPr>
        <w:footnoteReference w:id="29"/>
      </w:r>
      <w:r w:rsidRPr="009468C0">
        <w:rPr>
          <w:rFonts w:ascii="Times New Roman" w:hAnsi="Times New Roman"/>
          <w:sz w:val="24"/>
          <w:szCs w:val="24"/>
        </w:rPr>
        <w:t xml:space="preserve"> per entity</w:t>
      </w:r>
      <w:r w:rsidR="00EB6056">
        <w:rPr>
          <w:rFonts w:ascii="Times New Roman" w:hAnsi="Times New Roman"/>
          <w:sz w:val="24"/>
          <w:szCs w:val="24"/>
        </w:rPr>
        <w:t xml:space="preserve"> </w:t>
      </w:r>
      <w:r w:rsidRPr="009468C0">
        <w:rPr>
          <w:rFonts w:ascii="Times New Roman" w:hAnsi="Times New Roman"/>
          <w:sz w:val="24"/>
          <w:szCs w:val="24"/>
        </w:rPr>
        <w:t xml:space="preserve">for </w:t>
      </w:r>
      <w:r w:rsidR="00EC6CC1">
        <w:rPr>
          <w:rFonts w:ascii="Times New Roman" w:hAnsi="Times New Roman"/>
          <w:sz w:val="24"/>
          <w:szCs w:val="24"/>
        </w:rPr>
        <w:t xml:space="preserve">modification </w:t>
      </w:r>
      <w:r w:rsidR="00EC6CC1" w:rsidRPr="009468C0">
        <w:rPr>
          <w:rFonts w:ascii="Times New Roman" w:hAnsi="Times New Roman"/>
          <w:sz w:val="24"/>
          <w:szCs w:val="24"/>
        </w:rPr>
        <w:t xml:space="preserve"> </w:t>
      </w:r>
      <w:r w:rsidRPr="009468C0">
        <w:rPr>
          <w:rFonts w:ascii="Times New Roman" w:hAnsi="Times New Roman"/>
          <w:sz w:val="24"/>
          <w:szCs w:val="24"/>
        </w:rPr>
        <w:t>of its evaluation process documentation</w:t>
      </w:r>
      <w:r w:rsidR="004601E8">
        <w:rPr>
          <w:rFonts w:ascii="Times New Roman" w:hAnsi="Times New Roman"/>
          <w:sz w:val="24"/>
          <w:szCs w:val="24"/>
        </w:rPr>
        <w:t xml:space="preserve"> since </w:t>
      </w:r>
      <w:r w:rsidR="004601E8" w:rsidRPr="009468C0">
        <w:rPr>
          <w:rFonts w:ascii="Times New Roman" w:hAnsi="Times New Roman"/>
          <w:sz w:val="24"/>
          <w:szCs w:val="24"/>
        </w:rPr>
        <w:t xml:space="preserve">CIP version </w:t>
      </w:r>
      <w:r w:rsidR="004601E8">
        <w:rPr>
          <w:rFonts w:ascii="Times New Roman" w:hAnsi="Times New Roman"/>
          <w:sz w:val="24"/>
          <w:szCs w:val="24"/>
        </w:rPr>
        <w:t>4</w:t>
      </w:r>
      <w:r w:rsidR="004601E8" w:rsidRPr="009468C0">
        <w:rPr>
          <w:rFonts w:ascii="Times New Roman" w:hAnsi="Times New Roman"/>
          <w:sz w:val="24"/>
          <w:szCs w:val="24"/>
        </w:rPr>
        <w:t xml:space="preserve"> Standards</w:t>
      </w:r>
      <w:r w:rsidR="004601E8">
        <w:rPr>
          <w:rFonts w:ascii="Times New Roman" w:hAnsi="Times New Roman"/>
          <w:sz w:val="24"/>
          <w:szCs w:val="24"/>
        </w:rPr>
        <w:t xml:space="preserve"> require entities to have a similar process for entities in this group</w:t>
      </w:r>
      <w:r w:rsidRPr="009468C0">
        <w:rPr>
          <w:rFonts w:ascii="Times New Roman" w:hAnsi="Times New Roman"/>
          <w:sz w:val="24"/>
          <w:szCs w:val="24"/>
        </w:rPr>
        <w:t xml:space="preserve">. </w:t>
      </w:r>
    </w:p>
    <w:p w14:paraId="5BB79F8B" w14:textId="2558F0AD" w:rsidR="00D47174" w:rsidRPr="009468C0" w:rsidRDefault="00D47174" w:rsidP="00951236">
      <w:pPr>
        <w:numPr>
          <w:ilvl w:val="0"/>
          <w:numId w:val="6"/>
        </w:numPr>
        <w:spacing w:after="0"/>
        <w:rPr>
          <w:rFonts w:ascii="Times New Roman" w:hAnsi="Times New Roman"/>
          <w:sz w:val="24"/>
          <w:szCs w:val="24"/>
        </w:rPr>
      </w:pPr>
      <w:r w:rsidRPr="009468C0">
        <w:rPr>
          <w:rFonts w:ascii="Times New Roman" w:hAnsi="Times New Roman"/>
          <w:sz w:val="24"/>
          <w:szCs w:val="24"/>
        </w:rPr>
        <w:lastRenderedPageBreak/>
        <w:t>We assume no more than 30 percent of Group B and Group C entities will own one or more of the newly covered transmission facilities classified as Medium.  For those</w:t>
      </w:r>
      <w:r w:rsidR="00F64E6F">
        <w:rPr>
          <w:rFonts w:ascii="Times New Roman" w:hAnsi="Times New Roman"/>
          <w:sz w:val="24"/>
          <w:szCs w:val="24"/>
        </w:rPr>
        <w:t xml:space="preserve"> Group B entities</w:t>
      </w:r>
      <w:r w:rsidRPr="009468C0">
        <w:rPr>
          <w:rFonts w:ascii="Times New Roman" w:hAnsi="Times New Roman"/>
          <w:sz w:val="24"/>
          <w:szCs w:val="24"/>
        </w:rPr>
        <w:t xml:space="preserve"> that do, we assume 3,200 hours</w:t>
      </w:r>
      <w:r w:rsidRPr="009468C0">
        <w:rPr>
          <w:rFonts w:ascii="Times New Roman" w:hAnsi="Times New Roman"/>
          <w:b/>
          <w:sz w:val="24"/>
          <w:szCs w:val="24"/>
          <w:vertAlign w:val="superscript"/>
        </w:rPr>
        <w:t xml:space="preserve"> </w:t>
      </w:r>
      <w:r w:rsidRPr="009468C0">
        <w:rPr>
          <w:rFonts w:ascii="Times New Roman" w:hAnsi="Times New Roman"/>
          <w:b/>
          <w:sz w:val="24"/>
          <w:szCs w:val="24"/>
          <w:vertAlign w:val="superscript"/>
        </w:rPr>
        <w:footnoteReference w:id="30"/>
      </w:r>
      <w:r w:rsidRPr="009468C0">
        <w:rPr>
          <w:rFonts w:ascii="Times New Roman" w:hAnsi="Times New Roman"/>
          <w:sz w:val="24"/>
          <w:szCs w:val="24"/>
        </w:rPr>
        <w:t xml:space="preserve"> to develop the required policy, compliance and implementation documentation</w:t>
      </w:r>
      <w:r w:rsidR="009A59E2" w:rsidRPr="009A59E2">
        <w:rPr>
          <w:rFonts w:ascii="Times New Roman" w:hAnsi="Times New Roman"/>
          <w:sz w:val="24"/>
          <w:szCs w:val="24"/>
        </w:rPr>
        <w:t xml:space="preserve"> </w:t>
      </w:r>
      <w:r w:rsidR="009A59E2">
        <w:rPr>
          <w:rFonts w:ascii="Times New Roman" w:hAnsi="Times New Roman"/>
          <w:sz w:val="24"/>
          <w:szCs w:val="24"/>
        </w:rPr>
        <w:t>for the</w:t>
      </w:r>
      <w:r w:rsidR="00A86E48">
        <w:rPr>
          <w:rFonts w:ascii="Times New Roman" w:hAnsi="Times New Roman"/>
          <w:sz w:val="24"/>
          <w:szCs w:val="24"/>
        </w:rPr>
        <w:t xml:space="preserve"> </w:t>
      </w:r>
      <w:r w:rsidR="009A59E2">
        <w:rPr>
          <w:rFonts w:ascii="Times New Roman" w:hAnsi="Times New Roman"/>
          <w:sz w:val="24"/>
          <w:szCs w:val="24"/>
        </w:rPr>
        <w:t>10 standards</w:t>
      </w:r>
      <w:r w:rsidRPr="009468C0">
        <w:rPr>
          <w:rFonts w:ascii="Times New Roman" w:hAnsi="Times New Roman"/>
          <w:sz w:val="24"/>
          <w:szCs w:val="24"/>
        </w:rPr>
        <w:t>, and 832 hours</w:t>
      </w:r>
      <w:r w:rsidRPr="009468C0">
        <w:rPr>
          <w:rFonts w:ascii="Times New Roman" w:hAnsi="Times New Roman"/>
          <w:b/>
          <w:sz w:val="24"/>
          <w:szCs w:val="24"/>
          <w:vertAlign w:val="superscript"/>
        </w:rPr>
        <w:footnoteReference w:id="31"/>
      </w:r>
      <w:r w:rsidRPr="009468C0">
        <w:rPr>
          <w:rFonts w:ascii="Times New Roman" w:hAnsi="Times New Roman"/>
          <w:sz w:val="24"/>
          <w:szCs w:val="24"/>
        </w:rPr>
        <w:t xml:space="preserve"> per entity for ongoing compliance burden.</w:t>
      </w:r>
      <w:r w:rsidR="00F64E6F">
        <w:rPr>
          <w:rFonts w:ascii="Times New Roman" w:hAnsi="Times New Roman"/>
          <w:sz w:val="24"/>
          <w:szCs w:val="24"/>
        </w:rPr>
        <w:t xml:space="preserve">  For those Group C</w:t>
      </w:r>
      <w:r w:rsidR="00004D3D" w:rsidRPr="00377BAB">
        <w:rPr>
          <w:rStyle w:val="FootnoteReference"/>
          <w:rFonts w:ascii="Times New Roman" w:hAnsi="Times New Roman"/>
          <w:sz w:val="24"/>
          <w:szCs w:val="24"/>
          <w:vertAlign w:val="superscript"/>
        </w:rPr>
        <w:footnoteReference w:id="32"/>
      </w:r>
      <w:r w:rsidR="00F64E6F">
        <w:rPr>
          <w:rFonts w:ascii="Times New Roman" w:hAnsi="Times New Roman"/>
          <w:sz w:val="24"/>
          <w:szCs w:val="24"/>
        </w:rPr>
        <w:t xml:space="preserve"> entities that do, we assume </w:t>
      </w:r>
      <w:r w:rsidR="00D57D97">
        <w:rPr>
          <w:rFonts w:ascii="Times New Roman" w:hAnsi="Times New Roman"/>
          <w:sz w:val="24"/>
          <w:szCs w:val="24"/>
        </w:rPr>
        <w:t>832 hours</w:t>
      </w:r>
      <w:r w:rsidR="00D57D97" w:rsidRPr="00377BAB">
        <w:rPr>
          <w:rStyle w:val="FootnoteReference"/>
          <w:rFonts w:ascii="Times New Roman" w:hAnsi="Times New Roman"/>
          <w:sz w:val="24"/>
          <w:szCs w:val="24"/>
          <w:vertAlign w:val="superscript"/>
        </w:rPr>
        <w:footnoteReference w:id="33"/>
      </w:r>
      <w:r w:rsidR="00D57D97">
        <w:rPr>
          <w:rFonts w:ascii="Times New Roman" w:hAnsi="Times New Roman"/>
          <w:sz w:val="24"/>
          <w:szCs w:val="24"/>
        </w:rPr>
        <w:t xml:space="preserve"> per entity for ongoing compliance burden</w:t>
      </w:r>
      <w:r w:rsidR="009F755A">
        <w:rPr>
          <w:rFonts w:ascii="Times New Roman" w:hAnsi="Times New Roman"/>
          <w:sz w:val="24"/>
          <w:szCs w:val="24"/>
        </w:rPr>
        <w:t>.</w:t>
      </w:r>
      <w:r w:rsidR="004601E8">
        <w:rPr>
          <w:rFonts w:ascii="Times New Roman" w:hAnsi="Times New Roman"/>
          <w:sz w:val="24"/>
          <w:szCs w:val="24"/>
        </w:rPr>
        <w:t xml:space="preserve"> </w:t>
      </w:r>
      <w:r w:rsidR="009F755A">
        <w:rPr>
          <w:rFonts w:ascii="Times New Roman" w:hAnsi="Times New Roman"/>
          <w:sz w:val="24"/>
          <w:szCs w:val="24"/>
        </w:rPr>
        <w:t xml:space="preserve"> </w:t>
      </w:r>
      <w:r w:rsidR="004601E8">
        <w:rPr>
          <w:rFonts w:ascii="Times New Roman" w:hAnsi="Times New Roman"/>
          <w:sz w:val="24"/>
          <w:szCs w:val="24"/>
        </w:rPr>
        <w:t xml:space="preserve">Group C </w:t>
      </w:r>
      <w:r w:rsidR="004601E8" w:rsidRPr="009468C0">
        <w:rPr>
          <w:rFonts w:ascii="Times New Roman" w:hAnsi="Times New Roman"/>
          <w:sz w:val="24"/>
          <w:szCs w:val="24"/>
        </w:rPr>
        <w:t>compliance and implementation documentation</w:t>
      </w:r>
      <w:r w:rsidR="004601E8">
        <w:rPr>
          <w:rFonts w:ascii="Times New Roman" w:hAnsi="Times New Roman"/>
          <w:sz w:val="24"/>
          <w:szCs w:val="24"/>
        </w:rPr>
        <w:t xml:space="preserve"> was required for </w:t>
      </w:r>
      <w:r w:rsidR="004601E8" w:rsidRPr="009468C0">
        <w:rPr>
          <w:rFonts w:ascii="Times New Roman" w:hAnsi="Times New Roman"/>
          <w:sz w:val="24"/>
          <w:szCs w:val="24"/>
        </w:rPr>
        <w:t xml:space="preserve">CIP version </w:t>
      </w:r>
      <w:r w:rsidR="004601E8">
        <w:rPr>
          <w:rFonts w:ascii="Times New Roman" w:hAnsi="Times New Roman"/>
          <w:sz w:val="24"/>
          <w:szCs w:val="24"/>
        </w:rPr>
        <w:t>4</w:t>
      </w:r>
      <w:r w:rsidR="004601E8" w:rsidRPr="009468C0">
        <w:rPr>
          <w:rFonts w:ascii="Times New Roman" w:hAnsi="Times New Roman"/>
          <w:sz w:val="24"/>
          <w:szCs w:val="24"/>
        </w:rPr>
        <w:t xml:space="preserve"> Standards</w:t>
      </w:r>
      <w:r w:rsidR="004601E8">
        <w:rPr>
          <w:rFonts w:ascii="Times New Roman" w:hAnsi="Times New Roman"/>
          <w:sz w:val="24"/>
          <w:szCs w:val="24"/>
        </w:rPr>
        <w:t>,</w:t>
      </w:r>
      <w:r w:rsidR="009F755A">
        <w:rPr>
          <w:rFonts w:ascii="Times New Roman" w:hAnsi="Times New Roman"/>
          <w:sz w:val="24"/>
          <w:szCs w:val="24"/>
        </w:rPr>
        <w:t xml:space="preserve"> and the</w:t>
      </w:r>
      <w:r w:rsidR="004601E8">
        <w:rPr>
          <w:rFonts w:ascii="Times New Roman" w:hAnsi="Times New Roman"/>
          <w:sz w:val="24"/>
          <w:szCs w:val="24"/>
        </w:rPr>
        <w:t xml:space="preserve"> burden increase for </w:t>
      </w:r>
      <w:r w:rsidR="004601E8" w:rsidRPr="009468C0">
        <w:rPr>
          <w:rFonts w:ascii="Times New Roman" w:hAnsi="Times New Roman"/>
          <w:sz w:val="24"/>
          <w:szCs w:val="24"/>
        </w:rPr>
        <w:t xml:space="preserve">CIP version </w:t>
      </w:r>
      <w:r w:rsidR="004601E8">
        <w:rPr>
          <w:rFonts w:ascii="Times New Roman" w:hAnsi="Times New Roman"/>
          <w:sz w:val="24"/>
          <w:szCs w:val="24"/>
        </w:rPr>
        <w:t>5</w:t>
      </w:r>
      <w:r w:rsidR="004601E8" w:rsidRPr="009468C0">
        <w:rPr>
          <w:rFonts w:ascii="Times New Roman" w:hAnsi="Times New Roman"/>
          <w:sz w:val="24"/>
          <w:szCs w:val="24"/>
        </w:rPr>
        <w:t xml:space="preserve"> Standards</w:t>
      </w:r>
      <w:r w:rsidR="004601E8">
        <w:rPr>
          <w:rFonts w:ascii="Times New Roman" w:hAnsi="Times New Roman"/>
          <w:sz w:val="24"/>
          <w:szCs w:val="24"/>
        </w:rPr>
        <w:t xml:space="preserve"> is </w:t>
      </w:r>
      <w:r w:rsidR="009F755A">
        <w:rPr>
          <w:rFonts w:ascii="Times New Roman" w:hAnsi="Times New Roman"/>
          <w:sz w:val="24"/>
          <w:szCs w:val="24"/>
        </w:rPr>
        <w:t xml:space="preserve">shown </w:t>
      </w:r>
      <w:r w:rsidR="004601E8">
        <w:rPr>
          <w:rFonts w:ascii="Times New Roman" w:hAnsi="Times New Roman"/>
          <w:sz w:val="24"/>
          <w:szCs w:val="24"/>
        </w:rPr>
        <w:t>below</w:t>
      </w:r>
      <w:r w:rsidR="00D57D97">
        <w:rPr>
          <w:rFonts w:ascii="Times New Roman" w:hAnsi="Times New Roman"/>
          <w:sz w:val="24"/>
          <w:szCs w:val="24"/>
        </w:rPr>
        <w:t>.</w:t>
      </w:r>
    </w:p>
    <w:p w14:paraId="5BB79F8C" w14:textId="77777777" w:rsidR="00D47174" w:rsidRPr="009468C0" w:rsidRDefault="00D47174" w:rsidP="00951236">
      <w:pPr>
        <w:numPr>
          <w:ilvl w:val="0"/>
          <w:numId w:val="6"/>
        </w:numPr>
        <w:spacing w:after="0"/>
        <w:rPr>
          <w:rFonts w:ascii="Times New Roman" w:hAnsi="Times New Roman"/>
          <w:sz w:val="24"/>
          <w:szCs w:val="24"/>
        </w:rPr>
      </w:pPr>
      <w:r w:rsidRPr="009468C0">
        <w:rPr>
          <w:rFonts w:ascii="Times New Roman" w:hAnsi="Times New Roman"/>
          <w:sz w:val="24"/>
          <w:szCs w:val="24"/>
        </w:rPr>
        <w:t xml:space="preserve"> With respect to the </w:t>
      </w:r>
      <w:proofErr w:type="spellStart"/>
      <w:r w:rsidRPr="009468C0">
        <w:rPr>
          <w:rFonts w:ascii="Times New Roman" w:hAnsi="Times New Roman"/>
          <w:sz w:val="24"/>
          <w:szCs w:val="24"/>
        </w:rPr>
        <w:t>Blackstart</w:t>
      </w:r>
      <w:proofErr w:type="spellEnd"/>
      <w:r w:rsidRPr="009468C0">
        <w:rPr>
          <w:rFonts w:ascii="Times New Roman" w:hAnsi="Times New Roman"/>
          <w:sz w:val="24"/>
          <w:szCs w:val="24"/>
        </w:rPr>
        <w:t xml:space="preserve"> facilities owned by Group C entities, </w:t>
      </w:r>
      <w:r w:rsidR="00EB6056">
        <w:rPr>
          <w:rFonts w:ascii="Times New Roman" w:hAnsi="Times New Roman"/>
          <w:sz w:val="24"/>
          <w:szCs w:val="24"/>
        </w:rPr>
        <w:t xml:space="preserve">we assume </w:t>
      </w:r>
      <w:r w:rsidRPr="009468C0">
        <w:rPr>
          <w:rFonts w:ascii="Times New Roman" w:hAnsi="Times New Roman"/>
          <w:sz w:val="24"/>
          <w:szCs w:val="24"/>
        </w:rPr>
        <w:t>160 hours</w:t>
      </w:r>
      <w:r w:rsidRPr="009468C0">
        <w:rPr>
          <w:rFonts w:ascii="Times New Roman" w:hAnsi="Times New Roman"/>
          <w:b/>
          <w:sz w:val="24"/>
          <w:szCs w:val="24"/>
          <w:vertAlign w:val="superscript"/>
        </w:rPr>
        <w:footnoteReference w:id="34"/>
      </w:r>
      <w:r w:rsidRPr="009468C0">
        <w:rPr>
          <w:rFonts w:ascii="Times New Roman" w:hAnsi="Times New Roman"/>
          <w:sz w:val="24"/>
          <w:szCs w:val="24"/>
        </w:rPr>
        <w:t xml:space="preserve"> per entity </w:t>
      </w:r>
      <w:r w:rsidR="00EB6056">
        <w:rPr>
          <w:rFonts w:ascii="Times New Roman" w:hAnsi="Times New Roman"/>
          <w:sz w:val="24"/>
          <w:szCs w:val="24"/>
        </w:rPr>
        <w:t xml:space="preserve">to modify </w:t>
      </w:r>
      <w:r w:rsidRPr="009468C0">
        <w:rPr>
          <w:rFonts w:ascii="Times New Roman" w:hAnsi="Times New Roman"/>
          <w:sz w:val="24"/>
          <w:szCs w:val="24"/>
        </w:rPr>
        <w:t xml:space="preserve">policy and evaluation process documentation.  We also assume a </w:t>
      </w:r>
      <w:r w:rsidRPr="009468C0">
        <w:rPr>
          <w:rFonts w:ascii="Times New Roman" w:hAnsi="Times New Roman"/>
          <w:i/>
          <w:sz w:val="24"/>
          <w:szCs w:val="24"/>
        </w:rPr>
        <w:t>reduction</w:t>
      </w:r>
      <w:r w:rsidRPr="009468C0">
        <w:rPr>
          <w:rFonts w:ascii="Times New Roman" w:hAnsi="Times New Roman"/>
          <w:sz w:val="24"/>
          <w:szCs w:val="24"/>
        </w:rPr>
        <w:t xml:space="preserve"> of 728 hours </w:t>
      </w:r>
      <w:r w:rsidRPr="009468C0">
        <w:rPr>
          <w:rFonts w:ascii="Times New Roman" w:hAnsi="Times New Roman"/>
          <w:b/>
          <w:sz w:val="24"/>
          <w:szCs w:val="24"/>
          <w:vertAlign w:val="superscript"/>
        </w:rPr>
        <w:footnoteReference w:id="35"/>
      </w:r>
      <w:r w:rsidRPr="009468C0">
        <w:rPr>
          <w:rFonts w:ascii="Times New Roman" w:hAnsi="Times New Roman"/>
          <w:sz w:val="24"/>
          <w:szCs w:val="24"/>
        </w:rPr>
        <w:t xml:space="preserve"> per entity for ongoing compliance documentation that </w:t>
      </w:r>
      <w:r w:rsidRPr="00937689">
        <w:rPr>
          <w:rFonts w:ascii="Times New Roman" w:hAnsi="Times New Roman"/>
          <w:sz w:val="24"/>
          <w:szCs w:val="24"/>
        </w:rPr>
        <w:t xml:space="preserve">is required under </w:t>
      </w:r>
      <w:r w:rsidR="00FE7140" w:rsidRPr="00937689">
        <w:rPr>
          <w:rFonts w:ascii="Times New Roman" w:hAnsi="Times New Roman"/>
          <w:sz w:val="24"/>
          <w:szCs w:val="24"/>
        </w:rPr>
        <w:t>the currently</w:t>
      </w:r>
      <w:r w:rsidR="00FE7140">
        <w:rPr>
          <w:rFonts w:ascii="Times New Roman" w:hAnsi="Times New Roman"/>
          <w:sz w:val="24"/>
          <w:szCs w:val="24"/>
        </w:rPr>
        <w:t xml:space="preserve"> approved CIP standards </w:t>
      </w:r>
      <w:r w:rsidRPr="009468C0">
        <w:rPr>
          <w:rFonts w:ascii="Times New Roman" w:hAnsi="Times New Roman"/>
          <w:sz w:val="24"/>
          <w:szCs w:val="24"/>
        </w:rPr>
        <w:t xml:space="preserve">but is no longer required under CIP version 5. </w:t>
      </w:r>
    </w:p>
    <w:p w14:paraId="5BB79F8D" w14:textId="77777777" w:rsidR="00D47174" w:rsidRPr="009468C0" w:rsidRDefault="00D47174" w:rsidP="00951236">
      <w:pPr>
        <w:numPr>
          <w:ilvl w:val="0"/>
          <w:numId w:val="6"/>
        </w:numPr>
        <w:spacing w:after="0"/>
        <w:rPr>
          <w:rFonts w:ascii="Times New Roman" w:hAnsi="Times New Roman"/>
          <w:sz w:val="24"/>
          <w:szCs w:val="24"/>
        </w:rPr>
      </w:pPr>
      <w:r w:rsidRPr="009468C0">
        <w:rPr>
          <w:rFonts w:ascii="Times New Roman" w:hAnsi="Times New Roman"/>
          <w:sz w:val="24"/>
          <w:szCs w:val="24"/>
        </w:rPr>
        <w:t xml:space="preserve"> For Group C’s Medium and High facilities, we assume 1,600 hours</w:t>
      </w:r>
      <w:r w:rsidRPr="009468C0">
        <w:rPr>
          <w:rFonts w:ascii="Times New Roman" w:hAnsi="Times New Roman"/>
          <w:b/>
          <w:sz w:val="24"/>
          <w:szCs w:val="24"/>
          <w:vertAlign w:val="superscript"/>
        </w:rPr>
        <w:footnoteReference w:id="36"/>
      </w:r>
      <w:r w:rsidRPr="009468C0">
        <w:rPr>
          <w:rFonts w:ascii="Times New Roman" w:hAnsi="Times New Roman"/>
          <w:sz w:val="24"/>
          <w:szCs w:val="24"/>
        </w:rPr>
        <w:t xml:space="preserve"> per entity to modify the required policy, compliance</w:t>
      </w:r>
      <w:r w:rsidR="00EB6056">
        <w:rPr>
          <w:rFonts w:ascii="Times New Roman" w:hAnsi="Times New Roman"/>
          <w:sz w:val="24"/>
          <w:szCs w:val="24"/>
        </w:rPr>
        <w:t>,</w:t>
      </w:r>
      <w:r w:rsidRPr="009468C0">
        <w:rPr>
          <w:rFonts w:ascii="Times New Roman" w:hAnsi="Times New Roman"/>
          <w:sz w:val="24"/>
          <w:szCs w:val="24"/>
        </w:rPr>
        <w:t xml:space="preserve"> and implementation documentation, and 416 hours</w:t>
      </w:r>
      <w:r w:rsidRPr="009468C0">
        <w:rPr>
          <w:rFonts w:ascii="Times New Roman" w:hAnsi="Times New Roman"/>
          <w:b/>
          <w:sz w:val="24"/>
          <w:szCs w:val="24"/>
          <w:vertAlign w:val="superscript"/>
        </w:rPr>
        <w:footnoteReference w:id="37"/>
      </w:r>
      <w:r w:rsidRPr="009468C0">
        <w:rPr>
          <w:rFonts w:ascii="Times New Roman" w:hAnsi="Times New Roman"/>
          <w:sz w:val="24"/>
          <w:szCs w:val="24"/>
        </w:rPr>
        <w:t xml:space="preserve"> per entity for ongoing compliance. </w:t>
      </w:r>
    </w:p>
    <w:p w14:paraId="5BB79F8E" w14:textId="77777777" w:rsidR="00D47174" w:rsidRPr="009468C0" w:rsidRDefault="00D47174" w:rsidP="00951236">
      <w:pPr>
        <w:spacing w:after="0"/>
        <w:rPr>
          <w:rFonts w:ascii="Times New Roman" w:hAnsi="Times New Roman"/>
          <w:sz w:val="24"/>
          <w:szCs w:val="24"/>
        </w:rPr>
      </w:pPr>
      <w:r w:rsidRPr="009468C0">
        <w:rPr>
          <w:rFonts w:ascii="Times New Roman" w:hAnsi="Times New Roman"/>
          <w:sz w:val="24"/>
          <w:szCs w:val="24"/>
        </w:rPr>
        <w:t xml:space="preserve"> </w:t>
      </w:r>
    </w:p>
    <w:p w14:paraId="5BB79F8F" w14:textId="02864C6B" w:rsidR="00D47174" w:rsidRPr="009468C0" w:rsidRDefault="00D47174" w:rsidP="00951236">
      <w:pPr>
        <w:spacing w:after="0"/>
        <w:rPr>
          <w:rFonts w:ascii="Times New Roman" w:hAnsi="Times New Roman"/>
          <w:sz w:val="24"/>
          <w:szCs w:val="24"/>
        </w:rPr>
      </w:pPr>
      <w:r w:rsidRPr="009468C0">
        <w:rPr>
          <w:rFonts w:ascii="Times New Roman" w:hAnsi="Times New Roman"/>
          <w:sz w:val="24"/>
          <w:szCs w:val="24"/>
        </w:rPr>
        <w:t xml:space="preserve">The estimated paperwork burden changes for these entities, as contained in the </w:t>
      </w:r>
      <w:r w:rsidR="001E59F2">
        <w:rPr>
          <w:rFonts w:ascii="Times New Roman" w:hAnsi="Times New Roman"/>
          <w:sz w:val="24"/>
          <w:szCs w:val="24"/>
        </w:rPr>
        <w:t>final</w:t>
      </w:r>
      <w:r w:rsidRPr="009468C0">
        <w:rPr>
          <w:rFonts w:ascii="Times New Roman" w:hAnsi="Times New Roman"/>
          <w:sz w:val="24"/>
          <w:szCs w:val="24"/>
        </w:rPr>
        <w:t xml:space="preserve"> rule in RM13-5-000, are illustrated in the table below.  The information collection burden also varies according to the types of facilities the entities own, as classified by the criteria in CIP-002-5, Attachment 1.  To further refine our estimate, we indicate the classes of facilities each group of entities owns in the second column of the table below.</w:t>
      </w:r>
    </w:p>
    <w:p w14:paraId="5BB79F90" w14:textId="40B1AA6C" w:rsidR="004601E8" w:rsidRDefault="004601E8">
      <w:pPr>
        <w:spacing w:after="0" w:line="240" w:lineRule="auto"/>
        <w:rPr>
          <w:rFonts w:ascii="Times New Roman" w:hAnsi="Times New Roman"/>
          <w:sz w:val="24"/>
          <w:szCs w:val="24"/>
        </w:rPr>
      </w:pPr>
      <w:r>
        <w:rPr>
          <w:rFonts w:ascii="Times New Roman" w:hAnsi="Times New Roman"/>
          <w:sz w:val="24"/>
          <w:szCs w:val="24"/>
        </w:rPr>
        <w:br w:type="page"/>
      </w:r>
    </w:p>
    <w:p w14:paraId="7AE3DA81" w14:textId="77777777" w:rsidR="00D47174" w:rsidRPr="009468C0" w:rsidRDefault="00D47174" w:rsidP="00951236">
      <w:pPr>
        <w:spacing w:after="0"/>
        <w:rPr>
          <w:rFonts w:ascii="Times New Roman" w:hAnsi="Times New Roman"/>
          <w:sz w:val="24"/>
          <w:szCs w:val="24"/>
        </w:rPr>
      </w:pPr>
    </w:p>
    <w:tbl>
      <w:tblPr>
        <w:tblW w:w="9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97"/>
        <w:gridCol w:w="1925"/>
        <w:gridCol w:w="1163"/>
        <w:gridCol w:w="1514"/>
        <w:gridCol w:w="1533"/>
        <w:gridCol w:w="1509"/>
      </w:tblGrid>
      <w:tr w:rsidR="00D47174" w:rsidRPr="009468C0" w14:paraId="5BB79F97" w14:textId="77777777" w:rsidTr="00EB6056">
        <w:tc>
          <w:tcPr>
            <w:tcW w:w="1401" w:type="dxa"/>
            <w:shd w:val="clear" w:color="auto" w:fill="D9D9D9"/>
            <w:vAlign w:val="bottom"/>
          </w:tcPr>
          <w:p w14:paraId="5BB79F91" w14:textId="77777777" w:rsidR="00D47174" w:rsidRPr="009468C0" w:rsidRDefault="00D47174" w:rsidP="00951236">
            <w:pPr>
              <w:spacing w:after="0"/>
              <w:rPr>
                <w:rFonts w:ascii="Times New Roman" w:hAnsi="Times New Roman"/>
                <w:b/>
                <w:sz w:val="24"/>
                <w:szCs w:val="24"/>
              </w:rPr>
            </w:pPr>
            <w:r w:rsidRPr="009468C0">
              <w:rPr>
                <w:rFonts w:ascii="Times New Roman" w:hAnsi="Times New Roman"/>
                <w:b/>
                <w:sz w:val="24"/>
                <w:szCs w:val="24"/>
              </w:rPr>
              <w:t>Groups of Registered Entities</w:t>
            </w:r>
          </w:p>
        </w:tc>
        <w:tc>
          <w:tcPr>
            <w:tcW w:w="1947" w:type="dxa"/>
            <w:shd w:val="clear" w:color="auto" w:fill="D9D9D9"/>
            <w:vAlign w:val="bottom"/>
          </w:tcPr>
          <w:p w14:paraId="5BB79F92" w14:textId="77777777" w:rsidR="00D47174" w:rsidRPr="009468C0" w:rsidRDefault="00D47174" w:rsidP="00951236">
            <w:pPr>
              <w:spacing w:after="0"/>
              <w:rPr>
                <w:rFonts w:ascii="Times New Roman" w:hAnsi="Times New Roman"/>
                <w:b/>
                <w:sz w:val="24"/>
                <w:szCs w:val="24"/>
              </w:rPr>
            </w:pPr>
            <w:r w:rsidRPr="009468C0">
              <w:rPr>
                <w:rFonts w:ascii="Times New Roman" w:hAnsi="Times New Roman"/>
                <w:b/>
                <w:sz w:val="24"/>
                <w:szCs w:val="24"/>
              </w:rPr>
              <w:t xml:space="preserve">Classes of Entity’s Facilities Requiring </w:t>
            </w:r>
            <w:r w:rsidR="00F92E5A">
              <w:rPr>
                <w:rFonts w:ascii="Times New Roman" w:hAnsi="Times New Roman"/>
                <w:b/>
                <w:sz w:val="24"/>
                <w:szCs w:val="24"/>
              </w:rPr>
              <w:t xml:space="preserve">CIP </w:t>
            </w:r>
            <w:r w:rsidRPr="009468C0">
              <w:rPr>
                <w:rFonts w:ascii="Times New Roman" w:hAnsi="Times New Roman"/>
                <w:b/>
                <w:sz w:val="24"/>
                <w:szCs w:val="24"/>
              </w:rPr>
              <w:t>V</w:t>
            </w:r>
            <w:r w:rsidR="00F92E5A">
              <w:rPr>
                <w:rFonts w:ascii="Times New Roman" w:hAnsi="Times New Roman"/>
                <w:b/>
                <w:sz w:val="24"/>
                <w:szCs w:val="24"/>
              </w:rPr>
              <w:t xml:space="preserve">ersion </w:t>
            </w:r>
            <w:r w:rsidRPr="009468C0">
              <w:rPr>
                <w:rFonts w:ascii="Times New Roman" w:hAnsi="Times New Roman"/>
                <w:b/>
                <w:sz w:val="24"/>
                <w:szCs w:val="24"/>
              </w:rPr>
              <w:t xml:space="preserve">5 Protections </w:t>
            </w:r>
          </w:p>
        </w:tc>
        <w:tc>
          <w:tcPr>
            <w:tcW w:w="1086" w:type="dxa"/>
            <w:shd w:val="clear" w:color="auto" w:fill="D9D9D9"/>
            <w:vAlign w:val="bottom"/>
          </w:tcPr>
          <w:p w14:paraId="5BB79F93" w14:textId="77777777" w:rsidR="00D47174" w:rsidRPr="009468C0" w:rsidRDefault="00D47174" w:rsidP="00951236">
            <w:pPr>
              <w:spacing w:after="0"/>
              <w:rPr>
                <w:rFonts w:ascii="Times New Roman" w:hAnsi="Times New Roman"/>
                <w:b/>
                <w:sz w:val="24"/>
                <w:szCs w:val="24"/>
              </w:rPr>
            </w:pPr>
            <w:r w:rsidRPr="009468C0">
              <w:rPr>
                <w:rFonts w:ascii="Times New Roman" w:hAnsi="Times New Roman"/>
                <w:b/>
                <w:sz w:val="24"/>
                <w:szCs w:val="24"/>
              </w:rPr>
              <w:t>Number of Entities</w:t>
            </w:r>
            <w:r w:rsidR="006D0ABE" w:rsidRPr="006D0ABE">
              <w:rPr>
                <w:rStyle w:val="FootnoteReference"/>
                <w:rFonts w:ascii="Times New Roman" w:hAnsi="Times New Roman"/>
                <w:b/>
                <w:sz w:val="24"/>
                <w:szCs w:val="24"/>
                <w:vertAlign w:val="superscript"/>
              </w:rPr>
              <w:footnoteReference w:id="38"/>
            </w:r>
          </w:p>
        </w:tc>
        <w:tc>
          <w:tcPr>
            <w:tcW w:w="1530" w:type="dxa"/>
            <w:shd w:val="clear" w:color="auto" w:fill="D9D9D9"/>
            <w:vAlign w:val="bottom"/>
          </w:tcPr>
          <w:p w14:paraId="5BB79F94" w14:textId="77777777" w:rsidR="00D47174" w:rsidRPr="009468C0" w:rsidRDefault="00D47174" w:rsidP="00FE7140">
            <w:pPr>
              <w:spacing w:after="0"/>
              <w:rPr>
                <w:rFonts w:ascii="Times New Roman" w:hAnsi="Times New Roman"/>
                <w:b/>
                <w:sz w:val="24"/>
                <w:szCs w:val="24"/>
              </w:rPr>
            </w:pPr>
            <w:r w:rsidRPr="009468C0">
              <w:rPr>
                <w:rFonts w:ascii="Times New Roman" w:hAnsi="Times New Roman"/>
                <w:b/>
                <w:sz w:val="24"/>
                <w:szCs w:val="24"/>
              </w:rPr>
              <w:t>Total Hours in Year 1</w:t>
            </w:r>
            <w:r w:rsidR="00910214">
              <w:rPr>
                <w:rFonts w:ascii="Times New Roman" w:hAnsi="Times New Roman"/>
                <w:b/>
                <w:sz w:val="24"/>
                <w:szCs w:val="24"/>
              </w:rPr>
              <w:t xml:space="preserve"> (h</w:t>
            </w:r>
            <w:r w:rsidR="00FE7140">
              <w:rPr>
                <w:rFonts w:ascii="Times New Roman" w:hAnsi="Times New Roman"/>
                <w:b/>
                <w:sz w:val="24"/>
                <w:szCs w:val="24"/>
              </w:rPr>
              <w:t>ou</w:t>
            </w:r>
            <w:r w:rsidR="00910214">
              <w:rPr>
                <w:rFonts w:ascii="Times New Roman" w:hAnsi="Times New Roman"/>
                <w:b/>
                <w:sz w:val="24"/>
                <w:szCs w:val="24"/>
              </w:rPr>
              <w:t>rs)</w:t>
            </w:r>
            <w:r w:rsidR="001D5ABC" w:rsidRPr="001D5ABC">
              <w:rPr>
                <w:rStyle w:val="FootnoteReference"/>
                <w:rFonts w:ascii="Times New Roman" w:hAnsi="Times New Roman"/>
                <w:b/>
                <w:sz w:val="24"/>
                <w:szCs w:val="24"/>
                <w:vertAlign w:val="superscript"/>
              </w:rPr>
              <w:footnoteReference w:id="39"/>
            </w:r>
          </w:p>
        </w:tc>
        <w:tc>
          <w:tcPr>
            <w:tcW w:w="1547" w:type="dxa"/>
            <w:shd w:val="clear" w:color="auto" w:fill="D9D9D9"/>
            <w:vAlign w:val="bottom"/>
          </w:tcPr>
          <w:p w14:paraId="5BB79F95" w14:textId="77777777" w:rsidR="00D47174" w:rsidRPr="009468C0" w:rsidRDefault="00D47174" w:rsidP="00FE7140">
            <w:pPr>
              <w:spacing w:after="0"/>
              <w:rPr>
                <w:rFonts w:ascii="Times New Roman" w:hAnsi="Times New Roman"/>
                <w:b/>
                <w:sz w:val="24"/>
                <w:szCs w:val="24"/>
              </w:rPr>
            </w:pPr>
            <w:r w:rsidRPr="009468C0">
              <w:rPr>
                <w:rFonts w:ascii="Times New Roman" w:hAnsi="Times New Roman"/>
                <w:b/>
                <w:sz w:val="24"/>
                <w:szCs w:val="24"/>
              </w:rPr>
              <w:t>Total Hours in Year 2</w:t>
            </w:r>
            <w:r w:rsidR="00910214">
              <w:rPr>
                <w:rFonts w:ascii="Times New Roman" w:hAnsi="Times New Roman"/>
                <w:b/>
                <w:sz w:val="24"/>
                <w:szCs w:val="24"/>
              </w:rPr>
              <w:t xml:space="preserve"> (h</w:t>
            </w:r>
            <w:r w:rsidR="00FE7140">
              <w:rPr>
                <w:rFonts w:ascii="Times New Roman" w:hAnsi="Times New Roman"/>
                <w:b/>
                <w:sz w:val="24"/>
                <w:szCs w:val="24"/>
              </w:rPr>
              <w:t>ou</w:t>
            </w:r>
            <w:r w:rsidR="00910214">
              <w:rPr>
                <w:rFonts w:ascii="Times New Roman" w:hAnsi="Times New Roman"/>
                <w:b/>
                <w:sz w:val="24"/>
                <w:szCs w:val="24"/>
              </w:rPr>
              <w:t>rs)</w:t>
            </w:r>
          </w:p>
        </w:tc>
        <w:tc>
          <w:tcPr>
            <w:tcW w:w="1530" w:type="dxa"/>
            <w:shd w:val="clear" w:color="auto" w:fill="D9D9D9"/>
            <w:vAlign w:val="bottom"/>
          </w:tcPr>
          <w:p w14:paraId="5BB79F96" w14:textId="77777777" w:rsidR="00D47174" w:rsidRPr="009468C0" w:rsidRDefault="00D47174" w:rsidP="00951236">
            <w:pPr>
              <w:spacing w:after="0"/>
              <w:rPr>
                <w:rFonts w:ascii="Times New Roman" w:hAnsi="Times New Roman"/>
                <w:b/>
                <w:sz w:val="24"/>
                <w:szCs w:val="24"/>
              </w:rPr>
            </w:pPr>
            <w:r w:rsidRPr="009468C0">
              <w:rPr>
                <w:rFonts w:ascii="Times New Roman" w:hAnsi="Times New Roman"/>
                <w:b/>
                <w:sz w:val="24"/>
                <w:szCs w:val="24"/>
              </w:rPr>
              <w:t>Total Hours in Year 3</w:t>
            </w:r>
            <w:r w:rsidR="00910214">
              <w:rPr>
                <w:rFonts w:ascii="Times New Roman" w:hAnsi="Times New Roman"/>
                <w:b/>
                <w:sz w:val="24"/>
                <w:szCs w:val="24"/>
              </w:rPr>
              <w:t xml:space="preserve"> (h</w:t>
            </w:r>
            <w:r w:rsidR="00FE7140">
              <w:rPr>
                <w:rFonts w:ascii="Times New Roman" w:hAnsi="Times New Roman"/>
                <w:b/>
                <w:sz w:val="24"/>
                <w:szCs w:val="24"/>
              </w:rPr>
              <w:t>ou</w:t>
            </w:r>
            <w:r w:rsidR="00910214">
              <w:rPr>
                <w:rFonts w:ascii="Times New Roman" w:hAnsi="Times New Roman"/>
                <w:b/>
                <w:sz w:val="24"/>
                <w:szCs w:val="24"/>
              </w:rPr>
              <w:t>rs)</w:t>
            </w:r>
          </w:p>
        </w:tc>
      </w:tr>
      <w:tr w:rsidR="00D47174" w:rsidRPr="009468C0" w14:paraId="5BB79F9E" w14:textId="77777777" w:rsidTr="00EB6056">
        <w:tc>
          <w:tcPr>
            <w:tcW w:w="1401" w:type="dxa"/>
          </w:tcPr>
          <w:p w14:paraId="5BB79F98" w14:textId="77777777" w:rsidR="00D47174" w:rsidRPr="009468C0" w:rsidRDefault="00D47174" w:rsidP="00951236">
            <w:pPr>
              <w:spacing w:after="0"/>
              <w:rPr>
                <w:rFonts w:ascii="Times New Roman" w:hAnsi="Times New Roman"/>
                <w:sz w:val="24"/>
                <w:szCs w:val="24"/>
              </w:rPr>
            </w:pPr>
            <w:r w:rsidRPr="009468C0">
              <w:rPr>
                <w:rFonts w:ascii="Times New Roman" w:hAnsi="Times New Roman"/>
                <w:sz w:val="24"/>
                <w:szCs w:val="24"/>
              </w:rPr>
              <w:t>Group A</w:t>
            </w:r>
          </w:p>
        </w:tc>
        <w:tc>
          <w:tcPr>
            <w:tcW w:w="1947" w:type="dxa"/>
          </w:tcPr>
          <w:p w14:paraId="5BB79F99" w14:textId="77777777" w:rsidR="00D47174" w:rsidRPr="009468C0" w:rsidRDefault="00D47174" w:rsidP="00951236">
            <w:pPr>
              <w:spacing w:after="0"/>
              <w:rPr>
                <w:rFonts w:ascii="Times New Roman" w:hAnsi="Times New Roman"/>
                <w:sz w:val="24"/>
                <w:szCs w:val="24"/>
              </w:rPr>
            </w:pPr>
            <w:r w:rsidRPr="009468C0">
              <w:rPr>
                <w:rFonts w:ascii="Times New Roman" w:hAnsi="Times New Roman"/>
                <w:sz w:val="24"/>
                <w:szCs w:val="24"/>
              </w:rPr>
              <w:t>Low</w:t>
            </w:r>
            <w:r w:rsidRPr="009468C0">
              <w:rPr>
                <w:rFonts w:ascii="Times New Roman" w:hAnsi="Times New Roman"/>
                <w:b/>
                <w:sz w:val="24"/>
                <w:szCs w:val="24"/>
                <w:vertAlign w:val="superscript"/>
              </w:rPr>
              <w:footnoteReference w:id="40"/>
            </w:r>
          </w:p>
        </w:tc>
        <w:tc>
          <w:tcPr>
            <w:tcW w:w="1086" w:type="dxa"/>
            <w:vAlign w:val="bottom"/>
          </w:tcPr>
          <w:p w14:paraId="5BB79F9A" w14:textId="77777777" w:rsidR="00D47174" w:rsidRPr="009468C0" w:rsidRDefault="00D47174" w:rsidP="009468C0">
            <w:pPr>
              <w:spacing w:after="0"/>
              <w:jc w:val="right"/>
              <w:rPr>
                <w:rFonts w:ascii="Times New Roman" w:hAnsi="Times New Roman"/>
                <w:sz w:val="24"/>
                <w:szCs w:val="24"/>
              </w:rPr>
            </w:pPr>
            <w:r w:rsidRPr="009468C0">
              <w:rPr>
                <w:rFonts w:ascii="Times New Roman" w:hAnsi="Times New Roman"/>
                <w:sz w:val="24"/>
                <w:szCs w:val="24"/>
              </w:rPr>
              <w:t>61</w:t>
            </w:r>
          </w:p>
        </w:tc>
        <w:tc>
          <w:tcPr>
            <w:tcW w:w="1530" w:type="dxa"/>
            <w:vAlign w:val="bottom"/>
          </w:tcPr>
          <w:p w14:paraId="5BB79F9B" w14:textId="77777777" w:rsidR="00D47174" w:rsidRPr="009468C0" w:rsidRDefault="00D47174" w:rsidP="009468C0">
            <w:pPr>
              <w:spacing w:after="0"/>
              <w:jc w:val="right"/>
              <w:rPr>
                <w:rFonts w:ascii="Times New Roman" w:hAnsi="Times New Roman"/>
                <w:sz w:val="24"/>
                <w:szCs w:val="24"/>
              </w:rPr>
            </w:pPr>
            <w:r w:rsidRPr="009468C0">
              <w:rPr>
                <w:rFonts w:ascii="Times New Roman" w:hAnsi="Times New Roman"/>
                <w:sz w:val="24"/>
                <w:szCs w:val="24"/>
              </w:rPr>
              <w:t>0</w:t>
            </w:r>
          </w:p>
        </w:tc>
        <w:tc>
          <w:tcPr>
            <w:tcW w:w="1547" w:type="dxa"/>
            <w:vAlign w:val="bottom"/>
          </w:tcPr>
          <w:p w14:paraId="5BB79F9C" w14:textId="77777777" w:rsidR="00D47174" w:rsidRPr="009468C0" w:rsidRDefault="001D5ABC" w:rsidP="009468C0">
            <w:pPr>
              <w:spacing w:after="0"/>
              <w:jc w:val="right"/>
              <w:rPr>
                <w:rFonts w:ascii="Times New Roman" w:hAnsi="Times New Roman"/>
                <w:sz w:val="24"/>
                <w:szCs w:val="24"/>
              </w:rPr>
            </w:pPr>
            <w:r>
              <w:rPr>
                <w:rFonts w:ascii="Times New Roman" w:hAnsi="Times New Roman"/>
                <w:sz w:val="24"/>
                <w:szCs w:val="24"/>
              </w:rPr>
              <w:t>3,804</w:t>
            </w:r>
          </w:p>
        </w:tc>
        <w:tc>
          <w:tcPr>
            <w:tcW w:w="1530" w:type="dxa"/>
            <w:vAlign w:val="bottom"/>
          </w:tcPr>
          <w:p w14:paraId="5BB79F9D" w14:textId="77777777" w:rsidR="00D47174" w:rsidRPr="009468C0" w:rsidRDefault="00D47174" w:rsidP="001D5ABC">
            <w:pPr>
              <w:spacing w:after="0"/>
              <w:jc w:val="right"/>
              <w:rPr>
                <w:rFonts w:ascii="Times New Roman" w:hAnsi="Times New Roman"/>
                <w:sz w:val="24"/>
                <w:szCs w:val="24"/>
              </w:rPr>
            </w:pPr>
            <w:r w:rsidRPr="009468C0">
              <w:rPr>
                <w:rFonts w:ascii="Times New Roman" w:hAnsi="Times New Roman"/>
                <w:sz w:val="24"/>
                <w:szCs w:val="24"/>
              </w:rPr>
              <w:t xml:space="preserve">3,804 </w:t>
            </w:r>
          </w:p>
        </w:tc>
      </w:tr>
      <w:tr w:rsidR="00D47174" w:rsidRPr="009468C0" w14:paraId="5BB79FA5" w14:textId="77777777" w:rsidTr="00EB6056">
        <w:tc>
          <w:tcPr>
            <w:tcW w:w="1401" w:type="dxa"/>
          </w:tcPr>
          <w:p w14:paraId="5BB79F9F" w14:textId="77777777" w:rsidR="00D47174" w:rsidRPr="009468C0" w:rsidRDefault="00D47174" w:rsidP="00951236">
            <w:pPr>
              <w:spacing w:after="0"/>
              <w:rPr>
                <w:rFonts w:ascii="Times New Roman" w:hAnsi="Times New Roman"/>
                <w:sz w:val="24"/>
                <w:szCs w:val="24"/>
              </w:rPr>
            </w:pPr>
            <w:r w:rsidRPr="009468C0">
              <w:rPr>
                <w:rFonts w:ascii="Times New Roman" w:hAnsi="Times New Roman"/>
                <w:sz w:val="24"/>
                <w:szCs w:val="24"/>
              </w:rPr>
              <w:t>Group B</w:t>
            </w:r>
          </w:p>
        </w:tc>
        <w:tc>
          <w:tcPr>
            <w:tcW w:w="1947" w:type="dxa"/>
          </w:tcPr>
          <w:p w14:paraId="5BB79FA0" w14:textId="77777777" w:rsidR="00D47174" w:rsidRPr="009468C0" w:rsidRDefault="00D47174" w:rsidP="00951236">
            <w:pPr>
              <w:spacing w:after="0"/>
              <w:rPr>
                <w:rFonts w:ascii="Times New Roman" w:hAnsi="Times New Roman"/>
                <w:sz w:val="24"/>
                <w:szCs w:val="24"/>
              </w:rPr>
            </w:pPr>
            <w:r w:rsidRPr="009468C0">
              <w:rPr>
                <w:rFonts w:ascii="Times New Roman" w:hAnsi="Times New Roman"/>
                <w:sz w:val="24"/>
                <w:szCs w:val="24"/>
              </w:rPr>
              <w:t>Low</w:t>
            </w:r>
            <w:r w:rsidRPr="009468C0">
              <w:rPr>
                <w:rFonts w:ascii="Times New Roman" w:hAnsi="Times New Roman"/>
                <w:b/>
                <w:sz w:val="24"/>
                <w:szCs w:val="24"/>
                <w:vertAlign w:val="superscript"/>
              </w:rPr>
              <w:footnoteReference w:id="41"/>
            </w:r>
          </w:p>
        </w:tc>
        <w:tc>
          <w:tcPr>
            <w:tcW w:w="1086" w:type="dxa"/>
            <w:vAlign w:val="bottom"/>
          </w:tcPr>
          <w:p w14:paraId="5BB79FA1" w14:textId="77777777" w:rsidR="00D47174" w:rsidRPr="009468C0" w:rsidRDefault="00D47174" w:rsidP="009468C0">
            <w:pPr>
              <w:spacing w:after="0"/>
              <w:jc w:val="right"/>
              <w:rPr>
                <w:rFonts w:ascii="Times New Roman" w:hAnsi="Times New Roman"/>
                <w:sz w:val="24"/>
                <w:szCs w:val="24"/>
              </w:rPr>
            </w:pPr>
            <w:r w:rsidRPr="009468C0">
              <w:rPr>
                <w:rFonts w:ascii="Times New Roman" w:hAnsi="Times New Roman"/>
                <w:sz w:val="24"/>
                <w:szCs w:val="24"/>
              </w:rPr>
              <w:t>1,089</w:t>
            </w:r>
          </w:p>
        </w:tc>
        <w:tc>
          <w:tcPr>
            <w:tcW w:w="1530" w:type="dxa"/>
            <w:vAlign w:val="bottom"/>
          </w:tcPr>
          <w:p w14:paraId="5BB79FA2" w14:textId="77777777" w:rsidR="00D47174" w:rsidRPr="009468C0" w:rsidRDefault="00D47174" w:rsidP="009468C0">
            <w:pPr>
              <w:spacing w:after="0"/>
              <w:jc w:val="right"/>
              <w:rPr>
                <w:rFonts w:ascii="Times New Roman" w:hAnsi="Times New Roman"/>
                <w:sz w:val="24"/>
                <w:szCs w:val="24"/>
              </w:rPr>
            </w:pPr>
            <w:r w:rsidRPr="009468C0">
              <w:rPr>
                <w:rFonts w:ascii="Times New Roman" w:hAnsi="Times New Roman"/>
                <w:sz w:val="24"/>
                <w:szCs w:val="24"/>
              </w:rPr>
              <w:t>0</w:t>
            </w:r>
          </w:p>
        </w:tc>
        <w:tc>
          <w:tcPr>
            <w:tcW w:w="1547" w:type="dxa"/>
            <w:vAlign w:val="bottom"/>
          </w:tcPr>
          <w:p w14:paraId="5BB79FA3" w14:textId="77777777" w:rsidR="00D47174" w:rsidRPr="009468C0" w:rsidRDefault="001D5ABC" w:rsidP="009468C0">
            <w:pPr>
              <w:spacing w:after="0"/>
              <w:jc w:val="right"/>
              <w:rPr>
                <w:rFonts w:ascii="Times New Roman" w:hAnsi="Times New Roman"/>
                <w:sz w:val="24"/>
                <w:szCs w:val="24"/>
              </w:rPr>
            </w:pPr>
            <w:r>
              <w:rPr>
                <w:rFonts w:ascii="Times New Roman" w:hAnsi="Times New Roman"/>
                <w:sz w:val="24"/>
                <w:szCs w:val="24"/>
              </w:rPr>
              <w:t>570,636</w:t>
            </w:r>
          </w:p>
        </w:tc>
        <w:tc>
          <w:tcPr>
            <w:tcW w:w="1530" w:type="dxa"/>
            <w:vAlign w:val="bottom"/>
          </w:tcPr>
          <w:p w14:paraId="5BB79FA4" w14:textId="77777777" w:rsidR="00D47174" w:rsidRPr="009468C0" w:rsidRDefault="00D47174" w:rsidP="001D5ABC">
            <w:pPr>
              <w:spacing w:after="0"/>
              <w:jc w:val="right"/>
              <w:rPr>
                <w:rFonts w:ascii="Times New Roman" w:hAnsi="Times New Roman"/>
                <w:sz w:val="24"/>
                <w:szCs w:val="24"/>
              </w:rPr>
            </w:pPr>
            <w:r w:rsidRPr="009468C0">
              <w:rPr>
                <w:rFonts w:ascii="Times New Roman" w:hAnsi="Times New Roman"/>
                <w:sz w:val="24"/>
                <w:szCs w:val="24"/>
              </w:rPr>
              <w:t>570,636</w:t>
            </w:r>
          </w:p>
        </w:tc>
      </w:tr>
      <w:tr w:rsidR="00D47174" w:rsidRPr="009468C0" w14:paraId="5BB79FAC" w14:textId="77777777" w:rsidTr="00EB6056">
        <w:tc>
          <w:tcPr>
            <w:tcW w:w="1401" w:type="dxa"/>
          </w:tcPr>
          <w:p w14:paraId="5BB79FA6" w14:textId="77777777" w:rsidR="00D47174" w:rsidRPr="009468C0" w:rsidRDefault="00D47174" w:rsidP="00951236">
            <w:pPr>
              <w:spacing w:after="0"/>
              <w:rPr>
                <w:rFonts w:ascii="Times New Roman" w:hAnsi="Times New Roman"/>
                <w:sz w:val="24"/>
                <w:szCs w:val="24"/>
              </w:rPr>
            </w:pPr>
            <w:r w:rsidRPr="009468C0">
              <w:rPr>
                <w:rFonts w:ascii="Times New Roman" w:hAnsi="Times New Roman"/>
                <w:sz w:val="24"/>
                <w:szCs w:val="24"/>
              </w:rPr>
              <w:t>Group B</w:t>
            </w:r>
          </w:p>
        </w:tc>
        <w:tc>
          <w:tcPr>
            <w:tcW w:w="1947" w:type="dxa"/>
          </w:tcPr>
          <w:p w14:paraId="5BB79FA7" w14:textId="77777777" w:rsidR="00D47174" w:rsidRPr="009468C0" w:rsidRDefault="00D47174" w:rsidP="00951236">
            <w:pPr>
              <w:spacing w:after="0"/>
              <w:rPr>
                <w:rFonts w:ascii="Times New Roman" w:hAnsi="Times New Roman"/>
                <w:sz w:val="24"/>
                <w:szCs w:val="24"/>
              </w:rPr>
            </w:pPr>
            <w:r w:rsidRPr="009468C0">
              <w:rPr>
                <w:rFonts w:ascii="Times New Roman" w:hAnsi="Times New Roman"/>
                <w:sz w:val="24"/>
                <w:szCs w:val="24"/>
              </w:rPr>
              <w:t>Medium</w:t>
            </w:r>
            <w:r w:rsidRPr="009468C0">
              <w:rPr>
                <w:rFonts w:ascii="Times New Roman" w:hAnsi="Times New Roman"/>
                <w:b/>
                <w:sz w:val="24"/>
                <w:szCs w:val="24"/>
                <w:vertAlign w:val="superscript"/>
              </w:rPr>
              <w:footnoteReference w:id="42"/>
            </w:r>
          </w:p>
        </w:tc>
        <w:tc>
          <w:tcPr>
            <w:tcW w:w="1086" w:type="dxa"/>
            <w:vAlign w:val="bottom"/>
          </w:tcPr>
          <w:p w14:paraId="5BB79FA8" w14:textId="77777777" w:rsidR="00D47174" w:rsidRPr="009468C0" w:rsidRDefault="00D47174" w:rsidP="009468C0">
            <w:pPr>
              <w:spacing w:after="0"/>
              <w:jc w:val="right"/>
              <w:rPr>
                <w:rFonts w:ascii="Times New Roman" w:hAnsi="Times New Roman"/>
                <w:sz w:val="24"/>
                <w:szCs w:val="24"/>
              </w:rPr>
            </w:pPr>
            <w:r w:rsidRPr="009468C0">
              <w:rPr>
                <w:rFonts w:ascii="Times New Roman" w:hAnsi="Times New Roman"/>
                <w:sz w:val="24"/>
                <w:szCs w:val="24"/>
              </w:rPr>
              <w:t>260</w:t>
            </w:r>
          </w:p>
        </w:tc>
        <w:tc>
          <w:tcPr>
            <w:tcW w:w="1530" w:type="dxa"/>
            <w:vAlign w:val="bottom"/>
          </w:tcPr>
          <w:p w14:paraId="5BB79FA9" w14:textId="77777777" w:rsidR="00D47174" w:rsidRPr="009468C0" w:rsidRDefault="00D47174" w:rsidP="009468C0">
            <w:pPr>
              <w:spacing w:after="0"/>
              <w:jc w:val="right"/>
              <w:rPr>
                <w:rFonts w:ascii="Times New Roman" w:hAnsi="Times New Roman"/>
                <w:sz w:val="24"/>
                <w:szCs w:val="24"/>
              </w:rPr>
            </w:pPr>
            <w:r w:rsidRPr="009468C0">
              <w:rPr>
                <w:rFonts w:ascii="Times New Roman" w:hAnsi="Times New Roman"/>
                <w:sz w:val="24"/>
                <w:szCs w:val="24"/>
              </w:rPr>
              <w:t>128,960</w:t>
            </w:r>
          </w:p>
        </w:tc>
        <w:tc>
          <w:tcPr>
            <w:tcW w:w="1547" w:type="dxa"/>
            <w:vAlign w:val="bottom"/>
          </w:tcPr>
          <w:p w14:paraId="5BB79FAA" w14:textId="77777777" w:rsidR="00D47174" w:rsidRPr="009468C0" w:rsidRDefault="00D47174" w:rsidP="001D5ABC">
            <w:pPr>
              <w:spacing w:after="0"/>
              <w:jc w:val="right"/>
              <w:rPr>
                <w:rFonts w:ascii="Times New Roman" w:hAnsi="Times New Roman"/>
                <w:sz w:val="24"/>
                <w:szCs w:val="24"/>
              </w:rPr>
            </w:pPr>
            <w:r w:rsidRPr="009468C0">
              <w:rPr>
                <w:rFonts w:ascii="Times New Roman" w:hAnsi="Times New Roman"/>
                <w:sz w:val="24"/>
                <w:szCs w:val="24"/>
              </w:rPr>
              <w:t>128,960</w:t>
            </w:r>
          </w:p>
        </w:tc>
        <w:tc>
          <w:tcPr>
            <w:tcW w:w="1530" w:type="dxa"/>
            <w:vAlign w:val="bottom"/>
          </w:tcPr>
          <w:p w14:paraId="5BB79FAB" w14:textId="77777777" w:rsidR="00D47174" w:rsidRPr="009468C0" w:rsidRDefault="00D47174" w:rsidP="001D5ABC">
            <w:pPr>
              <w:spacing w:after="0"/>
              <w:jc w:val="right"/>
              <w:rPr>
                <w:rFonts w:ascii="Times New Roman" w:hAnsi="Times New Roman"/>
                <w:sz w:val="24"/>
                <w:szCs w:val="24"/>
              </w:rPr>
            </w:pPr>
            <w:r w:rsidRPr="009468C0">
              <w:rPr>
                <w:rFonts w:ascii="Times New Roman" w:hAnsi="Times New Roman"/>
                <w:sz w:val="24"/>
                <w:szCs w:val="24"/>
              </w:rPr>
              <w:t>64,896</w:t>
            </w:r>
          </w:p>
        </w:tc>
      </w:tr>
      <w:tr w:rsidR="00D47174" w:rsidRPr="009468C0" w14:paraId="5BB79FB3" w14:textId="77777777" w:rsidTr="00EB6056">
        <w:tc>
          <w:tcPr>
            <w:tcW w:w="1401" w:type="dxa"/>
          </w:tcPr>
          <w:p w14:paraId="5BB79FAD" w14:textId="77777777" w:rsidR="00D47174" w:rsidRPr="009468C0" w:rsidRDefault="00D47174" w:rsidP="00951236">
            <w:pPr>
              <w:spacing w:after="0"/>
              <w:rPr>
                <w:rFonts w:ascii="Times New Roman" w:hAnsi="Times New Roman"/>
                <w:sz w:val="24"/>
                <w:szCs w:val="24"/>
              </w:rPr>
            </w:pPr>
            <w:r w:rsidRPr="009468C0">
              <w:rPr>
                <w:rFonts w:ascii="Times New Roman" w:hAnsi="Times New Roman"/>
                <w:sz w:val="24"/>
                <w:szCs w:val="24"/>
              </w:rPr>
              <w:t>Group C</w:t>
            </w:r>
          </w:p>
        </w:tc>
        <w:tc>
          <w:tcPr>
            <w:tcW w:w="1947" w:type="dxa"/>
          </w:tcPr>
          <w:p w14:paraId="5BB79FAE" w14:textId="77777777" w:rsidR="00D47174" w:rsidRPr="009468C0" w:rsidRDefault="00D47174" w:rsidP="00951236">
            <w:pPr>
              <w:spacing w:after="0"/>
              <w:rPr>
                <w:rFonts w:ascii="Times New Roman" w:hAnsi="Times New Roman"/>
                <w:sz w:val="24"/>
                <w:szCs w:val="24"/>
              </w:rPr>
            </w:pPr>
            <w:r w:rsidRPr="009468C0">
              <w:rPr>
                <w:rFonts w:ascii="Times New Roman" w:hAnsi="Times New Roman"/>
                <w:sz w:val="24"/>
                <w:szCs w:val="24"/>
              </w:rPr>
              <w:t>Low</w:t>
            </w:r>
            <w:r w:rsidRPr="009468C0">
              <w:rPr>
                <w:rFonts w:ascii="Times New Roman" w:hAnsi="Times New Roman"/>
                <w:b/>
                <w:sz w:val="24"/>
                <w:szCs w:val="24"/>
                <w:vertAlign w:val="superscript"/>
              </w:rPr>
              <w:footnoteReference w:id="43"/>
            </w:r>
          </w:p>
        </w:tc>
        <w:tc>
          <w:tcPr>
            <w:tcW w:w="1086" w:type="dxa"/>
            <w:vAlign w:val="bottom"/>
          </w:tcPr>
          <w:p w14:paraId="5BB79FAF" w14:textId="77777777" w:rsidR="00D47174" w:rsidRPr="009468C0" w:rsidRDefault="00D47174" w:rsidP="009468C0">
            <w:pPr>
              <w:spacing w:after="0"/>
              <w:jc w:val="right"/>
              <w:rPr>
                <w:rFonts w:ascii="Times New Roman" w:hAnsi="Times New Roman"/>
                <w:sz w:val="24"/>
                <w:szCs w:val="24"/>
              </w:rPr>
            </w:pPr>
            <w:r w:rsidRPr="009468C0">
              <w:rPr>
                <w:rFonts w:ascii="Times New Roman" w:hAnsi="Times New Roman"/>
                <w:sz w:val="24"/>
                <w:szCs w:val="24"/>
              </w:rPr>
              <w:t>325</w:t>
            </w:r>
          </w:p>
        </w:tc>
        <w:tc>
          <w:tcPr>
            <w:tcW w:w="1530" w:type="dxa"/>
            <w:vAlign w:val="bottom"/>
          </w:tcPr>
          <w:p w14:paraId="5BB79FB0" w14:textId="77777777" w:rsidR="00D47174" w:rsidRPr="009468C0" w:rsidRDefault="00D47174" w:rsidP="009468C0">
            <w:pPr>
              <w:spacing w:after="0"/>
              <w:jc w:val="right"/>
              <w:rPr>
                <w:rFonts w:ascii="Times New Roman" w:hAnsi="Times New Roman"/>
                <w:sz w:val="24"/>
                <w:szCs w:val="24"/>
              </w:rPr>
            </w:pPr>
            <w:r w:rsidRPr="009468C0">
              <w:rPr>
                <w:rFonts w:ascii="Times New Roman" w:hAnsi="Times New Roman"/>
                <w:sz w:val="24"/>
                <w:szCs w:val="24"/>
              </w:rPr>
              <w:t>0</w:t>
            </w:r>
          </w:p>
        </w:tc>
        <w:tc>
          <w:tcPr>
            <w:tcW w:w="1547" w:type="dxa"/>
            <w:vAlign w:val="bottom"/>
          </w:tcPr>
          <w:p w14:paraId="5BB79FB1" w14:textId="77777777" w:rsidR="00D47174" w:rsidRPr="009468C0" w:rsidRDefault="00D47174" w:rsidP="001D5ABC">
            <w:pPr>
              <w:spacing w:after="0"/>
              <w:jc w:val="right"/>
              <w:rPr>
                <w:rFonts w:ascii="Times New Roman" w:hAnsi="Times New Roman"/>
                <w:sz w:val="24"/>
                <w:szCs w:val="24"/>
              </w:rPr>
            </w:pPr>
            <w:r w:rsidRPr="009468C0">
              <w:rPr>
                <w:rFonts w:ascii="Times New Roman" w:hAnsi="Times New Roman"/>
                <w:sz w:val="24"/>
                <w:szCs w:val="24"/>
              </w:rPr>
              <w:t xml:space="preserve">170,300 </w:t>
            </w:r>
          </w:p>
        </w:tc>
        <w:tc>
          <w:tcPr>
            <w:tcW w:w="1530" w:type="dxa"/>
            <w:vAlign w:val="bottom"/>
          </w:tcPr>
          <w:p w14:paraId="5BB79FB2" w14:textId="77777777" w:rsidR="00D47174" w:rsidRPr="009468C0" w:rsidRDefault="00D47174" w:rsidP="001D5ABC">
            <w:pPr>
              <w:spacing w:after="0"/>
              <w:jc w:val="right"/>
              <w:rPr>
                <w:rFonts w:ascii="Times New Roman" w:hAnsi="Times New Roman"/>
                <w:sz w:val="24"/>
                <w:szCs w:val="24"/>
              </w:rPr>
            </w:pPr>
            <w:r w:rsidRPr="009468C0">
              <w:rPr>
                <w:rFonts w:ascii="Times New Roman" w:hAnsi="Times New Roman"/>
                <w:sz w:val="24"/>
                <w:szCs w:val="24"/>
              </w:rPr>
              <w:t xml:space="preserve">170,300 </w:t>
            </w:r>
          </w:p>
        </w:tc>
      </w:tr>
      <w:tr w:rsidR="00D47174" w:rsidRPr="009468C0" w14:paraId="5BB79FBA" w14:textId="77777777" w:rsidTr="00EB6056">
        <w:tc>
          <w:tcPr>
            <w:tcW w:w="1401" w:type="dxa"/>
          </w:tcPr>
          <w:p w14:paraId="5BB79FB4" w14:textId="77777777" w:rsidR="00D47174" w:rsidRPr="009468C0" w:rsidRDefault="00D47174" w:rsidP="00951236">
            <w:pPr>
              <w:spacing w:after="0"/>
              <w:rPr>
                <w:rFonts w:ascii="Times New Roman" w:hAnsi="Times New Roman"/>
                <w:sz w:val="24"/>
                <w:szCs w:val="24"/>
              </w:rPr>
            </w:pPr>
            <w:r w:rsidRPr="009468C0">
              <w:rPr>
                <w:rFonts w:ascii="Times New Roman" w:hAnsi="Times New Roman"/>
                <w:sz w:val="24"/>
                <w:szCs w:val="24"/>
              </w:rPr>
              <w:t>Group C</w:t>
            </w:r>
          </w:p>
        </w:tc>
        <w:tc>
          <w:tcPr>
            <w:tcW w:w="1947" w:type="dxa"/>
          </w:tcPr>
          <w:p w14:paraId="5BB79FB5" w14:textId="77777777" w:rsidR="00D47174" w:rsidRPr="009468C0" w:rsidRDefault="00D47174" w:rsidP="00EB6056">
            <w:pPr>
              <w:spacing w:after="0"/>
              <w:rPr>
                <w:rFonts w:ascii="Times New Roman" w:hAnsi="Times New Roman"/>
                <w:sz w:val="24"/>
                <w:szCs w:val="24"/>
              </w:rPr>
            </w:pPr>
            <w:r w:rsidRPr="009468C0">
              <w:rPr>
                <w:rFonts w:ascii="Times New Roman" w:hAnsi="Times New Roman"/>
                <w:sz w:val="24"/>
                <w:szCs w:val="24"/>
              </w:rPr>
              <w:t>Medium (New)</w:t>
            </w:r>
            <w:r w:rsidR="00EB6056" w:rsidRPr="009468C0">
              <w:rPr>
                <w:rFonts w:ascii="Times New Roman" w:hAnsi="Times New Roman"/>
                <w:b/>
                <w:sz w:val="24"/>
                <w:szCs w:val="24"/>
                <w:vertAlign w:val="superscript"/>
              </w:rPr>
              <w:t xml:space="preserve"> </w:t>
            </w:r>
            <w:r w:rsidR="00EB6056" w:rsidRPr="009468C0">
              <w:rPr>
                <w:rFonts w:ascii="Times New Roman" w:hAnsi="Times New Roman"/>
                <w:b/>
                <w:sz w:val="24"/>
                <w:szCs w:val="24"/>
                <w:vertAlign w:val="superscript"/>
              </w:rPr>
              <w:footnoteReference w:id="44"/>
            </w:r>
          </w:p>
        </w:tc>
        <w:tc>
          <w:tcPr>
            <w:tcW w:w="1086" w:type="dxa"/>
            <w:vAlign w:val="bottom"/>
          </w:tcPr>
          <w:p w14:paraId="5BB79FB6" w14:textId="77777777" w:rsidR="00D47174" w:rsidRPr="009468C0" w:rsidRDefault="00D47174" w:rsidP="009468C0">
            <w:pPr>
              <w:spacing w:after="0"/>
              <w:jc w:val="right"/>
              <w:rPr>
                <w:rFonts w:ascii="Times New Roman" w:hAnsi="Times New Roman"/>
                <w:sz w:val="24"/>
                <w:szCs w:val="24"/>
              </w:rPr>
            </w:pPr>
            <w:r w:rsidRPr="009468C0">
              <w:rPr>
                <w:rFonts w:ascii="Times New Roman" w:hAnsi="Times New Roman"/>
                <w:sz w:val="24"/>
                <w:szCs w:val="24"/>
              </w:rPr>
              <w:t>78</w:t>
            </w:r>
          </w:p>
        </w:tc>
        <w:tc>
          <w:tcPr>
            <w:tcW w:w="1530" w:type="dxa"/>
            <w:vAlign w:val="bottom"/>
          </w:tcPr>
          <w:p w14:paraId="5BB79FB7" w14:textId="77777777" w:rsidR="00D47174" w:rsidRPr="009468C0" w:rsidRDefault="00D47174" w:rsidP="001D5ABC">
            <w:pPr>
              <w:spacing w:after="0"/>
              <w:jc w:val="right"/>
              <w:rPr>
                <w:rFonts w:ascii="Times New Roman" w:hAnsi="Times New Roman"/>
                <w:sz w:val="24"/>
                <w:szCs w:val="24"/>
              </w:rPr>
            </w:pPr>
            <w:r w:rsidRPr="009468C0">
              <w:rPr>
                <w:rFonts w:ascii="Times New Roman" w:hAnsi="Times New Roman"/>
                <w:sz w:val="24"/>
                <w:szCs w:val="24"/>
              </w:rPr>
              <w:t xml:space="preserve">1,248 </w:t>
            </w:r>
          </w:p>
        </w:tc>
        <w:tc>
          <w:tcPr>
            <w:tcW w:w="1547" w:type="dxa"/>
            <w:vAlign w:val="bottom"/>
          </w:tcPr>
          <w:p w14:paraId="5BB79FB8" w14:textId="77777777" w:rsidR="00D47174" w:rsidRPr="009468C0" w:rsidRDefault="00D47174" w:rsidP="001D5ABC">
            <w:pPr>
              <w:spacing w:after="0"/>
              <w:jc w:val="right"/>
              <w:rPr>
                <w:rFonts w:ascii="Times New Roman" w:hAnsi="Times New Roman"/>
                <w:sz w:val="24"/>
                <w:szCs w:val="24"/>
              </w:rPr>
            </w:pPr>
            <w:r w:rsidRPr="009468C0">
              <w:rPr>
                <w:rFonts w:ascii="Times New Roman" w:hAnsi="Times New Roman"/>
                <w:sz w:val="24"/>
                <w:szCs w:val="24"/>
              </w:rPr>
              <w:t xml:space="preserve">1,248 </w:t>
            </w:r>
          </w:p>
        </w:tc>
        <w:tc>
          <w:tcPr>
            <w:tcW w:w="1530" w:type="dxa"/>
            <w:vAlign w:val="bottom"/>
          </w:tcPr>
          <w:p w14:paraId="5BB79FB9" w14:textId="77777777" w:rsidR="00D47174" w:rsidRPr="009468C0" w:rsidRDefault="00D47174" w:rsidP="001D5ABC">
            <w:pPr>
              <w:spacing w:after="0"/>
              <w:jc w:val="right"/>
              <w:rPr>
                <w:rFonts w:ascii="Times New Roman" w:hAnsi="Times New Roman"/>
                <w:sz w:val="24"/>
                <w:szCs w:val="24"/>
              </w:rPr>
            </w:pPr>
            <w:r w:rsidRPr="009468C0">
              <w:rPr>
                <w:rFonts w:ascii="Times New Roman" w:hAnsi="Times New Roman"/>
                <w:sz w:val="24"/>
                <w:szCs w:val="24"/>
              </w:rPr>
              <w:t>19,136</w:t>
            </w:r>
          </w:p>
        </w:tc>
      </w:tr>
      <w:tr w:rsidR="00D47174" w:rsidRPr="009468C0" w14:paraId="5BB79FC2" w14:textId="77777777" w:rsidTr="00EB6056">
        <w:tc>
          <w:tcPr>
            <w:tcW w:w="1401" w:type="dxa"/>
          </w:tcPr>
          <w:p w14:paraId="5BB79FBB" w14:textId="77777777" w:rsidR="00D47174" w:rsidRPr="009468C0" w:rsidRDefault="00D47174" w:rsidP="00951236">
            <w:pPr>
              <w:spacing w:after="0"/>
              <w:rPr>
                <w:rFonts w:ascii="Times New Roman" w:hAnsi="Times New Roman"/>
                <w:sz w:val="24"/>
                <w:szCs w:val="24"/>
              </w:rPr>
            </w:pPr>
            <w:r w:rsidRPr="009468C0">
              <w:rPr>
                <w:rFonts w:ascii="Times New Roman" w:hAnsi="Times New Roman"/>
                <w:sz w:val="24"/>
                <w:szCs w:val="24"/>
              </w:rPr>
              <w:t>Group C</w:t>
            </w:r>
          </w:p>
        </w:tc>
        <w:tc>
          <w:tcPr>
            <w:tcW w:w="1947" w:type="dxa"/>
          </w:tcPr>
          <w:p w14:paraId="5BB79FBC" w14:textId="77777777" w:rsidR="00D47174" w:rsidRPr="009468C0" w:rsidRDefault="00D47174" w:rsidP="00951236">
            <w:pPr>
              <w:spacing w:after="0"/>
              <w:rPr>
                <w:rFonts w:ascii="Times New Roman" w:hAnsi="Times New Roman"/>
                <w:sz w:val="24"/>
                <w:szCs w:val="24"/>
              </w:rPr>
            </w:pPr>
            <w:r w:rsidRPr="009468C0">
              <w:rPr>
                <w:rFonts w:ascii="Times New Roman" w:hAnsi="Times New Roman"/>
                <w:sz w:val="24"/>
                <w:szCs w:val="24"/>
              </w:rPr>
              <w:t>Low</w:t>
            </w:r>
            <w:r w:rsidRPr="009468C0">
              <w:rPr>
                <w:rFonts w:ascii="Times New Roman" w:hAnsi="Times New Roman"/>
                <w:b/>
                <w:sz w:val="24"/>
                <w:szCs w:val="24"/>
                <w:vertAlign w:val="superscript"/>
              </w:rPr>
              <w:footnoteReference w:id="45"/>
            </w:r>
            <w:r w:rsidRPr="009468C0">
              <w:rPr>
                <w:rFonts w:ascii="Times New Roman" w:hAnsi="Times New Roman"/>
                <w:sz w:val="24"/>
                <w:szCs w:val="24"/>
              </w:rPr>
              <w:t xml:space="preserve"> </w:t>
            </w:r>
          </w:p>
          <w:p w14:paraId="5BB79FBD" w14:textId="77777777" w:rsidR="00D47174" w:rsidRPr="009468C0" w:rsidRDefault="00D47174" w:rsidP="00951236">
            <w:pPr>
              <w:spacing w:after="0"/>
              <w:rPr>
                <w:rFonts w:ascii="Times New Roman" w:hAnsi="Times New Roman"/>
                <w:sz w:val="24"/>
                <w:szCs w:val="24"/>
              </w:rPr>
            </w:pPr>
            <w:r w:rsidRPr="009468C0">
              <w:rPr>
                <w:rFonts w:ascii="Times New Roman" w:hAnsi="Times New Roman"/>
                <w:sz w:val="24"/>
                <w:szCs w:val="24"/>
              </w:rPr>
              <w:lastRenderedPageBreak/>
              <w:t>(</w:t>
            </w:r>
            <w:proofErr w:type="spellStart"/>
            <w:r w:rsidRPr="009468C0">
              <w:rPr>
                <w:rFonts w:ascii="Times New Roman" w:hAnsi="Times New Roman"/>
                <w:sz w:val="24"/>
                <w:szCs w:val="24"/>
              </w:rPr>
              <w:t>Blackstart</w:t>
            </w:r>
            <w:proofErr w:type="spellEnd"/>
            <w:r w:rsidRPr="009468C0">
              <w:rPr>
                <w:rFonts w:ascii="Times New Roman" w:hAnsi="Times New Roman"/>
                <w:sz w:val="24"/>
                <w:szCs w:val="24"/>
              </w:rPr>
              <w:t>)</w:t>
            </w:r>
          </w:p>
        </w:tc>
        <w:tc>
          <w:tcPr>
            <w:tcW w:w="1086" w:type="dxa"/>
            <w:vAlign w:val="bottom"/>
          </w:tcPr>
          <w:p w14:paraId="5BB79FBE" w14:textId="77777777" w:rsidR="00D47174" w:rsidRPr="009468C0" w:rsidRDefault="00D47174" w:rsidP="009468C0">
            <w:pPr>
              <w:spacing w:after="0"/>
              <w:jc w:val="right"/>
              <w:rPr>
                <w:rFonts w:ascii="Times New Roman" w:hAnsi="Times New Roman"/>
                <w:sz w:val="24"/>
                <w:szCs w:val="24"/>
              </w:rPr>
            </w:pPr>
            <w:r w:rsidRPr="009468C0">
              <w:rPr>
                <w:rFonts w:ascii="Times New Roman" w:hAnsi="Times New Roman"/>
                <w:sz w:val="24"/>
                <w:szCs w:val="24"/>
              </w:rPr>
              <w:lastRenderedPageBreak/>
              <w:t>283</w:t>
            </w:r>
          </w:p>
        </w:tc>
        <w:tc>
          <w:tcPr>
            <w:tcW w:w="1530" w:type="dxa"/>
            <w:vAlign w:val="bottom"/>
          </w:tcPr>
          <w:p w14:paraId="5BB79FBF" w14:textId="77777777" w:rsidR="00D47174" w:rsidRPr="009468C0" w:rsidRDefault="00D47174" w:rsidP="001D5ABC">
            <w:pPr>
              <w:spacing w:after="0"/>
              <w:jc w:val="right"/>
              <w:rPr>
                <w:rFonts w:ascii="Times New Roman" w:hAnsi="Times New Roman"/>
                <w:sz w:val="24"/>
                <w:szCs w:val="24"/>
              </w:rPr>
            </w:pPr>
            <w:r w:rsidRPr="009468C0">
              <w:rPr>
                <w:rFonts w:ascii="Times New Roman" w:hAnsi="Times New Roman"/>
                <w:sz w:val="24"/>
                <w:szCs w:val="24"/>
              </w:rPr>
              <w:t xml:space="preserve">22,640 </w:t>
            </w:r>
          </w:p>
        </w:tc>
        <w:tc>
          <w:tcPr>
            <w:tcW w:w="1547" w:type="dxa"/>
            <w:vAlign w:val="bottom"/>
          </w:tcPr>
          <w:p w14:paraId="5BB79FC0" w14:textId="77777777" w:rsidR="00D47174" w:rsidRPr="009468C0" w:rsidRDefault="00D47174" w:rsidP="001D5ABC">
            <w:pPr>
              <w:spacing w:after="0"/>
              <w:jc w:val="right"/>
              <w:rPr>
                <w:rFonts w:ascii="Times New Roman" w:hAnsi="Times New Roman"/>
                <w:sz w:val="24"/>
                <w:szCs w:val="24"/>
              </w:rPr>
            </w:pPr>
            <w:r w:rsidRPr="009468C0">
              <w:rPr>
                <w:rFonts w:ascii="Times New Roman" w:hAnsi="Times New Roman"/>
                <w:sz w:val="24"/>
                <w:szCs w:val="24"/>
              </w:rPr>
              <w:t xml:space="preserve">22,640 </w:t>
            </w:r>
          </w:p>
        </w:tc>
        <w:tc>
          <w:tcPr>
            <w:tcW w:w="1530" w:type="dxa"/>
            <w:vAlign w:val="bottom"/>
          </w:tcPr>
          <w:p w14:paraId="5BB79FC1" w14:textId="77777777" w:rsidR="00D47174" w:rsidRPr="009468C0" w:rsidRDefault="00D47174" w:rsidP="001D5ABC">
            <w:pPr>
              <w:spacing w:after="0"/>
              <w:jc w:val="right"/>
              <w:rPr>
                <w:rFonts w:ascii="Times New Roman" w:hAnsi="Times New Roman"/>
                <w:sz w:val="24"/>
                <w:szCs w:val="24"/>
              </w:rPr>
            </w:pPr>
            <w:r w:rsidRPr="009468C0">
              <w:rPr>
                <w:rFonts w:ascii="Times New Roman" w:hAnsi="Times New Roman"/>
                <w:sz w:val="24"/>
                <w:szCs w:val="24"/>
              </w:rPr>
              <w:t xml:space="preserve">-206,024 </w:t>
            </w:r>
          </w:p>
        </w:tc>
      </w:tr>
      <w:tr w:rsidR="00D47174" w:rsidRPr="009468C0" w14:paraId="5BB79FC9" w14:textId="77777777" w:rsidTr="00EB6056">
        <w:tc>
          <w:tcPr>
            <w:tcW w:w="1401" w:type="dxa"/>
          </w:tcPr>
          <w:p w14:paraId="5BB79FC3" w14:textId="77777777" w:rsidR="00D47174" w:rsidRPr="009468C0" w:rsidRDefault="00D47174" w:rsidP="00951236">
            <w:pPr>
              <w:spacing w:after="0"/>
              <w:rPr>
                <w:rFonts w:ascii="Times New Roman" w:hAnsi="Times New Roman"/>
                <w:sz w:val="24"/>
                <w:szCs w:val="24"/>
              </w:rPr>
            </w:pPr>
            <w:r w:rsidRPr="009468C0">
              <w:rPr>
                <w:rFonts w:ascii="Times New Roman" w:hAnsi="Times New Roman"/>
                <w:sz w:val="24"/>
                <w:szCs w:val="24"/>
              </w:rPr>
              <w:lastRenderedPageBreak/>
              <w:t>Group C</w:t>
            </w:r>
          </w:p>
        </w:tc>
        <w:tc>
          <w:tcPr>
            <w:tcW w:w="1947" w:type="dxa"/>
          </w:tcPr>
          <w:p w14:paraId="5BB79FC4" w14:textId="77777777" w:rsidR="00D47174" w:rsidRPr="009468C0" w:rsidRDefault="00D47174" w:rsidP="00951236">
            <w:pPr>
              <w:spacing w:after="0"/>
              <w:rPr>
                <w:rFonts w:ascii="Times New Roman" w:hAnsi="Times New Roman"/>
                <w:sz w:val="24"/>
                <w:szCs w:val="24"/>
              </w:rPr>
            </w:pPr>
            <w:r w:rsidRPr="009468C0">
              <w:rPr>
                <w:rFonts w:ascii="Times New Roman" w:hAnsi="Times New Roman"/>
                <w:sz w:val="24"/>
                <w:szCs w:val="24"/>
              </w:rPr>
              <w:t>Medium or High</w:t>
            </w:r>
            <w:r w:rsidRPr="009468C0">
              <w:rPr>
                <w:rFonts w:ascii="Times New Roman" w:hAnsi="Times New Roman"/>
                <w:b/>
                <w:sz w:val="24"/>
                <w:szCs w:val="24"/>
                <w:vertAlign w:val="superscript"/>
              </w:rPr>
              <w:footnoteReference w:id="46"/>
            </w:r>
          </w:p>
        </w:tc>
        <w:tc>
          <w:tcPr>
            <w:tcW w:w="1086" w:type="dxa"/>
            <w:vAlign w:val="bottom"/>
          </w:tcPr>
          <w:p w14:paraId="5BB79FC5" w14:textId="77777777" w:rsidR="00D47174" w:rsidRPr="009468C0" w:rsidRDefault="00D47174" w:rsidP="009468C0">
            <w:pPr>
              <w:spacing w:after="0"/>
              <w:jc w:val="right"/>
              <w:rPr>
                <w:rFonts w:ascii="Times New Roman" w:hAnsi="Times New Roman"/>
                <w:sz w:val="24"/>
                <w:szCs w:val="24"/>
              </w:rPr>
            </w:pPr>
            <w:r w:rsidRPr="009468C0">
              <w:rPr>
                <w:rFonts w:ascii="Times New Roman" w:hAnsi="Times New Roman"/>
                <w:sz w:val="24"/>
                <w:szCs w:val="24"/>
              </w:rPr>
              <w:t>325</w:t>
            </w:r>
          </w:p>
        </w:tc>
        <w:tc>
          <w:tcPr>
            <w:tcW w:w="1530" w:type="dxa"/>
            <w:vAlign w:val="bottom"/>
          </w:tcPr>
          <w:p w14:paraId="5BB79FC6" w14:textId="77777777" w:rsidR="00D47174" w:rsidRPr="009468C0" w:rsidRDefault="00EF4574" w:rsidP="009468C0">
            <w:pPr>
              <w:spacing w:after="0"/>
              <w:jc w:val="right"/>
              <w:rPr>
                <w:rFonts w:ascii="Times New Roman" w:hAnsi="Times New Roman"/>
                <w:sz w:val="24"/>
                <w:szCs w:val="24"/>
              </w:rPr>
            </w:pPr>
            <w:r>
              <w:rPr>
                <w:rFonts w:ascii="Times New Roman" w:hAnsi="Times New Roman"/>
                <w:sz w:val="24"/>
                <w:szCs w:val="24"/>
              </w:rPr>
              <w:t xml:space="preserve">265,200 </w:t>
            </w:r>
          </w:p>
        </w:tc>
        <w:tc>
          <w:tcPr>
            <w:tcW w:w="1547" w:type="dxa"/>
            <w:vAlign w:val="bottom"/>
          </w:tcPr>
          <w:p w14:paraId="5BB79FC7" w14:textId="77777777" w:rsidR="00D47174" w:rsidRPr="009468C0" w:rsidRDefault="00D47174" w:rsidP="001D5ABC">
            <w:pPr>
              <w:spacing w:after="0"/>
              <w:jc w:val="right"/>
              <w:rPr>
                <w:rFonts w:ascii="Times New Roman" w:hAnsi="Times New Roman"/>
                <w:sz w:val="24"/>
                <w:szCs w:val="24"/>
              </w:rPr>
            </w:pPr>
            <w:r w:rsidRPr="009468C0">
              <w:rPr>
                <w:rFonts w:ascii="Times New Roman" w:hAnsi="Times New Roman"/>
                <w:sz w:val="24"/>
                <w:szCs w:val="24"/>
              </w:rPr>
              <w:t>265,200</w:t>
            </w:r>
          </w:p>
        </w:tc>
        <w:tc>
          <w:tcPr>
            <w:tcW w:w="1530" w:type="dxa"/>
            <w:vAlign w:val="bottom"/>
          </w:tcPr>
          <w:p w14:paraId="5BB79FC8" w14:textId="77777777" w:rsidR="00D47174" w:rsidRPr="009468C0" w:rsidRDefault="00D47174" w:rsidP="001D5ABC">
            <w:pPr>
              <w:spacing w:after="0"/>
              <w:jc w:val="right"/>
              <w:rPr>
                <w:rFonts w:ascii="Times New Roman" w:hAnsi="Times New Roman"/>
                <w:sz w:val="24"/>
                <w:szCs w:val="24"/>
              </w:rPr>
            </w:pPr>
            <w:r w:rsidRPr="009468C0">
              <w:rPr>
                <w:rFonts w:ascii="Times New Roman" w:hAnsi="Times New Roman"/>
                <w:sz w:val="24"/>
                <w:szCs w:val="24"/>
              </w:rPr>
              <w:t xml:space="preserve">135,200 </w:t>
            </w:r>
          </w:p>
        </w:tc>
      </w:tr>
      <w:tr w:rsidR="00D47174" w:rsidRPr="009468C0" w14:paraId="5BB79FD0" w14:textId="77777777" w:rsidTr="00EB6056">
        <w:tc>
          <w:tcPr>
            <w:tcW w:w="1401" w:type="dxa"/>
          </w:tcPr>
          <w:p w14:paraId="5BB79FCA" w14:textId="77777777" w:rsidR="00D47174" w:rsidRPr="009468C0" w:rsidRDefault="00D47174" w:rsidP="00951236">
            <w:pPr>
              <w:spacing w:after="0"/>
              <w:rPr>
                <w:rFonts w:ascii="Times New Roman" w:hAnsi="Times New Roman"/>
                <w:b/>
                <w:sz w:val="24"/>
                <w:szCs w:val="24"/>
              </w:rPr>
            </w:pPr>
            <w:r w:rsidRPr="009468C0">
              <w:rPr>
                <w:rFonts w:ascii="Times New Roman" w:hAnsi="Times New Roman"/>
                <w:b/>
                <w:sz w:val="24"/>
                <w:szCs w:val="24"/>
              </w:rPr>
              <w:t>Totals</w:t>
            </w:r>
            <w:r w:rsidR="008B60F0" w:rsidRPr="008B60F0">
              <w:rPr>
                <w:rStyle w:val="FootnoteReference"/>
                <w:rFonts w:ascii="Times New Roman" w:hAnsi="Times New Roman"/>
                <w:b/>
                <w:sz w:val="24"/>
                <w:szCs w:val="24"/>
                <w:vertAlign w:val="superscript"/>
              </w:rPr>
              <w:footnoteReference w:id="47"/>
            </w:r>
          </w:p>
        </w:tc>
        <w:tc>
          <w:tcPr>
            <w:tcW w:w="1947" w:type="dxa"/>
            <w:shd w:val="clear" w:color="auto" w:fill="D9D9D9"/>
          </w:tcPr>
          <w:p w14:paraId="5BB79FCB" w14:textId="77777777" w:rsidR="00D47174" w:rsidRPr="009468C0" w:rsidRDefault="00D47174" w:rsidP="00951236">
            <w:pPr>
              <w:spacing w:after="0"/>
              <w:rPr>
                <w:rFonts w:ascii="Times New Roman" w:hAnsi="Times New Roman"/>
                <w:sz w:val="24"/>
                <w:szCs w:val="24"/>
              </w:rPr>
            </w:pPr>
          </w:p>
        </w:tc>
        <w:tc>
          <w:tcPr>
            <w:tcW w:w="1086" w:type="dxa"/>
            <w:shd w:val="clear" w:color="auto" w:fill="D9D9D9"/>
            <w:vAlign w:val="bottom"/>
          </w:tcPr>
          <w:p w14:paraId="5BB79FCC" w14:textId="77777777" w:rsidR="00D47174" w:rsidRPr="009468C0" w:rsidRDefault="00D47174" w:rsidP="009468C0">
            <w:pPr>
              <w:spacing w:after="0"/>
              <w:jc w:val="right"/>
              <w:rPr>
                <w:rFonts w:ascii="Times New Roman" w:hAnsi="Times New Roman"/>
                <w:sz w:val="24"/>
                <w:szCs w:val="24"/>
              </w:rPr>
            </w:pPr>
          </w:p>
        </w:tc>
        <w:tc>
          <w:tcPr>
            <w:tcW w:w="1530" w:type="dxa"/>
            <w:vAlign w:val="bottom"/>
          </w:tcPr>
          <w:p w14:paraId="5BB79FCD" w14:textId="77777777" w:rsidR="00D47174" w:rsidRPr="009468C0" w:rsidRDefault="00EF4574" w:rsidP="009468C0">
            <w:pPr>
              <w:spacing w:after="0"/>
              <w:jc w:val="right"/>
              <w:rPr>
                <w:rFonts w:ascii="Times New Roman" w:hAnsi="Times New Roman"/>
                <w:sz w:val="24"/>
                <w:szCs w:val="24"/>
              </w:rPr>
            </w:pPr>
            <w:r>
              <w:rPr>
                <w:rFonts w:ascii="Times New Roman" w:hAnsi="Times New Roman"/>
                <w:sz w:val="24"/>
                <w:szCs w:val="24"/>
              </w:rPr>
              <w:t>418,048</w:t>
            </w:r>
          </w:p>
        </w:tc>
        <w:tc>
          <w:tcPr>
            <w:tcW w:w="1547" w:type="dxa"/>
            <w:vAlign w:val="bottom"/>
          </w:tcPr>
          <w:p w14:paraId="5BB79FCE" w14:textId="77777777" w:rsidR="00D47174" w:rsidRPr="009468C0" w:rsidRDefault="00D47174" w:rsidP="001D5ABC">
            <w:pPr>
              <w:spacing w:after="0"/>
              <w:jc w:val="right"/>
              <w:rPr>
                <w:rFonts w:ascii="Times New Roman" w:hAnsi="Times New Roman"/>
                <w:sz w:val="24"/>
                <w:szCs w:val="24"/>
              </w:rPr>
            </w:pPr>
            <w:r w:rsidRPr="009468C0">
              <w:rPr>
                <w:rFonts w:ascii="Times New Roman" w:hAnsi="Times New Roman"/>
                <w:sz w:val="24"/>
                <w:szCs w:val="24"/>
              </w:rPr>
              <w:t>1</w:t>
            </w:r>
            <w:r w:rsidR="00DD2DE8" w:rsidRPr="009468C0">
              <w:rPr>
                <w:rFonts w:ascii="Times New Roman" w:hAnsi="Times New Roman"/>
                <w:sz w:val="24"/>
                <w:szCs w:val="24"/>
              </w:rPr>
              <w:t>,162,788</w:t>
            </w:r>
            <w:r w:rsidRPr="009468C0">
              <w:rPr>
                <w:rFonts w:ascii="Times New Roman" w:hAnsi="Times New Roman"/>
                <w:sz w:val="24"/>
                <w:szCs w:val="24"/>
              </w:rPr>
              <w:t xml:space="preserve"> </w:t>
            </w:r>
          </w:p>
        </w:tc>
        <w:tc>
          <w:tcPr>
            <w:tcW w:w="1530" w:type="dxa"/>
            <w:vAlign w:val="bottom"/>
          </w:tcPr>
          <w:p w14:paraId="5BB79FCF" w14:textId="77777777" w:rsidR="00D47174" w:rsidRPr="009468C0" w:rsidRDefault="00D47174" w:rsidP="001D5ABC">
            <w:pPr>
              <w:spacing w:after="0"/>
              <w:jc w:val="right"/>
              <w:rPr>
                <w:rFonts w:ascii="Times New Roman" w:hAnsi="Times New Roman"/>
                <w:sz w:val="24"/>
                <w:szCs w:val="24"/>
              </w:rPr>
            </w:pPr>
            <w:r w:rsidRPr="009468C0">
              <w:rPr>
                <w:rFonts w:ascii="Times New Roman" w:hAnsi="Times New Roman"/>
                <w:sz w:val="24"/>
                <w:szCs w:val="24"/>
              </w:rPr>
              <w:t>75</w:t>
            </w:r>
            <w:r w:rsidR="00DD2DE8" w:rsidRPr="009468C0">
              <w:rPr>
                <w:rFonts w:ascii="Times New Roman" w:hAnsi="Times New Roman"/>
                <w:sz w:val="24"/>
                <w:szCs w:val="24"/>
              </w:rPr>
              <w:t>7</w:t>
            </w:r>
            <w:r w:rsidRPr="009468C0">
              <w:rPr>
                <w:rFonts w:ascii="Times New Roman" w:hAnsi="Times New Roman"/>
                <w:sz w:val="24"/>
                <w:szCs w:val="24"/>
              </w:rPr>
              <w:t>,</w:t>
            </w:r>
            <w:r w:rsidR="00DD2DE8" w:rsidRPr="009468C0">
              <w:rPr>
                <w:rFonts w:ascii="Times New Roman" w:hAnsi="Times New Roman"/>
                <w:sz w:val="24"/>
                <w:szCs w:val="24"/>
              </w:rPr>
              <w:t>948</w:t>
            </w:r>
            <w:r w:rsidRPr="009468C0">
              <w:rPr>
                <w:rFonts w:ascii="Times New Roman" w:hAnsi="Times New Roman"/>
                <w:sz w:val="24"/>
                <w:szCs w:val="24"/>
              </w:rPr>
              <w:t xml:space="preserve"> </w:t>
            </w:r>
          </w:p>
        </w:tc>
      </w:tr>
    </w:tbl>
    <w:p w14:paraId="5BB79FD1" w14:textId="77777777" w:rsidR="00D47174" w:rsidRPr="009468C0" w:rsidRDefault="00D47174" w:rsidP="00951236">
      <w:pPr>
        <w:spacing w:after="0"/>
        <w:rPr>
          <w:rFonts w:ascii="Times New Roman" w:hAnsi="Times New Roman"/>
          <w:sz w:val="24"/>
          <w:szCs w:val="24"/>
        </w:rPr>
      </w:pPr>
    </w:p>
    <w:p w14:paraId="5BB79FD2" w14:textId="77777777" w:rsidR="00D47174" w:rsidRPr="009468C0" w:rsidRDefault="00D47174" w:rsidP="00951236">
      <w:pPr>
        <w:spacing w:after="0"/>
        <w:rPr>
          <w:rFonts w:ascii="Times New Roman" w:hAnsi="Times New Roman"/>
          <w:sz w:val="24"/>
          <w:szCs w:val="24"/>
        </w:rPr>
      </w:pPr>
      <w:r w:rsidRPr="009468C0">
        <w:rPr>
          <w:rFonts w:ascii="Times New Roman" w:hAnsi="Times New Roman"/>
          <w:sz w:val="24"/>
          <w:szCs w:val="24"/>
        </w:rPr>
        <w:t xml:space="preserve">The following shows the average annual cost burden </w:t>
      </w:r>
      <w:r w:rsidR="005C7973">
        <w:rPr>
          <w:rFonts w:ascii="Times New Roman" w:hAnsi="Times New Roman"/>
          <w:sz w:val="24"/>
          <w:szCs w:val="24"/>
        </w:rPr>
        <w:t xml:space="preserve">(averaged </w:t>
      </w:r>
      <w:r w:rsidR="00A24239">
        <w:rPr>
          <w:rFonts w:ascii="Times New Roman" w:hAnsi="Times New Roman"/>
          <w:sz w:val="24"/>
          <w:szCs w:val="24"/>
        </w:rPr>
        <w:t>over</w:t>
      </w:r>
      <w:r w:rsidR="005C7973">
        <w:rPr>
          <w:rFonts w:ascii="Times New Roman" w:hAnsi="Times New Roman"/>
          <w:sz w:val="24"/>
          <w:szCs w:val="24"/>
        </w:rPr>
        <w:t xml:space="preserve"> Years 1-3</w:t>
      </w:r>
      <w:r w:rsidR="00D45D7F">
        <w:rPr>
          <w:rFonts w:ascii="Times New Roman" w:hAnsi="Times New Roman"/>
          <w:sz w:val="24"/>
          <w:szCs w:val="24"/>
        </w:rPr>
        <w:t xml:space="preserve"> and rounded for hours/entity</w:t>
      </w:r>
      <w:r w:rsidR="005C7973">
        <w:rPr>
          <w:rFonts w:ascii="Times New Roman" w:hAnsi="Times New Roman"/>
          <w:sz w:val="24"/>
          <w:szCs w:val="24"/>
        </w:rPr>
        <w:t xml:space="preserve">) </w:t>
      </w:r>
      <w:r w:rsidR="00937689">
        <w:rPr>
          <w:rFonts w:ascii="Times New Roman" w:hAnsi="Times New Roman"/>
          <w:sz w:val="24"/>
          <w:szCs w:val="24"/>
        </w:rPr>
        <w:t>for all</w:t>
      </w:r>
      <w:r w:rsidRPr="009468C0">
        <w:rPr>
          <w:rFonts w:ascii="Times New Roman" w:hAnsi="Times New Roman"/>
          <w:sz w:val="24"/>
          <w:szCs w:val="24"/>
        </w:rPr>
        <w:t xml:space="preserve"> </w:t>
      </w:r>
      <w:r w:rsidR="00F81C1D">
        <w:rPr>
          <w:rFonts w:ascii="Times New Roman" w:hAnsi="Times New Roman"/>
          <w:sz w:val="24"/>
          <w:szCs w:val="24"/>
        </w:rPr>
        <w:t>entit</w:t>
      </w:r>
      <w:r w:rsidR="00937689">
        <w:rPr>
          <w:rFonts w:ascii="Times New Roman" w:hAnsi="Times New Roman"/>
          <w:sz w:val="24"/>
          <w:szCs w:val="24"/>
        </w:rPr>
        <w:t>ies</w:t>
      </w:r>
      <w:r w:rsidR="00F81C1D">
        <w:rPr>
          <w:rFonts w:ascii="Times New Roman" w:hAnsi="Times New Roman"/>
          <w:sz w:val="24"/>
          <w:szCs w:val="24"/>
        </w:rPr>
        <w:t xml:space="preserve"> within the </w:t>
      </w:r>
      <w:r w:rsidRPr="009468C0">
        <w:rPr>
          <w:rFonts w:ascii="Times New Roman" w:hAnsi="Times New Roman"/>
          <w:sz w:val="24"/>
          <w:szCs w:val="24"/>
        </w:rPr>
        <w:t>group, based on the burden hours in the table above:</w:t>
      </w:r>
      <w:r w:rsidRPr="009468C0">
        <w:rPr>
          <w:rFonts w:ascii="Times New Roman" w:hAnsi="Times New Roman"/>
          <w:b/>
          <w:sz w:val="24"/>
          <w:szCs w:val="24"/>
          <w:vertAlign w:val="superscript"/>
        </w:rPr>
        <w:footnoteReference w:id="48"/>
      </w:r>
    </w:p>
    <w:p w14:paraId="5BB79FD3" w14:textId="77777777" w:rsidR="00D47174" w:rsidRPr="009468C0" w:rsidRDefault="00D47174" w:rsidP="00951236">
      <w:pPr>
        <w:spacing w:after="0"/>
        <w:rPr>
          <w:rFonts w:ascii="Times New Roman" w:hAnsi="Times New Roman"/>
          <w:sz w:val="24"/>
          <w:szCs w:val="24"/>
        </w:rPr>
      </w:pPr>
    </w:p>
    <w:p w14:paraId="5BB79FD4" w14:textId="77777777" w:rsidR="00D47174" w:rsidRPr="009468C0" w:rsidRDefault="00D47174" w:rsidP="00951236">
      <w:pPr>
        <w:numPr>
          <w:ilvl w:val="0"/>
          <w:numId w:val="6"/>
        </w:numPr>
        <w:spacing w:after="0"/>
        <w:rPr>
          <w:rFonts w:ascii="Times New Roman" w:hAnsi="Times New Roman"/>
          <w:sz w:val="24"/>
          <w:szCs w:val="24"/>
        </w:rPr>
      </w:pPr>
      <w:r w:rsidRPr="009468C0">
        <w:rPr>
          <w:rFonts w:ascii="Times New Roman" w:hAnsi="Times New Roman"/>
          <w:sz w:val="24"/>
          <w:szCs w:val="24"/>
        </w:rPr>
        <w:t xml:space="preserve">Group A: 61 unique entities * 41.5 </w:t>
      </w:r>
      <w:proofErr w:type="spellStart"/>
      <w:r w:rsidRPr="009468C0">
        <w:rPr>
          <w:rFonts w:ascii="Times New Roman" w:hAnsi="Times New Roman"/>
          <w:sz w:val="24"/>
          <w:szCs w:val="24"/>
        </w:rPr>
        <w:t>hrs</w:t>
      </w:r>
      <w:proofErr w:type="spellEnd"/>
      <w:r w:rsidRPr="009468C0">
        <w:rPr>
          <w:rFonts w:ascii="Times New Roman" w:hAnsi="Times New Roman"/>
          <w:sz w:val="24"/>
          <w:szCs w:val="24"/>
        </w:rPr>
        <w:t>/entity * $72/hour = $182,000</w:t>
      </w:r>
    </w:p>
    <w:p w14:paraId="5BB79FD5" w14:textId="77777777" w:rsidR="00D47174" w:rsidRPr="00A24239" w:rsidRDefault="00D47174" w:rsidP="00A24239">
      <w:pPr>
        <w:numPr>
          <w:ilvl w:val="0"/>
          <w:numId w:val="6"/>
        </w:numPr>
        <w:spacing w:after="0"/>
        <w:rPr>
          <w:rFonts w:ascii="Times New Roman" w:hAnsi="Times New Roman"/>
          <w:sz w:val="24"/>
          <w:szCs w:val="24"/>
        </w:rPr>
      </w:pPr>
      <w:r w:rsidRPr="009468C0">
        <w:rPr>
          <w:rFonts w:ascii="Times New Roman" w:hAnsi="Times New Roman"/>
          <w:sz w:val="24"/>
          <w:szCs w:val="24"/>
        </w:rPr>
        <w:t xml:space="preserve">Group B: 1,089 unique entities * 448 </w:t>
      </w:r>
      <w:proofErr w:type="spellStart"/>
      <w:r w:rsidRPr="009468C0">
        <w:rPr>
          <w:rFonts w:ascii="Times New Roman" w:hAnsi="Times New Roman"/>
          <w:sz w:val="24"/>
          <w:szCs w:val="24"/>
        </w:rPr>
        <w:t>hrs</w:t>
      </w:r>
      <w:proofErr w:type="spellEnd"/>
      <w:r w:rsidRPr="009468C0">
        <w:rPr>
          <w:rFonts w:ascii="Times New Roman" w:hAnsi="Times New Roman"/>
          <w:sz w:val="24"/>
          <w:szCs w:val="24"/>
        </w:rPr>
        <w:t>/entity * $72/hour = $35,127,000</w:t>
      </w:r>
    </w:p>
    <w:p w14:paraId="5BB79FD6" w14:textId="77777777" w:rsidR="00D47174" w:rsidRPr="00A24239" w:rsidRDefault="00D47174" w:rsidP="00A24239">
      <w:pPr>
        <w:numPr>
          <w:ilvl w:val="0"/>
          <w:numId w:val="6"/>
        </w:numPr>
        <w:spacing w:after="0"/>
        <w:rPr>
          <w:rFonts w:ascii="Times New Roman" w:hAnsi="Times New Roman"/>
          <w:sz w:val="24"/>
          <w:szCs w:val="24"/>
        </w:rPr>
      </w:pPr>
      <w:r w:rsidRPr="009468C0">
        <w:rPr>
          <w:rFonts w:ascii="Times New Roman" w:hAnsi="Times New Roman"/>
          <w:sz w:val="24"/>
          <w:szCs w:val="24"/>
        </w:rPr>
        <w:t xml:space="preserve">Group C: 325 unique entities * 889 </w:t>
      </w:r>
      <w:proofErr w:type="spellStart"/>
      <w:r w:rsidRPr="009468C0">
        <w:rPr>
          <w:rFonts w:ascii="Times New Roman" w:hAnsi="Times New Roman"/>
          <w:sz w:val="24"/>
          <w:szCs w:val="24"/>
        </w:rPr>
        <w:t>hrs</w:t>
      </w:r>
      <w:proofErr w:type="spellEnd"/>
      <w:r w:rsidRPr="009468C0">
        <w:rPr>
          <w:rFonts w:ascii="Times New Roman" w:hAnsi="Times New Roman"/>
          <w:sz w:val="24"/>
          <w:szCs w:val="24"/>
        </w:rPr>
        <w:t>/entity * $72/hour = $20,803,000</w:t>
      </w:r>
    </w:p>
    <w:p w14:paraId="5BB79FD7" w14:textId="77777777" w:rsidR="00D47174" w:rsidRPr="009468C0" w:rsidRDefault="00D47174" w:rsidP="00951236">
      <w:pPr>
        <w:spacing w:after="0"/>
        <w:rPr>
          <w:rFonts w:ascii="Times New Roman" w:hAnsi="Times New Roman"/>
          <w:sz w:val="24"/>
          <w:szCs w:val="24"/>
        </w:rPr>
      </w:pPr>
    </w:p>
    <w:p w14:paraId="5BB79FD9" w14:textId="65888F4F" w:rsidR="00D47174" w:rsidRDefault="00AB5F3B" w:rsidP="00951236">
      <w:pPr>
        <w:spacing w:after="0"/>
        <w:rPr>
          <w:rFonts w:ascii="Times New Roman" w:hAnsi="Times New Roman"/>
          <w:sz w:val="24"/>
          <w:szCs w:val="24"/>
        </w:rPr>
      </w:pPr>
      <w:r w:rsidRPr="00AB5F3B">
        <w:rPr>
          <w:rFonts w:ascii="Times New Roman" w:hAnsi="Times New Roman"/>
          <w:sz w:val="24"/>
          <w:szCs w:val="24"/>
        </w:rPr>
        <w:t xml:space="preserve">Total average annual paperwork cost for the change in requirements contained in the final rule in RM13-5 = $56,112,000.  </w:t>
      </w:r>
      <w:proofErr w:type="gramStart"/>
      <w:r w:rsidRPr="00AB5F3B">
        <w:rPr>
          <w:rFonts w:ascii="Times New Roman" w:hAnsi="Times New Roman"/>
          <w:sz w:val="24"/>
          <w:szCs w:val="24"/>
        </w:rPr>
        <w:t>(i.e., $182,000 + $35,127,000 + $20,803,000).</w:t>
      </w:r>
      <w:proofErr w:type="gramEnd"/>
    </w:p>
    <w:p w14:paraId="72B6587C" w14:textId="77777777" w:rsidR="00AB5F3B" w:rsidRPr="009468C0" w:rsidRDefault="00AB5F3B" w:rsidP="00951236">
      <w:pPr>
        <w:spacing w:after="0"/>
        <w:rPr>
          <w:rFonts w:ascii="Times New Roman" w:hAnsi="Times New Roman"/>
          <w:sz w:val="24"/>
          <w:szCs w:val="24"/>
        </w:rPr>
      </w:pPr>
    </w:p>
    <w:p w14:paraId="5BB79FDA" w14:textId="77777777" w:rsidR="00B60A54" w:rsidRPr="009468C0" w:rsidRDefault="00D47174" w:rsidP="00D80FBD">
      <w:pPr>
        <w:spacing w:after="0"/>
        <w:rPr>
          <w:rFonts w:ascii="Times New Roman" w:hAnsi="Times New Roman"/>
          <w:sz w:val="24"/>
          <w:szCs w:val="24"/>
        </w:rPr>
      </w:pPr>
      <w:r w:rsidRPr="009468C0">
        <w:rPr>
          <w:rFonts w:ascii="Times New Roman" w:hAnsi="Times New Roman"/>
          <w:sz w:val="24"/>
          <w:szCs w:val="24"/>
        </w:rPr>
        <w:t>The estimated hourly rate of $72 is the average loaded cost (wage plus benefits) of legal services ($128.00 per hour), technical employees ($58.86 per hour) and administrative support ($30.18 per hour), based on hourly rates and average benefits data from the Bureau of Labor Statistics.</w:t>
      </w:r>
      <w:r w:rsidRPr="009468C0">
        <w:rPr>
          <w:rFonts w:ascii="Times New Roman" w:hAnsi="Times New Roman"/>
          <w:b/>
          <w:sz w:val="24"/>
          <w:szCs w:val="24"/>
          <w:vertAlign w:val="superscript"/>
        </w:rPr>
        <w:footnoteReference w:id="49"/>
      </w:r>
    </w:p>
    <w:p w14:paraId="2B5C98A1" w14:textId="77777777" w:rsidR="00BA6E18" w:rsidRDefault="00BA6E18" w:rsidP="00D80FBD">
      <w:pPr>
        <w:spacing w:after="0"/>
        <w:rPr>
          <w:rFonts w:ascii="Times New Roman" w:hAnsi="Times New Roman"/>
          <w:sz w:val="24"/>
          <w:szCs w:val="24"/>
        </w:rPr>
      </w:pPr>
    </w:p>
    <w:p w14:paraId="5BB79FDB" w14:textId="1498CD89" w:rsidR="00B60A54" w:rsidRPr="009468C0" w:rsidRDefault="00363CEE" w:rsidP="00D80FBD">
      <w:pPr>
        <w:spacing w:after="0"/>
        <w:rPr>
          <w:rFonts w:ascii="Times New Roman" w:hAnsi="Times New Roman"/>
          <w:sz w:val="24"/>
          <w:szCs w:val="24"/>
        </w:rPr>
      </w:pPr>
      <w:r w:rsidRPr="00ED36AB">
        <w:rPr>
          <w:rFonts w:ascii="Times New Roman" w:hAnsi="Times New Roman"/>
          <w:sz w:val="24"/>
          <w:szCs w:val="24"/>
        </w:rPr>
        <w:t>The existing burden hours for F</w:t>
      </w:r>
      <w:r w:rsidR="00ED36AB" w:rsidRPr="00ED36AB">
        <w:rPr>
          <w:rFonts w:ascii="Times New Roman" w:hAnsi="Times New Roman"/>
          <w:sz w:val="24"/>
          <w:szCs w:val="24"/>
        </w:rPr>
        <w:t>ERC-725B are 848,730</w:t>
      </w:r>
      <w:r w:rsidR="0056380C" w:rsidRPr="00ED36AB">
        <w:rPr>
          <w:rFonts w:ascii="Times New Roman" w:hAnsi="Times New Roman"/>
          <w:sz w:val="24"/>
          <w:szCs w:val="24"/>
        </w:rPr>
        <w:t>.</w:t>
      </w:r>
      <w:r w:rsidR="0056380C" w:rsidRPr="009468C0">
        <w:rPr>
          <w:rFonts w:ascii="Times New Roman" w:hAnsi="Times New Roman"/>
          <w:sz w:val="24"/>
          <w:szCs w:val="24"/>
        </w:rPr>
        <w:t xml:space="preserve">  In this </w:t>
      </w:r>
      <w:r w:rsidR="00F30D5C" w:rsidRPr="009468C0">
        <w:rPr>
          <w:rFonts w:ascii="Times New Roman" w:hAnsi="Times New Roman"/>
          <w:sz w:val="24"/>
          <w:szCs w:val="24"/>
        </w:rPr>
        <w:t xml:space="preserve">clearance </w:t>
      </w:r>
      <w:r w:rsidR="0056380C" w:rsidRPr="009468C0">
        <w:rPr>
          <w:rFonts w:ascii="Times New Roman" w:hAnsi="Times New Roman"/>
          <w:sz w:val="24"/>
          <w:szCs w:val="24"/>
        </w:rPr>
        <w:t>package</w:t>
      </w:r>
      <w:r w:rsidR="00535080">
        <w:rPr>
          <w:rFonts w:ascii="Times New Roman" w:hAnsi="Times New Roman"/>
          <w:sz w:val="24"/>
          <w:szCs w:val="24"/>
        </w:rPr>
        <w:t>,</w:t>
      </w:r>
      <w:r w:rsidR="0056380C" w:rsidRPr="009468C0">
        <w:rPr>
          <w:rFonts w:ascii="Times New Roman" w:hAnsi="Times New Roman"/>
          <w:sz w:val="24"/>
          <w:szCs w:val="24"/>
        </w:rPr>
        <w:t xml:space="preserve"> we requ</w:t>
      </w:r>
      <w:r w:rsidR="008379FA" w:rsidRPr="009468C0">
        <w:rPr>
          <w:rFonts w:ascii="Times New Roman" w:hAnsi="Times New Roman"/>
          <w:sz w:val="24"/>
          <w:szCs w:val="24"/>
        </w:rPr>
        <w:t>est a</w:t>
      </w:r>
      <w:r w:rsidR="0056380C" w:rsidRPr="009468C0">
        <w:rPr>
          <w:rFonts w:ascii="Times New Roman" w:hAnsi="Times New Roman"/>
          <w:sz w:val="24"/>
          <w:szCs w:val="24"/>
        </w:rPr>
        <w:t xml:space="preserve"> </w:t>
      </w:r>
      <w:r w:rsidR="00BA6E18">
        <w:rPr>
          <w:rFonts w:ascii="Times New Roman" w:hAnsi="Times New Roman"/>
          <w:sz w:val="24"/>
          <w:szCs w:val="24"/>
        </w:rPr>
        <w:t xml:space="preserve">301,094 </w:t>
      </w:r>
      <w:r w:rsidR="0056380C" w:rsidRPr="009468C0">
        <w:rPr>
          <w:rFonts w:ascii="Times New Roman" w:hAnsi="Times New Roman"/>
          <w:sz w:val="24"/>
          <w:szCs w:val="24"/>
        </w:rPr>
        <w:t xml:space="preserve">hour </w:t>
      </w:r>
      <w:r w:rsidR="008379FA" w:rsidRPr="009468C0">
        <w:rPr>
          <w:rFonts w:ascii="Times New Roman" w:hAnsi="Times New Roman"/>
          <w:sz w:val="24"/>
          <w:szCs w:val="24"/>
        </w:rPr>
        <w:t xml:space="preserve">downward </w:t>
      </w:r>
      <w:r w:rsidR="0056380C" w:rsidRPr="009468C0">
        <w:rPr>
          <w:rFonts w:ascii="Times New Roman" w:hAnsi="Times New Roman"/>
          <w:sz w:val="24"/>
          <w:szCs w:val="24"/>
        </w:rPr>
        <w:t>adjustment</w:t>
      </w:r>
      <w:r w:rsidR="009468C0" w:rsidRPr="009468C0">
        <w:rPr>
          <w:rFonts w:ascii="Times New Roman" w:hAnsi="Times New Roman"/>
          <w:sz w:val="24"/>
          <w:szCs w:val="24"/>
        </w:rPr>
        <w:t>, and a 779,595</w:t>
      </w:r>
      <w:r w:rsidR="008379FA" w:rsidRPr="009468C0">
        <w:rPr>
          <w:rFonts w:ascii="Times New Roman" w:hAnsi="Times New Roman"/>
          <w:sz w:val="24"/>
          <w:szCs w:val="24"/>
        </w:rPr>
        <w:t xml:space="preserve"> hour program increase</w:t>
      </w:r>
      <w:r w:rsidR="00722DF6">
        <w:rPr>
          <w:rFonts w:ascii="Times New Roman" w:hAnsi="Times New Roman"/>
          <w:sz w:val="24"/>
          <w:szCs w:val="24"/>
        </w:rPr>
        <w:t xml:space="preserve">, as explained </w:t>
      </w:r>
      <w:r w:rsidR="0056380C" w:rsidRPr="009468C0">
        <w:rPr>
          <w:rFonts w:ascii="Times New Roman" w:hAnsi="Times New Roman"/>
          <w:sz w:val="24"/>
          <w:szCs w:val="24"/>
        </w:rPr>
        <w:t xml:space="preserve">in </w:t>
      </w:r>
      <w:r w:rsidR="008379FA" w:rsidRPr="009468C0">
        <w:rPr>
          <w:rFonts w:ascii="Times New Roman" w:hAnsi="Times New Roman"/>
          <w:sz w:val="24"/>
          <w:szCs w:val="24"/>
        </w:rPr>
        <w:t>item #15</w:t>
      </w:r>
      <w:r w:rsidR="0056380C" w:rsidRPr="009468C0">
        <w:rPr>
          <w:rFonts w:ascii="Times New Roman" w:hAnsi="Times New Roman"/>
          <w:sz w:val="24"/>
          <w:szCs w:val="24"/>
        </w:rPr>
        <w:t xml:space="preserve">.  </w:t>
      </w:r>
    </w:p>
    <w:p w14:paraId="5BB79FDC" w14:textId="77777777" w:rsidR="00D47174" w:rsidRPr="009468C0" w:rsidRDefault="00D47174" w:rsidP="00D80FBD">
      <w:pPr>
        <w:spacing w:after="0"/>
        <w:rPr>
          <w:rFonts w:ascii="Times New Roman" w:hAnsi="Times New Roman"/>
          <w:sz w:val="24"/>
          <w:szCs w:val="24"/>
        </w:rPr>
      </w:pPr>
    </w:p>
    <w:p w14:paraId="5BB79FDD" w14:textId="77777777" w:rsidR="00D47174" w:rsidRPr="009468C0" w:rsidRDefault="00D47174" w:rsidP="00A72E7B">
      <w:pPr>
        <w:pStyle w:val="ListParagraph"/>
        <w:numPr>
          <w:ilvl w:val="0"/>
          <w:numId w:val="1"/>
        </w:numPr>
        <w:spacing w:after="0"/>
        <w:ind w:left="360"/>
        <w:rPr>
          <w:rFonts w:ascii="Times New Roman" w:hAnsi="Times New Roman"/>
          <w:b/>
          <w:sz w:val="24"/>
          <w:szCs w:val="24"/>
        </w:rPr>
      </w:pPr>
      <w:r w:rsidRPr="009468C0">
        <w:rPr>
          <w:rFonts w:ascii="Times New Roman" w:hAnsi="Times New Roman"/>
          <w:b/>
          <w:sz w:val="24"/>
          <w:szCs w:val="24"/>
        </w:rPr>
        <w:t>ESTIMATE OF THE TOTAL ANNUAL COST BURDEN TO RESPONDENTS</w:t>
      </w:r>
    </w:p>
    <w:p w14:paraId="5BB79FDE" w14:textId="77777777" w:rsidR="00D47174" w:rsidRPr="009468C0" w:rsidRDefault="00D47174" w:rsidP="00E636D7">
      <w:pPr>
        <w:spacing w:after="0"/>
        <w:rPr>
          <w:rFonts w:ascii="Times New Roman" w:hAnsi="Times New Roman"/>
          <w:sz w:val="24"/>
          <w:szCs w:val="24"/>
        </w:rPr>
      </w:pPr>
    </w:p>
    <w:p w14:paraId="5BB79FDF" w14:textId="57739702" w:rsidR="00D47174" w:rsidRPr="009468C0" w:rsidRDefault="00D47174" w:rsidP="00E636D7">
      <w:pPr>
        <w:spacing w:after="0"/>
        <w:rPr>
          <w:rFonts w:ascii="Times New Roman" w:hAnsi="Times New Roman"/>
          <w:sz w:val="24"/>
          <w:szCs w:val="24"/>
        </w:rPr>
      </w:pPr>
      <w:r w:rsidRPr="009468C0">
        <w:rPr>
          <w:rFonts w:ascii="Times New Roman" w:hAnsi="Times New Roman"/>
          <w:sz w:val="24"/>
          <w:szCs w:val="24"/>
        </w:rPr>
        <w:t>The main potential non-labor cost is for electronic record storage.  The Commission considers any cost related to storing CIP standard documents to be negligible</w:t>
      </w:r>
      <w:r w:rsidR="00EA195B">
        <w:rPr>
          <w:rFonts w:ascii="Times New Roman" w:hAnsi="Times New Roman"/>
          <w:sz w:val="24"/>
          <w:szCs w:val="24"/>
        </w:rPr>
        <w:t xml:space="preserve"> and is removing the record retention cost that had been included for a previous version of the CIP standards</w:t>
      </w:r>
      <w:r w:rsidRPr="009468C0">
        <w:rPr>
          <w:rFonts w:ascii="Times New Roman" w:hAnsi="Times New Roman"/>
          <w:sz w:val="24"/>
          <w:szCs w:val="24"/>
        </w:rPr>
        <w:t xml:space="preserve">.  </w:t>
      </w:r>
    </w:p>
    <w:p w14:paraId="20F748B8" w14:textId="77777777" w:rsidR="001500E1" w:rsidRPr="009468C0" w:rsidRDefault="001500E1" w:rsidP="00E636D7">
      <w:pPr>
        <w:spacing w:after="0"/>
        <w:rPr>
          <w:rFonts w:ascii="Times New Roman" w:hAnsi="Times New Roman"/>
          <w:sz w:val="24"/>
          <w:szCs w:val="24"/>
        </w:rPr>
      </w:pPr>
    </w:p>
    <w:p w14:paraId="5BB79FE1" w14:textId="77777777" w:rsidR="00D47174" w:rsidRPr="009468C0" w:rsidRDefault="00D47174" w:rsidP="00E636D7">
      <w:pPr>
        <w:spacing w:after="0"/>
        <w:rPr>
          <w:rFonts w:ascii="Times New Roman" w:hAnsi="Times New Roman"/>
          <w:sz w:val="24"/>
          <w:szCs w:val="24"/>
        </w:rPr>
      </w:pPr>
      <w:r w:rsidRPr="009468C0">
        <w:rPr>
          <w:rFonts w:ascii="Times New Roman" w:hAnsi="Times New Roman"/>
          <w:sz w:val="24"/>
          <w:szCs w:val="24"/>
        </w:rPr>
        <w:lastRenderedPageBreak/>
        <w:t xml:space="preserve">There are no other non-labor costs associated with the CIP version 5 standards. </w:t>
      </w:r>
    </w:p>
    <w:p w14:paraId="5BB79FE2" w14:textId="77777777" w:rsidR="00D47174" w:rsidRPr="009468C0" w:rsidRDefault="00D47174" w:rsidP="00E636D7">
      <w:pPr>
        <w:spacing w:after="0"/>
        <w:rPr>
          <w:rFonts w:ascii="Times New Roman" w:hAnsi="Times New Roman"/>
          <w:sz w:val="24"/>
          <w:szCs w:val="24"/>
        </w:rPr>
      </w:pPr>
    </w:p>
    <w:p w14:paraId="5BB79FE3" w14:textId="77777777" w:rsidR="00D47174" w:rsidRPr="009468C0" w:rsidRDefault="00D47174" w:rsidP="00A72E7B">
      <w:pPr>
        <w:pStyle w:val="ListParagraph"/>
        <w:numPr>
          <w:ilvl w:val="0"/>
          <w:numId w:val="1"/>
        </w:numPr>
        <w:spacing w:after="0"/>
        <w:ind w:left="360"/>
        <w:rPr>
          <w:rFonts w:ascii="Times New Roman" w:hAnsi="Times New Roman"/>
          <w:b/>
          <w:sz w:val="24"/>
          <w:szCs w:val="24"/>
        </w:rPr>
      </w:pPr>
      <w:r w:rsidRPr="009468C0">
        <w:rPr>
          <w:rFonts w:ascii="Times New Roman" w:hAnsi="Times New Roman"/>
          <w:b/>
          <w:sz w:val="24"/>
          <w:szCs w:val="24"/>
        </w:rPr>
        <w:t>ESTIMATED ANNUALIZED COST TO FEDERAL GOVERNMENT</w:t>
      </w:r>
    </w:p>
    <w:p w14:paraId="5BB79FE4" w14:textId="77777777" w:rsidR="00D47174" w:rsidRPr="009468C0" w:rsidRDefault="00D47174" w:rsidP="00A276F5">
      <w:pPr>
        <w:spacing w:after="0"/>
        <w:rPr>
          <w:rFonts w:ascii="Times New Roman" w:hAnsi="Times New Roman"/>
          <w:sz w:val="24"/>
          <w:szCs w:val="24"/>
        </w:rPr>
      </w:pPr>
    </w:p>
    <w:p w14:paraId="5BB79FE5" w14:textId="77777777" w:rsidR="00162191" w:rsidRDefault="00D47174" w:rsidP="00A276F5">
      <w:pPr>
        <w:spacing w:after="0"/>
        <w:rPr>
          <w:rFonts w:ascii="Times New Roman" w:hAnsi="Times New Roman"/>
          <w:sz w:val="24"/>
          <w:szCs w:val="24"/>
        </w:rPr>
      </w:pPr>
      <w:r w:rsidRPr="009468C0">
        <w:rPr>
          <w:rFonts w:ascii="Times New Roman" w:hAnsi="Times New Roman"/>
          <w:sz w:val="24"/>
          <w:szCs w:val="24"/>
        </w:rPr>
        <w:t xml:space="preserve">The CIP Reliability Standards do not require any information to be submitted to FERC.  Most of the FERC </w:t>
      </w:r>
      <w:r w:rsidR="00AE551C">
        <w:rPr>
          <w:rFonts w:ascii="Times New Roman" w:hAnsi="Times New Roman"/>
          <w:sz w:val="24"/>
          <w:szCs w:val="24"/>
        </w:rPr>
        <w:t xml:space="preserve">cost </w:t>
      </w:r>
      <w:r w:rsidRPr="009468C0">
        <w:rPr>
          <w:rFonts w:ascii="Times New Roman" w:hAnsi="Times New Roman"/>
          <w:sz w:val="24"/>
          <w:szCs w:val="24"/>
        </w:rPr>
        <w:t xml:space="preserve">pertaining to the CIP standards relates to violation reporting or other compliance monitoring and review activities, all of which are contained in the FERC-725 collection (OMB Control No. 1902-0225).  </w:t>
      </w:r>
    </w:p>
    <w:p w14:paraId="5BB79FE6" w14:textId="77777777" w:rsidR="00162191" w:rsidRDefault="00162191" w:rsidP="00A276F5">
      <w:pPr>
        <w:spacing w:after="0"/>
        <w:rPr>
          <w:rFonts w:ascii="Times New Roman" w:hAnsi="Times New Roman"/>
          <w:sz w:val="24"/>
          <w:szCs w:val="24"/>
        </w:rPr>
      </w:pPr>
    </w:p>
    <w:p w14:paraId="5BB79FE7" w14:textId="77777777" w:rsidR="00D47174" w:rsidRPr="009468C0" w:rsidRDefault="00D47174" w:rsidP="00A276F5">
      <w:pPr>
        <w:spacing w:after="0"/>
        <w:rPr>
          <w:rFonts w:ascii="Times New Roman" w:hAnsi="Times New Roman"/>
          <w:sz w:val="24"/>
          <w:szCs w:val="24"/>
        </w:rPr>
      </w:pPr>
      <w:r w:rsidRPr="009468C0">
        <w:rPr>
          <w:rFonts w:ascii="Times New Roman" w:hAnsi="Times New Roman"/>
          <w:sz w:val="24"/>
          <w:szCs w:val="24"/>
        </w:rPr>
        <w:t>FERC does incur costs in maintaining this collection of information current with OMB as indicated in the following table.</w:t>
      </w:r>
    </w:p>
    <w:p w14:paraId="5BB79FE8" w14:textId="77777777" w:rsidR="00D47174" w:rsidRPr="009468C0" w:rsidRDefault="00D47174" w:rsidP="00A276F5">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2"/>
        <w:gridCol w:w="3173"/>
      </w:tblGrid>
      <w:tr w:rsidR="00D47174" w:rsidRPr="009468C0" w14:paraId="5BB79FEB" w14:textId="77777777" w:rsidTr="00322645">
        <w:tc>
          <w:tcPr>
            <w:tcW w:w="3222" w:type="dxa"/>
            <w:shd w:val="clear" w:color="auto" w:fill="CCCCCC"/>
          </w:tcPr>
          <w:p w14:paraId="5BB79FE9" w14:textId="77777777" w:rsidR="00D47174" w:rsidRPr="009468C0" w:rsidRDefault="00D47174" w:rsidP="00322645">
            <w:pPr>
              <w:spacing w:after="0"/>
              <w:rPr>
                <w:rFonts w:ascii="Times New Roman" w:hAnsi="Times New Roman"/>
                <w:b/>
                <w:sz w:val="24"/>
                <w:szCs w:val="24"/>
              </w:rPr>
            </w:pPr>
            <w:r w:rsidRPr="009468C0">
              <w:rPr>
                <w:rFonts w:ascii="Times New Roman" w:hAnsi="Times New Roman"/>
                <w:b/>
                <w:sz w:val="24"/>
                <w:szCs w:val="24"/>
              </w:rPr>
              <w:t>FERC-725B Federal Cost</w:t>
            </w:r>
          </w:p>
        </w:tc>
        <w:tc>
          <w:tcPr>
            <w:tcW w:w="3173" w:type="dxa"/>
            <w:shd w:val="clear" w:color="auto" w:fill="CCCCCC"/>
          </w:tcPr>
          <w:p w14:paraId="5BB79FEA" w14:textId="77777777" w:rsidR="00D47174" w:rsidRPr="009468C0" w:rsidRDefault="00D47174" w:rsidP="00322645">
            <w:pPr>
              <w:spacing w:after="0"/>
              <w:rPr>
                <w:rFonts w:ascii="Times New Roman" w:hAnsi="Times New Roman"/>
                <w:b/>
                <w:sz w:val="24"/>
                <w:szCs w:val="24"/>
              </w:rPr>
            </w:pPr>
            <w:r w:rsidRPr="009468C0">
              <w:rPr>
                <w:rFonts w:ascii="Times New Roman" w:hAnsi="Times New Roman"/>
                <w:b/>
                <w:sz w:val="24"/>
                <w:szCs w:val="24"/>
              </w:rPr>
              <w:t>Estimated Annual Federal Cost</w:t>
            </w:r>
            <w:r w:rsidRPr="009468C0">
              <w:rPr>
                <w:rFonts w:ascii="Times New Roman" w:hAnsi="Times New Roman"/>
                <w:b/>
                <w:sz w:val="24"/>
                <w:szCs w:val="24"/>
                <w:vertAlign w:val="superscript"/>
              </w:rPr>
              <w:footnoteReference w:id="50"/>
            </w:r>
          </w:p>
        </w:tc>
      </w:tr>
      <w:tr w:rsidR="00D47174" w:rsidRPr="009468C0" w14:paraId="5BB79FEE" w14:textId="77777777" w:rsidTr="00322645">
        <w:tc>
          <w:tcPr>
            <w:tcW w:w="3222" w:type="dxa"/>
          </w:tcPr>
          <w:p w14:paraId="5BB79FEC" w14:textId="77777777" w:rsidR="00D47174" w:rsidRPr="009468C0" w:rsidRDefault="00D47174" w:rsidP="00322645">
            <w:pPr>
              <w:spacing w:after="0"/>
              <w:rPr>
                <w:rFonts w:ascii="Times New Roman" w:hAnsi="Times New Roman"/>
                <w:sz w:val="24"/>
                <w:szCs w:val="24"/>
              </w:rPr>
            </w:pPr>
            <w:r w:rsidRPr="009468C0">
              <w:rPr>
                <w:rFonts w:ascii="Times New Roman" w:hAnsi="Times New Roman"/>
                <w:sz w:val="24"/>
                <w:szCs w:val="24"/>
              </w:rPr>
              <w:t>PRA Administration Cost</w:t>
            </w:r>
            <w:r w:rsidRPr="009468C0">
              <w:rPr>
                <w:rFonts w:ascii="Times New Roman" w:hAnsi="Times New Roman"/>
                <w:sz w:val="24"/>
                <w:szCs w:val="24"/>
                <w:vertAlign w:val="superscript"/>
              </w:rPr>
              <w:footnoteReference w:id="51"/>
            </w:r>
          </w:p>
        </w:tc>
        <w:tc>
          <w:tcPr>
            <w:tcW w:w="3173" w:type="dxa"/>
            <w:vAlign w:val="bottom"/>
          </w:tcPr>
          <w:p w14:paraId="5BB79FED" w14:textId="77777777" w:rsidR="00D47174" w:rsidRPr="009468C0" w:rsidRDefault="00D47174" w:rsidP="00322645">
            <w:pPr>
              <w:spacing w:after="0"/>
              <w:rPr>
                <w:rFonts w:ascii="Times New Roman" w:hAnsi="Times New Roman"/>
                <w:sz w:val="24"/>
                <w:szCs w:val="24"/>
              </w:rPr>
            </w:pPr>
            <w:r w:rsidRPr="009468C0">
              <w:rPr>
                <w:rFonts w:ascii="Times New Roman" w:hAnsi="Times New Roman"/>
                <w:sz w:val="24"/>
                <w:szCs w:val="24"/>
              </w:rPr>
              <w:t>$2,250</w:t>
            </w:r>
          </w:p>
        </w:tc>
      </w:tr>
    </w:tbl>
    <w:p w14:paraId="5BB79FEF" w14:textId="77777777" w:rsidR="00D47174" w:rsidRPr="009468C0" w:rsidRDefault="00D47174" w:rsidP="00A276F5">
      <w:pPr>
        <w:spacing w:after="0"/>
        <w:rPr>
          <w:rFonts w:ascii="Times New Roman" w:hAnsi="Times New Roman"/>
          <w:sz w:val="24"/>
          <w:szCs w:val="24"/>
        </w:rPr>
      </w:pPr>
    </w:p>
    <w:p w14:paraId="5BB79FF0" w14:textId="77777777" w:rsidR="00D47174" w:rsidRPr="009468C0" w:rsidRDefault="00D47174" w:rsidP="00A72E7B">
      <w:pPr>
        <w:pStyle w:val="ListParagraph"/>
        <w:numPr>
          <w:ilvl w:val="0"/>
          <w:numId w:val="1"/>
        </w:numPr>
        <w:spacing w:after="0"/>
        <w:ind w:left="360"/>
        <w:rPr>
          <w:rFonts w:ascii="Times New Roman" w:hAnsi="Times New Roman"/>
          <w:b/>
          <w:sz w:val="24"/>
          <w:szCs w:val="24"/>
        </w:rPr>
      </w:pPr>
      <w:r w:rsidRPr="009468C0">
        <w:rPr>
          <w:rFonts w:ascii="Times New Roman" w:hAnsi="Times New Roman"/>
          <w:b/>
          <w:sz w:val="24"/>
          <w:szCs w:val="24"/>
        </w:rPr>
        <w:t>REASONS FOR CHANGES IN BURDEN INCLUDING THE NEED FOR ANY INCREASE</w:t>
      </w:r>
    </w:p>
    <w:p w14:paraId="5BB79FF1" w14:textId="77777777" w:rsidR="00D47174" w:rsidRPr="009468C0" w:rsidRDefault="00D47174" w:rsidP="00A276F5">
      <w:pPr>
        <w:spacing w:after="0"/>
        <w:rPr>
          <w:rFonts w:ascii="Times New Roman" w:hAnsi="Times New Roman"/>
          <w:sz w:val="24"/>
          <w:szCs w:val="24"/>
        </w:rPr>
      </w:pPr>
    </w:p>
    <w:p w14:paraId="5BB79FF2" w14:textId="219EF28F" w:rsidR="00162191" w:rsidRDefault="00162191" w:rsidP="008379FA">
      <w:pPr>
        <w:spacing w:after="0"/>
        <w:rPr>
          <w:rFonts w:ascii="Times New Roman" w:hAnsi="Times New Roman"/>
          <w:sz w:val="24"/>
          <w:szCs w:val="24"/>
        </w:rPr>
      </w:pPr>
      <w:r>
        <w:rPr>
          <w:rFonts w:ascii="Times New Roman" w:hAnsi="Times New Roman"/>
          <w:sz w:val="24"/>
          <w:szCs w:val="24"/>
        </w:rPr>
        <w:t xml:space="preserve">FERC has issued a </w:t>
      </w:r>
      <w:r w:rsidR="00AB5F3B">
        <w:rPr>
          <w:rFonts w:ascii="Times New Roman" w:hAnsi="Times New Roman"/>
          <w:sz w:val="24"/>
          <w:szCs w:val="24"/>
        </w:rPr>
        <w:t>final</w:t>
      </w:r>
      <w:r>
        <w:rPr>
          <w:rFonts w:ascii="Times New Roman" w:hAnsi="Times New Roman"/>
          <w:sz w:val="24"/>
          <w:szCs w:val="24"/>
        </w:rPr>
        <w:t xml:space="preserve"> rule which adopt</w:t>
      </w:r>
      <w:r w:rsidR="00AB5F3B">
        <w:rPr>
          <w:rFonts w:ascii="Times New Roman" w:hAnsi="Times New Roman"/>
          <w:sz w:val="24"/>
          <w:szCs w:val="24"/>
        </w:rPr>
        <w:t>s</w:t>
      </w:r>
      <w:r>
        <w:rPr>
          <w:rFonts w:ascii="Times New Roman" w:hAnsi="Times New Roman"/>
          <w:sz w:val="24"/>
          <w:szCs w:val="24"/>
        </w:rPr>
        <w:t xml:space="preserve"> the CIP version 5 Reliability Standards.  As discussed previously, these standards are an improvement over the current </w:t>
      </w:r>
      <w:r w:rsidR="00AE551C">
        <w:rPr>
          <w:rFonts w:ascii="Times New Roman" w:hAnsi="Times New Roman"/>
          <w:sz w:val="24"/>
          <w:szCs w:val="24"/>
        </w:rPr>
        <w:t xml:space="preserve">Version 4 </w:t>
      </w:r>
      <w:r>
        <w:rPr>
          <w:rFonts w:ascii="Times New Roman" w:hAnsi="Times New Roman"/>
          <w:sz w:val="24"/>
          <w:szCs w:val="24"/>
        </w:rPr>
        <w:t>standards.  T</w:t>
      </w:r>
      <w:r w:rsidR="00AB5F3B">
        <w:rPr>
          <w:rFonts w:ascii="Times New Roman" w:hAnsi="Times New Roman"/>
          <w:sz w:val="24"/>
          <w:szCs w:val="24"/>
        </w:rPr>
        <w:t xml:space="preserve">he CIP version 5 standards </w:t>
      </w:r>
      <w:r>
        <w:rPr>
          <w:rFonts w:ascii="Times New Roman" w:hAnsi="Times New Roman"/>
          <w:sz w:val="24"/>
          <w:szCs w:val="24"/>
        </w:rPr>
        <w:t>require new and ongoing paperwork burden.</w:t>
      </w:r>
    </w:p>
    <w:p w14:paraId="5BB79FF3" w14:textId="77777777" w:rsidR="00162191" w:rsidRDefault="00162191" w:rsidP="008379FA">
      <w:pPr>
        <w:spacing w:after="0"/>
        <w:rPr>
          <w:rFonts w:ascii="Times New Roman" w:hAnsi="Times New Roman"/>
          <w:sz w:val="24"/>
          <w:szCs w:val="24"/>
        </w:rPr>
      </w:pPr>
    </w:p>
    <w:p w14:paraId="5BB79FF4" w14:textId="4511C9AD" w:rsidR="008379FA" w:rsidRPr="009468C0" w:rsidRDefault="008379FA" w:rsidP="008379FA">
      <w:pPr>
        <w:spacing w:after="0"/>
        <w:rPr>
          <w:rFonts w:ascii="Times New Roman" w:hAnsi="Times New Roman"/>
          <w:sz w:val="24"/>
          <w:szCs w:val="24"/>
        </w:rPr>
      </w:pPr>
      <w:r w:rsidRPr="009468C0">
        <w:rPr>
          <w:rFonts w:ascii="Times New Roman" w:hAnsi="Times New Roman"/>
          <w:sz w:val="24"/>
          <w:szCs w:val="24"/>
        </w:rPr>
        <w:t xml:space="preserve">FERC is averaging the estimated burden hours </w:t>
      </w:r>
      <w:r w:rsidR="00162191">
        <w:rPr>
          <w:rFonts w:ascii="Times New Roman" w:hAnsi="Times New Roman"/>
          <w:sz w:val="24"/>
          <w:szCs w:val="24"/>
        </w:rPr>
        <w:t xml:space="preserve">from the proposed rule </w:t>
      </w:r>
      <w:r w:rsidRPr="009468C0">
        <w:rPr>
          <w:rFonts w:ascii="Times New Roman" w:hAnsi="Times New Roman"/>
          <w:sz w:val="24"/>
          <w:szCs w:val="24"/>
        </w:rPr>
        <w:t xml:space="preserve">across the first three years to create an annual figure to provide to OMB.  This annual figure is </w:t>
      </w:r>
      <w:r w:rsidR="001A40E0" w:rsidRPr="009468C0">
        <w:rPr>
          <w:rFonts w:ascii="Times New Roman" w:hAnsi="Times New Roman"/>
          <w:sz w:val="24"/>
          <w:szCs w:val="24"/>
        </w:rPr>
        <w:t>7</w:t>
      </w:r>
      <w:r w:rsidR="001A40E0">
        <w:rPr>
          <w:rFonts w:ascii="Times New Roman" w:hAnsi="Times New Roman"/>
          <w:sz w:val="24"/>
          <w:szCs w:val="24"/>
        </w:rPr>
        <w:t>79</w:t>
      </w:r>
      <w:r w:rsidRPr="009468C0">
        <w:rPr>
          <w:rFonts w:ascii="Times New Roman" w:hAnsi="Times New Roman"/>
          <w:sz w:val="24"/>
          <w:szCs w:val="24"/>
        </w:rPr>
        <w:t>,</w:t>
      </w:r>
      <w:r w:rsidR="001A40E0">
        <w:rPr>
          <w:rFonts w:ascii="Times New Roman" w:hAnsi="Times New Roman"/>
          <w:sz w:val="24"/>
          <w:szCs w:val="24"/>
        </w:rPr>
        <w:t>595</w:t>
      </w:r>
      <w:r w:rsidR="001A40E0" w:rsidRPr="009468C0">
        <w:rPr>
          <w:rFonts w:ascii="Times New Roman" w:hAnsi="Times New Roman"/>
          <w:sz w:val="24"/>
          <w:szCs w:val="24"/>
        </w:rPr>
        <w:t xml:space="preserve"> </w:t>
      </w:r>
      <w:proofErr w:type="spellStart"/>
      <w:r w:rsidR="00DD2DE8" w:rsidRPr="009468C0">
        <w:rPr>
          <w:rFonts w:ascii="Times New Roman" w:hAnsi="Times New Roman"/>
          <w:sz w:val="24"/>
          <w:szCs w:val="24"/>
        </w:rPr>
        <w:t>hrs</w:t>
      </w:r>
      <w:proofErr w:type="spellEnd"/>
      <w:r w:rsidR="00DD2DE8" w:rsidRPr="009468C0">
        <w:rPr>
          <w:rFonts w:ascii="Times New Roman" w:hAnsi="Times New Roman"/>
          <w:sz w:val="24"/>
          <w:szCs w:val="24"/>
        </w:rPr>
        <w:t xml:space="preserve"> [(418,048 </w:t>
      </w:r>
      <w:proofErr w:type="spellStart"/>
      <w:r w:rsidR="00DD2DE8" w:rsidRPr="009468C0">
        <w:rPr>
          <w:rFonts w:ascii="Times New Roman" w:hAnsi="Times New Roman"/>
          <w:sz w:val="24"/>
          <w:szCs w:val="24"/>
        </w:rPr>
        <w:t>hrs</w:t>
      </w:r>
      <w:proofErr w:type="spellEnd"/>
      <w:r w:rsidR="00DD2DE8" w:rsidRPr="009468C0">
        <w:rPr>
          <w:rFonts w:ascii="Times New Roman" w:hAnsi="Times New Roman"/>
          <w:sz w:val="24"/>
          <w:szCs w:val="24"/>
        </w:rPr>
        <w:t xml:space="preserve"> + 1,162,788 </w:t>
      </w:r>
      <w:proofErr w:type="spellStart"/>
      <w:r w:rsidR="00DD2DE8" w:rsidRPr="009468C0">
        <w:rPr>
          <w:rFonts w:ascii="Times New Roman" w:hAnsi="Times New Roman"/>
          <w:sz w:val="24"/>
          <w:szCs w:val="24"/>
        </w:rPr>
        <w:t>hrs</w:t>
      </w:r>
      <w:proofErr w:type="spellEnd"/>
      <w:r w:rsidR="00DD2DE8" w:rsidRPr="009468C0">
        <w:rPr>
          <w:rFonts w:ascii="Times New Roman" w:hAnsi="Times New Roman"/>
          <w:sz w:val="24"/>
          <w:szCs w:val="24"/>
        </w:rPr>
        <w:t xml:space="preserve"> + 757,948</w:t>
      </w:r>
      <w:r w:rsidRPr="009468C0">
        <w:rPr>
          <w:rFonts w:ascii="Times New Roman" w:hAnsi="Times New Roman"/>
          <w:sz w:val="24"/>
          <w:szCs w:val="24"/>
        </w:rPr>
        <w:t xml:space="preserve"> </w:t>
      </w:r>
      <w:proofErr w:type="spellStart"/>
      <w:r w:rsidRPr="009468C0">
        <w:rPr>
          <w:rFonts w:ascii="Times New Roman" w:hAnsi="Times New Roman"/>
          <w:sz w:val="24"/>
          <w:szCs w:val="24"/>
        </w:rPr>
        <w:t>hrs</w:t>
      </w:r>
      <w:proofErr w:type="spellEnd"/>
      <w:r w:rsidRPr="009468C0">
        <w:rPr>
          <w:rFonts w:ascii="Times New Roman" w:hAnsi="Times New Roman"/>
          <w:sz w:val="24"/>
          <w:szCs w:val="24"/>
        </w:rPr>
        <w:t>)/3 =</w:t>
      </w:r>
      <w:r w:rsidR="00DD2DE8" w:rsidRPr="009468C0">
        <w:rPr>
          <w:rFonts w:ascii="Times New Roman" w:hAnsi="Times New Roman"/>
          <w:sz w:val="24"/>
          <w:szCs w:val="24"/>
        </w:rPr>
        <w:t xml:space="preserve"> 779,595</w:t>
      </w:r>
      <w:r w:rsidRPr="009468C0">
        <w:rPr>
          <w:rFonts w:ascii="Times New Roman" w:hAnsi="Times New Roman"/>
          <w:sz w:val="24"/>
          <w:szCs w:val="24"/>
        </w:rPr>
        <w:t xml:space="preserve"> </w:t>
      </w:r>
      <w:proofErr w:type="spellStart"/>
      <w:r w:rsidRPr="009468C0">
        <w:rPr>
          <w:rFonts w:ascii="Times New Roman" w:hAnsi="Times New Roman"/>
          <w:sz w:val="24"/>
          <w:szCs w:val="24"/>
        </w:rPr>
        <w:t>hrs</w:t>
      </w:r>
      <w:proofErr w:type="spellEnd"/>
      <w:r w:rsidRPr="009468C0">
        <w:rPr>
          <w:rFonts w:ascii="Times New Roman" w:hAnsi="Times New Roman"/>
          <w:sz w:val="24"/>
          <w:szCs w:val="24"/>
        </w:rPr>
        <w:t>].  After the first three years, entities will have completed implementation of CIP version 5</w:t>
      </w:r>
      <w:r w:rsidR="00F7016E">
        <w:rPr>
          <w:rFonts w:ascii="Times New Roman" w:hAnsi="Times New Roman"/>
          <w:sz w:val="24"/>
          <w:szCs w:val="24"/>
        </w:rPr>
        <w:t xml:space="preserve"> (a total of 383,543 hours)</w:t>
      </w:r>
      <w:r w:rsidR="00BA6E18">
        <w:rPr>
          <w:rFonts w:ascii="Times New Roman" w:hAnsi="Times New Roman"/>
          <w:sz w:val="24"/>
          <w:szCs w:val="24"/>
        </w:rPr>
        <w:t xml:space="preserve"> and will continue with ongoing burden unless other changes are made</w:t>
      </w:r>
      <w:r w:rsidR="00F7016E">
        <w:rPr>
          <w:rFonts w:ascii="Times New Roman" w:hAnsi="Times New Roman"/>
          <w:sz w:val="24"/>
          <w:szCs w:val="24"/>
        </w:rPr>
        <w:t>.</w:t>
      </w:r>
      <w:r w:rsidR="00234A3C" w:rsidRPr="009468C0">
        <w:rPr>
          <w:rStyle w:val="FootnoteReference"/>
          <w:rFonts w:ascii="Times New Roman" w:hAnsi="Times New Roman"/>
          <w:sz w:val="24"/>
          <w:szCs w:val="24"/>
          <w:vertAlign w:val="superscript"/>
        </w:rPr>
        <w:footnoteReference w:id="52"/>
      </w:r>
    </w:p>
    <w:p w14:paraId="5BB79FF5" w14:textId="77777777" w:rsidR="008379FA" w:rsidRPr="009468C0" w:rsidRDefault="008379FA" w:rsidP="008379FA">
      <w:pPr>
        <w:spacing w:after="0"/>
        <w:rPr>
          <w:rFonts w:ascii="Times New Roman" w:hAnsi="Times New Roman"/>
          <w:sz w:val="24"/>
          <w:szCs w:val="24"/>
        </w:rPr>
      </w:pPr>
    </w:p>
    <w:p w14:paraId="5BB79FF6" w14:textId="1B077CDD" w:rsidR="00AE551C" w:rsidRDefault="008379FA" w:rsidP="008379FA">
      <w:pPr>
        <w:spacing w:after="0"/>
        <w:rPr>
          <w:rFonts w:ascii="Times New Roman" w:hAnsi="Times New Roman"/>
          <w:sz w:val="24"/>
          <w:szCs w:val="24"/>
        </w:rPr>
      </w:pPr>
      <w:r w:rsidRPr="009468C0">
        <w:rPr>
          <w:rFonts w:ascii="Times New Roman" w:hAnsi="Times New Roman"/>
          <w:sz w:val="24"/>
          <w:szCs w:val="24"/>
        </w:rPr>
        <w:t>FERC proposes to add the ann</w:t>
      </w:r>
      <w:r w:rsidR="00C606BC" w:rsidRPr="009468C0">
        <w:rPr>
          <w:rFonts w:ascii="Times New Roman" w:hAnsi="Times New Roman"/>
          <w:sz w:val="24"/>
          <w:szCs w:val="24"/>
        </w:rPr>
        <w:t xml:space="preserve">ual hours from the </w:t>
      </w:r>
      <w:r w:rsidR="00AB5F3B">
        <w:rPr>
          <w:rFonts w:ascii="Times New Roman" w:hAnsi="Times New Roman"/>
          <w:sz w:val="24"/>
          <w:szCs w:val="24"/>
        </w:rPr>
        <w:t>final rule</w:t>
      </w:r>
      <w:r w:rsidR="00C606BC" w:rsidRPr="009468C0">
        <w:rPr>
          <w:rFonts w:ascii="Times New Roman" w:hAnsi="Times New Roman"/>
          <w:sz w:val="24"/>
          <w:szCs w:val="24"/>
        </w:rPr>
        <w:t>, 779,595</w:t>
      </w:r>
      <w:r w:rsidRPr="009468C0">
        <w:rPr>
          <w:rFonts w:ascii="Times New Roman" w:hAnsi="Times New Roman"/>
          <w:sz w:val="24"/>
          <w:szCs w:val="24"/>
        </w:rPr>
        <w:t xml:space="preserve"> hours, to an adjusted baseline of burden hours under the existing CIP standards.  </w:t>
      </w:r>
      <w:r w:rsidR="003B71E2">
        <w:rPr>
          <w:rFonts w:ascii="Times New Roman" w:hAnsi="Times New Roman"/>
          <w:sz w:val="24"/>
          <w:szCs w:val="24"/>
        </w:rPr>
        <w:t>The current burden inventory shows 8</w:t>
      </w:r>
      <w:r w:rsidR="00025F48">
        <w:rPr>
          <w:rFonts w:ascii="Times New Roman" w:hAnsi="Times New Roman"/>
          <w:sz w:val="24"/>
          <w:szCs w:val="24"/>
        </w:rPr>
        <w:t>48</w:t>
      </w:r>
      <w:r w:rsidR="003B71E2">
        <w:rPr>
          <w:rFonts w:ascii="Times New Roman" w:hAnsi="Times New Roman"/>
          <w:sz w:val="24"/>
          <w:szCs w:val="24"/>
        </w:rPr>
        <w:t>,</w:t>
      </w:r>
      <w:r w:rsidR="00025F48">
        <w:rPr>
          <w:rFonts w:ascii="Times New Roman" w:hAnsi="Times New Roman"/>
          <w:sz w:val="24"/>
          <w:szCs w:val="24"/>
        </w:rPr>
        <w:t>730</w:t>
      </w:r>
      <w:r w:rsidR="003B71E2">
        <w:rPr>
          <w:rFonts w:ascii="Times New Roman" w:hAnsi="Times New Roman"/>
          <w:sz w:val="24"/>
          <w:szCs w:val="24"/>
        </w:rPr>
        <w:t xml:space="preserve"> hours.  </w:t>
      </w:r>
      <w:r w:rsidRPr="009468C0">
        <w:rPr>
          <w:rFonts w:ascii="Times New Roman" w:hAnsi="Times New Roman"/>
          <w:sz w:val="24"/>
          <w:szCs w:val="24"/>
        </w:rPr>
        <w:t>FERC is adjusting the existing hours based upon careful review of the assumptions</w:t>
      </w:r>
      <w:r w:rsidR="00162191">
        <w:rPr>
          <w:rFonts w:ascii="Times New Roman" w:hAnsi="Times New Roman"/>
          <w:sz w:val="24"/>
          <w:szCs w:val="24"/>
        </w:rPr>
        <w:t xml:space="preserve"> used to generate the previous estimates</w:t>
      </w:r>
      <w:r w:rsidRPr="009468C0">
        <w:rPr>
          <w:rFonts w:ascii="Times New Roman" w:hAnsi="Times New Roman"/>
          <w:sz w:val="24"/>
          <w:szCs w:val="24"/>
        </w:rPr>
        <w:t xml:space="preserve">.  </w:t>
      </w:r>
    </w:p>
    <w:p w14:paraId="5BB79FF7" w14:textId="77777777" w:rsidR="00AE551C" w:rsidRDefault="008379FA" w:rsidP="00E66BEB">
      <w:pPr>
        <w:pStyle w:val="ListParagraph"/>
        <w:numPr>
          <w:ilvl w:val="0"/>
          <w:numId w:val="8"/>
        </w:numPr>
        <w:spacing w:after="0"/>
        <w:rPr>
          <w:rFonts w:ascii="Times New Roman" w:hAnsi="Times New Roman"/>
          <w:sz w:val="24"/>
          <w:szCs w:val="24"/>
        </w:rPr>
      </w:pPr>
      <w:r w:rsidRPr="00937689">
        <w:rPr>
          <w:rFonts w:ascii="Times New Roman" w:hAnsi="Times New Roman"/>
          <w:sz w:val="24"/>
          <w:szCs w:val="24"/>
        </w:rPr>
        <w:lastRenderedPageBreak/>
        <w:t xml:space="preserve">In particular, one of the assumptions was that entities would incur the full burden of preparing for an audit </w:t>
      </w:r>
      <w:r w:rsidRPr="00937689">
        <w:rPr>
          <w:rFonts w:ascii="Times New Roman" w:hAnsi="Times New Roman"/>
          <w:i/>
          <w:sz w:val="24"/>
          <w:szCs w:val="24"/>
        </w:rPr>
        <w:t>each year</w:t>
      </w:r>
      <w:r w:rsidRPr="00937689">
        <w:rPr>
          <w:sz w:val="24"/>
          <w:szCs w:val="24"/>
        </w:rPr>
        <w:t xml:space="preserve"> </w:t>
      </w:r>
      <w:r w:rsidRPr="00937689">
        <w:rPr>
          <w:rFonts w:ascii="Times New Roman" w:hAnsi="Times New Roman"/>
          <w:sz w:val="24"/>
          <w:szCs w:val="24"/>
        </w:rPr>
        <w:t>instead of every 3-5 years.  A small fraction of entities may be responsible for multiple functions and be audited on a more frequent basis</w:t>
      </w:r>
      <w:r w:rsidR="00162191" w:rsidRPr="00937689">
        <w:rPr>
          <w:rFonts w:ascii="Times New Roman" w:hAnsi="Times New Roman"/>
          <w:sz w:val="24"/>
          <w:szCs w:val="24"/>
        </w:rPr>
        <w:t xml:space="preserve"> but this is the exception and not the rule</w:t>
      </w:r>
      <w:r w:rsidRPr="00937689">
        <w:rPr>
          <w:rFonts w:ascii="Times New Roman" w:hAnsi="Times New Roman"/>
          <w:sz w:val="24"/>
          <w:szCs w:val="24"/>
        </w:rPr>
        <w:t>.  We account for that in the adjusted figure.</w:t>
      </w:r>
      <w:r w:rsidR="003B71E2">
        <w:rPr>
          <w:rFonts w:ascii="Times New Roman" w:hAnsi="Times New Roman"/>
          <w:sz w:val="24"/>
          <w:szCs w:val="24"/>
        </w:rPr>
        <w:t xml:space="preserve">  The total burden reduction for modifying this assumption is 429,600 hours.</w:t>
      </w:r>
      <w:r w:rsidRPr="00937689">
        <w:rPr>
          <w:rFonts w:ascii="Times New Roman" w:hAnsi="Times New Roman"/>
          <w:sz w:val="24"/>
          <w:szCs w:val="24"/>
        </w:rPr>
        <w:t xml:space="preserve">  </w:t>
      </w:r>
    </w:p>
    <w:p w14:paraId="5BB79FF8" w14:textId="77777777" w:rsidR="00AE551C" w:rsidRDefault="008379FA" w:rsidP="00E66BEB">
      <w:pPr>
        <w:pStyle w:val="ListParagraph"/>
        <w:numPr>
          <w:ilvl w:val="0"/>
          <w:numId w:val="8"/>
        </w:numPr>
        <w:spacing w:after="0"/>
        <w:rPr>
          <w:rFonts w:ascii="Times New Roman" w:hAnsi="Times New Roman"/>
          <w:sz w:val="24"/>
          <w:szCs w:val="24"/>
        </w:rPr>
      </w:pPr>
      <w:r w:rsidRPr="00937689">
        <w:rPr>
          <w:rFonts w:ascii="Times New Roman" w:hAnsi="Times New Roman"/>
          <w:sz w:val="24"/>
          <w:szCs w:val="24"/>
        </w:rPr>
        <w:t>Also, the assumptions did not include some of the yearly burden required to keep documents up to date for future audits.</w:t>
      </w:r>
      <w:r w:rsidR="003B71E2">
        <w:rPr>
          <w:rFonts w:ascii="Times New Roman" w:hAnsi="Times New Roman"/>
          <w:sz w:val="24"/>
          <w:szCs w:val="24"/>
        </w:rPr>
        <w:t xml:space="preserve">  The change here leads to a 143,208 hour increase.</w:t>
      </w:r>
      <w:r w:rsidRPr="00937689">
        <w:rPr>
          <w:rFonts w:ascii="Times New Roman" w:hAnsi="Times New Roman"/>
          <w:sz w:val="24"/>
          <w:szCs w:val="24"/>
        </w:rPr>
        <w:t xml:space="preserve">  </w:t>
      </w:r>
    </w:p>
    <w:p w14:paraId="5BB79FF9" w14:textId="6EB50B3A" w:rsidR="008379FA" w:rsidRPr="00937689" w:rsidRDefault="008379FA" w:rsidP="00E66BEB">
      <w:pPr>
        <w:pStyle w:val="ListParagraph"/>
        <w:numPr>
          <w:ilvl w:val="0"/>
          <w:numId w:val="8"/>
        </w:numPr>
        <w:spacing w:after="0"/>
        <w:rPr>
          <w:rFonts w:ascii="Times New Roman" w:hAnsi="Times New Roman"/>
          <w:sz w:val="24"/>
          <w:szCs w:val="24"/>
        </w:rPr>
      </w:pPr>
      <w:r w:rsidRPr="00937689">
        <w:rPr>
          <w:rFonts w:ascii="Times New Roman" w:hAnsi="Times New Roman"/>
          <w:sz w:val="24"/>
          <w:szCs w:val="24"/>
        </w:rPr>
        <w:t>Finally, there are</w:t>
      </w:r>
      <w:r w:rsidR="00162191" w:rsidRPr="00937689">
        <w:rPr>
          <w:rFonts w:ascii="Times New Roman" w:hAnsi="Times New Roman"/>
          <w:sz w:val="24"/>
          <w:szCs w:val="24"/>
        </w:rPr>
        <w:t xml:space="preserve"> an estimated</w:t>
      </w:r>
      <w:r w:rsidRPr="00937689">
        <w:rPr>
          <w:rFonts w:ascii="Times New Roman" w:hAnsi="Times New Roman"/>
          <w:sz w:val="24"/>
          <w:szCs w:val="24"/>
        </w:rPr>
        <w:t xml:space="preserve"> </w:t>
      </w:r>
      <w:r w:rsidR="003B3F42">
        <w:rPr>
          <w:rFonts w:ascii="Times New Roman" w:hAnsi="Times New Roman"/>
          <w:sz w:val="24"/>
          <w:szCs w:val="24"/>
        </w:rPr>
        <w:t xml:space="preserve">net </w:t>
      </w:r>
      <w:r w:rsidRPr="00937689">
        <w:rPr>
          <w:rFonts w:ascii="Times New Roman" w:hAnsi="Times New Roman"/>
          <w:sz w:val="24"/>
          <w:szCs w:val="24"/>
        </w:rPr>
        <w:t>26 fewer entities now than there were the last time OMB approved this collection (a reduction from 1,501 to 1,475)</w:t>
      </w:r>
      <w:r w:rsidR="003B71E2">
        <w:rPr>
          <w:rFonts w:ascii="Times New Roman" w:hAnsi="Times New Roman"/>
          <w:sz w:val="24"/>
          <w:szCs w:val="24"/>
        </w:rPr>
        <w:t xml:space="preserve">.  This change leads to a </w:t>
      </w:r>
      <w:r w:rsidR="004059F1">
        <w:rPr>
          <w:rFonts w:ascii="Times New Roman" w:hAnsi="Times New Roman"/>
          <w:sz w:val="24"/>
          <w:szCs w:val="24"/>
        </w:rPr>
        <w:t>14,702</w:t>
      </w:r>
      <w:r w:rsidR="003B71E2">
        <w:rPr>
          <w:rFonts w:ascii="Times New Roman" w:hAnsi="Times New Roman"/>
          <w:sz w:val="24"/>
          <w:szCs w:val="24"/>
        </w:rPr>
        <w:t xml:space="preserve"> hour burden reduction.  CIP version 5 adds 61 entities leading to an overall change of -26 entities.</w:t>
      </w:r>
      <w:r w:rsidRPr="00937689">
        <w:rPr>
          <w:rFonts w:ascii="Times New Roman" w:hAnsi="Times New Roman"/>
          <w:sz w:val="24"/>
          <w:szCs w:val="24"/>
        </w:rPr>
        <w:t xml:space="preserve"> </w:t>
      </w:r>
      <w:r w:rsidR="003B71E2">
        <w:rPr>
          <w:rFonts w:ascii="Times New Roman" w:hAnsi="Times New Roman"/>
          <w:sz w:val="24"/>
          <w:szCs w:val="24"/>
        </w:rPr>
        <w:t xml:space="preserve"> </w:t>
      </w:r>
      <w:r w:rsidR="002345AE" w:rsidRPr="00937689">
        <w:rPr>
          <w:rFonts w:ascii="Times New Roman" w:hAnsi="Times New Roman"/>
          <w:sz w:val="24"/>
          <w:szCs w:val="24"/>
        </w:rPr>
        <w:t xml:space="preserve">The general reason for the reduction in entities is caused by </w:t>
      </w:r>
      <w:r w:rsidR="00186CD4" w:rsidRPr="00937689">
        <w:rPr>
          <w:rFonts w:ascii="Times New Roman" w:hAnsi="Times New Roman"/>
          <w:sz w:val="24"/>
          <w:szCs w:val="24"/>
        </w:rPr>
        <w:t xml:space="preserve">some </w:t>
      </w:r>
      <w:r w:rsidR="002345AE" w:rsidRPr="00937689">
        <w:rPr>
          <w:rFonts w:ascii="Times New Roman" w:hAnsi="Times New Roman"/>
          <w:sz w:val="24"/>
          <w:szCs w:val="24"/>
        </w:rPr>
        <w:t>entities merging and some entities dropping from the market.</w:t>
      </w:r>
    </w:p>
    <w:p w14:paraId="5BB79FFA" w14:textId="77777777" w:rsidR="002345AE" w:rsidRPr="009468C0" w:rsidRDefault="002345AE" w:rsidP="008379FA">
      <w:pPr>
        <w:spacing w:after="0"/>
        <w:rPr>
          <w:rFonts w:ascii="Times New Roman" w:hAnsi="Times New Roman"/>
          <w:sz w:val="24"/>
          <w:szCs w:val="24"/>
        </w:rPr>
      </w:pPr>
      <w:bookmarkStart w:id="1" w:name="_GoBack"/>
      <w:bookmarkEnd w:id="1"/>
    </w:p>
    <w:p w14:paraId="5BB79FFB" w14:textId="63B60649" w:rsidR="003B71E2" w:rsidRDefault="003B71E2" w:rsidP="008379FA">
      <w:pPr>
        <w:spacing w:after="0"/>
        <w:rPr>
          <w:rFonts w:ascii="Times New Roman" w:hAnsi="Times New Roman"/>
          <w:sz w:val="24"/>
          <w:szCs w:val="24"/>
        </w:rPr>
      </w:pPr>
      <w:r>
        <w:rPr>
          <w:rFonts w:ascii="Times New Roman" w:hAnsi="Times New Roman"/>
          <w:sz w:val="24"/>
          <w:szCs w:val="24"/>
        </w:rPr>
        <w:t xml:space="preserve">The total </w:t>
      </w:r>
      <w:r w:rsidR="00AD47DA">
        <w:rPr>
          <w:rFonts w:ascii="Times New Roman" w:hAnsi="Times New Roman"/>
          <w:sz w:val="24"/>
          <w:szCs w:val="24"/>
        </w:rPr>
        <w:t>change due to age</w:t>
      </w:r>
      <w:r w:rsidR="00812772">
        <w:rPr>
          <w:rFonts w:ascii="Times New Roman" w:hAnsi="Times New Roman"/>
          <w:sz w:val="24"/>
          <w:szCs w:val="24"/>
        </w:rPr>
        <w:t xml:space="preserve">ncy adjustment is </w:t>
      </w:r>
      <w:r w:rsidR="004059F1">
        <w:rPr>
          <w:rFonts w:ascii="Times New Roman" w:hAnsi="Times New Roman"/>
          <w:sz w:val="24"/>
          <w:szCs w:val="24"/>
        </w:rPr>
        <w:t>-301,</w:t>
      </w:r>
      <w:r w:rsidR="000A6E1D">
        <w:rPr>
          <w:rFonts w:ascii="Times New Roman" w:hAnsi="Times New Roman"/>
          <w:sz w:val="24"/>
          <w:szCs w:val="24"/>
        </w:rPr>
        <w:t>094</w:t>
      </w:r>
      <w:r w:rsidR="00AD47DA">
        <w:rPr>
          <w:rFonts w:ascii="Times New Roman" w:hAnsi="Times New Roman"/>
          <w:sz w:val="24"/>
          <w:szCs w:val="24"/>
        </w:rPr>
        <w:t xml:space="preserve"> hours (143,208 hours – 429,600</w:t>
      </w:r>
      <w:r w:rsidR="00812772">
        <w:rPr>
          <w:rFonts w:ascii="Times New Roman" w:hAnsi="Times New Roman"/>
          <w:sz w:val="24"/>
          <w:szCs w:val="24"/>
        </w:rPr>
        <w:t xml:space="preserve"> hours</w:t>
      </w:r>
      <w:r w:rsidR="00AD47DA">
        <w:rPr>
          <w:rFonts w:ascii="Times New Roman" w:hAnsi="Times New Roman"/>
          <w:sz w:val="24"/>
          <w:szCs w:val="24"/>
        </w:rPr>
        <w:t xml:space="preserve"> – </w:t>
      </w:r>
      <w:r w:rsidR="004059F1">
        <w:rPr>
          <w:rFonts w:ascii="Times New Roman" w:hAnsi="Times New Roman"/>
          <w:sz w:val="24"/>
          <w:szCs w:val="24"/>
        </w:rPr>
        <w:t>14,702</w:t>
      </w:r>
      <w:r w:rsidR="00AD47DA">
        <w:rPr>
          <w:rFonts w:ascii="Times New Roman" w:hAnsi="Times New Roman"/>
          <w:sz w:val="24"/>
          <w:szCs w:val="24"/>
        </w:rPr>
        <w:t xml:space="preserve"> </w:t>
      </w:r>
      <w:r w:rsidR="00812772">
        <w:rPr>
          <w:rFonts w:ascii="Times New Roman" w:hAnsi="Times New Roman"/>
          <w:sz w:val="24"/>
          <w:szCs w:val="24"/>
        </w:rPr>
        <w:t xml:space="preserve">hours = </w:t>
      </w:r>
      <w:r w:rsidR="004059F1">
        <w:rPr>
          <w:rFonts w:ascii="Times New Roman" w:hAnsi="Times New Roman"/>
          <w:sz w:val="24"/>
          <w:szCs w:val="24"/>
        </w:rPr>
        <w:t>-301</w:t>
      </w:r>
      <w:r w:rsidR="00812772">
        <w:rPr>
          <w:rFonts w:ascii="Times New Roman" w:hAnsi="Times New Roman"/>
          <w:sz w:val="24"/>
          <w:szCs w:val="24"/>
        </w:rPr>
        <w:t>,</w:t>
      </w:r>
      <w:r w:rsidR="000A6E1D">
        <w:rPr>
          <w:rFonts w:ascii="Times New Roman" w:hAnsi="Times New Roman"/>
          <w:sz w:val="24"/>
          <w:szCs w:val="24"/>
        </w:rPr>
        <w:t>094</w:t>
      </w:r>
      <w:r w:rsidR="00AD47DA">
        <w:rPr>
          <w:rFonts w:ascii="Times New Roman" w:hAnsi="Times New Roman"/>
          <w:sz w:val="24"/>
          <w:szCs w:val="24"/>
        </w:rPr>
        <w:t xml:space="preserve"> hours).</w:t>
      </w:r>
      <w:r w:rsidR="00812772">
        <w:rPr>
          <w:rFonts w:ascii="Times New Roman" w:hAnsi="Times New Roman"/>
          <w:sz w:val="24"/>
          <w:szCs w:val="24"/>
        </w:rPr>
        <w:t xml:space="preserve">  See the spreadsheet attached to this package for more details regarding this agency adjustment change. </w:t>
      </w:r>
    </w:p>
    <w:p w14:paraId="5BB79FFC" w14:textId="77777777" w:rsidR="003B71E2" w:rsidRDefault="003B71E2" w:rsidP="008379FA">
      <w:pPr>
        <w:spacing w:after="0"/>
        <w:rPr>
          <w:rFonts w:ascii="Times New Roman" w:hAnsi="Times New Roman"/>
          <w:sz w:val="24"/>
          <w:szCs w:val="24"/>
        </w:rPr>
      </w:pPr>
    </w:p>
    <w:p w14:paraId="5BB79FFD" w14:textId="24C78C1E" w:rsidR="008379FA" w:rsidRPr="009468C0" w:rsidRDefault="008379FA" w:rsidP="008379FA">
      <w:pPr>
        <w:spacing w:after="0"/>
        <w:rPr>
          <w:rFonts w:ascii="Times New Roman" w:hAnsi="Times New Roman"/>
          <w:sz w:val="24"/>
          <w:szCs w:val="24"/>
        </w:rPr>
      </w:pPr>
      <w:r w:rsidRPr="009468C0">
        <w:rPr>
          <w:rFonts w:ascii="Times New Roman" w:hAnsi="Times New Roman"/>
          <w:sz w:val="24"/>
          <w:szCs w:val="24"/>
        </w:rPr>
        <w:t>FERC does not consider there to be any additional non-labor</w:t>
      </w:r>
      <w:r w:rsidR="0060035F">
        <w:rPr>
          <w:rFonts w:ascii="Times New Roman" w:hAnsi="Times New Roman"/>
          <w:sz w:val="24"/>
          <w:szCs w:val="24"/>
        </w:rPr>
        <w:t xml:space="preserve"> costs for CIP version 5.  The removal of the </w:t>
      </w:r>
      <w:r w:rsidRPr="009468C0">
        <w:rPr>
          <w:rFonts w:ascii="Times New Roman" w:hAnsi="Times New Roman"/>
          <w:sz w:val="24"/>
          <w:szCs w:val="24"/>
        </w:rPr>
        <w:t>annual cost burden below is due to</w:t>
      </w:r>
      <w:r w:rsidR="0060035F">
        <w:rPr>
          <w:rFonts w:ascii="Times New Roman" w:hAnsi="Times New Roman"/>
          <w:sz w:val="24"/>
          <w:szCs w:val="24"/>
        </w:rPr>
        <w:t xml:space="preserve"> a staff review determining that any non-labor hour costs are negligible.</w:t>
      </w:r>
    </w:p>
    <w:p w14:paraId="5BB79FFE" w14:textId="77777777" w:rsidR="008379FA" w:rsidRPr="009468C0" w:rsidRDefault="008379FA" w:rsidP="008379FA">
      <w:pPr>
        <w:spacing w:after="0"/>
        <w:rPr>
          <w:rFonts w:ascii="Times New Roman" w:hAnsi="Times New Roman"/>
          <w:sz w:val="24"/>
          <w:szCs w:val="24"/>
        </w:rPr>
      </w:pPr>
    </w:p>
    <w:p w14:paraId="5BB79FFF" w14:textId="780079AA" w:rsidR="008379FA" w:rsidRPr="009468C0" w:rsidRDefault="008379FA" w:rsidP="008379FA">
      <w:pPr>
        <w:spacing w:after="0"/>
        <w:rPr>
          <w:rFonts w:ascii="Times New Roman" w:hAnsi="Times New Roman"/>
          <w:sz w:val="24"/>
          <w:szCs w:val="24"/>
        </w:rPr>
      </w:pPr>
      <w:r w:rsidRPr="009468C0">
        <w:rPr>
          <w:rFonts w:ascii="Times New Roman" w:hAnsi="Times New Roman"/>
          <w:sz w:val="24"/>
          <w:szCs w:val="24"/>
        </w:rPr>
        <w:t>This table shows the adjustments and discretionary changes to the burden estimates, as described</w:t>
      </w:r>
      <w:r w:rsidR="0019059D">
        <w:rPr>
          <w:rFonts w:ascii="Times New Roman" w:hAnsi="Times New Roman"/>
          <w:sz w:val="24"/>
          <w:szCs w:val="24"/>
        </w:rPr>
        <w:t xml:space="preserve"> in this document</w:t>
      </w:r>
      <w:r w:rsidRPr="009468C0">
        <w:rPr>
          <w:rFonts w:ascii="Times New Roman" w:hAnsi="Times New Roman"/>
          <w:sz w:val="24"/>
          <w:szCs w:val="24"/>
        </w:rPr>
        <w:t>.</w:t>
      </w:r>
    </w:p>
    <w:p w14:paraId="5BB7A000" w14:textId="77777777" w:rsidR="00D47174" w:rsidRPr="009468C0" w:rsidRDefault="00D47174" w:rsidP="00A276F5">
      <w:pPr>
        <w:spacing w:after="0"/>
        <w:rPr>
          <w:rFonts w:ascii="Times New Roman" w:hAnsi="Times New Roman"/>
          <w:sz w:val="24"/>
          <w:szCs w:val="24"/>
        </w:rPr>
      </w:pPr>
    </w:p>
    <w:tbl>
      <w:tblPr>
        <w:tblW w:w="102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9"/>
        <w:gridCol w:w="1779"/>
        <w:gridCol w:w="1959"/>
        <w:gridCol w:w="1958"/>
        <w:gridCol w:w="1960"/>
      </w:tblGrid>
      <w:tr w:rsidR="00D47174" w:rsidRPr="009468C0" w14:paraId="5BB7A006" w14:textId="77777777" w:rsidTr="00322645">
        <w:trPr>
          <w:trHeight w:val="870"/>
        </w:trPr>
        <w:tc>
          <w:tcPr>
            <w:tcW w:w="2589" w:type="dxa"/>
            <w:shd w:val="clear" w:color="auto" w:fill="D9D9D9"/>
            <w:vAlign w:val="bottom"/>
          </w:tcPr>
          <w:p w14:paraId="5BB7A001" w14:textId="77777777" w:rsidR="00D47174" w:rsidRPr="009468C0" w:rsidRDefault="00D47174" w:rsidP="00322645">
            <w:pPr>
              <w:spacing w:after="0"/>
              <w:rPr>
                <w:rFonts w:ascii="Times New Roman" w:hAnsi="Times New Roman"/>
                <w:b/>
                <w:sz w:val="24"/>
                <w:szCs w:val="24"/>
              </w:rPr>
            </w:pPr>
            <w:r w:rsidRPr="009468C0">
              <w:rPr>
                <w:rFonts w:ascii="Times New Roman" w:hAnsi="Times New Roman"/>
                <w:b/>
                <w:sz w:val="24"/>
                <w:szCs w:val="24"/>
              </w:rPr>
              <w:t>FERC-725B</w:t>
            </w:r>
          </w:p>
        </w:tc>
        <w:tc>
          <w:tcPr>
            <w:tcW w:w="1779" w:type="dxa"/>
            <w:shd w:val="clear" w:color="auto" w:fill="D9D9D9"/>
            <w:vAlign w:val="bottom"/>
          </w:tcPr>
          <w:p w14:paraId="5BB7A002" w14:textId="77777777" w:rsidR="00D47174" w:rsidRPr="009468C0" w:rsidRDefault="00D47174" w:rsidP="00322645">
            <w:pPr>
              <w:spacing w:after="0"/>
              <w:rPr>
                <w:rFonts w:ascii="Times New Roman" w:hAnsi="Times New Roman"/>
                <w:b/>
                <w:sz w:val="24"/>
                <w:szCs w:val="24"/>
              </w:rPr>
            </w:pPr>
            <w:r w:rsidRPr="009468C0">
              <w:rPr>
                <w:rFonts w:ascii="Times New Roman" w:hAnsi="Times New Roman"/>
                <w:b/>
                <w:sz w:val="24"/>
                <w:szCs w:val="24"/>
              </w:rPr>
              <w:t>Total Request</w:t>
            </w:r>
          </w:p>
        </w:tc>
        <w:tc>
          <w:tcPr>
            <w:tcW w:w="1959" w:type="dxa"/>
            <w:shd w:val="clear" w:color="auto" w:fill="D9D9D9"/>
            <w:vAlign w:val="bottom"/>
          </w:tcPr>
          <w:p w14:paraId="5BB7A003" w14:textId="77777777" w:rsidR="00D47174" w:rsidRPr="009468C0" w:rsidRDefault="00D47174" w:rsidP="00322645">
            <w:pPr>
              <w:spacing w:after="0"/>
              <w:rPr>
                <w:rFonts w:ascii="Times New Roman" w:hAnsi="Times New Roman"/>
                <w:b/>
                <w:sz w:val="24"/>
                <w:szCs w:val="24"/>
              </w:rPr>
            </w:pPr>
            <w:r w:rsidRPr="009468C0">
              <w:rPr>
                <w:rFonts w:ascii="Times New Roman" w:hAnsi="Times New Roman"/>
                <w:b/>
                <w:sz w:val="24"/>
                <w:szCs w:val="24"/>
              </w:rPr>
              <w:t>Previously Approved</w:t>
            </w:r>
          </w:p>
        </w:tc>
        <w:tc>
          <w:tcPr>
            <w:tcW w:w="1958" w:type="dxa"/>
            <w:shd w:val="clear" w:color="auto" w:fill="D9D9D9"/>
            <w:vAlign w:val="bottom"/>
          </w:tcPr>
          <w:p w14:paraId="5BB7A004" w14:textId="77777777" w:rsidR="00D47174" w:rsidRPr="009468C0" w:rsidRDefault="00D47174" w:rsidP="00322645">
            <w:pPr>
              <w:spacing w:after="0"/>
              <w:rPr>
                <w:rFonts w:ascii="Times New Roman" w:hAnsi="Times New Roman"/>
                <w:b/>
                <w:sz w:val="24"/>
                <w:szCs w:val="24"/>
              </w:rPr>
            </w:pPr>
            <w:r w:rsidRPr="009468C0">
              <w:rPr>
                <w:rFonts w:ascii="Times New Roman" w:hAnsi="Times New Roman"/>
                <w:b/>
                <w:sz w:val="24"/>
                <w:szCs w:val="24"/>
              </w:rPr>
              <w:t>Change due to Adjustment in Estimate</w:t>
            </w:r>
          </w:p>
        </w:tc>
        <w:tc>
          <w:tcPr>
            <w:tcW w:w="1960" w:type="dxa"/>
            <w:shd w:val="clear" w:color="auto" w:fill="D9D9D9"/>
            <w:vAlign w:val="bottom"/>
          </w:tcPr>
          <w:p w14:paraId="5BB7A005" w14:textId="77777777" w:rsidR="00D47174" w:rsidRPr="009468C0" w:rsidRDefault="00D47174" w:rsidP="00322645">
            <w:pPr>
              <w:spacing w:after="0"/>
              <w:rPr>
                <w:rFonts w:ascii="Times New Roman" w:hAnsi="Times New Roman"/>
                <w:b/>
                <w:sz w:val="24"/>
                <w:szCs w:val="24"/>
              </w:rPr>
            </w:pPr>
            <w:r w:rsidRPr="009468C0">
              <w:rPr>
                <w:rFonts w:ascii="Times New Roman" w:hAnsi="Times New Roman"/>
                <w:b/>
                <w:sz w:val="24"/>
                <w:szCs w:val="24"/>
              </w:rPr>
              <w:t>Change Due to Agency Discretion</w:t>
            </w:r>
          </w:p>
        </w:tc>
      </w:tr>
      <w:tr w:rsidR="00D47174" w:rsidRPr="009468C0" w14:paraId="5BB7A00C" w14:textId="77777777" w:rsidTr="00606910">
        <w:trPr>
          <w:trHeight w:val="591"/>
        </w:trPr>
        <w:tc>
          <w:tcPr>
            <w:tcW w:w="2589" w:type="dxa"/>
          </w:tcPr>
          <w:p w14:paraId="5BB7A007" w14:textId="77777777" w:rsidR="00D47174" w:rsidRPr="009468C0" w:rsidRDefault="00D47174" w:rsidP="00322645">
            <w:pPr>
              <w:spacing w:after="0"/>
              <w:rPr>
                <w:rFonts w:ascii="Times New Roman" w:hAnsi="Times New Roman"/>
                <w:sz w:val="24"/>
                <w:szCs w:val="24"/>
              </w:rPr>
            </w:pPr>
            <w:r w:rsidRPr="009468C0">
              <w:rPr>
                <w:rFonts w:ascii="Times New Roman" w:hAnsi="Times New Roman"/>
                <w:sz w:val="24"/>
                <w:szCs w:val="24"/>
              </w:rPr>
              <w:t>Annual Number of Responses</w:t>
            </w:r>
          </w:p>
        </w:tc>
        <w:tc>
          <w:tcPr>
            <w:tcW w:w="1779" w:type="dxa"/>
            <w:vAlign w:val="bottom"/>
          </w:tcPr>
          <w:p w14:paraId="5BB7A008" w14:textId="77777777" w:rsidR="00D47174" w:rsidRPr="009468C0" w:rsidRDefault="00D47174" w:rsidP="00606910">
            <w:pPr>
              <w:spacing w:after="0"/>
              <w:jc w:val="right"/>
              <w:rPr>
                <w:rFonts w:ascii="Times New Roman" w:hAnsi="Times New Roman"/>
                <w:sz w:val="24"/>
                <w:szCs w:val="24"/>
              </w:rPr>
            </w:pPr>
            <w:r w:rsidRPr="009468C0">
              <w:rPr>
                <w:rFonts w:ascii="Times New Roman" w:hAnsi="Times New Roman"/>
                <w:sz w:val="24"/>
                <w:szCs w:val="24"/>
              </w:rPr>
              <w:t>1,475</w:t>
            </w:r>
          </w:p>
        </w:tc>
        <w:tc>
          <w:tcPr>
            <w:tcW w:w="1959" w:type="dxa"/>
            <w:vAlign w:val="bottom"/>
          </w:tcPr>
          <w:p w14:paraId="5BB7A009" w14:textId="77777777" w:rsidR="00D47174" w:rsidRPr="009468C0" w:rsidRDefault="00D47174" w:rsidP="00606910">
            <w:pPr>
              <w:spacing w:after="0"/>
              <w:jc w:val="right"/>
              <w:rPr>
                <w:rFonts w:ascii="Times New Roman" w:hAnsi="Times New Roman"/>
                <w:sz w:val="24"/>
                <w:szCs w:val="24"/>
              </w:rPr>
            </w:pPr>
            <w:r w:rsidRPr="009468C0">
              <w:rPr>
                <w:rFonts w:ascii="Times New Roman" w:hAnsi="Times New Roman"/>
                <w:sz w:val="24"/>
                <w:szCs w:val="24"/>
              </w:rPr>
              <w:t>1,501</w:t>
            </w:r>
          </w:p>
        </w:tc>
        <w:tc>
          <w:tcPr>
            <w:tcW w:w="1958" w:type="dxa"/>
            <w:vAlign w:val="bottom"/>
          </w:tcPr>
          <w:p w14:paraId="5BB7A00A" w14:textId="77777777" w:rsidR="00D47174" w:rsidRPr="009468C0" w:rsidRDefault="008379FA" w:rsidP="00606910">
            <w:pPr>
              <w:spacing w:after="0"/>
              <w:jc w:val="right"/>
              <w:rPr>
                <w:rFonts w:ascii="Times New Roman" w:hAnsi="Times New Roman"/>
                <w:sz w:val="24"/>
                <w:szCs w:val="24"/>
              </w:rPr>
            </w:pPr>
            <w:r w:rsidRPr="009468C0">
              <w:rPr>
                <w:rFonts w:ascii="Times New Roman" w:hAnsi="Times New Roman"/>
                <w:sz w:val="24"/>
                <w:szCs w:val="24"/>
              </w:rPr>
              <w:t>-87</w:t>
            </w:r>
          </w:p>
        </w:tc>
        <w:tc>
          <w:tcPr>
            <w:tcW w:w="1960" w:type="dxa"/>
            <w:vAlign w:val="bottom"/>
          </w:tcPr>
          <w:p w14:paraId="5BB7A00B" w14:textId="77777777" w:rsidR="00D47174" w:rsidRPr="009468C0" w:rsidRDefault="008379FA" w:rsidP="00606910">
            <w:pPr>
              <w:spacing w:after="0"/>
              <w:jc w:val="right"/>
              <w:rPr>
                <w:rFonts w:ascii="Times New Roman" w:hAnsi="Times New Roman"/>
                <w:sz w:val="24"/>
                <w:szCs w:val="24"/>
              </w:rPr>
            </w:pPr>
            <w:r w:rsidRPr="009468C0">
              <w:rPr>
                <w:rFonts w:ascii="Times New Roman" w:hAnsi="Times New Roman"/>
                <w:sz w:val="24"/>
                <w:szCs w:val="24"/>
              </w:rPr>
              <w:t>61</w:t>
            </w:r>
          </w:p>
        </w:tc>
      </w:tr>
      <w:tr w:rsidR="00D47174" w:rsidRPr="009468C0" w14:paraId="5BB7A012" w14:textId="77777777" w:rsidTr="00606910">
        <w:trPr>
          <w:trHeight w:val="575"/>
        </w:trPr>
        <w:tc>
          <w:tcPr>
            <w:tcW w:w="2589" w:type="dxa"/>
          </w:tcPr>
          <w:p w14:paraId="5BB7A00D" w14:textId="77777777" w:rsidR="00D47174" w:rsidRPr="009468C0" w:rsidRDefault="00D47174" w:rsidP="00322645">
            <w:pPr>
              <w:spacing w:after="0"/>
              <w:rPr>
                <w:rFonts w:ascii="Times New Roman" w:hAnsi="Times New Roman"/>
                <w:sz w:val="24"/>
                <w:szCs w:val="24"/>
              </w:rPr>
            </w:pPr>
            <w:r w:rsidRPr="009468C0">
              <w:rPr>
                <w:rFonts w:ascii="Times New Roman" w:hAnsi="Times New Roman"/>
                <w:sz w:val="24"/>
                <w:szCs w:val="24"/>
              </w:rPr>
              <w:t>Annual Time Burden (</w:t>
            </w:r>
            <w:proofErr w:type="spellStart"/>
            <w:r w:rsidRPr="009468C0">
              <w:rPr>
                <w:rFonts w:ascii="Times New Roman" w:hAnsi="Times New Roman"/>
                <w:sz w:val="24"/>
                <w:szCs w:val="24"/>
              </w:rPr>
              <w:t>Hr</w:t>
            </w:r>
            <w:proofErr w:type="spellEnd"/>
            <w:r w:rsidRPr="009468C0">
              <w:rPr>
                <w:rFonts w:ascii="Times New Roman" w:hAnsi="Times New Roman"/>
                <w:sz w:val="24"/>
                <w:szCs w:val="24"/>
              </w:rPr>
              <w:t>)</w:t>
            </w:r>
          </w:p>
        </w:tc>
        <w:tc>
          <w:tcPr>
            <w:tcW w:w="1779" w:type="dxa"/>
            <w:vAlign w:val="bottom"/>
          </w:tcPr>
          <w:p w14:paraId="5BB7A00E" w14:textId="1509B5BD" w:rsidR="00D47174" w:rsidRPr="009468C0" w:rsidRDefault="000A6E1D" w:rsidP="00025F48">
            <w:pPr>
              <w:spacing w:after="0"/>
              <w:jc w:val="right"/>
              <w:rPr>
                <w:rFonts w:ascii="Times New Roman" w:hAnsi="Times New Roman"/>
                <w:sz w:val="24"/>
                <w:szCs w:val="24"/>
              </w:rPr>
            </w:pPr>
            <w:r w:rsidRPr="000A6E1D">
              <w:rPr>
                <w:rFonts w:ascii="Times New Roman" w:hAnsi="Times New Roman"/>
                <w:sz w:val="24"/>
                <w:szCs w:val="24"/>
              </w:rPr>
              <w:t>1</w:t>
            </w:r>
            <w:r>
              <w:rPr>
                <w:rFonts w:ascii="Times New Roman" w:hAnsi="Times New Roman"/>
                <w:sz w:val="24"/>
                <w:szCs w:val="24"/>
              </w:rPr>
              <w:t>,</w:t>
            </w:r>
            <w:r w:rsidRPr="000A6E1D">
              <w:rPr>
                <w:rFonts w:ascii="Times New Roman" w:hAnsi="Times New Roman"/>
                <w:sz w:val="24"/>
                <w:szCs w:val="24"/>
              </w:rPr>
              <w:t>327</w:t>
            </w:r>
            <w:r>
              <w:rPr>
                <w:rFonts w:ascii="Times New Roman" w:hAnsi="Times New Roman"/>
                <w:sz w:val="24"/>
                <w:szCs w:val="24"/>
              </w:rPr>
              <w:t>,</w:t>
            </w:r>
            <w:r w:rsidRPr="000A6E1D">
              <w:rPr>
                <w:rFonts w:ascii="Times New Roman" w:hAnsi="Times New Roman"/>
                <w:sz w:val="24"/>
                <w:szCs w:val="24"/>
              </w:rPr>
              <w:t>231</w:t>
            </w:r>
          </w:p>
        </w:tc>
        <w:tc>
          <w:tcPr>
            <w:tcW w:w="1959" w:type="dxa"/>
            <w:vAlign w:val="bottom"/>
          </w:tcPr>
          <w:p w14:paraId="5BB7A00F" w14:textId="2348E924" w:rsidR="00D47174" w:rsidRPr="009468C0" w:rsidRDefault="00025F48" w:rsidP="00606910">
            <w:pPr>
              <w:spacing w:after="0"/>
              <w:jc w:val="right"/>
              <w:rPr>
                <w:rFonts w:ascii="Times New Roman" w:hAnsi="Times New Roman"/>
                <w:sz w:val="24"/>
                <w:szCs w:val="24"/>
              </w:rPr>
            </w:pPr>
            <w:r>
              <w:rPr>
                <w:rFonts w:ascii="Times New Roman" w:hAnsi="Times New Roman"/>
                <w:sz w:val="24"/>
                <w:szCs w:val="24"/>
              </w:rPr>
              <w:t>848,730</w:t>
            </w:r>
          </w:p>
        </w:tc>
        <w:tc>
          <w:tcPr>
            <w:tcW w:w="1958" w:type="dxa"/>
            <w:vAlign w:val="bottom"/>
          </w:tcPr>
          <w:p w14:paraId="5BB7A010" w14:textId="049F924F" w:rsidR="00D47174" w:rsidRPr="009468C0" w:rsidRDefault="008379FA" w:rsidP="000A6E1D">
            <w:pPr>
              <w:spacing w:after="0"/>
              <w:jc w:val="right"/>
              <w:rPr>
                <w:rFonts w:ascii="Times New Roman" w:hAnsi="Times New Roman"/>
                <w:sz w:val="24"/>
                <w:szCs w:val="24"/>
              </w:rPr>
            </w:pPr>
            <w:r w:rsidRPr="009468C0">
              <w:rPr>
                <w:rFonts w:ascii="Times New Roman" w:hAnsi="Times New Roman"/>
                <w:sz w:val="24"/>
                <w:szCs w:val="24"/>
              </w:rPr>
              <w:t>-</w:t>
            </w:r>
            <w:r w:rsidR="000A6E1D">
              <w:rPr>
                <w:rFonts w:ascii="Times New Roman" w:hAnsi="Times New Roman"/>
                <w:sz w:val="24"/>
                <w:szCs w:val="24"/>
              </w:rPr>
              <w:t>301,094</w:t>
            </w:r>
          </w:p>
        </w:tc>
        <w:tc>
          <w:tcPr>
            <w:tcW w:w="1960" w:type="dxa"/>
            <w:vAlign w:val="bottom"/>
          </w:tcPr>
          <w:p w14:paraId="5BB7A011" w14:textId="77777777" w:rsidR="00D47174" w:rsidRPr="009468C0" w:rsidRDefault="00C606BC" w:rsidP="00606910">
            <w:pPr>
              <w:spacing w:after="0"/>
              <w:jc w:val="right"/>
              <w:rPr>
                <w:rFonts w:ascii="Times New Roman" w:hAnsi="Times New Roman"/>
                <w:sz w:val="24"/>
                <w:szCs w:val="24"/>
              </w:rPr>
            </w:pPr>
            <w:r w:rsidRPr="009468C0">
              <w:rPr>
                <w:rFonts w:ascii="Times New Roman" w:hAnsi="Times New Roman"/>
                <w:sz w:val="24"/>
                <w:szCs w:val="24"/>
              </w:rPr>
              <w:t>779,595</w:t>
            </w:r>
          </w:p>
        </w:tc>
      </w:tr>
      <w:tr w:rsidR="00D47174" w:rsidRPr="009468C0" w14:paraId="5BB7A018" w14:textId="77777777" w:rsidTr="00606910">
        <w:trPr>
          <w:trHeight w:val="295"/>
        </w:trPr>
        <w:tc>
          <w:tcPr>
            <w:tcW w:w="2589" w:type="dxa"/>
          </w:tcPr>
          <w:p w14:paraId="5BB7A013" w14:textId="77777777" w:rsidR="00D47174" w:rsidRPr="009468C0" w:rsidRDefault="00D47174" w:rsidP="00322645">
            <w:pPr>
              <w:spacing w:after="0"/>
              <w:rPr>
                <w:rFonts w:ascii="Times New Roman" w:hAnsi="Times New Roman"/>
                <w:sz w:val="24"/>
                <w:szCs w:val="24"/>
              </w:rPr>
            </w:pPr>
            <w:r w:rsidRPr="009468C0">
              <w:rPr>
                <w:rFonts w:ascii="Times New Roman" w:hAnsi="Times New Roman"/>
                <w:sz w:val="24"/>
                <w:szCs w:val="24"/>
              </w:rPr>
              <w:t>Annual Cost Burden ($)</w:t>
            </w:r>
          </w:p>
        </w:tc>
        <w:tc>
          <w:tcPr>
            <w:tcW w:w="1779" w:type="dxa"/>
            <w:vAlign w:val="bottom"/>
          </w:tcPr>
          <w:p w14:paraId="5BB7A014" w14:textId="290616A0" w:rsidR="00D47174" w:rsidRPr="009468C0" w:rsidRDefault="00EA195B" w:rsidP="00EC1A09">
            <w:pPr>
              <w:spacing w:after="0"/>
              <w:jc w:val="right"/>
              <w:rPr>
                <w:rFonts w:ascii="Times New Roman" w:hAnsi="Times New Roman"/>
                <w:sz w:val="24"/>
                <w:szCs w:val="24"/>
              </w:rPr>
            </w:pPr>
            <w:r>
              <w:rPr>
                <w:rFonts w:ascii="Times New Roman" w:hAnsi="Times New Roman"/>
                <w:sz w:val="24"/>
                <w:szCs w:val="24"/>
              </w:rPr>
              <w:t>0</w:t>
            </w:r>
          </w:p>
        </w:tc>
        <w:tc>
          <w:tcPr>
            <w:tcW w:w="1959" w:type="dxa"/>
            <w:vAlign w:val="bottom"/>
          </w:tcPr>
          <w:p w14:paraId="5BB7A015" w14:textId="77777777" w:rsidR="00D47174" w:rsidRPr="009468C0" w:rsidRDefault="00D47174" w:rsidP="00606910">
            <w:pPr>
              <w:spacing w:after="0"/>
              <w:jc w:val="right"/>
              <w:rPr>
                <w:rFonts w:ascii="Times New Roman" w:hAnsi="Times New Roman"/>
                <w:sz w:val="24"/>
                <w:szCs w:val="24"/>
              </w:rPr>
            </w:pPr>
            <w:r w:rsidRPr="009468C0">
              <w:rPr>
                <w:rFonts w:ascii="Times New Roman" w:hAnsi="Times New Roman"/>
                <w:sz w:val="24"/>
                <w:szCs w:val="24"/>
              </w:rPr>
              <w:t>5,444</w:t>
            </w:r>
          </w:p>
        </w:tc>
        <w:tc>
          <w:tcPr>
            <w:tcW w:w="1958" w:type="dxa"/>
            <w:vAlign w:val="bottom"/>
          </w:tcPr>
          <w:p w14:paraId="5BB7A016" w14:textId="18FE2BEA" w:rsidR="00D47174" w:rsidRPr="009468C0" w:rsidRDefault="006132BF" w:rsidP="00EA195B">
            <w:pPr>
              <w:spacing w:after="0"/>
              <w:jc w:val="right"/>
              <w:rPr>
                <w:rFonts w:ascii="Times New Roman" w:hAnsi="Times New Roman"/>
                <w:sz w:val="24"/>
                <w:szCs w:val="24"/>
              </w:rPr>
            </w:pPr>
            <w:r w:rsidRPr="009468C0">
              <w:rPr>
                <w:rFonts w:ascii="Times New Roman" w:hAnsi="Times New Roman"/>
                <w:sz w:val="24"/>
                <w:szCs w:val="24"/>
              </w:rPr>
              <w:t>-</w:t>
            </w:r>
            <w:r w:rsidR="00EA195B">
              <w:rPr>
                <w:rFonts w:ascii="Times New Roman" w:hAnsi="Times New Roman"/>
                <w:sz w:val="24"/>
                <w:szCs w:val="24"/>
              </w:rPr>
              <w:t>5,444</w:t>
            </w:r>
          </w:p>
        </w:tc>
        <w:tc>
          <w:tcPr>
            <w:tcW w:w="1960" w:type="dxa"/>
            <w:vAlign w:val="bottom"/>
          </w:tcPr>
          <w:p w14:paraId="5BB7A017" w14:textId="77777777" w:rsidR="00D47174" w:rsidRPr="009468C0" w:rsidRDefault="008379FA" w:rsidP="00606910">
            <w:pPr>
              <w:spacing w:after="0"/>
              <w:jc w:val="right"/>
              <w:rPr>
                <w:rFonts w:ascii="Times New Roman" w:hAnsi="Times New Roman"/>
                <w:sz w:val="24"/>
                <w:szCs w:val="24"/>
              </w:rPr>
            </w:pPr>
            <w:r w:rsidRPr="009468C0">
              <w:rPr>
                <w:rFonts w:ascii="Times New Roman" w:hAnsi="Times New Roman"/>
                <w:sz w:val="24"/>
                <w:szCs w:val="24"/>
              </w:rPr>
              <w:t>0</w:t>
            </w:r>
          </w:p>
        </w:tc>
      </w:tr>
    </w:tbl>
    <w:p w14:paraId="5BB7A019" w14:textId="77777777" w:rsidR="00D47174" w:rsidRPr="009468C0" w:rsidRDefault="00D47174" w:rsidP="00A276F5">
      <w:pPr>
        <w:spacing w:after="0"/>
        <w:rPr>
          <w:rFonts w:ascii="Times New Roman" w:hAnsi="Times New Roman"/>
          <w:sz w:val="24"/>
          <w:szCs w:val="24"/>
        </w:rPr>
      </w:pPr>
    </w:p>
    <w:p w14:paraId="5BB7A01A" w14:textId="77777777" w:rsidR="00D47174" w:rsidRPr="009468C0" w:rsidRDefault="00D47174" w:rsidP="00A72E7B">
      <w:pPr>
        <w:pStyle w:val="ListParagraph"/>
        <w:numPr>
          <w:ilvl w:val="0"/>
          <w:numId w:val="1"/>
        </w:numPr>
        <w:spacing w:after="0"/>
        <w:ind w:left="360"/>
        <w:rPr>
          <w:rFonts w:ascii="Times New Roman" w:hAnsi="Times New Roman"/>
          <w:b/>
          <w:sz w:val="24"/>
          <w:szCs w:val="24"/>
        </w:rPr>
      </w:pPr>
      <w:r w:rsidRPr="009468C0">
        <w:rPr>
          <w:rFonts w:ascii="Times New Roman" w:hAnsi="Times New Roman"/>
          <w:b/>
          <w:sz w:val="24"/>
          <w:szCs w:val="24"/>
        </w:rPr>
        <w:t>TIME SCHEDULE FOR PUBLICATION OF DATA</w:t>
      </w:r>
    </w:p>
    <w:p w14:paraId="5BB7A01B" w14:textId="77777777" w:rsidR="00D47174" w:rsidRPr="009468C0" w:rsidRDefault="00D47174" w:rsidP="00414F32">
      <w:pPr>
        <w:spacing w:after="0"/>
        <w:rPr>
          <w:rFonts w:ascii="Times New Roman" w:hAnsi="Times New Roman"/>
          <w:sz w:val="24"/>
          <w:szCs w:val="24"/>
        </w:rPr>
      </w:pPr>
    </w:p>
    <w:p w14:paraId="5BB7A01C" w14:textId="77777777" w:rsidR="00D47174" w:rsidRPr="009468C0" w:rsidRDefault="00D47174" w:rsidP="0073292B">
      <w:pPr>
        <w:spacing w:after="0"/>
        <w:rPr>
          <w:rFonts w:ascii="Times New Roman" w:hAnsi="Times New Roman"/>
          <w:sz w:val="24"/>
          <w:szCs w:val="24"/>
        </w:rPr>
      </w:pPr>
      <w:r w:rsidRPr="009468C0">
        <w:rPr>
          <w:rFonts w:ascii="Times New Roman" w:hAnsi="Times New Roman"/>
          <w:sz w:val="24"/>
          <w:szCs w:val="24"/>
        </w:rPr>
        <w:t xml:space="preserve">There are no publications of data as part of this collection.  </w:t>
      </w:r>
    </w:p>
    <w:p w14:paraId="5BB7A01D" w14:textId="77777777" w:rsidR="00D47174" w:rsidRPr="009468C0" w:rsidRDefault="00D47174" w:rsidP="00414F32">
      <w:pPr>
        <w:spacing w:after="0"/>
        <w:rPr>
          <w:rFonts w:ascii="Times New Roman" w:hAnsi="Times New Roman"/>
          <w:sz w:val="24"/>
          <w:szCs w:val="24"/>
        </w:rPr>
      </w:pPr>
    </w:p>
    <w:p w14:paraId="5BB7A01E" w14:textId="77777777" w:rsidR="00D47174" w:rsidRPr="009468C0" w:rsidRDefault="00D47174" w:rsidP="00A72E7B">
      <w:pPr>
        <w:pStyle w:val="ListParagraph"/>
        <w:numPr>
          <w:ilvl w:val="0"/>
          <w:numId w:val="1"/>
        </w:numPr>
        <w:spacing w:after="0"/>
        <w:ind w:left="360"/>
        <w:rPr>
          <w:rFonts w:ascii="Times New Roman" w:hAnsi="Times New Roman"/>
          <w:b/>
          <w:sz w:val="24"/>
          <w:szCs w:val="24"/>
        </w:rPr>
      </w:pPr>
      <w:r w:rsidRPr="009468C0">
        <w:rPr>
          <w:rFonts w:ascii="Times New Roman" w:hAnsi="Times New Roman"/>
          <w:b/>
          <w:sz w:val="24"/>
          <w:szCs w:val="24"/>
        </w:rPr>
        <w:t>DISPLAY OF EXPIRATION DATE</w:t>
      </w:r>
    </w:p>
    <w:p w14:paraId="5BB7A01F" w14:textId="77777777" w:rsidR="00D47174" w:rsidRPr="009468C0" w:rsidRDefault="00D47174" w:rsidP="00414F32">
      <w:pPr>
        <w:spacing w:after="0"/>
        <w:rPr>
          <w:rFonts w:ascii="Times New Roman" w:hAnsi="Times New Roman"/>
          <w:sz w:val="24"/>
          <w:szCs w:val="24"/>
        </w:rPr>
      </w:pPr>
    </w:p>
    <w:p w14:paraId="5BB7A020" w14:textId="77777777" w:rsidR="00D47174" w:rsidRPr="009468C0" w:rsidRDefault="00D47174" w:rsidP="0073292B">
      <w:pPr>
        <w:spacing w:after="0"/>
        <w:rPr>
          <w:rFonts w:ascii="Times New Roman" w:hAnsi="Times New Roman"/>
          <w:sz w:val="24"/>
          <w:szCs w:val="24"/>
        </w:rPr>
      </w:pPr>
      <w:r w:rsidRPr="009468C0">
        <w:rPr>
          <w:rFonts w:ascii="Times New Roman" w:hAnsi="Times New Roman"/>
          <w:sz w:val="24"/>
          <w:szCs w:val="24"/>
        </w:rPr>
        <w:lastRenderedPageBreak/>
        <w:t xml:space="preserve">It is not appropriate to display the expiration date because the information is not collected on a preformatted form or in any format that would allow for such a display.  </w:t>
      </w:r>
    </w:p>
    <w:p w14:paraId="5BB7A021" w14:textId="77777777" w:rsidR="00D47174" w:rsidRPr="009468C0" w:rsidRDefault="00D47174" w:rsidP="00414F32">
      <w:pPr>
        <w:spacing w:after="0"/>
        <w:rPr>
          <w:rFonts w:ascii="Times New Roman" w:hAnsi="Times New Roman"/>
          <w:sz w:val="24"/>
          <w:szCs w:val="24"/>
        </w:rPr>
      </w:pPr>
    </w:p>
    <w:p w14:paraId="5BB7A022" w14:textId="77777777" w:rsidR="00D47174" w:rsidRPr="009468C0" w:rsidRDefault="00D47174" w:rsidP="0057700F">
      <w:pPr>
        <w:pStyle w:val="ListParagraph"/>
        <w:numPr>
          <w:ilvl w:val="0"/>
          <w:numId w:val="1"/>
        </w:numPr>
        <w:spacing w:after="0"/>
        <w:ind w:left="360"/>
        <w:rPr>
          <w:rFonts w:ascii="Times New Roman" w:hAnsi="Times New Roman"/>
          <w:b/>
          <w:sz w:val="24"/>
          <w:szCs w:val="24"/>
        </w:rPr>
      </w:pPr>
      <w:r w:rsidRPr="009468C0">
        <w:rPr>
          <w:rFonts w:ascii="Times New Roman" w:hAnsi="Times New Roman"/>
          <w:b/>
          <w:sz w:val="24"/>
          <w:szCs w:val="24"/>
        </w:rPr>
        <w:t>EXCEPTIONS TO THE CERTIFICATION STATEMENT</w:t>
      </w:r>
    </w:p>
    <w:p w14:paraId="5BB7A023" w14:textId="77777777" w:rsidR="00D47174" w:rsidRPr="009468C0" w:rsidRDefault="00D47174" w:rsidP="0073292B">
      <w:pPr>
        <w:spacing w:after="0"/>
        <w:rPr>
          <w:rFonts w:ascii="Times New Roman" w:hAnsi="Times New Roman"/>
          <w:b/>
          <w:sz w:val="24"/>
          <w:szCs w:val="24"/>
        </w:rPr>
      </w:pPr>
    </w:p>
    <w:p w14:paraId="5BB7A024" w14:textId="77777777" w:rsidR="00D47174" w:rsidRPr="009468C0" w:rsidRDefault="00D47174" w:rsidP="0073292B">
      <w:pPr>
        <w:spacing w:after="0"/>
        <w:rPr>
          <w:rFonts w:ascii="Times New Roman" w:hAnsi="Times New Roman"/>
          <w:sz w:val="24"/>
          <w:szCs w:val="24"/>
        </w:rPr>
      </w:pPr>
      <w:r w:rsidRPr="009468C0">
        <w:rPr>
          <w:rFonts w:ascii="Times New Roman" w:hAnsi="Times New Roman"/>
          <w:sz w:val="24"/>
          <w:szCs w:val="24"/>
        </w:rPr>
        <w:t xml:space="preserve">The Commission does not use statistical methods for this collection.  </w:t>
      </w:r>
    </w:p>
    <w:p w14:paraId="5BB7A025" w14:textId="77777777" w:rsidR="00D47174" w:rsidRPr="009468C0" w:rsidRDefault="00D47174" w:rsidP="0057700F">
      <w:pPr>
        <w:spacing w:after="0"/>
        <w:rPr>
          <w:rFonts w:ascii="Times New Roman" w:hAnsi="Times New Roman"/>
          <w:sz w:val="24"/>
          <w:szCs w:val="24"/>
        </w:rPr>
      </w:pPr>
    </w:p>
    <w:p w14:paraId="5BB7A026" w14:textId="77777777" w:rsidR="00D47174" w:rsidRPr="009468C0" w:rsidRDefault="00D47174" w:rsidP="007A2F92">
      <w:pPr>
        <w:spacing w:after="0"/>
        <w:rPr>
          <w:rFonts w:ascii="Times New Roman" w:hAnsi="Times New Roman"/>
          <w:sz w:val="24"/>
          <w:szCs w:val="24"/>
        </w:rPr>
      </w:pPr>
    </w:p>
    <w:sectPr w:rsidR="00D47174" w:rsidRPr="009468C0" w:rsidSect="001F6D8B">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9814C5" w14:textId="77777777" w:rsidR="00847EC5" w:rsidRDefault="00847EC5" w:rsidP="00FD66F1">
      <w:pPr>
        <w:spacing w:after="0" w:line="240" w:lineRule="auto"/>
      </w:pPr>
      <w:r>
        <w:separator/>
      </w:r>
    </w:p>
  </w:endnote>
  <w:endnote w:type="continuationSeparator" w:id="0">
    <w:p w14:paraId="5262DC87" w14:textId="77777777" w:rsidR="00847EC5" w:rsidRDefault="00847EC5" w:rsidP="00FD66F1">
      <w:pPr>
        <w:spacing w:after="0" w:line="240" w:lineRule="auto"/>
      </w:pPr>
      <w:r>
        <w:continuationSeparator/>
      </w:r>
    </w:p>
  </w:endnote>
  <w:endnote w:type="continuationNotice" w:id="1">
    <w:p w14:paraId="32604B4E" w14:textId="77777777" w:rsidR="00847EC5" w:rsidRDefault="00847E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B7A031" w14:textId="77777777" w:rsidR="00847EC5" w:rsidRPr="0040377C" w:rsidRDefault="00847EC5">
    <w:pPr>
      <w:pStyle w:val="Footer"/>
      <w:jc w:val="right"/>
      <w:rPr>
        <w:rFonts w:ascii="Times New Roman" w:hAnsi="Times New Roman"/>
      </w:rPr>
    </w:pPr>
    <w:r w:rsidRPr="0040377C">
      <w:rPr>
        <w:rFonts w:ascii="Times New Roman" w:hAnsi="Times New Roman"/>
      </w:rPr>
      <w:fldChar w:fldCharType="begin"/>
    </w:r>
    <w:r w:rsidRPr="0040377C">
      <w:rPr>
        <w:rFonts w:ascii="Times New Roman" w:hAnsi="Times New Roman"/>
      </w:rPr>
      <w:instrText xml:space="preserve"> PAGE   \* MERGEFORMAT </w:instrText>
    </w:r>
    <w:r w:rsidRPr="0040377C">
      <w:rPr>
        <w:rFonts w:ascii="Times New Roman" w:hAnsi="Times New Roman"/>
      </w:rPr>
      <w:fldChar w:fldCharType="separate"/>
    </w:r>
    <w:r w:rsidR="00A473F6">
      <w:rPr>
        <w:rFonts w:ascii="Times New Roman" w:hAnsi="Times New Roman"/>
        <w:noProof/>
      </w:rPr>
      <w:t>17</w:t>
    </w:r>
    <w:r w:rsidRPr="0040377C">
      <w:rPr>
        <w:rFonts w:ascii="Times New Roman" w:hAnsi="Times New Roman"/>
        <w:noProof/>
      </w:rPr>
      <w:fldChar w:fldCharType="end"/>
    </w:r>
  </w:p>
  <w:p w14:paraId="5BB7A032" w14:textId="77777777" w:rsidR="00847EC5" w:rsidRDefault="00847E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68EA08" w14:textId="77777777" w:rsidR="00847EC5" w:rsidRDefault="00847EC5" w:rsidP="00FD66F1">
      <w:pPr>
        <w:spacing w:after="0" w:line="240" w:lineRule="auto"/>
      </w:pPr>
      <w:r>
        <w:separator/>
      </w:r>
    </w:p>
  </w:footnote>
  <w:footnote w:type="continuationSeparator" w:id="0">
    <w:p w14:paraId="34C5322A" w14:textId="77777777" w:rsidR="00847EC5" w:rsidRDefault="00847EC5" w:rsidP="00FD66F1">
      <w:pPr>
        <w:spacing w:after="0" w:line="240" w:lineRule="auto"/>
      </w:pPr>
      <w:r>
        <w:continuationSeparator/>
      </w:r>
    </w:p>
  </w:footnote>
  <w:footnote w:type="continuationNotice" w:id="1">
    <w:p w14:paraId="1B91C023" w14:textId="77777777" w:rsidR="00847EC5" w:rsidRDefault="00847EC5">
      <w:pPr>
        <w:spacing w:after="0" w:line="240" w:lineRule="auto"/>
      </w:pPr>
    </w:p>
  </w:footnote>
  <w:footnote w:id="2">
    <w:p w14:paraId="5891EA9F" w14:textId="2D919B15" w:rsidR="00847EC5" w:rsidRDefault="00847EC5" w:rsidP="00415BFC">
      <w:pPr>
        <w:pStyle w:val="FootnoteText"/>
        <w:ind w:firstLine="720"/>
      </w:pPr>
      <w:r>
        <w:rPr>
          <w:rStyle w:val="FootnoteReference"/>
        </w:rPr>
        <w:footnoteRef/>
      </w:r>
      <w:r>
        <w:t xml:space="preserve"> The submission of this package was held up due to other items in the same control number for submittal prior to this package.</w:t>
      </w:r>
    </w:p>
  </w:footnote>
  <w:footnote w:id="3">
    <w:p w14:paraId="5BB7A035" w14:textId="42718411" w:rsidR="00847EC5" w:rsidRDefault="00847EC5" w:rsidP="003C24EA">
      <w:pPr>
        <w:pStyle w:val="FootnoteText"/>
        <w:ind w:firstLine="720"/>
      </w:pPr>
      <w:r>
        <w:rPr>
          <w:rStyle w:val="FootnoteReference"/>
        </w:rPr>
        <w:footnoteRef/>
      </w:r>
      <w:r>
        <w:t xml:space="preserve"> The Commission also issued an errata notice (at </w:t>
      </w:r>
      <w:hyperlink r:id="rId1" w:history="1">
        <w:r w:rsidR="003A01A8" w:rsidRPr="009C47A3">
          <w:rPr>
            <w:rStyle w:val="Hyperlink"/>
          </w:rPr>
          <w:t>http://elibrary.ferc.gov/idmws/common/opennat.asp?fileID=13414337</w:t>
        </w:r>
      </w:hyperlink>
      <w:r w:rsidR="003A01A8">
        <w:t>) on 12/13/2013.</w:t>
      </w:r>
    </w:p>
  </w:footnote>
  <w:footnote w:id="4">
    <w:p w14:paraId="5BB7A036" w14:textId="77777777" w:rsidR="00847EC5" w:rsidRPr="004C36A6" w:rsidRDefault="00847EC5" w:rsidP="004C36A6">
      <w:pPr>
        <w:pStyle w:val="FootnoteText"/>
        <w:ind w:firstLine="720"/>
      </w:pPr>
      <w:r w:rsidRPr="004C36A6">
        <w:rPr>
          <w:rStyle w:val="FootnoteReference"/>
          <w:b/>
          <w:vertAlign w:val="superscript"/>
        </w:rPr>
        <w:footnoteRef/>
      </w:r>
      <w:r w:rsidRPr="004C36A6">
        <w:t xml:space="preserve"> The Energy Policy Act of 2005, Pub. L. No 109-58, Title XII, Subtitle A, 119 Stat. 594, 941 (2005), codified at 16 U.S.C. 824o (2000).</w:t>
      </w:r>
    </w:p>
  </w:footnote>
  <w:footnote w:id="5">
    <w:p w14:paraId="5BB7A037" w14:textId="77777777" w:rsidR="00847EC5" w:rsidRPr="004C36A6" w:rsidRDefault="00847EC5" w:rsidP="00951236">
      <w:pPr>
        <w:pStyle w:val="FootnoteText"/>
        <w:ind w:firstLine="720"/>
      </w:pPr>
      <w:r w:rsidRPr="004C36A6">
        <w:rPr>
          <w:rStyle w:val="FootnoteReference"/>
        </w:rPr>
        <w:footnoteRef/>
      </w:r>
      <w:r w:rsidRPr="004C36A6">
        <w:t xml:space="preserve"> </w:t>
      </w:r>
      <w:r w:rsidRPr="004C36A6">
        <w:rPr>
          <w:i/>
        </w:rPr>
        <w:t>Mandatory Reliability Standards for Critical Infrastructure Protection</w:t>
      </w:r>
      <w:r w:rsidRPr="004C36A6">
        <w:t xml:space="preserve">, Order No. 706, 122 FERC ¶ 61,040, </w:t>
      </w:r>
      <w:r w:rsidRPr="004C36A6">
        <w:rPr>
          <w:i/>
        </w:rPr>
        <w:t xml:space="preserve">order on </w:t>
      </w:r>
      <w:proofErr w:type="spellStart"/>
      <w:r w:rsidRPr="004C36A6">
        <w:rPr>
          <w:i/>
        </w:rPr>
        <w:t>reh’g</w:t>
      </w:r>
      <w:proofErr w:type="spellEnd"/>
      <w:r w:rsidRPr="004C36A6">
        <w:t xml:space="preserve">, Order No. 706-A, 123 FERC ¶ 61,174 (2008), </w:t>
      </w:r>
      <w:r w:rsidRPr="004C36A6">
        <w:rPr>
          <w:i/>
        </w:rPr>
        <w:t>order on clarification</w:t>
      </w:r>
      <w:r w:rsidRPr="004C36A6">
        <w:t xml:space="preserve">, Order No. 706-B, 126 FERC ¶ 61,229 (2009), </w:t>
      </w:r>
      <w:r w:rsidRPr="004C36A6">
        <w:rPr>
          <w:i/>
        </w:rPr>
        <w:t>order on clarification</w:t>
      </w:r>
      <w:r w:rsidRPr="004C36A6">
        <w:t>, Order No. 706-C, 127 FERC ¶ 61,273 (2009).</w:t>
      </w:r>
    </w:p>
  </w:footnote>
  <w:footnote w:id="6">
    <w:p w14:paraId="5BB7A038" w14:textId="77777777" w:rsidR="00847EC5" w:rsidRPr="004C36A6" w:rsidRDefault="00847EC5" w:rsidP="00951236">
      <w:pPr>
        <w:pStyle w:val="FootnoteText"/>
        <w:ind w:firstLine="720"/>
      </w:pPr>
      <w:r w:rsidRPr="004C36A6">
        <w:rPr>
          <w:rStyle w:val="FootnoteReference"/>
        </w:rPr>
        <w:footnoteRef/>
      </w:r>
      <w:r w:rsidRPr="004C36A6">
        <w:t xml:space="preserve"> </w:t>
      </w:r>
      <w:r w:rsidRPr="004C36A6">
        <w:rPr>
          <w:i/>
        </w:rPr>
        <w:t>North American Electric Reliability Corp.</w:t>
      </w:r>
      <w:r w:rsidRPr="004C36A6">
        <w:t xml:space="preserve">, 128 FERC ¶ 61,291, </w:t>
      </w:r>
      <w:r w:rsidRPr="004C36A6">
        <w:rPr>
          <w:i/>
        </w:rPr>
        <w:t xml:space="preserve">order denying </w:t>
      </w:r>
      <w:proofErr w:type="spellStart"/>
      <w:r w:rsidRPr="004C36A6">
        <w:rPr>
          <w:i/>
        </w:rPr>
        <w:t>reh’g</w:t>
      </w:r>
      <w:proofErr w:type="spellEnd"/>
      <w:r w:rsidRPr="004C36A6">
        <w:rPr>
          <w:i/>
        </w:rPr>
        <w:t xml:space="preserve"> and granting clarification</w:t>
      </w:r>
      <w:r w:rsidRPr="004C36A6">
        <w:t>, 129 FERC ¶ 61,236 (2009).</w:t>
      </w:r>
    </w:p>
  </w:footnote>
  <w:footnote w:id="7">
    <w:p w14:paraId="5BB7A039" w14:textId="77777777" w:rsidR="00847EC5" w:rsidRPr="004C36A6" w:rsidRDefault="00847EC5" w:rsidP="00951236">
      <w:pPr>
        <w:pStyle w:val="FootnoteText"/>
        <w:ind w:firstLine="720"/>
      </w:pPr>
      <w:r w:rsidRPr="004C36A6">
        <w:rPr>
          <w:rStyle w:val="FootnoteReference"/>
        </w:rPr>
        <w:footnoteRef/>
      </w:r>
      <w:r w:rsidRPr="004C36A6">
        <w:t xml:space="preserve"> </w:t>
      </w:r>
      <w:proofErr w:type="gramStart"/>
      <w:r w:rsidRPr="004C36A6">
        <w:rPr>
          <w:i/>
        </w:rPr>
        <w:t>North American Electric Reliability Corp.</w:t>
      </w:r>
      <w:r w:rsidRPr="004C36A6">
        <w:t>, 130 FERC ¶ 61,271 (2010).</w:t>
      </w:r>
      <w:proofErr w:type="gramEnd"/>
    </w:p>
  </w:footnote>
  <w:footnote w:id="8">
    <w:p w14:paraId="5BB7A03A" w14:textId="77777777" w:rsidR="00847EC5" w:rsidRPr="004C36A6" w:rsidRDefault="00847EC5" w:rsidP="00951236">
      <w:pPr>
        <w:pStyle w:val="FootnoteText"/>
        <w:ind w:firstLine="720"/>
      </w:pPr>
      <w:r w:rsidRPr="004C36A6">
        <w:rPr>
          <w:rStyle w:val="FootnoteReference"/>
        </w:rPr>
        <w:footnoteRef/>
      </w:r>
      <w:r w:rsidRPr="004C36A6">
        <w:t xml:space="preserve"> </w:t>
      </w:r>
      <w:r w:rsidRPr="004C36A6">
        <w:rPr>
          <w:i/>
        </w:rPr>
        <w:t>Version 4 Critical Infrastructure Protection Reliability Standards</w:t>
      </w:r>
      <w:r w:rsidRPr="004C36A6">
        <w:t xml:space="preserve">, Order No. 761, 77 Fed. </w:t>
      </w:r>
      <w:proofErr w:type="gramStart"/>
      <w:r w:rsidRPr="004C36A6">
        <w:t xml:space="preserve">Reg. 24,594 (April 25, 2012), 139 FERC ¶ 61,058 (2012); </w:t>
      </w:r>
      <w:r w:rsidRPr="004C36A6">
        <w:rPr>
          <w:i/>
        </w:rPr>
        <w:t xml:space="preserve">order denying </w:t>
      </w:r>
      <w:proofErr w:type="spellStart"/>
      <w:r w:rsidRPr="004C36A6">
        <w:rPr>
          <w:i/>
        </w:rPr>
        <w:t>reh’g</w:t>
      </w:r>
      <w:proofErr w:type="spellEnd"/>
      <w:r w:rsidRPr="004C36A6">
        <w:t>, 140 FERC ¶ 61,109 (2012).</w:t>
      </w:r>
      <w:proofErr w:type="gramEnd"/>
      <w:r w:rsidRPr="004C36A6">
        <w:t xml:space="preserve"> </w:t>
      </w:r>
    </w:p>
  </w:footnote>
  <w:footnote w:id="9">
    <w:p w14:paraId="1BC8B214" w14:textId="77777777" w:rsidR="00847EC5" w:rsidRPr="007076D3" w:rsidRDefault="00847EC5" w:rsidP="00A473F6">
      <w:pPr>
        <w:pStyle w:val="FootnoteText"/>
      </w:pPr>
      <w:r w:rsidRPr="007076D3">
        <w:rPr>
          <w:rStyle w:val="FootnoteReference"/>
        </w:rPr>
        <w:footnoteRef/>
      </w:r>
      <w:r w:rsidRPr="007076D3">
        <w:t xml:space="preserve"> On August 12, 2013, the Commission granted an extension of time to implement the CIP version 4 Standards from </w:t>
      </w:r>
      <w:r w:rsidRPr="007076D3">
        <w:rPr>
          <w:szCs w:val="26"/>
        </w:rPr>
        <w:t xml:space="preserve">April 1, 2014 to October 1, 2014.  </w:t>
      </w:r>
      <w:r w:rsidRPr="007076D3">
        <w:rPr>
          <w:i/>
        </w:rPr>
        <w:t>N. Am. Elec. Reliability Corp</w:t>
      </w:r>
      <w:r w:rsidRPr="007076D3">
        <w:rPr>
          <w:i/>
          <w:szCs w:val="26"/>
        </w:rPr>
        <w:t>.</w:t>
      </w:r>
      <w:r w:rsidRPr="007076D3">
        <w:rPr>
          <w:szCs w:val="26"/>
        </w:rPr>
        <w:t>,</w:t>
      </w:r>
      <w:r w:rsidRPr="007076D3">
        <w:rPr>
          <w:i/>
          <w:szCs w:val="26"/>
        </w:rPr>
        <w:t xml:space="preserve"> </w:t>
      </w:r>
      <w:r w:rsidRPr="007076D3">
        <w:rPr>
          <w:szCs w:val="26"/>
        </w:rPr>
        <w:t>144 FERC ¶ 61,123 (2013).</w:t>
      </w:r>
    </w:p>
  </w:footnote>
  <w:footnote w:id="10">
    <w:p w14:paraId="5BB7A03C" w14:textId="77777777" w:rsidR="00847EC5" w:rsidRDefault="00847EC5" w:rsidP="009B0B14">
      <w:pPr>
        <w:pStyle w:val="FootnoteText"/>
        <w:ind w:firstLine="720"/>
      </w:pPr>
      <w:r>
        <w:rPr>
          <w:rStyle w:val="FootnoteReference"/>
        </w:rPr>
        <w:footnoteRef/>
      </w:r>
      <w:r>
        <w:t xml:space="preserve"> </w:t>
      </w:r>
      <w:r w:rsidRPr="009B0B14">
        <w:t>The NERC Petition is available on FERC’s eLibrary system (</w:t>
      </w:r>
      <w:hyperlink r:id="rId2" w:history="1">
        <w:r w:rsidRPr="009B0B14">
          <w:rPr>
            <w:rStyle w:val="Hyperlink"/>
          </w:rPr>
          <w:t>http://www.ferc.gov/docs-filing/elibrary.asp</w:t>
        </w:r>
      </w:hyperlink>
      <w:r w:rsidRPr="009B0B14">
        <w:t>) by searc</w:t>
      </w:r>
      <w:r>
        <w:t xml:space="preserve">hing in Docket Number RM13-5.  </w:t>
      </w:r>
      <w:r w:rsidRPr="009B0B14">
        <w:t>The proposed standards are contained in Exhibit A of NERC’s petition.</w:t>
      </w:r>
    </w:p>
  </w:footnote>
  <w:footnote w:id="11">
    <w:p w14:paraId="5BB7A03D" w14:textId="5686ACFE" w:rsidR="00847EC5" w:rsidRPr="003A2350" w:rsidRDefault="00847EC5" w:rsidP="005D25F7">
      <w:pPr>
        <w:pStyle w:val="FootnoteText"/>
        <w:ind w:firstLine="720"/>
        <w:rPr>
          <w:sz w:val="26"/>
          <w:szCs w:val="26"/>
        </w:rPr>
      </w:pPr>
      <w:r>
        <w:rPr>
          <w:rStyle w:val="FootnoteReference"/>
        </w:rPr>
        <w:footnoteRef/>
      </w:r>
      <w:r>
        <w:t xml:space="preserve"> </w:t>
      </w:r>
      <w:r w:rsidRPr="003A2350">
        <w:rPr>
          <w:sz w:val="26"/>
          <w:szCs w:val="26"/>
        </w:rPr>
        <w:t xml:space="preserve">CIP-003-5 Requirement R2 specifies </w:t>
      </w:r>
      <w:r>
        <w:rPr>
          <w:sz w:val="26"/>
          <w:szCs w:val="26"/>
        </w:rPr>
        <w:t>four</w:t>
      </w:r>
      <w:r w:rsidRPr="003A2350">
        <w:rPr>
          <w:sz w:val="26"/>
          <w:szCs w:val="26"/>
        </w:rPr>
        <w:t xml:space="preserve"> policies that apply to Low Impact Systems:  1) Cyber security awareness</w:t>
      </w:r>
      <w:proofErr w:type="gramStart"/>
      <w:r w:rsidRPr="003A2350">
        <w:rPr>
          <w:sz w:val="26"/>
          <w:szCs w:val="26"/>
        </w:rPr>
        <w:t>;  2</w:t>
      </w:r>
      <w:proofErr w:type="gramEnd"/>
      <w:r w:rsidRPr="003A2350">
        <w:rPr>
          <w:sz w:val="26"/>
          <w:szCs w:val="26"/>
        </w:rPr>
        <w:t>) Physical security controls;  3) Electronic access controls;  4) Incident response to a cyber-security incident.</w:t>
      </w:r>
      <w:r>
        <w:rPr>
          <w:sz w:val="24"/>
          <w:szCs w:val="24"/>
        </w:rPr>
        <w:t xml:space="preserve">  </w:t>
      </w:r>
    </w:p>
  </w:footnote>
  <w:footnote w:id="12">
    <w:p w14:paraId="5BB7A03E" w14:textId="77777777" w:rsidR="00847EC5" w:rsidRPr="00EA01A8" w:rsidRDefault="00847EC5" w:rsidP="005D25F7">
      <w:pPr>
        <w:pStyle w:val="FootnoteText"/>
        <w:ind w:firstLine="720"/>
        <w:rPr>
          <w:sz w:val="26"/>
          <w:szCs w:val="26"/>
        </w:rPr>
      </w:pPr>
      <w:r w:rsidRPr="00EA01A8">
        <w:rPr>
          <w:rStyle w:val="FootnoteReference"/>
          <w:sz w:val="26"/>
          <w:szCs w:val="26"/>
        </w:rPr>
        <w:footnoteRef/>
      </w:r>
      <w:r w:rsidRPr="00EA01A8">
        <w:rPr>
          <w:sz w:val="26"/>
          <w:szCs w:val="26"/>
        </w:rPr>
        <w:t xml:space="preserve"> </w:t>
      </w:r>
      <w:proofErr w:type="gramStart"/>
      <w:r w:rsidRPr="00EA01A8">
        <w:rPr>
          <w:i/>
          <w:sz w:val="26"/>
          <w:szCs w:val="26"/>
        </w:rPr>
        <w:t xml:space="preserve">Version 4 Critical Infrastructure Protection Reliability Standards, </w:t>
      </w:r>
      <w:r w:rsidRPr="00EA01A8">
        <w:rPr>
          <w:sz w:val="26"/>
          <w:szCs w:val="26"/>
        </w:rPr>
        <w:t xml:space="preserve">Order No. 761, 77 FR 24594 (Apr. 25, 2012), 139 FERC ¶ 61,058 (2012) </w:t>
      </w:r>
      <w:r w:rsidRPr="00EA01A8">
        <w:rPr>
          <w:i/>
          <w:sz w:val="26"/>
          <w:szCs w:val="26"/>
        </w:rPr>
        <w:t xml:space="preserve">order denying </w:t>
      </w:r>
      <w:proofErr w:type="spellStart"/>
      <w:r w:rsidRPr="00EA01A8">
        <w:rPr>
          <w:i/>
          <w:sz w:val="26"/>
          <w:szCs w:val="26"/>
        </w:rPr>
        <w:t>reh’g</w:t>
      </w:r>
      <w:proofErr w:type="spellEnd"/>
      <w:r w:rsidRPr="00EA01A8">
        <w:rPr>
          <w:i/>
          <w:sz w:val="26"/>
          <w:szCs w:val="26"/>
        </w:rPr>
        <w:t>,</w:t>
      </w:r>
      <w:r w:rsidRPr="00EA01A8">
        <w:rPr>
          <w:sz w:val="26"/>
          <w:szCs w:val="26"/>
        </w:rPr>
        <w:t xml:space="preserve"> 140 FERC ¶ 61,109 (2012)</w:t>
      </w:r>
      <w:r>
        <w:rPr>
          <w:sz w:val="26"/>
          <w:szCs w:val="26"/>
        </w:rPr>
        <w:t>, Paragraph 80</w:t>
      </w:r>
      <w:r w:rsidRPr="00EA01A8">
        <w:rPr>
          <w:sz w:val="26"/>
          <w:szCs w:val="26"/>
        </w:rPr>
        <w:t>.</w:t>
      </w:r>
      <w:proofErr w:type="gramEnd"/>
    </w:p>
  </w:footnote>
  <w:footnote w:id="13">
    <w:p w14:paraId="72F0C53E" w14:textId="1FF0787F" w:rsidR="00847EC5" w:rsidRDefault="00847EC5" w:rsidP="00D96A04">
      <w:pPr>
        <w:pStyle w:val="FootnoteText"/>
        <w:ind w:firstLine="720"/>
      </w:pPr>
      <w:r>
        <w:rPr>
          <w:rStyle w:val="FootnoteReference"/>
        </w:rPr>
        <w:footnoteRef/>
      </w:r>
      <w:r>
        <w:t xml:space="preserve"> This information is based on FERC staff experience with reliability standards.</w:t>
      </w:r>
    </w:p>
  </w:footnote>
  <w:footnote w:id="14">
    <w:p w14:paraId="5BB7A045" w14:textId="4E276F60" w:rsidR="00847EC5" w:rsidRPr="004C36A6" w:rsidRDefault="00847EC5" w:rsidP="006053F6">
      <w:pPr>
        <w:pStyle w:val="FootnoteText"/>
        <w:ind w:firstLine="720"/>
      </w:pPr>
      <w:r w:rsidRPr="004C36A6">
        <w:rPr>
          <w:rStyle w:val="FootnoteReference"/>
        </w:rPr>
        <w:footnoteRef/>
      </w:r>
      <w:r w:rsidRPr="004C36A6">
        <w:t xml:space="preserve"> Details of the current ERO standard processes are available on the NERC website at </w:t>
      </w:r>
      <w:hyperlink r:id="rId3" w:history="1">
        <w:r>
          <w:rPr>
            <w:rStyle w:val="Hyperlink"/>
          </w:rPr>
          <w:t>http://www.nerc.com/comm/SC/Documents/Appendix_3A_StandardsProcessesManual.pdf</w:t>
        </w:r>
      </w:hyperlink>
      <w:r w:rsidRPr="004C36A6">
        <w:t>.</w:t>
      </w:r>
    </w:p>
  </w:footnote>
  <w:footnote w:id="15">
    <w:p w14:paraId="2EA0ECE3" w14:textId="2E0D1D5A" w:rsidR="00847EC5" w:rsidRDefault="00847EC5" w:rsidP="006053F6">
      <w:pPr>
        <w:pStyle w:val="FootnoteText"/>
        <w:ind w:firstLine="720"/>
      </w:pPr>
      <w:r>
        <w:rPr>
          <w:rStyle w:val="FootnoteReference"/>
        </w:rPr>
        <w:footnoteRef/>
      </w:r>
      <w:r>
        <w:t xml:space="preserve"> The final rule document submitted to OMB with this supporting statement contains a list of the commenters.  The footnotes in the following section refer to paragraph numbers in each commenter’s comments.</w:t>
      </w:r>
    </w:p>
  </w:footnote>
  <w:footnote w:id="16">
    <w:p w14:paraId="46040B38" w14:textId="77777777" w:rsidR="00847EC5" w:rsidRPr="007076D3" w:rsidRDefault="00847EC5" w:rsidP="006053F6">
      <w:pPr>
        <w:pStyle w:val="FootnoteText"/>
        <w:ind w:firstLine="720"/>
      </w:pPr>
      <w:r w:rsidRPr="007076D3">
        <w:rPr>
          <w:rStyle w:val="FootnoteReference"/>
        </w:rPr>
        <w:footnoteRef/>
      </w:r>
      <w:r w:rsidRPr="007076D3">
        <w:t xml:space="preserve"> </w:t>
      </w:r>
      <w:proofErr w:type="gramStart"/>
      <w:r w:rsidRPr="007076D3">
        <w:t>EEI Comments at 24.</w:t>
      </w:r>
      <w:proofErr w:type="gramEnd"/>
    </w:p>
  </w:footnote>
  <w:footnote w:id="17">
    <w:p w14:paraId="242F4D4B" w14:textId="77777777" w:rsidR="00847EC5" w:rsidRPr="007076D3" w:rsidRDefault="00847EC5" w:rsidP="006053F6">
      <w:pPr>
        <w:pStyle w:val="FootnoteText"/>
        <w:ind w:firstLine="720"/>
      </w:pPr>
      <w:r w:rsidRPr="007076D3">
        <w:rPr>
          <w:rStyle w:val="FootnoteReference"/>
        </w:rPr>
        <w:footnoteRef/>
      </w:r>
      <w:r w:rsidRPr="007076D3">
        <w:t xml:space="preserve"> MidAmerican Comments at 24-25.</w:t>
      </w:r>
    </w:p>
  </w:footnote>
  <w:footnote w:id="18">
    <w:p w14:paraId="45B509F1" w14:textId="77777777" w:rsidR="00847EC5" w:rsidRPr="007076D3" w:rsidRDefault="00847EC5" w:rsidP="006053F6">
      <w:pPr>
        <w:pStyle w:val="FootnoteText"/>
        <w:ind w:firstLine="720"/>
      </w:pPr>
      <w:r w:rsidRPr="007076D3">
        <w:rPr>
          <w:rStyle w:val="FootnoteReference"/>
        </w:rPr>
        <w:footnoteRef/>
      </w:r>
      <w:r w:rsidRPr="007076D3">
        <w:t xml:space="preserve"> NRECA Comments at 11-12.</w:t>
      </w:r>
    </w:p>
  </w:footnote>
  <w:footnote w:id="19">
    <w:p w14:paraId="4D4B3845" w14:textId="77777777" w:rsidR="00847EC5" w:rsidRPr="007076D3" w:rsidRDefault="00847EC5" w:rsidP="006053F6">
      <w:pPr>
        <w:pStyle w:val="FootnoteText"/>
        <w:ind w:firstLine="720"/>
      </w:pPr>
      <w:r w:rsidRPr="007076D3">
        <w:rPr>
          <w:rStyle w:val="FootnoteReference"/>
        </w:rPr>
        <w:footnoteRef/>
      </w:r>
      <w:r w:rsidRPr="007076D3">
        <w:t xml:space="preserve"> Tampa Comments at 14-15.</w:t>
      </w:r>
    </w:p>
  </w:footnote>
  <w:footnote w:id="20">
    <w:p w14:paraId="59BA811D" w14:textId="77777777" w:rsidR="00847EC5" w:rsidRPr="007076D3" w:rsidRDefault="00847EC5" w:rsidP="006053F6">
      <w:pPr>
        <w:pStyle w:val="FootnoteText"/>
        <w:ind w:firstLine="720"/>
      </w:pPr>
      <w:r w:rsidRPr="007076D3">
        <w:rPr>
          <w:rStyle w:val="FootnoteReference"/>
        </w:rPr>
        <w:footnoteRef/>
      </w:r>
      <w:r w:rsidRPr="007076D3">
        <w:t xml:space="preserve"> </w:t>
      </w:r>
      <w:proofErr w:type="gramStart"/>
      <w:r w:rsidRPr="007076D3">
        <w:t>LADWP at 18.</w:t>
      </w:r>
      <w:proofErr w:type="gramEnd"/>
    </w:p>
  </w:footnote>
  <w:footnote w:id="21">
    <w:p w14:paraId="62F80B67" w14:textId="77777777" w:rsidR="00847EC5" w:rsidRPr="007076D3" w:rsidRDefault="00847EC5" w:rsidP="006053F6">
      <w:pPr>
        <w:pStyle w:val="FootnoteText"/>
        <w:ind w:firstLine="720"/>
      </w:pPr>
      <w:r w:rsidRPr="007076D3">
        <w:rPr>
          <w:rStyle w:val="FootnoteReference"/>
        </w:rPr>
        <w:footnoteRef/>
      </w:r>
      <w:r w:rsidRPr="007076D3">
        <w:t xml:space="preserve"> </w:t>
      </w:r>
      <w:r w:rsidRPr="007076D3">
        <w:rPr>
          <w:i/>
        </w:rPr>
        <w:t>See</w:t>
      </w:r>
      <w:r w:rsidRPr="007076D3">
        <w:t xml:space="preserve"> 44 U.S.C. 3506(c</w:t>
      </w:r>
      <w:proofErr w:type="gramStart"/>
      <w:r w:rsidRPr="007076D3">
        <w:t>)(</w:t>
      </w:r>
      <w:proofErr w:type="gramEnd"/>
      <w:r w:rsidRPr="007076D3">
        <w:t>1) (2012) (outlining the process for the evaluation of a collection of information under a proposed agency rule).</w:t>
      </w:r>
    </w:p>
  </w:footnote>
  <w:footnote w:id="22">
    <w:p w14:paraId="60DA4E66" w14:textId="77777777" w:rsidR="00847EC5" w:rsidRPr="007076D3" w:rsidRDefault="00847EC5" w:rsidP="006053F6">
      <w:pPr>
        <w:pStyle w:val="FootnoteText"/>
        <w:ind w:firstLine="720"/>
      </w:pPr>
      <w:r w:rsidRPr="007076D3">
        <w:rPr>
          <w:rStyle w:val="FootnoteReference"/>
        </w:rPr>
        <w:footnoteRef/>
      </w:r>
      <w:r w:rsidRPr="007076D3">
        <w:t xml:space="preserve"> As discussed in the NOPR, we accounted for the provision that CIP version 4 would not go into effect by adjusting the paperwork burden estimate for </w:t>
      </w:r>
      <w:proofErr w:type="spellStart"/>
      <w:r w:rsidRPr="007076D3">
        <w:t>blackstart</w:t>
      </w:r>
      <w:proofErr w:type="spellEnd"/>
      <w:r w:rsidRPr="007076D3">
        <w:t xml:space="preserve"> facilities – the </w:t>
      </w:r>
      <w:r w:rsidRPr="007076D3">
        <w:rPr>
          <w:i/>
        </w:rPr>
        <w:t>only</w:t>
      </w:r>
      <w:r w:rsidRPr="007076D3">
        <w:t xml:space="preserve"> facilities captured by the CIP-002-4 bright line criteria for full protection, but no longer subject to such protections under the CIP version 5 Standards. </w:t>
      </w:r>
      <w:r w:rsidRPr="007076D3">
        <w:rPr>
          <w:i/>
        </w:rPr>
        <w:t xml:space="preserve"> See</w:t>
      </w:r>
      <w:r w:rsidRPr="007076D3">
        <w:t xml:space="preserve"> NOPR</w:t>
      </w:r>
      <w:r>
        <w:t>,</w:t>
      </w:r>
      <w:r w:rsidRPr="00B256F0">
        <w:t xml:space="preserve"> </w:t>
      </w:r>
      <w:r>
        <w:t>143 FERC ¶ 61,055</w:t>
      </w:r>
      <w:r w:rsidRPr="007076D3">
        <w:t xml:space="preserve"> at P</w:t>
      </w:r>
      <w:r>
        <w:t>P</w:t>
      </w:r>
      <w:r w:rsidRPr="007076D3">
        <w:t xml:space="preserve"> 123-124.</w:t>
      </w:r>
    </w:p>
  </w:footnote>
  <w:footnote w:id="23">
    <w:p w14:paraId="31FE930B" w14:textId="77777777" w:rsidR="00847EC5" w:rsidRPr="007076D3" w:rsidRDefault="00847EC5" w:rsidP="006053F6">
      <w:pPr>
        <w:pStyle w:val="FootnoteText"/>
        <w:ind w:firstLine="720"/>
      </w:pPr>
      <w:r w:rsidRPr="007076D3">
        <w:rPr>
          <w:rStyle w:val="FootnoteReference"/>
        </w:rPr>
        <w:footnoteRef/>
      </w:r>
      <w:r w:rsidRPr="007076D3">
        <w:t xml:space="preserve"> </w:t>
      </w:r>
      <w:r w:rsidRPr="007076D3">
        <w:rPr>
          <w:i/>
        </w:rPr>
        <w:t xml:space="preserve">See </w:t>
      </w:r>
      <w:r w:rsidRPr="007076D3">
        <w:t xml:space="preserve">Order No. 706, 122 FERC ¶ 61,040 at P 800.  </w:t>
      </w:r>
    </w:p>
  </w:footnote>
  <w:footnote w:id="24">
    <w:p w14:paraId="7B3B4323" w14:textId="1AFDDF5E" w:rsidR="00847EC5" w:rsidRDefault="00847EC5" w:rsidP="006053F6">
      <w:pPr>
        <w:pStyle w:val="FootnoteText"/>
        <w:ind w:firstLine="720"/>
      </w:pPr>
      <w:r>
        <w:rPr>
          <w:rStyle w:val="FootnoteReference"/>
        </w:rPr>
        <w:footnoteRef/>
      </w:r>
      <w:r>
        <w:t xml:space="preserve"> See item #7 in this supporting statement.</w:t>
      </w:r>
    </w:p>
  </w:footnote>
  <w:footnote w:id="25">
    <w:p w14:paraId="5BB7A047" w14:textId="77777777" w:rsidR="00847EC5" w:rsidRPr="00F7734B" w:rsidRDefault="00847EC5" w:rsidP="00377BAB">
      <w:pPr>
        <w:pStyle w:val="FootnoteText"/>
        <w:ind w:left="720"/>
      </w:pPr>
      <w:r>
        <w:rPr>
          <w:rStyle w:val="FootnoteReference"/>
        </w:rPr>
        <w:footnoteRef/>
      </w:r>
      <w:r>
        <w:t xml:space="preserve"> </w:t>
      </w:r>
      <w:r>
        <w:rPr>
          <w:i/>
        </w:rPr>
        <w:t xml:space="preserve">See </w:t>
      </w:r>
      <w:r>
        <w:t xml:space="preserve">the “Who Must Comply?” section at </w:t>
      </w:r>
      <w:hyperlink r:id="rId4" w:history="1">
        <w:r>
          <w:rPr>
            <w:rStyle w:val="Hyperlink"/>
          </w:rPr>
          <w:t>http://www.nerc.com/pa/comp/Pages/Default.aspx</w:t>
        </w:r>
      </w:hyperlink>
      <w:r>
        <w:t xml:space="preserve">.  </w:t>
      </w:r>
    </w:p>
  </w:footnote>
  <w:footnote w:id="26">
    <w:p w14:paraId="5BB7A048" w14:textId="77777777" w:rsidR="00847EC5" w:rsidRPr="004C36A6" w:rsidRDefault="00847EC5" w:rsidP="00951236">
      <w:pPr>
        <w:pStyle w:val="FootnoteText"/>
        <w:ind w:firstLine="720"/>
      </w:pPr>
      <w:r w:rsidRPr="004C36A6">
        <w:rPr>
          <w:rStyle w:val="FootnoteReference"/>
        </w:rPr>
        <w:footnoteRef/>
      </w:r>
      <w:r w:rsidRPr="004C36A6">
        <w:t xml:space="preserve"> </w:t>
      </w:r>
      <w:r w:rsidRPr="004C36A6">
        <w:rPr>
          <w:i/>
        </w:rPr>
        <w:t>See</w:t>
      </w:r>
      <w:r w:rsidRPr="004C36A6">
        <w:t xml:space="preserve"> Order No. 761, 139 FERC ¶ 61,058 at P 122, n.162.  </w:t>
      </w:r>
    </w:p>
  </w:footnote>
  <w:footnote w:id="27">
    <w:p w14:paraId="5BB7A049" w14:textId="77777777" w:rsidR="00847EC5" w:rsidRPr="004C36A6" w:rsidRDefault="00847EC5" w:rsidP="00951236">
      <w:pPr>
        <w:pStyle w:val="FootnoteText"/>
        <w:tabs>
          <w:tab w:val="center" w:pos="4680"/>
        </w:tabs>
        <w:ind w:firstLine="720"/>
      </w:pPr>
      <w:r w:rsidRPr="004C36A6">
        <w:rPr>
          <w:rStyle w:val="FootnoteReference"/>
        </w:rPr>
        <w:footnoteRef/>
      </w:r>
      <w:r w:rsidRPr="004C36A6">
        <w:t xml:space="preserve"> </w:t>
      </w:r>
      <w:proofErr w:type="gramStart"/>
      <w:r w:rsidRPr="004C36A6">
        <w:t xml:space="preserve">Based on assumption of 2 persons per entity, working 15 percent of </w:t>
      </w:r>
      <w:r>
        <w:t xml:space="preserve">the </w:t>
      </w:r>
      <w:r w:rsidRPr="004C36A6">
        <w:t>time for 2 weeks.</w:t>
      </w:r>
      <w:proofErr w:type="gramEnd"/>
    </w:p>
  </w:footnote>
  <w:footnote w:id="28">
    <w:p w14:paraId="5BB7A04A" w14:textId="77777777" w:rsidR="00847EC5" w:rsidRPr="004C36A6" w:rsidRDefault="00847EC5" w:rsidP="00951236">
      <w:pPr>
        <w:pStyle w:val="FootnoteText"/>
        <w:ind w:firstLine="720"/>
      </w:pPr>
      <w:r w:rsidRPr="004C36A6">
        <w:rPr>
          <w:rStyle w:val="FootnoteReference"/>
        </w:rPr>
        <w:footnoteRef/>
      </w:r>
      <w:r w:rsidRPr="004C36A6">
        <w:t xml:space="preserve"> Based on assumption of </w:t>
      </w:r>
      <w:r w:rsidRPr="00A86E48">
        <w:t>2 persons per entity, creating required policy documentation per policy (for each of four low policies), working</w:t>
      </w:r>
      <w:r w:rsidRPr="00A86E48" w:rsidDel="00B73CE7">
        <w:t xml:space="preserve"> </w:t>
      </w:r>
      <w:r w:rsidRPr="00A86E48">
        <w:t>40 percent of the time for 8 weeks.</w:t>
      </w:r>
    </w:p>
  </w:footnote>
  <w:footnote w:id="29">
    <w:p w14:paraId="5BB7A04B" w14:textId="77777777" w:rsidR="00847EC5" w:rsidRPr="004C36A6" w:rsidRDefault="00847EC5" w:rsidP="00951236">
      <w:pPr>
        <w:pStyle w:val="FootnoteText"/>
        <w:ind w:firstLine="720"/>
      </w:pPr>
      <w:r w:rsidRPr="004C36A6">
        <w:rPr>
          <w:rStyle w:val="FootnoteReference"/>
        </w:rPr>
        <w:footnoteRef/>
      </w:r>
      <w:r w:rsidRPr="004C36A6">
        <w:t xml:space="preserve"> </w:t>
      </w:r>
      <w:proofErr w:type="gramStart"/>
      <w:r w:rsidRPr="004C36A6">
        <w:t xml:space="preserve">Based on assumption of 2 persons per entity, working 20% of </w:t>
      </w:r>
      <w:r>
        <w:t xml:space="preserve">the </w:t>
      </w:r>
      <w:r w:rsidRPr="004C36A6">
        <w:t>time for 2 weeks.</w:t>
      </w:r>
      <w:proofErr w:type="gramEnd"/>
    </w:p>
  </w:footnote>
  <w:footnote w:id="30">
    <w:p w14:paraId="5BB7A04C" w14:textId="77777777" w:rsidR="00847EC5" w:rsidRPr="004C36A6" w:rsidRDefault="00847EC5" w:rsidP="00951236">
      <w:pPr>
        <w:pStyle w:val="FootnoteText"/>
        <w:ind w:firstLine="720"/>
      </w:pPr>
      <w:r w:rsidRPr="004C36A6">
        <w:rPr>
          <w:rStyle w:val="FootnoteReference"/>
        </w:rPr>
        <w:footnoteRef/>
      </w:r>
      <w:r w:rsidRPr="004C36A6">
        <w:t xml:space="preserve"> Based on assumption of 1 person per entity, per standard (</w:t>
      </w:r>
      <w:r>
        <w:t xml:space="preserve">for each of the </w:t>
      </w:r>
      <w:r w:rsidRPr="004C36A6">
        <w:t>10</w:t>
      </w:r>
      <w:r>
        <w:t xml:space="preserve"> standards</w:t>
      </w:r>
      <w:r w:rsidRPr="004C36A6">
        <w:t>) creating</w:t>
      </w:r>
      <w:r w:rsidRPr="004C36A6" w:rsidDel="00B73CE7">
        <w:t xml:space="preserve"> </w:t>
      </w:r>
      <w:r w:rsidRPr="004C36A6">
        <w:t>policy documentation, working 75 percent</w:t>
      </w:r>
      <w:r w:rsidRPr="004C36A6" w:rsidDel="00B73CE7">
        <w:t xml:space="preserve"> </w:t>
      </w:r>
      <w:r w:rsidRPr="004C36A6">
        <w:t xml:space="preserve">of </w:t>
      </w:r>
      <w:r>
        <w:t xml:space="preserve">the </w:t>
      </w:r>
      <w:r w:rsidRPr="004C36A6">
        <w:t>time for 8 weeks, and 1 person per entity, per standard (</w:t>
      </w:r>
      <w:r>
        <w:t xml:space="preserve">for each of the </w:t>
      </w:r>
      <w:r w:rsidRPr="004C36A6">
        <w:t>10</w:t>
      </w:r>
      <w:r>
        <w:t xml:space="preserve"> standards</w:t>
      </w:r>
      <w:r w:rsidRPr="004C36A6">
        <w:t>) on creating compliance documentation, 25 percent of</w:t>
      </w:r>
      <w:r>
        <w:t xml:space="preserve"> the</w:t>
      </w:r>
      <w:r w:rsidRPr="004C36A6">
        <w:t xml:space="preserve"> time for 8 weeks.</w:t>
      </w:r>
      <w:r>
        <w:t xml:space="preserve">  Therefore, for the estimated 10 standards per entity, 1 person would be working 3,200 hrs.</w:t>
      </w:r>
    </w:p>
  </w:footnote>
  <w:footnote w:id="31">
    <w:p w14:paraId="5BB7A04D" w14:textId="77777777" w:rsidR="00847EC5" w:rsidRPr="004C36A6" w:rsidRDefault="00847EC5" w:rsidP="00951236">
      <w:pPr>
        <w:pStyle w:val="FootnoteText"/>
        <w:ind w:firstLine="720"/>
      </w:pPr>
      <w:r w:rsidRPr="004C36A6">
        <w:rPr>
          <w:rStyle w:val="FootnoteReference"/>
        </w:rPr>
        <w:footnoteRef/>
      </w:r>
      <w:r w:rsidRPr="004C36A6">
        <w:t xml:space="preserve"> </w:t>
      </w:r>
      <w:proofErr w:type="gramStart"/>
      <w:r w:rsidRPr="004C36A6">
        <w:t xml:space="preserve">Based on assumption of 2 persons per entity, working 20 percent of </w:t>
      </w:r>
      <w:r>
        <w:t xml:space="preserve">the </w:t>
      </w:r>
      <w:r w:rsidRPr="004C36A6">
        <w:t>time for 52 weeks.</w:t>
      </w:r>
      <w:proofErr w:type="gramEnd"/>
    </w:p>
  </w:footnote>
  <w:footnote w:id="32">
    <w:p w14:paraId="5BB7A04E" w14:textId="77777777" w:rsidR="00847EC5" w:rsidRDefault="00847EC5" w:rsidP="00377BAB">
      <w:pPr>
        <w:pStyle w:val="FootnoteText"/>
        <w:ind w:left="720"/>
      </w:pPr>
      <w:r>
        <w:rPr>
          <w:rStyle w:val="FootnoteReference"/>
        </w:rPr>
        <w:footnoteRef/>
      </w:r>
      <w:r>
        <w:t xml:space="preserve">These are the Group C Medium facilities that are newly applicable to CIP standards.  The total number of entities is 23 (30% of 78 new Mediums = 23). </w:t>
      </w:r>
    </w:p>
  </w:footnote>
  <w:footnote w:id="33">
    <w:p w14:paraId="5BB7A04F" w14:textId="77777777" w:rsidR="00847EC5" w:rsidRDefault="00847EC5" w:rsidP="00377BAB">
      <w:pPr>
        <w:pStyle w:val="FootnoteText"/>
        <w:ind w:left="720"/>
      </w:pPr>
      <w:r>
        <w:rPr>
          <w:rStyle w:val="FootnoteReference"/>
        </w:rPr>
        <w:footnoteRef/>
      </w:r>
      <w:r>
        <w:t xml:space="preserve"> </w:t>
      </w:r>
      <w:proofErr w:type="gramStart"/>
      <w:r w:rsidRPr="004C36A6">
        <w:t xml:space="preserve">Based on assumption of 2 persons per entity, working 20 percent of </w:t>
      </w:r>
      <w:r>
        <w:t xml:space="preserve">the </w:t>
      </w:r>
      <w:r w:rsidRPr="004C36A6">
        <w:t>time for 52 weeks.</w:t>
      </w:r>
      <w:proofErr w:type="gramEnd"/>
    </w:p>
  </w:footnote>
  <w:footnote w:id="34">
    <w:p w14:paraId="5BB7A050" w14:textId="77777777" w:rsidR="00847EC5" w:rsidRPr="004C36A6" w:rsidRDefault="00847EC5" w:rsidP="00951236">
      <w:pPr>
        <w:pStyle w:val="FootnoteText"/>
        <w:ind w:firstLine="720"/>
      </w:pPr>
      <w:r w:rsidRPr="004C36A6">
        <w:rPr>
          <w:rStyle w:val="FootnoteReference"/>
        </w:rPr>
        <w:footnoteRef/>
      </w:r>
      <w:r w:rsidRPr="004C36A6">
        <w:t xml:space="preserve"> Based on assumption of 1 person per entity,</w:t>
      </w:r>
      <w:r w:rsidRPr="004C36A6" w:rsidDel="00B73CE7">
        <w:t xml:space="preserve"> </w:t>
      </w:r>
      <w:r w:rsidRPr="004C36A6">
        <w:t>per standard (</w:t>
      </w:r>
      <w:r>
        <w:t xml:space="preserve">for each of the </w:t>
      </w:r>
      <w:r w:rsidRPr="004C36A6">
        <w:t>10</w:t>
      </w:r>
      <w:r>
        <w:t xml:space="preserve"> standards</w:t>
      </w:r>
      <w:r w:rsidRPr="004C36A6">
        <w:t>) modifying policy documentation, working 10 percent of</w:t>
      </w:r>
      <w:r>
        <w:t xml:space="preserve"> the</w:t>
      </w:r>
      <w:r w:rsidRPr="004C36A6">
        <w:t xml:space="preserve"> time for 2 weeks, and 1 person per entity, per standard (</w:t>
      </w:r>
      <w:r>
        <w:t xml:space="preserve">for each of the </w:t>
      </w:r>
      <w:r w:rsidRPr="004C36A6">
        <w:t>10</w:t>
      </w:r>
      <w:r>
        <w:t xml:space="preserve"> standards</w:t>
      </w:r>
      <w:r w:rsidRPr="004C36A6">
        <w:t xml:space="preserve">) modifying compliance documentation, 10 percent of </w:t>
      </w:r>
      <w:r>
        <w:t xml:space="preserve">the </w:t>
      </w:r>
      <w:r w:rsidRPr="004C36A6">
        <w:t>time for 2 weeks.</w:t>
      </w:r>
    </w:p>
  </w:footnote>
  <w:footnote w:id="35">
    <w:p w14:paraId="5BB7A051" w14:textId="77777777" w:rsidR="00847EC5" w:rsidRPr="004C36A6" w:rsidRDefault="00847EC5" w:rsidP="00951236">
      <w:pPr>
        <w:pStyle w:val="FootnoteText"/>
        <w:ind w:firstLine="720"/>
      </w:pPr>
      <w:r w:rsidRPr="004C36A6">
        <w:rPr>
          <w:rStyle w:val="FootnoteReference"/>
        </w:rPr>
        <w:footnoteRef/>
      </w:r>
      <w:r w:rsidRPr="004C36A6">
        <w:t xml:space="preserve"> Based on assumption of a </w:t>
      </w:r>
      <w:r w:rsidRPr="004C36A6">
        <w:rPr>
          <w:i/>
        </w:rPr>
        <w:t>reduction</w:t>
      </w:r>
      <w:r w:rsidRPr="004C36A6">
        <w:t xml:space="preserve"> of 2 persons per entity, collecting compliance data, working</w:t>
      </w:r>
      <w:r w:rsidRPr="004C36A6" w:rsidDel="00B73CE7">
        <w:t xml:space="preserve"> </w:t>
      </w:r>
      <w:r w:rsidRPr="004C36A6">
        <w:t xml:space="preserve">20 percent of </w:t>
      </w:r>
      <w:r>
        <w:t xml:space="preserve">the </w:t>
      </w:r>
      <w:r w:rsidRPr="004C36A6">
        <w:t>time for 52 weeks</w:t>
      </w:r>
      <w:r>
        <w:t xml:space="preserve"> (giving a reduction of 832 hours)</w:t>
      </w:r>
      <w:r w:rsidRPr="004C36A6">
        <w:t xml:space="preserve">, and an </w:t>
      </w:r>
      <w:r w:rsidRPr="004C36A6">
        <w:rPr>
          <w:i/>
        </w:rPr>
        <w:t>increase</w:t>
      </w:r>
      <w:r w:rsidRPr="004C36A6">
        <w:t xml:space="preserve"> of 1 person per entity, collecting compliance data, working 5 percent of </w:t>
      </w:r>
      <w:r>
        <w:t xml:space="preserve">the </w:t>
      </w:r>
      <w:r w:rsidRPr="004C36A6">
        <w:t>time for 52 weeks</w:t>
      </w:r>
      <w:r>
        <w:t xml:space="preserve"> (giving an increase of 104 hours), for a net reduction of 728 hours</w:t>
      </w:r>
      <w:r w:rsidRPr="004C36A6">
        <w:t>.</w:t>
      </w:r>
      <w:r>
        <w:t xml:space="preserve">  CIP v5 puts </w:t>
      </w:r>
      <w:proofErr w:type="spellStart"/>
      <w:r>
        <w:t>Blackstart</w:t>
      </w:r>
      <w:proofErr w:type="spellEnd"/>
      <w:r>
        <w:t xml:space="preserve"> facilities into the Low category.  This reduces the amount of paperwork burden these facilities have under the current CIP standards.</w:t>
      </w:r>
    </w:p>
  </w:footnote>
  <w:footnote w:id="36">
    <w:p w14:paraId="5BB7A052" w14:textId="77777777" w:rsidR="00847EC5" w:rsidRPr="004C36A6" w:rsidRDefault="00847EC5" w:rsidP="00951236">
      <w:pPr>
        <w:pStyle w:val="FootnoteText"/>
        <w:ind w:firstLine="720"/>
      </w:pPr>
      <w:r w:rsidRPr="004C36A6">
        <w:rPr>
          <w:rStyle w:val="FootnoteReference"/>
        </w:rPr>
        <w:footnoteRef/>
      </w:r>
      <w:r w:rsidRPr="004C36A6">
        <w:t xml:space="preserve"> Based on assumption of 1 person per entity, per standard (</w:t>
      </w:r>
      <w:r>
        <w:t xml:space="preserve">for each of the </w:t>
      </w:r>
      <w:r w:rsidRPr="004C36A6">
        <w:t>10</w:t>
      </w:r>
      <w:r>
        <w:t xml:space="preserve"> standards</w:t>
      </w:r>
      <w:r w:rsidRPr="004C36A6">
        <w:t>) modifying compliance documentation,</w:t>
      </w:r>
      <w:r w:rsidRPr="004C36A6" w:rsidDel="002E024E">
        <w:t xml:space="preserve"> </w:t>
      </w:r>
      <w:r w:rsidRPr="004C36A6">
        <w:t xml:space="preserve">working 50 percent of </w:t>
      </w:r>
      <w:r>
        <w:t xml:space="preserve">the </w:t>
      </w:r>
      <w:r w:rsidRPr="004C36A6">
        <w:t>time for 8 weeks.</w:t>
      </w:r>
    </w:p>
  </w:footnote>
  <w:footnote w:id="37">
    <w:p w14:paraId="5BB7A053" w14:textId="77777777" w:rsidR="00847EC5" w:rsidRPr="004C36A6" w:rsidRDefault="00847EC5" w:rsidP="00951236">
      <w:pPr>
        <w:pStyle w:val="FootnoteText"/>
        <w:ind w:firstLine="720"/>
      </w:pPr>
      <w:r w:rsidRPr="004C36A6">
        <w:rPr>
          <w:rStyle w:val="FootnoteReference"/>
        </w:rPr>
        <w:footnoteRef/>
      </w:r>
      <w:r w:rsidRPr="004C36A6">
        <w:t xml:space="preserve"> </w:t>
      </w:r>
      <w:proofErr w:type="gramStart"/>
      <w:r w:rsidRPr="004C36A6">
        <w:t xml:space="preserve">Based on assumption of 2 persons collecting compliance data, working 10 percent of </w:t>
      </w:r>
      <w:r>
        <w:t xml:space="preserve">the </w:t>
      </w:r>
      <w:r w:rsidRPr="004C36A6">
        <w:t>time for 52 weeks.</w:t>
      </w:r>
      <w:proofErr w:type="gramEnd"/>
    </w:p>
  </w:footnote>
  <w:footnote w:id="38">
    <w:p w14:paraId="5BB7A054" w14:textId="77777777" w:rsidR="00847EC5" w:rsidRDefault="00847EC5" w:rsidP="006D0ABE">
      <w:pPr>
        <w:pStyle w:val="FootnoteText"/>
        <w:ind w:firstLine="720"/>
      </w:pPr>
      <w:r>
        <w:rPr>
          <w:rStyle w:val="FootnoteReference"/>
        </w:rPr>
        <w:footnoteRef/>
      </w:r>
      <w:r>
        <w:t xml:space="preserve"> Group A includes 61 unique entities, Group B includes 1,089 unique entities, and Group C includes 325 unique entities.  </w:t>
      </w:r>
    </w:p>
  </w:footnote>
  <w:footnote w:id="39">
    <w:p w14:paraId="5BB7A055" w14:textId="77777777" w:rsidR="00847EC5" w:rsidRDefault="00847EC5" w:rsidP="001D5ABC">
      <w:pPr>
        <w:pStyle w:val="FootnoteText"/>
        <w:ind w:firstLine="720"/>
      </w:pPr>
      <w:r>
        <w:rPr>
          <w:rStyle w:val="FootnoteReference"/>
        </w:rPr>
        <w:footnoteRef/>
      </w:r>
      <w:r>
        <w:t xml:space="preserve"> The three “Total Hours” columns represent the aggregate hours for all the entities in each row.  For the last row they show the grand total for each year. </w:t>
      </w:r>
    </w:p>
  </w:footnote>
  <w:footnote w:id="40">
    <w:p w14:paraId="5BB7A056" w14:textId="77777777" w:rsidR="00847EC5" w:rsidRPr="004C36A6" w:rsidRDefault="00847EC5" w:rsidP="00951236">
      <w:pPr>
        <w:pStyle w:val="FootnoteText"/>
        <w:ind w:firstLine="720"/>
      </w:pPr>
      <w:r w:rsidRPr="004C36A6">
        <w:rPr>
          <w:rStyle w:val="FootnoteReference"/>
        </w:rPr>
        <w:footnoteRef/>
      </w:r>
      <w:r w:rsidRPr="004C36A6">
        <w:t xml:space="preserve"> Distribution Providers are the only functional entity type in Group A (</w:t>
      </w:r>
      <w:r w:rsidRPr="004C36A6">
        <w:rPr>
          <w:i/>
        </w:rPr>
        <w:t>see</w:t>
      </w:r>
      <w:r w:rsidRPr="004C36A6">
        <w:t xml:space="preserve"> section 4, Applicability, of each CIP version 5 Standard), and their facilities are captured only by the Low classification criteria listed in </w:t>
      </w:r>
      <w:r>
        <w:t xml:space="preserve">proposed </w:t>
      </w:r>
      <w:r w:rsidRPr="004C36A6">
        <w:t>CIP-002-5.  The number of entities in this group represents the number of Distribution Providers that are not registered for any additional CIP version 5 applicable functions, including the Load Serving Entity function</w:t>
      </w:r>
      <w:r>
        <w:t xml:space="preserve">.  The Load Serving Entity </w:t>
      </w:r>
      <w:r w:rsidRPr="00E66BEB">
        <w:t>function is subject to CIP versions 1-4.</w:t>
      </w:r>
    </w:p>
  </w:footnote>
  <w:footnote w:id="41">
    <w:p w14:paraId="5BB7A057" w14:textId="77777777" w:rsidR="00847EC5" w:rsidRPr="004C36A6" w:rsidRDefault="00847EC5" w:rsidP="00951236">
      <w:pPr>
        <w:pStyle w:val="FootnoteText"/>
        <w:ind w:firstLine="720"/>
      </w:pPr>
      <w:r w:rsidRPr="004C36A6">
        <w:rPr>
          <w:rStyle w:val="FootnoteReference"/>
        </w:rPr>
        <w:footnoteRef/>
      </w:r>
      <w:r w:rsidRPr="004C36A6">
        <w:t xml:space="preserve"> As with Groups A and C, Group B will own Low facilities which were not identified for protections under prior CIP versions.  The number of Group B respondents is calculated as 77 percent of the total entities previously subject to the CIP Reliability Standards.  (</w:t>
      </w:r>
      <w:r>
        <w:t>0</w:t>
      </w:r>
      <w:r w:rsidRPr="004C36A6">
        <w:t>.77 * 1414 = 1,089).</w:t>
      </w:r>
    </w:p>
  </w:footnote>
  <w:footnote w:id="42">
    <w:p w14:paraId="5BB7A058" w14:textId="77777777" w:rsidR="00847EC5" w:rsidRPr="004C36A6" w:rsidRDefault="00847EC5" w:rsidP="00951236">
      <w:pPr>
        <w:pStyle w:val="FootnoteText"/>
        <w:ind w:firstLine="720"/>
      </w:pPr>
      <w:r w:rsidRPr="004C36A6">
        <w:rPr>
          <w:rStyle w:val="FootnoteReference"/>
        </w:rPr>
        <w:footnoteRef/>
      </w:r>
      <w:r w:rsidRPr="004C36A6">
        <w:t xml:space="preserve"> In contrast to CIP version 4, Criterion 2.5 in </w:t>
      </w:r>
      <w:r>
        <w:t xml:space="preserve">proposed </w:t>
      </w:r>
      <w:r w:rsidRPr="004C36A6">
        <w:t xml:space="preserve">CIP version 5 identifies new facilities for protection </w:t>
      </w:r>
      <w:r>
        <w:t>(</w:t>
      </w:r>
      <w:r w:rsidRPr="004C36A6">
        <w:t>transmission facilities</w:t>
      </w:r>
      <w:r>
        <w:t xml:space="preserve"> which are greater than or equal to </w:t>
      </w:r>
      <w:r w:rsidRPr="004C36A6">
        <w:t>200kV</w:t>
      </w:r>
      <w:r>
        <w:t xml:space="preserve"> and less than </w:t>
      </w:r>
      <w:r w:rsidRPr="004C36A6">
        <w:t>300kV</w:t>
      </w:r>
      <w:r>
        <w:t xml:space="preserve">) </w:t>
      </w:r>
      <w:r w:rsidRPr="004C36A6">
        <w:t xml:space="preserve">and classifies them as “Medium.”  Some of these newly-applicable transmission facilities are owned by entities that had not previously identified any CCAs under previous versions, while some of the Criterion 2.5 facilities are owned by entities that previously identified CCAs.  Assuming Group B entities constitute 77 percent of the entities to which this criterion potentially applies, 260 entities of the 338 total Transmission Owners (TO) captured by Criterion 2.5 are assigned to Group B, while the remaining 78 are allotted to Group C.  </w:t>
      </w:r>
    </w:p>
  </w:footnote>
  <w:footnote w:id="43">
    <w:p w14:paraId="5BB7A059" w14:textId="77777777" w:rsidR="00847EC5" w:rsidRPr="004C36A6" w:rsidRDefault="00847EC5" w:rsidP="00951236">
      <w:pPr>
        <w:pStyle w:val="FootnoteText"/>
        <w:ind w:firstLine="720"/>
      </w:pPr>
      <w:r w:rsidRPr="004C36A6">
        <w:rPr>
          <w:rStyle w:val="FootnoteReference"/>
        </w:rPr>
        <w:footnoteRef/>
      </w:r>
      <w:r w:rsidRPr="004C36A6">
        <w:t xml:space="preserve"> As with Groups A and B, the entities that identified CCAs under CIP version 4 (Group C) will also own facilities newly addressed by CIP version 5 and classified as Lo</w:t>
      </w:r>
      <w:r w:rsidRPr="006A17AF">
        <w:t>w.  The number of Group C respondents is calculated as 23 percent of the total entities previously subject to the CIP Reliability Standards.  (0.23 * 1414 = 325).</w:t>
      </w:r>
      <w:r w:rsidRPr="004C36A6">
        <w:t xml:space="preserve">  </w:t>
      </w:r>
    </w:p>
  </w:footnote>
  <w:footnote w:id="44">
    <w:p w14:paraId="5BB7A05A" w14:textId="77777777" w:rsidR="00847EC5" w:rsidRPr="004C36A6" w:rsidRDefault="00847EC5" w:rsidP="00EB6056">
      <w:pPr>
        <w:pStyle w:val="FootnoteText"/>
        <w:ind w:firstLine="720"/>
      </w:pPr>
      <w:r w:rsidRPr="004C36A6">
        <w:rPr>
          <w:rStyle w:val="FootnoteReference"/>
        </w:rPr>
        <w:footnoteRef/>
      </w:r>
      <w:r w:rsidRPr="004C36A6">
        <w:t xml:space="preserve"> This row concerns only the newly subject transmission facilities that are addressed by CIP version 5, Criterion 2.5, as owned by Group C TO</w:t>
      </w:r>
      <w:r>
        <w:t xml:space="preserve"> (Transmission Owner)</w:t>
      </w:r>
      <w:r w:rsidRPr="004C36A6">
        <w:t xml:space="preserve"> </w:t>
      </w:r>
      <w:r w:rsidRPr="009F755A">
        <w:t xml:space="preserve">entities.  </w:t>
      </w:r>
      <w:r w:rsidRPr="009F755A">
        <w:rPr>
          <w:i/>
        </w:rPr>
        <w:t>See</w:t>
      </w:r>
      <w:r w:rsidRPr="009F755A">
        <w:t xml:space="preserve"> the Footnote 25 for Group B Medium</w:t>
      </w:r>
      <w:r w:rsidRPr="004C36A6">
        <w:t xml:space="preserve"> for further explanation.  These Medium-rated facilities are broken out in this row, separate from other Medium facilities the entity may own in the High and Medium row</w:t>
      </w:r>
      <w:r>
        <w:t>s</w:t>
      </w:r>
      <w:r w:rsidRPr="004C36A6">
        <w:t xml:space="preserve"> below because the level of effort for </w:t>
      </w:r>
      <w:proofErr w:type="gramStart"/>
      <w:r w:rsidRPr="004C36A6">
        <w:t>these</w:t>
      </w:r>
      <w:proofErr w:type="gramEnd"/>
      <w:r w:rsidRPr="004C36A6">
        <w:t xml:space="preserve"> Group C TO entities to protect these newly protected facilities is estimated differently than for the Group B entities, or for other Medium facilities the entity may own.  </w:t>
      </w:r>
    </w:p>
  </w:footnote>
  <w:footnote w:id="45">
    <w:p w14:paraId="5BB7A05B" w14:textId="77777777" w:rsidR="00847EC5" w:rsidRPr="004C36A6" w:rsidRDefault="00847EC5" w:rsidP="00951236">
      <w:pPr>
        <w:pStyle w:val="FootnoteText"/>
        <w:ind w:firstLine="720"/>
      </w:pPr>
      <w:r w:rsidRPr="004C36A6">
        <w:rPr>
          <w:rStyle w:val="FootnoteReference"/>
        </w:rPr>
        <w:footnoteRef/>
      </w:r>
      <w:r w:rsidRPr="004C36A6">
        <w:t xml:space="preserve"> </w:t>
      </w:r>
      <w:proofErr w:type="spellStart"/>
      <w:r w:rsidRPr="004C36A6">
        <w:t>Blackstart</w:t>
      </w:r>
      <w:proofErr w:type="spellEnd"/>
      <w:r w:rsidRPr="004C36A6">
        <w:t xml:space="preserve"> generation and transmission cranking </w:t>
      </w:r>
      <w:r w:rsidRPr="00EF4574">
        <w:t>paths are the only types of facilities</w:t>
      </w:r>
      <w:r w:rsidRPr="004C36A6">
        <w:t xml:space="preserve"> identified first for more specified security controls under CIP version 4, Criteria 1.4 and 1.5, but then subject only to Low mandatory security controls under CIP version 5, Criterion 3.4.  The number of entities in this row represents 23 percent of the sum of all registered Generation Operators</w:t>
      </w:r>
      <w:r>
        <w:t xml:space="preserve"> (891 total Generator Operators)</w:t>
      </w:r>
      <w:r w:rsidRPr="004C36A6">
        <w:t xml:space="preserve"> to account for </w:t>
      </w:r>
      <w:proofErr w:type="spellStart"/>
      <w:r w:rsidRPr="004C36A6">
        <w:t>Blackstart</w:t>
      </w:r>
      <w:proofErr w:type="spellEnd"/>
      <w:r w:rsidRPr="004C36A6">
        <w:t xml:space="preserve"> Resources and all TOs to account for cranking paths.  </w:t>
      </w:r>
      <w:r>
        <w:t xml:space="preserve">The total burden in year 3 is negative (-206,024 hours) because in year 3 </w:t>
      </w:r>
      <w:proofErr w:type="spellStart"/>
      <w:r>
        <w:t>blackstart</w:t>
      </w:r>
      <w:proofErr w:type="spellEnd"/>
      <w:r>
        <w:t xml:space="preserve"> facilities will no longer be subject to the more specified security controls under CIP version 4.  This leads to the burden reduction for these entities described in footnote 17.</w:t>
      </w:r>
    </w:p>
  </w:footnote>
  <w:footnote w:id="46">
    <w:p w14:paraId="5BB7A05C" w14:textId="77777777" w:rsidR="00847EC5" w:rsidRPr="004C36A6" w:rsidRDefault="00847EC5" w:rsidP="00951236">
      <w:pPr>
        <w:pStyle w:val="FootnoteText"/>
        <w:ind w:firstLine="720"/>
      </w:pPr>
      <w:r w:rsidRPr="004C36A6">
        <w:rPr>
          <w:rStyle w:val="FootnoteReference"/>
        </w:rPr>
        <w:footnoteRef/>
      </w:r>
      <w:r w:rsidRPr="004C36A6">
        <w:t xml:space="preserve"> Except for the </w:t>
      </w:r>
      <w:proofErr w:type="spellStart"/>
      <w:r w:rsidRPr="004C36A6">
        <w:t>Blackstart</w:t>
      </w:r>
      <w:proofErr w:type="spellEnd"/>
      <w:r w:rsidRPr="004C36A6">
        <w:t xml:space="preserve"> facilities noted above, the facilities that Group C entities identify as CCAs under CIP version 4 will be rated for Medium or High security controls under CIP version 5.  </w:t>
      </w:r>
    </w:p>
  </w:footnote>
  <w:footnote w:id="47">
    <w:p w14:paraId="5BB7A05D" w14:textId="77777777" w:rsidR="00847EC5" w:rsidRPr="004C36A6" w:rsidRDefault="00847EC5" w:rsidP="008B60F0">
      <w:pPr>
        <w:pStyle w:val="FootnoteText"/>
        <w:ind w:firstLine="720"/>
      </w:pPr>
      <w:r w:rsidRPr="004C36A6">
        <w:rPr>
          <w:rStyle w:val="FootnoteReference"/>
        </w:rPr>
        <w:footnoteRef/>
      </w:r>
      <w:r w:rsidRPr="004C36A6">
        <w:t xml:space="preserve"> In the NOPR, the total for year 2 and the total for year 3 were shown to be 768 hours more than the actual totals.  Th</w:t>
      </w:r>
      <w:r w:rsidRPr="00937689">
        <w:t>e Commission is issued an errata notice on 5/3/2013 to correct the error.</w:t>
      </w:r>
    </w:p>
  </w:footnote>
  <w:footnote w:id="48">
    <w:p w14:paraId="5BB7A05E" w14:textId="77777777" w:rsidR="00847EC5" w:rsidRPr="004C36A6" w:rsidRDefault="00847EC5" w:rsidP="00951236">
      <w:pPr>
        <w:pStyle w:val="FootnoteText"/>
        <w:ind w:firstLine="720"/>
      </w:pPr>
      <w:r w:rsidRPr="004C36A6">
        <w:rPr>
          <w:rStyle w:val="FootnoteReference"/>
        </w:rPr>
        <w:footnoteRef/>
      </w:r>
      <w:r w:rsidRPr="004C36A6">
        <w:t xml:space="preserve"> The total cost figures are rounded to the nearest </w:t>
      </w:r>
      <w:r w:rsidRPr="0087479A">
        <w:t>thousand dollars.  The “hours per entity” figures are averages over three years.  Some</w:t>
      </w:r>
      <w:r w:rsidRPr="004C36A6">
        <w:t xml:space="preserve"> entities within a group may experience higher or lower hourly impact (as illustrated in the burden table) depending on entity type and assets owned. </w:t>
      </w:r>
    </w:p>
  </w:footnote>
  <w:footnote w:id="49">
    <w:p w14:paraId="5BB7A05F" w14:textId="77777777" w:rsidR="00847EC5" w:rsidRPr="004C36A6" w:rsidRDefault="00847EC5" w:rsidP="00951236">
      <w:pPr>
        <w:pStyle w:val="FootnoteText"/>
        <w:ind w:firstLine="720"/>
      </w:pPr>
      <w:r w:rsidRPr="006053F6">
        <w:rPr>
          <w:rStyle w:val="FootnoteReference"/>
        </w:rPr>
        <w:footnoteRef/>
      </w:r>
      <w:r w:rsidRPr="004C36A6">
        <w:t xml:space="preserve"> </w:t>
      </w:r>
      <w:r w:rsidRPr="004C36A6">
        <w:rPr>
          <w:i/>
        </w:rPr>
        <w:t>See</w:t>
      </w:r>
      <w:r w:rsidRPr="004C36A6">
        <w:t xml:space="preserve"> </w:t>
      </w:r>
      <w:hyperlink r:id="rId5" w:history="1">
        <w:r w:rsidRPr="004C36A6">
          <w:rPr>
            <w:rStyle w:val="Hyperlink"/>
          </w:rPr>
          <w:t>http://bls.gov/oes/current/naics2_22.htm</w:t>
        </w:r>
      </w:hyperlink>
      <w:r w:rsidRPr="004C36A6">
        <w:t xml:space="preserve"> and </w:t>
      </w:r>
      <w:hyperlink r:id="rId6" w:history="1">
        <w:r w:rsidRPr="004C36A6">
          <w:rPr>
            <w:rStyle w:val="Hyperlink"/>
          </w:rPr>
          <w:t>http://www.bls.gov/news.release/ecec.nr0.htm</w:t>
        </w:r>
      </w:hyperlink>
      <w:r w:rsidRPr="004C36A6">
        <w:t>.</w:t>
      </w:r>
    </w:p>
    <w:p w14:paraId="5BB7A060" w14:textId="77777777" w:rsidR="00847EC5" w:rsidRPr="004C36A6" w:rsidRDefault="00847EC5" w:rsidP="00951236">
      <w:pPr>
        <w:pStyle w:val="FootnoteText"/>
        <w:ind w:firstLine="720"/>
      </w:pPr>
    </w:p>
  </w:footnote>
  <w:footnote w:id="50">
    <w:p w14:paraId="5BB7A062" w14:textId="77777777" w:rsidR="00847EC5" w:rsidRPr="006053F6" w:rsidRDefault="00847EC5" w:rsidP="001500E1">
      <w:pPr>
        <w:pStyle w:val="FootnoteText"/>
        <w:ind w:firstLine="720"/>
      </w:pPr>
      <w:r w:rsidRPr="006053F6">
        <w:rPr>
          <w:rStyle w:val="FootnoteReference"/>
        </w:rPr>
        <w:footnoteRef/>
      </w:r>
      <w:r w:rsidRPr="006053F6">
        <w:t xml:space="preserve"> </w:t>
      </w:r>
      <w:proofErr w:type="gramStart"/>
      <w:r w:rsidRPr="006053F6">
        <w:t>Based on 2013 cost per FTE of $145,818.</w:t>
      </w:r>
      <w:proofErr w:type="gramEnd"/>
    </w:p>
  </w:footnote>
  <w:footnote w:id="51">
    <w:p w14:paraId="5BB7A063" w14:textId="77777777" w:rsidR="00847EC5" w:rsidRPr="004C36A6" w:rsidRDefault="00847EC5" w:rsidP="00AB5F3B">
      <w:pPr>
        <w:pStyle w:val="FootnoteText"/>
        <w:ind w:firstLine="720"/>
      </w:pPr>
      <w:r w:rsidRPr="006053F6">
        <w:rPr>
          <w:rStyle w:val="FootnoteReference"/>
        </w:rPr>
        <w:footnoteRef/>
      </w:r>
      <w:r w:rsidRPr="006053F6">
        <w:t xml:space="preserve"> </w:t>
      </w:r>
      <w:r w:rsidRPr="004C36A6">
        <w:t>The PRA Administration Cost is based on the Commission’s estimated staff time and resources to comply with the requirements of the PRA.</w:t>
      </w:r>
    </w:p>
  </w:footnote>
  <w:footnote w:id="52">
    <w:p w14:paraId="5BB7A064" w14:textId="525F5FF0" w:rsidR="00847EC5" w:rsidRPr="004C36A6" w:rsidRDefault="00847EC5" w:rsidP="00234A3C">
      <w:pPr>
        <w:pStyle w:val="FootnoteText"/>
        <w:ind w:firstLine="720"/>
      </w:pPr>
      <w:r w:rsidRPr="006053F6">
        <w:rPr>
          <w:rStyle w:val="FootnoteReference"/>
        </w:rPr>
        <w:footnoteRef/>
      </w:r>
      <w:r w:rsidRPr="006053F6">
        <w:t xml:space="preserve"> </w:t>
      </w:r>
      <w:r w:rsidRPr="00F7016E">
        <w:t xml:space="preserve">383,543 hours represents the implementation burden for CIP </w:t>
      </w:r>
      <w:r w:rsidRPr="004A0C07">
        <w:t>version 5.  The remaining burden hour after removing the implementation burden (779,595 hours – 383,543 hours = 396,052 hours) is the ongoing burden.</w:t>
      </w:r>
      <w:r w:rsidRPr="004C36A6">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B7A02C" w14:textId="13EB6553" w:rsidR="00847EC5" w:rsidRDefault="00847EC5" w:rsidP="00AD3DE5">
    <w:pPr>
      <w:pStyle w:val="Header"/>
      <w:rPr>
        <w:rFonts w:ascii="Times New Roman" w:hAnsi="Times New Roman"/>
        <w:sz w:val="24"/>
        <w:szCs w:val="24"/>
      </w:rPr>
    </w:pPr>
    <w:r>
      <w:rPr>
        <w:rFonts w:ascii="Times New Roman" w:hAnsi="Times New Roman"/>
        <w:sz w:val="24"/>
        <w:szCs w:val="24"/>
      </w:rPr>
      <w:t>FERC-725B, OMB Control No. 1902-0248</w:t>
    </w:r>
  </w:p>
  <w:p w14:paraId="5BB7A02D" w14:textId="2043E332" w:rsidR="00847EC5" w:rsidRDefault="00847EC5" w:rsidP="00AD3DE5">
    <w:pPr>
      <w:pStyle w:val="Header"/>
      <w:rPr>
        <w:rFonts w:ascii="Times New Roman" w:hAnsi="Times New Roman"/>
        <w:sz w:val="24"/>
        <w:szCs w:val="24"/>
      </w:rPr>
    </w:pPr>
    <w:r>
      <w:rPr>
        <w:rFonts w:ascii="Times New Roman" w:hAnsi="Times New Roman"/>
        <w:sz w:val="24"/>
        <w:szCs w:val="24"/>
      </w:rPr>
      <w:t>Final Rule in Docket No. RM13-5 (issued 11/</w:t>
    </w:r>
    <w:r w:rsidR="003A01A8">
      <w:rPr>
        <w:rFonts w:ascii="Times New Roman" w:hAnsi="Times New Roman"/>
        <w:sz w:val="24"/>
        <w:szCs w:val="24"/>
      </w:rPr>
      <w:t>2</w:t>
    </w:r>
    <w:r w:rsidR="003A01A8">
      <w:rPr>
        <w:rFonts w:ascii="Times New Roman" w:hAnsi="Times New Roman"/>
        <w:sz w:val="24"/>
        <w:szCs w:val="24"/>
      </w:rPr>
      <w:t>2</w:t>
    </w:r>
    <w:r>
      <w:rPr>
        <w:rFonts w:ascii="Times New Roman" w:hAnsi="Times New Roman"/>
        <w:sz w:val="24"/>
        <w:szCs w:val="24"/>
      </w:rPr>
      <w:t>/2013)</w:t>
    </w:r>
  </w:p>
  <w:p w14:paraId="5BB7A02E" w14:textId="77777777" w:rsidR="00847EC5" w:rsidRPr="00FD66F1" w:rsidRDefault="00847EC5" w:rsidP="00AD3DE5">
    <w:pPr>
      <w:pStyle w:val="Header"/>
      <w:rPr>
        <w:rFonts w:ascii="Times New Roman" w:hAnsi="Times New Roman"/>
        <w:sz w:val="24"/>
        <w:szCs w:val="24"/>
      </w:rPr>
    </w:pPr>
    <w:r w:rsidRPr="00017CB8">
      <w:rPr>
        <w:rFonts w:ascii="Times New Roman" w:hAnsi="Times New Roman"/>
        <w:sz w:val="24"/>
        <w:szCs w:val="24"/>
      </w:rPr>
      <w:t>RIN: 1902-AE66</w:t>
    </w:r>
  </w:p>
  <w:p w14:paraId="5BB7A02F" w14:textId="77777777" w:rsidR="00847EC5" w:rsidRDefault="00847E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7275B"/>
    <w:multiLevelType w:val="hybridMultilevel"/>
    <w:tmpl w:val="EE142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9E5DA3"/>
    <w:multiLevelType w:val="hybridMultilevel"/>
    <w:tmpl w:val="10E0B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F22AB5"/>
    <w:multiLevelType w:val="hybridMultilevel"/>
    <w:tmpl w:val="211CA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5C33D3"/>
    <w:multiLevelType w:val="hybridMultilevel"/>
    <w:tmpl w:val="87FC68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0F5B87"/>
    <w:multiLevelType w:val="hybridMultilevel"/>
    <w:tmpl w:val="CA2EDF20"/>
    <w:lvl w:ilvl="0" w:tplc="52CAA044">
      <w:start w:val="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156D43"/>
    <w:multiLevelType w:val="multilevel"/>
    <w:tmpl w:val="B140707E"/>
    <w:lvl w:ilvl="0">
      <w:start w:val="1"/>
      <w:numFmt w:val="decimal"/>
      <w:pStyle w:val="ListContinue"/>
      <w:lvlText w:val="%1."/>
      <w:lvlJc w:val="left"/>
      <w:pPr>
        <w:tabs>
          <w:tab w:val="num" w:pos="360"/>
        </w:tabs>
        <w:ind w:left="360" w:hanging="360"/>
      </w:pPr>
      <w:rPr>
        <w:rFonts w:cs="Times New Roman" w:hint="default"/>
        <w:b w:val="0"/>
      </w:rPr>
    </w:lvl>
    <w:lvl w:ilvl="1">
      <w:start w:val="1"/>
      <w:numFmt w:val="decimal"/>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decimal"/>
      <w:lvlText w:val="%8."/>
      <w:lvlJc w:val="left"/>
      <w:pPr>
        <w:tabs>
          <w:tab w:val="num" w:pos="2880"/>
        </w:tabs>
        <w:ind w:left="2880" w:hanging="360"/>
      </w:pPr>
      <w:rPr>
        <w:rFonts w:cs="Times New Roman" w:hint="default"/>
      </w:rPr>
    </w:lvl>
    <w:lvl w:ilvl="8">
      <w:start w:val="1"/>
      <w:numFmt w:val="decimal"/>
      <w:lvlText w:val="%9."/>
      <w:lvlJc w:val="left"/>
      <w:pPr>
        <w:tabs>
          <w:tab w:val="num" w:pos="3240"/>
        </w:tabs>
        <w:ind w:left="3240" w:hanging="360"/>
      </w:pPr>
      <w:rPr>
        <w:rFonts w:cs="Times New Roman" w:hint="default"/>
      </w:rPr>
    </w:lvl>
  </w:abstractNum>
  <w:abstractNum w:abstractNumId="6">
    <w:nsid w:val="35DA3034"/>
    <w:multiLevelType w:val="hybridMultilevel"/>
    <w:tmpl w:val="18643D1C"/>
    <w:lvl w:ilvl="0" w:tplc="03E83608">
      <w:start w:val="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FCC1895"/>
    <w:multiLevelType w:val="hybridMultilevel"/>
    <w:tmpl w:val="632C2E0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5412776A"/>
    <w:multiLevelType w:val="hybridMultilevel"/>
    <w:tmpl w:val="D12AEC22"/>
    <w:lvl w:ilvl="0" w:tplc="0409000F">
      <w:start w:val="1"/>
      <w:numFmt w:val="bullet"/>
      <w:lvlText w:val=""/>
      <w:lvlJc w:val="left"/>
      <w:pPr>
        <w:ind w:left="720" w:hanging="360"/>
      </w:pPr>
      <w:rPr>
        <w:rFonts w:ascii="Symbol" w:hAnsi="Symbol" w:hint="default"/>
      </w:rPr>
    </w:lvl>
    <w:lvl w:ilvl="1" w:tplc="04090001"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9">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9"/>
  </w:num>
  <w:num w:numId="4">
    <w:abstractNumId w:val="10"/>
  </w:num>
  <w:num w:numId="5">
    <w:abstractNumId w:val="2"/>
  </w:num>
  <w:num w:numId="6">
    <w:abstractNumId w:val="8"/>
  </w:num>
  <w:num w:numId="7">
    <w:abstractNumId w:val="3"/>
  </w:num>
  <w:num w:numId="8">
    <w:abstractNumId w:val="0"/>
  </w:num>
  <w:num w:numId="9">
    <w:abstractNumId w:val="4"/>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74"/>
  <w:removePersonalInformation/>
  <w:removeDateAndTime/>
  <w:proofState w:spelling="clean" w:grammar="clean"/>
  <w:trackRevisions/>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6F1"/>
    <w:rsid w:val="00004D3D"/>
    <w:rsid w:val="0001147F"/>
    <w:rsid w:val="00012896"/>
    <w:rsid w:val="00017CB8"/>
    <w:rsid w:val="0002242D"/>
    <w:rsid w:val="00025F48"/>
    <w:rsid w:val="00035845"/>
    <w:rsid w:val="00053A25"/>
    <w:rsid w:val="00054F81"/>
    <w:rsid w:val="00055060"/>
    <w:rsid w:val="0006377E"/>
    <w:rsid w:val="00093EDE"/>
    <w:rsid w:val="000A10F3"/>
    <w:rsid w:val="000A1138"/>
    <w:rsid w:val="000A6E1D"/>
    <w:rsid w:val="000A765D"/>
    <w:rsid w:val="000B0C37"/>
    <w:rsid w:val="000B1C8C"/>
    <w:rsid w:val="000B623A"/>
    <w:rsid w:val="000C3F85"/>
    <w:rsid w:val="000D104F"/>
    <w:rsid w:val="000E1EA9"/>
    <w:rsid w:val="000E3417"/>
    <w:rsid w:val="00100708"/>
    <w:rsid w:val="00101998"/>
    <w:rsid w:val="00130B30"/>
    <w:rsid w:val="0014039C"/>
    <w:rsid w:val="00140C18"/>
    <w:rsid w:val="00143103"/>
    <w:rsid w:val="00147526"/>
    <w:rsid w:val="001500E1"/>
    <w:rsid w:val="00162191"/>
    <w:rsid w:val="00176C89"/>
    <w:rsid w:val="00181482"/>
    <w:rsid w:val="00181727"/>
    <w:rsid w:val="00185730"/>
    <w:rsid w:val="00186CD4"/>
    <w:rsid w:val="0019059D"/>
    <w:rsid w:val="00196461"/>
    <w:rsid w:val="001A40E0"/>
    <w:rsid w:val="001A7808"/>
    <w:rsid w:val="001A7F71"/>
    <w:rsid w:val="001D3440"/>
    <w:rsid w:val="001D3B61"/>
    <w:rsid w:val="001D520B"/>
    <w:rsid w:val="001D5ABC"/>
    <w:rsid w:val="001D61C0"/>
    <w:rsid w:val="001E59F2"/>
    <w:rsid w:val="001F6D8B"/>
    <w:rsid w:val="0020094C"/>
    <w:rsid w:val="0020546B"/>
    <w:rsid w:val="00210E4B"/>
    <w:rsid w:val="00213F1C"/>
    <w:rsid w:val="00233949"/>
    <w:rsid w:val="002345AE"/>
    <w:rsid w:val="00234A3C"/>
    <w:rsid w:val="0026240C"/>
    <w:rsid w:val="0026674D"/>
    <w:rsid w:val="00282119"/>
    <w:rsid w:val="00283269"/>
    <w:rsid w:val="00283C97"/>
    <w:rsid w:val="002B1355"/>
    <w:rsid w:val="002B13E2"/>
    <w:rsid w:val="002B412D"/>
    <w:rsid w:val="002B7517"/>
    <w:rsid w:val="002C0C16"/>
    <w:rsid w:val="002C33CB"/>
    <w:rsid w:val="002E024E"/>
    <w:rsid w:val="002E1932"/>
    <w:rsid w:val="002E3D54"/>
    <w:rsid w:val="002F255B"/>
    <w:rsid w:val="00322645"/>
    <w:rsid w:val="00326292"/>
    <w:rsid w:val="00326DDD"/>
    <w:rsid w:val="00337EC4"/>
    <w:rsid w:val="0035437D"/>
    <w:rsid w:val="00363CEE"/>
    <w:rsid w:val="0036680E"/>
    <w:rsid w:val="00377BAB"/>
    <w:rsid w:val="0038186E"/>
    <w:rsid w:val="00393603"/>
    <w:rsid w:val="003A01A8"/>
    <w:rsid w:val="003A7096"/>
    <w:rsid w:val="003A779F"/>
    <w:rsid w:val="003B3F42"/>
    <w:rsid w:val="003B71E2"/>
    <w:rsid w:val="003C24EA"/>
    <w:rsid w:val="003C6BFE"/>
    <w:rsid w:val="003C7733"/>
    <w:rsid w:val="003D1573"/>
    <w:rsid w:val="003D1B2E"/>
    <w:rsid w:val="003F0C8D"/>
    <w:rsid w:val="003F7306"/>
    <w:rsid w:val="00400A49"/>
    <w:rsid w:val="0040377C"/>
    <w:rsid w:val="004059F1"/>
    <w:rsid w:val="00414F32"/>
    <w:rsid w:val="00415BFC"/>
    <w:rsid w:val="00431D56"/>
    <w:rsid w:val="004509F8"/>
    <w:rsid w:val="00455839"/>
    <w:rsid w:val="00457E4E"/>
    <w:rsid w:val="004601E8"/>
    <w:rsid w:val="00463A0A"/>
    <w:rsid w:val="004742F5"/>
    <w:rsid w:val="004751D0"/>
    <w:rsid w:val="00475AA5"/>
    <w:rsid w:val="00483FEA"/>
    <w:rsid w:val="0049612A"/>
    <w:rsid w:val="004A0C07"/>
    <w:rsid w:val="004B14B6"/>
    <w:rsid w:val="004C36A6"/>
    <w:rsid w:val="004C4C89"/>
    <w:rsid w:val="004E62D6"/>
    <w:rsid w:val="004F6977"/>
    <w:rsid w:val="00505FE0"/>
    <w:rsid w:val="0051381B"/>
    <w:rsid w:val="00521BAD"/>
    <w:rsid w:val="00522F69"/>
    <w:rsid w:val="005303B6"/>
    <w:rsid w:val="0053287C"/>
    <w:rsid w:val="00535080"/>
    <w:rsid w:val="00535E79"/>
    <w:rsid w:val="00540DB8"/>
    <w:rsid w:val="0056380C"/>
    <w:rsid w:val="00565433"/>
    <w:rsid w:val="005663B2"/>
    <w:rsid w:val="00571C5E"/>
    <w:rsid w:val="005744EC"/>
    <w:rsid w:val="0057700F"/>
    <w:rsid w:val="005853B6"/>
    <w:rsid w:val="00597D69"/>
    <w:rsid w:val="005A2792"/>
    <w:rsid w:val="005A6413"/>
    <w:rsid w:val="005A7AD2"/>
    <w:rsid w:val="005B302D"/>
    <w:rsid w:val="005B77CE"/>
    <w:rsid w:val="005C1512"/>
    <w:rsid w:val="005C57F0"/>
    <w:rsid w:val="005C6C79"/>
    <w:rsid w:val="005C7973"/>
    <w:rsid w:val="005D25F7"/>
    <w:rsid w:val="005D62DB"/>
    <w:rsid w:val="005E0E10"/>
    <w:rsid w:val="005E293B"/>
    <w:rsid w:val="005E3C7E"/>
    <w:rsid w:val="005F1C3C"/>
    <w:rsid w:val="005F4681"/>
    <w:rsid w:val="005F4E8F"/>
    <w:rsid w:val="005F6171"/>
    <w:rsid w:val="0060035F"/>
    <w:rsid w:val="006053F6"/>
    <w:rsid w:val="00605A2B"/>
    <w:rsid w:val="00606910"/>
    <w:rsid w:val="0061015D"/>
    <w:rsid w:val="00611D87"/>
    <w:rsid w:val="006132BF"/>
    <w:rsid w:val="00615C46"/>
    <w:rsid w:val="006166FA"/>
    <w:rsid w:val="0064533B"/>
    <w:rsid w:val="0066122C"/>
    <w:rsid w:val="00664BC0"/>
    <w:rsid w:val="00664EF5"/>
    <w:rsid w:val="00684BD2"/>
    <w:rsid w:val="00684E9E"/>
    <w:rsid w:val="00690136"/>
    <w:rsid w:val="00693C25"/>
    <w:rsid w:val="006979B3"/>
    <w:rsid w:val="006A17AF"/>
    <w:rsid w:val="006A49A1"/>
    <w:rsid w:val="006B5119"/>
    <w:rsid w:val="006C02F2"/>
    <w:rsid w:val="006C26BB"/>
    <w:rsid w:val="006D0ABE"/>
    <w:rsid w:val="006D6A71"/>
    <w:rsid w:val="00700EE9"/>
    <w:rsid w:val="00702E3D"/>
    <w:rsid w:val="0071592C"/>
    <w:rsid w:val="007168B2"/>
    <w:rsid w:val="00721345"/>
    <w:rsid w:val="00722DF6"/>
    <w:rsid w:val="007272BF"/>
    <w:rsid w:val="0073292B"/>
    <w:rsid w:val="00734BCA"/>
    <w:rsid w:val="00736873"/>
    <w:rsid w:val="0074737A"/>
    <w:rsid w:val="0075005C"/>
    <w:rsid w:val="00756506"/>
    <w:rsid w:val="007629C6"/>
    <w:rsid w:val="00773AEB"/>
    <w:rsid w:val="00787670"/>
    <w:rsid w:val="007906FC"/>
    <w:rsid w:val="00796961"/>
    <w:rsid w:val="007A0080"/>
    <w:rsid w:val="007A2F92"/>
    <w:rsid w:val="007A6A40"/>
    <w:rsid w:val="007B10C3"/>
    <w:rsid w:val="007B1946"/>
    <w:rsid w:val="007B300D"/>
    <w:rsid w:val="007E1C5B"/>
    <w:rsid w:val="007E2E2B"/>
    <w:rsid w:val="007E5ED2"/>
    <w:rsid w:val="007E6DCB"/>
    <w:rsid w:val="007E7C0F"/>
    <w:rsid w:val="007F04B4"/>
    <w:rsid w:val="00812772"/>
    <w:rsid w:val="0081474C"/>
    <w:rsid w:val="00833B4B"/>
    <w:rsid w:val="008379FA"/>
    <w:rsid w:val="008408D0"/>
    <w:rsid w:val="00845715"/>
    <w:rsid w:val="00846461"/>
    <w:rsid w:val="00847465"/>
    <w:rsid w:val="00847EC5"/>
    <w:rsid w:val="00851DD9"/>
    <w:rsid w:val="0086116E"/>
    <w:rsid w:val="008619E1"/>
    <w:rsid w:val="00867B45"/>
    <w:rsid w:val="00872D13"/>
    <w:rsid w:val="0087479A"/>
    <w:rsid w:val="00875FFF"/>
    <w:rsid w:val="00876F75"/>
    <w:rsid w:val="00884F44"/>
    <w:rsid w:val="008920E4"/>
    <w:rsid w:val="00893821"/>
    <w:rsid w:val="008A1300"/>
    <w:rsid w:val="008A1635"/>
    <w:rsid w:val="008A21A4"/>
    <w:rsid w:val="008A4207"/>
    <w:rsid w:val="008B60F0"/>
    <w:rsid w:val="008B639A"/>
    <w:rsid w:val="008B703B"/>
    <w:rsid w:val="008C288D"/>
    <w:rsid w:val="008D2123"/>
    <w:rsid w:val="008D4D2D"/>
    <w:rsid w:val="008E70CD"/>
    <w:rsid w:val="0090385D"/>
    <w:rsid w:val="00907650"/>
    <w:rsid w:val="00910214"/>
    <w:rsid w:val="0091024B"/>
    <w:rsid w:val="00913A8B"/>
    <w:rsid w:val="009160C2"/>
    <w:rsid w:val="00916C63"/>
    <w:rsid w:val="00926051"/>
    <w:rsid w:val="009310AA"/>
    <w:rsid w:val="00937689"/>
    <w:rsid w:val="009468C0"/>
    <w:rsid w:val="00951236"/>
    <w:rsid w:val="00970FE4"/>
    <w:rsid w:val="00990B55"/>
    <w:rsid w:val="009A3B87"/>
    <w:rsid w:val="009A59E2"/>
    <w:rsid w:val="009B0B14"/>
    <w:rsid w:val="009B4169"/>
    <w:rsid w:val="009B4A19"/>
    <w:rsid w:val="009D3264"/>
    <w:rsid w:val="009E1190"/>
    <w:rsid w:val="009F755A"/>
    <w:rsid w:val="00A00F87"/>
    <w:rsid w:val="00A061E4"/>
    <w:rsid w:val="00A066E1"/>
    <w:rsid w:val="00A076D6"/>
    <w:rsid w:val="00A10BAE"/>
    <w:rsid w:val="00A127AE"/>
    <w:rsid w:val="00A15929"/>
    <w:rsid w:val="00A16DF6"/>
    <w:rsid w:val="00A20499"/>
    <w:rsid w:val="00A24239"/>
    <w:rsid w:val="00A276F5"/>
    <w:rsid w:val="00A41DE6"/>
    <w:rsid w:val="00A44AA2"/>
    <w:rsid w:val="00A473F6"/>
    <w:rsid w:val="00A72E7B"/>
    <w:rsid w:val="00A817E9"/>
    <w:rsid w:val="00A86E48"/>
    <w:rsid w:val="00A934F0"/>
    <w:rsid w:val="00A96B65"/>
    <w:rsid w:val="00A97BC9"/>
    <w:rsid w:val="00AA4038"/>
    <w:rsid w:val="00AB211E"/>
    <w:rsid w:val="00AB5F3B"/>
    <w:rsid w:val="00AD1BE1"/>
    <w:rsid w:val="00AD3DE5"/>
    <w:rsid w:val="00AD47DA"/>
    <w:rsid w:val="00AD73E6"/>
    <w:rsid w:val="00AE551C"/>
    <w:rsid w:val="00AE5654"/>
    <w:rsid w:val="00AE77C5"/>
    <w:rsid w:val="00B004BF"/>
    <w:rsid w:val="00B03719"/>
    <w:rsid w:val="00B05FA7"/>
    <w:rsid w:val="00B1049F"/>
    <w:rsid w:val="00B10DC0"/>
    <w:rsid w:val="00B111F8"/>
    <w:rsid w:val="00B13AA1"/>
    <w:rsid w:val="00B143BB"/>
    <w:rsid w:val="00B16309"/>
    <w:rsid w:val="00B20740"/>
    <w:rsid w:val="00B23B1B"/>
    <w:rsid w:val="00B42575"/>
    <w:rsid w:val="00B60A54"/>
    <w:rsid w:val="00B61CAD"/>
    <w:rsid w:val="00B66203"/>
    <w:rsid w:val="00B73CE7"/>
    <w:rsid w:val="00B74230"/>
    <w:rsid w:val="00B83ED3"/>
    <w:rsid w:val="00B84B03"/>
    <w:rsid w:val="00BA1C7D"/>
    <w:rsid w:val="00BA21F1"/>
    <w:rsid w:val="00BA6E18"/>
    <w:rsid w:val="00BA7C56"/>
    <w:rsid w:val="00BB17E8"/>
    <w:rsid w:val="00BB25A0"/>
    <w:rsid w:val="00BB3E42"/>
    <w:rsid w:val="00BC2EA5"/>
    <w:rsid w:val="00BC4A91"/>
    <w:rsid w:val="00BF2109"/>
    <w:rsid w:val="00C01698"/>
    <w:rsid w:val="00C05A8D"/>
    <w:rsid w:val="00C0701A"/>
    <w:rsid w:val="00C11918"/>
    <w:rsid w:val="00C12712"/>
    <w:rsid w:val="00C225F1"/>
    <w:rsid w:val="00C30BE6"/>
    <w:rsid w:val="00C377B0"/>
    <w:rsid w:val="00C510DD"/>
    <w:rsid w:val="00C5152E"/>
    <w:rsid w:val="00C606BC"/>
    <w:rsid w:val="00C6367B"/>
    <w:rsid w:val="00C66139"/>
    <w:rsid w:val="00C87E4D"/>
    <w:rsid w:val="00CA495F"/>
    <w:rsid w:val="00CA59C3"/>
    <w:rsid w:val="00CC0483"/>
    <w:rsid w:val="00CF0669"/>
    <w:rsid w:val="00CF4B70"/>
    <w:rsid w:val="00D2697A"/>
    <w:rsid w:val="00D34EA5"/>
    <w:rsid w:val="00D374C2"/>
    <w:rsid w:val="00D45D7F"/>
    <w:rsid w:val="00D47174"/>
    <w:rsid w:val="00D553C1"/>
    <w:rsid w:val="00D57D97"/>
    <w:rsid w:val="00D80AA5"/>
    <w:rsid w:val="00D80FBD"/>
    <w:rsid w:val="00D85A4F"/>
    <w:rsid w:val="00D93381"/>
    <w:rsid w:val="00D96A04"/>
    <w:rsid w:val="00DA2B04"/>
    <w:rsid w:val="00DA2BD4"/>
    <w:rsid w:val="00DA5926"/>
    <w:rsid w:val="00DB3A9D"/>
    <w:rsid w:val="00DC48D4"/>
    <w:rsid w:val="00DC4E36"/>
    <w:rsid w:val="00DC5A7F"/>
    <w:rsid w:val="00DD2DE8"/>
    <w:rsid w:val="00DD5CC7"/>
    <w:rsid w:val="00DE219C"/>
    <w:rsid w:val="00DE3EC8"/>
    <w:rsid w:val="00DE5A98"/>
    <w:rsid w:val="00DE7A13"/>
    <w:rsid w:val="00DF3889"/>
    <w:rsid w:val="00DF5D1F"/>
    <w:rsid w:val="00DF7DB5"/>
    <w:rsid w:val="00E11CA6"/>
    <w:rsid w:val="00E14565"/>
    <w:rsid w:val="00E15D36"/>
    <w:rsid w:val="00E17386"/>
    <w:rsid w:val="00E20612"/>
    <w:rsid w:val="00E23D37"/>
    <w:rsid w:val="00E3058F"/>
    <w:rsid w:val="00E31671"/>
    <w:rsid w:val="00E468D7"/>
    <w:rsid w:val="00E6021F"/>
    <w:rsid w:val="00E634C8"/>
    <w:rsid w:val="00E636D7"/>
    <w:rsid w:val="00E66BEB"/>
    <w:rsid w:val="00E66D2B"/>
    <w:rsid w:val="00E67D1F"/>
    <w:rsid w:val="00E709D4"/>
    <w:rsid w:val="00E86857"/>
    <w:rsid w:val="00E87A4F"/>
    <w:rsid w:val="00E95EAB"/>
    <w:rsid w:val="00EA195B"/>
    <w:rsid w:val="00EA49AB"/>
    <w:rsid w:val="00EA6628"/>
    <w:rsid w:val="00EB3E6F"/>
    <w:rsid w:val="00EB6056"/>
    <w:rsid w:val="00EB7318"/>
    <w:rsid w:val="00EC1A09"/>
    <w:rsid w:val="00EC6CC1"/>
    <w:rsid w:val="00ED36AB"/>
    <w:rsid w:val="00ED5560"/>
    <w:rsid w:val="00EE47B7"/>
    <w:rsid w:val="00EF4574"/>
    <w:rsid w:val="00EF54EA"/>
    <w:rsid w:val="00F03F3B"/>
    <w:rsid w:val="00F12DC2"/>
    <w:rsid w:val="00F152DF"/>
    <w:rsid w:val="00F216F1"/>
    <w:rsid w:val="00F2538B"/>
    <w:rsid w:val="00F30D5C"/>
    <w:rsid w:val="00F45B90"/>
    <w:rsid w:val="00F5604B"/>
    <w:rsid w:val="00F642F7"/>
    <w:rsid w:val="00F64E6F"/>
    <w:rsid w:val="00F7016E"/>
    <w:rsid w:val="00F7734B"/>
    <w:rsid w:val="00F81C1D"/>
    <w:rsid w:val="00F871A5"/>
    <w:rsid w:val="00F92E5A"/>
    <w:rsid w:val="00F93B67"/>
    <w:rsid w:val="00F967B9"/>
    <w:rsid w:val="00FA2A53"/>
    <w:rsid w:val="00FA2FC4"/>
    <w:rsid w:val="00FC7992"/>
    <w:rsid w:val="00FD18F1"/>
    <w:rsid w:val="00FD66F1"/>
    <w:rsid w:val="00FD6C88"/>
    <w:rsid w:val="00FE39EE"/>
    <w:rsid w:val="00FE5DDA"/>
    <w:rsid w:val="00FE714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5BB79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1" w:unhideWhenUsed="0"/>
    <w:lsdException w:name="List Continue" w:locked="1" w:semiHidden="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D8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D66F1"/>
    <w:rPr>
      <w:rFonts w:cs="Times New Roman"/>
    </w:rPr>
  </w:style>
  <w:style w:type="paragraph" w:styleId="Footer">
    <w:name w:val="footer"/>
    <w:basedOn w:val="Normal"/>
    <w:link w:val="FooterChar"/>
    <w:uiPriority w:val="99"/>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D66F1"/>
    <w:rPr>
      <w:rFonts w:cs="Times New Roman"/>
    </w:rPr>
  </w:style>
  <w:style w:type="paragraph" w:styleId="BalloonText">
    <w:name w:val="Balloon Text"/>
    <w:basedOn w:val="Normal"/>
    <w:link w:val="BalloonTextChar"/>
    <w:uiPriority w:val="99"/>
    <w:semiHidden/>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D66F1"/>
    <w:rPr>
      <w:rFonts w:ascii="Tahoma" w:hAnsi="Tahoma" w:cs="Tahoma"/>
      <w:sz w:val="16"/>
      <w:szCs w:val="16"/>
    </w:rPr>
  </w:style>
  <w:style w:type="paragraph" w:styleId="ListParagraph">
    <w:name w:val="List Paragraph"/>
    <w:basedOn w:val="Normal"/>
    <w:uiPriority w:val="99"/>
    <w:qFormat/>
    <w:rsid w:val="00A72E7B"/>
    <w:pPr>
      <w:ind w:left="720"/>
      <w:contextualSpacing/>
    </w:pPr>
  </w:style>
  <w:style w:type="paragraph" w:styleId="ListContinue">
    <w:name w:val="List Continue"/>
    <w:basedOn w:val="Normal"/>
    <w:uiPriority w:val="99"/>
    <w:rsid w:val="00D80FBD"/>
    <w:pPr>
      <w:numPr>
        <w:numId w:val="2"/>
      </w:numPr>
      <w:spacing w:after="120" w:line="480" w:lineRule="auto"/>
    </w:pPr>
    <w:rPr>
      <w:rFonts w:ascii="Times New Roman" w:eastAsia="Times New Roman" w:hAnsi="Times New Roman"/>
      <w:sz w:val="26"/>
      <w:szCs w:val="24"/>
    </w:rPr>
  </w:style>
  <w:style w:type="paragraph" w:customStyle="1" w:styleId="LegalFormat">
    <w:name w:val="Legal Format"/>
    <w:basedOn w:val="ListContinue"/>
    <w:uiPriority w:val="99"/>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
    <w:basedOn w:val="DefaultParagraphFont"/>
    <w:uiPriority w:val="99"/>
    <w:rsid w:val="00E636D7"/>
    <w:rPr>
      <w:rFonts w:cs="Times New Roman"/>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uiPriority w:val="99"/>
    <w:rsid w:val="00E636D7"/>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
    <w:basedOn w:val="DefaultParagraphFont"/>
    <w:uiPriority w:val="99"/>
    <w:semiHidden/>
    <w:rsid w:val="00E636D7"/>
    <w:rPr>
      <w:rFonts w:cs="Times New Roman"/>
      <w:sz w:val="20"/>
      <w:szCs w:val="20"/>
    </w:rPr>
  </w:style>
  <w:style w:type="character" w:customStyle="1" w:styleId="FootnoteTextChar1">
    <w:name w:val="Footnote Text Char1"/>
    <w:aliases w:val="Footnote Text Char2 Char Char1,Footnote Text Char Char1 Char Char1,Footnote Text Char1 Char Char Char Char1,Footnote Text Char Char Char Char Char Char1,Footnote Text Char1 Char Char Char Char Char Char Char Char1,ft Char1,fn Char1"/>
    <w:link w:val="FootnoteText"/>
    <w:uiPriority w:val="99"/>
    <w:locked/>
    <w:rsid w:val="00E636D7"/>
    <w:rPr>
      <w:rFonts w:ascii="Times New Roman" w:hAnsi="Times New Roman"/>
      <w:sz w:val="20"/>
    </w:rPr>
  </w:style>
  <w:style w:type="character" w:styleId="CommentReference">
    <w:name w:val="annotation reference"/>
    <w:basedOn w:val="DefaultParagraphFont"/>
    <w:uiPriority w:val="99"/>
    <w:semiHidden/>
    <w:rsid w:val="0057700F"/>
    <w:rPr>
      <w:rFonts w:cs="Times New Roman"/>
      <w:sz w:val="16"/>
      <w:szCs w:val="16"/>
    </w:rPr>
  </w:style>
  <w:style w:type="paragraph" w:styleId="CommentText">
    <w:name w:val="annotation text"/>
    <w:basedOn w:val="Normal"/>
    <w:link w:val="CommentTextChar"/>
    <w:uiPriority w:val="99"/>
    <w:semiHidden/>
    <w:rsid w:val="0057700F"/>
    <w:pPr>
      <w:spacing w:line="240" w:lineRule="auto"/>
    </w:pPr>
    <w:rPr>
      <w:sz w:val="20"/>
      <w:szCs w:val="20"/>
    </w:rPr>
  </w:style>
  <w:style w:type="character" w:customStyle="1" w:styleId="CommentTextChar">
    <w:name w:val="Comment Text Char"/>
    <w:basedOn w:val="DefaultParagraphFont"/>
    <w:link w:val="CommentText"/>
    <w:uiPriority w:val="99"/>
    <w:semiHidden/>
    <w:locked/>
    <w:rsid w:val="0057700F"/>
    <w:rPr>
      <w:rFonts w:cs="Times New Roman"/>
      <w:sz w:val="20"/>
      <w:szCs w:val="20"/>
    </w:rPr>
  </w:style>
  <w:style w:type="paragraph" w:styleId="CommentSubject">
    <w:name w:val="annotation subject"/>
    <w:basedOn w:val="CommentText"/>
    <w:next w:val="CommentText"/>
    <w:link w:val="CommentSubjectChar"/>
    <w:uiPriority w:val="99"/>
    <w:semiHidden/>
    <w:rsid w:val="0057700F"/>
    <w:rPr>
      <w:b/>
      <w:bCs/>
    </w:rPr>
  </w:style>
  <w:style w:type="character" w:customStyle="1" w:styleId="CommentSubjectChar">
    <w:name w:val="Comment Subject Char"/>
    <w:basedOn w:val="CommentTextChar"/>
    <w:link w:val="CommentSubject"/>
    <w:uiPriority w:val="99"/>
    <w:semiHidden/>
    <w:locked/>
    <w:rsid w:val="0057700F"/>
    <w:rPr>
      <w:rFonts w:cs="Times New Roman"/>
      <w:b/>
      <w:bCs/>
      <w:sz w:val="20"/>
      <w:szCs w:val="20"/>
    </w:rPr>
  </w:style>
  <w:style w:type="character" w:styleId="Hyperlink">
    <w:name w:val="Hyperlink"/>
    <w:basedOn w:val="DefaultParagraphFont"/>
    <w:uiPriority w:val="99"/>
    <w:rsid w:val="00700EE9"/>
    <w:rPr>
      <w:rFonts w:cs="Times New Roman"/>
      <w:color w:val="0000FF"/>
      <w:u w:val="single"/>
    </w:rPr>
  </w:style>
  <w:style w:type="paragraph" w:styleId="Subtitle">
    <w:name w:val="Subtitle"/>
    <w:basedOn w:val="Normal"/>
    <w:next w:val="Normal"/>
    <w:link w:val="SubtitleChar"/>
    <w:qFormat/>
    <w:locked/>
    <w:rsid w:val="0061015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61015D"/>
    <w:rPr>
      <w:rFonts w:asciiTheme="majorHAnsi" w:eastAsiaTheme="majorEastAsia" w:hAnsiTheme="majorHAnsi" w:cstheme="majorBidi"/>
      <w:i/>
      <w:iCs/>
      <w:color w:val="4F81BD" w:themeColor="accent1"/>
      <w:spacing w:val="15"/>
      <w:sz w:val="24"/>
      <w:szCs w:val="24"/>
    </w:rPr>
  </w:style>
  <w:style w:type="character" w:styleId="FollowedHyperlink">
    <w:name w:val="FollowedHyperlink"/>
    <w:basedOn w:val="DefaultParagraphFont"/>
    <w:uiPriority w:val="99"/>
    <w:semiHidden/>
    <w:unhideWhenUsed/>
    <w:rsid w:val="00684E9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1" w:unhideWhenUsed="0"/>
    <w:lsdException w:name="List Continue" w:locked="1" w:semiHidden="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D8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D66F1"/>
    <w:rPr>
      <w:rFonts w:cs="Times New Roman"/>
    </w:rPr>
  </w:style>
  <w:style w:type="paragraph" w:styleId="Footer">
    <w:name w:val="footer"/>
    <w:basedOn w:val="Normal"/>
    <w:link w:val="FooterChar"/>
    <w:uiPriority w:val="99"/>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D66F1"/>
    <w:rPr>
      <w:rFonts w:cs="Times New Roman"/>
    </w:rPr>
  </w:style>
  <w:style w:type="paragraph" w:styleId="BalloonText">
    <w:name w:val="Balloon Text"/>
    <w:basedOn w:val="Normal"/>
    <w:link w:val="BalloonTextChar"/>
    <w:uiPriority w:val="99"/>
    <w:semiHidden/>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D66F1"/>
    <w:rPr>
      <w:rFonts w:ascii="Tahoma" w:hAnsi="Tahoma" w:cs="Tahoma"/>
      <w:sz w:val="16"/>
      <w:szCs w:val="16"/>
    </w:rPr>
  </w:style>
  <w:style w:type="paragraph" w:styleId="ListParagraph">
    <w:name w:val="List Paragraph"/>
    <w:basedOn w:val="Normal"/>
    <w:uiPriority w:val="99"/>
    <w:qFormat/>
    <w:rsid w:val="00A72E7B"/>
    <w:pPr>
      <w:ind w:left="720"/>
      <w:contextualSpacing/>
    </w:pPr>
  </w:style>
  <w:style w:type="paragraph" w:styleId="ListContinue">
    <w:name w:val="List Continue"/>
    <w:basedOn w:val="Normal"/>
    <w:uiPriority w:val="99"/>
    <w:rsid w:val="00D80FBD"/>
    <w:pPr>
      <w:numPr>
        <w:numId w:val="2"/>
      </w:numPr>
      <w:spacing w:after="120" w:line="480" w:lineRule="auto"/>
    </w:pPr>
    <w:rPr>
      <w:rFonts w:ascii="Times New Roman" w:eastAsia="Times New Roman" w:hAnsi="Times New Roman"/>
      <w:sz w:val="26"/>
      <w:szCs w:val="24"/>
    </w:rPr>
  </w:style>
  <w:style w:type="paragraph" w:customStyle="1" w:styleId="LegalFormat">
    <w:name w:val="Legal Format"/>
    <w:basedOn w:val="ListContinue"/>
    <w:uiPriority w:val="99"/>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
    <w:basedOn w:val="DefaultParagraphFont"/>
    <w:uiPriority w:val="99"/>
    <w:rsid w:val="00E636D7"/>
    <w:rPr>
      <w:rFonts w:cs="Times New Roman"/>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uiPriority w:val="99"/>
    <w:rsid w:val="00E636D7"/>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
    <w:basedOn w:val="DefaultParagraphFont"/>
    <w:uiPriority w:val="99"/>
    <w:semiHidden/>
    <w:rsid w:val="00E636D7"/>
    <w:rPr>
      <w:rFonts w:cs="Times New Roman"/>
      <w:sz w:val="20"/>
      <w:szCs w:val="20"/>
    </w:rPr>
  </w:style>
  <w:style w:type="character" w:customStyle="1" w:styleId="FootnoteTextChar1">
    <w:name w:val="Footnote Text Char1"/>
    <w:aliases w:val="Footnote Text Char2 Char Char1,Footnote Text Char Char1 Char Char1,Footnote Text Char1 Char Char Char Char1,Footnote Text Char Char Char Char Char Char1,Footnote Text Char1 Char Char Char Char Char Char Char Char1,ft Char1,fn Char1"/>
    <w:link w:val="FootnoteText"/>
    <w:uiPriority w:val="99"/>
    <w:locked/>
    <w:rsid w:val="00E636D7"/>
    <w:rPr>
      <w:rFonts w:ascii="Times New Roman" w:hAnsi="Times New Roman"/>
      <w:sz w:val="20"/>
    </w:rPr>
  </w:style>
  <w:style w:type="character" w:styleId="CommentReference">
    <w:name w:val="annotation reference"/>
    <w:basedOn w:val="DefaultParagraphFont"/>
    <w:uiPriority w:val="99"/>
    <w:semiHidden/>
    <w:rsid w:val="0057700F"/>
    <w:rPr>
      <w:rFonts w:cs="Times New Roman"/>
      <w:sz w:val="16"/>
      <w:szCs w:val="16"/>
    </w:rPr>
  </w:style>
  <w:style w:type="paragraph" w:styleId="CommentText">
    <w:name w:val="annotation text"/>
    <w:basedOn w:val="Normal"/>
    <w:link w:val="CommentTextChar"/>
    <w:uiPriority w:val="99"/>
    <w:semiHidden/>
    <w:rsid w:val="0057700F"/>
    <w:pPr>
      <w:spacing w:line="240" w:lineRule="auto"/>
    </w:pPr>
    <w:rPr>
      <w:sz w:val="20"/>
      <w:szCs w:val="20"/>
    </w:rPr>
  </w:style>
  <w:style w:type="character" w:customStyle="1" w:styleId="CommentTextChar">
    <w:name w:val="Comment Text Char"/>
    <w:basedOn w:val="DefaultParagraphFont"/>
    <w:link w:val="CommentText"/>
    <w:uiPriority w:val="99"/>
    <w:semiHidden/>
    <w:locked/>
    <w:rsid w:val="0057700F"/>
    <w:rPr>
      <w:rFonts w:cs="Times New Roman"/>
      <w:sz w:val="20"/>
      <w:szCs w:val="20"/>
    </w:rPr>
  </w:style>
  <w:style w:type="paragraph" w:styleId="CommentSubject">
    <w:name w:val="annotation subject"/>
    <w:basedOn w:val="CommentText"/>
    <w:next w:val="CommentText"/>
    <w:link w:val="CommentSubjectChar"/>
    <w:uiPriority w:val="99"/>
    <w:semiHidden/>
    <w:rsid w:val="0057700F"/>
    <w:rPr>
      <w:b/>
      <w:bCs/>
    </w:rPr>
  </w:style>
  <w:style w:type="character" w:customStyle="1" w:styleId="CommentSubjectChar">
    <w:name w:val="Comment Subject Char"/>
    <w:basedOn w:val="CommentTextChar"/>
    <w:link w:val="CommentSubject"/>
    <w:uiPriority w:val="99"/>
    <w:semiHidden/>
    <w:locked/>
    <w:rsid w:val="0057700F"/>
    <w:rPr>
      <w:rFonts w:cs="Times New Roman"/>
      <w:b/>
      <w:bCs/>
      <w:sz w:val="20"/>
      <w:szCs w:val="20"/>
    </w:rPr>
  </w:style>
  <w:style w:type="character" w:styleId="Hyperlink">
    <w:name w:val="Hyperlink"/>
    <w:basedOn w:val="DefaultParagraphFont"/>
    <w:uiPriority w:val="99"/>
    <w:rsid w:val="00700EE9"/>
    <w:rPr>
      <w:rFonts w:cs="Times New Roman"/>
      <w:color w:val="0000FF"/>
      <w:u w:val="single"/>
    </w:rPr>
  </w:style>
  <w:style w:type="paragraph" w:styleId="Subtitle">
    <w:name w:val="Subtitle"/>
    <w:basedOn w:val="Normal"/>
    <w:next w:val="Normal"/>
    <w:link w:val="SubtitleChar"/>
    <w:qFormat/>
    <w:locked/>
    <w:rsid w:val="0061015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61015D"/>
    <w:rPr>
      <w:rFonts w:asciiTheme="majorHAnsi" w:eastAsiaTheme="majorEastAsia" w:hAnsiTheme="majorHAnsi" w:cstheme="majorBidi"/>
      <w:i/>
      <w:iCs/>
      <w:color w:val="4F81BD" w:themeColor="accent1"/>
      <w:spacing w:val="15"/>
      <w:sz w:val="24"/>
      <w:szCs w:val="24"/>
    </w:rPr>
  </w:style>
  <w:style w:type="character" w:styleId="FollowedHyperlink">
    <w:name w:val="FollowedHyperlink"/>
    <w:basedOn w:val="DefaultParagraphFont"/>
    <w:uiPriority w:val="99"/>
    <w:semiHidden/>
    <w:unhideWhenUsed/>
    <w:rsid w:val="00684E9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723529">
      <w:marLeft w:val="0"/>
      <w:marRight w:val="0"/>
      <w:marTop w:val="0"/>
      <w:marBottom w:val="0"/>
      <w:divBdr>
        <w:top w:val="none" w:sz="0" w:space="0" w:color="auto"/>
        <w:left w:val="none" w:sz="0" w:space="0" w:color="auto"/>
        <w:bottom w:val="none" w:sz="0" w:space="0" w:color="auto"/>
        <w:right w:val="none" w:sz="0" w:space="0" w:color="auto"/>
      </w:divBdr>
    </w:div>
    <w:div w:id="1516723530">
      <w:marLeft w:val="0"/>
      <w:marRight w:val="0"/>
      <w:marTop w:val="0"/>
      <w:marBottom w:val="0"/>
      <w:divBdr>
        <w:top w:val="none" w:sz="0" w:space="0" w:color="auto"/>
        <w:left w:val="none" w:sz="0" w:space="0" w:color="auto"/>
        <w:bottom w:val="none" w:sz="0" w:space="0" w:color="auto"/>
        <w:right w:val="none" w:sz="0" w:space="0" w:color="auto"/>
      </w:divBdr>
    </w:div>
    <w:div w:id="1516723531">
      <w:marLeft w:val="0"/>
      <w:marRight w:val="0"/>
      <w:marTop w:val="0"/>
      <w:marBottom w:val="0"/>
      <w:divBdr>
        <w:top w:val="none" w:sz="0" w:space="0" w:color="auto"/>
        <w:left w:val="none" w:sz="0" w:space="0" w:color="auto"/>
        <w:bottom w:val="none" w:sz="0" w:space="0" w:color="auto"/>
        <w:right w:val="none" w:sz="0" w:space="0" w:color="auto"/>
      </w:divBdr>
    </w:div>
    <w:div w:id="1516723532">
      <w:marLeft w:val="0"/>
      <w:marRight w:val="0"/>
      <w:marTop w:val="0"/>
      <w:marBottom w:val="0"/>
      <w:divBdr>
        <w:top w:val="none" w:sz="0" w:space="0" w:color="auto"/>
        <w:left w:val="none" w:sz="0" w:space="0" w:color="auto"/>
        <w:bottom w:val="none" w:sz="0" w:space="0" w:color="auto"/>
        <w:right w:val="none" w:sz="0" w:space="0" w:color="auto"/>
      </w:divBdr>
    </w:div>
    <w:div w:id="1561013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nerc.com/comm/SC/Documents/Appendix_3A_StandardsProcessesManual.pdf" TargetMode="External"/><Relationship Id="rId2" Type="http://schemas.openxmlformats.org/officeDocument/2006/relationships/hyperlink" Target="http://www.ferc.gov/docs-filing/elibrary.asp" TargetMode="External"/><Relationship Id="rId1" Type="http://schemas.openxmlformats.org/officeDocument/2006/relationships/hyperlink" Target="http://elibrary.ferc.gov/idmws/common/opennat.asp?fileID=13414337" TargetMode="External"/><Relationship Id="rId6" Type="http://schemas.openxmlformats.org/officeDocument/2006/relationships/hyperlink" Target="http://www.bls.gov/news.release/ecec.nr0.htm" TargetMode="External"/><Relationship Id="rId5" Type="http://schemas.openxmlformats.org/officeDocument/2006/relationships/hyperlink" Target="http://bls.gov/oes/current/naics2_22.htm" TargetMode="External"/><Relationship Id="rId4" Type="http://schemas.openxmlformats.org/officeDocument/2006/relationships/hyperlink" Target="http://www.nerc.com/pa/comp/Pag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ntns:customXsn xmlns:ntns="http://schemas.microsoft.com/office/2006/metadata/customXsn">
  <ntns:xsnLocation>http://share3.ferc.gov/sites/ProgramOffices/OED/CIO/Information Collection/Forms/Document/22bba65aa4d8dbfccustomXsn.xsn</ntns:xsnLocation>
  <ntns:cached>False</ntns:cached>
  <ntns:openByDefault>True</ntns:openByDefault>
  <ntns:xsnScope>http://share3.ferc.gov/sites/ProgramOffices/OED/CIO/Information Collection</ntns:xsnScope>
</ntns:customXsn>
</file>

<file path=customXml/item2.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2" ma:contentTypeDescription="Create a new document." ma:contentTypeScope="" ma:versionID="37989b7f3facc8775e95634d9665dc17">
  <xsd:schema xmlns:xsd="http://www.w3.org/2001/XMLSchema" xmlns:p="http://schemas.microsoft.com/office/2006/metadata/properties" xmlns:ns2="d6eefc7d-9817-4fa6-84d5-3bc009be21b8" targetNamespace="http://schemas.microsoft.com/office/2006/metadata/properties" ma:root="true" ma:fieldsID="a0a8f6ab7fef6b771d681907feb4b9f5"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dms="http://schemas.microsoft.com/office/2006/documentManagement/types" targetNamespace="d6eefc7d-9817-4fa6-84d5-3bc009be21b8" elementFormDefault="qualified">
    <xsd:import namespace="http://schemas.microsoft.com/office/2006/documentManagement/type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725B</_x0031__x002e__x0020_Collection_x0020_Number>
    <Date xmlns="d6eefc7d-9817-4fa6-84d5-3bc009be21b8">2013-01-14T05:00:00+00:00</Date>
    <Status xmlns="d6eefc7d-9817-4fa6-84d5-3bc009be21b8">Final</Status>
    <_x0032__x002e__x0020_Docket_x0020_Number xmlns="d6eefc7d-9817-4fa6-84d5-3bc009be21b8" xsi:nil="true"/>
    <_x0032__x002e__x0020_Collection_x0020_Number xmlns="d6eefc7d-9817-4fa6-84d5-3bc009be21b8" xsi:nil="true"/>
    <_x0031__x002e__x0020_Docket_x0020_Number xmlns="d6eefc7d-9817-4fa6-84d5-3bc009be21b8">RM13-5</_x0031__x002e__x0020_Docket_x0020_Number>
    <_x0033__x002e__x0020_Collection_x0020_Number xmlns="d6eefc7d-9817-4fa6-84d5-3bc009be21b8"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DE4CD-69B3-48F7-8431-C9B35B57BCE8}">
  <ds:schemaRefs>
    <ds:schemaRef ds:uri="http://schemas.microsoft.com/office/2006/metadata/customXsn"/>
  </ds:schemaRefs>
</ds:datastoreItem>
</file>

<file path=customXml/itemProps2.xml><?xml version="1.0" encoding="utf-8"?>
<ds:datastoreItem xmlns:ds="http://schemas.openxmlformats.org/officeDocument/2006/customXml" ds:itemID="{D4DB2FB8-E6E2-415E-9078-7FC8224E08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D66C819-A45E-4D4D-9831-4D3CF39E4C59}">
  <ds:schemaRefs>
    <ds:schemaRef ds:uri="http://schemas.microsoft.com/sharepoint/v3/contenttype/forms"/>
  </ds:schemaRefs>
</ds:datastoreItem>
</file>

<file path=customXml/itemProps4.xml><?xml version="1.0" encoding="utf-8"?>
<ds:datastoreItem xmlns:ds="http://schemas.openxmlformats.org/officeDocument/2006/customXml" ds:itemID="{B1B227DE-0198-4CCB-80AD-7A58E9551443}">
  <ds:schemaRefs>
    <ds:schemaRef ds:uri="http://purl.org/dc/elements/1.1/"/>
    <ds:schemaRef ds:uri="http://schemas.microsoft.com/office/2006/documentManagement/types"/>
    <ds:schemaRef ds:uri="http://schemas.microsoft.com/office/2006/metadata/properties"/>
    <ds:schemaRef ds:uri="http://purl.org/dc/terms/"/>
    <ds:schemaRef ds:uri="http://www.w3.org/XML/1998/namespace"/>
    <ds:schemaRef ds:uri="http://schemas.openxmlformats.org/package/2006/metadata/core-properties"/>
    <ds:schemaRef ds:uri="d6eefc7d-9817-4fa6-84d5-3bc009be21b8"/>
    <ds:schemaRef ds:uri="http://purl.org/dc/dcmitype/"/>
  </ds:schemaRefs>
</ds:datastoreItem>
</file>

<file path=customXml/itemProps5.xml><?xml version="1.0" encoding="utf-8"?>
<ds:datastoreItem xmlns:ds="http://schemas.openxmlformats.org/officeDocument/2006/customXml" ds:itemID="{EE354842-345F-4321-82C0-9ED8F6C34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5241</Words>
  <Characters>28688</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2014-02-28T16:05:00Z</dcterms:created>
  <dcterms:modified xsi:type="dcterms:W3CDTF">2014-02-28T16:08:00Z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ies>
</file>