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313D" w14:textId="77777777" w:rsidR="0080258C" w:rsidRDefault="0080258C" w:rsidP="008647BA">
      <w:pPr>
        <w:jc w:val="center"/>
      </w:pPr>
      <w:smartTag w:uri="urn:schemas-microsoft-com:office:smarttags" w:element="place">
        <w:smartTag w:uri="urn:schemas-microsoft-com:office:smarttags" w:element="country-region">
          <w:r>
            <w:t>UNITED STATES OF AMERICA</w:t>
          </w:r>
        </w:smartTag>
      </w:smartTag>
    </w:p>
    <w:p w14:paraId="6C65313E" w14:textId="77777777" w:rsidR="0080258C" w:rsidRDefault="0080258C" w:rsidP="008647BA">
      <w:pPr>
        <w:jc w:val="center"/>
      </w:pPr>
      <w:r>
        <w:t>FEDERAL ENERGY REGULATORY COMMISSION</w:t>
      </w:r>
    </w:p>
    <w:p w14:paraId="6C65313F" w14:textId="77777777" w:rsidR="0080258C" w:rsidRDefault="0080258C" w:rsidP="001C75B2"/>
    <w:p w14:paraId="6C653140" w14:textId="77777777" w:rsidR="0080258C" w:rsidRDefault="0080258C" w:rsidP="008647BA">
      <w:pPr>
        <w:jc w:val="center"/>
      </w:pPr>
      <w:r>
        <w:t xml:space="preserve">[Docket No. </w:t>
      </w:r>
      <w:r w:rsidR="006E386B">
        <w:t>IC14-3</w:t>
      </w:r>
      <w:r w:rsidRPr="00024937">
        <w:t>-000]</w:t>
      </w:r>
    </w:p>
    <w:p w14:paraId="6C653141" w14:textId="77777777" w:rsidR="0080258C" w:rsidRDefault="0080258C" w:rsidP="001C75B2"/>
    <w:p w14:paraId="6C653142" w14:textId="77777777" w:rsidR="0080258C" w:rsidRDefault="0080258C" w:rsidP="008024B2">
      <w:pPr>
        <w:jc w:val="center"/>
      </w:pPr>
      <w:r>
        <w:t xml:space="preserve">COMMISSION INFORMATION COLLECTION ACTIVITIES </w:t>
      </w:r>
    </w:p>
    <w:p w14:paraId="6C653143" w14:textId="77777777" w:rsidR="0080258C" w:rsidRDefault="006E386B" w:rsidP="008024B2">
      <w:pPr>
        <w:jc w:val="center"/>
      </w:pPr>
      <w:r>
        <w:t>(FERC-549D</w:t>
      </w:r>
      <w:r w:rsidR="0080258C">
        <w:t xml:space="preserve">); COMMENT REQUEST  </w:t>
      </w:r>
    </w:p>
    <w:p w14:paraId="6C653144" w14:textId="77777777" w:rsidR="0080258C" w:rsidRDefault="0080258C" w:rsidP="001C75B2"/>
    <w:p w14:paraId="6C653145" w14:textId="77777777" w:rsidR="0080258C" w:rsidRDefault="0080258C" w:rsidP="008024B2">
      <w:pPr>
        <w:jc w:val="center"/>
      </w:pPr>
      <w:r w:rsidRPr="007F0323">
        <w:t>(Date)</w:t>
      </w:r>
    </w:p>
    <w:p w14:paraId="6C653146" w14:textId="77777777" w:rsidR="0080258C" w:rsidRDefault="0080258C" w:rsidP="001C75B2"/>
    <w:p w14:paraId="6C653147" w14:textId="77777777" w:rsidR="0080258C" w:rsidRDefault="0080258C" w:rsidP="00C0217E">
      <w:pPr>
        <w:spacing w:line="480" w:lineRule="auto"/>
      </w:pPr>
      <w:r w:rsidRPr="00C0217E">
        <w:rPr>
          <w:b/>
        </w:rPr>
        <w:t>AGENCY:</w:t>
      </w:r>
      <w:r>
        <w:t xml:space="preserve">  Federal Energy Regulatory Commission.</w:t>
      </w:r>
    </w:p>
    <w:p w14:paraId="6C653148" w14:textId="77777777" w:rsidR="0080258C" w:rsidRDefault="0080258C" w:rsidP="00C0217E">
      <w:pPr>
        <w:spacing w:line="480" w:lineRule="auto"/>
      </w:pPr>
      <w:r w:rsidRPr="00C0217E">
        <w:rPr>
          <w:b/>
        </w:rPr>
        <w:t>ACTION:</w:t>
      </w:r>
      <w:r>
        <w:t xml:space="preserve">  Comment request.</w:t>
      </w:r>
    </w:p>
    <w:p w14:paraId="6C653149" w14:textId="77777777" w:rsidR="0080258C" w:rsidRDefault="0080258C" w:rsidP="00C0217E">
      <w:pPr>
        <w:spacing w:line="480" w:lineRule="auto"/>
      </w:pPr>
      <w:r w:rsidRPr="00C0217E">
        <w:rPr>
          <w:b/>
        </w:rPr>
        <w:t>SUMMARY:</w:t>
      </w:r>
      <w:r>
        <w:t xml:space="preserve">  In compliance with the requirements of the Paperwork Reduction Act of 1995,</w:t>
      </w:r>
      <w:r w:rsidRPr="000253DB">
        <w:rPr>
          <w:szCs w:val="26"/>
        </w:rPr>
        <w:t xml:space="preserve"> </w:t>
      </w:r>
      <w:r w:rsidRPr="000253DB">
        <w:t>44 U.S.C. 3507</w:t>
      </w:r>
      <w:r>
        <w:t xml:space="preserve">(a)(1)(D), the Federal </w:t>
      </w:r>
      <w:r w:rsidRPr="00F732CA">
        <w:t>Energy Regulatory Commission (Commission or FERC) is submit</w:t>
      </w:r>
      <w:r w:rsidR="007C0574">
        <w:t>ting the information collection FERC-549D</w:t>
      </w:r>
      <w:r w:rsidRPr="00F732CA">
        <w:t xml:space="preserve"> </w:t>
      </w:r>
      <w:r w:rsidR="007C0574">
        <w:t xml:space="preserve">(Quarterly Transportation and Storage Report for Intrastate Natural Gas and </w:t>
      </w:r>
      <w:proofErr w:type="spellStart"/>
      <w:r w:rsidR="007C0574">
        <w:t>Hinshaw</w:t>
      </w:r>
      <w:proofErr w:type="spellEnd"/>
      <w:r w:rsidR="007C0574">
        <w:t xml:space="preserve"> Pipelines</w:t>
      </w:r>
      <w:r w:rsidR="007C0574">
        <w:rPr>
          <w:szCs w:val="26"/>
        </w:rPr>
        <w:t>)</w:t>
      </w:r>
      <w:r w:rsidRPr="00F732CA">
        <w:t xml:space="preserve"> to the Office of Management and Budget (OMB) for review of the information collection requirements.  Any interested person may file comments directly with OMB and should address a copy of th</w:t>
      </w:r>
      <w:r>
        <w:t>ose comments to the Commission as explained</w:t>
      </w:r>
      <w:r w:rsidR="00BE2716">
        <w:t xml:space="preserve"> below.  The Commission </w:t>
      </w:r>
      <w:r w:rsidR="00C71A52">
        <w:t xml:space="preserve">published </w:t>
      </w:r>
      <w:r w:rsidR="00BE2716">
        <w:t>notices</w:t>
      </w:r>
      <w:r>
        <w:t xml:space="preserve"> in the Federal Register </w:t>
      </w:r>
      <w:r w:rsidR="007C0574">
        <w:t>(78 FR 69843, 11/21</w:t>
      </w:r>
      <w:r w:rsidRPr="00024937">
        <w:t>/2012</w:t>
      </w:r>
      <w:r w:rsidR="00C71A52">
        <w:t>,</w:t>
      </w:r>
      <w:r w:rsidR="007C0574">
        <w:t xml:space="preserve"> and 79 FR 7175, 2/6</w:t>
      </w:r>
      <w:r w:rsidR="00BE2716">
        <w:t>/2012</w:t>
      </w:r>
      <w:r w:rsidRPr="00024937">
        <w:t>)</w:t>
      </w:r>
      <w:r>
        <w:t xml:space="preserve"> requesting public comments.  </w:t>
      </w:r>
      <w:r w:rsidRPr="00024937">
        <w:t>FERC received no comme</w:t>
      </w:r>
      <w:r w:rsidR="007C0574">
        <w:t>nts on the FERC-549D</w:t>
      </w:r>
      <w:r w:rsidR="001406B5">
        <w:t xml:space="preserve"> for</w:t>
      </w:r>
      <w:r w:rsidR="00BE2716">
        <w:t xml:space="preserve"> either notice</w:t>
      </w:r>
      <w:r w:rsidRPr="00024937">
        <w:t xml:space="preserve"> and is making this notation in its submittal to OMB.</w:t>
      </w:r>
    </w:p>
    <w:p w14:paraId="6C65314A" w14:textId="77777777" w:rsidR="00D2164C" w:rsidRPr="00D2164C" w:rsidRDefault="00D2164C" w:rsidP="00D2164C">
      <w:pPr>
        <w:spacing w:line="480" w:lineRule="auto"/>
        <w:ind w:firstLine="720"/>
        <w:rPr>
          <w:szCs w:val="26"/>
        </w:rPr>
      </w:pPr>
      <w:r>
        <w:rPr>
          <w:szCs w:val="26"/>
        </w:rPr>
        <w:t xml:space="preserve">The Commission is issuing this 15-day public notice due to a change of the estimated burden figures.  Upon further review, the Commission </w:t>
      </w:r>
      <w:r w:rsidR="007C0574">
        <w:rPr>
          <w:szCs w:val="26"/>
        </w:rPr>
        <w:t xml:space="preserve">found that the burden estimate required adjustment due to better estimates.   Specifically, the average burden hours per response for XML filings (implementation burden only) increased from 104 </w:t>
      </w:r>
      <w:r w:rsidR="007C0574">
        <w:rPr>
          <w:szCs w:val="26"/>
        </w:rPr>
        <w:lastRenderedPageBreak/>
        <w:t xml:space="preserve">hours to 196 hours. </w:t>
      </w:r>
      <w:r w:rsidR="007C0574" w:rsidRPr="006E386B">
        <w:rPr>
          <w:b/>
          <w:szCs w:val="26"/>
        </w:rPr>
        <w:t>NOTE</w:t>
      </w:r>
      <w:r w:rsidR="007C0574">
        <w:rPr>
          <w:szCs w:val="26"/>
        </w:rPr>
        <w:t xml:space="preserve">: </w:t>
      </w:r>
      <w:r w:rsidR="007C0574" w:rsidRPr="006E386B">
        <w:rPr>
          <w:szCs w:val="26"/>
          <w:u w:val="single"/>
        </w:rPr>
        <w:t>There are no chang</w:t>
      </w:r>
      <w:r w:rsidR="006E386B">
        <w:rPr>
          <w:szCs w:val="26"/>
          <w:u w:val="single"/>
        </w:rPr>
        <w:t xml:space="preserve">es to information collection or </w:t>
      </w:r>
      <w:r w:rsidR="007C0574" w:rsidRPr="006E386B">
        <w:rPr>
          <w:szCs w:val="26"/>
          <w:u w:val="single"/>
        </w:rPr>
        <w:t>filing requirements.</w:t>
      </w:r>
    </w:p>
    <w:p w14:paraId="6C65314B" w14:textId="77777777" w:rsidR="0080258C" w:rsidRDefault="0080258C" w:rsidP="00C0217E">
      <w:pPr>
        <w:spacing w:line="480" w:lineRule="auto"/>
      </w:pPr>
      <w:r w:rsidRPr="00F04F4C">
        <w:rPr>
          <w:b/>
        </w:rPr>
        <w:t>DATES:</w:t>
      </w:r>
      <w:r>
        <w:rPr>
          <w:b/>
        </w:rPr>
        <w:t xml:space="preserve"> </w:t>
      </w:r>
      <w:r>
        <w:t xml:space="preserve"> Comments on the collectio</w:t>
      </w:r>
      <w:r w:rsidR="00BE2716">
        <w:t>ns of information are due by [15</w:t>
      </w:r>
      <w:r>
        <w:t xml:space="preserve"> days after publication of this Notice in the Federal Register].   </w:t>
      </w:r>
    </w:p>
    <w:p w14:paraId="6C65314C" w14:textId="77777777" w:rsidR="0080258C" w:rsidRDefault="0080258C" w:rsidP="00B2244D">
      <w:pPr>
        <w:spacing w:line="480" w:lineRule="auto"/>
      </w:pPr>
      <w:r w:rsidRPr="00F04F4C">
        <w:rPr>
          <w:b/>
        </w:rPr>
        <w:t>ADDRESSES:</w:t>
      </w:r>
      <w:r>
        <w:t xml:space="preserve">  Comments filed with OMB, identified by the OMB Control Nos. </w:t>
      </w:r>
      <w:r w:rsidRPr="00024937">
        <w:t>1902</w:t>
      </w:r>
      <w:r w:rsidR="007F0323">
        <w:t>-0253 (FERC-549D</w:t>
      </w:r>
      <w:r>
        <w:t xml:space="preserve">) should be sent via email to the Office of Information and </w:t>
      </w:r>
      <w:r w:rsidRPr="00EF6710">
        <w:t xml:space="preserve">Regulatory Affairs: </w:t>
      </w:r>
      <w:hyperlink r:id="rId12" w:history="1">
        <w:r w:rsidRPr="00EF6710">
          <w:rPr>
            <w:rStyle w:val="Hyperlink"/>
          </w:rPr>
          <w:t>oira_submission@omb.gov</w:t>
        </w:r>
      </w:hyperlink>
      <w:r w:rsidRPr="00E07091">
        <w:t>,</w:t>
      </w:r>
      <w:r w:rsidRPr="00EF6710">
        <w:t xml:space="preserve">  Attention: Federal Energy Regulatory Commission Desk Officer.</w:t>
      </w:r>
      <w:r>
        <w:t xml:space="preserve">  The Desk Officer may also be reached via telephone at 202-395-4718.</w:t>
      </w:r>
    </w:p>
    <w:p w14:paraId="6C65314D" w14:textId="77777777" w:rsidR="0080258C" w:rsidRDefault="0080258C" w:rsidP="00775D65">
      <w:pPr>
        <w:spacing w:line="480" w:lineRule="auto"/>
        <w:ind w:firstLine="720"/>
      </w:pPr>
      <w:r>
        <w:t xml:space="preserve">A copy of the comments should also be sent to the Federal Energy Regulatory Commission, identified by the </w:t>
      </w:r>
      <w:r w:rsidR="007F0323">
        <w:t>Docket No. IC14-3</w:t>
      </w:r>
      <w:r w:rsidRPr="00024937">
        <w:t>-000,</w:t>
      </w:r>
      <w:r>
        <w:t xml:space="preserve"> by one of the following methods:</w:t>
      </w:r>
    </w:p>
    <w:p w14:paraId="6C65314E" w14:textId="77777777" w:rsidR="0080258C" w:rsidRDefault="0080258C"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6C65314F" w14:textId="77777777" w:rsidR="0080258C" w:rsidRDefault="0080258C"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888 First Street, NE</w:t>
              </w:r>
            </w:smartTag>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smartTag>
      <w:r>
        <w:t>.</w:t>
      </w:r>
    </w:p>
    <w:p w14:paraId="6C653150" w14:textId="77777777" w:rsidR="0080258C" w:rsidRDefault="0080258C"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6C653151" w14:textId="77777777" w:rsidR="0080258C" w:rsidRDefault="0080258C"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p w14:paraId="6C653152" w14:textId="77777777" w:rsidR="0080258C" w:rsidRDefault="0080258C" w:rsidP="00C0217E">
      <w:pPr>
        <w:spacing w:line="480" w:lineRule="auto"/>
      </w:pPr>
      <w:r w:rsidRPr="00F04F4C">
        <w:rPr>
          <w:b/>
        </w:rPr>
        <w:lastRenderedPageBreak/>
        <w:t>FOR FURTHER INFORMATION:</w:t>
      </w:r>
      <w:r>
        <w:t xml:space="preserve">   </w:t>
      </w:r>
      <w:smartTag w:uri="urn:schemas-microsoft-com:office:smarttags" w:element="PersonName">
        <w:r w:rsidRPr="00024937">
          <w:t>Ellen Brown</w:t>
        </w:r>
      </w:smartTag>
      <w:r w:rsidRPr="00024937">
        <w:t xml:space="preserve"> may</w:t>
      </w:r>
      <w:r>
        <w:t xml:space="preserve"> be reached by e-mail at </w:t>
      </w:r>
      <w:hyperlink r:id="rId16" w:history="1">
        <w:r w:rsidRPr="00006D4B">
          <w:rPr>
            <w:rStyle w:val="Hyperlink"/>
          </w:rPr>
          <w:t>DataClearance@FERC.gov</w:t>
        </w:r>
      </w:hyperlink>
      <w:r>
        <w:t xml:space="preserve">, by telephone at (202) 502-8663, and by fax at (202) 273-0873. </w:t>
      </w:r>
    </w:p>
    <w:p w14:paraId="6C653153" w14:textId="77777777" w:rsidR="0080258C" w:rsidRDefault="0080258C" w:rsidP="003820D6">
      <w:pPr>
        <w:spacing w:line="480" w:lineRule="auto"/>
      </w:pPr>
      <w:r w:rsidRPr="001C3703">
        <w:rPr>
          <w:b/>
        </w:rPr>
        <w:t>SUPPLEMENTARY INFORMATION:</w:t>
      </w:r>
      <w:r>
        <w:t xml:space="preserve">  </w:t>
      </w:r>
    </w:p>
    <w:p w14:paraId="6C653154" w14:textId="77777777" w:rsidR="006E386B" w:rsidRDefault="0080258C" w:rsidP="00024937">
      <w:pPr>
        <w:spacing w:line="480" w:lineRule="auto"/>
        <w:rPr>
          <w:i/>
          <w:szCs w:val="26"/>
        </w:rPr>
      </w:pPr>
      <w:r w:rsidRPr="008A629A">
        <w:rPr>
          <w:i/>
          <w:szCs w:val="26"/>
        </w:rPr>
        <w:t>Title</w:t>
      </w:r>
      <w:r>
        <w:rPr>
          <w:i/>
          <w:szCs w:val="26"/>
        </w:rPr>
        <w:t>s</w:t>
      </w:r>
      <w:r w:rsidRPr="008A629A">
        <w:rPr>
          <w:i/>
          <w:szCs w:val="26"/>
        </w:rPr>
        <w:t xml:space="preserve">: </w:t>
      </w:r>
      <w:r w:rsidR="006E386B">
        <w:t xml:space="preserve">Quarterly Transportation and Storage Report for Intrastate Natural Gas and </w:t>
      </w:r>
      <w:proofErr w:type="spellStart"/>
      <w:r w:rsidR="006E386B">
        <w:t>Hinshaw</w:t>
      </w:r>
      <w:proofErr w:type="spellEnd"/>
      <w:r w:rsidR="006E386B">
        <w:t xml:space="preserve"> Pipelines</w:t>
      </w:r>
      <w:r w:rsidR="006E386B" w:rsidRPr="00DC6B7A">
        <w:rPr>
          <w:i/>
          <w:szCs w:val="26"/>
        </w:rPr>
        <w:t xml:space="preserve"> </w:t>
      </w:r>
    </w:p>
    <w:p w14:paraId="6C653155" w14:textId="77777777" w:rsidR="0080258C" w:rsidRPr="00DC6B7A" w:rsidRDefault="0080258C" w:rsidP="00024937">
      <w:pPr>
        <w:spacing w:line="480" w:lineRule="auto"/>
        <w:rPr>
          <w:szCs w:val="26"/>
        </w:rPr>
      </w:pPr>
      <w:r w:rsidRPr="00DC6B7A">
        <w:rPr>
          <w:i/>
          <w:szCs w:val="26"/>
        </w:rPr>
        <w:t xml:space="preserve">OMB Control Nos.: </w:t>
      </w:r>
      <w:r w:rsidR="006E386B">
        <w:rPr>
          <w:szCs w:val="26"/>
        </w:rPr>
        <w:t>1902-0253</w:t>
      </w:r>
    </w:p>
    <w:p w14:paraId="6C653156" w14:textId="77777777" w:rsidR="006E386B" w:rsidRDefault="0080258C" w:rsidP="006E386B">
      <w:pPr>
        <w:pStyle w:val="NormalWeb"/>
        <w:spacing w:before="0" w:beforeAutospacing="0" w:after="0" w:afterAutospacing="0" w:line="480" w:lineRule="auto"/>
        <w:rPr>
          <w:sz w:val="26"/>
          <w:szCs w:val="26"/>
        </w:rPr>
      </w:pPr>
      <w:r w:rsidRPr="00DC6B7A">
        <w:rPr>
          <w:i/>
          <w:sz w:val="26"/>
          <w:szCs w:val="26"/>
        </w:rPr>
        <w:t>Type of Request:</w:t>
      </w:r>
      <w:r w:rsidRPr="00DC6B7A">
        <w:rPr>
          <w:sz w:val="26"/>
          <w:szCs w:val="26"/>
        </w:rPr>
        <w:t xml:space="preserve"> </w:t>
      </w:r>
      <w:r w:rsidR="006E386B" w:rsidRPr="006E386B">
        <w:rPr>
          <w:sz w:val="26"/>
          <w:szCs w:val="26"/>
        </w:rPr>
        <w:t>Three-year extension of the FERC-549D information collection requirements with no changes to the reporting requirements.</w:t>
      </w:r>
    </w:p>
    <w:p w14:paraId="6C653157" w14:textId="77777777" w:rsidR="006E386B" w:rsidRDefault="006E386B" w:rsidP="006E386B">
      <w:pPr>
        <w:spacing w:line="480" w:lineRule="auto"/>
      </w:pPr>
      <w:r w:rsidRPr="006E386B">
        <w:rPr>
          <w:i/>
          <w:szCs w:val="26"/>
        </w:rPr>
        <w:t>Abstract</w:t>
      </w:r>
      <w:r>
        <w:rPr>
          <w:szCs w:val="26"/>
        </w:rPr>
        <w:t xml:space="preserve">: </w:t>
      </w:r>
      <w:r>
        <w:t>T</w:t>
      </w:r>
      <w:r w:rsidRPr="00636540">
        <w:t xml:space="preserve">he reporting requirements under FERC-549D </w:t>
      </w:r>
      <w:r>
        <w:t xml:space="preserve">are </w:t>
      </w:r>
      <w:r w:rsidRPr="00636540">
        <w:t>required to carry out the Commission's policies in accordance with the general authority in Sections 1(c) of the Natural Gas Act (NGA)</w:t>
      </w:r>
      <w:r>
        <w:rPr>
          <w:rStyle w:val="FootnoteReference"/>
        </w:rPr>
        <w:footnoteReference w:id="1"/>
      </w:r>
      <w:r w:rsidRPr="00636540">
        <w:t xml:space="preserve"> and Sections 311 of the Natural Gas Policy Act of 1978 (NGPA)</w:t>
      </w:r>
      <w:r>
        <w:rPr>
          <w:rStyle w:val="FootnoteReference"/>
        </w:rPr>
        <w:footnoteReference w:id="2"/>
      </w:r>
      <w:r w:rsidRPr="00636540">
        <w:t>.</w:t>
      </w:r>
      <w:r>
        <w:t xml:space="preserve">  This collection promotes transparency by collecting and making available intrastate and </w:t>
      </w:r>
      <w:proofErr w:type="spellStart"/>
      <w:r>
        <w:t>Hinshaw</w:t>
      </w:r>
      <w:proofErr w:type="spellEnd"/>
      <w:r>
        <w:t xml:space="preserve"> pipeline transactional information.  The Commission collects the data upon a standardized form with all requirements outlined in 18 CFR 284.126.</w:t>
      </w:r>
    </w:p>
    <w:p w14:paraId="6C653158" w14:textId="77777777" w:rsidR="006E386B" w:rsidRDefault="006E386B" w:rsidP="006E386B">
      <w:pPr>
        <w:spacing w:line="480" w:lineRule="auto"/>
      </w:pPr>
      <w:r>
        <w:tab/>
        <w:t>The FERC Form 549D collects the following information:</w:t>
      </w:r>
    </w:p>
    <w:p w14:paraId="6C653159" w14:textId="77777777" w:rsidR="006E386B" w:rsidRDefault="006E386B" w:rsidP="006E386B">
      <w:pPr>
        <w:numPr>
          <w:ilvl w:val="0"/>
          <w:numId w:val="6"/>
        </w:numPr>
        <w:spacing w:line="480" w:lineRule="auto"/>
      </w:pPr>
      <w:r>
        <w:t>Full legal name and identification number of the shipper receiving service;</w:t>
      </w:r>
    </w:p>
    <w:p w14:paraId="6C65315A" w14:textId="77777777" w:rsidR="006E386B" w:rsidRDefault="006E386B" w:rsidP="006E386B">
      <w:pPr>
        <w:numPr>
          <w:ilvl w:val="0"/>
          <w:numId w:val="6"/>
        </w:numPr>
        <w:spacing w:line="480" w:lineRule="auto"/>
      </w:pPr>
      <w:r>
        <w:t>Type of service performed for each transaction;</w:t>
      </w:r>
    </w:p>
    <w:p w14:paraId="6C65315B" w14:textId="77777777" w:rsidR="006E386B" w:rsidRDefault="006E386B" w:rsidP="006E386B">
      <w:pPr>
        <w:numPr>
          <w:ilvl w:val="0"/>
          <w:numId w:val="6"/>
        </w:numPr>
        <w:spacing w:line="480" w:lineRule="auto"/>
      </w:pPr>
      <w:r>
        <w:t>The rate charged under each transaction;</w:t>
      </w:r>
    </w:p>
    <w:p w14:paraId="6C65315C" w14:textId="77777777" w:rsidR="006E386B" w:rsidRDefault="006E386B" w:rsidP="006E386B">
      <w:pPr>
        <w:numPr>
          <w:ilvl w:val="0"/>
          <w:numId w:val="6"/>
        </w:numPr>
        <w:spacing w:line="480" w:lineRule="auto"/>
      </w:pPr>
      <w:r>
        <w:lastRenderedPageBreak/>
        <w:t xml:space="preserve">The primary receipt and delivery points for the transaction, specifying the rate schedule/name of service and </w:t>
      </w:r>
      <w:r w:rsidRPr="001F1FA2">
        <w:t>docket were approved;</w:t>
      </w:r>
    </w:p>
    <w:p w14:paraId="6C65315D" w14:textId="77777777" w:rsidR="006E386B" w:rsidRDefault="006E386B" w:rsidP="006E386B">
      <w:pPr>
        <w:numPr>
          <w:ilvl w:val="0"/>
          <w:numId w:val="6"/>
        </w:numPr>
        <w:spacing w:line="480" w:lineRule="auto"/>
      </w:pPr>
      <w:r>
        <w:t>The quantity of natural gas the shipper is entitled to transport, store, and deliver for each transaction;</w:t>
      </w:r>
    </w:p>
    <w:p w14:paraId="6C65315E" w14:textId="77777777" w:rsidR="006E386B" w:rsidRDefault="006E386B" w:rsidP="006E386B">
      <w:pPr>
        <w:numPr>
          <w:ilvl w:val="0"/>
          <w:numId w:val="6"/>
        </w:numPr>
        <w:spacing w:line="480" w:lineRule="auto"/>
      </w:pPr>
      <w:r>
        <w:t>The term of the transaction, specifying the beginning and ending month and year of current agreement;</w:t>
      </w:r>
    </w:p>
    <w:p w14:paraId="6C65315F" w14:textId="77777777" w:rsidR="006E386B" w:rsidRDefault="006E386B" w:rsidP="006E386B">
      <w:pPr>
        <w:numPr>
          <w:ilvl w:val="0"/>
          <w:numId w:val="6"/>
        </w:numPr>
        <w:spacing w:line="480" w:lineRule="auto"/>
      </w:pPr>
      <w:r>
        <w:t>Total volumes transported, stored, injected or withdrawn for the shipper; and</w:t>
      </w:r>
    </w:p>
    <w:p w14:paraId="6C653160" w14:textId="77777777" w:rsidR="006E386B" w:rsidRDefault="006E386B" w:rsidP="006E386B">
      <w:pPr>
        <w:numPr>
          <w:ilvl w:val="0"/>
          <w:numId w:val="6"/>
        </w:numPr>
        <w:spacing w:line="480" w:lineRule="auto"/>
      </w:pPr>
      <w:r>
        <w:t>Annual revenues received for each shipper, excluding revenues from storage services.</w:t>
      </w:r>
    </w:p>
    <w:p w14:paraId="6C653161" w14:textId="77777777" w:rsidR="006E386B" w:rsidRPr="006E386B" w:rsidRDefault="006E386B" w:rsidP="006E386B">
      <w:pPr>
        <w:spacing w:line="480" w:lineRule="auto"/>
        <w:ind w:left="360" w:firstLine="360"/>
      </w:pPr>
      <w:r>
        <w:t>Filers submit the Form-549D on a quarterly basis.</w:t>
      </w:r>
    </w:p>
    <w:p w14:paraId="6C653162" w14:textId="77777777" w:rsidR="006E386B" w:rsidRPr="006E386B" w:rsidRDefault="006E386B" w:rsidP="006E386B">
      <w:pPr>
        <w:spacing w:line="480" w:lineRule="auto"/>
      </w:pPr>
      <w:r>
        <w:rPr>
          <w:i/>
        </w:rPr>
        <w:t>Access to the FERC-549D Information Collection</w:t>
      </w:r>
      <w:r w:rsidRPr="001F1FA2">
        <w:rPr>
          <w:i/>
        </w:rPr>
        <w:t xml:space="preserve"> Materials: </w:t>
      </w:r>
      <w:r w:rsidRPr="001F1FA2">
        <w:t xml:space="preserve">A copy of the </w:t>
      </w:r>
      <w:r>
        <w:t xml:space="preserve">current form and related materials can be found at </w:t>
      </w:r>
      <w:hyperlink r:id="rId17" w:anchor="549d" w:history="1">
        <w:r w:rsidRPr="001F1FA2">
          <w:rPr>
            <w:rStyle w:val="Hyperlink"/>
          </w:rPr>
          <w:t>http://www.ferc.gov/docs-filing/forms.asp#549d</w:t>
        </w:r>
      </w:hyperlink>
      <w:r>
        <w:t>, but will</w:t>
      </w:r>
      <w:r w:rsidRPr="001F1FA2">
        <w:t xml:space="preserve"> not </w:t>
      </w:r>
      <w:r>
        <w:t xml:space="preserve">be </w:t>
      </w:r>
      <w:r w:rsidRPr="001F1FA2">
        <w:t>included in the Federal Register.</w:t>
      </w:r>
      <w:r>
        <w:t xml:space="preserve"> </w:t>
      </w:r>
      <w:r w:rsidRPr="001F1FA2">
        <w:t xml:space="preserve"> </w:t>
      </w:r>
      <w:r>
        <w:t>The Commission will not publish these materials in the Federal Register.</w:t>
      </w:r>
    </w:p>
    <w:p w14:paraId="6C653163" w14:textId="77777777" w:rsidR="0080258C" w:rsidRPr="006E386B" w:rsidRDefault="0080258C" w:rsidP="006E386B">
      <w:pPr>
        <w:spacing w:line="480" w:lineRule="auto"/>
      </w:pPr>
      <w:r w:rsidRPr="006E386B">
        <w:rPr>
          <w:i/>
          <w:szCs w:val="26"/>
        </w:rPr>
        <w:t xml:space="preserve">Types of Respondents: </w:t>
      </w:r>
      <w:r w:rsidR="006E386B">
        <w:t xml:space="preserve">Intrastate natural gas and </w:t>
      </w:r>
      <w:proofErr w:type="spellStart"/>
      <w:r w:rsidR="006E386B">
        <w:t>Hinshaw</w:t>
      </w:r>
      <w:proofErr w:type="spellEnd"/>
      <w:r w:rsidR="006E386B">
        <w:t xml:space="preserve"> pipelines</w:t>
      </w:r>
    </w:p>
    <w:p w14:paraId="6C653164" w14:textId="77777777" w:rsidR="0080258C" w:rsidRPr="008A629A" w:rsidRDefault="0080258C" w:rsidP="00024937">
      <w:pPr>
        <w:spacing w:line="480" w:lineRule="auto"/>
        <w:rPr>
          <w:szCs w:val="26"/>
        </w:rPr>
      </w:pPr>
      <w:r w:rsidRPr="008A629A">
        <w:rPr>
          <w:i/>
          <w:szCs w:val="26"/>
        </w:rPr>
        <w:t>Estimate of Annual Burden</w:t>
      </w:r>
      <w:r w:rsidRPr="008A629A">
        <w:rPr>
          <w:rStyle w:val="FootnoteReference"/>
          <w:szCs w:val="26"/>
        </w:rPr>
        <w:footnoteReference w:id="3"/>
      </w:r>
      <w:r w:rsidRPr="008A629A">
        <w:rPr>
          <w:i/>
          <w:szCs w:val="26"/>
        </w:rPr>
        <w:t xml:space="preserve">: </w:t>
      </w:r>
      <w:r w:rsidRPr="008A629A">
        <w:rPr>
          <w:szCs w:val="26"/>
        </w:rPr>
        <w:t xml:space="preserve">The Commission estimates the total Public Reporting Burden for </w:t>
      </w:r>
      <w:r>
        <w:rPr>
          <w:szCs w:val="26"/>
        </w:rPr>
        <w:t>each</w:t>
      </w:r>
      <w:r w:rsidRPr="008A629A">
        <w:rPr>
          <w:szCs w:val="26"/>
        </w:rPr>
        <w:t xml:space="preserve"> information collection as:</w:t>
      </w:r>
    </w:p>
    <w:tbl>
      <w:tblPr>
        <w:tblpPr w:leftFromText="180" w:rightFromText="180" w:vertAnchor="text" w:horzAnchor="margin" w:tblpX="108" w:tblpY="22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620"/>
        <w:gridCol w:w="1638"/>
        <w:gridCol w:w="1422"/>
        <w:gridCol w:w="1368"/>
      </w:tblGrid>
      <w:tr w:rsidR="006E386B" w:rsidRPr="000C289F" w14:paraId="6C653166" w14:textId="77777777" w:rsidTr="006E386B">
        <w:trPr>
          <w:trHeight w:val="347"/>
        </w:trPr>
        <w:tc>
          <w:tcPr>
            <w:tcW w:w="9576" w:type="dxa"/>
            <w:gridSpan w:val="6"/>
            <w:shd w:val="clear" w:color="auto" w:fill="D9D9D9"/>
            <w:vAlign w:val="center"/>
          </w:tcPr>
          <w:p w14:paraId="6C653165" w14:textId="77777777" w:rsidR="006E386B" w:rsidRPr="000C289F" w:rsidRDefault="006E386B" w:rsidP="006E386B">
            <w:pPr>
              <w:jc w:val="center"/>
              <w:rPr>
                <w:b/>
              </w:rPr>
            </w:pPr>
            <w:r>
              <w:rPr>
                <w:b/>
              </w:rPr>
              <w:t xml:space="preserve">FERC Form </w:t>
            </w:r>
            <w:r w:rsidRPr="000C289F">
              <w:rPr>
                <w:b/>
              </w:rPr>
              <w:t xml:space="preserve">549D: </w:t>
            </w:r>
            <w:r w:rsidRPr="000C289F">
              <w:rPr>
                <w:b/>
                <w:bCs/>
              </w:rPr>
              <w:t xml:space="preserve">Quarterly Transportation and Storage Report for Intrastate Natural Gas and </w:t>
            </w:r>
            <w:proofErr w:type="spellStart"/>
            <w:r w:rsidRPr="000C289F">
              <w:rPr>
                <w:b/>
                <w:bCs/>
              </w:rPr>
              <w:t>Hinshaw</w:t>
            </w:r>
            <w:proofErr w:type="spellEnd"/>
            <w:r w:rsidRPr="000C289F">
              <w:rPr>
                <w:b/>
                <w:bCs/>
              </w:rPr>
              <w:t xml:space="preserve"> Pipelines</w:t>
            </w:r>
          </w:p>
        </w:tc>
      </w:tr>
      <w:tr w:rsidR="006E386B" w:rsidRPr="000C289F" w14:paraId="6C653172" w14:textId="77777777" w:rsidTr="006E386B">
        <w:trPr>
          <w:trHeight w:val="1250"/>
        </w:trPr>
        <w:tc>
          <w:tcPr>
            <w:tcW w:w="1728" w:type="dxa"/>
            <w:shd w:val="clear" w:color="auto" w:fill="D9D9D9"/>
            <w:vAlign w:val="bottom"/>
          </w:tcPr>
          <w:p w14:paraId="6C653167" w14:textId="77777777" w:rsidR="006E386B" w:rsidRPr="000C289F" w:rsidRDefault="006E386B" w:rsidP="006E386B">
            <w:pPr>
              <w:rPr>
                <w:b/>
              </w:rPr>
            </w:pPr>
            <w:r w:rsidRPr="000C289F">
              <w:rPr>
                <w:b/>
              </w:rPr>
              <w:t>Format of Pipelines’ Filing</w:t>
            </w:r>
          </w:p>
        </w:tc>
        <w:tc>
          <w:tcPr>
            <w:tcW w:w="1800" w:type="dxa"/>
            <w:shd w:val="clear" w:color="auto" w:fill="D9D9D9"/>
            <w:vAlign w:val="bottom"/>
          </w:tcPr>
          <w:p w14:paraId="6C653168" w14:textId="77777777" w:rsidR="006E386B" w:rsidRPr="000C289F" w:rsidRDefault="006E386B" w:rsidP="006E386B">
            <w:pPr>
              <w:jc w:val="center"/>
              <w:rPr>
                <w:b/>
              </w:rPr>
            </w:pPr>
            <w:r w:rsidRPr="000C289F">
              <w:rPr>
                <w:b/>
              </w:rPr>
              <w:t>Number of Respondents</w:t>
            </w:r>
          </w:p>
          <w:p w14:paraId="6C653169" w14:textId="77777777" w:rsidR="006E386B" w:rsidRPr="000C289F" w:rsidRDefault="006E386B" w:rsidP="006E386B">
            <w:pPr>
              <w:jc w:val="center"/>
              <w:rPr>
                <w:b/>
              </w:rPr>
            </w:pPr>
            <w:r w:rsidRPr="000C289F">
              <w:rPr>
                <w:b/>
              </w:rPr>
              <w:t>(A)</w:t>
            </w:r>
          </w:p>
        </w:tc>
        <w:tc>
          <w:tcPr>
            <w:tcW w:w="1620" w:type="dxa"/>
            <w:shd w:val="clear" w:color="auto" w:fill="D9D9D9"/>
            <w:vAlign w:val="bottom"/>
          </w:tcPr>
          <w:p w14:paraId="6C65316A" w14:textId="77777777" w:rsidR="006E386B" w:rsidRPr="000C289F" w:rsidRDefault="006E386B" w:rsidP="006E386B">
            <w:pPr>
              <w:jc w:val="center"/>
              <w:rPr>
                <w:b/>
              </w:rPr>
            </w:pPr>
            <w:r w:rsidRPr="000C289F">
              <w:rPr>
                <w:b/>
              </w:rPr>
              <w:t>Number of Responses Per Respondent</w:t>
            </w:r>
          </w:p>
          <w:p w14:paraId="6C65316B" w14:textId="77777777" w:rsidR="006E386B" w:rsidRPr="000C289F" w:rsidRDefault="006E386B" w:rsidP="006E386B">
            <w:pPr>
              <w:jc w:val="center"/>
              <w:rPr>
                <w:b/>
              </w:rPr>
            </w:pPr>
            <w:r w:rsidRPr="000C289F">
              <w:rPr>
                <w:b/>
              </w:rPr>
              <w:t>(B)</w:t>
            </w:r>
          </w:p>
        </w:tc>
        <w:tc>
          <w:tcPr>
            <w:tcW w:w="1638" w:type="dxa"/>
            <w:shd w:val="clear" w:color="auto" w:fill="D9D9D9"/>
            <w:vAlign w:val="bottom"/>
          </w:tcPr>
          <w:p w14:paraId="6C65316C" w14:textId="77777777" w:rsidR="006E386B" w:rsidRPr="000C289F" w:rsidRDefault="006E386B" w:rsidP="006E386B">
            <w:pPr>
              <w:jc w:val="center"/>
              <w:rPr>
                <w:b/>
              </w:rPr>
            </w:pPr>
            <w:r w:rsidRPr="000C289F">
              <w:rPr>
                <w:b/>
              </w:rPr>
              <w:t>Total Number of Responses</w:t>
            </w:r>
          </w:p>
          <w:p w14:paraId="6C65316D" w14:textId="77777777" w:rsidR="006E386B" w:rsidRPr="000C289F" w:rsidRDefault="006E386B" w:rsidP="006E386B">
            <w:pPr>
              <w:jc w:val="center"/>
              <w:rPr>
                <w:b/>
              </w:rPr>
            </w:pPr>
            <w:r w:rsidRPr="000C289F">
              <w:rPr>
                <w:b/>
              </w:rPr>
              <w:t>(A)x(B)=(C)</w:t>
            </w:r>
          </w:p>
        </w:tc>
        <w:tc>
          <w:tcPr>
            <w:tcW w:w="1422" w:type="dxa"/>
            <w:shd w:val="clear" w:color="auto" w:fill="D9D9D9"/>
            <w:vAlign w:val="bottom"/>
          </w:tcPr>
          <w:p w14:paraId="6C65316E" w14:textId="77777777" w:rsidR="006E386B" w:rsidRPr="000C289F" w:rsidRDefault="006E386B" w:rsidP="006E386B">
            <w:pPr>
              <w:jc w:val="center"/>
              <w:rPr>
                <w:b/>
              </w:rPr>
            </w:pPr>
            <w:r w:rsidRPr="000C289F">
              <w:rPr>
                <w:b/>
              </w:rPr>
              <w:t>Average Burden Hours per Response</w:t>
            </w:r>
          </w:p>
          <w:p w14:paraId="6C65316F" w14:textId="77777777" w:rsidR="006E386B" w:rsidRPr="000C289F" w:rsidRDefault="006E386B" w:rsidP="006E386B">
            <w:pPr>
              <w:jc w:val="center"/>
              <w:rPr>
                <w:b/>
              </w:rPr>
            </w:pPr>
            <w:r w:rsidRPr="000C289F">
              <w:rPr>
                <w:b/>
              </w:rPr>
              <w:t>(D)</w:t>
            </w:r>
          </w:p>
        </w:tc>
        <w:tc>
          <w:tcPr>
            <w:tcW w:w="1368" w:type="dxa"/>
            <w:shd w:val="clear" w:color="auto" w:fill="D9D9D9"/>
            <w:vAlign w:val="bottom"/>
          </w:tcPr>
          <w:p w14:paraId="6C653170" w14:textId="77777777" w:rsidR="006E386B" w:rsidRPr="000C289F" w:rsidRDefault="006E386B" w:rsidP="006E386B">
            <w:pPr>
              <w:jc w:val="center"/>
              <w:rPr>
                <w:b/>
              </w:rPr>
            </w:pPr>
            <w:r w:rsidRPr="000C289F">
              <w:rPr>
                <w:b/>
              </w:rPr>
              <w:t>Estimated Total Annual Burden</w:t>
            </w:r>
          </w:p>
          <w:p w14:paraId="6C653171" w14:textId="77777777" w:rsidR="006E386B" w:rsidRPr="000C289F" w:rsidRDefault="006E386B" w:rsidP="006E386B">
            <w:pPr>
              <w:jc w:val="center"/>
              <w:rPr>
                <w:b/>
              </w:rPr>
            </w:pPr>
            <w:r w:rsidRPr="000C289F">
              <w:rPr>
                <w:b/>
              </w:rPr>
              <w:t>(C)x(D)</w:t>
            </w:r>
          </w:p>
        </w:tc>
      </w:tr>
      <w:tr w:rsidR="006E386B" w:rsidRPr="000C289F" w14:paraId="6C653174" w14:textId="77777777" w:rsidTr="006E386B">
        <w:trPr>
          <w:trHeight w:val="227"/>
        </w:trPr>
        <w:tc>
          <w:tcPr>
            <w:tcW w:w="9576" w:type="dxa"/>
            <w:gridSpan w:val="6"/>
            <w:shd w:val="clear" w:color="auto" w:fill="D9D9D9"/>
            <w:vAlign w:val="bottom"/>
          </w:tcPr>
          <w:p w14:paraId="6C653173" w14:textId="77777777" w:rsidR="006E386B" w:rsidRPr="000C289F" w:rsidRDefault="006E386B" w:rsidP="006E386B">
            <w:pPr>
              <w:jc w:val="center"/>
              <w:rPr>
                <w:b/>
              </w:rPr>
            </w:pPr>
            <w:r w:rsidRPr="000C289F">
              <w:rPr>
                <w:b/>
              </w:rPr>
              <w:t>Implementation Burden</w:t>
            </w:r>
          </w:p>
        </w:tc>
      </w:tr>
      <w:tr w:rsidR="006E386B" w:rsidRPr="000C289F" w14:paraId="6C65317B" w14:textId="77777777" w:rsidTr="006E386B">
        <w:trPr>
          <w:trHeight w:val="317"/>
        </w:trPr>
        <w:tc>
          <w:tcPr>
            <w:tcW w:w="1728" w:type="dxa"/>
          </w:tcPr>
          <w:p w14:paraId="6C653175" w14:textId="77777777" w:rsidR="006E386B" w:rsidRPr="000C289F" w:rsidRDefault="006E386B" w:rsidP="006E386B">
            <w:r w:rsidRPr="000C289F">
              <w:t>PDF filings</w:t>
            </w:r>
          </w:p>
        </w:tc>
        <w:tc>
          <w:tcPr>
            <w:tcW w:w="1800" w:type="dxa"/>
            <w:vAlign w:val="bottom"/>
          </w:tcPr>
          <w:p w14:paraId="6C653176" w14:textId="77777777" w:rsidR="006E386B" w:rsidRPr="000C289F" w:rsidRDefault="006E386B" w:rsidP="006E386B">
            <w:pPr>
              <w:jc w:val="right"/>
            </w:pPr>
            <w:r w:rsidRPr="000C289F">
              <w:t>3</w:t>
            </w:r>
          </w:p>
        </w:tc>
        <w:tc>
          <w:tcPr>
            <w:tcW w:w="1620" w:type="dxa"/>
            <w:vAlign w:val="bottom"/>
          </w:tcPr>
          <w:p w14:paraId="6C653177" w14:textId="77777777" w:rsidR="006E386B" w:rsidRPr="000C289F" w:rsidRDefault="006E386B" w:rsidP="006E386B">
            <w:pPr>
              <w:jc w:val="right"/>
            </w:pPr>
            <w:r w:rsidRPr="000C289F">
              <w:t>1</w:t>
            </w:r>
          </w:p>
        </w:tc>
        <w:tc>
          <w:tcPr>
            <w:tcW w:w="1638" w:type="dxa"/>
            <w:vAlign w:val="bottom"/>
          </w:tcPr>
          <w:p w14:paraId="6C653178" w14:textId="77777777" w:rsidR="006E386B" w:rsidRPr="000C289F" w:rsidRDefault="006E386B" w:rsidP="006E386B">
            <w:pPr>
              <w:jc w:val="right"/>
            </w:pPr>
            <w:r w:rsidRPr="000C289F">
              <w:t>3</w:t>
            </w:r>
          </w:p>
        </w:tc>
        <w:tc>
          <w:tcPr>
            <w:tcW w:w="1422" w:type="dxa"/>
            <w:vAlign w:val="bottom"/>
          </w:tcPr>
          <w:p w14:paraId="6C653179" w14:textId="77777777" w:rsidR="006E386B" w:rsidRPr="000C289F" w:rsidRDefault="006E386B" w:rsidP="006E386B">
            <w:pPr>
              <w:jc w:val="right"/>
            </w:pPr>
            <w:r w:rsidRPr="000C289F">
              <w:t>68</w:t>
            </w:r>
          </w:p>
        </w:tc>
        <w:tc>
          <w:tcPr>
            <w:tcW w:w="1368" w:type="dxa"/>
            <w:vAlign w:val="bottom"/>
          </w:tcPr>
          <w:p w14:paraId="6C65317A" w14:textId="77777777" w:rsidR="006E386B" w:rsidRPr="000C289F" w:rsidRDefault="006E386B" w:rsidP="006E386B">
            <w:pPr>
              <w:jc w:val="right"/>
            </w:pPr>
            <w:r w:rsidRPr="000C289F">
              <w:t>204</w:t>
            </w:r>
          </w:p>
        </w:tc>
      </w:tr>
      <w:tr w:rsidR="006E386B" w:rsidRPr="000C289F" w14:paraId="6C653182" w14:textId="77777777" w:rsidTr="006E386B">
        <w:trPr>
          <w:trHeight w:val="92"/>
        </w:trPr>
        <w:tc>
          <w:tcPr>
            <w:tcW w:w="1728" w:type="dxa"/>
          </w:tcPr>
          <w:p w14:paraId="6C65317C" w14:textId="77777777" w:rsidR="006E386B" w:rsidRPr="000C289F" w:rsidRDefault="006E386B" w:rsidP="006E386B">
            <w:r w:rsidRPr="000C289F">
              <w:t>XML</w:t>
            </w:r>
            <w:r w:rsidRPr="000C289F">
              <w:rPr>
                <w:b/>
                <w:vertAlign w:val="superscript"/>
              </w:rPr>
              <w:footnoteReference w:id="4"/>
            </w:r>
            <w:r w:rsidRPr="000C289F">
              <w:t xml:space="preserve"> filings</w:t>
            </w:r>
          </w:p>
        </w:tc>
        <w:tc>
          <w:tcPr>
            <w:tcW w:w="1800" w:type="dxa"/>
            <w:vAlign w:val="bottom"/>
          </w:tcPr>
          <w:p w14:paraId="6C65317D" w14:textId="77777777" w:rsidR="006E386B" w:rsidRPr="000C289F" w:rsidRDefault="006E386B" w:rsidP="006E386B">
            <w:pPr>
              <w:jc w:val="right"/>
            </w:pPr>
            <w:r w:rsidRPr="000C289F">
              <w:t>2</w:t>
            </w:r>
          </w:p>
        </w:tc>
        <w:tc>
          <w:tcPr>
            <w:tcW w:w="1620" w:type="dxa"/>
            <w:vAlign w:val="bottom"/>
          </w:tcPr>
          <w:p w14:paraId="6C65317E" w14:textId="77777777" w:rsidR="006E386B" w:rsidRPr="000C289F" w:rsidRDefault="006E386B" w:rsidP="006E386B">
            <w:pPr>
              <w:jc w:val="right"/>
            </w:pPr>
            <w:r w:rsidRPr="000C289F">
              <w:t>1</w:t>
            </w:r>
          </w:p>
        </w:tc>
        <w:tc>
          <w:tcPr>
            <w:tcW w:w="1638" w:type="dxa"/>
            <w:vAlign w:val="bottom"/>
          </w:tcPr>
          <w:p w14:paraId="6C65317F" w14:textId="77777777" w:rsidR="006E386B" w:rsidRPr="000C289F" w:rsidRDefault="006E386B" w:rsidP="006E386B">
            <w:pPr>
              <w:jc w:val="right"/>
            </w:pPr>
            <w:r w:rsidRPr="000C289F">
              <w:t>2</w:t>
            </w:r>
          </w:p>
        </w:tc>
        <w:tc>
          <w:tcPr>
            <w:tcW w:w="1422" w:type="dxa"/>
            <w:vAlign w:val="bottom"/>
          </w:tcPr>
          <w:p w14:paraId="6C653180" w14:textId="77777777" w:rsidR="006E386B" w:rsidRPr="000C289F" w:rsidRDefault="006E386B" w:rsidP="006E386B">
            <w:pPr>
              <w:jc w:val="right"/>
            </w:pPr>
            <w:r>
              <w:t>196</w:t>
            </w:r>
          </w:p>
        </w:tc>
        <w:tc>
          <w:tcPr>
            <w:tcW w:w="1368" w:type="dxa"/>
            <w:vAlign w:val="bottom"/>
          </w:tcPr>
          <w:p w14:paraId="6C653181" w14:textId="77777777" w:rsidR="006E386B" w:rsidRPr="000C289F" w:rsidRDefault="006E386B" w:rsidP="006E386B">
            <w:pPr>
              <w:jc w:val="right"/>
            </w:pPr>
            <w:r>
              <w:t>392</w:t>
            </w:r>
          </w:p>
        </w:tc>
      </w:tr>
      <w:tr w:rsidR="006E386B" w:rsidRPr="000C289F" w14:paraId="6C653184" w14:textId="77777777" w:rsidTr="006E386B">
        <w:trPr>
          <w:trHeight w:val="92"/>
        </w:trPr>
        <w:tc>
          <w:tcPr>
            <w:tcW w:w="9576" w:type="dxa"/>
            <w:gridSpan w:val="6"/>
            <w:shd w:val="clear" w:color="auto" w:fill="D9D9D9"/>
          </w:tcPr>
          <w:p w14:paraId="6C653183" w14:textId="77777777" w:rsidR="006E386B" w:rsidRPr="000C289F" w:rsidRDefault="006E386B" w:rsidP="006E386B">
            <w:pPr>
              <w:tabs>
                <w:tab w:val="left" w:pos="3945"/>
              </w:tabs>
              <w:jc w:val="center"/>
              <w:rPr>
                <w:b/>
              </w:rPr>
            </w:pPr>
            <w:r w:rsidRPr="000C289F">
              <w:rPr>
                <w:b/>
              </w:rPr>
              <w:t>Ongoing Burden</w:t>
            </w:r>
          </w:p>
        </w:tc>
      </w:tr>
      <w:tr w:rsidR="006E386B" w:rsidRPr="000C289F" w14:paraId="6C65318B" w14:textId="77777777" w:rsidTr="006E386B">
        <w:tc>
          <w:tcPr>
            <w:tcW w:w="1728" w:type="dxa"/>
          </w:tcPr>
          <w:p w14:paraId="6C653185" w14:textId="77777777" w:rsidR="006E386B" w:rsidRPr="000C289F" w:rsidRDefault="006E386B" w:rsidP="006E386B">
            <w:r w:rsidRPr="000C289F">
              <w:t>PDF filings</w:t>
            </w:r>
          </w:p>
        </w:tc>
        <w:tc>
          <w:tcPr>
            <w:tcW w:w="1800" w:type="dxa"/>
            <w:vAlign w:val="bottom"/>
          </w:tcPr>
          <w:p w14:paraId="6C653186" w14:textId="77777777" w:rsidR="006E386B" w:rsidRPr="000C289F" w:rsidRDefault="006E386B" w:rsidP="006E386B">
            <w:pPr>
              <w:jc w:val="right"/>
            </w:pPr>
            <w:r w:rsidRPr="000C289F">
              <w:t>76</w:t>
            </w:r>
          </w:p>
        </w:tc>
        <w:tc>
          <w:tcPr>
            <w:tcW w:w="1620" w:type="dxa"/>
            <w:vAlign w:val="bottom"/>
          </w:tcPr>
          <w:p w14:paraId="6C653187" w14:textId="77777777" w:rsidR="006E386B" w:rsidRPr="000C289F" w:rsidRDefault="006E386B" w:rsidP="006E386B">
            <w:pPr>
              <w:jc w:val="right"/>
            </w:pPr>
            <w:r w:rsidRPr="000C289F">
              <w:t>4</w:t>
            </w:r>
          </w:p>
        </w:tc>
        <w:tc>
          <w:tcPr>
            <w:tcW w:w="1638" w:type="dxa"/>
            <w:vAlign w:val="bottom"/>
          </w:tcPr>
          <w:p w14:paraId="6C653188" w14:textId="77777777" w:rsidR="006E386B" w:rsidRPr="000C289F" w:rsidRDefault="006E386B" w:rsidP="006E386B">
            <w:pPr>
              <w:jc w:val="right"/>
            </w:pPr>
            <w:r w:rsidRPr="000C289F">
              <w:t>304</w:t>
            </w:r>
          </w:p>
        </w:tc>
        <w:tc>
          <w:tcPr>
            <w:tcW w:w="1422" w:type="dxa"/>
            <w:vAlign w:val="bottom"/>
          </w:tcPr>
          <w:p w14:paraId="6C653189" w14:textId="77777777" w:rsidR="006E386B" w:rsidRPr="000C289F" w:rsidRDefault="006E386B" w:rsidP="006E386B">
            <w:pPr>
              <w:jc w:val="right"/>
            </w:pPr>
            <w:r w:rsidRPr="000C289F">
              <w:t>12.5</w:t>
            </w:r>
          </w:p>
        </w:tc>
        <w:tc>
          <w:tcPr>
            <w:tcW w:w="1368" w:type="dxa"/>
            <w:vAlign w:val="bottom"/>
          </w:tcPr>
          <w:p w14:paraId="6C65318A" w14:textId="77777777" w:rsidR="006E386B" w:rsidRPr="000C289F" w:rsidRDefault="006E386B" w:rsidP="006E386B">
            <w:pPr>
              <w:jc w:val="right"/>
            </w:pPr>
            <w:r w:rsidRPr="000C289F">
              <w:t>3,800</w:t>
            </w:r>
          </w:p>
        </w:tc>
      </w:tr>
      <w:tr w:rsidR="006E386B" w:rsidRPr="000C289F" w14:paraId="6C653192" w14:textId="77777777" w:rsidTr="006E386B">
        <w:tc>
          <w:tcPr>
            <w:tcW w:w="1728" w:type="dxa"/>
          </w:tcPr>
          <w:p w14:paraId="6C65318C" w14:textId="77777777" w:rsidR="006E386B" w:rsidRPr="000C289F" w:rsidRDefault="006E386B" w:rsidP="006E386B">
            <w:r w:rsidRPr="000C289F">
              <w:t>XML filings</w:t>
            </w:r>
          </w:p>
        </w:tc>
        <w:tc>
          <w:tcPr>
            <w:tcW w:w="1800" w:type="dxa"/>
            <w:vAlign w:val="bottom"/>
          </w:tcPr>
          <w:p w14:paraId="6C65318D" w14:textId="77777777" w:rsidR="006E386B" w:rsidRPr="000C289F" w:rsidRDefault="006E386B" w:rsidP="006E386B">
            <w:pPr>
              <w:jc w:val="right"/>
            </w:pPr>
            <w:r w:rsidRPr="000C289F">
              <w:t>33</w:t>
            </w:r>
          </w:p>
        </w:tc>
        <w:tc>
          <w:tcPr>
            <w:tcW w:w="1620" w:type="dxa"/>
            <w:vAlign w:val="bottom"/>
          </w:tcPr>
          <w:p w14:paraId="6C65318E" w14:textId="77777777" w:rsidR="006E386B" w:rsidRPr="000C289F" w:rsidRDefault="006E386B" w:rsidP="006E386B">
            <w:pPr>
              <w:jc w:val="right"/>
            </w:pPr>
            <w:r w:rsidRPr="000C289F">
              <w:t>4</w:t>
            </w:r>
          </w:p>
        </w:tc>
        <w:tc>
          <w:tcPr>
            <w:tcW w:w="1638" w:type="dxa"/>
            <w:vAlign w:val="bottom"/>
          </w:tcPr>
          <w:p w14:paraId="6C65318F" w14:textId="77777777" w:rsidR="006E386B" w:rsidRPr="000C289F" w:rsidRDefault="006E386B" w:rsidP="006E386B">
            <w:pPr>
              <w:jc w:val="right"/>
            </w:pPr>
            <w:r w:rsidRPr="000C289F">
              <w:t>132</w:t>
            </w:r>
          </w:p>
        </w:tc>
        <w:tc>
          <w:tcPr>
            <w:tcW w:w="1422" w:type="dxa"/>
            <w:vAlign w:val="bottom"/>
          </w:tcPr>
          <w:p w14:paraId="6C653190" w14:textId="77777777" w:rsidR="006E386B" w:rsidRPr="000C289F" w:rsidRDefault="006E386B" w:rsidP="006E386B">
            <w:pPr>
              <w:jc w:val="right"/>
            </w:pPr>
            <w:r w:rsidRPr="000C289F">
              <w:t>10</w:t>
            </w:r>
          </w:p>
        </w:tc>
        <w:tc>
          <w:tcPr>
            <w:tcW w:w="1368" w:type="dxa"/>
            <w:vAlign w:val="bottom"/>
          </w:tcPr>
          <w:p w14:paraId="6C653191" w14:textId="77777777" w:rsidR="006E386B" w:rsidRPr="000C289F" w:rsidRDefault="006E386B" w:rsidP="006E386B">
            <w:pPr>
              <w:jc w:val="right"/>
            </w:pPr>
            <w:r w:rsidRPr="000C289F">
              <w:t>1,320</w:t>
            </w:r>
          </w:p>
        </w:tc>
      </w:tr>
      <w:tr w:rsidR="006E386B" w:rsidRPr="000C289F" w14:paraId="6C653199" w14:textId="77777777" w:rsidTr="006E386B">
        <w:tc>
          <w:tcPr>
            <w:tcW w:w="1728" w:type="dxa"/>
          </w:tcPr>
          <w:p w14:paraId="6C653193" w14:textId="77777777" w:rsidR="006E386B" w:rsidRPr="000C289F" w:rsidRDefault="006E386B" w:rsidP="006E386B">
            <w:pPr>
              <w:rPr>
                <w:b/>
              </w:rPr>
            </w:pPr>
            <w:r w:rsidRPr="000C289F">
              <w:rPr>
                <w:b/>
              </w:rPr>
              <w:t>TOTAL</w:t>
            </w:r>
          </w:p>
        </w:tc>
        <w:tc>
          <w:tcPr>
            <w:tcW w:w="1800" w:type="dxa"/>
            <w:vAlign w:val="bottom"/>
          </w:tcPr>
          <w:p w14:paraId="6C653194" w14:textId="77777777" w:rsidR="006E386B" w:rsidRPr="000C289F" w:rsidRDefault="006E386B" w:rsidP="006E386B">
            <w:pPr>
              <w:jc w:val="right"/>
            </w:pPr>
            <w:r w:rsidRPr="000C289F">
              <w:t>109</w:t>
            </w:r>
            <w:r w:rsidRPr="000C289F">
              <w:rPr>
                <w:b/>
                <w:vertAlign w:val="superscript"/>
              </w:rPr>
              <w:footnoteReference w:id="5"/>
            </w:r>
          </w:p>
        </w:tc>
        <w:tc>
          <w:tcPr>
            <w:tcW w:w="1620" w:type="dxa"/>
            <w:shd w:val="clear" w:color="auto" w:fill="D9D9D9"/>
            <w:vAlign w:val="bottom"/>
          </w:tcPr>
          <w:p w14:paraId="6C653195" w14:textId="77777777" w:rsidR="006E386B" w:rsidRPr="000C289F" w:rsidRDefault="006E386B" w:rsidP="006E386B">
            <w:pPr>
              <w:jc w:val="right"/>
            </w:pPr>
          </w:p>
        </w:tc>
        <w:tc>
          <w:tcPr>
            <w:tcW w:w="1638" w:type="dxa"/>
            <w:vAlign w:val="bottom"/>
          </w:tcPr>
          <w:p w14:paraId="6C653196" w14:textId="10705F2F" w:rsidR="006E386B" w:rsidRPr="000C289F" w:rsidRDefault="0024153E" w:rsidP="006E386B">
            <w:pPr>
              <w:jc w:val="right"/>
            </w:pPr>
            <w:r>
              <w:t>441</w:t>
            </w:r>
          </w:p>
        </w:tc>
        <w:tc>
          <w:tcPr>
            <w:tcW w:w="1422" w:type="dxa"/>
            <w:shd w:val="clear" w:color="auto" w:fill="D9D9D9"/>
            <w:vAlign w:val="bottom"/>
          </w:tcPr>
          <w:p w14:paraId="6C653197" w14:textId="77777777" w:rsidR="006E386B" w:rsidRPr="000C289F" w:rsidRDefault="006E386B" w:rsidP="006E386B">
            <w:pPr>
              <w:jc w:val="right"/>
            </w:pPr>
          </w:p>
        </w:tc>
        <w:tc>
          <w:tcPr>
            <w:tcW w:w="1368" w:type="dxa"/>
            <w:vAlign w:val="bottom"/>
          </w:tcPr>
          <w:p w14:paraId="6C653198" w14:textId="77777777" w:rsidR="006E386B" w:rsidRPr="000C289F" w:rsidRDefault="006E386B" w:rsidP="006E386B">
            <w:pPr>
              <w:jc w:val="right"/>
            </w:pPr>
            <w:r>
              <w:t>5,716</w:t>
            </w:r>
          </w:p>
        </w:tc>
      </w:tr>
    </w:tbl>
    <w:p w14:paraId="6C65319A" w14:textId="77777777" w:rsidR="0080258C" w:rsidRPr="008A629A" w:rsidRDefault="0080258C" w:rsidP="00024937">
      <w:pPr>
        <w:spacing w:line="480" w:lineRule="auto"/>
        <w:rPr>
          <w:szCs w:val="26"/>
        </w:rPr>
      </w:pPr>
    </w:p>
    <w:p w14:paraId="6C65319B" w14:textId="111EECFA" w:rsidR="006E386B" w:rsidRDefault="006E386B" w:rsidP="006E386B">
      <w:pPr>
        <w:spacing w:line="480" w:lineRule="auto"/>
        <w:ind w:firstLine="720"/>
        <w:rPr>
          <w:szCs w:val="26"/>
        </w:rPr>
      </w:pPr>
      <w:r w:rsidRPr="006E386B">
        <w:rPr>
          <w:szCs w:val="26"/>
        </w:rPr>
        <w:t>The total estimated annual cost burden to respondents is $45</w:t>
      </w:r>
      <w:r w:rsidR="002179ED">
        <w:rPr>
          <w:szCs w:val="26"/>
        </w:rPr>
        <w:t>0,764 [5,</w:t>
      </w:r>
      <w:bookmarkStart w:id="0" w:name="_GoBack"/>
      <w:bookmarkEnd w:id="0"/>
      <w:r w:rsidR="002179ED">
        <w:rPr>
          <w:szCs w:val="26"/>
        </w:rPr>
        <w:t>716 hours $78.86/hour</w:t>
      </w:r>
      <w:r w:rsidR="0024153E" w:rsidRPr="000C289F">
        <w:rPr>
          <w:b/>
          <w:vertAlign w:val="superscript"/>
        </w:rPr>
        <w:footnoteReference w:id="6"/>
      </w:r>
      <w:r w:rsidR="002179ED">
        <w:rPr>
          <w:szCs w:val="26"/>
        </w:rPr>
        <w:t xml:space="preserve"> </w:t>
      </w:r>
      <w:r w:rsidRPr="006E386B">
        <w:rPr>
          <w:szCs w:val="26"/>
        </w:rPr>
        <w:t>= $450,764].</w:t>
      </w:r>
    </w:p>
    <w:p w14:paraId="6C65319C" w14:textId="77777777" w:rsidR="0080258C" w:rsidRPr="00024937" w:rsidRDefault="0080258C" w:rsidP="00D225FB">
      <w:pPr>
        <w:spacing w:line="480" w:lineRule="auto"/>
        <w:rPr>
          <w:szCs w:val="26"/>
        </w:rPr>
      </w:pPr>
      <w:r w:rsidRPr="008A629A">
        <w:rPr>
          <w:i/>
          <w:szCs w:val="26"/>
        </w:rPr>
        <w:t xml:space="preserve">Comments:  </w:t>
      </w:r>
      <w:r w:rsidRPr="008A629A">
        <w:rPr>
          <w:szCs w:val="26"/>
        </w:rPr>
        <w:t>Comments are invited on:  (1) whether the collection</w:t>
      </w:r>
      <w:r>
        <w:rPr>
          <w:szCs w:val="26"/>
        </w:rPr>
        <w:t>s</w:t>
      </w:r>
      <w:r w:rsidRPr="008A629A">
        <w:rPr>
          <w:szCs w:val="26"/>
        </w:rPr>
        <w:t xml:space="preserve"> of information </w:t>
      </w:r>
      <w:r>
        <w:rPr>
          <w:szCs w:val="26"/>
        </w:rPr>
        <w:t>are</w:t>
      </w:r>
      <w:r w:rsidRPr="008A629A">
        <w:rPr>
          <w:szCs w:val="26"/>
        </w:rPr>
        <w:t xml:space="preserve"> necessary for the proper performance of the functions of the Commission, including whether the information will have practical utility; (2) the accuracy of the agency's estimate of the burden and cost of the collection</w:t>
      </w:r>
      <w:r>
        <w:rPr>
          <w:szCs w:val="26"/>
        </w:rPr>
        <w:t>s</w:t>
      </w:r>
      <w:r w:rsidRPr="008A629A">
        <w:rPr>
          <w:szCs w:val="26"/>
        </w:rPr>
        <w:t xml:space="preserve"> of information, including the validity of the methodology and assumptions used; (3) ways to enhance the quality, utility and clarity of the information collection</w:t>
      </w:r>
      <w:r>
        <w:rPr>
          <w:szCs w:val="26"/>
        </w:rPr>
        <w:t>s</w:t>
      </w:r>
      <w:r w:rsidRPr="008A629A">
        <w:rPr>
          <w:szCs w:val="26"/>
        </w:rPr>
        <w:t>; and (4) ways to minimize the burden of the collection</w:t>
      </w:r>
      <w:r>
        <w:rPr>
          <w:szCs w:val="26"/>
        </w:rPr>
        <w:t>s</w:t>
      </w:r>
      <w:r w:rsidRPr="008A629A">
        <w:rPr>
          <w:szCs w:val="26"/>
        </w:rPr>
        <w:t xml:space="preserve"> of information on those who are to respond, including the use of automated collection techniques or other for</w:t>
      </w:r>
      <w:r>
        <w:rPr>
          <w:szCs w:val="26"/>
        </w:rPr>
        <w:t xml:space="preserve">ms of information technology.  </w:t>
      </w:r>
    </w:p>
    <w:p w14:paraId="6C65319D" w14:textId="77777777" w:rsidR="0080258C" w:rsidRDefault="0080258C" w:rsidP="001C75B2"/>
    <w:p w14:paraId="6C65319E" w14:textId="77777777" w:rsidR="0080258C" w:rsidRDefault="0080258C" w:rsidP="001C75B2"/>
    <w:p w14:paraId="6C65319F" w14:textId="77777777" w:rsidR="0080258C" w:rsidRDefault="0080258C" w:rsidP="001C75B2"/>
    <w:p w14:paraId="6C6531A0" w14:textId="77777777" w:rsidR="0080258C" w:rsidRDefault="0080258C" w:rsidP="00F04F4C">
      <w:pPr>
        <w:jc w:val="center"/>
      </w:pPr>
      <w:r w:rsidRPr="00024937">
        <w:t>Kimberly D. Bose,</w:t>
      </w:r>
    </w:p>
    <w:p w14:paraId="6C6531A1" w14:textId="77777777" w:rsidR="0080258C" w:rsidRDefault="0080258C" w:rsidP="0096632C">
      <w:pPr>
        <w:jc w:val="center"/>
      </w:pPr>
      <w:r>
        <w:t>Secretary.</w:t>
      </w:r>
    </w:p>
    <w:sectPr w:rsidR="0080258C"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531A4" w14:textId="77777777" w:rsidR="00294199" w:rsidRDefault="00294199">
      <w:r>
        <w:separator/>
      </w:r>
    </w:p>
  </w:endnote>
  <w:endnote w:type="continuationSeparator" w:id="0">
    <w:p w14:paraId="6C6531A5" w14:textId="77777777" w:rsidR="00294199" w:rsidRDefault="0029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531A2" w14:textId="77777777" w:rsidR="00294199" w:rsidRDefault="00294199">
      <w:r>
        <w:separator/>
      </w:r>
    </w:p>
  </w:footnote>
  <w:footnote w:type="continuationSeparator" w:id="0">
    <w:p w14:paraId="6C6531A3" w14:textId="77777777" w:rsidR="00294199" w:rsidRDefault="00294199">
      <w:r>
        <w:continuationSeparator/>
      </w:r>
    </w:p>
  </w:footnote>
  <w:footnote w:id="1">
    <w:p w14:paraId="6C6531AA" w14:textId="77777777" w:rsidR="00294199" w:rsidRPr="00401FD2" w:rsidRDefault="00294199" w:rsidP="006E386B">
      <w:pPr>
        <w:pStyle w:val="FootnoteText"/>
        <w:rPr>
          <w:sz w:val="20"/>
        </w:rPr>
      </w:pPr>
      <w:r w:rsidRPr="00401FD2">
        <w:rPr>
          <w:rStyle w:val="FootnoteReference"/>
          <w:sz w:val="20"/>
        </w:rPr>
        <w:footnoteRef/>
      </w:r>
      <w:r w:rsidRPr="00401FD2">
        <w:rPr>
          <w:sz w:val="20"/>
        </w:rPr>
        <w:t xml:space="preserve"> 15 USC. 717-817-w</w:t>
      </w:r>
    </w:p>
  </w:footnote>
  <w:footnote w:id="2">
    <w:p w14:paraId="6C6531AB" w14:textId="77777777" w:rsidR="00294199" w:rsidRPr="00401FD2" w:rsidRDefault="00294199" w:rsidP="006E386B">
      <w:pPr>
        <w:pStyle w:val="FootnoteText"/>
        <w:rPr>
          <w:sz w:val="20"/>
        </w:rPr>
      </w:pPr>
      <w:r w:rsidRPr="00401FD2">
        <w:rPr>
          <w:rStyle w:val="FootnoteReference"/>
          <w:sz w:val="20"/>
        </w:rPr>
        <w:footnoteRef/>
      </w:r>
      <w:r w:rsidRPr="00401FD2">
        <w:rPr>
          <w:sz w:val="20"/>
        </w:rPr>
        <w:t xml:space="preserve"> 15 USC. 3301-3432</w:t>
      </w:r>
    </w:p>
  </w:footnote>
  <w:footnote w:id="3">
    <w:p w14:paraId="6C6531AC" w14:textId="77777777" w:rsidR="00294199" w:rsidRPr="008900EB" w:rsidRDefault="00294199" w:rsidP="00024937">
      <w:pPr>
        <w:pStyle w:val="FootnoteText"/>
        <w:rPr>
          <w:sz w:val="20"/>
        </w:rPr>
      </w:pPr>
      <w:r w:rsidRPr="008A629A">
        <w:rPr>
          <w:rStyle w:val="FootnoteReference"/>
          <w:sz w:val="20"/>
        </w:rPr>
        <w:footnoteRef/>
      </w:r>
      <w:r w:rsidRPr="008A629A">
        <w:rPr>
          <w:sz w:val="20"/>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r>
        <w:rPr>
          <w:sz w:val="20"/>
        </w:rPr>
        <w:t xml:space="preserve">  </w:t>
      </w:r>
    </w:p>
  </w:footnote>
  <w:footnote w:id="4">
    <w:p w14:paraId="6C6531AD" w14:textId="77777777" w:rsidR="00294199" w:rsidRPr="003A5158" w:rsidRDefault="00294199" w:rsidP="006E386B">
      <w:pPr>
        <w:pStyle w:val="FootnoteText"/>
      </w:pPr>
      <w:r w:rsidRPr="003A5158">
        <w:rPr>
          <w:rStyle w:val="FootnoteReference"/>
          <w:szCs w:val="26"/>
        </w:rPr>
        <w:footnoteRef/>
      </w:r>
      <w:r w:rsidRPr="003A5158">
        <w:t xml:space="preserve"> Extensible Markup Language (XML)</w:t>
      </w:r>
    </w:p>
  </w:footnote>
  <w:footnote w:id="5">
    <w:p w14:paraId="6C6531AE" w14:textId="77777777" w:rsidR="00294199" w:rsidRPr="003A5158" w:rsidRDefault="00294199" w:rsidP="006E386B">
      <w:pPr>
        <w:pStyle w:val="FootnoteText"/>
      </w:pPr>
      <w:r w:rsidRPr="003A5158">
        <w:rPr>
          <w:rStyle w:val="FootnoteReference"/>
          <w:szCs w:val="26"/>
        </w:rPr>
        <w:footnoteRef/>
      </w:r>
      <w:r w:rsidRPr="003A5158">
        <w:t xml:space="preserve"> This figure does not include the five respondents for the “Implementation Burden”.</w:t>
      </w:r>
    </w:p>
  </w:footnote>
  <w:footnote w:id="6">
    <w:p w14:paraId="6A75ED0A" w14:textId="77777777" w:rsidR="0024153E" w:rsidRPr="003A5158" w:rsidRDefault="0024153E" w:rsidP="0024153E">
      <w:pPr>
        <w:pStyle w:val="FootnoteText"/>
      </w:pPr>
      <w:r w:rsidRPr="003A5158">
        <w:rPr>
          <w:rStyle w:val="FootnoteReference"/>
          <w:szCs w:val="26"/>
        </w:rPr>
        <w:footnoteRef/>
      </w:r>
      <w:r w:rsidRPr="003A5158">
        <w:t xml:space="preserve"> This cost represents the average cost of four career fields: Legal ($128.02/hour), Accountants ($48.58/hour), Management Analyst ($56.27/hour), and Computer and Information ($82.67/hour); this cost also includes benefit costs within the hourly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31A6" w14:textId="77777777" w:rsidR="00294199" w:rsidRDefault="00294199"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531A7" w14:textId="77777777" w:rsidR="00294199" w:rsidRDefault="00294199"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31A8" w14:textId="77777777" w:rsidR="00294199" w:rsidRDefault="00294199"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53E">
      <w:rPr>
        <w:rStyle w:val="PageNumber"/>
        <w:noProof/>
      </w:rPr>
      <w:t>6</w:t>
    </w:r>
    <w:r>
      <w:rPr>
        <w:rStyle w:val="PageNumber"/>
      </w:rPr>
      <w:fldChar w:fldCharType="end"/>
    </w:r>
  </w:p>
  <w:p w14:paraId="6C6531A9" w14:textId="77777777" w:rsidR="00294199" w:rsidRDefault="00294199" w:rsidP="0096632C">
    <w:pPr>
      <w:pStyle w:val="Header"/>
      <w:ind w:right="360"/>
    </w:pPr>
    <w:r>
      <w:t>Docket No. IC14-3</w:t>
    </w:r>
    <w:r w:rsidRPr="00024937">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2"/>
    <w:rsid w:val="0000007C"/>
    <w:rsid w:val="0000305D"/>
    <w:rsid w:val="00004D97"/>
    <w:rsid w:val="00006D4B"/>
    <w:rsid w:val="00011BBD"/>
    <w:rsid w:val="00014E36"/>
    <w:rsid w:val="00024937"/>
    <w:rsid w:val="000253DB"/>
    <w:rsid w:val="00036FEC"/>
    <w:rsid w:val="00041471"/>
    <w:rsid w:val="00043468"/>
    <w:rsid w:val="000436E9"/>
    <w:rsid w:val="0006335A"/>
    <w:rsid w:val="00072256"/>
    <w:rsid w:val="00072448"/>
    <w:rsid w:val="00080D5F"/>
    <w:rsid w:val="000838BE"/>
    <w:rsid w:val="000854B7"/>
    <w:rsid w:val="00087B77"/>
    <w:rsid w:val="00093E92"/>
    <w:rsid w:val="00095258"/>
    <w:rsid w:val="000A27CA"/>
    <w:rsid w:val="000A5308"/>
    <w:rsid w:val="000B2CCB"/>
    <w:rsid w:val="000B723A"/>
    <w:rsid w:val="000C56A4"/>
    <w:rsid w:val="000D3639"/>
    <w:rsid w:val="000D5216"/>
    <w:rsid w:val="000F3E00"/>
    <w:rsid w:val="00103D50"/>
    <w:rsid w:val="00114B14"/>
    <w:rsid w:val="00121C3B"/>
    <w:rsid w:val="001240FD"/>
    <w:rsid w:val="00125F00"/>
    <w:rsid w:val="001406B5"/>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3703"/>
    <w:rsid w:val="001C4D3A"/>
    <w:rsid w:val="001C5D46"/>
    <w:rsid w:val="001C75B2"/>
    <w:rsid w:val="001E3ECE"/>
    <w:rsid w:val="001E69DB"/>
    <w:rsid w:val="001F0B06"/>
    <w:rsid w:val="001F2664"/>
    <w:rsid w:val="001F47CB"/>
    <w:rsid w:val="00204D0F"/>
    <w:rsid w:val="002179ED"/>
    <w:rsid w:val="002265E9"/>
    <w:rsid w:val="00241101"/>
    <w:rsid w:val="0024153E"/>
    <w:rsid w:val="00250709"/>
    <w:rsid w:val="002513E1"/>
    <w:rsid w:val="00252CD0"/>
    <w:rsid w:val="002677D6"/>
    <w:rsid w:val="00285E62"/>
    <w:rsid w:val="0028677A"/>
    <w:rsid w:val="00294199"/>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2A6B"/>
    <w:rsid w:val="00366669"/>
    <w:rsid w:val="00370763"/>
    <w:rsid w:val="00374409"/>
    <w:rsid w:val="00381700"/>
    <w:rsid w:val="003820D6"/>
    <w:rsid w:val="00386BED"/>
    <w:rsid w:val="003A1D7A"/>
    <w:rsid w:val="003C1644"/>
    <w:rsid w:val="003C1F91"/>
    <w:rsid w:val="003D318B"/>
    <w:rsid w:val="003D6813"/>
    <w:rsid w:val="003F32A9"/>
    <w:rsid w:val="00414715"/>
    <w:rsid w:val="004230B0"/>
    <w:rsid w:val="00423C49"/>
    <w:rsid w:val="004250C4"/>
    <w:rsid w:val="0042520A"/>
    <w:rsid w:val="0042785C"/>
    <w:rsid w:val="00432C41"/>
    <w:rsid w:val="0044362C"/>
    <w:rsid w:val="00445DDF"/>
    <w:rsid w:val="00453F74"/>
    <w:rsid w:val="00455A33"/>
    <w:rsid w:val="00470106"/>
    <w:rsid w:val="004721F3"/>
    <w:rsid w:val="0047321C"/>
    <w:rsid w:val="004757BF"/>
    <w:rsid w:val="004855F2"/>
    <w:rsid w:val="00487256"/>
    <w:rsid w:val="00490E50"/>
    <w:rsid w:val="00497C19"/>
    <w:rsid w:val="004A51DF"/>
    <w:rsid w:val="004A6E59"/>
    <w:rsid w:val="004B58B3"/>
    <w:rsid w:val="004C3BB0"/>
    <w:rsid w:val="004D1EE5"/>
    <w:rsid w:val="004D2A76"/>
    <w:rsid w:val="004D4CD3"/>
    <w:rsid w:val="004D53C3"/>
    <w:rsid w:val="004D778A"/>
    <w:rsid w:val="004F3E67"/>
    <w:rsid w:val="005021B3"/>
    <w:rsid w:val="0050437A"/>
    <w:rsid w:val="00515CA5"/>
    <w:rsid w:val="00517B18"/>
    <w:rsid w:val="00524B22"/>
    <w:rsid w:val="0053019B"/>
    <w:rsid w:val="00530BB4"/>
    <w:rsid w:val="005320C7"/>
    <w:rsid w:val="00534B97"/>
    <w:rsid w:val="0054477B"/>
    <w:rsid w:val="00551B13"/>
    <w:rsid w:val="005521E7"/>
    <w:rsid w:val="00556AC8"/>
    <w:rsid w:val="005665D1"/>
    <w:rsid w:val="0057675D"/>
    <w:rsid w:val="0058734A"/>
    <w:rsid w:val="005916D2"/>
    <w:rsid w:val="00592AD7"/>
    <w:rsid w:val="00594550"/>
    <w:rsid w:val="005953A4"/>
    <w:rsid w:val="005A02C5"/>
    <w:rsid w:val="005A6D8E"/>
    <w:rsid w:val="005B0E46"/>
    <w:rsid w:val="005C1467"/>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4D89"/>
    <w:rsid w:val="006B4821"/>
    <w:rsid w:val="006C57B1"/>
    <w:rsid w:val="006D4F8F"/>
    <w:rsid w:val="006D549E"/>
    <w:rsid w:val="006E386B"/>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3656A"/>
    <w:rsid w:val="00763AC8"/>
    <w:rsid w:val="00764A91"/>
    <w:rsid w:val="0076589D"/>
    <w:rsid w:val="00766823"/>
    <w:rsid w:val="007726D7"/>
    <w:rsid w:val="00773856"/>
    <w:rsid w:val="00775D65"/>
    <w:rsid w:val="0078241C"/>
    <w:rsid w:val="007957B9"/>
    <w:rsid w:val="007A46B4"/>
    <w:rsid w:val="007A5C4A"/>
    <w:rsid w:val="007B03E0"/>
    <w:rsid w:val="007C0574"/>
    <w:rsid w:val="007D1741"/>
    <w:rsid w:val="007D2400"/>
    <w:rsid w:val="007D4A4A"/>
    <w:rsid w:val="007E52AC"/>
    <w:rsid w:val="007E6973"/>
    <w:rsid w:val="007E699A"/>
    <w:rsid w:val="007E7573"/>
    <w:rsid w:val="007F0323"/>
    <w:rsid w:val="007F4F94"/>
    <w:rsid w:val="007F7E3C"/>
    <w:rsid w:val="008024B2"/>
    <w:rsid w:val="0080258C"/>
    <w:rsid w:val="00804E53"/>
    <w:rsid w:val="00822C8E"/>
    <w:rsid w:val="00827DA2"/>
    <w:rsid w:val="0083270A"/>
    <w:rsid w:val="00834B9E"/>
    <w:rsid w:val="00841CCE"/>
    <w:rsid w:val="00852671"/>
    <w:rsid w:val="00855434"/>
    <w:rsid w:val="0085560E"/>
    <w:rsid w:val="008647BA"/>
    <w:rsid w:val="00865E72"/>
    <w:rsid w:val="00866BB4"/>
    <w:rsid w:val="0087254C"/>
    <w:rsid w:val="008814F7"/>
    <w:rsid w:val="008900EB"/>
    <w:rsid w:val="00891E91"/>
    <w:rsid w:val="00893FB3"/>
    <w:rsid w:val="008956A4"/>
    <w:rsid w:val="008A629A"/>
    <w:rsid w:val="008B5814"/>
    <w:rsid w:val="008D7DF2"/>
    <w:rsid w:val="008E4CB7"/>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0C49"/>
    <w:rsid w:val="009B7DFA"/>
    <w:rsid w:val="009E030D"/>
    <w:rsid w:val="009E08A0"/>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4B59"/>
    <w:rsid w:val="00AA7819"/>
    <w:rsid w:val="00AB0A99"/>
    <w:rsid w:val="00AB20D8"/>
    <w:rsid w:val="00AB58C3"/>
    <w:rsid w:val="00AC4CC5"/>
    <w:rsid w:val="00AC7480"/>
    <w:rsid w:val="00AE0995"/>
    <w:rsid w:val="00AF06CA"/>
    <w:rsid w:val="00AF4F93"/>
    <w:rsid w:val="00B018B9"/>
    <w:rsid w:val="00B07FA5"/>
    <w:rsid w:val="00B2244D"/>
    <w:rsid w:val="00B3254F"/>
    <w:rsid w:val="00B33628"/>
    <w:rsid w:val="00B337D1"/>
    <w:rsid w:val="00B4431A"/>
    <w:rsid w:val="00B460AF"/>
    <w:rsid w:val="00B62B35"/>
    <w:rsid w:val="00B710EA"/>
    <w:rsid w:val="00B75595"/>
    <w:rsid w:val="00B806DB"/>
    <w:rsid w:val="00B80AD5"/>
    <w:rsid w:val="00B81BC5"/>
    <w:rsid w:val="00B835C5"/>
    <w:rsid w:val="00B87F46"/>
    <w:rsid w:val="00B97BC8"/>
    <w:rsid w:val="00BB0F77"/>
    <w:rsid w:val="00BB1C54"/>
    <w:rsid w:val="00BC1B93"/>
    <w:rsid w:val="00BD0A6B"/>
    <w:rsid w:val="00BD15D4"/>
    <w:rsid w:val="00BE2716"/>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5287B"/>
    <w:rsid w:val="00C56AD9"/>
    <w:rsid w:val="00C63FEE"/>
    <w:rsid w:val="00C70D6C"/>
    <w:rsid w:val="00C71A52"/>
    <w:rsid w:val="00C71F08"/>
    <w:rsid w:val="00C856C1"/>
    <w:rsid w:val="00C936A0"/>
    <w:rsid w:val="00C950B8"/>
    <w:rsid w:val="00C9728E"/>
    <w:rsid w:val="00CA5395"/>
    <w:rsid w:val="00CA582B"/>
    <w:rsid w:val="00CA5D25"/>
    <w:rsid w:val="00CB02AE"/>
    <w:rsid w:val="00CB10EF"/>
    <w:rsid w:val="00CB71D8"/>
    <w:rsid w:val="00CC084C"/>
    <w:rsid w:val="00CC2DF1"/>
    <w:rsid w:val="00CC312A"/>
    <w:rsid w:val="00CC74B4"/>
    <w:rsid w:val="00CD31E5"/>
    <w:rsid w:val="00CE0EF2"/>
    <w:rsid w:val="00CE6984"/>
    <w:rsid w:val="00CF0A7E"/>
    <w:rsid w:val="00CF5B9A"/>
    <w:rsid w:val="00D02D61"/>
    <w:rsid w:val="00D2164C"/>
    <w:rsid w:val="00D225FB"/>
    <w:rsid w:val="00D2359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C2225"/>
    <w:rsid w:val="00DC6B7A"/>
    <w:rsid w:val="00DD02E8"/>
    <w:rsid w:val="00DD3E84"/>
    <w:rsid w:val="00DF281F"/>
    <w:rsid w:val="00DF3DC8"/>
    <w:rsid w:val="00DF57D1"/>
    <w:rsid w:val="00E027CE"/>
    <w:rsid w:val="00E07091"/>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4BC"/>
    <w:rsid w:val="00E6573E"/>
    <w:rsid w:val="00E92ACF"/>
    <w:rsid w:val="00E94542"/>
    <w:rsid w:val="00E9701C"/>
    <w:rsid w:val="00EA07A3"/>
    <w:rsid w:val="00EA26F9"/>
    <w:rsid w:val="00EA3F0A"/>
    <w:rsid w:val="00EA4BD0"/>
    <w:rsid w:val="00EA5739"/>
    <w:rsid w:val="00EB6628"/>
    <w:rsid w:val="00EB6EE6"/>
    <w:rsid w:val="00EC22C6"/>
    <w:rsid w:val="00EC4610"/>
    <w:rsid w:val="00EC7372"/>
    <w:rsid w:val="00EE4F64"/>
    <w:rsid w:val="00EE5F32"/>
    <w:rsid w:val="00EF0C6C"/>
    <w:rsid w:val="00EF6710"/>
    <w:rsid w:val="00F02B46"/>
    <w:rsid w:val="00F04F4C"/>
    <w:rsid w:val="00F04F98"/>
    <w:rsid w:val="00F05061"/>
    <w:rsid w:val="00F133AE"/>
    <w:rsid w:val="00F137D5"/>
    <w:rsid w:val="00F15EB8"/>
    <w:rsid w:val="00F168B6"/>
    <w:rsid w:val="00F17D46"/>
    <w:rsid w:val="00F2283B"/>
    <w:rsid w:val="00F239CB"/>
    <w:rsid w:val="00F252DC"/>
    <w:rsid w:val="00F31331"/>
    <w:rsid w:val="00F31816"/>
    <w:rsid w:val="00F33CC9"/>
    <w:rsid w:val="00F34211"/>
    <w:rsid w:val="00F4212C"/>
    <w:rsid w:val="00F500B7"/>
    <w:rsid w:val="00F567F0"/>
    <w:rsid w:val="00F619B0"/>
    <w:rsid w:val="00F62C6E"/>
    <w:rsid w:val="00F63C6E"/>
    <w:rsid w:val="00F72A15"/>
    <w:rsid w:val="00F730F8"/>
    <w:rsid w:val="00F732CA"/>
    <w:rsid w:val="00F75289"/>
    <w:rsid w:val="00F80272"/>
    <w:rsid w:val="00F9366C"/>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65313D"/>
  <w15:docId w15:val="{2A781D17-7791-4C07-A361-B2B1E529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uiPriority w:val="99"/>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iPriority w:val="99"/>
    <w:rsid w:val="00487256"/>
    <w:rPr>
      <w:rFonts w:ascii="Times New Roman" w:hAnsi="Times New Roman" w:cs="Times New Roman"/>
      <w:b/>
      <w:sz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
    <w:basedOn w:val="Normal"/>
    <w:link w:val="FootnoteTextChar"/>
    <w:uiPriority w:val="99"/>
    <w:rsid w:val="00C0217E"/>
    <w:rPr>
      <w:sz w:val="22"/>
      <w:szCs w:val="20"/>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ft Char1"/>
    <w:basedOn w:val="DefaultParagraphFont"/>
    <w:link w:val="FootnoteText"/>
    <w:locked/>
    <w:rsid w:val="009A6D11"/>
    <w:rPr>
      <w:sz w:val="22"/>
    </w:rPr>
  </w:style>
  <w:style w:type="paragraph" w:styleId="Header">
    <w:name w:val="header"/>
    <w:basedOn w:val="Normal"/>
    <w:link w:val="HeaderChar"/>
    <w:uiPriority w:val="99"/>
    <w:rsid w:val="0096632C"/>
    <w:pPr>
      <w:tabs>
        <w:tab w:val="center" w:pos="4320"/>
        <w:tab w:val="right" w:pos="8640"/>
      </w:tabs>
    </w:pPr>
  </w:style>
  <w:style w:type="character" w:customStyle="1" w:styleId="HeaderChar">
    <w:name w:val="Header Char"/>
    <w:basedOn w:val="DefaultParagraphFont"/>
    <w:link w:val="Header"/>
    <w:uiPriority w:val="99"/>
    <w:semiHidden/>
    <w:rsid w:val="00A404D9"/>
    <w:rPr>
      <w:sz w:val="26"/>
      <w:szCs w:val="24"/>
    </w:rPr>
  </w:style>
  <w:style w:type="character" w:styleId="PageNumber">
    <w:name w:val="page number"/>
    <w:basedOn w:val="DefaultParagraphFont"/>
    <w:uiPriority w:val="99"/>
    <w:rsid w:val="0096632C"/>
    <w:rPr>
      <w:rFonts w:cs="Times New Roman"/>
    </w:rPr>
  </w:style>
  <w:style w:type="paragraph" w:styleId="Footer">
    <w:name w:val="footer"/>
    <w:basedOn w:val="Normal"/>
    <w:link w:val="FooterChar"/>
    <w:uiPriority w:val="99"/>
    <w:rsid w:val="00E57FC8"/>
    <w:pPr>
      <w:tabs>
        <w:tab w:val="center" w:pos="4320"/>
        <w:tab w:val="right" w:pos="8640"/>
      </w:tabs>
    </w:pPr>
  </w:style>
  <w:style w:type="character" w:customStyle="1" w:styleId="FooterChar">
    <w:name w:val="Footer Char"/>
    <w:basedOn w:val="DefaultParagraphFont"/>
    <w:link w:val="Footer"/>
    <w:uiPriority w:val="99"/>
    <w:semiHidden/>
    <w:rsid w:val="00A404D9"/>
    <w:rPr>
      <w:sz w:val="26"/>
      <w:szCs w:val="24"/>
    </w:rPr>
  </w:style>
  <w:style w:type="character" w:styleId="Hyperlink">
    <w:name w:val="Hyperlink"/>
    <w:basedOn w:val="DefaultParagraphFont"/>
    <w:uiPriority w:val="99"/>
    <w:rsid w:val="00822C8E"/>
    <w:rPr>
      <w:rFonts w:cs="Times New Roman"/>
      <w:color w:val="0000FF"/>
      <w:u w:val="single"/>
    </w:rPr>
  </w:style>
  <w:style w:type="character" w:styleId="FollowedHyperlink">
    <w:name w:val="FollowedHyperlink"/>
    <w:basedOn w:val="DefaultParagraphFont"/>
    <w:uiPriority w:val="99"/>
    <w:rsid w:val="00FB1597"/>
    <w:rPr>
      <w:rFonts w:cs="Times New Roman"/>
      <w:color w:val="800080"/>
      <w:u w:val="single"/>
    </w:rPr>
  </w:style>
  <w:style w:type="paragraph" w:styleId="BalloonText">
    <w:name w:val="Balloon Text"/>
    <w:basedOn w:val="Normal"/>
    <w:link w:val="BalloonTextChar"/>
    <w:uiPriority w:val="99"/>
    <w:semiHidden/>
    <w:rsid w:val="00121C3B"/>
    <w:rPr>
      <w:rFonts w:ascii="Tahoma" w:hAnsi="Tahoma" w:cs="Tahoma"/>
      <w:sz w:val="16"/>
      <w:szCs w:val="16"/>
    </w:rPr>
  </w:style>
  <w:style w:type="character" w:customStyle="1" w:styleId="BalloonTextChar">
    <w:name w:val="Balloon Text Char"/>
    <w:basedOn w:val="DefaultParagraphFont"/>
    <w:link w:val="BalloonText"/>
    <w:uiPriority w:val="99"/>
    <w:semiHidden/>
    <w:rsid w:val="00A404D9"/>
    <w:rPr>
      <w:sz w:val="0"/>
      <w:szCs w:val="0"/>
    </w:rPr>
  </w:style>
  <w:style w:type="character" w:styleId="CommentReference">
    <w:name w:val="annotation reference"/>
    <w:basedOn w:val="DefaultParagraphFont"/>
    <w:uiPriority w:val="99"/>
    <w:semiHidden/>
    <w:rsid w:val="00F168B6"/>
    <w:rPr>
      <w:rFonts w:cs="Times New Roman"/>
      <w:sz w:val="16"/>
    </w:rPr>
  </w:style>
  <w:style w:type="paragraph" w:styleId="CommentText">
    <w:name w:val="annotation text"/>
    <w:basedOn w:val="Normal"/>
    <w:link w:val="CommentTextChar"/>
    <w:uiPriority w:val="99"/>
    <w:semiHidden/>
    <w:rsid w:val="00F168B6"/>
    <w:rPr>
      <w:sz w:val="20"/>
      <w:szCs w:val="20"/>
    </w:rPr>
  </w:style>
  <w:style w:type="character" w:customStyle="1" w:styleId="CommentTextChar">
    <w:name w:val="Comment Text Char"/>
    <w:basedOn w:val="DefaultParagraphFont"/>
    <w:link w:val="CommentText"/>
    <w:uiPriority w:val="99"/>
    <w:semiHidden/>
    <w:rsid w:val="00A404D9"/>
    <w:rPr>
      <w:sz w:val="20"/>
      <w:szCs w:val="20"/>
    </w:rPr>
  </w:style>
  <w:style w:type="paragraph" w:styleId="CommentSubject">
    <w:name w:val="annotation subject"/>
    <w:basedOn w:val="CommentText"/>
    <w:next w:val="CommentText"/>
    <w:link w:val="CommentSubjectChar"/>
    <w:uiPriority w:val="99"/>
    <w:semiHidden/>
    <w:rsid w:val="00F168B6"/>
    <w:rPr>
      <w:b/>
      <w:bCs/>
    </w:rPr>
  </w:style>
  <w:style w:type="character" w:customStyle="1" w:styleId="CommentSubjectChar">
    <w:name w:val="Comment Subject Char"/>
    <w:basedOn w:val="CommentTextChar"/>
    <w:link w:val="CommentSubject"/>
    <w:uiPriority w:val="99"/>
    <w:semiHidden/>
    <w:rsid w:val="00A404D9"/>
    <w:rPr>
      <w:b/>
      <w:bCs/>
      <w:sz w:val="20"/>
      <w:szCs w:val="20"/>
    </w:rPr>
  </w:style>
  <w:style w:type="table" w:styleId="TableGrid">
    <w:name w:val="Table Grid"/>
    <w:basedOn w:val="TableNormal"/>
    <w:uiPriority w:val="99"/>
    <w:rsid w:val="004757BF"/>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uiPriority w:val="99"/>
    <w:rsid w:val="002E3314"/>
    <w:pPr>
      <w:numPr>
        <w:numId w:val="4"/>
      </w:numPr>
      <w:spacing w:after="120" w:line="480" w:lineRule="auto"/>
    </w:pPr>
  </w:style>
  <w:style w:type="paragraph" w:customStyle="1" w:styleId="LegalFormat">
    <w:name w:val="Legal Format"/>
    <w:basedOn w:val="ListContinue"/>
    <w:uiPriority w:val="99"/>
    <w:rsid w:val="002E3314"/>
    <w:pPr>
      <w:spacing w:after="0"/>
      <w:ind w:left="0"/>
    </w:pPr>
    <w:rPr>
      <w:u w:val="single"/>
    </w:rPr>
  </w:style>
  <w:style w:type="paragraph" w:styleId="NormalWeb">
    <w:name w:val="Normal (Web)"/>
    <w:basedOn w:val="Normal"/>
    <w:uiPriority w:val="99"/>
    <w:rsid w:val="002513E1"/>
    <w:pPr>
      <w:spacing w:before="100" w:beforeAutospacing="1" w:after="100" w:afterAutospacing="1"/>
    </w:pPr>
    <w:rPr>
      <w:sz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uiPriority w:val="99"/>
    <w:rsid w:val="006E386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48941">
      <w:marLeft w:val="0"/>
      <w:marRight w:val="0"/>
      <w:marTop w:val="0"/>
      <w:marBottom w:val="0"/>
      <w:divBdr>
        <w:top w:val="none" w:sz="0" w:space="0" w:color="auto"/>
        <w:left w:val="none" w:sz="0" w:space="0" w:color="auto"/>
        <w:bottom w:val="none" w:sz="0" w:space="0" w:color="auto"/>
        <w:right w:val="none" w:sz="0" w:space="0" w:color="auto"/>
      </w:divBdr>
    </w:div>
    <w:div w:id="391848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ira_submission@omb.gov" TargetMode="External"/><Relationship Id="rId17" Type="http://schemas.openxmlformats.org/officeDocument/2006/relationships/hyperlink" Target="http://www.ferc.gov/docs-filing/forms.asp" TargetMode="Externa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newal_x0020_Document_x0020_Type xmlns="d6eefc7d-9817-4fa6-84d5-3bc009be21b8">Other</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549D</_x0031__x002e__x0020_Collection_x0020_Number>
    <Date xmlns="d6eefc7d-9817-4fa6-84d5-3bc009be21b8">2014-02-27T05:00:00+00:00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IC14-3</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D692-D842-4316-9DEF-495C75D83B9E}"/>
</file>

<file path=customXml/itemProps2.xml><?xml version="1.0" encoding="utf-8"?>
<ds:datastoreItem xmlns:ds="http://schemas.openxmlformats.org/officeDocument/2006/customXml" ds:itemID="{24802BF3-17A7-4E97-B981-32D231FFB708}"/>
</file>

<file path=customXml/itemProps3.xml><?xml version="1.0" encoding="utf-8"?>
<ds:datastoreItem xmlns:ds="http://schemas.openxmlformats.org/officeDocument/2006/customXml" ds:itemID="{6D34832D-F868-43AA-96C7-534F5B71DEBA}"/>
</file>

<file path=customXml/itemProps4.xml><?xml version="1.0" encoding="utf-8"?>
<ds:datastoreItem xmlns:ds="http://schemas.openxmlformats.org/officeDocument/2006/customXml" ds:itemID="{0AC87ABF-FE02-4BC1-AB9E-26AB48004AF4}"/>
</file>

<file path=customXml/itemProps5.xml><?xml version="1.0" encoding="utf-8"?>
<ds:datastoreItem xmlns:ds="http://schemas.openxmlformats.org/officeDocument/2006/customXml" ds:itemID="{5A290896-5489-4092-831A-76C5542D8F14}"/>
</file>

<file path=docProps/app.xml><?xml version="1.0" encoding="utf-8"?>
<Properties xmlns="http://schemas.openxmlformats.org/officeDocument/2006/extended-properties" xmlns:vt="http://schemas.openxmlformats.org/officeDocument/2006/docPropsVTypes">
  <Template>Normal</Template>
  <TotalTime>1</TotalTime>
  <Pages>6</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STATES OF AMERICA</vt:lpstr>
    </vt:vector>
  </TitlesOfParts>
  <Company>FERC</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OF AMERICA</dc:title>
  <dc:creator>rnped32</dc:creator>
  <cp:lastModifiedBy>Anthony May</cp:lastModifiedBy>
  <cp:revision>2</cp:revision>
  <dcterms:created xsi:type="dcterms:W3CDTF">2014-02-28T16:25:00Z</dcterms:created>
  <dcterms:modified xsi:type="dcterms:W3CDTF">2014-02-28T16:25:00Z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