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F7170" w14:textId="77777777" w:rsidR="008011B6" w:rsidRDefault="008011B6">
      <w:pPr>
        <w:pStyle w:val="Title"/>
        <w:rPr>
          <w:rFonts w:ascii="Times New Roman" w:hAnsi="Times New Roman"/>
          <w:sz w:val="24"/>
          <w:szCs w:val="24"/>
        </w:rPr>
      </w:pPr>
      <w:bookmarkStart w:id="0" w:name="_GoBack"/>
      <w:bookmarkEnd w:id="0"/>
    </w:p>
    <w:p w14:paraId="6E9F8856"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793E4359"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64AAB420" w14:textId="77777777" w:rsidR="00386054" w:rsidRPr="00EF7FF5" w:rsidRDefault="00386054">
      <w:pPr>
        <w:tabs>
          <w:tab w:val="left" w:pos="0"/>
        </w:tabs>
        <w:suppressAutoHyphens/>
        <w:rPr>
          <w:rFonts w:ascii="Times New Roman" w:hAnsi="Times New Roman"/>
          <w:b/>
          <w:szCs w:val="24"/>
        </w:rPr>
      </w:pPr>
    </w:p>
    <w:bookmarkStart w:id="1" w:name="Text1"/>
    <w:p w14:paraId="03CD2724" w14:textId="77777777"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706338B0" w14:textId="77777777" w:rsidR="00386054" w:rsidRPr="00EF7FF5" w:rsidRDefault="00386054">
      <w:pPr>
        <w:tabs>
          <w:tab w:val="left" w:pos="0"/>
        </w:tabs>
        <w:suppressAutoHyphens/>
        <w:rPr>
          <w:rFonts w:ascii="Times New Roman" w:hAnsi="Times New Roman"/>
          <w:szCs w:val="24"/>
        </w:rPr>
      </w:pPr>
    </w:p>
    <w:p w14:paraId="2982A303" w14:textId="77777777" w:rsidR="00386054" w:rsidRPr="00EF7FF5" w:rsidRDefault="00386054">
      <w:pPr>
        <w:tabs>
          <w:tab w:val="left" w:pos="0"/>
        </w:tabs>
        <w:suppressAutoHyphens/>
        <w:rPr>
          <w:rFonts w:ascii="Times New Roman" w:hAnsi="Times New Roman"/>
          <w:b/>
          <w:szCs w:val="24"/>
        </w:rPr>
      </w:pPr>
    </w:p>
    <w:p w14:paraId="13B4734C"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CB7EFD9" w14:textId="77777777" w:rsidR="00386054" w:rsidRPr="00EF7FF5" w:rsidRDefault="00386054">
      <w:pPr>
        <w:tabs>
          <w:tab w:val="left" w:pos="0"/>
        </w:tabs>
        <w:suppressAutoHyphens/>
        <w:rPr>
          <w:rFonts w:ascii="Times New Roman" w:hAnsi="Times New Roman"/>
          <w:szCs w:val="24"/>
        </w:rPr>
      </w:pPr>
    </w:p>
    <w:p w14:paraId="07790504"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48C2323C" w14:textId="77777777" w:rsidR="00386054" w:rsidRPr="00EF7FF5" w:rsidRDefault="00386054">
      <w:pPr>
        <w:tabs>
          <w:tab w:val="left" w:pos="0"/>
        </w:tabs>
        <w:suppressAutoHyphens/>
        <w:rPr>
          <w:rFonts w:ascii="Times New Roman" w:hAnsi="Times New Roman"/>
          <w:szCs w:val="24"/>
        </w:rPr>
      </w:pPr>
    </w:p>
    <w:p w14:paraId="5D0E0216" w14:textId="77777777" w:rsidR="00386054" w:rsidRPr="00EF7FF5" w:rsidRDefault="00386054">
      <w:pPr>
        <w:tabs>
          <w:tab w:val="left" w:pos="0"/>
        </w:tabs>
        <w:suppressAutoHyphens/>
        <w:rPr>
          <w:rFonts w:ascii="Times New Roman" w:hAnsi="Times New Roman"/>
          <w:szCs w:val="24"/>
        </w:rPr>
      </w:pPr>
    </w:p>
    <w:p w14:paraId="7D72DB1B" w14:textId="77777777" w:rsidR="004C0195" w:rsidRPr="004C0195" w:rsidRDefault="004C0195" w:rsidP="004C0195">
      <w:pPr>
        <w:tabs>
          <w:tab w:val="left" w:pos="0"/>
        </w:tabs>
        <w:suppressAutoHyphens/>
        <w:rPr>
          <w:rFonts w:ascii="Times New Roman" w:hAnsi="Times New Roman"/>
          <w:snapToGrid w:val="0"/>
        </w:rPr>
      </w:pPr>
      <w:r w:rsidRPr="004C0195">
        <w:rPr>
          <w:rFonts w:ascii="Times New Roman" w:hAnsi="Times New Roman"/>
          <w:snapToGrid w:val="0"/>
        </w:rPr>
        <w:t>Section 493C of the Higher Education Act of 1965, as amended (the HEA), authorizes the Income-Based Repayment (IBR) Plan and for borrowers who obtain student loans through the Federal Family Education Loan (FFEL) Program and William D. Ford Federal Direct Loan (Direct Loan) Program.  Sections 455(d) of the HEA, authorizes Income-Contingent Repayment (ICR) Plan for borrowers who obtain student loans through the Direct Loan Program.</w:t>
      </w:r>
    </w:p>
    <w:p w14:paraId="3A4CA833" w14:textId="77777777" w:rsidR="004C0195" w:rsidRDefault="004C0195" w:rsidP="004C0195">
      <w:pPr>
        <w:tabs>
          <w:tab w:val="left" w:pos="0"/>
        </w:tabs>
        <w:suppressAutoHyphens/>
        <w:rPr>
          <w:rFonts w:ascii="Times New Roman" w:hAnsi="Times New Roman"/>
          <w:snapToGrid w:val="0"/>
        </w:rPr>
      </w:pPr>
      <w:r w:rsidRPr="004C0195">
        <w:rPr>
          <w:rFonts w:ascii="Times New Roman" w:hAnsi="Times New Roman"/>
          <w:snapToGrid w:val="0"/>
        </w:rPr>
        <w:t>The regulations that govern the IBR plan in 34 CFR 682.215 and 685.221.  The regulations that govern the ICR Plan are in 34 CFR 685.209.  In accordance with 34 CFR 682.209(a)(6)(iii) and 685.210(a)(1), a FFEL Program lender or the Secretary must offer a borrower a choice of certain repayment plans, including the IBR Plan, and, in the case of the Direct Loan Program, the ICR Plan.</w:t>
      </w:r>
    </w:p>
    <w:p w14:paraId="29DD7D14" w14:textId="77777777" w:rsidR="004C0195" w:rsidRPr="004C0195" w:rsidRDefault="004C0195" w:rsidP="004C0195">
      <w:pPr>
        <w:tabs>
          <w:tab w:val="left" w:pos="0"/>
        </w:tabs>
        <w:suppressAutoHyphens/>
        <w:rPr>
          <w:rFonts w:ascii="Times New Roman" w:hAnsi="Times New Roman"/>
          <w:snapToGrid w:val="0"/>
        </w:rPr>
      </w:pPr>
    </w:p>
    <w:p w14:paraId="311425DC" w14:textId="77777777" w:rsidR="004C0195" w:rsidRPr="004C0195" w:rsidRDefault="004C0195" w:rsidP="004C0195">
      <w:pPr>
        <w:tabs>
          <w:tab w:val="left" w:pos="0"/>
        </w:tabs>
        <w:suppressAutoHyphens/>
        <w:rPr>
          <w:rFonts w:ascii="Times New Roman" w:hAnsi="Times New Roman"/>
          <w:snapToGrid w:val="0"/>
        </w:rPr>
      </w:pPr>
      <w:r w:rsidRPr="004C0195">
        <w:rPr>
          <w:rFonts w:ascii="Times New Roman" w:hAnsi="Times New Roman"/>
          <w:snapToGrid w:val="0"/>
        </w:rPr>
        <w:t>Section 493C(b) of the HEA and the regulations provide that a borrower may choose to repay his or her loans under the IBR Plan only if the borrower has a partial financial hardship.  A borrower is considered to have a partial financial hardship if the annual amount due on his or her eligible loans, as calculated under a standard repayment plan based on a 10-year repayment period, exceeds 15% of the difference between the borrower’s adjusted gross income (AGI) and 150% of the HHS poverty guideline for the borrower’s family size and state of residence.  If a borrower has a partial financial hardship, the maximum monthly amount that a borrower may be required to repay under the IBR Plan is 15% of the difference between the borrower’s AGI and 150% of the applicable HHS Poverty Guideline, divided by 12.  A loan holder determines whether a borrower has a partial financial hardship to qualify for the IBR plan for the year the borrower initially selects the IBR Plan and for each subsequent year that the borrower remains on the plan.</w:t>
      </w:r>
    </w:p>
    <w:p w14:paraId="6CFD283C" w14:textId="52C1B514" w:rsidR="004C0195" w:rsidRDefault="004C0195" w:rsidP="004C0195">
      <w:pPr>
        <w:tabs>
          <w:tab w:val="left" w:pos="0"/>
        </w:tabs>
        <w:suppressAutoHyphens/>
        <w:rPr>
          <w:rFonts w:ascii="Times New Roman" w:hAnsi="Times New Roman"/>
          <w:snapToGrid w:val="0"/>
        </w:rPr>
      </w:pPr>
      <w:r w:rsidRPr="004C0195">
        <w:rPr>
          <w:rFonts w:ascii="Times New Roman" w:hAnsi="Times New Roman"/>
          <w:snapToGrid w:val="0"/>
        </w:rPr>
        <w:lastRenderedPageBreak/>
        <w:t xml:space="preserve">The Department, on </w:t>
      </w:r>
      <w:r w:rsidR="006A2533">
        <w:rPr>
          <w:rFonts w:ascii="Times New Roman" w:hAnsi="Times New Roman"/>
          <w:snapToGrid w:val="0"/>
        </w:rPr>
        <w:t>November 1</w:t>
      </w:r>
      <w:r w:rsidRPr="004C0195">
        <w:rPr>
          <w:rFonts w:ascii="Times New Roman" w:hAnsi="Times New Roman"/>
          <w:snapToGrid w:val="0"/>
        </w:rPr>
        <w:t xml:space="preserve">, 2012, published a </w:t>
      </w:r>
      <w:r w:rsidR="006A2533">
        <w:rPr>
          <w:rFonts w:ascii="Times New Roman" w:hAnsi="Times New Roman"/>
          <w:snapToGrid w:val="0"/>
        </w:rPr>
        <w:t>Final Rule</w:t>
      </w:r>
      <w:r w:rsidRPr="004C0195">
        <w:rPr>
          <w:rFonts w:ascii="Times New Roman" w:hAnsi="Times New Roman"/>
          <w:snapToGrid w:val="0"/>
        </w:rPr>
        <w:t xml:space="preserve"> in the Federal Register </w:t>
      </w:r>
      <w:r w:rsidRPr="00F33DE0">
        <w:rPr>
          <w:rFonts w:ascii="Times New Roman" w:hAnsi="Times New Roman"/>
          <w:snapToGrid w:val="0"/>
          <w:szCs w:val="24"/>
        </w:rPr>
        <w:t>(</w:t>
      </w:r>
      <w:r w:rsidR="00F33DE0" w:rsidRPr="00F33DE0">
        <w:rPr>
          <w:rFonts w:ascii="Times New Roman" w:hAnsi="Times New Roman"/>
          <w:color w:val="292929"/>
          <w:szCs w:val="24"/>
        </w:rPr>
        <w:t>77 FR 66087</w:t>
      </w:r>
      <w:r w:rsidRPr="00F33DE0">
        <w:rPr>
          <w:rFonts w:ascii="Times New Roman" w:hAnsi="Times New Roman"/>
          <w:snapToGrid w:val="0"/>
          <w:szCs w:val="24"/>
        </w:rPr>
        <w:t>)</w:t>
      </w:r>
      <w:r w:rsidRPr="004C0195">
        <w:rPr>
          <w:rFonts w:ascii="Times New Roman" w:hAnsi="Times New Roman"/>
          <w:snapToGrid w:val="0"/>
        </w:rPr>
        <w:t xml:space="preserve"> to change the ICR plan by splitting ICR into two variants (</w:t>
      </w:r>
      <w:r w:rsidR="007B5949">
        <w:rPr>
          <w:rFonts w:ascii="Times New Roman" w:hAnsi="Times New Roman"/>
          <w:snapToGrid w:val="0"/>
        </w:rPr>
        <w:t>Pay As You earn and ICR</w:t>
      </w:r>
      <w:r w:rsidRPr="004C0195">
        <w:rPr>
          <w:rFonts w:ascii="Times New Roman" w:hAnsi="Times New Roman"/>
          <w:snapToGrid w:val="0"/>
        </w:rPr>
        <w:t xml:space="preserve">).  </w:t>
      </w:r>
    </w:p>
    <w:p w14:paraId="46FD724B" w14:textId="77777777" w:rsidR="004C0195" w:rsidRPr="004C0195" w:rsidRDefault="004C0195" w:rsidP="004C0195">
      <w:pPr>
        <w:tabs>
          <w:tab w:val="left" w:pos="0"/>
        </w:tabs>
        <w:suppressAutoHyphens/>
        <w:rPr>
          <w:rFonts w:ascii="Times New Roman" w:hAnsi="Times New Roman"/>
          <w:snapToGrid w:val="0"/>
        </w:rPr>
      </w:pPr>
    </w:p>
    <w:p w14:paraId="041681B0" w14:textId="77777777" w:rsidR="004C0195" w:rsidRDefault="004C0195" w:rsidP="004C0195">
      <w:pPr>
        <w:numPr>
          <w:ilvl w:val="0"/>
          <w:numId w:val="11"/>
        </w:numPr>
        <w:tabs>
          <w:tab w:val="left" w:pos="0"/>
        </w:tabs>
        <w:suppressAutoHyphens/>
        <w:rPr>
          <w:rFonts w:ascii="Times New Roman" w:hAnsi="Times New Roman"/>
          <w:snapToGrid w:val="0"/>
        </w:rPr>
      </w:pPr>
      <w:r w:rsidRPr="004C0195">
        <w:rPr>
          <w:rFonts w:ascii="Times New Roman" w:hAnsi="Times New Roman"/>
          <w:snapToGrid w:val="0"/>
        </w:rPr>
        <w:t>One variant (</w:t>
      </w:r>
      <w:r w:rsidR="007B5949">
        <w:rPr>
          <w:rFonts w:ascii="Times New Roman" w:hAnsi="Times New Roman"/>
          <w:snapToGrid w:val="0"/>
        </w:rPr>
        <w:t>ICR</w:t>
      </w:r>
      <w:r w:rsidRPr="004C0195">
        <w:rPr>
          <w:rFonts w:ascii="Times New Roman" w:hAnsi="Times New Roman"/>
          <w:snapToGrid w:val="0"/>
        </w:rPr>
        <w:t>), is the same as the ICR Plan in current Direct Loan regulations, where a borrower’s payment amount is the lesser of what the borrower would pay (1) on a 12-year amortization of his or her Direct Loans multiplied by an income percentage factor or (2) 20 percent of the difference between the borrower’s AGI and 100% of the HHS poverty guideline for the borrower’s family size and state of residence.</w:t>
      </w:r>
    </w:p>
    <w:p w14:paraId="6E79F9A0" w14:textId="77777777" w:rsidR="004C0195" w:rsidRPr="004C0195" w:rsidRDefault="004C0195" w:rsidP="004C0195">
      <w:pPr>
        <w:tabs>
          <w:tab w:val="left" w:pos="0"/>
        </w:tabs>
        <w:suppressAutoHyphens/>
        <w:ind w:left="720"/>
        <w:rPr>
          <w:rFonts w:ascii="Times New Roman" w:hAnsi="Times New Roman"/>
          <w:snapToGrid w:val="0"/>
        </w:rPr>
      </w:pPr>
    </w:p>
    <w:p w14:paraId="586A7445" w14:textId="77777777" w:rsidR="004C0195" w:rsidRDefault="004C0195" w:rsidP="004C0195">
      <w:pPr>
        <w:numPr>
          <w:ilvl w:val="0"/>
          <w:numId w:val="11"/>
        </w:numPr>
        <w:tabs>
          <w:tab w:val="left" w:pos="0"/>
        </w:tabs>
        <w:suppressAutoHyphens/>
        <w:rPr>
          <w:rFonts w:ascii="Times New Roman" w:hAnsi="Times New Roman"/>
          <w:snapToGrid w:val="0"/>
        </w:rPr>
      </w:pPr>
      <w:r w:rsidRPr="004C0195">
        <w:rPr>
          <w:rFonts w:ascii="Times New Roman" w:hAnsi="Times New Roman"/>
          <w:snapToGrid w:val="0"/>
        </w:rPr>
        <w:t>The other variant (</w:t>
      </w:r>
      <w:r w:rsidR="007B5949">
        <w:rPr>
          <w:rFonts w:ascii="Times New Roman" w:hAnsi="Times New Roman"/>
          <w:snapToGrid w:val="0"/>
        </w:rPr>
        <w:t>Pay As You Earn</w:t>
      </w:r>
      <w:r w:rsidRPr="004C0195">
        <w:rPr>
          <w:rFonts w:ascii="Times New Roman" w:hAnsi="Times New Roman"/>
          <w:snapToGrid w:val="0"/>
        </w:rPr>
        <w:t xml:space="preserve">), is the same as the IBR Plan in current Direct Loan regulations, except that when evaluating whether the borrower has a partial financial hardship, the Secretary will evaluate the borrower’s 10-year standard repayment amount against and calculate a borrower’s payment amount to be 10% of the difference between the borrower’s AGI and 150% of the HHS poverty guideline for the borrower’s family size and state of residence.  ICR-A will only be available to Direct Loan borrowers who </w:t>
      </w:r>
      <w:r w:rsidRPr="004C0195">
        <w:rPr>
          <w:rFonts w:ascii="Times New Roman" w:hAnsi="Times New Roman"/>
          <w:b/>
          <w:snapToGrid w:val="0"/>
        </w:rPr>
        <w:t>(1)</w:t>
      </w:r>
      <w:r w:rsidRPr="004C0195">
        <w:rPr>
          <w:rFonts w:ascii="Times New Roman" w:hAnsi="Times New Roman"/>
          <w:snapToGrid w:val="0"/>
        </w:rPr>
        <w:t xml:space="preserve"> have no outstanding balance on a Direct Loan or FFEL program loan as of October 1, 2007 or have no outstanding balance on a Direct Loan or FFEL program loan when obtaining a new loan on or after October 1, 2007, and </w:t>
      </w:r>
      <w:r w:rsidRPr="004C0195">
        <w:rPr>
          <w:rFonts w:ascii="Times New Roman" w:hAnsi="Times New Roman"/>
          <w:b/>
          <w:snapToGrid w:val="0"/>
        </w:rPr>
        <w:t>(2)</w:t>
      </w:r>
      <w:r w:rsidRPr="004C0195">
        <w:rPr>
          <w:rFonts w:ascii="Times New Roman" w:hAnsi="Times New Roman"/>
          <w:snapToGrid w:val="0"/>
        </w:rPr>
        <w:t xml:space="preserve"> receive a disbursement of a Direct Subsidized Loan, Direct Unsubsidized Loan, or student Direct PLUS Loan on or after October 1, 2011, or receive a Direct Consolidation Loan based on an application received on or after October 1, 2011.</w:t>
      </w:r>
    </w:p>
    <w:p w14:paraId="06FB72BB" w14:textId="77777777" w:rsidR="004C0195" w:rsidRPr="004C0195" w:rsidRDefault="004C0195" w:rsidP="004C0195">
      <w:pPr>
        <w:tabs>
          <w:tab w:val="left" w:pos="0"/>
        </w:tabs>
        <w:suppressAutoHyphens/>
        <w:ind w:left="720"/>
        <w:rPr>
          <w:rFonts w:ascii="Times New Roman" w:hAnsi="Times New Roman"/>
          <w:snapToGrid w:val="0"/>
        </w:rPr>
      </w:pPr>
    </w:p>
    <w:p w14:paraId="776D267A" w14:textId="77777777" w:rsidR="004C0195" w:rsidRDefault="004C0195" w:rsidP="004C0195">
      <w:pPr>
        <w:tabs>
          <w:tab w:val="left" w:pos="0"/>
        </w:tabs>
        <w:suppressAutoHyphens/>
        <w:rPr>
          <w:rFonts w:ascii="Times New Roman" w:hAnsi="Times New Roman"/>
          <w:snapToGrid w:val="0"/>
        </w:rPr>
      </w:pPr>
      <w:r w:rsidRPr="004C0195">
        <w:rPr>
          <w:rFonts w:ascii="Times New Roman" w:hAnsi="Times New Roman"/>
          <w:snapToGrid w:val="0"/>
        </w:rPr>
        <w:t>Regulations also require a borrower who wishes to repay under the IBR or ICR Plan to annually provide his or her loan holder with AGI by the Internal Revenue Service (IRS) to the loan holder.  A borrower must also annually certify his or her family size.</w:t>
      </w:r>
    </w:p>
    <w:p w14:paraId="316A1F84" w14:textId="77777777" w:rsidR="004C0195" w:rsidRPr="004C0195" w:rsidRDefault="004C0195" w:rsidP="004C0195">
      <w:pPr>
        <w:tabs>
          <w:tab w:val="left" w:pos="0"/>
        </w:tabs>
        <w:suppressAutoHyphens/>
        <w:rPr>
          <w:rFonts w:ascii="Times New Roman" w:hAnsi="Times New Roman"/>
          <w:snapToGrid w:val="0"/>
        </w:rPr>
      </w:pPr>
    </w:p>
    <w:p w14:paraId="4F47D4E8" w14:textId="77777777" w:rsidR="004C0195" w:rsidRDefault="004C0195" w:rsidP="004C0195">
      <w:pPr>
        <w:tabs>
          <w:tab w:val="left" w:pos="0"/>
        </w:tabs>
        <w:suppressAutoHyphens/>
        <w:rPr>
          <w:rFonts w:ascii="Times New Roman" w:hAnsi="Times New Roman"/>
          <w:snapToGrid w:val="0"/>
        </w:rPr>
      </w:pPr>
      <w:r w:rsidRPr="004C0195">
        <w:rPr>
          <w:rFonts w:ascii="Times New Roman" w:hAnsi="Times New Roman"/>
          <w:snapToGrid w:val="0"/>
        </w:rPr>
        <w:t>If a borrower’s AGI is not available, or if the borrower’s loan holder believes that the borrower’s current AGI does not reasonably reflect the borrower’s current income, regulations provide that a loan holder may use alternative documentation of income provided by the borrower for purposes of determining whether the borrower has a partial financial hardship and calculating the IBR or ICR Plan monthly payment amount.</w:t>
      </w:r>
    </w:p>
    <w:p w14:paraId="11BFACD7" w14:textId="77777777" w:rsidR="00E67FC3" w:rsidRDefault="00E67FC3" w:rsidP="004C0195">
      <w:pPr>
        <w:tabs>
          <w:tab w:val="left" w:pos="0"/>
        </w:tabs>
        <w:suppressAutoHyphens/>
        <w:rPr>
          <w:rFonts w:ascii="Times New Roman" w:hAnsi="Times New Roman"/>
          <w:snapToGrid w:val="0"/>
        </w:rPr>
      </w:pPr>
    </w:p>
    <w:p w14:paraId="01565E72" w14:textId="77777777" w:rsidR="00386054" w:rsidRPr="00EF7FF5" w:rsidRDefault="0067308A">
      <w:pPr>
        <w:tabs>
          <w:tab w:val="left" w:pos="0"/>
        </w:tabs>
        <w:suppressAutoHyphens/>
        <w:rPr>
          <w:rFonts w:ascii="Times New Roman" w:hAnsi="Times New Roman"/>
          <w:szCs w:val="24"/>
        </w:rPr>
      </w:pPr>
      <w:r>
        <w:rPr>
          <w:rFonts w:ascii="Times New Roman" w:hAnsi="Times New Roman"/>
          <w:snapToGrid w:val="0"/>
        </w:rPr>
        <w:t xml:space="preserve">The Department is revising this collection to combine it with the IBR and ICR-related information on the Direct Loan Repayment Plan Selection Form (1845-0014) and the </w:t>
      </w:r>
      <w:r w:rsidR="00E07827">
        <w:rPr>
          <w:rFonts w:ascii="Times New Roman" w:hAnsi="Times New Roman"/>
          <w:snapToGrid w:val="0"/>
        </w:rPr>
        <w:t>IBR/ICR Alternative Documentation of Income (1845-0016)</w:t>
      </w:r>
      <w:r w:rsidR="008A46D0">
        <w:rPr>
          <w:rFonts w:ascii="Times New Roman" w:hAnsi="Times New Roman"/>
          <w:snapToGrid w:val="0"/>
        </w:rPr>
        <w:t xml:space="preserve">, and reflect the proposed </w:t>
      </w:r>
      <w:r w:rsidR="007B5949">
        <w:rPr>
          <w:rFonts w:ascii="Times New Roman" w:hAnsi="Times New Roman"/>
          <w:snapToGrid w:val="0"/>
        </w:rPr>
        <w:t>Pay As You Earn</w:t>
      </w:r>
      <w:r w:rsidR="008A46D0">
        <w:rPr>
          <w:rFonts w:ascii="Times New Roman" w:hAnsi="Times New Roman"/>
          <w:snapToGrid w:val="0"/>
        </w:rPr>
        <w:t xml:space="preserve"> variant.</w:t>
      </w:r>
      <w:r w:rsidR="00220AD4">
        <w:rPr>
          <w:rFonts w:ascii="Times New Roman" w:hAnsi="Times New Roman"/>
          <w:snapToGrid w:val="0"/>
        </w:rPr>
        <w:t xml:space="preserve">  The revised collection also merges both forms that were associated with 1845-0102 into one form.  The revised collectio</w:t>
      </w:r>
      <w:r w:rsidR="00D44096">
        <w:rPr>
          <w:rFonts w:ascii="Times New Roman" w:hAnsi="Times New Roman"/>
          <w:snapToGrid w:val="0"/>
        </w:rPr>
        <w:t>n adds a variety of checkboxes</w:t>
      </w:r>
      <w:r w:rsidR="004257C2">
        <w:rPr>
          <w:rFonts w:ascii="Times New Roman" w:hAnsi="Times New Roman"/>
          <w:snapToGrid w:val="0"/>
        </w:rPr>
        <w:t xml:space="preserve"> and skip logic</w:t>
      </w:r>
      <w:r w:rsidR="00D44096">
        <w:rPr>
          <w:rFonts w:ascii="Times New Roman" w:hAnsi="Times New Roman"/>
          <w:snapToGrid w:val="0"/>
        </w:rPr>
        <w:t>, which</w:t>
      </w:r>
      <w:r w:rsidR="00220AD4">
        <w:rPr>
          <w:rFonts w:ascii="Times New Roman" w:hAnsi="Times New Roman"/>
          <w:snapToGrid w:val="0"/>
        </w:rPr>
        <w:t xml:space="preserve"> are intended to </w:t>
      </w:r>
      <w:r w:rsidR="00D44096">
        <w:rPr>
          <w:rFonts w:ascii="Times New Roman" w:hAnsi="Times New Roman"/>
          <w:snapToGrid w:val="0"/>
        </w:rPr>
        <w:t>streamline the completion of the form, and help borrowers request the IBR or ICR Plan determine whether the loan holder requires specific information, e.g., a spouse’s identifiers, to process the borrower’s request.</w:t>
      </w:r>
      <w:r w:rsidR="007C6295">
        <w:rPr>
          <w:rFonts w:ascii="Times New Roman" w:hAnsi="Times New Roman"/>
          <w:snapToGrid w:val="0"/>
        </w:rPr>
        <w:t xml:space="preserve">  Through the combing of multiple forms and streamlining, the Department estimates that the amount of time necessary per respondent to complete the revised from has </w:t>
      </w:r>
      <w:r w:rsidR="002C10B8">
        <w:rPr>
          <w:rFonts w:ascii="Times New Roman" w:hAnsi="Times New Roman"/>
          <w:snapToGrid w:val="0"/>
        </w:rPr>
        <w:t>decreased from 1.33 hours to 0.33</w:t>
      </w:r>
      <w:r w:rsidR="007C6295">
        <w:rPr>
          <w:rFonts w:ascii="Times New Roman" w:hAnsi="Times New Roman"/>
          <w:snapToGrid w:val="0"/>
        </w:rPr>
        <w:t xml:space="preserve"> hours.</w:t>
      </w:r>
      <w:r w:rsidR="00D52B14">
        <w:rPr>
          <w:rFonts w:ascii="Times New Roman" w:hAnsi="Times New Roman"/>
          <w:snapToGrid w:val="0"/>
        </w:rPr>
        <w:t xml:space="preserve">  Therefore, though the number of respondents increasing is a natural consequence of combining multiple forms into one, there is a significant reduction in overall burden to respondents.</w:t>
      </w:r>
    </w:p>
    <w:p w14:paraId="6971E094" w14:textId="77777777" w:rsidR="00386054" w:rsidRPr="00EF7FF5" w:rsidRDefault="00386054">
      <w:pPr>
        <w:suppressAutoHyphens/>
        <w:rPr>
          <w:rFonts w:ascii="Times New Roman" w:hAnsi="Times New Roman"/>
          <w:szCs w:val="24"/>
        </w:rPr>
      </w:pPr>
    </w:p>
    <w:p w14:paraId="50C16B34"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273A7C3D" w14:textId="77777777" w:rsidR="001E2B32" w:rsidRPr="00EF7FF5" w:rsidRDefault="001E2B32">
      <w:pPr>
        <w:tabs>
          <w:tab w:val="left" w:pos="-720"/>
        </w:tabs>
        <w:suppressAutoHyphens/>
        <w:rPr>
          <w:rFonts w:ascii="Times New Roman" w:hAnsi="Times New Roman"/>
          <w:szCs w:val="24"/>
        </w:rPr>
      </w:pPr>
    </w:p>
    <w:p w14:paraId="09BCFB8B" w14:textId="77777777" w:rsidR="00386054" w:rsidRPr="00EF7FF5" w:rsidRDefault="001E2B32" w:rsidP="00374E97">
      <w:pPr>
        <w:widowControl w:val="0"/>
        <w:spacing w:after="120"/>
        <w:rPr>
          <w:rFonts w:ascii="Times New Roman" w:hAnsi="Times New Roman"/>
          <w:szCs w:val="24"/>
        </w:rPr>
      </w:pPr>
      <w:r w:rsidRPr="001E2B32">
        <w:rPr>
          <w:rFonts w:ascii="Times New Roman" w:hAnsi="Times New Roman"/>
          <w:snapToGrid w:val="0"/>
        </w:rPr>
        <w:t>The currently approved forms a</w:t>
      </w:r>
      <w:r w:rsidR="008049AE">
        <w:rPr>
          <w:rFonts w:ascii="Times New Roman" w:hAnsi="Times New Roman"/>
          <w:snapToGrid w:val="0"/>
        </w:rPr>
        <w:t>re used by borrowers to request the IBR or ICR Plan</w:t>
      </w:r>
      <w:r w:rsidRPr="001E2B32">
        <w:rPr>
          <w:rFonts w:ascii="Times New Roman" w:hAnsi="Times New Roman"/>
          <w:snapToGrid w:val="0"/>
        </w:rPr>
        <w:t xml:space="preserve"> on their loans, and they also collect the information that is required for the Department to determine whether the borrower meets the eligibility requirements</w:t>
      </w:r>
      <w:r w:rsidR="00374E97">
        <w:rPr>
          <w:rFonts w:ascii="Times New Roman" w:hAnsi="Times New Roman"/>
          <w:snapToGrid w:val="0"/>
        </w:rPr>
        <w:t xml:space="preserve"> or repayment</w:t>
      </w:r>
      <w:r w:rsidRPr="001E2B32">
        <w:rPr>
          <w:rFonts w:ascii="Times New Roman" w:hAnsi="Times New Roman"/>
          <w:snapToGrid w:val="0"/>
        </w:rPr>
        <w:t xml:space="preserve"> </w:t>
      </w:r>
      <w:r w:rsidR="00374E97">
        <w:rPr>
          <w:rFonts w:ascii="Times New Roman" w:hAnsi="Times New Roman"/>
          <w:snapToGrid w:val="0"/>
        </w:rPr>
        <w:t xml:space="preserve">amount </w:t>
      </w:r>
      <w:r w:rsidRPr="001E2B32">
        <w:rPr>
          <w:rFonts w:ascii="Times New Roman" w:hAnsi="Times New Roman"/>
          <w:snapToGrid w:val="0"/>
        </w:rPr>
        <w:t xml:space="preserve">for the requested </w:t>
      </w:r>
      <w:r w:rsidR="00374E97">
        <w:rPr>
          <w:rFonts w:ascii="Times New Roman" w:hAnsi="Times New Roman"/>
          <w:snapToGrid w:val="0"/>
        </w:rPr>
        <w:t>IBR or ICR Plan</w:t>
      </w:r>
      <w:r w:rsidRPr="001E2B32">
        <w:rPr>
          <w:rFonts w:ascii="Times New Roman" w:hAnsi="Times New Roman"/>
          <w:snapToGrid w:val="0"/>
        </w:rPr>
        <w:t xml:space="preserve">.  The revised deferment request forms will continue to be used for these purposes.  </w:t>
      </w:r>
    </w:p>
    <w:p w14:paraId="320AACA2"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5E8D91F9" w14:textId="77777777" w:rsidR="001E2B32" w:rsidRDefault="001E2B32">
      <w:pPr>
        <w:tabs>
          <w:tab w:val="left" w:pos="-720"/>
        </w:tabs>
        <w:suppressAutoHyphens/>
        <w:rPr>
          <w:rFonts w:ascii="Times New Roman" w:hAnsi="Times New Roman"/>
          <w:szCs w:val="24"/>
        </w:rPr>
      </w:pPr>
    </w:p>
    <w:p w14:paraId="7825F677" w14:textId="77777777" w:rsidR="00386054" w:rsidRPr="00EF7FF5" w:rsidRDefault="00AF11D2" w:rsidP="001E2B32">
      <w:pPr>
        <w:widowControl w:val="0"/>
        <w:spacing w:after="120"/>
        <w:rPr>
          <w:rFonts w:ascii="Times New Roman" w:hAnsi="Times New Roman"/>
          <w:szCs w:val="24"/>
        </w:rPr>
      </w:pPr>
      <w:r>
        <w:rPr>
          <w:rFonts w:ascii="Times New Roman" w:hAnsi="Times New Roman"/>
          <w:snapToGrid w:val="0"/>
        </w:rPr>
        <w:t>This collection will also be adapted for use on the Internet, so tha</w:t>
      </w:r>
      <w:r w:rsidR="007B5949">
        <w:rPr>
          <w:rFonts w:ascii="Times New Roman" w:hAnsi="Times New Roman"/>
          <w:snapToGrid w:val="0"/>
        </w:rPr>
        <w:t xml:space="preserve">t borrowers may request the IBR, Pay As You Earn, or </w:t>
      </w:r>
      <w:r>
        <w:rPr>
          <w:rFonts w:ascii="Times New Roman" w:hAnsi="Times New Roman"/>
          <w:snapToGrid w:val="0"/>
        </w:rPr>
        <w:t>ICR Plan</w:t>
      </w:r>
      <w:r w:rsidR="00671EFB">
        <w:rPr>
          <w:rFonts w:ascii="Times New Roman" w:hAnsi="Times New Roman"/>
          <w:snapToGrid w:val="0"/>
        </w:rPr>
        <w:t xml:space="preserve"> via the Department’s StudentLoans.gov website</w:t>
      </w:r>
      <w:r>
        <w:rPr>
          <w:rFonts w:ascii="Times New Roman" w:hAnsi="Times New Roman"/>
          <w:snapToGrid w:val="0"/>
        </w:rPr>
        <w:t>, and import information regarding their income from the Internal Revenue Service, if available.</w:t>
      </w:r>
      <w:r w:rsidR="005D7415">
        <w:rPr>
          <w:rFonts w:ascii="Times New Roman" w:hAnsi="Times New Roman"/>
          <w:snapToGrid w:val="0"/>
        </w:rPr>
        <w:t xml:space="preserve">  At first, the adaptation will only cover </w:t>
      </w:r>
      <w:r w:rsidR="00671EFB">
        <w:rPr>
          <w:rFonts w:ascii="Times New Roman" w:hAnsi="Times New Roman"/>
          <w:snapToGrid w:val="0"/>
        </w:rPr>
        <w:t>certain loan holders</w:t>
      </w:r>
      <w:r w:rsidR="007B5949">
        <w:rPr>
          <w:rFonts w:ascii="Times New Roman" w:hAnsi="Times New Roman"/>
          <w:snapToGrid w:val="0"/>
        </w:rPr>
        <w:t xml:space="preserve"> and servicer</w:t>
      </w:r>
      <w:r w:rsidR="00671EFB">
        <w:rPr>
          <w:rFonts w:ascii="Times New Roman" w:hAnsi="Times New Roman"/>
          <w:snapToGrid w:val="0"/>
        </w:rPr>
        <w:t xml:space="preserve"> who request to participate</w:t>
      </w:r>
      <w:r w:rsidR="005D7415">
        <w:rPr>
          <w:rFonts w:ascii="Times New Roman" w:hAnsi="Times New Roman"/>
          <w:snapToGrid w:val="0"/>
        </w:rPr>
        <w:t xml:space="preserve">; however, it will </w:t>
      </w:r>
      <w:r w:rsidR="00EF1950">
        <w:rPr>
          <w:rFonts w:ascii="Times New Roman" w:hAnsi="Times New Roman"/>
          <w:snapToGrid w:val="0"/>
        </w:rPr>
        <w:t>later be expanded to include all loan holders (at their option)</w:t>
      </w:r>
      <w:r w:rsidR="005D7415">
        <w:rPr>
          <w:rFonts w:ascii="Times New Roman" w:hAnsi="Times New Roman"/>
          <w:snapToGrid w:val="0"/>
        </w:rPr>
        <w:t>.  In the event that the borrower cannot import their income information from the Internal Revenue Service, the borrower will be able to complete the rest of the form electronically, print it, sign it, attach the necessary supporting documentation, and sent it to the borrower’s loan holder.</w:t>
      </w:r>
    </w:p>
    <w:p w14:paraId="636D1A7B" w14:textId="77777777" w:rsidR="00386054" w:rsidRPr="00EF7FF5" w:rsidRDefault="00386054">
      <w:pPr>
        <w:tabs>
          <w:tab w:val="left" w:pos="-720"/>
        </w:tabs>
        <w:suppressAutoHyphens/>
        <w:rPr>
          <w:rFonts w:ascii="Times New Roman" w:hAnsi="Times New Roman"/>
          <w:szCs w:val="24"/>
        </w:rPr>
      </w:pPr>
    </w:p>
    <w:p w14:paraId="6B9DC63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EC9E42E" w14:textId="77777777" w:rsidR="00386054" w:rsidRPr="00EF7FF5" w:rsidRDefault="00386054">
      <w:pPr>
        <w:tabs>
          <w:tab w:val="left" w:pos="-720"/>
        </w:tabs>
        <w:suppressAutoHyphens/>
        <w:rPr>
          <w:rFonts w:ascii="Times New Roman" w:hAnsi="Times New Roman"/>
          <w:szCs w:val="24"/>
        </w:rPr>
      </w:pPr>
    </w:p>
    <w:p w14:paraId="4243752E" w14:textId="77777777" w:rsidR="00386054" w:rsidRPr="00EF7FF5" w:rsidRDefault="005D7415" w:rsidP="00080581">
      <w:pPr>
        <w:widowControl w:val="0"/>
        <w:spacing w:after="120"/>
        <w:rPr>
          <w:rFonts w:ascii="Times New Roman" w:hAnsi="Times New Roman"/>
          <w:szCs w:val="24"/>
        </w:rPr>
      </w:pPr>
      <w:r>
        <w:rPr>
          <w:rFonts w:ascii="Times New Roman" w:hAnsi="Times New Roman"/>
          <w:snapToGrid w:val="0"/>
        </w:rPr>
        <w:t>T</w:t>
      </w:r>
      <w:r w:rsidR="001E2B32" w:rsidRPr="001E2B32">
        <w:rPr>
          <w:rFonts w:ascii="Times New Roman" w:hAnsi="Times New Roman"/>
          <w:snapToGrid w:val="0"/>
        </w:rPr>
        <w:t>here is no information already available from other sources that can be used to establish a borrower’s eligibility</w:t>
      </w:r>
      <w:r w:rsidR="00080581">
        <w:rPr>
          <w:rFonts w:ascii="Times New Roman" w:hAnsi="Times New Roman"/>
          <w:snapToGrid w:val="0"/>
        </w:rPr>
        <w:t xml:space="preserve"> or payment amount</w:t>
      </w:r>
      <w:r w:rsidR="001E2B32" w:rsidRPr="001E2B32">
        <w:rPr>
          <w:rFonts w:ascii="Times New Roman" w:hAnsi="Times New Roman"/>
          <w:snapToGrid w:val="0"/>
        </w:rPr>
        <w:t xml:space="preserve"> for a</w:t>
      </w:r>
      <w:r w:rsidR="00EF1950">
        <w:rPr>
          <w:rFonts w:ascii="Times New Roman" w:hAnsi="Times New Roman"/>
          <w:snapToGrid w:val="0"/>
        </w:rPr>
        <w:t xml:space="preserve">n IBR, Pay As You Earn, or </w:t>
      </w:r>
      <w:r w:rsidR="00080581">
        <w:rPr>
          <w:rFonts w:ascii="Times New Roman" w:hAnsi="Times New Roman"/>
          <w:snapToGrid w:val="0"/>
        </w:rPr>
        <w:t>ICR Plan</w:t>
      </w:r>
      <w:r w:rsidR="001E2B32" w:rsidRPr="001E2B32">
        <w:rPr>
          <w:rFonts w:ascii="Times New Roman" w:hAnsi="Times New Roman"/>
          <w:snapToGrid w:val="0"/>
        </w:rPr>
        <w:t>.</w:t>
      </w:r>
      <w:r w:rsidR="00080581">
        <w:rPr>
          <w:rFonts w:ascii="Times New Roman" w:hAnsi="Times New Roman"/>
          <w:snapToGrid w:val="0"/>
        </w:rPr>
        <w:t xml:space="preserve">  However, by combing and streamlining mul</w:t>
      </w:r>
      <w:r w:rsidR="00EF1950">
        <w:rPr>
          <w:rFonts w:ascii="Times New Roman" w:hAnsi="Times New Roman"/>
          <w:snapToGrid w:val="0"/>
        </w:rPr>
        <w:t xml:space="preserve">tiple collections about the IBR, Pay As You Earn, and </w:t>
      </w:r>
      <w:r w:rsidR="00080581">
        <w:rPr>
          <w:rFonts w:ascii="Times New Roman" w:hAnsi="Times New Roman"/>
          <w:snapToGrid w:val="0"/>
        </w:rPr>
        <w:t>ICR Plan, borrowers will only need to complete one form for all loan holders, regardless of their circumstances.</w:t>
      </w:r>
    </w:p>
    <w:p w14:paraId="30F32F97" w14:textId="77777777" w:rsidR="00386054" w:rsidRPr="00EF7FF5" w:rsidRDefault="00386054">
      <w:pPr>
        <w:tabs>
          <w:tab w:val="left" w:pos="-720"/>
        </w:tabs>
        <w:suppressAutoHyphens/>
        <w:rPr>
          <w:rFonts w:ascii="Times New Roman" w:hAnsi="Times New Roman"/>
          <w:szCs w:val="24"/>
        </w:rPr>
      </w:pPr>
    </w:p>
    <w:p w14:paraId="7C759170"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55970DF" w14:textId="77777777" w:rsidR="00386054" w:rsidRPr="00EF7FF5" w:rsidRDefault="00386054">
      <w:pPr>
        <w:tabs>
          <w:tab w:val="left" w:pos="-720"/>
        </w:tabs>
        <w:suppressAutoHyphens/>
        <w:rPr>
          <w:rFonts w:ascii="Times New Roman" w:hAnsi="Times New Roman"/>
          <w:szCs w:val="24"/>
        </w:rPr>
      </w:pPr>
    </w:p>
    <w:p w14:paraId="134BE62B" w14:textId="77777777"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14:paraId="61C9BA37" w14:textId="77777777" w:rsidR="00386054" w:rsidRPr="00EF7FF5" w:rsidRDefault="00386054">
      <w:pPr>
        <w:tabs>
          <w:tab w:val="left" w:pos="-720"/>
        </w:tabs>
        <w:suppressAutoHyphens/>
        <w:rPr>
          <w:rFonts w:ascii="Times New Roman" w:hAnsi="Times New Roman"/>
          <w:szCs w:val="24"/>
        </w:rPr>
      </w:pPr>
    </w:p>
    <w:p w14:paraId="12F9AB79" w14:textId="77777777" w:rsidR="00386054" w:rsidRPr="00EF7FF5" w:rsidRDefault="00386054">
      <w:pPr>
        <w:pStyle w:val="EndnoteText"/>
        <w:rPr>
          <w:rFonts w:ascii="Times New Roman" w:hAnsi="Times New Roman"/>
          <w:szCs w:val="24"/>
        </w:rPr>
      </w:pPr>
    </w:p>
    <w:p w14:paraId="0F33EC1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14:paraId="55F6065A" w14:textId="77777777" w:rsidR="00386054" w:rsidRPr="00EF7FF5" w:rsidRDefault="00386054">
      <w:pPr>
        <w:tabs>
          <w:tab w:val="left" w:pos="-720"/>
        </w:tabs>
        <w:suppressAutoHyphens/>
        <w:rPr>
          <w:rFonts w:ascii="Times New Roman" w:hAnsi="Times New Roman"/>
          <w:szCs w:val="24"/>
        </w:rPr>
      </w:pPr>
    </w:p>
    <w:p w14:paraId="5A5E8129" w14:textId="77777777" w:rsidR="001E2B32" w:rsidRPr="001E2B32" w:rsidRDefault="001E2B32" w:rsidP="001E2B32">
      <w:pPr>
        <w:widowControl w:val="0"/>
        <w:spacing w:after="120"/>
        <w:rPr>
          <w:rFonts w:ascii="Times New Roman" w:hAnsi="Times New Roman"/>
          <w:snapToGrid w:val="0"/>
        </w:rPr>
      </w:pPr>
      <w:r w:rsidRPr="001E2B32">
        <w:rPr>
          <w:rFonts w:ascii="Times New Roman" w:hAnsi="Times New Roman"/>
          <w:snapToGrid w:val="0"/>
        </w:rPr>
        <w:t>The frequency with which a borrower request</w:t>
      </w:r>
      <w:r w:rsidR="00FD010F">
        <w:rPr>
          <w:rFonts w:ascii="Times New Roman" w:hAnsi="Times New Roman"/>
          <w:snapToGrid w:val="0"/>
        </w:rPr>
        <w:t xml:space="preserve">s an IBR or ICR Plan </w:t>
      </w:r>
      <w:r w:rsidRPr="001E2B32">
        <w:rPr>
          <w:rFonts w:ascii="Times New Roman" w:hAnsi="Times New Roman"/>
          <w:snapToGrid w:val="0"/>
        </w:rPr>
        <w:t xml:space="preserve">is determined in accordance with statutory and regulatory requirements that are explained on </w:t>
      </w:r>
      <w:r w:rsidR="00FD010F">
        <w:rPr>
          <w:rFonts w:ascii="Times New Roman" w:hAnsi="Times New Roman"/>
          <w:snapToGrid w:val="0"/>
        </w:rPr>
        <w:t>the form</w:t>
      </w:r>
      <w:r w:rsidRPr="001E2B32">
        <w:rPr>
          <w:rFonts w:ascii="Times New Roman" w:hAnsi="Times New Roman"/>
          <w:snapToGrid w:val="0"/>
        </w:rPr>
        <w:t xml:space="preserve">.  Less frequent data collection would not allow loan holders to process borrower requests for </w:t>
      </w:r>
      <w:r w:rsidR="00FD010F">
        <w:rPr>
          <w:rFonts w:ascii="Times New Roman" w:hAnsi="Times New Roman"/>
          <w:snapToGrid w:val="0"/>
        </w:rPr>
        <w:t>an IBR or ICR Plan</w:t>
      </w:r>
      <w:r w:rsidRPr="001E2B32">
        <w:rPr>
          <w:rFonts w:ascii="Times New Roman" w:hAnsi="Times New Roman"/>
          <w:snapToGrid w:val="0"/>
        </w:rPr>
        <w:t xml:space="preserve">. </w:t>
      </w:r>
    </w:p>
    <w:p w14:paraId="768DF342" w14:textId="77777777" w:rsidR="00386054" w:rsidRPr="00EF7FF5" w:rsidRDefault="00386054">
      <w:pPr>
        <w:tabs>
          <w:tab w:val="left" w:pos="-720"/>
        </w:tabs>
        <w:suppressAutoHyphens/>
        <w:rPr>
          <w:rFonts w:ascii="Times New Roman" w:hAnsi="Times New Roman"/>
          <w:szCs w:val="24"/>
        </w:rPr>
      </w:pPr>
    </w:p>
    <w:p w14:paraId="3EBA245C" w14:textId="77777777" w:rsidR="00386054" w:rsidRPr="00EF7FF5" w:rsidRDefault="00386054">
      <w:pPr>
        <w:tabs>
          <w:tab w:val="left" w:pos="-720"/>
        </w:tabs>
        <w:suppressAutoHyphens/>
        <w:rPr>
          <w:rFonts w:ascii="Times New Roman" w:hAnsi="Times New Roman"/>
          <w:szCs w:val="24"/>
        </w:rPr>
      </w:pPr>
    </w:p>
    <w:p w14:paraId="0611C12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722BC5F0" w14:textId="77777777" w:rsidR="00386054" w:rsidRPr="00EF7FF5" w:rsidRDefault="00386054">
      <w:pPr>
        <w:tabs>
          <w:tab w:val="left" w:pos="-720"/>
        </w:tabs>
        <w:suppressAutoHyphens/>
        <w:rPr>
          <w:rFonts w:ascii="Times New Roman" w:hAnsi="Times New Roman"/>
          <w:b/>
          <w:szCs w:val="24"/>
        </w:rPr>
      </w:pPr>
    </w:p>
    <w:p w14:paraId="1455810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2F4482C0"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7258CDF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53E2BB92" w14:textId="77777777" w:rsidR="00386054" w:rsidRPr="00EF7FF5" w:rsidRDefault="00386054">
      <w:pPr>
        <w:numPr>
          <w:ilvl w:val="12"/>
          <w:numId w:val="0"/>
        </w:numPr>
        <w:tabs>
          <w:tab w:val="left" w:pos="-720"/>
        </w:tabs>
        <w:suppressAutoHyphens/>
        <w:rPr>
          <w:rFonts w:ascii="Times New Roman" w:hAnsi="Times New Roman"/>
          <w:szCs w:val="24"/>
        </w:rPr>
      </w:pPr>
    </w:p>
    <w:p w14:paraId="3C42C27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682AC3FD" w14:textId="77777777" w:rsidR="00386054" w:rsidRPr="00EF7FF5" w:rsidRDefault="00386054">
      <w:pPr>
        <w:numPr>
          <w:ilvl w:val="12"/>
          <w:numId w:val="0"/>
        </w:numPr>
        <w:tabs>
          <w:tab w:val="left" w:pos="-720"/>
        </w:tabs>
        <w:suppressAutoHyphens/>
        <w:rPr>
          <w:rFonts w:ascii="Times New Roman" w:hAnsi="Times New Roman"/>
          <w:szCs w:val="24"/>
        </w:rPr>
      </w:pPr>
    </w:p>
    <w:p w14:paraId="4BADB7A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626C1780" w14:textId="77777777" w:rsidR="00386054" w:rsidRPr="00EF7FF5" w:rsidRDefault="00386054">
      <w:pPr>
        <w:numPr>
          <w:ilvl w:val="12"/>
          <w:numId w:val="0"/>
        </w:numPr>
        <w:tabs>
          <w:tab w:val="left" w:pos="-720"/>
        </w:tabs>
        <w:suppressAutoHyphens/>
        <w:rPr>
          <w:rFonts w:ascii="Times New Roman" w:hAnsi="Times New Roman"/>
          <w:szCs w:val="24"/>
        </w:rPr>
      </w:pPr>
    </w:p>
    <w:p w14:paraId="67CE776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76C82F9D" w14:textId="77777777" w:rsidR="00386054" w:rsidRPr="00EF7FF5" w:rsidRDefault="00386054">
      <w:pPr>
        <w:numPr>
          <w:ilvl w:val="12"/>
          <w:numId w:val="0"/>
        </w:numPr>
        <w:tabs>
          <w:tab w:val="left" w:pos="-720"/>
        </w:tabs>
        <w:suppressAutoHyphens/>
        <w:rPr>
          <w:rFonts w:ascii="Times New Roman" w:hAnsi="Times New Roman"/>
          <w:szCs w:val="24"/>
        </w:rPr>
      </w:pPr>
    </w:p>
    <w:p w14:paraId="78D7A1E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36A1AB8" w14:textId="77777777" w:rsidR="00386054" w:rsidRPr="00EF7FF5" w:rsidRDefault="00386054">
      <w:pPr>
        <w:numPr>
          <w:ilvl w:val="12"/>
          <w:numId w:val="0"/>
        </w:numPr>
        <w:tabs>
          <w:tab w:val="left" w:pos="-720"/>
        </w:tabs>
        <w:suppressAutoHyphens/>
        <w:rPr>
          <w:rFonts w:ascii="Times New Roman" w:hAnsi="Times New Roman"/>
          <w:szCs w:val="24"/>
        </w:rPr>
      </w:pPr>
    </w:p>
    <w:p w14:paraId="188FC09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DDB253C" w14:textId="77777777" w:rsidR="00386054" w:rsidRPr="00EF7FF5" w:rsidRDefault="00386054">
      <w:pPr>
        <w:numPr>
          <w:ilvl w:val="12"/>
          <w:numId w:val="0"/>
        </w:numPr>
        <w:tabs>
          <w:tab w:val="left" w:pos="-720"/>
        </w:tabs>
        <w:suppressAutoHyphens/>
        <w:rPr>
          <w:rFonts w:ascii="Times New Roman" w:hAnsi="Times New Roman"/>
          <w:szCs w:val="24"/>
        </w:rPr>
      </w:pPr>
    </w:p>
    <w:p w14:paraId="3B304F3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75C5B82" w14:textId="77777777" w:rsidR="00386054" w:rsidRPr="00EF7FF5" w:rsidRDefault="00386054">
      <w:pPr>
        <w:tabs>
          <w:tab w:val="left" w:pos="-720"/>
        </w:tabs>
        <w:suppressAutoHyphens/>
        <w:rPr>
          <w:rFonts w:ascii="Times New Roman" w:hAnsi="Times New Roman"/>
          <w:szCs w:val="24"/>
        </w:rPr>
      </w:pPr>
    </w:p>
    <w:p w14:paraId="3D2F523C" w14:textId="77777777" w:rsidR="00386054" w:rsidRPr="00EF7FF5" w:rsidRDefault="001E2B32" w:rsidP="001E2B32">
      <w:pPr>
        <w:widowControl w:val="0"/>
        <w:spacing w:after="120"/>
        <w:rPr>
          <w:rFonts w:ascii="Times New Roman" w:hAnsi="Times New Roman"/>
          <w:szCs w:val="24"/>
        </w:rPr>
      </w:pPr>
      <w:r w:rsidRPr="001E2B32">
        <w:rPr>
          <w:rFonts w:ascii="Times New Roman" w:hAnsi="Times New Roman"/>
          <w:snapToGrid w:val="0"/>
        </w:rPr>
        <w:t>This information collection does not involve any of the conditions listed in 5 CFR 1320.5(d)(2).</w:t>
      </w:r>
      <w:r w:rsidRPr="00EF7FF5">
        <w:rPr>
          <w:rFonts w:ascii="Times New Roman" w:hAnsi="Times New Roman"/>
          <w:szCs w:val="24"/>
        </w:rPr>
        <w:t xml:space="preserve"> </w:t>
      </w:r>
    </w:p>
    <w:p w14:paraId="5B7290A0" w14:textId="77777777" w:rsidR="00386054" w:rsidRPr="00EF7FF5" w:rsidRDefault="00386054">
      <w:pPr>
        <w:tabs>
          <w:tab w:val="left" w:pos="-720"/>
        </w:tabs>
        <w:suppressAutoHyphens/>
        <w:rPr>
          <w:rFonts w:ascii="Times New Roman" w:hAnsi="Times New Roman"/>
          <w:szCs w:val="24"/>
        </w:rPr>
      </w:pPr>
    </w:p>
    <w:p w14:paraId="5523393E"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357E7AD" w14:textId="77777777" w:rsidR="00386054" w:rsidRPr="00EF7FF5" w:rsidRDefault="00386054">
      <w:pPr>
        <w:tabs>
          <w:tab w:val="left" w:pos="-720"/>
        </w:tabs>
        <w:suppressAutoHyphens/>
        <w:rPr>
          <w:rStyle w:val="a"/>
          <w:rFonts w:ascii="Times New Roman" w:hAnsi="Times New Roman"/>
          <w:b/>
          <w:szCs w:val="24"/>
        </w:rPr>
      </w:pPr>
    </w:p>
    <w:p w14:paraId="1E5F9DC2"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533E102" w14:textId="77777777" w:rsidR="00386054" w:rsidRPr="00EF7FF5" w:rsidRDefault="00386054">
      <w:pPr>
        <w:tabs>
          <w:tab w:val="left" w:pos="-720"/>
        </w:tabs>
        <w:suppressAutoHyphens/>
        <w:rPr>
          <w:rStyle w:val="a"/>
          <w:rFonts w:ascii="Times New Roman" w:hAnsi="Times New Roman"/>
          <w:szCs w:val="24"/>
        </w:rPr>
      </w:pPr>
    </w:p>
    <w:p w14:paraId="424BF925"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7A1DE19" w14:textId="77777777" w:rsidR="00386054" w:rsidRPr="00EF7FF5" w:rsidRDefault="00386054">
      <w:pPr>
        <w:tabs>
          <w:tab w:val="left" w:pos="-720"/>
        </w:tabs>
        <w:suppressAutoHyphens/>
        <w:rPr>
          <w:rFonts w:ascii="Times New Roman" w:hAnsi="Times New Roman"/>
          <w:szCs w:val="24"/>
        </w:rPr>
      </w:pPr>
    </w:p>
    <w:p w14:paraId="17D2673C" w14:textId="77777777"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The forms included with this submission were originally d</w:t>
      </w:r>
      <w:r w:rsidR="00FE127A">
        <w:rPr>
          <w:rFonts w:ascii="Times New Roman" w:hAnsi="Times New Roman"/>
          <w:snapToGrid w:val="0"/>
        </w:rPr>
        <w:t>eveloped with input from schools, guaranty agencies, servicers, lenders, and borrower advocacy groups</w:t>
      </w:r>
      <w:r w:rsidRPr="00CE1052">
        <w:rPr>
          <w:rFonts w:ascii="Times New Roman" w:hAnsi="Times New Roman"/>
          <w:snapToGrid w:val="0"/>
        </w:rPr>
        <w:t>.  In developing the revised forms included with this submission, the Department cons</w:t>
      </w:r>
      <w:r>
        <w:rPr>
          <w:rFonts w:ascii="Times New Roman" w:hAnsi="Times New Roman"/>
          <w:snapToGrid w:val="0"/>
        </w:rPr>
        <w:t>idered recommendations fr</w:t>
      </w:r>
      <w:r w:rsidR="00FE127A">
        <w:rPr>
          <w:rFonts w:ascii="Times New Roman" w:hAnsi="Times New Roman"/>
          <w:snapToGrid w:val="0"/>
        </w:rPr>
        <w:t>om its Direct Loan servicers</w:t>
      </w:r>
      <w:r>
        <w:rPr>
          <w:rFonts w:ascii="Times New Roman" w:hAnsi="Times New Roman"/>
          <w:snapToGrid w:val="0"/>
        </w:rPr>
        <w:t>.</w:t>
      </w:r>
    </w:p>
    <w:p w14:paraId="7DCF2FE6" w14:textId="77777777" w:rsidR="00386054" w:rsidRPr="00EF7FF5" w:rsidRDefault="00324C77" w:rsidP="00CE1052">
      <w:pPr>
        <w:widowControl w:val="0"/>
        <w:spacing w:after="120"/>
        <w:rPr>
          <w:rFonts w:ascii="Times New Roman" w:hAnsi="Times New Roman"/>
          <w:szCs w:val="24"/>
        </w:rPr>
      </w:pPr>
      <w:r>
        <w:rPr>
          <w:rFonts w:ascii="Times New Roman" w:hAnsi="Times New Roman"/>
          <w:snapToGrid w:val="0"/>
        </w:rPr>
        <w:t>A notice was published in the Federal Register on August 8, 2012 soliciting comment for 60 days.  The Department received a number of comments, and accepted nearly all of the comments from the community.  Another</w:t>
      </w:r>
      <w:r w:rsidR="00CE1052" w:rsidRPr="00CE1052">
        <w:rPr>
          <w:rFonts w:ascii="Times New Roman" w:hAnsi="Times New Roman"/>
          <w:snapToGrid w:val="0"/>
        </w:rPr>
        <w:t xml:space="preserve"> notice </w:t>
      </w:r>
      <w:r w:rsidR="007920B5">
        <w:rPr>
          <w:rFonts w:ascii="Times New Roman" w:hAnsi="Times New Roman"/>
          <w:snapToGrid w:val="0"/>
        </w:rPr>
        <w:t>was</w:t>
      </w:r>
      <w:r w:rsidR="00CE1052">
        <w:rPr>
          <w:rFonts w:ascii="Times New Roman" w:hAnsi="Times New Roman"/>
          <w:snapToGrid w:val="0"/>
        </w:rPr>
        <w:t xml:space="preserve"> published in the Federal Register </w:t>
      </w:r>
      <w:r w:rsidR="007920B5">
        <w:rPr>
          <w:rFonts w:ascii="Times New Roman" w:hAnsi="Times New Roman"/>
          <w:snapToGrid w:val="0"/>
        </w:rPr>
        <w:t xml:space="preserve">on </w:t>
      </w:r>
      <w:r w:rsidR="00C171A6">
        <w:rPr>
          <w:rFonts w:ascii="Times New Roman" w:hAnsi="Times New Roman"/>
          <w:snapToGrid w:val="0"/>
        </w:rPr>
        <w:t xml:space="preserve">October 26, 2012 </w:t>
      </w:r>
      <w:r w:rsidR="00CE1052">
        <w:rPr>
          <w:rFonts w:ascii="Times New Roman" w:hAnsi="Times New Roman"/>
          <w:snapToGrid w:val="0"/>
        </w:rPr>
        <w:t>soliciting</w:t>
      </w:r>
      <w:r w:rsidR="00CE1052" w:rsidRPr="00CE1052">
        <w:rPr>
          <w:rFonts w:ascii="Times-Roman" w:hAnsi="Times-Roman"/>
          <w:snapToGrid w:val="0"/>
        </w:rPr>
        <w:t xml:space="preserve"> public comments </w:t>
      </w:r>
      <w:r>
        <w:rPr>
          <w:rFonts w:ascii="Times-Roman" w:hAnsi="Times-Roman"/>
          <w:snapToGrid w:val="0"/>
        </w:rPr>
        <w:t>for 30 days</w:t>
      </w:r>
      <w:r w:rsidR="00CE1052" w:rsidRPr="00CE1052">
        <w:rPr>
          <w:rFonts w:ascii="Times-Roman" w:hAnsi="Times-Roman"/>
          <w:snapToGrid w:val="0"/>
        </w:rPr>
        <w:t xml:space="preserve">.  </w:t>
      </w:r>
      <w:r w:rsidR="007920B5">
        <w:rPr>
          <w:rFonts w:ascii="Times-Roman" w:hAnsi="Times-Roman"/>
          <w:snapToGrid w:val="0"/>
        </w:rPr>
        <w:t xml:space="preserve"> The Department received a number of comments, and accepted most of the comments received.</w:t>
      </w:r>
    </w:p>
    <w:p w14:paraId="106D9939" w14:textId="77777777" w:rsidR="00386054" w:rsidRPr="00EF7FF5" w:rsidRDefault="00386054">
      <w:pPr>
        <w:tabs>
          <w:tab w:val="left" w:pos="-720"/>
        </w:tabs>
        <w:suppressAutoHyphens/>
        <w:rPr>
          <w:rFonts w:ascii="Times New Roman" w:hAnsi="Times New Roman"/>
          <w:szCs w:val="24"/>
        </w:rPr>
      </w:pPr>
    </w:p>
    <w:p w14:paraId="579BCD3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0F1B8E18" w14:textId="77777777" w:rsidR="00386054" w:rsidRPr="00EF7FF5" w:rsidRDefault="00386054">
      <w:pPr>
        <w:tabs>
          <w:tab w:val="left" w:pos="-720"/>
        </w:tabs>
        <w:suppressAutoHyphens/>
        <w:rPr>
          <w:rFonts w:ascii="Times New Roman" w:hAnsi="Times New Roman"/>
          <w:szCs w:val="24"/>
        </w:rPr>
      </w:pPr>
    </w:p>
    <w:p w14:paraId="2F26F886" w14:textId="77777777" w:rsidR="00CE1052" w:rsidRPr="00CE1052" w:rsidRDefault="00CE1052" w:rsidP="00CE1052">
      <w:pPr>
        <w:widowControl w:val="0"/>
        <w:spacing w:after="12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14:paraId="0519034D" w14:textId="77777777" w:rsidR="00386054" w:rsidRPr="00EF7FF5" w:rsidRDefault="00386054">
      <w:pPr>
        <w:tabs>
          <w:tab w:val="left" w:pos="-720"/>
        </w:tabs>
        <w:suppressAutoHyphens/>
        <w:rPr>
          <w:rFonts w:ascii="Times New Roman" w:hAnsi="Times New Roman"/>
          <w:szCs w:val="24"/>
        </w:rPr>
      </w:pPr>
    </w:p>
    <w:p w14:paraId="2BA0538D" w14:textId="77777777" w:rsidR="00386054" w:rsidRPr="00EF7FF5" w:rsidRDefault="00386054">
      <w:pPr>
        <w:tabs>
          <w:tab w:val="left" w:pos="-720"/>
        </w:tabs>
        <w:suppressAutoHyphens/>
        <w:rPr>
          <w:rFonts w:ascii="Times New Roman" w:hAnsi="Times New Roman"/>
          <w:szCs w:val="24"/>
        </w:rPr>
      </w:pPr>
    </w:p>
    <w:p w14:paraId="40B2130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0A8FCB7C" w14:textId="77777777" w:rsidR="00386054" w:rsidRPr="00EF7FF5" w:rsidRDefault="00386054">
      <w:pPr>
        <w:tabs>
          <w:tab w:val="left" w:pos="-720"/>
        </w:tabs>
        <w:suppressAutoHyphens/>
        <w:rPr>
          <w:rFonts w:ascii="Times New Roman" w:hAnsi="Times New Roman"/>
          <w:szCs w:val="24"/>
        </w:rPr>
      </w:pPr>
    </w:p>
    <w:p w14:paraId="497DF76A" w14:textId="77777777" w:rsidR="00CE1052" w:rsidRPr="00CE1052" w:rsidRDefault="00FE127A" w:rsidP="00CE1052">
      <w:pPr>
        <w:widowControl w:val="0"/>
        <w:spacing w:after="120"/>
        <w:rPr>
          <w:rFonts w:ascii="Times New Roman" w:hAnsi="Times New Roman"/>
          <w:snapToGrid w:val="0"/>
        </w:rPr>
      </w:pPr>
      <w:r>
        <w:rPr>
          <w:rFonts w:ascii="Times New Roman" w:hAnsi="Times New Roman"/>
          <w:snapToGrid w:val="0"/>
        </w:rPr>
        <w:t>The</w:t>
      </w:r>
      <w:r w:rsidR="00CE1052" w:rsidRPr="00CE1052">
        <w:rPr>
          <w:rFonts w:ascii="Times New Roman" w:hAnsi="Times New Roman"/>
          <w:snapToGrid w:val="0"/>
        </w:rPr>
        <w:t xml:space="preserve"> form includes a Privacy Act Notice that (1) informs the borrower of the statutory authority for the information collection, (2) explains that providing the requested information is voluntary, but is required in order </w:t>
      </w:r>
      <w:r w:rsidR="00EF1950">
        <w:rPr>
          <w:rFonts w:ascii="Times New Roman" w:hAnsi="Times New Roman"/>
          <w:snapToGrid w:val="0"/>
        </w:rPr>
        <w:t>request an IBR, Pay As You Earn, or</w:t>
      </w:r>
      <w:r>
        <w:rPr>
          <w:rFonts w:ascii="Times New Roman" w:hAnsi="Times New Roman"/>
          <w:snapToGrid w:val="0"/>
        </w:rPr>
        <w:t xml:space="preserve"> ICR Plan</w:t>
      </w:r>
      <w:r w:rsidR="00CE1052" w:rsidRPr="00CE1052">
        <w:rPr>
          <w:rFonts w:ascii="Times New Roman" w:hAnsi="Times New Roman"/>
          <w:snapToGrid w:val="0"/>
        </w:rPr>
        <w:t xml:space="preserve">, and (3) identifies the </w:t>
      </w:r>
      <w:r w:rsidR="00CE1052" w:rsidRPr="00CE1052">
        <w:rPr>
          <w:rFonts w:ascii="Times New Roman" w:hAnsi="Times New Roman"/>
          <w:snapToGrid w:val="0"/>
        </w:rPr>
        <w:lastRenderedPageBreak/>
        <w:t xml:space="preserve">third parties to whom the information collected on the form may be disclosed, and explains the circumstances under which such disclosures may occur.  </w:t>
      </w:r>
    </w:p>
    <w:p w14:paraId="00896D29" w14:textId="77777777" w:rsidR="00386054" w:rsidRPr="00EF7FF5" w:rsidRDefault="00386054">
      <w:pPr>
        <w:tabs>
          <w:tab w:val="left" w:pos="-720"/>
        </w:tabs>
        <w:suppressAutoHyphens/>
        <w:rPr>
          <w:rFonts w:ascii="Times New Roman" w:hAnsi="Times New Roman"/>
          <w:szCs w:val="24"/>
        </w:rPr>
      </w:pPr>
    </w:p>
    <w:p w14:paraId="332D7498" w14:textId="77777777" w:rsidR="00386054" w:rsidRPr="00EF7FF5" w:rsidRDefault="00386054">
      <w:pPr>
        <w:tabs>
          <w:tab w:val="left" w:pos="-720"/>
        </w:tabs>
        <w:suppressAutoHyphens/>
        <w:rPr>
          <w:rFonts w:ascii="Times New Roman" w:hAnsi="Times New Roman"/>
          <w:szCs w:val="24"/>
        </w:rPr>
      </w:pPr>
    </w:p>
    <w:p w14:paraId="71DEB59F"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7EA8844" w14:textId="77777777" w:rsidR="00CE1052" w:rsidRDefault="00CE1052">
      <w:pPr>
        <w:tabs>
          <w:tab w:val="left" w:pos="-720"/>
        </w:tabs>
        <w:suppressAutoHyphens/>
        <w:rPr>
          <w:rFonts w:ascii="Times New Roman" w:hAnsi="Times New Roman"/>
          <w:szCs w:val="24"/>
        </w:rPr>
      </w:pPr>
    </w:p>
    <w:p w14:paraId="4B7A5F5C" w14:textId="77777777" w:rsidR="00CE1052" w:rsidRPr="00CE1052" w:rsidRDefault="00126F39" w:rsidP="00CE1052">
      <w:pPr>
        <w:widowControl w:val="0"/>
        <w:spacing w:after="120"/>
        <w:rPr>
          <w:rFonts w:ascii="Times New Roman" w:hAnsi="Times New Roman"/>
          <w:snapToGrid w:val="0"/>
        </w:rPr>
      </w:pPr>
      <w:r>
        <w:rPr>
          <w:rFonts w:ascii="Times New Roman" w:hAnsi="Times New Roman"/>
          <w:snapToGrid w:val="0"/>
        </w:rPr>
        <w:t>This collection does not request information of a sensitive nature.</w:t>
      </w:r>
    </w:p>
    <w:p w14:paraId="30A93147" w14:textId="77777777" w:rsidR="00CE1052" w:rsidRPr="00EF7FF5" w:rsidRDefault="00CE1052">
      <w:pPr>
        <w:tabs>
          <w:tab w:val="left" w:pos="-720"/>
        </w:tabs>
        <w:suppressAutoHyphens/>
        <w:rPr>
          <w:rFonts w:ascii="Times New Roman" w:hAnsi="Times New Roman"/>
          <w:szCs w:val="24"/>
        </w:rPr>
      </w:pPr>
    </w:p>
    <w:p w14:paraId="65D43700" w14:textId="77777777" w:rsidR="00386054" w:rsidRPr="00EF7FF5" w:rsidRDefault="00386054">
      <w:pPr>
        <w:tabs>
          <w:tab w:val="left" w:pos="-720"/>
        </w:tabs>
        <w:suppressAutoHyphens/>
        <w:rPr>
          <w:rFonts w:ascii="Times New Roman" w:hAnsi="Times New Roman"/>
          <w:szCs w:val="24"/>
        </w:rPr>
      </w:pPr>
    </w:p>
    <w:p w14:paraId="194EDC69"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016A60B8" w14:textId="77777777" w:rsidR="00386054" w:rsidRPr="00EF7FF5" w:rsidRDefault="00386054">
      <w:pPr>
        <w:tabs>
          <w:tab w:val="left" w:pos="-720"/>
        </w:tabs>
        <w:suppressAutoHyphens/>
        <w:rPr>
          <w:rStyle w:val="a"/>
          <w:rFonts w:ascii="Times New Roman" w:hAnsi="Times New Roman"/>
          <w:szCs w:val="24"/>
        </w:rPr>
      </w:pPr>
    </w:p>
    <w:p w14:paraId="690D2BA3"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500048"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4D2796F5"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02D715D1"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106C9A1E"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3161244E"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6BA7FAD" w14:textId="77777777" w:rsidR="00386054" w:rsidRPr="00EF7FF5" w:rsidRDefault="00386054">
      <w:pPr>
        <w:suppressAutoHyphens/>
        <w:rPr>
          <w:rFonts w:ascii="Times New Roman" w:hAnsi="Times New Roman"/>
          <w:szCs w:val="24"/>
        </w:rPr>
      </w:pPr>
    </w:p>
    <w:p w14:paraId="6BC10AA7" w14:textId="77777777" w:rsidR="00386054" w:rsidRPr="00EF7FF5" w:rsidRDefault="00386054">
      <w:pPr>
        <w:suppressAutoHyphens/>
        <w:rPr>
          <w:rFonts w:ascii="Times New Roman" w:hAnsi="Times New Roman"/>
          <w:szCs w:val="24"/>
        </w:rPr>
      </w:pPr>
    </w:p>
    <w:tbl>
      <w:tblPr>
        <w:tblW w:w="0" w:type="auto"/>
        <w:tblLayout w:type="fixed"/>
        <w:tblLook w:val="0000" w:firstRow="0" w:lastRow="0" w:firstColumn="0" w:lastColumn="0" w:noHBand="0" w:noVBand="0"/>
      </w:tblPr>
      <w:tblGrid>
        <w:gridCol w:w="4428"/>
        <w:gridCol w:w="450"/>
        <w:gridCol w:w="2610"/>
      </w:tblGrid>
      <w:tr w:rsidR="00D734E3" w:rsidRPr="00D734E3" w14:paraId="1ADDCBD7" w14:textId="77777777" w:rsidTr="00D734E3">
        <w:tc>
          <w:tcPr>
            <w:tcW w:w="4428" w:type="dxa"/>
          </w:tcPr>
          <w:p w14:paraId="67C29DC7" w14:textId="77777777" w:rsidR="00D734E3" w:rsidRPr="00D734E3" w:rsidRDefault="00D734E3" w:rsidP="00D734E3">
            <w:pPr>
              <w:tabs>
                <w:tab w:val="left" w:pos="-720"/>
              </w:tabs>
              <w:suppressAutoHyphens/>
              <w:rPr>
                <w:rFonts w:ascii="Times New Roman" w:hAnsi="Times New Roman"/>
                <w:szCs w:val="24"/>
              </w:rPr>
            </w:pPr>
            <w:r w:rsidRPr="00D734E3">
              <w:rPr>
                <w:rFonts w:ascii="Times New Roman" w:hAnsi="Times New Roman"/>
                <w:szCs w:val="24"/>
              </w:rPr>
              <w:t>Estimated annual number of respondents:</w:t>
            </w:r>
          </w:p>
        </w:tc>
        <w:tc>
          <w:tcPr>
            <w:tcW w:w="450" w:type="dxa"/>
          </w:tcPr>
          <w:p w14:paraId="302BD7E6" w14:textId="77777777" w:rsidR="00D734E3" w:rsidRPr="00D734E3" w:rsidRDefault="00D734E3" w:rsidP="00D734E3">
            <w:pPr>
              <w:tabs>
                <w:tab w:val="left" w:pos="-720"/>
              </w:tabs>
              <w:suppressAutoHyphens/>
              <w:rPr>
                <w:rFonts w:ascii="Times New Roman" w:hAnsi="Times New Roman"/>
                <w:szCs w:val="24"/>
              </w:rPr>
            </w:pPr>
          </w:p>
        </w:tc>
        <w:tc>
          <w:tcPr>
            <w:tcW w:w="2610" w:type="dxa"/>
          </w:tcPr>
          <w:p w14:paraId="1D066F05" w14:textId="77777777" w:rsidR="00D734E3" w:rsidRPr="00D734E3" w:rsidRDefault="00D734E3" w:rsidP="00D734E3">
            <w:pPr>
              <w:tabs>
                <w:tab w:val="left" w:pos="-720"/>
              </w:tabs>
              <w:suppressAutoHyphens/>
              <w:rPr>
                <w:rFonts w:ascii="Times New Roman" w:hAnsi="Times New Roman"/>
                <w:szCs w:val="24"/>
              </w:rPr>
            </w:pPr>
            <w:r>
              <w:rPr>
                <w:rFonts w:ascii="Times New Roman" w:hAnsi="Times New Roman"/>
                <w:szCs w:val="24"/>
              </w:rPr>
              <w:t>3,159,132</w:t>
            </w:r>
          </w:p>
        </w:tc>
      </w:tr>
      <w:tr w:rsidR="00D734E3" w:rsidRPr="00D734E3" w14:paraId="2B89A063" w14:textId="77777777" w:rsidTr="00D734E3">
        <w:tc>
          <w:tcPr>
            <w:tcW w:w="4428" w:type="dxa"/>
          </w:tcPr>
          <w:p w14:paraId="49E1B359" w14:textId="77777777" w:rsidR="00D734E3" w:rsidRPr="00D734E3" w:rsidRDefault="00D734E3" w:rsidP="00D734E3">
            <w:pPr>
              <w:tabs>
                <w:tab w:val="left" w:pos="-720"/>
              </w:tabs>
              <w:suppressAutoHyphens/>
              <w:rPr>
                <w:rFonts w:ascii="Times New Roman" w:hAnsi="Times New Roman"/>
                <w:szCs w:val="24"/>
              </w:rPr>
            </w:pPr>
            <w:r w:rsidRPr="00D734E3">
              <w:rPr>
                <w:rFonts w:ascii="Times New Roman" w:hAnsi="Times New Roman"/>
                <w:szCs w:val="24"/>
              </w:rPr>
              <w:t>Number of responses per borrower:</w:t>
            </w:r>
          </w:p>
        </w:tc>
        <w:tc>
          <w:tcPr>
            <w:tcW w:w="450" w:type="dxa"/>
          </w:tcPr>
          <w:p w14:paraId="72AA38AB" w14:textId="77777777" w:rsidR="00D734E3" w:rsidRPr="00D734E3" w:rsidRDefault="00D734E3" w:rsidP="00D734E3">
            <w:pPr>
              <w:tabs>
                <w:tab w:val="left" w:pos="-720"/>
              </w:tabs>
              <w:suppressAutoHyphens/>
              <w:rPr>
                <w:rFonts w:ascii="Times New Roman" w:hAnsi="Times New Roman"/>
                <w:szCs w:val="24"/>
              </w:rPr>
            </w:pPr>
            <w:r w:rsidRPr="00D734E3">
              <w:rPr>
                <w:rFonts w:ascii="Times New Roman" w:hAnsi="Times New Roman"/>
                <w:szCs w:val="24"/>
              </w:rPr>
              <w:t>x</w:t>
            </w:r>
          </w:p>
        </w:tc>
        <w:tc>
          <w:tcPr>
            <w:tcW w:w="2610" w:type="dxa"/>
          </w:tcPr>
          <w:p w14:paraId="074CE213" w14:textId="77777777" w:rsidR="00D734E3" w:rsidRPr="00D734E3" w:rsidRDefault="00D734E3" w:rsidP="00D734E3">
            <w:pPr>
              <w:tabs>
                <w:tab w:val="left" w:pos="-720"/>
              </w:tabs>
              <w:suppressAutoHyphens/>
              <w:rPr>
                <w:rFonts w:ascii="Times New Roman" w:hAnsi="Times New Roman"/>
                <w:szCs w:val="24"/>
              </w:rPr>
            </w:pPr>
            <w:r w:rsidRPr="00D734E3">
              <w:rPr>
                <w:rFonts w:ascii="Times New Roman" w:hAnsi="Times New Roman"/>
                <w:szCs w:val="24"/>
              </w:rPr>
              <w:t>1</w:t>
            </w:r>
          </w:p>
        </w:tc>
      </w:tr>
      <w:tr w:rsidR="00D734E3" w:rsidRPr="00D734E3" w14:paraId="1002DD5F" w14:textId="77777777" w:rsidTr="00D734E3">
        <w:tc>
          <w:tcPr>
            <w:tcW w:w="4428" w:type="dxa"/>
          </w:tcPr>
          <w:p w14:paraId="59DAB341" w14:textId="77777777" w:rsidR="00D734E3" w:rsidRPr="00D734E3" w:rsidRDefault="00D734E3" w:rsidP="00D734E3">
            <w:pPr>
              <w:tabs>
                <w:tab w:val="left" w:pos="-720"/>
              </w:tabs>
              <w:suppressAutoHyphens/>
              <w:rPr>
                <w:rFonts w:ascii="Times New Roman" w:hAnsi="Times New Roman"/>
                <w:szCs w:val="24"/>
              </w:rPr>
            </w:pPr>
            <w:r w:rsidRPr="00D734E3">
              <w:rPr>
                <w:rFonts w:ascii="Times New Roman" w:hAnsi="Times New Roman"/>
                <w:szCs w:val="24"/>
              </w:rPr>
              <w:t>Hours per response:</w:t>
            </w:r>
          </w:p>
        </w:tc>
        <w:tc>
          <w:tcPr>
            <w:tcW w:w="450" w:type="dxa"/>
          </w:tcPr>
          <w:p w14:paraId="361BB4C8" w14:textId="77777777" w:rsidR="00D734E3" w:rsidRPr="00D734E3" w:rsidRDefault="00D734E3" w:rsidP="00D734E3">
            <w:pPr>
              <w:tabs>
                <w:tab w:val="left" w:pos="-720"/>
              </w:tabs>
              <w:suppressAutoHyphens/>
              <w:rPr>
                <w:rFonts w:ascii="Times New Roman" w:hAnsi="Times New Roman"/>
                <w:szCs w:val="24"/>
              </w:rPr>
            </w:pPr>
            <w:r w:rsidRPr="00D734E3">
              <w:rPr>
                <w:rFonts w:ascii="Times New Roman" w:hAnsi="Times New Roman"/>
                <w:szCs w:val="24"/>
              </w:rPr>
              <w:t>x</w:t>
            </w:r>
          </w:p>
        </w:tc>
        <w:tc>
          <w:tcPr>
            <w:tcW w:w="2610" w:type="dxa"/>
            <w:tcBorders>
              <w:bottom w:val="single" w:sz="4" w:space="0" w:color="auto"/>
            </w:tcBorders>
          </w:tcPr>
          <w:p w14:paraId="5FF33346" w14:textId="77777777" w:rsidR="00D734E3" w:rsidRPr="00D734E3" w:rsidRDefault="00D734E3" w:rsidP="00AA175C">
            <w:pPr>
              <w:tabs>
                <w:tab w:val="left" w:pos="-720"/>
              </w:tabs>
              <w:suppressAutoHyphens/>
              <w:rPr>
                <w:rFonts w:ascii="Times New Roman" w:hAnsi="Times New Roman"/>
                <w:szCs w:val="24"/>
              </w:rPr>
            </w:pPr>
            <w:r w:rsidRPr="00D734E3">
              <w:rPr>
                <w:rFonts w:ascii="Times New Roman" w:hAnsi="Times New Roman"/>
                <w:szCs w:val="24"/>
              </w:rPr>
              <w:t>0.</w:t>
            </w:r>
            <w:r w:rsidR="00AA175C">
              <w:rPr>
                <w:rFonts w:ascii="Times New Roman" w:hAnsi="Times New Roman"/>
                <w:szCs w:val="24"/>
              </w:rPr>
              <w:t>33 hours (2</w:t>
            </w:r>
            <w:r w:rsidRPr="00D734E3">
              <w:rPr>
                <w:rFonts w:ascii="Times New Roman" w:hAnsi="Times New Roman"/>
                <w:szCs w:val="24"/>
              </w:rPr>
              <w:t>0 minutes)</w:t>
            </w:r>
          </w:p>
        </w:tc>
      </w:tr>
      <w:tr w:rsidR="00D734E3" w:rsidRPr="00D734E3" w14:paraId="6DAF6F99" w14:textId="77777777" w:rsidTr="00D734E3">
        <w:trPr>
          <w:trHeight w:val="233"/>
        </w:trPr>
        <w:tc>
          <w:tcPr>
            <w:tcW w:w="4428" w:type="dxa"/>
          </w:tcPr>
          <w:p w14:paraId="58F3504A" w14:textId="77777777" w:rsidR="00D734E3" w:rsidRPr="00D734E3" w:rsidRDefault="00D734E3" w:rsidP="00D734E3">
            <w:pPr>
              <w:tabs>
                <w:tab w:val="left" w:pos="-720"/>
              </w:tabs>
              <w:suppressAutoHyphens/>
              <w:rPr>
                <w:rFonts w:ascii="Times New Roman" w:hAnsi="Times New Roman"/>
                <w:szCs w:val="24"/>
              </w:rPr>
            </w:pPr>
          </w:p>
        </w:tc>
        <w:tc>
          <w:tcPr>
            <w:tcW w:w="450" w:type="dxa"/>
          </w:tcPr>
          <w:p w14:paraId="095C0B5E" w14:textId="77777777" w:rsidR="00D734E3" w:rsidRPr="00D734E3" w:rsidRDefault="00D734E3" w:rsidP="00D734E3">
            <w:pPr>
              <w:tabs>
                <w:tab w:val="left" w:pos="-720"/>
              </w:tabs>
              <w:suppressAutoHyphens/>
              <w:rPr>
                <w:rFonts w:ascii="Times New Roman" w:hAnsi="Times New Roman"/>
                <w:szCs w:val="24"/>
              </w:rPr>
            </w:pPr>
          </w:p>
        </w:tc>
        <w:tc>
          <w:tcPr>
            <w:tcW w:w="2610" w:type="dxa"/>
            <w:tcBorders>
              <w:top w:val="single" w:sz="4" w:space="0" w:color="auto"/>
            </w:tcBorders>
          </w:tcPr>
          <w:p w14:paraId="2B2CB884" w14:textId="77777777" w:rsidR="00D734E3" w:rsidRPr="00D734E3" w:rsidRDefault="00D734E3" w:rsidP="00C21B16">
            <w:pPr>
              <w:tabs>
                <w:tab w:val="left" w:pos="-720"/>
              </w:tabs>
              <w:suppressAutoHyphens/>
              <w:rPr>
                <w:rFonts w:ascii="Times New Roman" w:hAnsi="Times New Roman"/>
                <w:szCs w:val="24"/>
              </w:rPr>
            </w:pPr>
            <w:r>
              <w:rPr>
                <w:rFonts w:ascii="Times New Roman" w:hAnsi="Times New Roman"/>
                <w:szCs w:val="24"/>
              </w:rPr>
              <w:t>1,</w:t>
            </w:r>
            <w:r w:rsidR="00AA175C">
              <w:rPr>
                <w:rFonts w:ascii="Times New Roman" w:hAnsi="Times New Roman"/>
                <w:szCs w:val="24"/>
              </w:rPr>
              <w:t>042,5</w:t>
            </w:r>
            <w:r w:rsidR="00C21B16">
              <w:rPr>
                <w:rFonts w:ascii="Times New Roman" w:hAnsi="Times New Roman"/>
                <w:szCs w:val="24"/>
              </w:rPr>
              <w:t>1</w:t>
            </w:r>
            <w:r w:rsidR="00AA175C">
              <w:rPr>
                <w:rFonts w:ascii="Times New Roman" w:hAnsi="Times New Roman"/>
                <w:szCs w:val="24"/>
              </w:rPr>
              <w:t>4</w:t>
            </w:r>
            <w:r w:rsidRPr="00D734E3">
              <w:rPr>
                <w:rFonts w:ascii="Times New Roman" w:hAnsi="Times New Roman"/>
                <w:szCs w:val="24"/>
              </w:rPr>
              <w:t xml:space="preserve"> hours</w:t>
            </w:r>
          </w:p>
        </w:tc>
      </w:tr>
    </w:tbl>
    <w:p w14:paraId="7E594401" w14:textId="77777777" w:rsidR="00386054" w:rsidRPr="00EF7FF5" w:rsidRDefault="00386054">
      <w:pPr>
        <w:tabs>
          <w:tab w:val="left" w:pos="-720"/>
        </w:tabs>
        <w:suppressAutoHyphens/>
        <w:rPr>
          <w:rFonts w:ascii="Times New Roman" w:hAnsi="Times New Roman"/>
          <w:szCs w:val="24"/>
        </w:rPr>
      </w:pPr>
    </w:p>
    <w:p w14:paraId="4192CB48" w14:textId="77777777" w:rsidR="00386054" w:rsidRPr="00EF7FF5" w:rsidRDefault="00386054">
      <w:pPr>
        <w:tabs>
          <w:tab w:val="left" w:pos="-720"/>
        </w:tabs>
        <w:suppressAutoHyphens/>
        <w:rPr>
          <w:rFonts w:ascii="Times New Roman" w:hAnsi="Times New Roman"/>
          <w:szCs w:val="24"/>
        </w:rPr>
      </w:pPr>
    </w:p>
    <w:p w14:paraId="378D58C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494B3E6" w14:textId="77777777" w:rsidR="00386054" w:rsidRPr="00EF7FF5" w:rsidRDefault="00386054">
      <w:pPr>
        <w:tabs>
          <w:tab w:val="left" w:pos="-720"/>
        </w:tabs>
        <w:suppressAutoHyphens/>
        <w:rPr>
          <w:rFonts w:ascii="Times New Roman" w:hAnsi="Times New Roman"/>
          <w:szCs w:val="24"/>
        </w:rPr>
      </w:pPr>
    </w:p>
    <w:p w14:paraId="17C648F6" w14:textId="77777777" w:rsidR="00386054" w:rsidRPr="00EF7FF5" w:rsidRDefault="00386054">
      <w:pPr>
        <w:tabs>
          <w:tab w:val="left" w:pos="-720"/>
        </w:tabs>
        <w:suppressAutoHyphens/>
        <w:rPr>
          <w:rFonts w:ascii="Times New Roman" w:hAnsi="Times New Roman"/>
          <w:szCs w:val="24"/>
        </w:rPr>
      </w:pPr>
    </w:p>
    <w:p w14:paraId="2CE9C702"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F844FB3"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31F253CE"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885CE24" w14:textId="77777777" w:rsidR="00386054" w:rsidRPr="00EF7FF5" w:rsidRDefault="00386054" w:rsidP="003C29C2">
      <w:pPr>
        <w:tabs>
          <w:tab w:val="left" w:pos="-720"/>
          <w:tab w:val="left" w:pos="1247"/>
        </w:tabs>
        <w:suppressAutoHyphens/>
        <w:rPr>
          <w:rFonts w:ascii="Times New Roman" w:hAnsi="Times New Roman"/>
          <w:szCs w:val="24"/>
        </w:rPr>
      </w:pPr>
    </w:p>
    <w:p w14:paraId="00421FC9"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03CA1A4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7B5F7288" w14:textId="77777777" w:rsidR="00386054" w:rsidRPr="00EF7FF5" w:rsidRDefault="00386054">
      <w:pPr>
        <w:tabs>
          <w:tab w:val="left" w:pos="-720"/>
        </w:tabs>
        <w:suppressAutoHyphens/>
        <w:rPr>
          <w:rFonts w:ascii="Times New Roman" w:hAnsi="Times New Roman"/>
          <w:szCs w:val="24"/>
        </w:rPr>
      </w:pPr>
    </w:p>
    <w:p w14:paraId="17B9B7F7" w14:textId="77777777" w:rsidR="007015DB" w:rsidRPr="007015DB" w:rsidRDefault="007015DB" w:rsidP="007015DB">
      <w:pPr>
        <w:tabs>
          <w:tab w:val="left" w:pos="-720"/>
        </w:tabs>
        <w:suppressAutoHyphens/>
        <w:rPr>
          <w:rFonts w:ascii="Times New Roman" w:hAnsi="Times New Roman"/>
          <w:szCs w:val="24"/>
        </w:rPr>
      </w:pPr>
      <w:r w:rsidRPr="007015DB">
        <w:rPr>
          <w:rFonts w:ascii="Times New Roman" w:hAnsi="Times New Roman"/>
          <w:szCs w:val="24"/>
        </w:rPr>
        <w:t>There are no capital/startup costs to respondents, nor are there any annual costs to respondents associated with operating or maintaining systems or purchasing services.</w:t>
      </w:r>
    </w:p>
    <w:p w14:paraId="4AD34949" w14:textId="77777777" w:rsidR="00386054" w:rsidRPr="00EF7FF5" w:rsidRDefault="00386054" w:rsidP="007015DB">
      <w:pPr>
        <w:tabs>
          <w:tab w:val="left" w:pos="-720"/>
        </w:tabs>
        <w:suppressAutoHyphens/>
        <w:rPr>
          <w:rFonts w:ascii="Times New Roman" w:hAnsi="Times New Roman"/>
          <w:szCs w:val="24"/>
        </w:rPr>
      </w:pPr>
    </w:p>
    <w:p w14:paraId="26AF451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CFA7FD0" w14:textId="77777777" w:rsidR="00386054" w:rsidRPr="00EF7FF5" w:rsidRDefault="00386054">
      <w:pPr>
        <w:tabs>
          <w:tab w:val="left" w:pos="-720"/>
        </w:tabs>
        <w:suppressAutoHyphens/>
        <w:rPr>
          <w:rFonts w:ascii="Times New Roman" w:hAnsi="Times New Roman"/>
          <w:szCs w:val="24"/>
        </w:rPr>
      </w:pPr>
    </w:p>
    <w:p w14:paraId="21061D17" w14:textId="77777777" w:rsidR="00386054" w:rsidRPr="00EF7FF5" w:rsidRDefault="007015DB">
      <w:pPr>
        <w:tabs>
          <w:tab w:val="left" w:pos="-720"/>
        </w:tabs>
        <w:suppressAutoHyphens/>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he government’s contracts with its Direct Loan servicers is not based on a fee-for-service</w:t>
      </w:r>
      <w:r w:rsidR="00ED440A">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w:t>
      </w:r>
      <w:r>
        <w:rPr>
          <w:rFonts w:ascii="Times New Roman" w:hAnsi="Times New Roman"/>
          <w:szCs w:val="24"/>
        </w:rPr>
        <w:lastRenderedPageBreak/>
        <w:t xml:space="preserve">there is no significant cost associated with this collection, since FFEL Program loan holders distribute the forms, collect the information, and process the requests. </w:t>
      </w:r>
      <w:r w:rsidRPr="007015DB">
        <w:rPr>
          <w:rFonts w:ascii="Times New Roman" w:hAnsi="Times New Roman"/>
          <w:szCs w:val="24"/>
        </w:rPr>
        <w:t>The government incurs no additional cost merely as a result of this information collection.</w:t>
      </w:r>
    </w:p>
    <w:p w14:paraId="0296BC9F" w14:textId="77777777" w:rsidR="00386054" w:rsidRPr="00EF7FF5" w:rsidRDefault="00386054">
      <w:pPr>
        <w:tabs>
          <w:tab w:val="left" w:pos="-720"/>
        </w:tabs>
        <w:suppressAutoHyphens/>
        <w:rPr>
          <w:rFonts w:ascii="Times New Roman" w:hAnsi="Times New Roman"/>
          <w:szCs w:val="24"/>
        </w:rPr>
      </w:pPr>
    </w:p>
    <w:p w14:paraId="6BCEDB41" w14:textId="77777777" w:rsidR="00386054" w:rsidRPr="00EF7FF5" w:rsidRDefault="00386054">
      <w:pPr>
        <w:tabs>
          <w:tab w:val="left" w:pos="-720"/>
        </w:tabs>
        <w:suppressAutoHyphens/>
        <w:rPr>
          <w:rFonts w:ascii="Times New Roman" w:hAnsi="Times New Roman"/>
          <w:szCs w:val="24"/>
        </w:rPr>
      </w:pPr>
    </w:p>
    <w:p w14:paraId="79BE2EF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101DCA13" w14:textId="77777777" w:rsidR="00386054" w:rsidRDefault="00386054">
      <w:pPr>
        <w:tabs>
          <w:tab w:val="left" w:pos="-720"/>
        </w:tabs>
        <w:suppressAutoHyphens/>
        <w:rPr>
          <w:rFonts w:ascii="Times New Roman" w:hAnsi="Times New Roman"/>
          <w:szCs w:val="24"/>
        </w:rPr>
      </w:pPr>
    </w:p>
    <w:p w14:paraId="61DE01DC" w14:textId="77777777" w:rsidR="00776834" w:rsidRDefault="00811AF5">
      <w:pPr>
        <w:tabs>
          <w:tab w:val="left" w:pos="-720"/>
        </w:tabs>
        <w:suppressAutoHyphens/>
        <w:rPr>
          <w:rFonts w:ascii="Times New Roman" w:hAnsi="Times New Roman"/>
          <w:bCs/>
          <w:szCs w:val="24"/>
        </w:rPr>
      </w:pPr>
      <w:r w:rsidRPr="00811AF5">
        <w:rPr>
          <w:rFonts w:ascii="Times New Roman" w:hAnsi="Times New Roman"/>
          <w:bCs/>
          <w:szCs w:val="24"/>
        </w:rPr>
        <w:t xml:space="preserve">The reported increase in burden associated with 1845-0102 is caused by two factors.  The number of respondents is increasing for two reasons: (1) 1845-0102 is being combined with 1845-0014, to the extent that 1845-0014 contained information regarding the Income-Based and Income-Contingent Repayment Plans for the William D. Ford Federal Direct Loan (Direct Loan) Program </w:t>
      </w:r>
      <w:r w:rsidR="00D46655">
        <w:rPr>
          <w:rFonts w:ascii="Times New Roman" w:hAnsi="Times New Roman"/>
          <w:bCs/>
          <w:szCs w:val="24"/>
        </w:rPr>
        <w:t xml:space="preserve">and 1845-0016 </w:t>
      </w:r>
      <w:r w:rsidRPr="00811AF5">
        <w:rPr>
          <w:rFonts w:ascii="Times New Roman" w:hAnsi="Times New Roman"/>
          <w:bCs/>
          <w:szCs w:val="24"/>
        </w:rPr>
        <w:t>and (2) an adjustment to account for a greater interest in both repayment plans and the expansi</w:t>
      </w:r>
      <w:r w:rsidR="00D46655">
        <w:rPr>
          <w:rFonts w:ascii="Times New Roman" w:hAnsi="Times New Roman"/>
          <w:bCs/>
          <w:szCs w:val="24"/>
        </w:rPr>
        <w:t>on of the Direct Loan Program.</w:t>
      </w:r>
    </w:p>
    <w:p w14:paraId="1CFA2F4A" w14:textId="77777777" w:rsidR="00776834" w:rsidRDefault="00776834">
      <w:pPr>
        <w:tabs>
          <w:tab w:val="left" w:pos="-720"/>
        </w:tabs>
        <w:suppressAutoHyphens/>
        <w:rPr>
          <w:rFonts w:ascii="Times New Roman" w:hAnsi="Times New Roman"/>
          <w:bCs/>
          <w:szCs w:val="24"/>
        </w:rPr>
      </w:pPr>
    </w:p>
    <w:p w14:paraId="44F4DF9B" w14:textId="77777777" w:rsidR="00F61065" w:rsidRDefault="00F61065">
      <w:pPr>
        <w:tabs>
          <w:tab w:val="left" w:pos="-720"/>
        </w:tabs>
        <w:suppressAutoHyphens/>
        <w:rPr>
          <w:rFonts w:ascii="Times New Roman" w:hAnsi="Times New Roman"/>
          <w:snapToGrid w:val="0"/>
        </w:rPr>
      </w:pPr>
      <w:r>
        <w:rPr>
          <w:rFonts w:ascii="Times New Roman" w:hAnsi="Times New Roman"/>
          <w:snapToGrid w:val="0"/>
        </w:rPr>
        <w:t xml:space="preserve">Through the combing of multiple forms and streamlining, the Department estimates that the amount of time necessary per respondent to complete the revised from has </w:t>
      </w:r>
      <w:r w:rsidR="002C10B8">
        <w:rPr>
          <w:rFonts w:ascii="Times New Roman" w:hAnsi="Times New Roman"/>
          <w:snapToGrid w:val="0"/>
        </w:rPr>
        <w:t>decreased from 1.33 hours to 0.33</w:t>
      </w:r>
      <w:r>
        <w:rPr>
          <w:rFonts w:ascii="Times New Roman" w:hAnsi="Times New Roman"/>
          <w:snapToGrid w:val="0"/>
        </w:rPr>
        <w:t xml:space="preserve"> hours.  Therefore, though the number of respondents increasing is a natural consequence of combining multiple forms into one, there is a significant reduction in overall burden to respondents, which is masked by the increased population of respondents.</w:t>
      </w:r>
    </w:p>
    <w:p w14:paraId="01332038" w14:textId="77777777" w:rsidR="00ED24E3" w:rsidRDefault="00ED24E3">
      <w:pPr>
        <w:tabs>
          <w:tab w:val="left" w:pos="-720"/>
        </w:tabs>
        <w:suppressAutoHyphens/>
        <w:rPr>
          <w:rFonts w:ascii="Times New Roman" w:hAnsi="Times New Roman"/>
          <w:snapToGrid w:val="0"/>
        </w:rPr>
      </w:pPr>
    </w:p>
    <w:p w14:paraId="2167AED5" w14:textId="77777777" w:rsidR="00ED24E3" w:rsidRDefault="00ED24E3">
      <w:pPr>
        <w:tabs>
          <w:tab w:val="left" w:pos="-720"/>
        </w:tabs>
        <w:suppressAutoHyphens/>
        <w:rPr>
          <w:rFonts w:ascii="Times New Roman" w:hAnsi="Times New Roman"/>
          <w:snapToGrid w:val="0"/>
        </w:rPr>
      </w:pPr>
      <w:r>
        <w:rPr>
          <w:rFonts w:ascii="Times New Roman" w:hAnsi="Times New Roman"/>
          <w:snapToGrid w:val="0"/>
        </w:rPr>
        <w:t xml:space="preserve">For example, if the Department </w:t>
      </w:r>
      <w:r w:rsidR="009A00F3">
        <w:rPr>
          <w:rFonts w:ascii="Times New Roman" w:hAnsi="Times New Roman"/>
          <w:snapToGrid w:val="0"/>
        </w:rPr>
        <w:t>was</w:t>
      </w:r>
      <w:r>
        <w:rPr>
          <w:rFonts w:ascii="Times New Roman" w:hAnsi="Times New Roman"/>
          <w:snapToGrid w:val="0"/>
        </w:rPr>
        <w:t xml:space="preserve"> not combing 1845-0014 and 1845-0016 with 1845-0102, but the time per response was still reduced, t</w:t>
      </w:r>
      <w:r w:rsidR="00803C28">
        <w:rPr>
          <w:rFonts w:ascii="Times New Roman" w:hAnsi="Times New Roman"/>
          <w:snapToGrid w:val="0"/>
        </w:rPr>
        <w:t>here would be a</w:t>
      </w:r>
      <w:r>
        <w:rPr>
          <w:rFonts w:ascii="Times New Roman" w:hAnsi="Times New Roman"/>
          <w:snapToGrid w:val="0"/>
        </w:rPr>
        <w:t xml:space="preserve"> reduction in burden hours of </w:t>
      </w:r>
      <w:r w:rsidR="00D944A7">
        <w:rPr>
          <w:rFonts w:ascii="Times New Roman" w:hAnsi="Times New Roman"/>
          <w:snapToGrid w:val="0"/>
        </w:rPr>
        <w:t xml:space="preserve">705,540.  Similarly, if the Department </w:t>
      </w:r>
      <w:r w:rsidR="009A00F3">
        <w:rPr>
          <w:rFonts w:ascii="Times New Roman" w:hAnsi="Times New Roman"/>
          <w:snapToGrid w:val="0"/>
        </w:rPr>
        <w:t>was</w:t>
      </w:r>
      <w:r w:rsidR="00D944A7">
        <w:rPr>
          <w:rFonts w:ascii="Times New Roman" w:hAnsi="Times New Roman"/>
          <w:snapToGrid w:val="0"/>
        </w:rPr>
        <w:t xml:space="preserve"> combining 1845-0014 and 1845-0016 with 1845-0102, but there was no reduction in </w:t>
      </w:r>
      <w:r w:rsidR="009A00F3">
        <w:rPr>
          <w:rFonts w:ascii="Times New Roman" w:hAnsi="Times New Roman"/>
          <w:snapToGrid w:val="0"/>
        </w:rPr>
        <w:t>response</w:t>
      </w:r>
      <w:r w:rsidR="00D944A7">
        <w:rPr>
          <w:rFonts w:ascii="Times New Roman" w:hAnsi="Times New Roman"/>
          <w:snapToGrid w:val="0"/>
        </w:rPr>
        <w:t xml:space="preserve"> time, there would be </w:t>
      </w:r>
      <w:r w:rsidR="009A00F3">
        <w:rPr>
          <w:rFonts w:ascii="Times New Roman" w:hAnsi="Times New Roman"/>
          <w:snapToGrid w:val="0"/>
        </w:rPr>
        <w:t>an increase in burden of 811,3</w:t>
      </w:r>
      <w:r w:rsidR="00C21B16">
        <w:rPr>
          <w:rFonts w:ascii="Times New Roman" w:hAnsi="Times New Roman"/>
          <w:snapToGrid w:val="0"/>
        </w:rPr>
        <w:t>3</w:t>
      </w:r>
      <w:r w:rsidR="009A00F3">
        <w:rPr>
          <w:rFonts w:ascii="Times New Roman" w:hAnsi="Times New Roman"/>
          <w:snapToGrid w:val="0"/>
        </w:rPr>
        <w:t>3 caused solely by the increase reporting population.  However, because the Department is both combining multiple collections and streaming them, there is only an overa</w:t>
      </w:r>
      <w:r w:rsidR="00C21B16">
        <w:rPr>
          <w:rFonts w:ascii="Times New Roman" w:hAnsi="Times New Roman"/>
          <w:snapToGrid w:val="0"/>
        </w:rPr>
        <w:t>ll increase in burden of 105,793</w:t>
      </w:r>
      <w:r w:rsidR="009A00F3">
        <w:rPr>
          <w:rFonts w:ascii="Times New Roman" w:hAnsi="Times New Roman"/>
          <w:snapToGrid w:val="0"/>
        </w:rPr>
        <w:t>.</w:t>
      </w:r>
    </w:p>
    <w:p w14:paraId="21AAD47C" w14:textId="77777777" w:rsidR="00386054" w:rsidRPr="00EF7FF5" w:rsidRDefault="00386054">
      <w:pPr>
        <w:tabs>
          <w:tab w:val="left" w:pos="-720"/>
        </w:tabs>
        <w:suppressAutoHyphens/>
        <w:rPr>
          <w:rFonts w:ascii="Times New Roman" w:hAnsi="Times New Roman"/>
          <w:szCs w:val="24"/>
        </w:rPr>
      </w:pPr>
    </w:p>
    <w:p w14:paraId="31A6536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D98684" w14:textId="77777777" w:rsidR="00386054" w:rsidRPr="00EF7FF5" w:rsidRDefault="00386054">
      <w:pPr>
        <w:tabs>
          <w:tab w:val="left" w:pos="-720"/>
        </w:tabs>
        <w:suppressAutoHyphens/>
        <w:rPr>
          <w:rFonts w:ascii="Times New Roman" w:hAnsi="Times New Roman"/>
          <w:szCs w:val="24"/>
        </w:rPr>
      </w:pPr>
    </w:p>
    <w:p w14:paraId="380A6915" w14:textId="77777777" w:rsidR="00386054" w:rsidRPr="00EF7FF5" w:rsidRDefault="002E707E">
      <w:pPr>
        <w:tabs>
          <w:tab w:val="left" w:pos="-720"/>
        </w:tabs>
        <w:suppressAutoHyphens/>
        <w:rPr>
          <w:rFonts w:ascii="Times New Roman" w:hAnsi="Times New Roman"/>
          <w:szCs w:val="24"/>
        </w:rPr>
      </w:pPr>
      <w:r w:rsidRPr="002E707E">
        <w:rPr>
          <w:rFonts w:ascii="Times New Roman" w:hAnsi="Times New Roman"/>
          <w:szCs w:val="24"/>
        </w:rPr>
        <w:t>The results of this collection of information will not be published.</w:t>
      </w:r>
    </w:p>
    <w:p w14:paraId="026E14D0" w14:textId="77777777" w:rsidR="00386054" w:rsidRPr="00EF7FF5" w:rsidRDefault="00386054">
      <w:pPr>
        <w:tabs>
          <w:tab w:val="left" w:pos="-720"/>
        </w:tabs>
        <w:suppressAutoHyphens/>
        <w:rPr>
          <w:rFonts w:ascii="Times New Roman" w:hAnsi="Times New Roman"/>
          <w:szCs w:val="24"/>
        </w:rPr>
      </w:pPr>
    </w:p>
    <w:p w14:paraId="54211C4B" w14:textId="77777777" w:rsidR="00386054" w:rsidRPr="00EF7FF5" w:rsidRDefault="00386054">
      <w:pPr>
        <w:tabs>
          <w:tab w:val="left" w:pos="-720"/>
        </w:tabs>
        <w:suppressAutoHyphens/>
        <w:rPr>
          <w:rFonts w:ascii="Times New Roman" w:hAnsi="Times New Roman"/>
          <w:szCs w:val="24"/>
        </w:rPr>
      </w:pPr>
    </w:p>
    <w:p w14:paraId="154753F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6C6C4E91" w14:textId="77777777" w:rsidR="00386054" w:rsidRPr="00EF7FF5" w:rsidRDefault="00386054">
      <w:pPr>
        <w:tabs>
          <w:tab w:val="left" w:pos="-720"/>
        </w:tabs>
        <w:suppressAutoHyphens/>
        <w:rPr>
          <w:rFonts w:ascii="Times New Roman" w:hAnsi="Times New Roman"/>
          <w:szCs w:val="24"/>
        </w:rPr>
      </w:pPr>
    </w:p>
    <w:p w14:paraId="120F00D9" w14:textId="77777777"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seeking this approval.</w:t>
      </w:r>
    </w:p>
    <w:p w14:paraId="64A03529" w14:textId="77777777" w:rsidR="00386054" w:rsidRPr="00EF7FF5" w:rsidRDefault="00386054">
      <w:pPr>
        <w:tabs>
          <w:tab w:val="left" w:pos="-720"/>
        </w:tabs>
        <w:suppressAutoHyphens/>
        <w:rPr>
          <w:rFonts w:ascii="Times New Roman" w:hAnsi="Times New Roman"/>
          <w:szCs w:val="24"/>
        </w:rPr>
      </w:pPr>
    </w:p>
    <w:p w14:paraId="712445CD" w14:textId="77777777" w:rsidR="00386054" w:rsidRPr="00EF7FF5" w:rsidRDefault="00386054">
      <w:pPr>
        <w:tabs>
          <w:tab w:val="left" w:pos="-720"/>
        </w:tabs>
        <w:suppressAutoHyphens/>
        <w:rPr>
          <w:rFonts w:ascii="Times New Roman" w:hAnsi="Times New Roman"/>
          <w:szCs w:val="24"/>
        </w:rPr>
      </w:pPr>
    </w:p>
    <w:p w14:paraId="1796B67F"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BE3E4B5" w14:textId="77777777" w:rsidR="002E707E" w:rsidRDefault="002E707E">
      <w:pPr>
        <w:tabs>
          <w:tab w:val="left" w:pos="-720"/>
        </w:tabs>
        <w:suppressAutoHyphens/>
        <w:rPr>
          <w:rStyle w:val="a"/>
          <w:rFonts w:ascii="Times New Roman" w:hAnsi="Times New Roman"/>
          <w:szCs w:val="24"/>
        </w:rPr>
      </w:pPr>
    </w:p>
    <w:p w14:paraId="40C99A91" w14:textId="77777777" w:rsidR="002E707E" w:rsidRPr="002E707E" w:rsidRDefault="002E707E" w:rsidP="002E707E">
      <w:pPr>
        <w:tabs>
          <w:tab w:val="left" w:pos="-720"/>
        </w:tabs>
        <w:suppressAutoHyphens/>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p w14:paraId="113B89F7" w14:textId="77777777" w:rsidR="002E707E" w:rsidRPr="00EF7FF5" w:rsidRDefault="002E707E">
      <w:pPr>
        <w:tabs>
          <w:tab w:val="left" w:pos="-720"/>
        </w:tabs>
        <w:suppressAutoHyphens/>
        <w:rPr>
          <w:rFonts w:ascii="Times New Roman" w:hAnsi="Times New Roman"/>
          <w:szCs w:val="24"/>
        </w:rPr>
      </w:pPr>
    </w:p>
    <w:sectPr w:rsidR="002E707E"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872E7" w14:textId="77777777" w:rsidR="00F33DE0" w:rsidRDefault="00F33DE0">
      <w:pPr>
        <w:spacing w:line="20" w:lineRule="exact"/>
      </w:pPr>
    </w:p>
  </w:endnote>
  <w:endnote w:type="continuationSeparator" w:id="0">
    <w:p w14:paraId="052604C7" w14:textId="77777777" w:rsidR="00F33DE0" w:rsidRDefault="00F33DE0">
      <w:r>
        <w:t xml:space="preserve"> </w:t>
      </w:r>
    </w:p>
  </w:endnote>
  <w:endnote w:type="continuationNotice" w:id="1">
    <w:p w14:paraId="5E7E8AE3" w14:textId="77777777" w:rsidR="00F33DE0" w:rsidRDefault="00F33D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797E1" w14:textId="77777777" w:rsidR="00F33DE0" w:rsidRDefault="00F33DE0">
    <w:pPr>
      <w:spacing w:before="140" w:line="100" w:lineRule="exact"/>
      <w:rPr>
        <w:sz w:val="10"/>
      </w:rPr>
    </w:pPr>
  </w:p>
  <w:p w14:paraId="59FA5ECA" w14:textId="77777777" w:rsidR="00F33DE0" w:rsidRDefault="00F33DE0">
    <w:pPr>
      <w:tabs>
        <w:tab w:val="left" w:pos="0"/>
      </w:tabs>
      <w:suppressAutoHyphens/>
    </w:pPr>
  </w:p>
  <w:p w14:paraId="7513533B" w14:textId="77777777" w:rsidR="00F33DE0" w:rsidRDefault="00897085">
    <w:pPr>
      <w:tabs>
        <w:tab w:val="left" w:pos="0"/>
      </w:tabs>
      <w:suppressAutoHyphens/>
    </w:pPr>
    <w:r>
      <w:rPr>
        <w:noProof/>
      </w:rPr>
      <w:pict w14:anchorId="505E9380">
        <v:rect id="_x0000_s2049" style="position:absolute;margin-left:1.5pt;margin-top:12pt;width:465pt;height:12pt;z-index:-251658752;mso-position-horizontal-relative:margin" o:allowincell="f" filled="f" stroked="f" strokeweight="0">
          <v:textbox inset="0,0,0,0">
            <w:txbxContent>
              <w:p w14:paraId="39D6F4A2" w14:textId="77777777" w:rsidR="00F33DE0" w:rsidRDefault="00F33DE0">
                <w:pPr>
                  <w:tabs>
                    <w:tab w:val="center" w:pos="4650"/>
                  </w:tabs>
                  <w:suppressAutoHyphens/>
                  <w:jc w:val="both"/>
                </w:pPr>
                <w:r>
                  <w:tab/>
                </w:r>
                <w:r>
                  <w:fldChar w:fldCharType="begin"/>
                </w:r>
                <w:r>
                  <w:instrText>page \* arabic</w:instrText>
                </w:r>
                <w:r>
                  <w:fldChar w:fldCharType="separate"/>
                </w:r>
                <w:r w:rsidR="00897085">
                  <w:rPr>
                    <w:noProof/>
                  </w:rPr>
                  <w:t>1</w:t>
                </w:r>
                <w:r>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881AD" w14:textId="77777777" w:rsidR="00F33DE0" w:rsidRDefault="00F33DE0">
      <w:r>
        <w:separator/>
      </w:r>
    </w:p>
  </w:footnote>
  <w:footnote w:type="continuationSeparator" w:id="0">
    <w:p w14:paraId="53F06581" w14:textId="77777777" w:rsidR="00F33DE0" w:rsidRDefault="00F33DE0">
      <w:r>
        <w:continuationSeparator/>
      </w:r>
    </w:p>
  </w:footnote>
  <w:footnote w:id="1">
    <w:p w14:paraId="574D8897" w14:textId="77777777" w:rsidR="00F33DE0" w:rsidRDefault="00F33DE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47DE2B2" w14:textId="77777777" w:rsidR="00F33DE0" w:rsidRDefault="00F33DE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1C465" w14:textId="77777777" w:rsidR="00F33DE0" w:rsidRDefault="00F33DE0">
    <w:pPr>
      <w:pStyle w:val="Header"/>
      <w:rPr>
        <w:rFonts w:ascii="Times New Roman" w:hAnsi="Times New Roman"/>
        <w:sz w:val="20"/>
      </w:rPr>
    </w:pPr>
    <w:r>
      <w:rPr>
        <w:rFonts w:ascii="Times New Roman" w:hAnsi="Times New Roman"/>
        <w:sz w:val="20"/>
      </w:rPr>
      <w:t>EDICS Tracking and OMB Number: (04906) 1845-0102                                         Revised: 10/26/2012</w:t>
    </w:r>
  </w:p>
  <w:p w14:paraId="41381914" w14:textId="77777777" w:rsidR="00F33DE0" w:rsidRPr="00386054" w:rsidRDefault="00F33DE0">
    <w:pPr>
      <w:pStyle w:val="Header"/>
      <w:rPr>
        <w:rFonts w:ascii="Times New Roman" w:hAnsi="Times New Roman"/>
        <w:sz w:val="20"/>
      </w:rPr>
    </w:pPr>
    <w:r>
      <w:rPr>
        <w:rFonts w:ascii="Times New Roman" w:hAnsi="Times New Roman"/>
        <w:sz w:val="20"/>
      </w:rPr>
      <w:t>RIN Number: N/A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543F445D"/>
    <w:multiLevelType w:val="hybridMultilevel"/>
    <w:tmpl w:val="DA32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80581"/>
    <w:rsid w:val="000909E0"/>
    <w:rsid w:val="000B14D8"/>
    <w:rsid w:val="000E592D"/>
    <w:rsid w:val="000F175B"/>
    <w:rsid w:val="00126F39"/>
    <w:rsid w:val="0014500F"/>
    <w:rsid w:val="00153F20"/>
    <w:rsid w:val="001743A5"/>
    <w:rsid w:val="0018279C"/>
    <w:rsid w:val="001E2B32"/>
    <w:rsid w:val="002035D2"/>
    <w:rsid w:val="00220AD4"/>
    <w:rsid w:val="002473CE"/>
    <w:rsid w:val="002B0412"/>
    <w:rsid w:val="002B0A95"/>
    <w:rsid w:val="002C10B8"/>
    <w:rsid w:val="002E707E"/>
    <w:rsid w:val="00324C77"/>
    <w:rsid w:val="00374E97"/>
    <w:rsid w:val="00386054"/>
    <w:rsid w:val="003A230B"/>
    <w:rsid w:val="003C29C2"/>
    <w:rsid w:val="003C7F70"/>
    <w:rsid w:val="003E285A"/>
    <w:rsid w:val="004257C2"/>
    <w:rsid w:val="004A2DBB"/>
    <w:rsid w:val="004B549D"/>
    <w:rsid w:val="004C0195"/>
    <w:rsid w:val="004E23D9"/>
    <w:rsid w:val="004F692A"/>
    <w:rsid w:val="00512598"/>
    <w:rsid w:val="00563CCF"/>
    <w:rsid w:val="005A1566"/>
    <w:rsid w:val="005A1DFC"/>
    <w:rsid w:val="005A4185"/>
    <w:rsid w:val="005D2E7B"/>
    <w:rsid w:val="005D7415"/>
    <w:rsid w:val="0063484C"/>
    <w:rsid w:val="00654305"/>
    <w:rsid w:val="00671EFB"/>
    <w:rsid w:val="0067308A"/>
    <w:rsid w:val="006737C0"/>
    <w:rsid w:val="00677BC2"/>
    <w:rsid w:val="006A2533"/>
    <w:rsid w:val="006A3B5C"/>
    <w:rsid w:val="006C01D0"/>
    <w:rsid w:val="007015DB"/>
    <w:rsid w:val="007661D9"/>
    <w:rsid w:val="00776834"/>
    <w:rsid w:val="007920B5"/>
    <w:rsid w:val="007B14E8"/>
    <w:rsid w:val="007B5949"/>
    <w:rsid w:val="007C12B5"/>
    <w:rsid w:val="007C6295"/>
    <w:rsid w:val="007E77FA"/>
    <w:rsid w:val="008011B6"/>
    <w:rsid w:val="00803C28"/>
    <w:rsid w:val="008049AE"/>
    <w:rsid w:val="00811AF5"/>
    <w:rsid w:val="00897085"/>
    <w:rsid w:val="008A46D0"/>
    <w:rsid w:val="008F3062"/>
    <w:rsid w:val="00921CB1"/>
    <w:rsid w:val="009544A3"/>
    <w:rsid w:val="009663BE"/>
    <w:rsid w:val="009949A8"/>
    <w:rsid w:val="009A00F3"/>
    <w:rsid w:val="009D7726"/>
    <w:rsid w:val="00A01331"/>
    <w:rsid w:val="00A41F2C"/>
    <w:rsid w:val="00A87940"/>
    <w:rsid w:val="00A94CCB"/>
    <w:rsid w:val="00AA175C"/>
    <w:rsid w:val="00AB0D7D"/>
    <w:rsid w:val="00AD5F54"/>
    <w:rsid w:val="00AF11D2"/>
    <w:rsid w:val="00B23EC0"/>
    <w:rsid w:val="00BC244F"/>
    <w:rsid w:val="00BD1325"/>
    <w:rsid w:val="00C171A6"/>
    <w:rsid w:val="00C21B16"/>
    <w:rsid w:val="00C641E9"/>
    <w:rsid w:val="00C723C2"/>
    <w:rsid w:val="00CE1052"/>
    <w:rsid w:val="00CE72AF"/>
    <w:rsid w:val="00D115BF"/>
    <w:rsid w:val="00D269C3"/>
    <w:rsid w:val="00D44096"/>
    <w:rsid w:val="00D46655"/>
    <w:rsid w:val="00D52B14"/>
    <w:rsid w:val="00D734E3"/>
    <w:rsid w:val="00D944A7"/>
    <w:rsid w:val="00E023B7"/>
    <w:rsid w:val="00E07290"/>
    <w:rsid w:val="00E07827"/>
    <w:rsid w:val="00E67FC3"/>
    <w:rsid w:val="00EA3C1F"/>
    <w:rsid w:val="00EC2CC4"/>
    <w:rsid w:val="00ED199A"/>
    <w:rsid w:val="00ED24E3"/>
    <w:rsid w:val="00ED440A"/>
    <w:rsid w:val="00EF1950"/>
    <w:rsid w:val="00EF7FF5"/>
    <w:rsid w:val="00F14376"/>
    <w:rsid w:val="00F313DF"/>
    <w:rsid w:val="00F33DE0"/>
    <w:rsid w:val="00F61065"/>
    <w:rsid w:val="00F627E3"/>
    <w:rsid w:val="00FA4BE0"/>
    <w:rsid w:val="00FD010F"/>
    <w:rsid w:val="00FE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615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37A6-1A0E-4654-9ADC-FBB7BAC4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3582</Words>
  <Characters>19566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2010-08-23T18:41:00Z</cp:lastPrinted>
  <dcterms:created xsi:type="dcterms:W3CDTF">2012-11-30T15:22:00Z</dcterms:created>
  <dcterms:modified xsi:type="dcterms:W3CDTF">2012-11-30T15:22:00Z</dcterms:modified>
</cp:coreProperties>
</file>