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AE6" w:rsidRPr="000A1AC8" w:rsidRDefault="00CA6AE6" w:rsidP="00AE34E0">
      <w:pPr>
        <w:pStyle w:val="Title"/>
        <w:ind w:right="-480"/>
        <w:rPr>
          <w:rFonts w:ascii="Times New Roman" w:hAnsi="Times New Roman"/>
          <w:b/>
          <w:bCs/>
          <w:szCs w:val="24"/>
        </w:rPr>
      </w:pPr>
      <w:bookmarkStart w:id="0" w:name="_GoBack"/>
      <w:bookmarkEnd w:id="0"/>
      <w:r w:rsidRPr="000A1AC8">
        <w:rPr>
          <w:rFonts w:ascii="Times New Roman" w:hAnsi="Times New Roman"/>
          <w:b/>
          <w:bCs/>
          <w:szCs w:val="24"/>
        </w:rPr>
        <w:t>Supporting Statement for</w:t>
      </w:r>
    </w:p>
    <w:p w:rsidR="00CA6AE6" w:rsidRDefault="00CA6AE6" w:rsidP="00AE34E0">
      <w:pPr>
        <w:ind w:right="-480"/>
        <w:jc w:val="center"/>
        <w:rPr>
          <w:b/>
          <w:bCs/>
        </w:rPr>
      </w:pPr>
      <w:r w:rsidRPr="000A1AC8">
        <w:rPr>
          <w:b/>
          <w:bCs/>
        </w:rPr>
        <w:t xml:space="preserve">Consolidated Reports of Condition and Income </w:t>
      </w:r>
    </w:p>
    <w:p w:rsidR="00CA6AE6" w:rsidRPr="000A1AC8" w:rsidRDefault="00CA6AE6" w:rsidP="00AE34E0">
      <w:pPr>
        <w:ind w:right="-480"/>
        <w:jc w:val="center"/>
        <w:rPr>
          <w:b/>
          <w:bCs/>
        </w:rPr>
      </w:pPr>
      <w:r w:rsidRPr="000A1AC8">
        <w:rPr>
          <w:b/>
          <w:bCs/>
        </w:rPr>
        <w:t>(Interagency Call Report)</w:t>
      </w:r>
    </w:p>
    <w:p w:rsidR="00CA6AE6" w:rsidRPr="000A1AC8" w:rsidRDefault="00CA6AE6" w:rsidP="00AE34E0">
      <w:pPr>
        <w:ind w:right="-480"/>
        <w:jc w:val="center"/>
        <w:rPr>
          <w:b/>
          <w:bCs/>
        </w:rPr>
      </w:pPr>
      <w:r w:rsidRPr="000A1AC8">
        <w:rPr>
          <w:b/>
          <w:bCs/>
        </w:rPr>
        <w:t>OMB Control No. 1557-0081</w:t>
      </w:r>
    </w:p>
    <w:p w:rsidR="00CA6AE6" w:rsidRDefault="00CA6AE6" w:rsidP="00AE34E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24"/>
        </w:rPr>
      </w:pPr>
    </w:p>
    <w:p w:rsidR="00CA6AE6" w:rsidRDefault="00CA6AE6" w:rsidP="00AE34E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firstLine="720"/>
        <w:rPr>
          <w:rFonts w:ascii="Times New Roman" w:hAnsi="Times New Roman"/>
          <w:sz w:val="24"/>
        </w:rPr>
      </w:pPr>
    </w:p>
    <w:p w:rsidR="00CA6AE6" w:rsidRPr="0057093A" w:rsidRDefault="00CA6AE6" w:rsidP="00AE34E0">
      <w:pPr>
        <w:rPr>
          <w:color w:val="000000"/>
          <w:szCs w:val="20"/>
        </w:rPr>
      </w:pPr>
      <w:r w:rsidRPr="0057093A">
        <w:rPr>
          <w:color w:val="000000"/>
          <w:szCs w:val="20"/>
        </w:rPr>
        <w:t>A.</w:t>
      </w:r>
      <w:r w:rsidRPr="0057093A">
        <w:rPr>
          <w:color w:val="000000"/>
          <w:szCs w:val="20"/>
        </w:rPr>
        <w:tab/>
      </w:r>
      <w:r w:rsidRPr="0057093A">
        <w:rPr>
          <w:color w:val="000000"/>
          <w:szCs w:val="20"/>
          <w:u w:val="single"/>
        </w:rPr>
        <w:t>JUSTIFICATION</w:t>
      </w:r>
    </w:p>
    <w:p w:rsidR="00CA6AE6" w:rsidRPr="0057093A" w:rsidRDefault="00CA6AE6" w:rsidP="00AE34E0">
      <w:pPr>
        <w:tabs>
          <w:tab w:val="left" w:pos="432"/>
          <w:tab w:val="left" w:pos="1296"/>
          <w:tab w:val="left" w:pos="1728"/>
          <w:tab w:val="left" w:pos="4176"/>
        </w:tabs>
        <w:ind w:left="432" w:hanging="432"/>
        <w:rPr>
          <w:color w:val="000000"/>
          <w:szCs w:val="20"/>
        </w:rPr>
      </w:pPr>
    </w:p>
    <w:p w:rsidR="00CA6AE6" w:rsidRDefault="00CA6AE6" w:rsidP="00AE34E0">
      <w:pPr>
        <w:numPr>
          <w:ilvl w:val="0"/>
          <w:numId w:val="5"/>
        </w:numPr>
        <w:tabs>
          <w:tab w:val="left" w:pos="432"/>
          <w:tab w:val="left" w:pos="1728"/>
          <w:tab w:val="left" w:pos="4176"/>
        </w:tabs>
        <w:ind w:left="432" w:hanging="432"/>
        <w:rPr>
          <w:color w:val="000000"/>
          <w:szCs w:val="20"/>
          <w:u w:val="single"/>
        </w:rPr>
      </w:pPr>
      <w:r w:rsidRPr="0057093A">
        <w:rPr>
          <w:color w:val="000000"/>
          <w:szCs w:val="20"/>
          <w:u w:val="single"/>
        </w:rPr>
        <w:t>Circumstances and Need</w:t>
      </w:r>
    </w:p>
    <w:p w:rsidR="00A45144" w:rsidRDefault="00A45144" w:rsidP="00AE34E0">
      <w:pPr>
        <w:tabs>
          <w:tab w:val="left" w:pos="432"/>
          <w:tab w:val="left" w:pos="1728"/>
          <w:tab w:val="left" w:pos="4176"/>
        </w:tabs>
        <w:rPr>
          <w:color w:val="000000"/>
          <w:szCs w:val="20"/>
          <w:u w:val="single"/>
        </w:rPr>
      </w:pPr>
    </w:p>
    <w:p w:rsidR="00A45144" w:rsidRPr="0057093A" w:rsidRDefault="00A45144" w:rsidP="00AE34E0">
      <w:pPr>
        <w:tabs>
          <w:tab w:val="left" w:pos="432"/>
          <w:tab w:val="left" w:pos="720"/>
          <w:tab w:val="left" w:pos="1728"/>
          <w:tab w:val="left" w:pos="4176"/>
        </w:tabs>
        <w:rPr>
          <w:color w:val="000000"/>
          <w:szCs w:val="20"/>
          <w:u w:val="single"/>
        </w:rPr>
      </w:pPr>
      <w:r>
        <w:tab/>
        <w:t xml:space="preserve">    </w:t>
      </w:r>
      <w:r w:rsidRPr="001212C3">
        <w:t>Institutions submit Call Report data to the agencies each quarter for the agencies’ use in monitoring the condition, performance, and risk profile of individual institutions and the industry as a whole.  Call Report data provide the most current statistical data available for evaluating institutions</w:t>
      </w:r>
      <w:r w:rsidRPr="001212C3">
        <w:rPr>
          <w:color w:val="000000"/>
        </w:rPr>
        <w:t>’</w:t>
      </w:r>
      <w:r w:rsidRPr="001212C3">
        <w:t xml:space="preserve"> corporate applications, identifying areas of focus for on-site and off-site examinations, and monetary and other public policy purposes.  The agencies use Call</w:t>
      </w:r>
      <w:r>
        <w:t> </w:t>
      </w:r>
      <w:r w:rsidRPr="001212C3">
        <w:t xml:space="preserve">Report </w:t>
      </w:r>
      <w:r>
        <w:t>d</w:t>
      </w:r>
      <w:r w:rsidRPr="001212C3">
        <w:t xml:space="preserve">ata in evaluating interstate merger and acquisition applications to determine, as required by law, whether the resulting institution would control more than </w:t>
      </w:r>
      <w:r>
        <w:t>ten</w:t>
      </w:r>
      <w:r w:rsidRPr="001212C3">
        <w:t xml:space="preserve"> percent of the total amount of deposits of insured depository institutions in the United States.</w:t>
      </w:r>
      <w:r>
        <w:t xml:space="preserve">  </w:t>
      </w:r>
      <w:r w:rsidRPr="001212C3">
        <w:t xml:space="preserve">Call Report data </w:t>
      </w:r>
      <w:proofErr w:type="gramStart"/>
      <w:r>
        <w:t xml:space="preserve">are </w:t>
      </w:r>
      <w:r w:rsidR="00320518">
        <w:t xml:space="preserve">also </w:t>
      </w:r>
      <w:r w:rsidRPr="001212C3">
        <w:t>used</w:t>
      </w:r>
      <w:proofErr w:type="gramEnd"/>
      <w:r w:rsidRPr="001212C3">
        <w:t xml:space="preserve"> to calculate institutions</w:t>
      </w:r>
      <w:r w:rsidRPr="001212C3">
        <w:rPr>
          <w:color w:val="000000"/>
        </w:rPr>
        <w:t>’</w:t>
      </w:r>
      <w:r w:rsidRPr="001212C3">
        <w:t xml:space="preserve"> deposit insurance and Financing Corporation assessments</w:t>
      </w:r>
      <w:r>
        <w:t xml:space="preserve"> and </w:t>
      </w:r>
      <w:r w:rsidRPr="001212C3">
        <w:t xml:space="preserve">national banks’ </w:t>
      </w:r>
      <w:r>
        <w:t xml:space="preserve">and federal savings associations’ </w:t>
      </w:r>
      <w:r w:rsidRPr="001212C3">
        <w:t>semiannual</w:t>
      </w:r>
      <w:r>
        <w:t xml:space="preserve"> </w:t>
      </w:r>
      <w:r w:rsidRPr="001212C3">
        <w:t>assessment fees</w:t>
      </w:r>
      <w:r w:rsidRPr="000F373C">
        <w:t>.</w:t>
      </w:r>
    </w:p>
    <w:p w:rsidR="00CA6AE6" w:rsidRDefault="00CA6AE6" w:rsidP="00AE34E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ind w:left="1287"/>
        <w:rPr>
          <w:rFonts w:ascii="Times New Roman" w:hAnsi="Times New Roman"/>
          <w:sz w:val="24"/>
          <w:szCs w:val="24"/>
        </w:rPr>
      </w:pPr>
    </w:p>
    <w:p w:rsidR="00245252" w:rsidRPr="00F25659" w:rsidRDefault="0097330C" w:rsidP="00AE34E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24"/>
          <w:szCs w:val="24"/>
        </w:rPr>
      </w:pPr>
      <w:r>
        <w:rPr>
          <w:rFonts w:ascii="Times New Roman" w:hAnsi="Times New Roman"/>
          <w:sz w:val="24"/>
          <w:szCs w:val="24"/>
        </w:rPr>
        <w:tab/>
      </w:r>
      <w:r w:rsidR="00F25659" w:rsidRPr="00F25659">
        <w:rPr>
          <w:rFonts w:ascii="Times New Roman" w:hAnsi="Times New Roman"/>
          <w:sz w:val="24"/>
          <w:szCs w:val="24"/>
        </w:rPr>
        <w:t>I</w:t>
      </w:r>
      <w:r w:rsidR="006E764B" w:rsidRPr="00F25659">
        <w:rPr>
          <w:rFonts w:ascii="Times New Roman" w:hAnsi="Times New Roman"/>
          <w:sz w:val="24"/>
          <w:szCs w:val="24"/>
        </w:rPr>
        <w:t xml:space="preserve">n February 21, 2013, </w:t>
      </w:r>
      <w:r w:rsidR="005422EE">
        <w:rPr>
          <w:rFonts w:ascii="Times New Roman" w:hAnsi="Times New Roman"/>
          <w:sz w:val="24"/>
          <w:szCs w:val="24"/>
        </w:rPr>
        <w:t>the Agencies</w:t>
      </w:r>
      <w:r w:rsidR="006E764B" w:rsidRPr="00F25659">
        <w:rPr>
          <w:rFonts w:ascii="Times New Roman" w:hAnsi="Times New Roman"/>
          <w:sz w:val="24"/>
          <w:szCs w:val="24"/>
        </w:rPr>
        <w:t xml:space="preserve"> requested public comment for 60 days on a proposal to extend, with revision, the Call Report</w:t>
      </w:r>
      <w:r w:rsidR="005422EE">
        <w:rPr>
          <w:rFonts w:ascii="Times New Roman" w:hAnsi="Times New Roman"/>
          <w:sz w:val="24"/>
          <w:szCs w:val="24"/>
        </w:rPr>
        <w:t>.</w:t>
      </w:r>
      <w:r w:rsidR="006E764B" w:rsidRPr="00F25659">
        <w:rPr>
          <w:rFonts w:ascii="Times New Roman" w:hAnsi="Times New Roman"/>
          <w:sz w:val="24"/>
          <w:szCs w:val="24"/>
        </w:rPr>
        <w:t xml:space="preserve">  After considering the comments received on the proposal, the FFIEC and the agencies announced their final decisions regarding certain proposed revisions on May 23, 2013, which took effect June 30, 2013.  The agencies also announced they were continuing to evaluate the other Call Report changes proposed in February 2013 in light of the comments received and would not implement these changes as of June 30, 2013 (and, in one case, as of December 31, 2013), as had been proposed.  </w:t>
      </w:r>
    </w:p>
    <w:p w:rsidR="006E764B" w:rsidRPr="00F25659" w:rsidRDefault="006E764B" w:rsidP="00AE34E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z w:val="24"/>
          <w:szCs w:val="24"/>
        </w:rPr>
      </w:pPr>
    </w:p>
    <w:p w:rsidR="006E764B" w:rsidRPr="00F25659" w:rsidRDefault="006E764B" w:rsidP="00AE34E0">
      <w:pPr>
        <w:pStyle w:val="Preformatted"/>
        <w:ind w:firstLine="720"/>
        <w:rPr>
          <w:rFonts w:ascii="Times New Roman" w:hAnsi="Times New Roman"/>
          <w:sz w:val="24"/>
        </w:rPr>
      </w:pPr>
      <w:proofErr w:type="gramStart"/>
      <w:r w:rsidRPr="00F25659">
        <w:rPr>
          <w:rFonts w:ascii="Times New Roman" w:hAnsi="Times New Roman"/>
          <w:sz w:val="24"/>
          <w:szCs w:val="24"/>
        </w:rPr>
        <w:t>The FFIEC and the agencies have now completed their evaluation of these other proposed changes and plan to implement in March 2014 the proposed reporting requirements for depository institution trade names; a modified version of the reporting proposal pertaining to international remittance transfers; the proposed screening question about the reporting institution’s offering of consumer deposit accounts; and, for institutions with $1 billion or more in total assets that offer such accounts, the proposed new data items on consumer deposit account balances.</w:t>
      </w:r>
      <w:proofErr w:type="gramEnd"/>
      <w:r w:rsidRPr="00F25659">
        <w:rPr>
          <w:rFonts w:ascii="Times New Roman" w:hAnsi="Times New Roman"/>
          <w:sz w:val="24"/>
          <w:szCs w:val="24"/>
        </w:rPr>
        <w:t xml:space="preserve">  The FFIEC and the agencies would then implement the proposed breakdown of consumer deposit account service charges in March 2015, but only for institutions with $1 billion or more in total assets that offer consumer deposit accounts.  The proposed instructions for these new items </w:t>
      </w:r>
      <w:proofErr w:type="gramStart"/>
      <w:r w:rsidRPr="00F25659">
        <w:rPr>
          <w:rFonts w:ascii="Times New Roman" w:hAnsi="Times New Roman"/>
          <w:sz w:val="24"/>
          <w:szCs w:val="24"/>
        </w:rPr>
        <w:t>have been revised</w:t>
      </w:r>
      <w:proofErr w:type="gramEnd"/>
      <w:r w:rsidRPr="00F25659">
        <w:rPr>
          <w:rFonts w:ascii="Times New Roman" w:hAnsi="Times New Roman"/>
          <w:sz w:val="24"/>
          <w:szCs w:val="24"/>
        </w:rPr>
        <w:t xml:space="preserve"> in response to comments received.  In addition, the FFIEC and the agencies have decided not to proceed at this time with the proposed annual reporting by institutions with a parent holding company that is not a bank or savings and loan holding company of the amount of the parent holding company’s consolidated total liabilities.  </w:t>
      </w:r>
    </w:p>
    <w:p w:rsidR="00172AC4" w:rsidRPr="00F25659" w:rsidRDefault="00172AC4" w:rsidP="00AE34E0">
      <w:pPr>
        <w:autoSpaceDE w:val="0"/>
        <w:autoSpaceDN w:val="0"/>
        <w:adjustRightInd w:val="0"/>
      </w:pPr>
    </w:p>
    <w:p w:rsidR="00172AC4" w:rsidRPr="00F25659" w:rsidRDefault="00172AC4" w:rsidP="00AE34E0">
      <w:pPr>
        <w:autoSpaceDE w:val="0"/>
        <w:autoSpaceDN w:val="0"/>
        <w:adjustRightInd w:val="0"/>
      </w:pPr>
    </w:p>
    <w:p w:rsidR="00172AC4" w:rsidRPr="00F25659" w:rsidRDefault="00172AC4" w:rsidP="00AE34E0">
      <w:pPr>
        <w:autoSpaceDE w:val="0"/>
        <w:autoSpaceDN w:val="0"/>
        <w:adjustRightInd w:val="0"/>
      </w:pPr>
    </w:p>
    <w:p w:rsidR="002B641E" w:rsidRDefault="002B641E" w:rsidP="00AE34E0">
      <w:pPr>
        <w:pStyle w:val="Preformatted"/>
        <w:tabs>
          <w:tab w:val="clear" w:pos="959"/>
          <w:tab w:val="clear" w:pos="1918"/>
          <w:tab w:val="clear" w:pos="2877"/>
          <w:tab w:val="clear" w:pos="3836"/>
          <w:tab w:val="clear" w:pos="4795"/>
          <w:tab w:val="clear" w:pos="5754"/>
          <w:tab w:val="clear" w:pos="6713"/>
          <w:tab w:val="clear" w:pos="7672"/>
          <w:tab w:val="clear" w:pos="8631"/>
          <w:tab w:val="clear" w:pos="9590"/>
          <w:tab w:val="left" w:pos="1296"/>
          <w:tab w:val="left" w:pos="1728"/>
          <w:tab w:val="left" w:pos="4176"/>
        </w:tabs>
        <w:rPr>
          <w:rFonts w:ascii="Times New Roman" w:hAnsi="Times New Roman"/>
          <w:color w:val="000000"/>
          <w:sz w:val="24"/>
          <w:szCs w:val="24"/>
        </w:rPr>
      </w:pPr>
    </w:p>
    <w:p w:rsidR="0086663A" w:rsidRPr="00F25659" w:rsidRDefault="00CA6AE6" w:rsidP="00AE34E0">
      <w:pPr>
        <w:pStyle w:val="Preformatted"/>
        <w:tabs>
          <w:tab w:val="clear" w:pos="959"/>
          <w:tab w:val="clear" w:pos="1918"/>
          <w:tab w:val="clear" w:pos="2877"/>
          <w:tab w:val="clear" w:pos="3836"/>
          <w:tab w:val="clear" w:pos="4795"/>
          <w:tab w:val="clear" w:pos="5754"/>
          <w:tab w:val="clear" w:pos="6713"/>
          <w:tab w:val="clear" w:pos="7672"/>
          <w:tab w:val="clear" w:pos="8631"/>
          <w:tab w:val="clear" w:pos="9590"/>
          <w:tab w:val="left" w:pos="1296"/>
          <w:tab w:val="left" w:pos="1728"/>
          <w:tab w:val="left" w:pos="4176"/>
        </w:tabs>
        <w:rPr>
          <w:rFonts w:ascii="Times New Roman" w:hAnsi="Times New Roman"/>
          <w:color w:val="000000"/>
          <w:sz w:val="24"/>
          <w:szCs w:val="24"/>
          <w:u w:val="single"/>
        </w:rPr>
      </w:pPr>
      <w:r w:rsidRPr="00F25659">
        <w:rPr>
          <w:rFonts w:ascii="Times New Roman" w:hAnsi="Times New Roman"/>
          <w:color w:val="000000"/>
          <w:sz w:val="24"/>
          <w:szCs w:val="24"/>
        </w:rPr>
        <w:lastRenderedPageBreak/>
        <w:t>2.</w:t>
      </w:r>
      <w:r w:rsidR="00A34FBA" w:rsidRPr="00F25659">
        <w:rPr>
          <w:rFonts w:ascii="Times New Roman" w:hAnsi="Times New Roman"/>
          <w:color w:val="000000"/>
          <w:sz w:val="24"/>
          <w:szCs w:val="24"/>
        </w:rPr>
        <w:t xml:space="preserve">    </w:t>
      </w:r>
      <w:r w:rsidRPr="00F25659">
        <w:rPr>
          <w:rFonts w:ascii="Times New Roman" w:hAnsi="Times New Roman"/>
          <w:color w:val="000000"/>
          <w:sz w:val="24"/>
          <w:szCs w:val="24"/>
          <w:u w:val="single"/>
        </w:rPr>
        <w:t>Use of Information Collected</w:t>
      </w:r>
    </w:p>
    <w:p w:rsidR="0086663A" w:rsidRPr="00F25659" w:rsidRDefault="0086663A" w:rsidP="00AE34E0">
      <w:pPr>
        <w:pStyle w:val="Preformatted"/>
        <w:tabs>
          <w:tab w:val="clear" w:pos="959"/>
          <w:tab w:val="clear" w:pos="1918"/>
          <w:tab w:val="clear" w:pos="2877"/>
          <w:tab w:val="clear" w:pos="3836"/>
          <w:tab w:val="clear" w:pos="4795"/>
          <w:tab w:val="clear" w:pos="5754"/>
          <w:tab w:val="clear" w:pos="6713"/>
          <w:tab w:val="clear" w:pos="7672"/>
          <w:tab w:val="clear" w:pos="8631"/>
          <w:tab w:val="clear" w:pos="9590"/>
          <w:tab w:val="left" w:pos="1296"/>
          <w:tab w:val="left" w:pos="1728"/>
          <w:tab w:val="left" w:pos="4176"/>
        </w:tabs>
        <w:rPr>
          <w:rFonts w:ascii="Times New Roman" w:hAnsi="Times New Roman"/>
          <w:color w:val="000000"/>
          <w:sz w:val="24"/>
          <w:szCs w:val="24"/>
          <w:u w:val="single"/>
        </w:rPr>
      </w:pPr>
    </w:p>
    <w:p w:rsidR="006E764B" w:rsidRDefault="006E764B" w:rsidP="00AE34E0">
      <w:pPr>
        <w:numPr>
          <w:ilvl w:val="0"/>
          <w:numId w:val="21"/>
        </w:numPr>
        <w:tabs>
          <w:tab w:val="clear" w:pos="810"/>
          <w:tab w:val="num" w:pos="360"/>
        </w:tabs>
        <w:ind w:left="360"/>
      </w:pPr>
      <w:r w:rsidRPr="00F25659">
        <w:t>Effective March 31, 2014, institutions would begin to report:</w:t>
      </w:r>
    </w:p>
    <w:p w:rsidR="00AE34E0" w:rsidRPr="00F25659" w:rsidRDefault="00AE34E0" w:rsidP="00AE34E0">
      <w:pPr>
        <w:ind w:left="360"/>
      </w:pPr>
    </w:p>
    <w:p w:rsidR="006E764B" w:rsidRPr="00F25659" w:rsidRDefault="006E764B" w:rsidP="00AE34E0">
      <w:pPr>
        <w:numPr>
          <w:ilvl w:val="0"/>
          <w:numId w:val="22"/>
        </w:numPr>
        <w:tabs>
          <w:tab w:val="clear" w:pos="360"/>
          <w:tab w:val="num" w:pos="720"/>
        </w:tabs>
        <w:ind w:left="720"/>
      </w:pPr>
      <w:r w:rsidRPr="00F25659">
        <w:t xml:space="preserve">Information about international remittance transfers (including certain questions about remittance transfer activity and, for institutions not qualifying for the Bureau’s safe harbor, certain data on the estimated number and dollar value of remittance transfers) on </w:t>
      </w:r>
      <w:r w:rsidR="003617D7">
        <w:t>March 31, 2014</w:t>
      </w:r>
      <w:r w:rsidRPr="00F25659">
        <w:t xml:space="preserve"> and semiannually thereafter as of each June 30 and December 31</w:t>
      </w:r>
      <w:r w:rsidR="003617D7">
        <w:t>, to monitor compliance with the remittance transfer rule</w:t>
      </w:r>
      <w:r w:rsidRPr="00F25659">
        <w:t xml:space="preserve">;  </w:t>
      </w:r>
    </w:p>
    <w:p w:rsidR="00DB680D" w:rsidRDefault="006E764B" w:rsidP="00AE34E0">
      <w:pPr>
        <w:numPr>
          <w:ilvl w:val="0"/>
          <w:numId w:val="22"/>
        </w:numPr>
        <w:tabs>
          <w:tab w:val="clear" w:pos="360"/>
          <w:tab w:val="num" w:pos="720"/>
        </w:tabs>
        <w:ind w:left="720"/>
      </w:pPr>
      <w:r w:rsidRPr="00F25659">
        <w:t>Trade names (other than an institution’s legal title) used to identify physical branches and the Uniform Resource Locators of all public-facing Internet Web sites (other than the institution’s primary Internet Web site) that are used to accept or solicit deposits from the public</w:t>
      </w:r>
      <w:r w:rsidR="003617D7">
        <w:t>, to improve the FDIC’s monitoring of insured depository institutions and facilitate consumer protection</w:t>
      </w:r>
      <w:r w:rsidRPr="00F25659">
        <w:t>; and</w:t>
      </w:r>
    </w:p>
    <w:p w:rsidR="006E764B" w:rsidRDefault="003617D7" w:rsidP="00AE34E0">
      <w:pPr>
        <w:numPr>
          <w:ilvl w:val="0"/>
          <w:numId w:val="22"/>
        </w:numPr>
        <w:tabs>
          <w:tab w:val="clear" w:pos="360"/>
          <w:tab w:val="num" w:pos="720"/>
        </w:tabs>
        <w:ind w:left="720"/>
      </w:pPr>
      <w:r>
        <w:t>W</w:t>
      </w:r>
      <w:r w:rsidR="006E764B" w:rsidRPr="00F25659">
        <w:t xml:space="preserve">hether the reporting institution offers one or more consumer transaction or </w:t>
      </w:r>
      <w:proofErr w:type="spellStart"/>
      <w:r w:rsidR="006E764B" w:rsidRPr="00F25659">
        <w:t>nontransaction</w:t>
      </w:r>
      <w:proofErr w:type="spellEnd"/>
      <w:r w:rsidR="006E764B" w:rsidRPr="00F25659">
        <w:t xml:space="preserve"> savings deposit account products and, for institutions with $1 billion or more in total assets that offer one or more of such consumer deposit account products, the total balances of these consumer deposit account products</w:t>
      </w:r>
      <w:r>
        <w:t>, to improve the monitoring of deposit balances</w:t>
      </w:r>
      <w:r w:rsidR="006E764B" w:rsidRPr="00F25659">
        <w:t xml:space="preserve">. </w:t>
      </w:r>
    </w:p>
    <w:p w:rsidR="00DB680D" w:rsidRPr="00F25659" w:rsidRDefault="00DB680D" w:rsidP="00AE34E0">
      <w:pPr>
        <w:ind w:left="720"/>
      </w:pPr>
    </w:p>
    <w:p w:rsidR="006E764B" w:rsidRDefault="006E764B" w:rsidP="00AE34E0">
      <w:pPr>
        <w:numPr>
          <w:ilvl w:val="0"/>
          <w:numId w:val="21"/>
        </w:numPr>
        <w:tabs>
          <w:tab w:val="clear" w:pos="810"/>
          <w:tab w:val="num" w:pos="360"/>
        </w:tabs>
        <w:ind w:left="360"/>
      </w:pPr>
      <w:proofErr w:type="gramStart"/>
      <w:r w:rsidRPr="00F25659">
        <w:t>Effective March 31, 2015, institutions with $1 billion or more in total assets that offer one or more consumer deposit account products would begin to report a breakdown of their total year-to-date income from service charges on deposit accounts that would include the income from three categories of service charges on these consumer deposit accounts</w:t>
      </w:r>
      <w:r w:rsidR="00EF610E">
        <w:t>, to improve the monitoring of deposit balances</w:t>
      </w:r>
      <w:r w:rsidRPr="00F25659">
        <w:t>.</w:t>
      </w:r>
      <w:proofErr w:type="gramEnd"/>
      <w:r w:rsidRPr="00F25659">
        <w:t xml:space="preserve"> </w:t>
      </w:r>
    </w:p>
    <w:p w:rsidR="00F40221" w:rsidRPr="00F25659" w:rsidRDefault="00F40221" w:rsidP="004324DE"/>
    <w:p w:rsidR="00CA6AE6" w:rsidRPr="00F25659" w:rsidRDefault="00CA6AE6" w:rsidP="00AE34E0">
      <w:pPr>
        <w:pStyle w:val="HTMLPreformatted"/>
        <w:rPr>
          <w:rFonts w:ascii="Times New Roman" w:hAnsi="Times New Roman" w:cs="Times New Roman"/>
          <w:color w:val="000000"/>
          <w:sz w:val="24"/>
          <w:szCs w:val="24"/>
        </w:rPr>
      </w:pPr>
      <w:r w:rsidRPr="00F25659">
        <w:rPr>
          <w:rFonts w:ascii="Times New Roman" w:hAnsi="Times New Roman" w:cs="Times New Roman"/>
          <w:color w:val="000000"/>
          <w:sz w:val="24"/>
          <w:szCs w:val="24"/>
        </w:rPr>
        <w:t>3.</w:t>
      </w:r>
      <w:r w:rsidR="00AB120E" w:rsidRPr="00F25659">
        <w:rPr>
          <w:rFonts w:ascii="Times New Roman" w:hAnsi="Times New Roman" w:cs="Times New Roman"/>
          <w:color w:val="000000"/>
          <w:sz w:val="24"/>
          <w:szCs w:val="24"/>
        </w:rPr>
        <w:t xml:space="preserve">    </w:t>
      </w:r>
      <w:r w:rsidRPr="00F25659">
        <w:rPr>
          <w:rFonts w:ascii="Times New Roman" w:hAnsi="Times New Roman" w:cs="Times New Roman"/>
          <w:color w:val="000000"/>
          <w:sz w:val="24"/>
          <w:szCs w:val="24"/>
          <w:u w:val="single"/>
        </w:rPr>
        <w:t xml:space="preserve">Use of Technology to Reduce Burden </w:t>
      </w:r>
    </w:p>
    <w:p w:rsidR="00CA6AE6" w:rsidRPr="00F25659" w:rsidRDefault="00CA6AE6" w:rsidP="00AE34E0">
      <w:pPr>
        <w:rPr>
          <w:color w:val="000000"/>
          <w:szCs w:val="20"/>
        </w:rPr>
      </w:pPr>
    </w:p>
    <w:p w:rsidR="00CA6AE6" w:rsidRPr="00F25659" w:rsidRDefault="00CA6AE6" w:rsidP="00AE34E0">
      <w:pPr>
        <w:widowControl w:val="0"/>
        <w:ind w:firstLine="720"/>
        <w:rPr>
          <w:szCs w:val="20"/>
        </w:rPr>
      </w:pPr>
      <w:r w:rsidRPr="00F25659">
        <w:rPr>
          <w:szCs w:val="20"/>
        </w:rPr>
        <w:t>All banks and savings associations are subject to an electronic fili</w:t>
      </w:r>
      <w:r w:rsidR="00784C0B" w:rsidRPr="00F25659">
        <w:rPr>
          <w:szCs w:val="20"/>
        </w:rPr>
        <w:t>ng requirement for Call Reports</w:t>
      </w:r>
      <w:r w:rsidRPr="00F25659">
        <w:rPr>
          <w:szCs w:val="20"/>
        </w:rPr>
        <w:t>.  Institutions may use information technology to the extent feasible to maintain required records.</w:t>
      </w:r>
    </w:p>
    <w:p w:rsidR="00CA6AE6" w:rsidRPr="00F25659" w:rsidRDefault="00CA6AE6" w:rsidP="00AE34E0">
      <w:pPr>
        <w:ind w:left="1296"/>
        <w:rPr>
          <w:color w:val="000000"/>
        </w:rPr>
      </w:pPr>
    </w:p>
    <w:p w:rsidR="00CA6AE6" w:rsidRPr="00F25659" w:rsidRDefault="00CA6AE6" w:rsidP="00AE34E0">
      <w:pPr>
        <w:numPr>
          <w:ilvl w:val="0"/>
          <w:numId w:val="6"/>
        </w:numPr>
        <w:tabs>
          <w:tab w:val="left" w:pos="432"/>
          <w:tab w:val="left" w:pos="1728"/>
          <w:tab w:val="left" w:pos="4176"/>
        </w:tabs>
        <w:ind w:left="432" w:hanging="432"/>
        <w:rPr>
          <w:color w:val="000000"/>
          <w:szCs w:val="20"/>
          <w:u w:val="single"/>
        </w:rPr>
      </w:pPr>
      <w:r w:rsidRPr="00F25659">
        <w:rPr>
          <w:color w:val="000000"/>
          <w:szCs w:val="20"/>
          <w:u w:val="single"/>
        </w:rPr>
        <w:t xml:space="preserve">Efforts to Identify Duplication </w:t>
      </w:r>
    </w:p>
    <w:p w:rsidR="00CA6AE6" w:rsidRPr="00F25659" w:rsidRDefault="00CA6AE6" w:rsidP="00AE34E0">
      <w:pPr>
        <w:ind w:left="432"/>
        <w:rPr>
          <w:color w:val="000000"/>
        </w:rPr>
      </w:pPr>
    </w:p>
    <w:p w:rsidR="00657DEF" w:rsidRPr="00F25659" w:rsidRDefault="00657DEF" w:rsidP="00AE34E0">
      <w:pPr>
        <w:pStyle w:val="BodyText"/>
        <w:ind w:right="-480" w:firstLine="720"/>
      </w:pPr>
      <w:r w:rsidRPr="00F25659">
        <w:t>This information is unique because no other report or a series of reports provides all the Call Report data in a consistent and timely manner.</w:t>
      </w:r>
    </w:p>
    <w:p w:rsidR="00CA6AE6" w:rsidRPr="00F25659" w:rsidRDefault="00CA6AE6" w:rsidP="00AE34E0">
      <w:pPr>
        <w:rPr>
          <w:color w:val="000000"/>
        </w:rPr>
      </w:pPr>
    </w:p>
    <w:p w:rsidR="00CA6AE6" w:rsidRPr="00F25659" w:rsidRDefault="00CA6AE6" w:rsidP="00AE34E0">
      <w:pPr>
        <w:keepNext/>
        <w:numPr>
          <w:ilvl w:val="0"/>
          <w:numId w:val="1"/>
        </w:numPr>
        <w:tabs>
          <w:tab w:val="left" w:pos="432"/>
          <w:tab w:val="left" w:pos="1728"/>
          <w:tab w:val="left" w:pos="4176"/>
        </w:tabs>
        <w:ind w:left="432" w:hanging="432"/>
        <w:rPr>
          <w:color w:val="000000"/>
          <w:szCs w:val="20"/>
          <w:u w:val="single"/>
        </w:rPr>
      </w:pPr>
      <w:r w:rsidRPr="00F25659">
        <w:rPr>
          <w:color w:val="000000"/>
          <w:szCs w:val="20"/>
          <w:u w:val="single"/>
        </w:rPr>
        <w:t>Minimizing the Burden on Small Entities</w:t>
      </w:r>
    </w:p>
    <w:p w:rsidR="00CA6AE6" w:rsidRPr="00F25659" w:rsidRDefault="00CA6AE6" w:rsidP="00AE34E0">
      <w:pPr>
        <w:keepNext/>
        <w:ind w:left="1282"/>
        <w:rPr>
          <w:color w:val="000000"/>
          <w:szCs w:val="20"/>
        </w:rPr>
      </w:pPr>
    </w:p>
    <w:p w:rsidR="00C0119C" w:rsidRPr="00F25659" w:rsidRDefault="00C0119C" w:rsidP="00AE34E0">
      <w:pPr>
        <w:pStyle w:val="BodyText"/>
        <w:ind w:right="-480" w:firstLine="720"/>
      </w:pPr>
      <w:r w:rsidRPr="00F25659">
        <w:t xml:space="preserve">Only the minimum information needed to evaluate the condition of an institution, regardless of size, is required. </w:t>
      </w:r>
      <w:r w:rsidR="006E5622" w:rsidRPr="00F25659">
        <w:t>Furthermore, data on consumer deposit account balances will only be required from institutions with $1 billion or more in total assets and not from institutions below that threshold.</w:t>
      </w:r>
      <w:r w:rsidRPr="00F25659">
        <w:t xml:space="preserve"> </w:t>
      </w:r>
    </w:p>
    <w:p w:rsidR="00CA6AE6" w:rsidRPr="00F25659" w:rsidRDefault="00CA6AE6" w:rsidP="00AE34E0">
      <w:pPr>
        <w:widowControl w:val="0"/>
        <w:rPr>
          <w:szCs w:val="20"/>
        </w:rPr>
      </w:pPr>
    </w:p>
    <w:p w:rsidR="004324DE" w:rsidRDefault="004324DE" w:rsidP="00AE34E0">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color w:val="000000"/>
          <w:szCs w:val="20"/>
        </w:rPr>
      </w:pPr>
    </w:p>
    <w:p w:rsidR="004324DE" w:rsidRDefault="004324DE" w:rsidP="00AE34E0">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color w:val="000000"/>
          <w:szCs w:val="20"/>
        </w:rPr>
      </w:pPr>
    </w:p>
    <w:p w:rsidR="00CA6AE6" w:rsidRPr="00F25659" w:rsidRDefault="00CA6AE6" w:rsidP="00AE34E0">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color w:val="000000"/>
          <w:szCs w:val="20"/>
          <w:u w:val="single"/>
        </w:rPr>
      </w:pPr>
      <w:r w:rsidRPr="00F25659">
        <w:rPr>
          <w:color w:val="000000"/>
          <w:szCs w:val="20"/>
        </w:rPr>
        <w:lastRenderedPageBreak/>
        <w:t xml:space="preserve">6.  </w:t>
      </w:r>
      <w:r w:rsidRPr="00F25659">
        <w:rPr>
          <w:color w:val="000000"/>
          <w:szCs w:val="20"/>
        </w:rPr>
        <w:tab/>
      </w:r>
      <w:r w:rsidRPr="00F25659">
        <w:rPr>
          <w:color w:val="000000"/>
          <w:szCs w:val="20"/>
          <w:u w:val="single"/>
        </w:rPr>
        <w:t>Consequences of Less Frequent Collection</w:t>
      </w:r>
    </w:p>
    <w:p w:rsidR="00CA6AE6" w:rsidRPr="00F25659" w:rsidRDefault="00CA6AE6" w:rsidP="00AE34E0">
      <w:pPr>
        <w:widowControl w:val="0"/>
        <w:ind w:left="1282" w:hanging="850"/>
        <w:rPr>
          <w:szCs w:val="20"/>
        </w:rPr>
      </w:pPr>
    </w:p>
    <w:p w:rsidR="009872D2" w:rsidRPr="00F25659" w:rsidRDefault="00D16310" w:rsidP="00AE34E0">
      <w:pPr>
        <w:pStyle w:val="BodyText"/>
        <w:ind w:right="-480" w:firstLine="720"/>
      </w:pPr>
      <w:r w:rsidRPr="00F25659">
        <w:t xml:space="preserve">The Federal financial regulatory agencies must have condition and income data at least quarterly </w:t>
      </w:r>
      <w:proofErr w:type="gramStart"/>
      <w:r w:rsidRPr="00F25659">
        <w:t>to properly monitor</w:t>
      </w:r>
      <w:proofErr w:type="gramEnd"/>
      <w:r w:rsidRPr="00F25659">
        <w:t xml:space="preserve"> individual bank and industry trends.  Less frequent collection of this information would impair the agencies' ability to monitor financial institutions and could delay regulatory response. </w:t>
      </w:r>
      <w:r w:rsidR="006E5622" w:rsidRPr="00F25659">
        <w:t xml:space="preserve">For remittance transfers, the agencies are only collecting this information </w:t>
      </w:r>
      <w:r w:rsidR="00EF610E">
        <w:t>semi</w:t>
      </w:r>
      <w:r w:rsidR="006E5622" w:rsidRPr="00F25659">
        <w:t>annually, which is sufficient to monitor compliance with the regulation.</w:t>
      </w:r>
      <w:r w:rsidRPr="00F25659">
        <w:t xml:space="preserve"> </w:t>
      </w:r>
    </w:p>
    <w:p w:rsidR="004324DE" w:rsidRDefault="004324DE" w:rsidP="00AE34E0">
      <w:pPr>
        <w:tabs>
          <w:tab w:val="left" w:pos="432"/>
          <w:tab w:val="left" w:pos="1296"/>
          <w:tab w:val="left" w:pos="1728"/>
          <w:tab w:val="left" w:pos="4176"/>
        </w:tabs>
        <w:ind w:left="432" w:hanging="432"/>
        <w:rPr>
          <w:color w:val="000000"/>
          <w:szCs w:val="20"/>
        </w:rPr>
      </w:pPr>
    </w:p>
    <w:p w:rsidR="00CA6AE6" w:rsidRPr="00F25659" w:rsidRDefault="00CA6AE6" w:rsidP="00AE34E0">
      <w:pPr>
        <w:tabs>
          <w:tab w:val="left" w:pos="432"/>
          <w:tab w:val="left" w:pos="1296"/>
          <w:tab w:val="left" w:pos="1728"/>
          <w:tab w:val="left" w:pos="4176"/>
        </w:tabs>
        <w:ind w:left="432" w:hanging="432"/>
        <w:rPr>
          <w:color w:val="000000"/>
          <w:szCs w:val="20"/>
        </w:rPr>
      </w:pPr>
      <w:r w:rsidRPr="00F25659">
        <w:rPr>
          <w:color w:val="000000"/>
          <w:szCs w:val="20"/>
        </w:rPr>
        <w:t>7.</w:t>
      </w:r>
      <w:r w:rsidRPr="00F25659">
        <w:rPr>
          <w:color w:val="000000"/>
          <w:szCs w:val="20"/>
        </w:rPr>
        <w:tab/>
      </w:r>
      <w:r w:rsidRPr="00F25659">
        <w:rPr>
          <w:color w:val="000000"/>
          <w:szCs w:val="20"/>
          <w:u w:val="single"/>
        </w:rPr>
        <w:t>Special Circumstances</w:t>
      </w:r>
    </w:p>
    <w:p w:rsidR="00CA6AE6" w:rsidRPr="00F25659" w:rsidRDefault="00CA6AE6" w:rsidP="00AE34E0">
      <w:pPr>
        <w:rPr>
          <w:color w:val="000000"/>
          <w:szCs w:val="20"/>
        </w:rPr>
      </w:pPr>
    </w:p>
    <w:p w:rsidR="00CA6AE6" w:rsidRPr="00F25659" w:rsidRDefault="00CA6AE6" w:rsidP="00AE34E0">
      <w:pPr>
        <w:ind w:firstLine="720"/>
        <w:rPr>
          <w:color w:val="000000"/>
          <w:szCs w:val="20"/>
        </w:rPr>
      </w:pPr>
      <w:r w:rsidRPr="00F25659">
        <w:rPr>
          <w:color w:val="000000"/>
          <w:szCs w:val="20"/>
        </w:rPr>
        <w:t xml:space="preserve">There are no special circumstances.  </w:t>
      </w:r>
    </w:p>
    <w:p w:rsidR="00CA6AE6" w:rsidRPr="00F25659" w:rsidRDefault="00CA6AE6" w:rsidP="00AE34E0">
      <w:pPr>
        <w:rPr>
          <w:color w:val="000000"/>
          <w:szCs w:val="20"/>
        </w:rPr>
      </w:pPr>
    </w:p>
    <w:p w:rsidR="00CA6AE6" w:rsidRPr="0057093A" w:rsidRDefault="00CA6AE6" w:rsidP="00AE34E0">
      <w:pPr>
        <w:tabs>
          <w:tab w:val="left" w:pos="432"/>
          <w:tab w:val="left" w:pos="1296"/>
          <w:tab w:val="left" w:pos="1728"/>
          <w:tab w:val="left" w:pos="4176"/>
        </w:tabs>
        <w:ind w:left="432" w:hanging="432"/>
        <w:rPr>
          <w:color w:val="000000"/>
          <w:szCs w:val="20"/>
        </w:rPr>
      </w:pPr>
      <w:r w:rsidRPr="0057093A">
        <w:rPr>
          <w:color w:val="000000"/>
          <w:szCs w:val="20"/>
        </w:rPr>
        <w:t>8.</w:t>
      </w:r>
      <w:r w:rsidRPr="0057093A">
        <w:rPr>
          <w:color w:val="000000"/>
          <w:szCs w:val="20"/>
        </w:rPr>
        <w:tab/>
      </w:r>
      <w:r w:rsidRPr="0057093A">
        <w:rPr>
          <w:color w:val="000000"/>
          <w:szCs w:val="20"/>
          <w:u w:val="single"/>
        </w:rPr>
        <w:t xml:space="preserve">Consultation with Persons </w:t>
      </w:r>
      <w:proofErr w:type="gramStart"/>
      <w:r w:rsidRPr="0057093A">
        <w:rPr>
          <w:color w:val="000000"/>
          <w:szCs w:val="20"/>
          <w:u w:val="single"/>
        </w:rPr>
        <w:t>Outside</w:t>
      </w:r>
      <w:proofErr w:type="gramEnd"/>
      <w:r w:rsidRPr="0057093A">
        <w:rPr>
          <w:color w:val="000000"/>
          <w:szCs w:val="20"/>
          <w:u w:val="single"/>
        </w:rPr>
        <w:t xml:space="preserve"> the </w:t>
      </w:r>
      <w:r>
        <w:rPr>
          <w:color w:val="000000"/>
          <w:szCs w:val="20"/>
          <w:u w:val="single"/>
        </w:rPr>
        <w:t>OCC</w:t>
      </w:r>
    </w:p>
    <w:p w:rsidR="00F11281" w:rsidRPr="00736455" w:rsidRDefault="00F11281" w:rsidP="00AE34E0">
      <w:pPr>
        <w:pStyle w:val="ListParagraph"/>
        <w:ind w:left="0" w:firstLine="720"/>
      </w:pPr>
    </w:p>
    <w:p w:rsidR="00AE34E0" w:rsidRDefault="00EF610E" w:rsidP="00AE34E0">
      <w:pPr>
        <w:pStyle w:val="ListParagraph"/>
        <w:ind w:left="0" w:firstLine="720"/>
      </w:pPr>
      <w:r>
        <w:t xml:space="preserve">The agencies sought written comment on all items in their 60-day information collection notice. </w:t>
      </w:r>
      <w:r w:rsidR="00AE34E0">
        <w:t xml:space="preserve">The agencies received comments from two banks, three consumer groups, one government agency, and five bankers’ associations on </w:t>
      </w:r>
      <w:r>
        <w:t>three areas of the proposed collection: consumer deposit account balances, fees on consumer deposit accounts, and remittance transfer information</w:t>
      </w:r>
      <w:r w:rsidR="00AE34E0">
        <w:t>.  Generally, three of the bankers’ associations objected to the proposal and asked that the agencies not move forward with implementation.  The two other bankers’ associations and the two banks sought modifications to the proposal.  The government agency and the consumer groups all expressed support for the proposal.</w:t>
      </w:r>
    </w:p>
    <w:p w:rsidR="002B641E" w:rsidRDefault="002B641E" w:rsidP="00AE34E0">
      <w:pPr>
        <w:pStyle w:val="ListParagraph"/>
        <w:ind w:left="0" w:firstLine="720"/>
      </w:pPr>
    </w:p>
    <w:p w:rsidR="00AE34E0" w:rsidRDefault="00AE34E0" w:rsidP="00AE34E0">
      <w:pPr>
        <w:pStyle w:val="ListParagraph"/>
        <w:ind w:left="0" w:firstLine="720"/>
      </w:pPr>
      <w:r>
        <w:t xml:space="preserve">The five bankers’ associations and two banks also commented on technical aspects of this proposal.  Two of the bankers’ associations acknowledged that the current proposal represented an improvement over prior proposals submitted by the agencies to disaggregate reporting of deposits held by individuals from those of partnerships and corporations.  However, one bankers’ association commented generally that bank deposits </w:t>
      </w:r>
      <w:proofErr w:type="gramStart"/>
      <w:r>
        <w:t>cannot</w:t>
      </w:r>
      <w:proofErr w:type="gramEnd"/>
      <w:r>
        <w:t xml:space="preserve"> be readily categorized as proposed.  The four other bankers’ associations commented that unclear definitions and wording in the proposal could result in different interpretations and varying measurement and reporting methodologies across the industry.  More specifically, four of the bankers’ associations asked for clarification as to whether the proposal sought separate reporting of deposit balances in products intended solely for consumer use or balances in products intended for personal, household, or family use.  The same four bankers’ associations also commented that many customers that use products targeted to consumers are actually sole proprietors, microbusiness owners, and others with non-consumer purposes and that these customers’ accounts are hard to distinguish from those used entirely for consumer purposes.  The four bankers’ associations further commented that “many retail account customers migrate to [become] business customers and </w:t>
      </w:r>
      <w:r>
        <w:rPr>
          <w:i/>
        </w:rPr>
        <w:t>vice versa</w:t>
      </w:r>
      <w:r>
        <w:t>” and thus are difficult to classify.  One bank commented that while it offers both business and consumer accounts, it does not distinguish these two types of accounts within its general ledger.  Another bank that stated that it offers both personal and business accounts asked whether it would need to report balances held in these products separately if the products share the same account terms.</w:t>
      </w:r>
    </w:p>
    <w:p w:rsidR="002B641E" w:rsidRDefault="002B641E" w:rsidP="00AE34E0">
      <w:pPr>
        <w:pStyle w:val="ListParagraph"/>
        <w:ind w:left="0" w:firstLine="720"/>
      </w:pPr>
    </w:p>
    <w:p w:rsidR="00AE34E0" w:rsidRDefault="00AE34E0" w:rsidP="00AE34E0">
      <w:pPr>
        <w:pStyle w:val="ListParagraph"/>
        <w:ind w:left="0" w:firstLine="720"/>
      </w:pPr>
      <w:r>
        <w:t xml:space="preserve">Some commenters also expressed concern about the burden and timing of the proposal.  One of the bankers’ associations commented that this proposal adds to institutions’ overall </w:t>
      </w:r>
      <w:r>
        <w:lastRenderedPageBreak/>
        <w:t xml:space="preserve">regulatory burden and expressed particular concern that “many community banks with over $1 billion in assets would be adversely impacted by this proposal.”  This bankers’ association consequently proposed that only banks with $10 billion or more in assets </w:t>
      </w:r>
      <w:proofErr w:type="gramStart"/>
      <w:r>
        <w:t>be subjected</w:t>
      </w:r>
      <w:proofErr w:type="gramEnd"/>
      <w:r>
        <w:t xml:space="preserve"> to the new requirements.  Four of the bankers’ associations commented that the proposal would not allow sufficient time for banks to implement changes necessary to meet the new reporting requirements.  Three bankers’ associations proposed that the agencies not move forward with implementation without consulting further with their respective community bank advisory councils and others in the industry, while another bankers’ association and one bank proposed delaying implementation until March 2014 or later next year.  The bankers’ association that proposed delaying implementation until March 2014 also proposed that the agencies do so with clarification regarding what constitutes </w:t>
      </w:r>
      <w:proofErr w:type="gramStart"/>
      <w:r>
        <w:t>a consumer product and how banks should treat balances held in consumer accounts by sole proprietors</w:t>
      </w:r>
      <w:proofErr w:type="gramEnd"/>
      <w:r>
        <w:t>.</w:t>
      </w:r>
    </w:p>
    <w:p w:rsidR="002B641E" w:rsidRDefault="002B641E" w:rsidP="00AE34E0">
      <w:pPr>
        <w:pStyle w:val="ListParagraph"/>
        <w:ind w:left="0" w:firstLine="720"/>
      </w:pPr>
    </w:p>
    <w:p w:rsidR="00AE34E0" w:rsidRDefault="00AE34E0" w:rsidP="00AE34E0">
      <w:pPr>
        <w:pStyle w:val="ListParagraph"/>
        <w:ind w:left="0" w:firstLine="720"/>
      </w:pPr>
      <w:r>
        <w:t xml:space="preserve">The government agency and three consumer groups, in contrast, all supported the proposed changes.  One consumer group commented that the proposed change would provide important insight into how </w:t>
      </w:r>
      <w:proofErr w:type="gramStart"/>
      <w:r>
        <w:t>consumers</w:t>
      </w:r>
      <w:proofErr w:type="gramEnd"/>
      <w:r>
        <w:t xml:space="preserve"> access and use deposit products and how institutions serve consumers.  Two consumer groups commented that the data would aid regulators in monitoring and ensuring safety and soundness.  One consumer group proposed that the agencies eliminate the $1 billion threshold and collect the proposed data from all banks.</w:t>
      </w:r>
    </w:p>
    <w:p w:rsidR="002B641E" w:rsidRDefault="002B641E" w:rsidP="00AE34E0">
      <w:pPr>
        <w:pStyle w:val="ListParagraph"/>
        <w:ind w:left="0" w:firstLine="720"/>
      </w:pPr>
    </w:p>
    <w:p w:rsidR="00EF610E" w:rsidRDefault="00EF610E" w:rsidP="00EF610E">
      <w:pPr>
        <w:pStyle w:val="ListParagraph"/>
        <w:ind w:left="0" w:firstLine="720"/>
      </w:pPr>
      <w:r>
        <w:t xml:space="preserve">The agencies also held two outreach calls, one with a bank trade group and another with a </w:t>
      </w:r>
      <w:proofErr w:type="gramStart"/>
      <w:r>
        <w:t>bank data service provider</w:t>
      </w:r>
      <w:proofErr w:type="gramEnd"/>
      <w:r>
        <w:t>. During the call with the trade group, the group’s members expressed concerns about the timing and feasibility of the data collection for remittance transfer information, consumer deposit account balances, and consumer deposit account fees. During the call with the data service provider, the provider acknowledged that it provides products that could allow banks to collect information on deposit account balances and fee breakouts. However, the provider stated that many of their customers had not purchased that product or activated the features that would allow collecting the information, as it would increase the costs to the banks to implement those changes.</w:t>
      </w:r>
    </w:p>
    <w:p w:rsidR="00EF610E" w:rsidRDefault="00EF610E" w:rsidP="00EF610E">
      <w:pPr>
        <w:pStyle w:val="ListParagraph"/>
        <w:ind w:left="0" w:firstLine="720"/>
      </w:pPr>
    </w:p>
    <w:p w:rsidR="00EF610E" w:rsidRDefault="00EF610E" w:rsidP="00EF610E">
      <w:pPr>
        <w:pStyle w:val="ListParagraph"/>
        <w:ind w:left="0" w:firstLine="720"/>
      </w:pPr>
      <w:r>
        <w:t>After considering the comments, the agencies decided to postpone the data collection for the consumer deposit account balances until March 31, 2014, and the collection of deposit account balance fee amounts until March 31, 2015.</w:t>
      </w:r>
      <w:r w:rsidR="004055FF">
        <w:t xml:space="preserve">  In addition, the agencies are exempting all institutions under $1 billion in assets from reporting the deposit fee data. For institutions with assets greater than $1 billion, they will have until March 31, 2015 to reconfigure their systems to report this new data.</w:t>
      </w:r>
    </w:p>
    <w:p w:rsidR="00E060FC" w:rsidRDefault="00E060FC" w:rsidP="00EF610E">
      <w:pPr>
        <w:pStyle w:val="ListParagraph"/>
        <w:ind w:left="0" w:firstLine="720"/>
      </w:pPr>
    </w:p>
    <w:p w:rsidR="00E060FC" w:rsidRDefault="00E060FC" w:rsidP="00EF610E">
      <w:pPr>
        <w:pStyle w:val="ListParagraph"/>
        <w:ind w:left="0" w:firstLine="720"/>
      </w:pPr>
      <w:r>
        <w:t xml:space="preserve">The agencies also sought comment </w:t>
      </w:r>
      <w:r w:rsidR="001F5F2A">
        <w:t>in</w:t>
      </w:r>
      <w:r>
        <w:t xml:space="preserve"> the 30-day information collection submission notice. The agencies received two comments from banking organizations and one comment from a bank trade association. The commenters</w:t>
      </w:r>
      <w:r w:rsidR="001F5F2A">
        <w:t xml:space="preserve"> primarily</w:t>
      </w:r>
      <w:r>
        <w:t xml:space="preserve"> raised concerns about the cost and potential burden of implementing the data collection related to deposit account balances and service charges</w:t>
      </w:r>
      <w:r w:rsidR="001F5F2A">
        <w:t xml:space="preserve">. One institution </w:t>
      </w:r>
      <w:r w:rsidR="00AF242F">
        <w:t xml:space="preserve">also </w:t>
      </w:r>
      <w:r w:rsidR="001F5F2A">
        <w:t xml:space="preserve">raised cost and burden concerns about the collection related to </w:t>
      </w:r>
      <w:r>
        <w:t xml:space="preserve">remittance </w:t>
      </w:r>
      <w:r w:rsidR="001F5F2A">
        <w:t xml:space="preserve">transfer </w:t>
      </w:r>
      <w:r>
        <w:t>reporting.</w:t>
      </w:r>
      <w:r w:rsidR="001F5F2A">
        <w:t xml:space="preserve"> The agencies </w:t>
      </w:r>
      <w:r w:rsidR="00AF242F">
        <w:t xml:space="preserve">responded to similar comments on the 60-day notice by </w:t>
      </w:r>
      <w:r w:rsidR="001F5F2A">
        <w:t xml:space="preserve">establishing an institution size threshold for reporting </w:t>
      </w:r>
      <w:r w:rsidR="00AF242F">
        <w:t>certain</w:t>
      </w:r>
      <w:r w:rsidR="001F5F2A">
        <w:t xml:space="preserve"> information and postponing the collections to reduce the immediate burden on banking institutions. The agencies </w:t>
      </w:r>
      <w:r w:rsidR="00AF242F">
        <w:t xml:space="preserve">considered the </w:t>
      </w:r>
      <w:r w:rsidR="00AF242F">
        <w:lastRenderedPageBreak/>
        <w:t xml:space="preserve">commenters’ concerns, but do not believe they necessitate any additional modifications. Therefore, the agencies </w:t>
      </w:r>
      <w:r w:rsidR="00FE07BC">
        <w:t>decided not</w:t>
      </w:r>
      <w:r w:rsidR="001F5F2A">
        <w:t xml:space="preserve"> to make any changes </w:t>
      </w:r>
      <w:r w:rsidR="00FE07BC">
        <w:t>for</w:t>
      </w:r>
      <w:r w:rsidR="001F5F2A">
        <w:t xml:space="preserve"> the final collection.</w:t>
      </w:r>
    </w:p>
    <w:p w:rsidR="00A85FAA" w:rsidRDefault="00A85FAA" w:rsidP="00AE34E0"/>
    <w:p w:rsidR="00CA6AE6" w:rsidRPr="0057093A" w:rsidRDefault="00CA6AE6" w:rsidP="00AE34E0">
      <w:pPr>
        <w:numPr>
          <w:ilvl w:val="0"/>
          <w:numId w:val="2"/>
        </w:numPr>
        <w:tabs>
          <w:tab w:val="left" w:pos="432"/>
          <w:tab w:val="left" w:pos="1728"/>
          <w:tab w:val="left" w:pos="4176"/>
        </w:tabs>
        <w:ind w:left="432" w:hanging="432"/>
        <w:rPr>
          <w:color w:val="000000"/>
          <w:szCs w:val="20"/>
        </w:rPr>
      </w:pPr>
      <w:r w:rsidRPr="0057093A">
        <w:rPr>
          <w:color w:val="000000"/>
          <w:szCs w:val="20"/>
          <w:u w:val="single"/>
        </w:rPr>
        <w:t>Payment or Gift to Respondents</w:t>
      </w:r>
    </w:p>
    <w:p w:rsidR="00CA6AE6" w:rsidRPr="0057093A" w:rsidRDefault="00CA6AE6" w:rsidP="00AE34E0">
      <w:pPr>
        <w:tabs>
          <w:tab w:val="left" w:pos="432"/>
          <w:tab w:val="left" w:pos="1296"/>
          <w:tab w:val="left" w:pos="1728"/>
          <w:tab w:val="left" w:pos="4176"/>
        </w:tabs>
        <w:ind w:left="1290"/>
        <w:rPr>
          <w:color w:val="000000"/>
          <w:szCs w:val="20"/>
        </w:rPr>
      </w:pPr>
    </w:p>
    <w:p w:rsidR="00CA6AE6" w:rsidRDefault="00CA6AE6" w:rsidP="00AE34E0">
      <w:pPr>
        <w:tabs>
          <w:tab w:val="left" w:pos="432"/>
          <w:tab w:val="left" w:pos="1296"/>
          <w:tab w:val="left" w:pos="1728"/>
          <w:tab w:val="left" w:pos="4176"/>
        </w:tabs>
        <w:rPr>
          <w:color w:val="000000"/>
          <w:szCs w:val="20"/>
        </w:rPr>
      </w:pPr>
      <w:r>
        <w:rPr>
          <w:color w:val="000000"/>
          <w:szCs w:val="20"/>
        </w:rPr>
        <w:t xml:space="preserve">          </w:t>
      </w:r>
      <w:r w:rsidRPr="0057093A">
        <w:rPr>
          <w:color w:val="000000"/>
          <w:szCs w:val="20"/>
        </w:rPr>
        <w:t xml:space="preserve">No </w:t>
      </w:r>
      <w:r w:rsidR="00EF610E">
        <w:rPr>
          <w:color w:val="000000"/>
          <w:szCs w:val="20"/>
        </w:rPr>
        <w:t xml:space="preserve">payments or </w:t>
      </w:r>
      <w:r w:rsidRPr="0057093A">
        <w:rPr>
          <w:color w:val="000000"/>
          <w:szCs w:val="20"/>
        </w:rPr>
        <w:t xml:space="preserve">gifts </w:t>
      </w:r>
      <w:proofErr w:type="gramStart"/>
      <w:r w:rsidRPr="0057093A">
        <w:rPr>
          <w:color w:val="000000"/>
          <w:szCs w:val="20"/>
        </w:rPr>
        <w:t>will be given</w:t>
      </w:r>
      <w:proofErr w:type="gramEnd"/>
      <w:r w:rsidRPr="0057093A">
        <w:rPr>
          <w:color w:val="000000"/>
          <w:szCs w:val="20"/>
        </w:rPr>
        <w:t xml:space="preserve"> to respondents.  </w:t>
      </w:r>
    </w:p>
    <w:p w:rsidR="00CA6AE6" w:rsidRPr="0057093A" w:rsidRDefault="00CA6AE6" w:rsidP="00AE34E0">
      <w:pPr>
        <w:tabs>
          <w:tab w:val="left" w:pos="432"/>
          <w:tab w:val="left" w:pos="1296"/>
          <w:tab w:val="left" w:pos="1728"/>
          <w:tab w:val="left" w:pos="4176"/>
        </w:tabs>
        <w:ind w:left="1290"/>
        <w:rPr>
          <w:color w:val="000000"/>
          <w:szCs w:val="20"/>
        </w:rPr>
      </w:pPr>
    </w:p>
    <w:p w:rsidR="00CA6AE6" w:rsidRPr="0057093A" w:rsidRDefault="00CA6AE6" w:rsidP="00AE34E0">
      <w:pPr>
        <w:tabs>
          <w:tab w:val="left" w:pos="432"/>
          <w:tab w:val="left" w:pos="1296"/>
          <w:tab w:val="left" w:pos="1728"/>
          <w:tab w:val="left" w:pos="4176"/>
        </w:tabs>
        <w:ind w:left="432" w:hanging="432"/>
        <w:rPr>
          <w:color w:val="000000"/>
          <w:szCs w:val="20"/>
        </w:rPr>
      </w:pPr>
      <w:r w:rsidRPr="0057093A">
        <w:rPr>
          <w:color w:val="000000"/>
          <w:szCs w:val="20"/>
        </w:rPr>
        <w:t>10.</w:t>
      </w:r>
      <w:r w:rsidRPr="0057093A">
        <w:rPr>
          <w:color w:val="000000"/>
          <w:szCs w:val="20"/>
        </w:rPr>
        <w:tab/>
      </w:r>
      <w:r w:rsidRPr="0057093A">
        <w:rPr>
          <w:color w:val="000000"/>
          <w:szCs w:val="20"/>
          <w:u w:val="single"/>
        </w:rPr>
        <w:t>Confidentiality</w:t>
      </w:r>
    </w:p>
    <w:p w:rsidR="00CA6AE6" w:rsidRPr="0057093A" w:rsidRDefault="00CA6AE6" w:rsidP="00AE34E0">
      <w:pPr>
        <w:tabs>
          <w:tab w:val="left" w:pos="432"/>
          <w:tab w:val="left" w:pos="1296"/>
          <w:tab w:val="left" w:pos="1728"/>
          <w:tab w:val="left" w:pos="4176"/>
        </w:tabs>
        <w:rPr>
          <w:color w:val="000000"/>
          <w:szCs w:val="20"/>
        </w:rPr>
      </w:pPr>
    </w:p>
    <w:p w:rsidR="00883889" w:rsidRDefault="00CA6AE6" w:rsidP="00AE34E0">
      <w:pPr>
        <w:rPr>
          <w:snapToGrid w:val="0"/>
        </w:rPr>
      </w:pPr>
      <w:r>
        <w:rPr>
          <w:color w:val="000000"/>
          <w:szCs w:val="20"/>
        </w:rPr>
        <w:t xml:space="preserve">          </w:t>
      </w:r>
      <w:r w:rsidR="00BC2CD0">
        <w:rPr>
          <w:snapToGrid w:val="0"/>
        </w:rPr>
        <w:t>E</w:t>
      </w:r>
      <w:r w:rsidR="00BC2CD0" w:rsidRPr="00A33182">
        <w:t xml:space="preserve">xcept for selected data items, </w:t>
      </w:r>
      <w:r w:rsidR="00BC2CD0">
        <w:t xml:space="preserve">the Call Report </w:t>
      </w:r>
      <w:proofErr w:type="gramStart"/>
      <w:r w:rsidR="00BC2CD0">
        <w:t>is</w:t>
      </w:r>
      <w:r w:rsidR="00BC2CD0" w:rsidRPr="00A33182">
        <w:t xml:space="preserve"> not given</w:t>
      </w:r>
      <w:proofErr w:type="gramEnd"/>
      <w:r w:rsidR="00BC2CD0" w:rsidRPr="00A33182">
        <w:t xml:space="preserve"> confidential treatment</w:t>
      </w:r>
      <w:r w:rsidR="00BC2CD0" w:rsidRPr="00A33182">
        <w:rPr>
          <w:snapToGrid w:val="0"/>
        </w:rPr>
        <w:t>.</w:t>
      </w:r>
    </w:p>
    <w:p w:rsidR="004324DE" w:rsidRDefault="004324DE" w:rsidP="00AE34E0">
      <w:pPr>
        <w:rPr>
          <w:snapToGrid w:val="0"/>
        </w:rPr>
      </w:pPr>
    </w:p>
    <w:p w:rsidR="00EF610E" w:rsidRDefault="00EF610E" w:rsidP="00AE34E0">
      <w:pPr>
        <w:rPr>
          <w:snapToGrid w:val="0"/>
        </w:rPr>
      </w:pPr>
    </w:p>
    <w:p w:rsidR="00CA6AE6" w:rsidRPr="00883889" w:rsidRDefault="00CA6AE6" w:rsidP="00AE34E0">
      <w:pPr>
        <w:rPr>
          <w:snapToGrid w:val="0"/>
        </w:rPr>
      </w:pPr>
      <w:r w:rsidRPr="0057093A">
        <w:rPr>
          <w:color w:val="000000"/>
          <w:szCs w:val="20"/>
        </w:rPr>
        <w:t>11.</w:t>
      </w:r>
      <w:r w:rsidRPr="0057093A">
        <w:rPr>
          <w:color w:val="000000"/>
          <w:szCs w:val="20"/>
        </w:rPr>
        <w:tab/>
      </w:r>
      <w:r w:rsidRPr="0057093A">
        <w:rPr>
          <w:color w:val="000000"/>
          <w:szCs w:val="20"/>
          <w:u w:val="single"/>
        </w:rPr>
        <w:t>Information of a Sensitive Nature</w:t>
      </w:r>
    </w:p>
    <w:p w:rsidR="00CA6AE6" w:rsidRPr="0057093A" w:rsidRDefault="00CA6AE6" w:rsidP="00AE34E0">
      <w:pPr>
        <w:tabs>
          <w:tab w:val="left" w:pos="432"/>
          <w:tab w:val="left" w:pos="1296"/>
          <w:tab w:val="left" w:pos="1728"/>
          <w:tab w:val="left" w:pos="4176"/>
        </w:tabs>
        <w:rPr>
          <w:color w:val="000000"/>
          <w:szCs w:val="20"/>
        </w:rPr>
      </w:pPr>
    </w:p>
    <w:p w:rsidR="00CA6AE6" w:rsidRPr="0057093A" w:rsidRDefault="00CA6AE6" w:rsidP="00AE34E0">
      <w:pPr>
        <w:tabs>
          <w:tab w:val="left" w:pos="432"/>
          <w:tab w:val="left" w:pos="1296"/>
          <w:tab w:val="left" w:pos="1728"/>
          <w:tab w:val="left" w:pos="4176"/>
        </w:tabs>
        <w:rPr>
          <w:color w:val="000000"/>
          <w:szCs w:val="20"/>
        </w:rPr>
      </w:pPr>
      <w:r>
        <w:rPr>
          <w:color w:val="000000"/>
          <w:szCs w:val="20"/>
        </w:rPr>
        <w:t xml:space="preserve">          </w:t>
      </w:r>
      <w:r w:rsidRPr="0057093A">
        <w:rPr>
          <w:color w:val="000000"/>
          <w:szCs w:val="20"/>
        </w:rPr>
        <w:t xml:space="preserve">No information of a sensitive nature </w:t>
      </w:r>
      <w:proofErr w:type="gramStart"/>
      <w:r w:rsidRPr="0057093A">
        <w:rPr>
          <w:color w:val="000000"/>
          <w:szCs w:val="20"/>
        </w:rPr>
        <w:t>is requested</w:t>
      </w:r>
      <w:proofErr w:type="gramEnd"/>
      <w:r w:rsidRPr="0057093A">
        <w:rPr>
          <w:color w:val="000000"/>
          <w:szCs w:val="20"/>
        </w:rPr>
        <w:t xml:space="preserve">. </w:t>
      </w:r>
    </w:p>
    <w:p w:rsidR="00CA6AE6" w:rsidRPr="0057093A" w:rsidRDefault="00CA6AE6" w:rsidP="00AE34E0">
      <w:pPr>
        <w:tabs>
          <w:tab w:val="left" w:pos="432"/>
          <w:tab w:val="left" w:pos="1296"/>
          <w:tab w:val="left" w:pos="1728"/>
          <w:tab w:val="left" w:pos="4176"/>
        </w:tabs>
        <w:rPr>
          <w:color w:val="000000"/>
          <w:szCs w:val="20"/>
        </w:rPr>
      </w:pPr>
    </w:p>
    <w:p w:rsidR="004D05FB" w:rsidRDefault="00CA6AE6" w:rsidP="00AE34E0">
      <w:pPr>
        <w:keepLines/>
        <w:numPr>
          <w:ilvl w:val="0"/>
          <w:numId w:val="7"/>
        </w:numPr>
        <w:tabs>
          <w:tab w:val="left" w:pos="432"/>
          <w:tab w:val="left" w:pos="1728"/>
          <w:tab w:val="left" w:pos="4176"/>
        </w:tabs>
        <w:ind w:left="432" w:hanging="432"/>
        <w:rPr>
          <w:color w:val="000000"/>
          <w:szCs w:val="20"/>
          <w:u w:val="single"/>
        </w:rPr>
      </w:pPr>
      <w:r w:rsidRPr="0057093A">
        <w:rPr>
          <w:color w:val="000000"/>
          <w:szCs w:val="20"/>
          <w:u w:val="single"/>
        </w:rPr>
        <w:t>Estimate of Annual Burden</w:t>
      </w:r>
    </w:p>
    <w:p w:rsidR="004D05FB" w:rsidRPr="004D05FB" w:rsidRDefault="004D05FB" w:rsidP="00AE34E0">
      <w:pPr>
        <w:keepLines/>
        <w:tabs>
          <w:tab w:val="left" w:pos="432"/>
          <w:tab w:val="left" w:pos="1728"/>
          <w:tab w:val="left" w:pos="4176"/>
        </w:tabs>
        <w:ind w:left="432"/>
        <w:rPr>
          <w:color w:val="000000"/>
          <w:szCs w:val="20"/>
          <w:u w:val="single"/>
        </w:rPr>
      </w:pPr>
      <w:r w:rsidRPr="004D05FB">
        <w:rPr>
          <w:snapToGrid w:val="0"/>
        </w:rPr>
        <w:tab/>
      </w:r>
    </w:p>
    <w:p w:rsidR="00872559" w:rsidRDefault="00872559" w:rsidP="00AE34E0">
      <w:pPr>
        <w:tabs>
          <w:tab w:val="left" w:pos="4230"/>
        </w:tabs>
        <w:ind w:firstLine="720"/>
        <w:rPr>
          <w:snapToGrid w:val="0"/>
        </w:rPr>
      </w:pPr>
      <w:proofErr w:type="gramStart"/>
      <w:r w:rsidRPr="00EB35EE">
        <w:rPr>
          <w:snapToGrid w:val="0"/>
        </w:rPr>
        <w:t>Estimat</w:t>
      </w:r>
      <w:r w:rsidR="001253C6">
        <w:rPr>
          <w:snapToGrid w:val="0"/>
        </w:rPr>
        <w:t>ed Number of Respondents:  1,807</w:t>
      </w:r>
      <w:r w:rsidRPr="00EB35EE">
        <w:rPr>
          <w:snapToGrid w:val="0"/>
        </w:rPr>
        <w:t xml:space="preserve"> national banks and federal                                                     </w:t>
      </w:r>
      <w:r w:rsidRPr="00EB35EE">
        <w:rPr>
          <w:snapToGrid w:val="0"/>
        </w:rPr>
        <w:tab/>
        <w:t>savings associations.</w:t>
      </w:r>
      <w:proofErr w:type="gramEnd"/>
    </w:p>
    <w:p w:rsidR="00EB35EE" w:rsidRPr="00EB35EE" w:rsidRDefault="00EB35EE" w:rsidP="00AE34E0">
      <w:pPr>
        <w:tabs>
          <w:tab w:val="left" w:pos="4230"/>
        </w:tabs>
        <w:ind w:firstLine="720"/>
        <w:rPr>
          <w:snapToGrid w:val="0"/>
        </w:rPr>
      </w:pPr>
    </w:p>
    <w:p w:rsidR="00872559" w:rsidRDefault="00872559" w:rsidP="00AE34E0">
      <w:pPr>
        <w:rPr>
          <w:snapToGrid w:val="0"/>
        </w:rPr>
      </w:pPr>
      <w:r w:rsidRPr="00EB35EE">
        <w:rPr>
          <w:snapToGrid w:val="0"/>
        </w:rPr>
        <w:t xml:space="preserve"> </w:t>
      </w:r>
      <w:r w:rsidRPr="00EB35EE">
        <w:rPr>
          <w:snapToGrid w:val="0"/>
        </w:rPr>
        <w:tab/>
      </w:r>
      <w:proofErr w:type="gramStart"/>
      <w:r w:rsidRPr="00EB35EE">
        <w:rPr>
          <w:snapToGrid w:val="0"/>
        </w:rPr>
        <w:t>Est</w:t>
      </w:r>
      <w:r w:rsidR="001253C6">
        <w:rPr>
          <w:snapToGrid w:val="0"/>
        </w:rPr>
        <w:t>imated Time per Response:  57.03</w:t>
      </w:r>
      <w:r w:rsidRPr="00EB35EE">
        <w:rPr>
          <w:snapToGrid w:val="0"/>
        </w:rPr>
        <w:t xml:space="preserve"> burden hours per quarter to file.</w:t>
      </w:r>
      <w:proofErr w:type="gramEnd"/>
    </w:p>
    <w:p w:rsidR="00EB35EE" w:rsidRPr="00EB35EE" w:rsidRDefault="00EB35EE" w:rsidP="00AE34E0">
      <w:pPr>
        <w:rPr>
          <w:snapToGrid w:val="0"/>
        </w:rPr>
      </w:pPr>
    </w:p>
    <w:p w:rsidR="00872559" w:rsidRPr="00EB35EE" w:rsidRDefault="00872559" w:rsidP="00AE34E0">
      <w:pPr>
        <w:tabs>
          <w:tab w:val="left" w:pos="720"/>
          <w:tab w:val="left" w:pos="3960"/>
        </w:tabs>
        <w:autoSpaceDE w:val="0"/>
        <w:autoSpaceDN w:val="0"/>
        <w:adjustRightInd w:val="0"/>
        <w:rPr>
          <w:snapToGrid w:val="0"/>
        </w:rPr>
      </w:pPr>
      <w:r w:rsidRPr="00EB35EE">
        <w:rPr>
          <w:snapToGrid w:val="0"/>
        </w:rPr>
        <w:tab/>
      </w:r>
      <w:proofErr w:type="gramStart"/>
      <w:r w:rsidRPr="00EB35EE">
        <w:rPr>
          <w:snapToGrid w:val="0"/>
        </w:rPr>
        <w:t>Estimated Total Ann</w:t>
      </w:r>
      <w:r w:rsidR="001253C6">
        <w:rPr>
          <w:snapToGrid w:val="0"/>
        </w:rPr>
        <w:t>ual Burden:  412,213</w:t>
      </w:r>
      <w:r w:rsidRPr="00EB35EE">
        <w:rPr>
          <w:snapToGrid w:val="0"/>
        </w:rPr>
        <w:t xml:space="preserve"> burden hours.</w:t>
      </w:r>
      <w:proofErr w:type="gramEnd"/>
    </w:p>
    <w:p w:rsidR="004F2D31" w:rsidRPr="00EB35EE" w:rsidRDefault="004F2D31" w:rsidP="00AE34E0">
      <w:pPr>
        <w:ind w:right="-480"/>
        <w:rPr>
          <w:lang w:val="en-CA"/>
        </w:rPr>
      </w:pPr>
    </w:p>
    <w:p w:rsidR="00CA6AE6" w:rsidRDefault="00CA6AE6" w:rsidP="00AE34E0">
      <w:pPr>
        <w:ind w:right="-480"/>
        <w:rPr>
          <w:lang w:val="en-CA"/>
        </w:rPr>
      </w:pPr>
      <w:r w:rsidRPr="000A1AC8">
        <w:rPr>
          <w:lang w:val="en-CA"/>
        </w:rPr>
        <w:t>The OCC estimates the cost of the hour burden to respondents as follows:</w:t>
      </w:r>
    </w:p>
    <w:p w:rsidR="00CA6AE6" w:rsidRPr="000A1AC8" w:rsidRDefault="00CA6AE6" w:rsidP="00AE34E0">
      <w:pPr>
        <w:ind w:right="-480"/>
        <w:rPr>
          <w:lang w:val="en-CA"/>
        </w:rPr>
      </w:pPr>
    </w:p>
    <w:p w:rsidR="00CA6AE6" w:rsidRPr="000A1AC8" w:rsidRDefault="00CA6AE6" w:rsidP="00AE34E0">
      <w:pPr>
        <w:ind w:right="-480"/>
        <w:rPr>
          <w:color w:val="000000"/>
        </w:rPr>
      </w:pPr>
      <w:r w:rsidRPr="000A1AC8">
        <w:rPr>
          <w:color w:val="000000"/>
        </w:rPr>
        <w:t xml:space="preserve">Clerical:  </w:t>
      </w:r>
      <w:r w:rsidRPr="000A1AC8">
        <w:rPr>
          <w:color w:val="000000"/>
        </w:rPr>
        <w:tab/>
      </w:r>
      <w:r w:rsidRPr="000A1AC8">
        <w:rPr>
          <w:color w:val="000000"/>
        </w:rPr>
        <w:tab/>
      </w:r>
      <w:r w:rsidRPr="000A1AC8">
        <w:rPr>
          <w:color w:val="000000"/>
        </w:rPr>
        <w:tab/>
      </w:r>
      <w:bookmarkStart w:id="1" w:name="OLE_LINK1"/>
      <w:r w:rsidRPr="000A1AC8">
        <w:rPr>
          <w:color w:val="000000"/>
        </w:rPr>
        <w:t xml:space="preserve">20% x </w:t>
      </w:r>
      <w:r w:rsidR="003C0E89">
        <w:rPr>
          <w:snapToGrid w:val="0"/>
        </w:rPr>
        <w:t>412,213</w:t>
      </w:r>
      <w:r w:rsidR="00317260" w:rsidRPr="00317260">
        <w:rPr>
          <w:snapToGrid w:val="0"/>
        </w:rPr>
        <w:t xml:space="preserve"> </w:t>
      </w:r>
      <w:r w:rsidRPr="000A1AC8">
        <w:rPr>
          <w:color w:val="000000"/>
        </w:rPr>
        <w:t xml:space="preserve">=   </w:t>
      </w:r>
      <w:r w:rsidR="003C0E89">
        <w:rPr>
          <w:color w:val="000000"/>
        </w:rPr>
        <w:t xml:space="preserve">  82,442.60</w:t>
      </w:r>
      <w:r>
        <w:rPr>
          <w:color w:val="000000"/>
        </w:rPr>
        <w:t xml:space="preserve"> @ $20 </w:t>
      </w:r>
      <w:r w:rsidR="00333A85">
        <w:rPr>
          <w:color w:val="000000"/>
        </w:rPr>
        <w:t xml:space="preserve">  </w:t>
      </w:r>
      <w:r w:rsidR="003C0E89">
        <w:rPr>
          <w:color w:val="000000"/>
        </w:rPr>
        <w:t xml:space="preserve"> </w:t>
      </w:r>
      <w:r>
        <w:rPr>
          <w:color w:val="000000"/>
        </w:rPr>
        <w:t xml:space="preserve">= </w:t>
      </w:r>
      <w:r w:rsidR="00333A85">
        <w:rPr>
          <w:color w:val="000000"/>
        </w:rPr>
        <w:t xml:space="preserve">  </w:t>
      </w:r>
      <w:r>
        <w:rPr>
          <w:color w:val="000000"/>
        </w:rPr>
        <w:t xml:space="preserve">$ </w:t>
      </w:r>
      <w:r w:rsidR="00333A85">
        <w:rPr>
          <w:color w:val="000000"/>
        </w:rPr>
        <w:t xml:space="preserve">  </w:t>
      </w:r>
      <w:r>
        <w:rPr>
          <w:color w:val="000000"/>
        </w:rPr>
        <w:t xml:space="preserve"> </w:t>
      </w:r>
      <w:bookmarkEnd w:id="1"/>
      <w:r w:rsidR="00B57916">
        <w:rPr>
          <w:color w:val="000000"/>
        </w:rPr>
        <w:t xml:space="preserve"> </w:t>
      </w:r>
      <w:r w:rsidR="003C0E89">
        <w:rPr>
          <w:color w:val="000000"/>
        </w:rPr>
        <w:t xml:space="preserve">  1,648,852</w:t>
      </w:r>
      <w:r w:rsidR="00B57916">
        <w:rPr>
          <w:color w:val="000000"/>
        </w:rPr>
        <w:t>.00</w:t>
      </w:r>
    </w:p>
    <w:p w:rsidR="00CA6AE6" w:rsidRPr="000A1AC8" w:rsidRDefault="00CA6AE6" w:rsidP="00AE34E0">
      <w:pPr>
        <w:ind w:right="-480"/>
        <w:rPr>
          <w:color w:val="000000"/>
        </w:rPr>
      </w:pPr>
      <w:r w:rsidRPr="000A1AC8">
        <w:rPr>
          <w:color w:val="000000"/>
        </w:rPr>
        <w:t>Managerial/technical:</w:t>
      </w:r>
      <w:r w:rsidRPr="000A1AC8">
        <w:rPr>
          <w:color w:val="000000"/>
        </w:rPr>
        <w:tab/>
      </w:r>
      <w:r w:rsidRPr="000A1AC8">
        <w:rPr>
          <w:color w:val="000000"/>
        </w:rPr>
        <w:tab/>
      </w:r>
      <w:bookmarkStart w:id="2" w:name="OLE_LINK2"/>
      <w:r w:rsidRPr="000A1AC8">
        <w:rPr>
          <w:color w:val="000000"/>
        </w:rPr>
        <w:t xml:space="preserve">65% x </w:t>
      </w:r>
      <w:r w:rsidR="003C0E89">
        <w:rPr>
          <w:snapToGrid w:val="0"/>
        </w:rPr>
        <w:t>412,213</w:t>
      </w:r>
      <w:r w:rsidR="00317260" w:rsidRPr="00317260">
        <w:rPr>
          <w:snapToGrid w:val="0"/>
        </w:rPr>
        <w:t xml:space="preserve"> </w:t>
      </w:r>
      <w:r w:rsidRPr="000A1AC8">
        <w:rPr>
          <w:color w:val="000000"/>
        </w:rPr>
        <w:t xml:space="preserve">= </w:t>
      </w:r>
      <w:r>
        <w:rPr>
          <w:color w:val="000000"/>
        </w:rPr>
        <w:t xml:space="preserve">  </w:t>
      </w:r>
      <w:r w:rsidR="00313481">
        <w:rPr>
          <w:color w:val="000000"/>
        </w:rPr>
        <w:t>2</w:t>
      </w:r>
      <w:r w:rsidR="003C0E89">
        <w:rPr>
          <w:color w:val="000000"/>
        </w:rPr>
        <w:t>67,938.45</w:t>
      </w:r>
      <w:r w:rsidRPr="000A1AC8">
        <w:rPr>
          <w:color w:val="000000"/>
        </w:rPr>
        <w:t xml:space="preserve"> @ $40</w:t>
      </w:r>
      <w:r w:rsidR="002370D8">
        <w:rPr>
          <w:color w:val="000000"/>
        </w:rPr>
        <w:t xml:space="preserve"> </w:t>
      </w:r>
      <w:r w:rsidR="003C0E89">
        <w:rPr>
          <w:color w:val="000000"/>
        </w:rPr>
        <w:t xml:space="preserve">   </w:t>
      </w:r>
      <w:r w:rsidR="002370D8">
        <w:rPr>
          <w:color w:val="000000"/>
        </w:rPr>
        <w:t xml:space="preserve">= </w:t>
      </w:r>
      <w:r w:rsidR="003C0E89">
        <w:rPr>
          <w:color w:val="000000"/>
        </w:rPr>
        <w:t xml:space="preserve">  </w:t>
      </w:r>
      <w:r w:rsidR="002370D8">
        <w:rPr>
          <w:color w:val="000000"/>
        </w:rPr>
        <w:t xml:space="preserve">$ </w:t>
      </w:r>
      <w:r w:rsidR="00F66B04">
        <w:rPr>
          <w:color w:val="000000"/>
        </w:rPr>
        <w:t xml:space="preserve">  </w:t>
      </w:r>
      <w:r w:rsidR="0013638D">
        <w:rPr>
          <w:color w:val="000000"/>
        </w:rPr>
        <w:t xml:space="preserve">  10,</w:t>
      </w:r>
      <w:bookmarkEnd w:id="2"/>
      <w:r w:rsidR="003C0E89">
        <w:rPr>
          <w:color w:val="000000"/>
        </w:rPr>
        <w:t>717,538.00</w:t>
      </w:r>
    </w:p>
    <w:p w:rsidR="00CA6AE6" w:rsidRPr="000A1AC8" w:rsidRDefault="00CA6AE6" w:rsidP="00AE34E0">
      <w:pPr>
        <w:ind w:right="-480"/>
        <w:rPr>
          <w:color w:val="000000"/>
        </w:rPr>
      </w:pPr>
      <w:r w:rsidRPr="000A1AC8">
        <w:rPr>
          <w:color w:val="000000"/>
        </w:rPr>
        <w:t xml:space="preserve">Senior </w:t>
      </w:r>
      <w:proofErr w:type="spellStart"/>
      <w:r w:rsidRPr="000A1AC8">
        <w:rPr>
          <w:color w:val="000000"/>
        </w:rPr>
        <w:t>mgmt</w:t>
      </w:r>
      <w:proofErr w:type="spellEnd"/>
      <w:r w:rsidRPr="000A1AC8">
        <w:rPr>
          <w:color w:val="000000"/>
        </w:rPr>
        <w:t>/professional:</w:t>
      </w:r>
      <w:r w:rsidRPr="000A1AC8">
        <w:rPr>
          <w:color w:val="000000"/>
        </w:rPr>
        <w:tab/>
      </w:r>
      <w:bookmarkStart w:id="3" w:name="OLE_LINK3"/>
      <w:bookmarkStart w:id="4" w:name="OLE_LINK4"/>
      <w:bookmarkStart w:id="5" w:name="OLE_LINK5"/>
      <w:bookmarkStart w:id="6" w:name="OLE_LINK6"/>
      <w:bookmarkStart w:id="7" w:name="OLE_LINK8"/>
      <w:r w:rsidRPr="000A1AC8">
        <w:rPr>
          <w:color w:val="000000"/>
        </w:rPr>
        <w:t xml:space="preserve">14% x </w:t>
      </w:r>
      <w:r w:rsidR="003C0E89">
        <w:rPr>
          <w:snapToGrid w:val="0"/>
        </w:rPr>
        <w:t>412,213</w:t>
      </w:r>
      <w:r>
        <w:rPr>
          <w:color w:val="000000"/>
        </w:rPr>
        <w:t xml:space="preserve">=  </w:t>
      </w:r>
      <w:r w:rsidR="003C0E89">
        <w:rPr>
          <w:color w:val="000000"/>
        </w:rPr>
        <w:t xml:space="preserve">   </w:t>
      </w:r>
      <w:r>
        <w:rPr>
          <w:color w:val="000000"/>
        </w:rPr>
        <w:t xml:space="preserve"> </w:t>
      </w:r>
      <w:r w:rsidR="003C0E89">
        <w:rPr>
          <w:color w:val="000000"/>
        </w:rPr>
        <w:t xml:space="preserve">57,709.82 @ $80    </w:t>
      </w:r>
      <w:r w:rsidRPr="000A1AC8">
        <w:rPr>
          <w:color w:val="000000"/>
        </w:rPr>
        <w:t>=</w:t>
      </w:r>
      <w:r w:rsidR="003C0E89">
        <w:rPr>
          <w:color w:val="000000"/>
        </w:rPr>
        <w:t xml:space="preserve">  </w:t>
      </w:r>
      <w:r w:rsidRPr="000A1AC8">
        <w:rPr>
          <w:color w:val="000000"/>
        </w:rPr>
        <w:t xml:space="preserve"> $   </w:t>
      </w:r>
      <w:r w:rsidR="0013638D">
        <w:rPr>
          <w:color w:val="000000"/>
        </w:rPr>
        <w:t xml:space="preserve">    </w:t>
      </w:r>
      <w:r w:rsidR="003C0E89">
        <w:rPr>
          <w:color w:val="000000"/>
        </w:rPr>
        <w:t>4,616,785.6</w:t>
      </w:r>
      <w:r w:rsidR="0013638D">
        <w:rPr>
          <w:color w:val="000000"/>
        </w:rPr>
        <w:t>0</w:t>
      </w:r>
    </w:p>
    <w:bookmarkEnd w:id="3"/>
    <w:bookmarkEnd w:id="4"/>
    <w:bookmarkEnd w:id="5"/>
    <w:bookmarkEnd w:id="6"/>
    <w:bookmarkEnd w:id="7"/>
    <w:p w:rsidR="00CA6AE6" w:rsidRPr="000A1AC8" w:rsidRDefault="00CA6AE6" w:rsidP="00AE34E0">
      <w:pPr>
        <w:pStyle w:val="BodyText"/>
        <w:ind w:right="-480"/>
        <w:rPr>
          <w:color w:val="000000"/>
        </w:rPr>
      </w:pPr>
      <w:r w:rsidRPr="000A1AC8">
        <w:rPr>
          <w:color w:val="000000"/>
        </w:rPr>
        <w:t>Legal:</w:t>
      </w:r>
      <w:r w:rsidRPr="000A1AC8">
        <w:rPr>
          <w:color w:val="000000"/>
        </w:rPr>
        <w:tab/>
      </w:r>
      <w:r w:rsidRPr="000A1AC8">
        <w:rPr>
          <w:color w:val="000000"/>
        </w:rPr>
        <w:tab/>
      </w:r>
      <w:r w:rsidRPr="000A1AC8">
        <w:rPr>
          <w:color w:val="000000"/>
        </w:rPr>
        <w:tab/>
      </w:r>
      <w:r w:rsidRPr="000A1AC8">
        <w:rPr>
          <w:color w:val="000000"/>
        </w:rPr>
        <w:tab/>
      </w:r>
      <w:bookmarkStart w:id="8" w:name="OLE_LINK7"/>
      <w:r w:rsidRPr="000A1AC8">
        <w:rPr>
          <w:color w:val="000000"/>
        </w:rPr>
        <w:t xml:space="preserve">01% x </w:t>
      </w:r>
      <w:r w:rsidR="003C0E89">
        <w:rPr>
          <w:snapToGrid w:val="0"/>
        </w:rPr>
        <w:t>412,213</w:t>
      </w:r>
      <w:r w:rsidR="00317260" w:rsidRPr="00317260">
        <w:rPr>
          <w:snapToGrid w:val="0"/>
        </w:rPr>
        <w:t xml:space="preserve"> </w:t>
      </w:r>
      <w:r w:rsidRPr="000A1AC8">
        <w:rPr>
          <w:color w:val="000000"/>
        </w:rPr>
        <w:t xml:space="preserve">=     </w:t>
      </w:r>
      <w:r w:rsidR="003C0E89">
        <w:rPr>
          <w:color w:val="000000"/>
        </w:rPr>
        <w:t xml:space="preserve">  4,122.13</w:t>
      </w:r>
      <w:r w:rsidRPr="000A1AC8">
        <w:rPr>
          <w:color w:val="000000"/>
        </w:rPr>
        <w:t xml:space="preserve"> @ $</w:t>
      </w:r>
      <w:proofErr w:type="gramStart"/>
      <w:r w:rsidRPr="000A1AC8">
        <w:rPr>
          <w:color w:val="000000"/>
        </w:rPr>
        <w:t xml:space="preserve">100 </w:t>
      </w:r>
      <w:r w:rsidR="003C0E89">
        <w:rPr>
          <w:color w:val="000000"/>
        </w:rPr>
        <w:t xml:space="preserve"> </w:t>
      </w:r>
      <w:r w:rsidRPr="000A1AC8">
        <w:rPr>
          <w:color w:val="000000"/>
        </w:rPr>
        <w:t>=</w:t>
      </w:r>
      <w:proofErr w:type="gramEnd"/>
      <w:r w:rsidRPr="000A1AC8">
        <w:rPr>
          <w:color w:val="000000"/>
        </w:rPr>
        <w:t xml:space="preserve"> </w:t>
      </w:r>
      <w:r w:rsidR="00333A85">
        <w:rPr>
          <w:color w:val="000000"/>
        </w:rPr>
        <w:t xml:space="preserve">  </w:t>
      </w:r>
      <w:r w:rsidRPr="000A1AC8">
        <w:rPr>
          <w:color w:val="000000"/>
          <w:u w:val="single"/>
        </w:rPr>
        <w:t xml:space="preserve">$  </w:t>
      </w:r>
      <w:r w:rsidR="00761714">
        <w:rPr>
          <w:color w:val="000000"/>
          <w:u w:val="single"/>
        </w:rPr>
        <w:t xml:space="preserve">     </w:t>
      </w:r>
      <w:r w:rsidR="003C0E89">
        <w:rPr>
          <w:color w:val="000000"/>
          <w:u w:val="single"/>
        </w:rPr>
        <w:t xml:space="preserve">  </w:t>
      </w:r>
      <w:r w:rsidR="0013638D">
        <w:rPr>
          <w:color w:val="000000"/>
          <w:u w:val="single"/>
        </w:rPr>
        <w:t xml:space="preserve"> </w:t>
      </w:r>
      <w:r w:rsidR="003C0E89">
        <w:rPr>
          <w:color w:val="000000"/>
          <w:u w:val="single"/>
        </w:rPr>
        <w:t>412,213</w:t>
      </w:r>
      <w:r w:rsidRPr="000A1AC8">
        <w:rPr>
          <w:color w:val="000000"/>
          <w:u w:val="single"/>
        </w:rPr>
        <w:t>.0</w:t>
      </w:r>
      <w:bookmarkEnd w:id="8"/>
      <w:r w:rsidRPr="000A1AC8">
        <w:rPr>
          <w:color w:val="000000"/>
          <w:u w:val="single"/>
        </w:rPr>
        <w:t xml:space="preserve">0   </w:t>
      </w:r>
    </w:p>
    <w:p w:rsidR="00CA6AE6" w:rsidRPr="000A1AC8" w:rsidRDefault="00CA6AE6" w:rsidP="00AE34E0">
      <w:pPr>
        <w:pStyle w:val="BodyText"/>
        <w:ind w:right="-480"/>
        <w:rPr>
          <w:color w:val="000000"/>
        </w:rPr>
      </w:pPr>
      <w:r w:rsidRPr="000A1AC8">
        <w:rPr>
          <w:color w:val="000000"/>
        </w:rPr>
        <w:t>Total:</w:t>
      </w:r>
      <w:r w:rsidRPr="000A1AC8">
        <w:rPr>
          <w:color w:val="000000"/>
        </w:rPr>
        <w:tab/>
      </w:r>
      <w:r w:rsidRPr="000A1AC8">
        <w:rPr>
          <w:color w:val="000000"/>
        </w:rPr>
        <w:tab/>
      </w:r>
      <w:r w:rsidRPr="000A1AC8">
        <w:rPr>
          <w:color w:val="000000"/>
        </w:rPr>
        <w:tab/>
      </w:r>
      <w:r w:rsidRPr="000A1AC8">
        <w:rPr>
          <w:color w:val="000000"/>
        </w:rPr>
        <w:tab/>
      </w:r>
      <w:r w:rsidRPr="000A1AC8">
        <w:rPr>
          <w:color w:val="000000"/>
        </w:rPr>
        <w:tab/>
      </w:r>
      <w:r w:rsidRPr="000A1AC8">
        <w:rPr>
          <w:color w:val="000000"/>
        </w:rPr>
        <w:tab/>
      </w:r>
      <w:r w:rsidRPr="000A1AC8">
        <w:rPr>
          <w:color w:val="000000"/>
        </w:rPr>
        <w:tab/>
      </w:r>
      <w:r w:rsidRPr="000A1AC8">
        <w:rPr>
          <w:color w:val="000000"/>
        </w:rPr>
        <w:tab/>
      </w:r>
      <w:r w:rsidRPr="000A1AC8">
        <w:rPr>
          <w:color w:val="000000"/>
        </w:rPr>
        <w:tab/>
        <w:t xml:space="preserve">   </w:t>
      </w:r>
      <w:r w:rsidR="00333A85">
        <w:rPr>
          <w:color w:val="000000"/>
        </w:rPr>
        <w:t xml:space="preserve"> </w:t>
      </w:r>
      <w:r w:rsidRPr="000A1AC8">
        <w:rPr>
          <w:color w:val="000000"/>
        </w:rPr>
        <w:t xml:space="preserve"> </w:t>
      </w:r>
      <w:r w:rsidR="00B57916">
        <w:rPr>
          <w:color w:val="000000"/>
        </w:rPr>
        <w:t xml:space="preserve">  </w:t>
      </w:r>
      <w:r w:rsidR="003C0E89">
        <w:rPr>
          <w:color w:val="000000"/>
        </w:rPr>
        <w:t xml:space="preserve">   </w:t>
      </w:r>
      <w:r w:rsidRPr="000A1AC8">
        <w:rPr>
          <w:color w:val="000000"/>
        </w:rPr>
        <w:t xml:space="preserve">$ </w:t>
      </w:r>
      <w:r w:rsidR="0013638D">
        <w:rPr>
          <w:color w:val="000000"/>
        </w:rPr>
        <w:t xml:space="preserve"> </w:t>
      </w:r>
      <w:r w:rsidR="003C0E89">
        <w:rPr>
          <w:color w:val="000000"/>
        </w:rPr>
        <w:t xml:space="preserve">  </w:t>
      </w:r>
      <w:r w:rsidR="005A2FD3">
        <w:rPr>
          <w:color w:val="000000"/>
        </w:rPr>
        <w:t>17,395,388.60</w:t>
      </w:r>
    </w:p>
    <w:p w:rsidR="00CA6AE6" w:rsidRPr="0057093A" w:rsidRDefault="00CA6AE6" w:rsidP="00AE34E0">
      <w:pPr>
        <w:keepLines/>
        <w:tabs>
          <w:tab w:val="left" w:pos="432"/>
          <w:tab w:val="left" w:pos="1296"/>
          <w:tab w:val="left" w:pos="1728"/>
          <w:tab w:val="left" w:pos="4176"/>
        </w:tabs>
        <w:rPr>
          <w:szCs w:val="20"/>
        </w:rPr>
      </w:pPr>
    </w:p>
    <w:p w:rsidR="00CA6AE6" w:rsidRPr="0057093A" w:rsidRDefault="00CA6AE6" w:rsidP="00AE34E0">
      <w:pPr>
        <w:tabs>
          <w:tab w:val="left" w:pos="432"/>
          <w:tab w:val="left" w:pos="1296"/>
          <w:tab w:val="left" w:pos="1728"/>
          <w:tab w:val="left" w:pos="4176"/>
        </w:tabs>
        <w:ind w:left="432" w:hanging="432"/>
        <w:rPr>
          <w:color w:val="000000"/>
          <w:szCs w:val="20"/>
        </w:rPr>
      </w:pPr>
      <w:r w:rsidRPr="0057093A">
        <w:rPr>
          <w:color w:val="000000"/>
          <w:szCs w:val="20"/>
        </w:rPr>
        <w:t>13.</w:t>
      </w:r>
      <w:r w:rsidRPr="0057093A">
        <w:rPr>
          <w:color w:val="000000"/>
          <w:szCs w:val="20"/>
        </w:rPr>
        <w:tab/>
      </w:r>
      <w:r w:rsidRPr="0057093A">
        <w:rPr>
          <w:color w:val="000000"/>
          <w:szCs w:val="20"/>
          <w:u w:val="single"/>
        </w:rPr>
        <w:t>Capital, Start-up, and Operating Costs</w:t>
      </w:r>
    </w:p>
    <w:p w:rsidR="00CA6AE6" w:rsidRDefault="00CA6AE6" w:rsidP="00AE34E0">
      <w:pPr>
        <w:pStyle w:val="BodyText"/>
        <w:ind w:right="-480"/>
      </w:pPr>
      <w:r>
        <w:t xml:space="preserve">          </w:t>
      </w:r>
    </w:p>
    <w:p w:rsidR="00CA6AE6" w:rsidRDefault="00A759DF" w:rsidP="00AE34E0">
      <w:pPr>
        <w:pStyle w:val="BodyText"/>
        <w:tabs>
          <w:tab w:val="left" w:pos="720"/>
        </w:tabs>
        <w:ind w:firstLine="720"/>
      </w:pPr>
      <w:proofErr w:type="gramStart"/>
      <w:r>
        <w:t>Not applicable.</w:t>
      </w:r>
      <w:proofErr w:type="gramEnd"/>
    </w:p>
    <w:p w:rsidR="00CA6AE6" w:rsidRDefault="00CA6AE6" w:rsidP="00AE34E0">
      <w:pPr>
        <w:pStyle w:val="BodyText"/>
        <w:spacing w:after="0"/>
      </w:pPr>
    </w:p>
    <w:p w:rsidR="00CA6AE6" w:rsidRPr="0057093A" w:rsidRDefault="00CA6AE6" w:rsidP="00AE34E0">
      <w:pPr>
        <w:numPr>
          <w:ilvl w:val="0"/>
          <w:numId w:val="3"/>
        </w:numPr>
        <w:tabs>
          <w:tab w:val="left" w:pos="432"/>
          <w:tab w:val="left" w:pos="1728"/>
          <w:tab w:val="left" w:pos="4176"/>
        </w:tabs>
        <w:ind w:left="432" w:hanging="432"/>
        <w:rPr>
          <w:color w:val="000000"/>
          <w:szCs w:val="20"/>
        </w:rPr>
      </w:pPr>
      <w:r w:rsidRPr="0057093A">
        <w:rPr>
          <w:color w:val="000000"/>
          <w:szCs w:val="20"/>
          <w:u w:val="single"/>
        </w:rPr>
        <w:t>Estimates of Annualized Cost to the Federal Government</w:t>
      </w:r>
    </w:p>
    <w:p w:rsidR="00CA6AE6" w:rsidRPr="0057093A" w:rsidRDefault="00CA6AE6" w:rsidP="00AE34E0">
      <w:pPr>
        <w:tabs>
          <w:tab w:val="left" w:pos="432"/>
          <w:tab w:val="left" w:pos="1296"/>
          <w:tab w:val="left" w:pos="1728"/>
          <w:tab w:val="left" w:pos="4176"/>
        </w:tabs>
        <w:rPr>
          <w:color w:val="000000"/>
          <w:szCs w:val="20"/>
        </w:rPr>
      </w:pPr>
    </w:p>
    <w:p w:rsidR="00CA6AE6" w:rsidRPr="0057093A" w:rsidRDefault="00676FA2" w:rsidP="00AE34E0">
      <w:pPr>
        <w:tabs>
          <w:tab w:val="left" w:pos="432"/>
          <w:tab w:val="left" w:pos="1296"/>
          <w:tab w:val="left" w:pos="1728"/>
          <w:tab w:val="left" w:pos="4176"/>
        </w:tabs>
        <w:ind w:left="360"/>
        <w:rPr>
          <w:color w:val="000000"/>
          <w:szCs w:val="20"/>
        </w:rPr>
      </w:pPr>
      <w:r>
        <w:rPr>
          <w:color w:val="000000"/>
          <w:szCs w:val="20"/>
        </w:rPr>
        <w:tab/>
        <w:t xml:space="preserve">    </w:t>
      </w:r>
      <w:proofErr w:type="gramStart"/>
      <w:r w:rsidR="00A759DF">
        <w:rPr>
          <w:color w:val="000000"/>
          <w:szCs w:val="20"/>
        </w:rPr>
        <w:t>Not applicable.</w:t>
      </w:r>
      <w:proofErr w:type="gramEnd"/>
    </w:p>
    <w:p w:rsidR="00CA6AE6" w:rsidRPr="0057093A" w:rsidRDefault="00CA6AE6" w:rsidP="00AE34E0">
      <w:pPr>
        <w:rPr>
          <w:color w:val="000000"/>
          <w:szCs w:val="20"/>
        </w:rPr>
      </w:pPr>
    </w:p>
    <w:p w:rsidR="00CA6AE6" w:rsidRPr="00C73C7B" w:rsidRDefault="00CA6AE6" w:rsidP="00AE34E0">
      <w:pPr>
        <w:tabs>
          <w:tab w:val="left" w:pos="432"/>
          <w:tab w:val="left" w:pos="1728"/>
          <w:tab w:val="left" w:pos="4176"/>
        </w:tabs>
        <w:rPr>
          <w:color w:val="000000"/>
          <w:szCs w:val="20"/>
          <w:u w:val="single"/>
        </w:rPr>
      </w:pPr>
      <w:r w:rsidRPr="00C73C7B">
        <w:rPr>
          <w:color w:val="000000"/>
          <w:szCs w:val="20"/>
        </w:rPr>
        <w:t xml:space="preserve">15. </w:t>
      </w:r>
      <w:r w:rsidRPr="00C73C7B">
        <w:rPr>
          <w:color w:val="000000"/>
          <w:szCs w:val="20"/>
          <w:u w:val="single"/>
        </w:rPr>
        <w:t>Change in Burden</w:t>
      </w:r>
    </w:p>
    <w:p w:rsidR="00CA6AE6" w:rsidRPr="00A33182" w:rsidRDefault="00CA6AE6" w:rsidP="00AE34E0">
      <w:pPr>
        <w:autoSpaceDE w:val="0"/>
        <w:autoSpaceDN w:val="0"/>
        <w:adjustRightInd w:val="0"/>
        <w:rPr>
          <w:snapToGrid w:val="0"/>
        </w:rPr>
      </w:pPr>
    </w:p>
    <w:p w:rsidR="00CA6AE6" w:rsidRPr="000A1AC8" w:rsidRDefault="00CA6AE6" w:rsidP="00AE34E0">
      <w:pPr>
        <w:pStyle w:val="BodyText"/>
        <w:ind w:right="-480"/>
      </w:pPr>
      <w:r w:rsidRPr="000A1AC8">
        <w:rPr>
          <w:u w:val="single"/>
        </w:rPr>
        <w:t>Former burden:</w:t>
      </w:r>
      <w:r>
        <w:tab/>
      </w:r>
      <w:r w:rsidR="00047149">
        <w:t>406,141</w:t>
      </w:r>
      <w:r w:rsidR="00DC6A94">
        <w:t xml:space="preserve"> </w:t>
      </w:r>
      <w:r w:rsidR="00317260">
        <w:t>burden hours.</w:t>
      </w:r>
      <w:r>
        <w:t xml:space="preserve"> </w:t>
      </w:r>
    </w:p>
    <w:p w:rsidR="00CA6AE6" w:rsidRPr="000A1AC8" w:rsidRDefault="00CA6AE6" w:rsidP="00AE34E0">
      <w:pPr>
        <w:pStyle w:val="BodyText"/>
        <w:ind w:right="-480"/>
      </w:pPr>
      <w:r w:rsidRPr="000A1AC8">
        <w:rPr>
          <w:u w:val="single"/>
        </w:rPr>
        <w:lastRenderedPageBreak/>
        <w:t>New burden:</w:t>
      </w:r>
      <w:r w:rsidRPr="000A1AC8">
        <w:tab/>
      </w:r>
      <w:r w:rsidRPr="000A1AC8">
        <w:tab/>
      </w:r>
      <w:r w:rsidR="00047149">
        <w:t xml:space="preserve">412,213 </w:t>
      </w:r>
      <w:r w:rsidR="00317260">
        <w:t>burden hours</w:t>
      </w:r>
      <w:r w:rsidR="00DC6A94">
        <w:t>.</w:t>
      </w:r>
    </w:p>
    <w:p w:rsidR="00E6276E" w:rsidRPr="008508DF" w:rsidRDefault="00CA6AE6" w:rsidP="00AE34E0">
      <w:pPr>
        <w:pStyle w:val="BodyText"/>
        <w:ind w:right="-480"/>
      </w:pPr>
      <w:r w:rsidRPr="000A1AC8">
        <w:rPr>
          <w:u w:val="single"/>
        </w:rPr>
        <w:t>Change:</w:t>
      </w:r>
      <w:r w:rsidRPr="000A1AC8">
        <w:tab/>
        <w:t xml:space="preserve">           </w:t>
      </w:r>
      <w:r w:rsidR="00317260">
        <w:t xml:space="preserve"> </w:t>
      </w:r>
      <w:r w:rsidR="00047149">
        <w:t xml:space="preserve"> </w:t>
      </w:r>
      <w:r w:rsidR="00EF610E">
        <w:t xml:space="preserve">+ </w:t>
      </w:r>
      <w:r w:rsidR="00047149">
        <w:t>6,072</w:t>
      </w:r>
      <w:r w:rsidR="00FF2455">
        <w:t xml:space="preserve"> </w:t>
      </w:r>
      <w:r w:rsidRPr="000A1AC8">
        <w:t>burden hours</w:t>
      </w:r>
      <w:r w:rsidR="000E78BD">
        <w:t>.</w:t>
      </w:r>
    </w:p>
    <w:p w:rsidR="00E6276E" w:rsidRPr="0057093A" w:rsidRDefault="00E6276E" w:rsidP="00AE34E0">
      <w:pPr>
        <w:tabs>
          <w:tab w:val="left" w:pos="432"/>
          <w:tab w:val="left" w:pos="1296"/>
          <w:tab w:val="left" w:pos="1728"/>
          <w:tab w:val="left" w:pos="4176"/>
        </w:tabs>
        <w:rPr>
          <w:color w:val="000000"/>
          <w:szCs w:val="20"/>
        </w:rPr>
      </w:pPr>
    </w:p>
    <w:p w:rsidR="00C847CC" w:rsidRDefault="00A3679A" w:rsidP="00AE34E0">
      <w:pPr>
        <w:tabs>
          <w:tab w:val="left" w:pos="0"/>
          <w:tab w:val="left" w:pos="1296"/>
          <w:tab w:val="left" w:pos="1728"/>
          <w:tab w:val="left" w:pos="4176"/>
        </w:tabs>
        <w:rPr>
          <w:color w:val="000000"/>
          <w:szCs w:val="20"/>
        </w:rPr>
      </w:pPr>
      <w:r>
        <w:rPr>
          <w:color w:val="000000"/>
          <w:szCs w:val="20"/>
        </w:rPr>
        <w:t xml:space="preserve">The </w:t>
      </w:r>
      <w:r w:rsidR="00CB2C2B">
        <w:rPr>
          <w:color w:val="000000"/>
          <w:szCs w:val="20"/>
        </w:rPr>
        <w:t>increase</w:t>
      </w:r>
      <w:r>
        <w:rPr>
          <w:color w:val="000000"/>
          <w:szCs w:val="20"/>
        </w:rPr>
        <w:t xml:space="preserve"> in burden is due to the additional question</w:t>
      </w:r>
      <w:r w:rsidR="00CB2C2B">
        <w:rPr>
          <w:color w:val="000000"/>
          <w:szCs w:val="20"/>
        </w:rPr>
        <w:t xml:space="preserve">s and the breakdown of existing </w:t>
      </w:r>
      <w:r>
        <w:rPr>
          <w:color w:val="000000"/>
          <w:szCs w:val="20"/>
        </w:rPr>
        <w:t>questions.</w:t>
      </w:r>
    </w:p>
    <w:p w:rsidR="00C847CC" w:rsidRDefault="00C847CC" w:rsidP="00AE34E0">
      <w:pPr>
        <w:tabs>
          <w:tab w:val="left" w:pos="432"/>
          <w:tab w:val="left" w:pos="1296"/>
          <w:tab w:val="left" w:pos="1728"/>
          <w:tab w:val="left" w:pos="4176"/>
        </w:tabs>
        <w:ind w:left="432" w:hanging="432"/>
        <w:rPr>
          <w:color w:val="000000"/>
          <w:szCs w:val="20"/>
        </w:rPr>
      </w:pPr>
    </w:p>
    <w:p w:rsidR="00CA6AE6" w:rsidRPr="0057093A" w:rsidRDefault="002276C4" w:rsidP="00AE34E0">
      <w:pPr>
        <w:tabs>
          <w:tab w:val="left" w:pos="432"/>
          <w:tab w:val="left" w:pos="1296"/>
          <w:tab w:val="left" w:pos="1728"/>
          <w:tab w:val="left" w:pos="4176"/>
        </w:tabs>
        <w:ind w:left="432" w:hanging="432"/>
        <w:rPr>
          <w:color w:val="000000"/>
          <w:szCs w:val="20"/>
        </w:rPr>
      </w:pPr>
      <w:r>
        <w:rPr>
          <w:color w:val="000000"/>
          <w:szCs w:val="20"/>
        </w:rPr>
        <w:t xml:space="preserve">16. </w:t>
      </w:r>
      <w:r w:rsidR="00CA6AE6" w:rsidRPr="0057093A">
        <w:rPr>
          <w:color w:val="000000"/>
          <w:szCs w:val="20"/>
          <w:u w:val="single"/>
        </w:rPr>
        <w:t>Publication</w:t>
      </w:r>
    </w:p>
    <w:p w:rsidR="00CA6AE6" w:rsidRPr="0057093A" w:rsidRDefault="00CA6AE6" w:rsidP="00AE34E0">
      <w:pPr>
        <w:rPr>
          <w:color w:val="000000"/>
          <w:szCs w:val="20"/>
        </w:rPr>
      </w:pPr>
    </w:p>
    <w:p w:rsidR="00CA6AE6" w:rsidRPr="0057093A" w:rsidRDefault="00CA6AE6" w:rsidP="00AE34E0">
      <w:pPr>
        <w:rPr>
          <w:color w:val="000000"/>
          <w:szCs w:val="20"/>
        </w:rPr>
      </w:pPr>
      <w:r>
        <w:rPr>
          <w:color w:val="000000"/>
          <w:szCs w:val="20"/>
        </w:rPr>
        <w:t xml:space="preserve">          </w:t>
      </w:r>
      <w:proofErr w:type="gramStart"/>
      <w:r w:rsidR="002276C4">
        <w:rPr>
          <w:color w:val="000000"/>
          <w:szCs w:val="20"/>
        </w:rPr>
        <w:t>Not applicable.</w:t>
      </w:r>
      <w:proofErr w:type="gramEnd"/>
    </w:p>
    <w:p w:rsidR="00CA6AE6" w:rsidRPr="0057093A" w:rsidRDefault="00CA6AE6" w:rsidP="00AE34E0">
      <w:pPr>
        <w:rPr>
          <w:color w:val="000000"/>
          <w:szCs w:val="20"/>
        </w:rPr>
      </w:pPr>
    </w:p>
    <w:p w:rsidR="00CA6AE6" w:rsidRDefault="00CA6AE6" w:rsidP="00AE34E0">
      <w:pPr>
        <w:tabs>
          <w:tab w:val="left" w:pos="432"/>
          <w:tab w:val="left" w:pos="1296"/>
          <w:tab w:val="left" w:pos="1728"/>
          <w:tab w:val="left" w:pos="4176"/>
        </w:tabs>
        <w:rPr>
          <w:color w:val="000000"/>
          <w:szCs w:val="20"/>
          <w:u w:val="single"/>
        </w:rPr>
      </w:pPr>
      <w:r w:rsidRPr="00C73C7B">
        <w:rPr>
          <w:color w:val="000000"/>
          <w:szCs w:val="20"/>
        </w:rPr>
        <w:t xml:space="preserve">17. </w:t>
      </w:r>
      <w:r w:rsidRPr="00C73C7B">
        <w:rPr>
          <w:color w:val="000000"/>
          <w:szCs w:val="20"/>
          <w:u w:val="single"/>
        </w:rPr>
        <w:t>Exceptions to Expiration Date Display</w:t>
      </w:r>
    </w:p>
    <w:p w:rsidR="00CA6AE6" w:rsidRPr="00C73C7B" w:rsidRDefault="00CA6AE6" w:rsidP="00AE34E0">
      <w:pPr>
        <w:tabs>
          <w:tab w:val="left" w:pos="432"/>
          <w:tab w:val="left" w:pos="1296"/>
          <w:tab w:val="left" w:pos="1728"/>
          <w:tab w:val="left" w:pos="4176"/>
        </w:tabs>
        <w:rPr>
          <w:color w:val="000000"/>
          <w:szCs w:val="20"/>
        </w:rPr>
      </w:pPr>
    </w:p>
    <w:p w:rsidR="00CA6AE6" w:rsidRPr="0057093A" w:rsidRDefault="00CA6AE6" w:rsidP="00AE34E0">
      <w:pPr>
        <w:keepNext/>
        <w:rPr>
          <w:color w:val="000000"/>
          <w:szCs w:val="20"/>
        </w:rPr>
      </w:pPr>
      <w:r>
        <w:rPr>
          <w:color w:val="000000"/>
          <w:szCs w:val="20"/>
        </w:rPr>
        <w:t xml:space="preserve">      </w:t>
      </w:r>
      <w:proofErr w:type="gramStart"/>
      <w:r w:rsidRPr="0057093A">
        <w:rPr>
          <w:color w:val="000000"/>
          <w:szCs w:val="20"/>
        </w:rPr>
        <w:t>None.</w:t>
      </w:r>
      <w:proofErr w:type="gramEnd"/>
    </w:p>
    <w:p w:rsidR="00CA6AE6" w:rsidRPr="0057093A" w:rsidRDefault="00CA6AE6" w:rsidP="00AE34E0">
      <w:pPr>
        <w:keepNext/>
        <w:rPr>
          <w:color w:val="000000"/>
          <w:szCs w:val="20"/>
        </w:rPr>
      </w:pPr>
    </w:p>
    <w:p w:rsidR="00CA6AE6" w:rsidRPr="0057093A" w:rsidRDefault="00CA6AE6" w:rsidP="00AE34E0">
      <w:pPr>
        <w:keepNext/>
        <w:numPr>
          <w:ilvl w:val="0"/>
          <w:numId w:val="4"/>
        </w:numPr>
        <w:tabs>
          <w:tab w:val="left" w:pos="432"/>
          <w:tab w:val="left" w:pos="1728"/>
          <w:tab w:val="left" w:pos="4176"/>
        </w:tabs>
        <w:ind w:left="432" w:hanging="432"/>
        <w:rPr>
          <w:color w:val="000000"/>
          <w:szCs w:val="20"/>
        </w:rPr>
      </w:pPr>
      <w:r w:rsidRPr="0057093A">
        <w:rPr>
          <w:color w:val="000000"/>
          <w:szCs w:val="20"/>
          <w:u w:val="single"/>
        </w:rPr>
        <w:t>Exceptions to Certification</w:t>
      </w:r>
    </w:p>
    <w:p w:rsidR="00CA6AE6" w:rsidRPr="0057093A" w:rsidRDefault="00CA6AE6" w:rsidP="00AE34E0">
      <w:pPr>
        <w:keepNext/>
        <w:rPr>
          <w:color w:val="000000"/>
          <w:szCs w:val="20"/>
        </w:rPr>
      </w:pPr>
    </w:p>
    <w:p w:rsidR="00CA6AE6" w:rsidRPr="0057093A" w:rsidRDefault="00CA6AE6" w:rsidP="00AE34E0">
      <w:pPr>
        <w:keepNext/>
        <w:rPr>
          <w:color w:val="000000"/>
          <w:szCs w:val="20"/>
        </w:rPr>
      </w:pPr>
      <w:r>
        <w:rPr>
          <w:color w:val="000000"/>
          <w:szCs w:val="20"/>
        </w:rPr>
        <w:t xml:space="preserve">          </w:t>
      </w:r>
      <w:proofErr w:type="gramStart"/>
      <w:r w:rsidRPr="0057093A">
        <w:rPr>
          <w:color w:val="000000"/>
          <w:szCs w:val="20"/>
        </w:rPr>
        <w:t>None.</w:t>
      </w:r>
      <w:proofErr w:type="gramEnd"/>
    </w:p>
    <w:p w:rsidR="00CA6AE6" w:rsidRPr="0057093A" w:rsidRDefault="00CA6AE6" w:rsidP="00AE34E0">
      <w:pPr>
        <w:keepNext/>
        <w:rPr>
          <w:color w:val="000000"/>
          <w:szCs w:val="20"/>
        </w:rPr>
      </w:pPr>
    </w:p>
    <w:p w:rsidR="00CA6AE6" w:rsidRDefault="00CA6AE6" w:rsidP="00AE34E0">
      <w:pPr>
        <w:suppressAutoHyphens/>
        <w:rPr>
          <w:szCs w:val="20"/>
          <w:u w:val="single"/>
        </w:rPr>
      </w:pPr>
      <w:r w:rsidRPr="0057093A">
        <w:rPr>
          <w:szCs w:val="20"/>
        </w:rPr>
        <w:t xml:space="preserve">B.  </w:t>
      </w:r>
      <w:r w:rsidRPr="0057093A">
        <w:rPr>
          <w:szCs w:val="20"/>
          <w:u w:val="single"/>
        </w:rPr>
        <w:t>COLLECTION OF INFORMATION EMPLOYING STATISTICAL METHODS</w:t>
      </w:r>
    </w:p>
    <w:p w:rsidR="00CA6AE6" w:rsidRPr="0057093A" w:rsidRDefault="00CA6AE6" w:rsidP="00AE34E0">
      <w:pPr>
        <w:suppressAutoHyphens/>
        <w:rPr>
          <w:szCs w:val="20"/>
        </w:rPr>
      </w:pPr>
    </w:p>
    <w:p w:rsidR="00CA6AE6" w:rsidRDefault="00CA6AE6" w:rsidP="00AE34E0">
      <w:pPr>
        <w:tabs>
          <w:tab w:val="left" w:pos="-720"/>
          <w:tab w:val="left" w:pos="0"/>
          <w:tab w:val="left" w:pos="1008"/>
          <w:tab w:val="left" w:pos="2160"/>
          <w:tab w:val="left" w:pos="4176"/>
          <w:tab w:val="left" w:pos="5472"/>
          <w:tab w:val="left" w:pos="6912"/>
        </w:tabs>
        <w:suppressAutoHyphens/>
        <w:rPr>
          <w:szCs w:val="20"/>
        </w:rPr>
      </w:pPr>
      <w:r>
        <w:rPr>
          <w:szCs w:val="20"/>
        </w:rPr>
        <w:t xml:space="preserve">         </w:t>
      </w:r>
      <w:proofErr w:type="gramStart"/>
      <w:r w:rsidRPr="0057093A">
        <w:rPr>
          <w:szCs w:val="20"/>
        </w:rPr>
        <w:t>Not applicable.</w:t>
      </w:r>
      <w:proofErr w:type="gramEnd"/>
    </w:p>
    <w:p w:rsidR="00CA6AE6" w:rsidRPr="00300FF7" w:rsidRDefault="00CA6AE6" w:rsidP="00300FF7">
      <w:pPr>
        <w:tabs>
          <w:tab w:val="left" w:pos="-720"/>
          <w:tab w:val="left" w:pos="0"/>
          <w:tab w:val="left" w:pos="1008"/>
          <w:tab w:val="left" w:pos="2160"/>
          <w:tab w:val="left" w:pos="4176"/>
          <w:tab w:val="left" w:pos="5472"/>
          <w:tab w:val="left" w:pos="6912"/>
        </w:tabs>
        <w:suppressAutoHyphens/>
        <w:rPr>
          <w:szCs w:val="20"/>
        </w:rPr>
      </w:pPr>
    </w:p>
    <w:sectPr w:rsidR="00CA6AE6" w:rsidRPr="00300FF7" w:rsidSect="008A5FFD">
      <w:footerReference w:type="even" r:id="rId9"/>
      <w:footerReference w:type="default" r:id="rId10"/>
      <w:endnotePr>
        <w:numFmt w:val="decimal"/>
      </w:endnotePr>
      <w:pgSz w:w="12240" w:h="158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434" w:rsidRDefault="00716434">
      <w:r>
        <w:separator/>
      </w:r>
    </w:p>
  </w:endnote>
  <w:endnote w:type="continuationSeparator" w:id="0">
    <w:p w:rsidR="00716434" w:rsidRDefault="00716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69E" w:rsidRDefault="001671BC">
    <w:pPr>
      <w:pStyle w:val="Footer"/>
      <w:framePr w:wrap="around" w:vAnchor="text" w:hAnchor="margin" w:xAlign="center" w:y="1"/>
      <w:rPr>
        <w:rStyle w:val="PageNumber"/>
      </w:rPr>
    </w:pPr>
    <w:r>
      <w:rPr>
        <w:rStyle w:val="PageNumber"/>
      </w:rPr>
      <w:fldChar w:fldCharType="begin"/>
    </w:r>
    <w:r w:rsidR="00AB569E">
      <w:rPr>
        <w:rStyle w:val="PageNumber"/>
      </w:rPr>
      <w:instrText xml:space="preserve">PAGE  </w:instrText>
    </w:r>
    <w:r>
      <w:rPr>
        <w:rStyle w:val="PageNumber"/>
      </w:rPr>
      <w:fldChar w:fldCharType="separate"/>
    </w:r>
    <w:r w:rsidR="00AB569E">
      <w:rPr>
        <w:rStyle w:val="PageNumber"/>
        <w:noProof/>
      </w:rPr>
      <w:t>13</w:t>
    </w:r>
    <w:r>
      <w:rPr>
        <w:rStyle w:val="PageNumber"/>
      </w:rPr>
      <w:fldChar w:fldCharType="end"/>
    </w:r>
  </w:p>
  <w:p w:rsidR="00AB569E" w:rsidRDefault="00AB56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69E" w:rsidRDefault="001671BC">
    <w:pPr>
      <w:pStyle w:val="Foot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sidR="00AB569E">
      <w:rPr>
        <w:rStyle w:val="PageNumber"/>
        <w:rFonts w:ascii="Times New Roman" w:hAnsi="Times New Roman"/>
      </w:rPr>
      <w:instrText xml:space="preserve">PAGE  </w:instrText>
    </w:r>
    <w:r>
      <w:rPr>
        <w:rStyle w:val="PageNumber"/>
        <w:rFonts w:ascii="Times New Roman" w:hAnsi="Times New Roman"/>
      </w:rPr>
      <w:fldChar w:fldCharType="separate"/>
    </w:r>
    <w:r w:rsidR="002C2605">
      <w:rPr>
        <w:rStyle w:val="PageNumber"/>
        <w:rFonts w:ascii="Times New Roman" w:hAnsi="Times New Roman"/>
        <w:noProof/>
      </w:rPr>
      <w:t>6</w:t>
    </w:r>
    <w:r>
      <w:rPr>
        <w:rStyle w:val="PageNumber"/>
        <w:rFonts w:ascii="Times New Roman" w:hAnsi="Times New Roman"/>
      </w:rPr>
      <w:fldChar w:fldCharType="end"/>
    </w:r>
  </w:p>
  <w:p w:rsidR="00AB569E" w:rsidRDefault="00AB56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434" w:rsidRDefault="00716434">
      <w:r>
        <w:separator/>
      </w:r>
    </w:p>
  </w:footnote>
  <w:footnote w:type="continuationSeparator" w:id="0">
    <w:p w:rsidR="00716434" w:rsidRDefault="007164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A3E24"/>
    <w:multiLevelType w:val="hybridMultilevel"/>
    <w:tmpl w:val="61C2AE0C"/>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102F202D"/>
    <w:multiLevelType w:val="hybridMultilevel"/>
    <w:tmpl w:val="C4AEC054"/>
    <w:lvl w:ilvl="0" w:tplc="C2FE14D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4512909"/>
    <w:multiLevelType w:val="hybridMultilevel"/>
    <w:tmpl w:val="FBC2D21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5E06C07"/>
    <w:multiLevelType w:val="hybridMultilevel"/>
    <w:tmpl w:val="48820EEC"/>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2250"/>
        </w:tabs>
        <w:ind w:left="2250" w:hanging="360"/>
      </w:pPr>
      <w:rPr>
        <w:rFonts w:ascii="Courier New" w:hAnsi="Courier New" w:cs="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4">
    <w:nsid w:val="16543B8E"/>
    <w:multiLevelType w:val="hybridMultilevel"/>
    <w:tmpl w:val="D068BD24"/>
    <w:lvl w:ilvl="0" w:tplc="D514142C">
      <w:start w:val="1"/>
      <w:numFmt w:val="bullet"/>
      <w:lvlText w:val=""/>
      <w:lvlJc w:val="left"/>
      <w:pPr>
        <w:tabs>
          <w:tab w:val="num" w:pos="360"/>
        </w:tabs>
        <w:ind w:left="360" w:hanging="36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4341427"/>
    <w:multiLevelType w:val="hybridMultilevel"/>
    <w:tmpl w:val="BAFE2BC6"/>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6">
    <w:nsid w:val="27BD2C1B"/>
    <w:multiLevelType w:val="singleLevel"/>
    <w:tmpl w:val="7A044780"/>
    <w:lvl w:ilvl="0">
      <w:start w:val="9"/>
      <w:numFmt w:val="decimal"/>
      <w:lvlText w:val="%1."/>
      <w:lvlJc w:val="left"/>
      <w:pPr>
        <w:tabs>
          <w:tab w:val="num" w:pos="1290"/>
        </w:tabs>
        <w:ind w:left="1290" w:hanging="855"/>
      </w:pPr>
      <w:rPr>
        <w:rFonts w:cs="Times New Roman" w:hint="default"/>
      </w:rPr>
    </w:lvl>
  </w:abstractNum>
  <w:abstractNum w:abstractNumId="7">
    <w:nsid w:val="2E703965"/>
    <w:multiLevelType w:val="singleLevel"/>
    <w:tmpl w:val="1B4C93C4"/>
    <w:lvl w:ilvl="0">
      <w:start w:val="18"/>
      <w:numFmt w:val="decimal"/>
      <w:lvlText w:val="%1."/>
      <w:lvlJc w:val="left"/>
      <w:pPr>
        <w:tabs>
          <w:tab w:val="num" w:pos="1035"/>
        </w:tabs>
        <w:ind w:left="1035" w:hanging="855"/>
      </w:pPr>
      <w:rPr>
        <w:rFonts w:cs="Times New Roman" w:hint="default"/>
      </w:rPr>
    </w:lvl>
  </w:abstractNum>
  <w:abstractNum w:abstractNumId="8">
    <w:nsid w:val="30503B3C"/>
    <w:multiLevelType w:val="hybridMultilevel"/>
    <w:tmpl w:val="1EA89792"/>
    <w:lvl w:ilvl="0" w:tplc="49F221A6">
      <w:start w:val="12"/>
      <w:numFmt w:val="decimal"/>
      <w:lvlText w:val="%1."/>
      <w:lvlJc w:val="left"/>
      <w:pPr>
        <w:tabs>
          <w:tab w:val="num" w:pos="1287"/>
        </w:tabs>
        <w:ind w:left="1287" w:hanging="855"/>
      </w:pPr>
      <w:rPr>
        <w:rFonts w:cs="Times New Roman" w:hint="default"/>
        <w:u w:val="none"/>
      </w:rPr>
    </w:lvl>
    <w:lvl w:ilvl="1" w:tplc="04090019" w:tentative="1">
      <w:start w:val="1"/>
      <w:numFmt w:val="lowerLetter"/>
      <w:lvlText w:val="%2."/>
      <w:lvlJc w:val="left"/>
      <w:pPr>
        <w:tabs>
          <w:tab w:val="num" w:pos="1512"/>
        </w:tabs>
        <w:ind w:left="1512" w:hanging="360"/>
      </w:pPr>
      <w:rPr>
        <w:rFonts w:cs="Times New Roman"/>
      </w:rPr>
    </w:lvl>
    <w:lvl w:ilvl="2" w:tplc="0409001B" w:tentative="1">
      <w:start w:val="1"/>
      <w:numFmt w:val="lowerRoman"/>
      <w:lvlText w:val="%3."/>
      <w:lvlJc w:val="right"/>
      <w:pPr>
        <w:tabs>
          <w:tab w:val="num" w:pos="2232"/>
        </w:tabs>
        <w:ind w:left="2232" w:hanging="180"/>
      </w:pPr>
      <w:rPr>
        <w:rFonts w:cs="Times New Roman"/>
      </w:rPr>
    </w:lvl>
    <w:lvl w:ilvl="3" w:tplc="0409000F" w:tentative="1">
      <w:start w:val="1"/>
      <w:numFmt w:val="decimal"/>
      <w:lvlText w:val="%4."/>
      <w:lvlJc w:val="left"/>
      <w:pPr>
        <w:tabs>
          <w:tab w:val="num" w:pos="2952"/>
        </w:tabs>
        <w:ind w:left="2952" w:hanging="360"/>
      </w:pPr>
      <w:rPr>
        <w:rFonts w:cs="Times New Roman"/>
      </w:rPr>
    </w:lvl>
    <w:lvl w:ilvl="4" w:tplc="04090019" w:tentative="1">
      <w:start w:val="1"/>
      <w:numFmt w:val="lowerLetter"/>
      <w:lvlText w:val="%5."/>
      <w:lvlJc w:val="left"/>
      <w:pPr>
        <w:tabs>
          <w:tab w:val="num" w:pos="3672"/>
        </w:tabs>
        <w:ind w:left="3672" w:hanging="360"/>
      </w:pPr>
      <w:rPr>
        <w:rFonts w:cs="Times New Roman"/>
      </w:rPr>
    </w:lvl>
    <w:lvl w:ilvl="5" w:tplc="0409001B" w:tentative="1">
      <w:start w:val="1"/>
      <w:numFmt w:val="lowerRoman"/>
      <w:lvlText w:val="%6."/>
      <w:lvlJc w:val="right"/>
      <w:pPr>
        <w:tabs>
          <w:tab w:val="num" w:pos="4392"/>
        </w:tabs>
        <w:ind w:left="4392" w:hanging="180"/>
      </w:pPr>
      <w:rPr>
        <w:rFonts w:cs="Times New Roman"/>
      </w:rPr>
    </w:lvl>
    <w:lvl w:ilvl="6" w:tplc="0409000F" w:tentative="1">
      <w:start w:val="1"/>
      <w:numFmt w:val="decimal"/>
      <w:lvlText w:val="%7."/>
      <w:lvlJc w:val="left"/>
      <w:pPr>
        <w:tabs>
          <w:tab w:val="num" w:pos="5112"/>
        </w:tabs>
        <w:ind w:left="5112" w:hanging="360"/>
      </w:pPr>
      <w:rPr>
        <w:rFonts w:cs="Times New Roman"/>
      </w:rPr>
    </w:lvl>
    <w:lvl w:ilvl="7" w:tplc="04090019" w:tentative="1">
      <w:start w:val="1"/>
      <w:numFmt w:val="lowerLetter"/>
      <w:lvlText w:val="%8."/>
      <w:lvlJc w:val="left"/>
      <w:pPr>
        <w:tabs>
          <w:tab w:val="num" w:pos="5832"/>
        </w:tabs>
        <w:ind w:left="5832" w:hanging="360"/>
      </w:pPr>
      <w:rPr>
        <w:rFonts w:cs="Times New Roman"/>
      </w:rPr>
    </w:lvl>
    <w:lvl w:ilvl="8" w:tplc="0409001B" w:tentative="1">
      <w:start w:val="1"/>
      <w:numFmt w:val="lowerRoman"/>
      <w:lvlText w:val="%9."/>
      <w:lvlJc w:val="right"/>
      <w:pPr>
        <w:tabs>
          <w:tab w:val="num" w:pos="6552"/>
        </w:tabs>
        <w:ind w:left="6552" w:hanging="180"/>
      </w:pPr>
      <w:rPr>
        <w:rFonts w:cs="Times New Roman"/>
      </w:rPr>
    </w:lvl>
  </w:abstractNum>
  <w:abstractNum w:abstractNumId="9">
    <w:nsid w:val="32854B65"/>
    <w:multiLevelType w:val="singleLevel"/>
    <w:tmpl w:val="575E362A"/>
    <w:lvl w:ilvl="0">
      <w:start w:val="14"/>
      <w:numFmt w:val="decimal"/>
      <w:lvlText w:val="%1."/>
      <w:lvlJc w:val="left"/>
      <w:pPr>
        <w:tabs>
          <w:tab w:val="num" w:pos="1290"/>
        </w:tabs>
        <w:ind w:left="1290" w:hanging="855"/>
      </w:pPr>
      <w:rPr>
        <w:rFonts w:cs="Times New Roman" w:hint="default"/>
      </w:rPr>
    </w:lvl>
  </w:abstractNum>
  <w:abstractNum w:abstractNumId="10">
    <w:nsid w:val="352621A9"/>
    <w:multiLevelType w:val="singleLevel"/>
    <w:tmpl w:val="F1EA4D98"/>
    <w:lvl w:ilvl="0">
      <w:start w:val="5"/>
      <w:numFmt w:val="decimal"/>
      <w:lvlText w:val="%1."/>
      <w:lvlJc w:val="left"/>
      <w:pPr>
        <w:tabs>
          <w:tab w:val="num" w:pos="1287"/>
        </w:tabs>
        <w:ind w:left="1287" w:hanging="855"/>
      </w:pPr>
      <w:rPr>
        <w:rFonts w:cs="Times New Roman" w:hint="default"/>
        <w:u w:val="none"/>
      </w:rPr>
    </w:lvl>
  </w:abstractNum>
  <w:abstractNum w:abstractNumId="11">
    <w:nsid w:val="3759166F"/>
    <w:multiLevelType w:val="hybridMultilevel"/>
    <w:tmpl w:val="CDE07E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CE86332"/>
    <w:multiLevelType w:val="hybridMultilevel"/>
    <w:tmpl w:val="93443CB2"/>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nsid w:val="401E6FA6"/>
    <w:multiLevelType w:val="hybridMultilevel"/>
    <w:tmpl w:val="BE4E676C"/>
    <w:lvl w:ilvl="0" w:tplc="9F90DD5C">
      <w:start w:val="4"/>
      <w:numFmt w:val="decimal"/>
      <w:lvlText w:val="%1."/>
      <w:lvlJc w:val="left"/>
      <w:pPr>
        <w:tabs>
          <w:tab w:val="num" w:pos="1287"/>
        </w:tabs>
        <w:ind w:left="1287" w:hanging="855"/>
      </w:pPr>
      <w:rPr>
        <w:rFonts w:cs="Times New Roman" w:hint="default"/>
        <w:u w:val="none"/>
      </w:rPr>
    </w:lvl>
    <w:lvl w:ilvl="1" w:tplc="04090019" w:tentative="1">
      <w:start w:val="1"/>
      <w:numFmt w:val="lowerLetter"/>
      <w:lvlText w:val="%2."/>
      <w:lvlJc w:val="left"/>
      <w:pPr>
        <w:tabs>
          <w:tab w:val="num" w:pos="1512"/>
        </w:tabs>
        <w:ind w:left="1512" w:hanging="360"/>
      </w:pPr>
      <w:rPr>
        <w:rFonts w:cs="Times New Roman"/>
      </w:rPr>
    </w:lvl>
    <w:lvl w:ilvl="2" w:tplc="0409001B" w:tentative="1">
      <w:start w:val="1"/>
      <w:numFmt w:val="lowerRoman"/>
      <w:lvlText w:val="%3."/>
      <w:lvlJc w:val="right"/>
      <w:pPr>
        <w:tabs>
          <w:tab w:val="num" w:pos="2232"/>
        </w:tabs>
        <w:ind w:left="2232" w:hanging="180"/>
      </w:pPr>
      <w:rPr>
        <w:rFonts w:cs="Times New Roman"/>
      </w:rPr>
    </w:lvl>
    <w:lvl w:ilvl="3" w:tplc="0409000F" w:tentative="1">
      <w:start w:val="1"/>
      <w:numFmt w:val="decimal"/>
      <w:lvlText w:val="%4."/>
      <w:lvlJc w:val="left"/>
      <w:pPr>
        <w:tabs>
          <w:tab w:val="num" w:pos="2952"/>
        </w:tabs>
        <w:ind w:left="2952" w:hanging="360"/>
      </w:pPr>
      <w:rPr>
        <w:rFonts w:cs="Times New Roman"/>
      </w:rPr>
    </w:lvl>
    <w:lvl w:ilvl="4" w:tplc="04090019" w:tentative="1">
      <w:start w:val="1"/>
      <w:numFmt w:val="lowerLetter"/>
      <w:lvlText w:val="%5."/>
      <w:lvlJc w:val="left"/>
      <w:pPr>
        <w:tabs>
          <w:tab w:val="num" w:pos="3672"/>
        </w:tabs>
        <w:ind w:left="3672" w:hanging="360"/>
      </w:pPr>
      <w:rPr>
        <w:rFonts w:cs="Times New Roman"/>
      </w:rPr>
    </w:lvl>
    <w:lvl w:ilvl="5" w:tplc="0409001B" w:tentative="1">
      <w:start w:val="1"/>
      <w:numFmt w:val="lowerRoman"/>
      <w:lvlText w:val="%6."/>
      <w:lvlJc w:val="right"/>
      <w:pPr>
        <w:tabs>
          <w:tab w:val="num" w:pos="4392"/>
        </w:tabs>
        <w:ind w:left="4392" w:hanging="180"/>
      </w:pPr>
      <w:rPr>
        <w:rFonts w:cs="Times New Roman"/>
      </w:rPr>
    </w:lvl>
    <w:lvl w:ilvl="6" w:tplc="0409000F" w:tentative="1">
      <w:start w:val="1"/>
      <w:numFmt w:val="decimal"/>
      <w:lvlText w:val="%7."/>
      <w:lvlJc w:val="left"/>
      <w:pPr>
        <w:tabs>
          <w:tab w:val="num" w:pos="5112"/>
        </w:tabs>
        <w:ind w:left="5112" w:hanging="360"/>
      </w:pPr>
      <w:rPr>
        <w:rFonts w:cs="Times New Roman"/>
      </w:rPr>
    </w:lvl>
    <w:lvl w:ilvl="7" w:tplc="04090019" w:tentative="1">
      <w:start w:val="1"/>
      <w:numFmt w:val="lowerLetter"/>
      <w:lvlText w:val="%8."/>
      <w:lvlJc w:val="left"/>
      <w:pPr>
        <w:tabs>
          <w:tab w:val="num" w:pos="5832"/>
        </w:tabs>
        <w:ind w:left="5832" w:hanging="360"/>
      </w:pPr>
      <w:rPr>
        <w:rFonts w:cs="Times New Roman"/>
      </w:rPr>
    </w:lvl>
    <w:lvl w:ilvl="8" w:tplc="0409001B" w:tentative="1">
      <w:start w:val="1"/>
      <w:numFmt w:val="lowerRoman"/>
      <w:lvlText w:val="%9."/>
      <w:lvlJc w:val="right"/>
      <w:pPr>
        <w:tabs>
          <w:tab w:val="num" w:pos="6552"/>
        </w:tabs>
        <w:ind w:left="6552" w:hanging="180"/>
      </w:pPr>
      <w:rPr>
        <w:rFonts w:cs="Times New Roman"/>
      </w:rPr>
    </w:lvl>
  </w:abstractNum>
  <w:abstractNum w:abstractNumId="14">
    <w:nsid w:val="5433787C"/>
    <w:multiLevelType w:val="hybridMultilevel"/>
    <w:tmpl w:val="CE2ADA64"/>
    <w:lvl w:ilvl="0" w:tplc="2B1C445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296"/>
        </w:tabs>
        <w:ind w:left="1296" w:hanging="360"/>
      </w:pPr>
      <w:rPr>
        <w:rFonts w:ascii="Courier New" w:hAnsi="Courier New" w:cs="Courier New"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cs="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cs="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15">
    <w:nsid w:val="6B0205E3"/>
    <w:multiLevelType w:val="hybridMultilevel"/>
    <w:tmpl w:val="AFA27DB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084413A"/>
    <w:multiLevelType w:val="hybridMultilevel"/>
    <w:tmpl w:val="0352DE5E"/>
    <w:lvl w:ilvl="0" w:tplc="9F8C399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18125EE"/>
    <w:multiLevelType w:val="hybridMultilevel"/>
    <w:tmpl w:val="F1029F2C"/>
    <w:lvl w:ilvl="0" w:tplc="DACE9684">
      <w:start w:val="1"/>
      <w:numFmt w:val="upperLetter"/>
      <w:lvlText w:val="%1."/>
      <w:lvlJc w:val="left"/>
      <w:pPr>
        <w:ind w:left="1080" w:hanging="360"/>
      </w:pPr>
      <w:rPr>
        <w:rFonts w:cs="Times New Roman" w:hint="default"/>
        <w:u w:val="singl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nsid w:val="7B6A5C44"/>
    <w:multiLevelType w:val="hybridMultilevel"/>
    <w:tmpl w:val="C86C52E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9">
    <w:nsid w:val="7B803481"/>
    <w:multiLevelType w:val="hybridMultilevel"/>
    <w:tmpl w:val="F22C33CE"/>
    <w:lvl w:ilvl="0" w:tplc="D3C2420A">
      <w:start w:val="1"/>
      <w:numFmt w:val="decimal"/>
      <w:lvlText w:val="%1."/>
      <w:lvlJc w:val="left"/>
      <w:pPr>
        <w:tabs>
          <w:tab w:val="num" w:pos="1287"/>
        </w:tabs>
        <w:ind w:left="1287" w:hanging="855"/>
      </w:pPr>
      <w:rPr>
        <w:rFonts w:cs="Times New Roman" w:hint="default"/>
        <w:u w:val="none"/>
      </w:rPr>
    </w:lvl>
    <w:lvl w:ilvl="1" w:tplc="04090019" w:tentative="1">
      <w:start w:val="1"/>
      <w:numFmt w:val="lowerLetter"/>
      <w:lvlText w:val="%2."/>
      <w:lvlJc w:val="left"/>
      <w:pPr>
        <w:tabs>
          <w:tab w:val="num" w:pos="1512"/>
        </w:tabs>
        <w:ind w:left="1512" w:hanging="360"/>
      </w:pPr>
      <w:rPr>
        <w:rFonts w:cs="Times New Roman"/>
      </w:rPr>
    </w:lvl>
    <w:lvl w:ilvl="2" w:tplc="0409001B" w:tentative="1">
      <w:start w:val="1"/>
      <w:numFmt w:val="lowerRoman"/>
      <w:lvlText w:val="%3."/>
      <w:lvlJc w:val="right"/>
      <w:pPr>
        <w:tabs>
          <w:tab w:val="num" w:pos="2232"/>
        </w:tabs>
        <w:ind w:left="2232" w:hanging="180"/>
      </w:pPr>
      <w:rPr>
        <w:rFonts w:cs="Times New Roman"/>
      </w:rPr>
    </w:lvl>
    <w:lvl w:ilvl="3" w:tplc="0409000F" w:tentative="1">
      <w:start w:val="1"/>
      <w:numFmt w:val="decimal"/>
      <w:lvlText w:val="%4."/>
      <w:lvlJc w:val="left"/>
      <w:pPr>
        <w:tabs>
          <w:tab w:val="num" w:pos="2952"/>
        </w:tabs>
        <w:ind w:left="2952" w:hanging="360"/>
      </w:pPr>
      <w:rPr>
        <w:rFonts w:cs="Times New Roman"/>
      </w:rPr>
    </w:lvl>
    <w:lvl w:ilvl="4" w:tplc="04090019" w:tentative="1">
      <w:start w:val="1"/>
      <w:numFmt w:val="lowerLetter"/>
      <w:lvlText w:val="%5."/>
      <w:lvlJc w:val="left"/>
      <w:pPr>
        <w:tabs>
          <w:tab w:val="num" w:pos="3672"/>
        </w:tabs>
        <w:ind w:left="3672" w:hanging="360"/>
      </w:pPr>
      <w:rPr>
        <w:rFonts w:cs="Times New Roman"/>
      </w:rPr>
    </w:lvl>
    <w:lvl w:ilvl="5" w:tplc="0409001B" w:tentative="1">
      <w:start w:val="1"/>
      <w:numFmt w:val="lowerRoman"/>
      <w:lvlText w:val="%6."/>
      <w:lvlJc w:val="right"/>
      <w:pPr>
        <w:tabs>
          <w:tab w:val="num" w:pos="4392"/>
        </w:tabs>
        <w:ind w:left="4392" w:hanging="180"/>
      </w:pPr>
      <w:rPr>
        <w:rFonts w:cs="Times New Roman"/>
      </w:rPr>
    </w:lvl>
    <w:lvl w:ilvl="6" w:tplc="0409000F" w:tentative="1">
      <w:start w:val="1"/>
      <w:numFmt w:val="decimal"/>
      <w:lvlText w:val="%7."/>
      <w:lvlJc w:val="left"/>
      <w:pPr>
        <w:tabs>
          <w:tab w:val="num" w:pos="5112"/>
        </w:tabs>
        <w:ind w:left="5112" w:hanging="360"/>
      </w:pPr>
      <w:rPr>
        <w:rFonts w:cs="Times New Roman"/>
      </w:rPr>
    </w:lvl>
    <w:lvl w:ilvl="7" w:tplc="04090019" w:tentative="1">
      <w:start w:val="1"/>
      <w:numFmt w:val="lowerLetter"/>
      <w:lvlText w:val="%8."/>
      <w:lvlJc w:val="left"/>
      <w:pPr>
        <w:tabs>
          <w:tab w:val="num" w:pos="5832"/>
        </w:tabs>
        <w:ind w:left="5832" w:hanging="360"/>
      </w:pPr>
      <w:rPr>
        <w:rFonts w:cs="Times New Roman"/>
      </w:rPr>
    </w:lvl>
    <w:lvl w:ilvl="8" w:tplc="0409001B" w:tentative="1">
      <w:start w:val="1"/>
      <w:numFmt w:val="lowerRoman"/>
      <w:lvlText w:val="%9."/>
      <w:lvlJc w:val="right"/>
      <w:pPr>
        <w:tabs>
          <w:tab w:val="num" w:pos="6552"/>
        </w:tabs>
        <w:ind w:left="6552" w:hanging="180"/>
      </w:pPr>
      <w:rPr>
        <w:rFonts w:cs="Times New Roman"/>
      </w:rPr>
    </w:lvl>
  </w:abstractNum>
  <w:num w:numId="1">
    <w:abstractNumId w:val="10"/>
  </w:num>
  <w:num w:numId="2">
    <w:abstractNumId w:val="6"/>
  </w:num>
  <w:num w:numId="3">
    <w:abstractNumId w:val="9"/>
  </w:num>
  <w:num w:numId="4">
    <w:abstractNumId w:val="7"/>
  </w:num>
  <w:num w:numId="5">
    <w:abstractNumId w:val="19"/>
  </w:num>
  <w:num w:numId="6">
    <w:abstractNumId w:val="13"/>
  </w:num>
  <w:num w:numId="7">
    <w:abstractNumId w:val="8"/>
  </w:num>
  <w:num w:numId="8">
    <w:abstractNumId w:val="4"/>
  </w:num>
  <w:num w:numId="9">
    <w:abstractNumId w:val="16"/>
  </w:num>
  <w:num w:numId="10">
    <w:abstractNumId w:val="17"/>
  </w:num>
  <w:num w:numId="11">
    <w:abstractNumId w:val="2"/>
  </w:num>
  <w:num w:numId="12">
    <w:abstractNumId w:val="15"/>
  </w:num>
  <w:num w:numId="13">
    <w:abstractNumId w:val="3"/>
  </w:num>
  <w:num w:numId="14">
    <w:abstractNumId w:val="14"/>
  </w:num>
  <w:num w:numId="15">
    <w:abstractNumId w:val="1"/>
  </w:num>
  <w:num w:numId="16">
    <w:abstractNumId w:val="11"/>
  </w:num>
  <w:num w:numId="17">
    <w:abstractNumId w:val="5"/>
  </w:num>
  <w:num w:numId="18">
    <w:abstractNumId w:val="12"/>
  </w:num>
  <w:num w:numId="19">
    <w:abstractNumId w:val="0"/>
  </w:num>
  <w:num w:numId="20">
    <w:abstractNumId w:val="18"/>
  </w:num>
  <w:num w:numId="21">
    <w:abstractNumId w:val="3"/>
  </w:num>
  <w:num w:numId="22">
    <w:abstractNumId w:val="0"/>
  </w:num>
  <w:num w:numId="23">
    <w:abstractNumId w:val="18"/>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93A"/>
    <w:rsid w:val="0000599F"/>
    <w:rsid w:val="000108AC"/>
    <w:rsid w:val="000142A5"/>
    <w:rsid w:val="0001704F"/>
    <w:rsid w:val="000178F9"/>
    <w:rsid w:val="00021991"/>
    <w:rsid w:val="000268BB"/>
    <w:rsid w:val="00027A28"/>
    <w:rsid w:val="00033A04"/>
    <w:rsid w:val="00045ED1"/>
    <w:rsid w:val="00047149"/>
    <w:rsid w:val="000763C7"/>
    <w:rsid w:val="0007696C"/>
    <w:rsid w:val="00084B79"/>
    <w:rsid w:val="00091FA1"/>
    <w:rsid w:val="000955DF"/>
    <w:rsid w:val="00097C68"/>
    <w:rsid w:val="000A1AC8"/>
    <w:rsid w:val="000A499B"/>
    <w:rsid w:val="000B0338"/>
    <w:rsid w:val="000B4C56"/>
    <w:rsid w:val="000C6752"/>
    <w:rsid w:val="000D5B2A"/>
    <w:rsid w:val="000E2B81"/>
    <w:rsid w:val="000E306E"/>
    <w:rsid w:val="000E37A6"/>
    <w:rsid w:val="000E78BD"/>
    <w:rsid w:val="001123DE"/>
    <w:rsid w:val="001212C3"/>
    <w:rsid w:val="00122748"/>
    <w:rsid w:val="001253C6"/>
    <w:rsid w:val="00134EF6"/>
    <w:rsid w:val="0013638D"/>
    <w:rsid w:val="001454CF"/>
    <w:rsid w:val="001501BE"/>
    <w:rsid w:val="00156CDE"/>
    <w:rsid w:val="001653AA"/>
    <w:rsid w:val="00166EE7"/>
    <w:rsid w:val="001671BC"/>
    <w:rsid w:val="00172AC4"/>
    <w:rsid w:val="00180FD6"/>
    <w:rsid w:val="00195BF7"/>
    <w:rsid w:val="001A1F72"/>
    <w:rsid w:val="001A22FF"/>
    <w:rsid w:val="001A28F7"/>
    <w:rsid w:val="001A2F44"/>
    <w:rsid w:val="001A4D5C"/>
    <w:rsid w:val="001B0EF5"/>
    <w:rsid w:val="001B462D"/>
    <w:rsid w:val="001C15A4"/>
    <w:rsid w:val="001E01CC"/>
    <w:rsid w:val="001E7813"/>
    <w:rsid w:val="001E7D11"/>
    <w:rsid w:val="001F1307"/>
    <w:rsid w:val="001F26AB"/>
    <w:rsid w:val="001F3330"/>
    <w:rsid w:val="001F442E"/>
    <w:rsid w:val="001F5F2A"/>
    <w:rsid w:val="00207BFF"/>
    <w:rsid w:val="002276C4"/>
    <w:rsid w:val="002370D8"/>
    <w:rsid w:val="0024348A"/>
    <w:rsid w:val="00244FE8"/>
    <w:rsid w:val="00245252"/>
    <w:rsid w:val="00245BCB"/>
    <w:rsid w:val="002549A7"/>
    <w:rsid w:val="0026359E"/>
    <w:rsid w:val="002704C5"/>
    <w:rsid w:val="002822B8"/>
    <w:rsid w:val="002866D4"/>
    <w:rsid w:val="00292AF4"/>
    <w:rsid w:val="00294B40"/>
    <w:rsid w:val="002A30A7"/>
    <w:rsid w:val="002A5DD8"/>
    <w:rsid w:val="002B0C9F"/>
    <w:rsid w:val="002B62CE"/>
    <w:rsid w:val="002B641E"/>
    <w:rsid w:val="002B6882"/>
    <w:rsid w:val="002C22E8"/>
    <w:rsid w:val="002C2605"/>
    <w:rsid w:val="002D4F92"/>
    <w:rsid w:val="002D5409"/>
    <w:rsid w:val="002E5DD1"/>
    <w:rsid w:val="002F3BC8"/>
    <w:rsid w:val="00300FF7"/>
    <w:rsid w:val="00306CF3"/>
    <w:rsid w:val="00312F97"/>
    <w:rsid w:val="00313481"/>
    <w:rsid w:val="003159D9"/>
    <w:rsid w:val="00315DE6"/>
    <w:rsid w:val="00317260"/>
    <w:rsid w:val="00320518"/>
    <w:rsid w:val="00333A85"/>
    <w:rsid w:val="003420C6"/>
    <w:rsid w:val="003460C7"/>
    <w:rsid w:val="003467C7"/>
    <w:rsid w:val="003617D7"/>
    <w:rsid w:val="00364C55"/>
    <w:rsid w:val="00366717"/>
    <w:rsid w:val="0037145D"/>
    <w:rsid w:val="00371B47"/>
    <w:rsid w:val="00372CA3"/>
    <w:rsid w:val="00381C36"/>
    <w:rsid w:val="00383D87"/>
    <w:rsid w:val="00387409"/>
    <w:rsid w:val="003879BC"/>
    <w:rsid w:val="00397B30"/>
    <w:rsid w:val="003A0159"/>
    <w:rsid w:val="003B1304"/>
    <w:rsid w:val="003C0E89"/>
    <w:rsid w:val="003C7D9C"/>
    <w:rsid w:val="003D7B2E"/>
    <w:rsid w:val="003E7270"/>
    <w:rsid w:val="004055FF"/>
    <w:rsid w:val="00405787"/>
    <w:rsid w:val="0040759C"/>
    <w:rsid w:val="0043127D"/>
    <w:rsid w:val="004324DE"/>
    <w:rsid w:val="00443BF9"/>
    <w:rsid w:val="00481352"/>
    <w:rsid w:val="00487CD9"/>
    <w:rsid w:val="00493EDC"/>
    <w:rsid w:val="0049470D"/>
    <w:rsid w:val="004A5DE7"/>
    <w:rsid w:val="004D05FB"/>
    <w:rsid w:val="004D305D"/>
    <w:rsid w:val="004D3B50"/>
    <w:rsid w:val="004F1A3A"/>
    <w:rsid w:val="004F2D31"/>
    <w:rsid w:val="004F7520"/>
    <w:rsid w:val="00512733"/>
    <w:rsid w:val="005350C8"/>
    <w:rsid w:val="0054027F"/>
    <w:rsid w:val="005422EE"/>
    <w:rsid w:val="00543BC4"/>
    <w:rsid w:val="00550020"/>
    <w:rsid w:val="0055239E"/>
    <w:rsid w:val="00565713"/>
    <w:rsid w:val="0057093A"/>
    <w:rsid w:val="005709F9"/>
    <w:rsid w:val="005832F4"/>
    <w:rsid w:val="005849BB"/>
    <w:rsid w:val="005A2FD3"/>
    <w:rsid w:val="005A68E5"/>
    <w:rsid w:val="005B4B4B"/>
    <w:rsid w:val="005C6FB0"/>
    <w:rsid w:val="005D31A9"/>
    <w:rsid w:val="005E1469"/>
    <w:rsid w:val="005E7804"/>
    <w:rsid w:val="005F179D"/>
    <w:rsid w:val="005F2F23"/>
    <w:rsid w:val="005F40AF"/>
    <w:rsid w:val="00610CCD"/>
    <w:rsid w:val="00620482"/>
    <w:rsid w:val="006238B0"/>
    <w:rsid w:val="00633AAE"/>
    <w:rsid w:val="00657DEF"/>
    <w:rsid w:val="00676FA2"/>
    <w:rsid w:val="00686506"/>
    <w:rsid w:val="00690152"/>
    <w:rsid w:val="00692323"/>
    <w:rsid w:val="00695524"/>
    <w:rsid w:val="006A68A3"/>
    <w:rsid w:val="006B43CC"/>
    <w:rsid w:val="006B61AE"/>
    <w:rsid w:val="006B747C"/>
    <w:rsid w:val="006C25D8"/>
    <w:rsid w:val="006C3142"/>
    <w:rsid w:val="006C399E"/>
    <w:rsid w:val="006C3A41"/>
    <w:rsid w:val="006E5622"/>
    <w:rsid w:val="006E5E3B"/>
    <w:rsid w:val="006E764B"/>
    <w:rsid w:val="006F76FA"/>
    <w:rsid w:val="00702CFD"/>
    <w:rsid w:val="00716434"/>
    <w:rsid w:val="00716DE0"/>
    <w:rsid w:val="007175DC"/>
    <w:rsid w:val="00726A1B"/>
    <w:rsid w:val="007330D2"/>
    <w:rsid w:val="00736599"/>
    <w:rsid w:val="007445F3"/>
    <w:rsid w:val="00761714"/>
    <w:rsid w:val="00764530"/>
    <w:rsid w:val="00770607"/>
    <w:rsid w:val="00770C43"/>
    <w:rsid w:val="00784C0B"/>
    <w:rsid w:val="007A4723"/>
    <w:rsid w:val="007A4D6B"/>
    <w:rsid w:val="007A7EBE"/>
    <w:rsid w:val="007C28BF"/>
    <w:rsid w:val="007D5609"/>
    <w:rsid w:val="007F0FF0"/>
    <w:rsid w:val="007F5145"/>
    <w:rsid w:val="008026FF"/>
    <w:rsid w:val="00815C5A"/>
    <w:rsid w:val="00817CD2"/>
    <w:rsid w:val="0082076B"/>
    <w:rsid w:val="008214CF"/>
    <w:rsid w:val="00824F9F"/>
    <w:rsid w:val="008508DF"/>
    <w:rsid w:val="00851688"/>
    <w:rsid w:val="00853596"/>
    <w:rsid w:val="00855652"/>
    <w:rsid w:val="00863A73"/>
    <w:rsid w:val="00864D19"/>
    <w:rsid w:val="00864EC9"/>
    <w:rsid w:val="0086663A"/>
    <w:rsid w:val="00872559"/>
    <w:rsid w:val="00883889"/>
    <w:rsid w:val="008861AE"/>
    <w:rsid w:val="008A5FFD"/>
    <w:rsid w:val="008D4A04"/>
    <w:rsid w:val="00905279"/>
    <w:rsid w:val="009131CF"/>
    <w:rsid w:val="00925DD0"/>
    <w:rsid w:val="00947F65"/>
    <w:rsid w:val="00972A49"/>
    <w:rsid w:val="0097330C"/>
    <w:rsid w:val="00986ACB"/>
    <w:rsid w:val="00986BCD"/>
    <w:rsid w:val="009872D2"/>
    <w:rsid w:val="009A54A9"/>
    <w:rsid w:val="009B4C7A"/>
    <w:rsid w:val="009D1FD1"/>
    <w:rsid w:val="009E5070"/>
    <w:rsid w:val="009E7C53"/>
    <w:rsid w:val="009E7F93"/>
    <w:rsid w:val="009F5A69"/>
    <w:rsid w:val="00A03240"/>
    <w:rsid w:val="00A06F30"/>
    <w:rsid w:val="00A16794"/>
    <w:rsid w:val="00A248E8"/>
    <w:rsid w:val="00A26094"/>
    <w:rsid w:val="00A33182"/>
    <w:rsid w:val="00A34FBA"/>
    <w:rsid w:val="00A3523F"/>
    <w:rsid w:val="00A3679A"/>
    <w:rsid w:val="00A45144"/>
    <w:rsid w:val="00A63BEA"/>
    <w:rsid w:val="00A759DF"/>
    <w:rsid w:val="00A85FAA"/>
    <w:rsid w:val="00A874E5"/>
    <w:rsid w:val="00A97A9C"/>
    <w:rsid w:val="00AA00E1"/>
    <w:rsid w:val="00AA1A95"/>
    <w:rsid w:val="00AA4A49"/>
    <w:rsid w:val="00AB120E"/>
    <w:rsid w:val="00AB2620"/>
    <w:rsid w:val="00AB2C89"/>
    <w:rsid w:val="00AB569E"/>
    <w:rsid w:val="00AD547D"/>
    <w:rsid w:val="00AD6972"/>
    <w:rsid w:val="00AE34E0"/>
    <w:rsid w:val="00AE564D"/>
    <w:rsid w:val="00AF242F"/>
    <w:rsid w:val="00AF3510"/>
    <w:rsid w:val="00AF5344"/>
    <w:rsid w:val="00AF5FDD"/>
    <w:rsid w:val="00AF66F9"/>
    <w:rsid w:val="00B12254"/>
    <w:rsid w:val="00B17E02"/>
    <w:rsid w:val="00B25D6A"/>
    <w:rsid w:val="00B26CB2"/>
    <w:rsid w:val="00B32403"/>
    <w:rsid w:val="00B34BE2"/>
    <w:rsid w:val="00B35440"/>
    <w:rsid w:val="00B403CA"/>
    <w:rsid w:val="00B537FB"/>
    <w:rsid w:val="00B538A4"/>
    <w:rsid w:val="00B57916"/>
    <w:rsid w:val="00B754A0"/>
    <w:rsid w:val="00B778E2"/>
    <w:rsid w:val="00B83621"/>
    <w:rsid w:val="00BA13FC"/>
    <w:rsid w:val="00BA7588"/>
    <w:rsid w:val="00BB39A4"/>
    <w:rsid w:val="00BC2CD0"/>
    <w:rsid w:val="00BD630F"/>
    <w:rsid w:val="00BD6484"/>
    <w:rsid w:val="00BE1183"/>
    <w:rsid w:val="00BE2FFC"/>
    <w:rsid w:val="00C0119C"/>
    <w:rsid w:val="00C01591"/>
    <w:rsid w:val="00C44C8A"/>
    <w:rsid w:val="00C56D25"/>
    <w:rsid w:val="00C5719D"/>
    <w:rsid w:val="00C6736B"/>
    <w:rsid w:val="00C73C7B"/>
    <w:rsid w:val="00C8008F"/>
    <w:rsid w:val="00C808A5"/>
    <w:rsid w:val="00C847CC"/>
    <w:rsid w:val="00CA0CCB"/>
    <w:rsid w:val="00CA6AE6"/>
    <w:rsid w:val="00CA6B7B"/>
    <w:rsid w:val="00CB02BA"/>
    <w:rsid w:val="00CB2C2B"/>
    <w:rsid w:val="00CB4597"/>
    <w:rsid w:val="00CB7144"/>
    <w:rsid w:val="00CD58C0"/>
    <w:rsid w:val="00CE1D93"/>
    <w:rsid w:val="00CE6FC5"/>
    <w:rsid w:val="00CF1887"/>
    <w:rsid w:val="00CF2DB5"/>
    <w:rsid w:val="00CF4177"/>
    <w:rsid w:val="00CF6677"/>
    <w:rsid w:val="00D03AAD"/>
    <w:rsid w:val="00D16310"/>
    <w:rsid w:val="00D24E5A"/>
    <w:rsid w:val="00D33C3E"/>
    <w:rsid w:val="00D35EEE"/>
    <w:rsid w:val="00D4647C"/>
    <w:rsid w:val="00D57E0B"/>
    <w:rsid w:val="00D60287"/>
    <w:rsid w:val="00D61364"/>
    <w:rsid w:val="00D66E11"/>
    <w:rsid w:val="00D67CD8"/>
    <w:rsid w:val="00D8196E"/>
    <w:rsid w:val="00D8409D"/>
    <w:rsid w:val="00D84657"/>
    <w:rsid w:val="00D87654"/>
    <w:rsid w:val="00D95C8C"/>
    <w:rsid w:val="00DA2264"/>
    <w:rsid w:val="00DA7BD7"/>
    <w:rsid w:val="00DB0B3E"/>
    <w:rsid w:val="00DB680D"/>
    <w:rsid w:val="00DC10AE"/>
    <w:rsid w:val="00DC39A6"/>
    <w:rsid w:val="00DC6A94"/>
    <w:rsid w:val="00DD2499"/>
    <w:rsid w:val="00DE5E35"/>
    <w:rsid w:val="00DF32EB"/>
    <w:rsid w:val="00DF4BE6"/>
    <w:rsid w:val="00DF50D1"/>
    <w:rsid w:val="00DF6477"/>
    <w:rsid w:val="00E04FB7"/>
    <w:rsid w:val="00E060FC"/>
    <w:rsid w:val="00E32CDD"/>
    <w:rsid w:val="00E360F4"/>
    <w:rsid w:val="00E431CD"/>
    <w:rsid w:val="00E43304"/>
    <w:rsid w:val="00E506E9"/>
    <w:rsid w:val="00E51177"/>
    <w:rsid w:val="00E56573"/>
    <w:rsid w:val="00E6276E"/>
    <w:rsid w:val="00E721CE"/>
    <w:rsid w:val="00E73E62"/>
    <w:rsid w:val="00E87164"/>
    <w:rsid w:val="00EA1137"/>
    <w:rsid w:val="00EB140A"/>
    <w:rsid w:val="00EB35EE"/>
    <w:rsid w:val="00EB73A2"/>
    <w:rsid w:val="00EC3358"/>
    <w:rsid w:val="00EE147F"/>
    <w:rsid w:val="00EE347E"/>
    <w:rsid w:val="00EE4763"/>
    <w:rsid w:val="00EF610E"/>
    <w:rsid w:val="00F0661F"/>
    <w:rsid w:val="00F11281"/>
    <w:rsid w:val="00F25659"/>
    <w:rsid w:val="00F31B26"/>
    <w:rsid w:val="00F34BA6"/>
    <w:rsid w:val="00F401C7"/>
    <w:rsid w:val="00F40221"/>
    <w:rsid w:val="00F519AA"/>
    <w:rsid w:val="00F533B8"/>
    <w:rsid w:val="00F62D8D"/>
    <w:rsid w:val="00F66B04"/>
    <w:rsid w:val="00F80618"/>
    <w:rsid w:val="00F90FD4"/>
    <w:rsid w:val="00FA6F27"/>
    <w:rsid w:val="00FE07BC"/>
    <w:rsid w:val="00FF15EC"/>
    <w:rsid w:val="00FF2455"/>
    <w:rsid w:val="00FF384F"/>
    <w:rsid w:val="00FF4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D87"/>
    <w:rPr>
      <w:sz w:val="24"/>
      <w:szCs w:val="24"/>
    </w:rPr>
  </w:style>
  <w:style w:type="paragraph" w:styleId="Heading2">
    <w:name w:val="heading 2"/>
    <w:basedOn w:val="Normal"/>
    <w:next w:val="Normal"/>
    <w:link w:val="Heading2Char"/>
    <w:qFormat/>
    <w:locked/>
    <w:rsid w:val="002E5DD1"/>
    <w:pPr>
      <w:keepNext/>
      <w:widowControl w:val="0"/>
      <w:outlineLvl w:val="1"/>
    </w:pPr>
    <w:rPr>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rsid w:val="0057093A"/>
    <w:rPr>
      <w:rFonts w:cs="Times New Roman"/>
    </w:rPr>
  </w:style>
  <w:style w:type="paragraph" w:styleId="Footer">
    <w:name w:val="footer"/>
    <w:basedOn w:val="Normal"/>
    <w:link w:val="FooterChar"/>
    <w:uiPriority w:val="99"/>
    <w:rsid w:val="0057093A"/>
    <w:pPr>
      <w:widowControl w:val="0"/>
      <w:tabs>
        <w:tab w:val="center" w:pos="4320"/>
        <w:tab w:val="right" w:pos="8640"/>
      </w:tabs>
    </w:pPr>
    <w:rPr>
      <w:rFonts w:ascii="Courier" w:hAnsi="Courier"/>
      <w:szCs w:val="20"/>
    </w:rPr>
  </w:style>
  <w:style w:type="character" w:customStyle="1" w:styleId="FooterChar">
    <w:name w:val="Footer Char"/>
    <w:basedOn w:val="DefaultParagraphFont"/>
    <w:link w:val="Footer"/>
    <w:uiPriority w:val="99"/>
    <w:semiHidden/>
    <w:rsid w:val="00D25E74"/>
    <w:rPr>
      <w:sz w:val="24"/>
      <w:szCs w:val="24"/>
    </w:rPr>
  </w:style>
  <w:style w:type="paragraph" w:styleId="FootnoteText">
    <w:name w:val="footnote text"/>
    <w:aliases w:val="Footnote Text Char Char"/>
    <w:basedOn w:val="Normal"/>
    <w:link w:val="FootnoteTextChar"/>
    <w:uiPriority w:val="99"/>
    <w:rsid w:val="0057093A"/>
    <w:rPr>
      <w:sz w:val="20"/>
      <w:szCs w:val="20"/>
    </w:rPr>
  </w:style>
  <w:style w:type="character" w:customStyle="1" w:styleId="FootnoteTextChar">
    <w:name w:val="Footnote Text Char"/>
    <w:aliases w:val="Footnote Text Char Char Char"/>
    <w:basedOn w:val="DefaultParagraphFont"/>
    <w:link w:val="FootnoteText"/>
    <w:uiPriority w:val="99"/>
    <w:locked/>
    <w:rsid w:val="00180FD6"/>
    <w:rPr>
      <w:rFonts w:cs="Times New Roman"/>
      <w:lang w:val="en-US" w:eastAsia="en-US" w:bidi="ar-SA"/>
    </w:rPr>
  </w:style>
  <w:style w:type="character" w:styleId="FootnoteReference">
    <w:name w:val="footnote reference"/>
    <w:basedOn w:val="DefaultParagraphFont"/>
    <w:uiPriority w:val="99"/>
    <w:rsid w:val="0057093A"/>
    <w:rPr>
      <w:rFonts w:cs="Times New Roman"/>
      <w:vertAlign w:val="superscript"/>
    </w:rPr>
  </w:style>
  <w:style w:type="paragraph" w:styleId="Header">
    <w:name w:val="header"/>
    <w:basedOn w:val="Normal"/>
    <w:link w:val="HeaderChar"/>
    <w:uiPriority w:val="99"/>
    <w:rsid w:val="0057093A"/>
    <w:pPr>
      <w:tabs>
        <w:tab w:val="center" w:pos="4320"/>
        <w:tab w:val="right" w:pos="8640"/>
      </w:tabs>
    </w:pPr>
  </w:style>
  <w:style w:type="character" w:customStyle="1" w:styleId="HeaderChar">
    <w:name w:val="Header Char"/>
    <w:basedOn w:val="DefaultParagraphFont"/>
    <w:link w:val="Header"/>
    <w:uiPriority w:val="99"/>
    <w:semiHidden/>
    <w:rsid w:val="00D25E74"/>
    <w:rPr>
      <w:sz w:val="24"/>
      <w:szCs w:val="24"/>
    </w:rPr>
  </w:style>
  <w:style w:type="character" w:styleId="Hyperlink">
    <w:name w:val="Hyperlink"/>
    <w:basedOn w:val="DefaultParagraphFont"/>
    <w:uiPriority w:val="99"/>
    <w:rsid w:val="005A68E5"/>
    <w:rPr>
      <w:rFonts w:cs="Times New Roman"/>
      <w:color w:val="0000FF"/>
      <w:u w:val="single"/>
    </w:rPr>
  </w:style>
  <w:style w:type="character" w:styleId="FollowedHyperlink">
    <w:name w:val="FollowedHyperlink"/>
    <w:basedOn w:val="DefaultParagraphFont"/>
    <w:uiPriority w:val="99"/>
    <w:rsid w:val="005A68E5"/>
    <w:rPr>
      <w:rFonts w:cs="Times New Roman"/>
      <w:color w:val="000080"/>
      <w:u w:val="single"/>
    </w:rPr>
  </w:style>
  <w:style w:type="paragraph" w:styleId="BodyText">
    <w:name w:val="Body Text"/>
    <w:basedOn w:val="Normal"/>
    <w:link w:val="BodyTextChar"/>
    <w:rsid w:val="005E1469"/>
    <w:pPr>
      <w:spacing w:after="120"/>
    </w:pPr>
  </w:style>
  <w:style w:type="character" w:customStyle="1" w:styleId="BodyTextChar">
    <w:name w:val="Body Text Char"/>
    <w:basedOn w:val="DefaultParagraphFont"/>
    <w:link w:val="BodyText"/>
    <w:uiPriority w:val="99"/>
    <w:semiHidden/>
    <w:rsid w:val="00D25E74"/>
    <w:rPr>
      <w:sz w:val="24"/>
      <w:szCs w:val="24"/>
    </w:rPr>
  </w:style>
  <w:style w:type="paragraph" w:styleId="Title">
    <w:name w:val="Title"/>
    <w:basedOn w:val="Normal"/>
    <w:link w:val="TitleChar"/>
    <w:uiPriority w:val="99"/>
    <w:qFormat/>
    <w:rsid w:val="003B1304"/>
    <w:pPr>
      <w:jc w:val="center"/>
    </w:pPr>
    <w:rPr>
      <w:rFonts w:ascii="Arial Narrow" w:hAnsi="Arial Narrow"/>
      <w:szCs w:val="20"/>
    </w:rPr>
  </w:style>
  <w:style w:type="character" w:customStyle="1" w:styleId="TitleChar">
    <w:name w:val="Title Char"/>
    <w:basedOn w:val="DefaultParagraphFont"/>
    <w:link w:val="Title"/>
    <w:uiPriority w:val="10"/>
    <w:rsid w:val="00D25E74"/>
    <w:rPr>
      <w:rFonts w:asciiTheme="majorHAnsi" w:eastAsiaTheme="majorEastAsia" w:hAnsiTheme="majorHAnsi" w:cstheme="majorBidi"/>
      <w:b/>
      <w:bCs/>
      <w:kern w:val="28"/>
      <w:sz w:val="32"/>
      <w:szCs w:val="32"/>
    </w:rPr>
  </w:style>
  <w:style w:type="paragraph" w:styleId="BalloonText">
    <w:name w:val="Balloon Text"/>
    <w:basedOn w:val="Normal"/>
    <w:link w:val="BalloonTextChar"/>
    <w:uiPriority w:val="99"/>
    <w:semiHidden/>
    <w:rsid w:val="00E04FB7"/>
    <w:rPr>
      <w:rFonts w:ascii="Tahoma" w:hAnsi="Tahoma" w:cs="Tahoma"/>
      <w:sz w:val="16"/>
      <w:szCs w:val="16"/>
    </w:rPr>
  </w:style>
  <w:style w:type="character" w:customStyle="1" w:styleId="BalloonTextChar">
    <w:name w:val="Balloon Text Char"/>
    <w:basedOn w:val="DefaultParagraphFont"/>
    <w:link w:val="BalloonText"/>
    <w:uiPriority w:val="99"/>
    <w:semiHidden/>
    <w:rsid w:val="00D25E74"/>
    <w:rPr>
      <w:sz w:val="0"/>
      <w:szCs w:val="0"/>
    </w:rPr>
  </w:style>
  <w:style w:type="character" w:styleId="CommentReference">
    <w:name w:val="annotation reference"/>
    <w:basedOn w:val="DefaultParagraphFont"/>
    <w:uiPriority w:val="99"/>
    <w:semiHidden/>
    <w:rsid w:val="00487CD9"/>
    <w:rPr>
      <w:rFonts w:cs="Times New Roman"/>
      <w:sz w:val="16"/>
      <w:szCs w:val="16"/>
    </w:rPr>
  </w:style>
  <w:style w:type="paragraph" w:styleId="CommentText">
    <w:name w:val="annotation text"/>
    <w:basedOn w:val="Normal"/>
    <w:link w:val="CommentTextChar"/>
    <w:uiPriority w:val="99"/>
    <w:semiHidden/>
    <w:rsid w:val="00487CD9"/>
    <w:rPr>
      <w:sz w:val="20"/>
      <w:szCs w:val="20"/>
    </w:rPr>
  </w:style>
  <w:style w:type="character" w:customStyle="1" w:styleId="CommentTextChar">
    <w:name w:val="Comment Text Char"/>
    <w:basedOn w:val="DefaultParagraphFont"/>
    <w:link w:val="CommentText"/>
    <w:uiPriority w:val="99"/>
    <w:semiHidden/>
    <w:rsid w:val="00D25E74"/>
    <w:rPr>
      <w:sz w:val="20"/>
      <w:szCs w:val="20"/>
    </w:rPr>
  </w:style>
  <w:style w:type="paragraph" w:styleId="CommentSubject">
    <w:name w:val="annotation subject"/>
    <w:basedOn w:val="CommentText"/>
    <w:next w:val="CommentText"/>
    <w:link w:val="CommentSubjectChar"/>
    <w:uiPriority w:val="99"/>
    <w:semiHidden/>
    <w:rsid w:val="00487CD9"/>
    <w:rPr>
      <w:b/>
      <w:bCs/>
    </w:rPr>
  </w:style>
  <w:style w:type="character" w:customStyle="1" w:styleId="CommentSubjectChar">
    <w:name w:val="Comment Subject Char"/>
    <w:basedOn w:val="CommentTextChar"/>
    <w:link w:val="CommentSubject"/>
    <w:uiPriority w:val="99"/>
    <w:semiHidden/>
    <w:rsid w:val="00D25E74"/>
    <w:rPr>
      <w:b/>
      <w:bCs/>
      <w:sz w:val="20"/>
      <w:szCs w:val="20"/>
    </w:rPr>
  </w:style>
  <w:style w:type="paragraph" w:customStyle="1" w:styleId="Preformatted">
    <w:name w:val="Preformatted"/>
    <w:basedOn w:val="Normal"/>
    <w:rsid w:val="0037145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ListParagraph">
    <w:name w:val="List Paragraph"/>
    <w:basedOn w:val="Normal"/>
    <w:uiPriority w:val="34"/>
    <w:qFormat/>
    <w:rsid w:val="00770C43"/>
    <w:pPr>
      <w:ind w:left="720"/>
      <w:contextualSpacing/>
    </w:pPr>
  </w:style>
  <w:style w:type="character" w:customStyle="1" w:styleId="Heading2Char">
    <w:name w:val="Heading 2 Char"/>
    <w:basedOn w:val="DefaultParagraphFont"/>
    <w:link w:val="Heading2"/>
    <w:rsid w:val="002E5DD1"/>
    <w:rPr>
      <w:b/>
      <w:snapToGrid w:val="0"/>
      <w:sz w:val="24"/>
      <w:szCs w:val="20"/>
    </w:rPr>
  </w:style>
  <w:style w:type="character" w:customStyle="1" w:styleId="FootnoteTextChar1">
    <w:name w:val="Footnote Text Char1"/>
    <w:semiHidden/>
    <w:rsid w:val="002E5DD1"/>
    <w:rPr>
      <w:lang w:val="en-US" w:eastAsia="en-US" w:bidi="ar-SA"/>
    </w:rPr>
  </w:style>
  <w:style w:type="paragraph" w:styleId="HTMLPreformatted">
    <w:name w:val="HTML Preformatted"/>
    <w:basedOn w:val="Normal"/>
    <w:link w:val="HTMLPreformattedChar"/>
    <w:uiPriority w:val="99"/>
    <w:unhideWhenUsed/>
    <w:rsid w:val="00AB5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B569E"/>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D87"/>
    <w:rPr>
      <w:sz w:val="24"/>
      <w:szCs w:val="24"/>
    </w:rPr>
  </w:style>
  <w:style w:type="paragraph" w:styleId="Heading2">
    <w:name w:val="heading 2"/>
    <w:basedOn w:val="Normal"/>
    <w:next w:val="Normal"/>
    <w:link w:val="Heading2Char"/>
    <w:qFormat/>
    <w:locked/>
    <w:rsid w:val="002E5DD1"/>
    <w:pPr>
      <w:keepNext/>
      <w:widowControl w:val="0"/>
      <w:outlineLvl w:val="1"/>
    </w:pPr>
    <w:rPr>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rsid w:val="0057093A"/>
    <w:rPr>
      <w:rFonts w:cs="Times New Roman"/>
    </w:rPr>
  </w:style>
  <w:style w:type="paragraph" w:styleId="Footer">
    <w:name w:val="footer"/>
    <w:basedOn w:val="Normal"/>
    <w:link w:val="FooterChar"/>
    <w:uiPriority w:val="99"/>
    <w:rsid w:val="0057093A"/>
    <w:pPr>
      <w:widowControl w:val="0"/>
      <w:tabs>
        <w:tab w:val="center" w:pos="4320"/>
        <w:tab w:val="right" w:pos="8640"/>
      </w:tabs>
    </w:pPr>
    <w:rPr>
      <w:rFonts w:ascii="Courier" w:hAnsi="Courier"/>
      <w:szCs w:val="20"/>
    </w:rPr>
  </w:style>
  <w:style w:type="character" w:customStyle="1" w:styleId="FooterChar">
    <w:name w:val="Footer Char"/>
    <w:basedOn w:val="DefaultParagraphFont"/>
    <w:link w:val="Footer"/>
    <w:uiPriority w:val="99"/>
    <w:semiHidden/>
    <w:rsid w:val="00D25E74"/>
    <w:rPr>
      <w:sz w:val="24"/>
      <w:szCs w:val="24"/>
    </w:rPr>
  </w:style>
  <w:style w:type="paragraph" w:styleId="FootnoteText">
    <w:name w:val="footnote text"/>
    <w:aliases w:val="Footnote Text Char Char"/>
    <w:basedOn w:val="Normal"/>
    <w:link w:val="FootnoteTextChar"/>
    <w:uiPriority w:val="99"/>
    <w:rsid w:val="0057093A"/>
    <w:rPr>
      <w:sz w:val="20"/>
      <w:szCs w:val="20"/>
    </w:rPr>
  </w:style>
  <w:style w:type="character" w:customStyle="1" w:styleId="FootnoteTextChar">
    <w:name w:val="Footnote Text Char"/>
    <w:aliases w:val="Footnote Text Char Char Char"/>
    <w:basedOn w:val="DefaultParagraphFont"/>
    <w:link w:val="FootnoteText"/>
    <w:uiPriority w:val="99"/>
    <w:locked/>
    <w:rsid w:val="00180FD6"/>
    <w:rPr>
      <w:rFonts w:cs="Times New Roman"/>
      <w:lang w:val="en-US" w:eastAsia="en-US" w:bidi="ar-SA"/>
    </w:rPr>
  </w:style>
  <w:style w:type="character" w:styleId="FootnoteReference">
    <w:name w:val="footnote reference"/>
    <w:basedOn w:val="DefaultParagraphFont"/>
    <w:uiPriority w:val="99"/>
    <w:rsid w:val="0057093A"/>
    <w:rPr>
      <w:rFonts w:cs="Times New Roman"/>
      <w:vertAlign w:val="superscript"/>
    </w:rPr>
  </w:style>
  <w:style w:type="paragraph" w:styleId="Header">
    <w:name w:val="header"/>
    <w:basedOn w:val="Normal"/>
    <w:link w:val="HeaderChar"/>
    <w:uiPriority w:val="99"/>
    <w:rsid w:val="0057093A"/>
    <w:pPr>
      <w:tabs>
        <w:tab w:val="center" w:pos="4320"/>
        <w:tab w:val="right" w:pos="8640"/>
      </w:tabs>
    </w:pPr>
  </w:style>
  <w:style w:type="character" w:customStyle="1" w:styleId="HeaderChar">
    <w:name w:val="Header Char"/>
    <w:basedOn w:val="DefaultParagraphFont"/>
    <w:link w:val="Header"/>
    <w:uiPriority w:val="99"/>
    <w:semiHidden/>
    <w:rsid w:val="00D25E74"/>
    <w:rPr>
      <w:sz w:val="24"/>
      <w:szCs w:val="24"/>
    </w:rPr>
  </w:style>
  <w:style w:type="character" w:styleId="Hyperlink">
    <w:name w:val="Hyperlink"/>
    <w:basedOn w:val="DefaultParagraphFont"/>
    <w:uiPriority w:val="99"/>
    <w:rsid w:val="005A68E5"/>
    <w:rPr>
      <w:rFonts w:cs="Times New Roman"/>
      <w:color w:val="0000FF"/>
      <w:u w:val="single"/>
    </w:rPr>
  </w:style>
  <w:style w:type="character" w:styleId="FollowedHyperlink">
    <w:name w:val="FollowedHyperlink"/>
    <w:basedOn w:val="DefaultParagraphFont"/>
    <w:uiPriority w:val="99"/>
    <w:rsid w:val="005A68E5"/>
    <w:rPr>
      <w:rFonts w:cs="Times New Roman"/>
      <w:color w:val="000080"/>
      <w:u w:val="single"/>
    </w:rPr>
  </w:style>
  <w:style w:type="paragraph" w:styleId="BodyText">
    <w:name w:val="Body Text"/>
    <w:basedOn w:val="Normal"/>
    <w:link w:val="BodyTextChar"/>
    <w:rsid w:val="005E1469"/>
    <w:pPr>
      <w:spacing w:after="120"/>
    </w:pPr>
  </w:style>
  <w:style w:type="character" w:customStyle="1" w:styleId="BodyTextChar">
    <w:name w:val="Body Text Char"/>
    <w:basedOn w:val="DefaultParagraphFont"/>
    <w:link w:val="BodyText"/>
    <w:uiPriority w:val="99"/>
    <w:semiHidden/>
    <w:rsid w:val="00D25E74"/>
    <w:rPr>
      <w:sz w:val="24"/>
      <w:szCs w:val="24"/>
    </w:rPr>
  </w:style>
  <w:style w:type="paragraph" w:styleId="Title">
    <w:name w:val="Title"/>
    <w:basedOn w:val="Normal"/>
    <w:link w:val="TitleChar"/>
    <w:uiPriority w:val="99"/>
    <w:qFormat/>
    <w:rsid w:val="003B1304"/>
    <w:pPr>
      <w:jc w:val="center"/>
    </w:pPr>
    <w:rPr>
      <w:rFonts w:ascii="Arial Narrow" w:hAnsi="Arial Narrow"/>
      <w:szCs w:val="20"/>
    </w:rPr>
  </w:style>
  <w:style w:type="character" w:customStyle="1" w:styleId="TitleChar">
    <w:name w:val="Title Char"/>
    <w:basedOn w:val="DefaultParagraphFont"/>
    <w:link w:val="Title"/>
    <w:uiPriority w:val="10"/>
    <w:rsid w:val="00D25E74"/>
    <w:rPr>
      <w:rFonts w:asciiTheme="majorHAnsi" w:eastAsiaTheme="majorEastAsia" w:hAnsiTheme="majorHAnsi" w:cstheme="majorBidi"/>
      <w:b/>
      <w:bCs/>
      <w:kern w:val="28"/>
      <w:sz w:val="32"/>
      <w:szCs w:val="32"/>
    </w:rPr>
  </w:style>
  <w:style w:type="paragraph" w:styleId="BalloonText">
    <w:name w:val="Balloon Text"/>
    <w:basedOn w:val="Normal"/>
    <w:link w:val="BalloonTextChar"/>
    <w:uiPriority w:val="99"/>
    <w:semiHidden/>
    <w:rsid w:val="00E04FB7"/>
    <w:rPr>
      <w:rFonts w:ascii="Tahoma" w:hAnsi="Tahoma" w:cs="Tahoma"/>
      <w:sz w:val="16"/>
      <w:szCs w:val="16"/>
    </w:rPr>
  </w:style>
  <w:style w:type="character" w:customStyle="1" w:styleId="BalloonTextChar">
    <w:name w:val="Balloon Text Char"/>
    <w:basedOn w:val="DefaultParagraphFont"/>
    <w:link w:val="BalloonText"/>
    <w:uiPriority w:val="99"/>
    <w:semiHidden/>
    <w:rsid w:val="00D25E74"/>
    <w:rPr>
      <w:sz w:val="0"/>
      <w:szCs w:val="0"/>
    </w:rPr>
  </w:style>
  <w:style w:type="character" w:styleId="CommentReference">
    <w:name w:val="annotation reference"/>
    <w:basedOn w:val="DefaultParagraphFont"/>
    <w:uiPriority w:val="99"/>
    <w:semiHidden/>
    <w:rsid w:val="00487CD9"/>
    <w:rPr>
      <w:rFonts w:cs="Times New Roman"/>
      <w:sz w:val="16"/>
      <w:szCs w:val="16"/>
    </w:rPr>
  </w:style>
  <w:style w:type="paragraph" w:styleId="CommentText">
    <w:name w:val="annotation text"/>
    <w:basedOn w:val="Normal"/>
    <w:link w:val="CommentTextChar"/>
    <w:uiPriority w:val="99"/>
    <w:semiHidden/>
    <w:rsid w:val="00487CD9"/>
    <w:rPr>
      <w:sz w:val="20"/>
      <w:szCs w:val="20"/>
    </w:rPr>
  </w:style>
  <w:style w:type="character" w:customStyle="1" w:styleId="CommentTextChar">
    <w:name w:val="Comment Text Char"/>
    <w:basedOn w:val="DefaultParagraphFont"/>
    <w:link w:val="CommentText"/>
    <w:uiPriority w:val="99"/>
    <w:semiHidden/>
    <w:rsid w:val="00D25E74"/>
    <w:rPr>
      <w:sz w:val="20"/>
      <w:szCs w:val="20"/>
    </w:rPr>
  </w:style>
  <w:style w:type="paragraph" w:styleId="CommentSubject">
    <w:name w:val="annotation subject"/>
    <w:basedOn w:val="CommentText"/>
    <w:next w:val="CommentText"/>
    <w:link w:val="CommentSubjectChar"/>
    <w:uiPriority w:val="99"/>
    <w:semiHidden/>
    <w:rsid w:val="00487CD9"/>
    <w:rPr>
      <w:b/>
      <w:bCs/>
    </w:rPr>
  </w:style>
  <w:style w:type="character" w:customStyle="1" w:styleId="CommentSubjectChar">
    <w:name w:val="Comment Subject Char"/>
    <w:basedOn w:val="CommentTextChar"/>
    <w:link w:val="CommentSubject"/>
    <w:uiPriority w:val="99"/>
    <w:semiHidden/>
    <w:rsid w:val="00D25E74"/>
    <w:rPr>
      <w:b/>
      <w:bCs/>
      <w:sz w:val="20"/>
      <w:szCs w:val="20"/>
    </w:rPr>
  </w:style>
  <w:style w:type="paragraph" w:customStyle="1" w:styleId="Preformatted">
    <w:name w:val="Preformatted"/>
    <w:basedOn w:val="Normal"/>
    <w:rsid w:val="0037145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ListParagraph">
    <w:name w:val="List Paragraph"/>
    <w:basedOn w:val="Normal"/>
    <w:uiPriority w:val="34"/>
    <w:qFormat/>
    <w:rsid w:val="00770C43"/>
    <w:pPr>
      <w:ind w:left="720"/>
      <w:contextualSpacing/>
    </w:pPr>
  </w:style>
  <w:style w:type="character" w:customStyle="1" w:styleId="Heading2Char">
    <w:name w:val="Heading 2 Char"/>
    <w:basedOn w:val="DefaultParagraphFont"/>
    <w:link w:val="Heading2"/>
    <w:rsid w:val="002E5DD1"/>
    <w:rPr>
      <w:b/>
      <w:snapToGrid w:val="0"/>
      <w:sz w:val="24"/>
      <w:szCs w:val="20"/>
    </w:rPr>
  </w:style>
  <w:style w:type="character" w:customStyle="1" w:styleId="FootnoteTextChar1">
    <w:name w:val="Footnote Text Char1"/>
    <w:semiHidden/>
    <w:rsid w:val="002E5DD1"/>
    <w:rPr>
      <w:lang w:val="en-US" w:eastAsia="en-US" w:bidi="ar-SA"/>
    </w:rPr>
  </w:style>
  <w:style w:type="paragraph" w:styleId="HTMLPreformatted">
    <w:name w:val="HTML Preformatted"/>
    <w:basedOn w:val="Normal"/>
    <w:link w:val="HTMLPreformattedChar"/>
    <w:uiPriority w:val="99"/>
    <w:unhideWhenUsed/>
    <w:rsid w:val="00AB5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B569E"/>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276360">
      <w:bodyDiv w:val="1"/>
      <w:marLeft w:val="0"/>
      <w:marRight w:val="0"/>
      <w:marTop w:val="0"/>
      <w:marBottom w:val="0"/>
      <w:divBdr>
        <w:top w:val="none" w:sz="0" w:space="0" w:color="auto"/>
        <w:left w:val="none" w:sz="0" w:space="0" w:color="auto"/>
        <w:bottom w:val="none" w:sz="0" w:space="0" w:color="auto"/>
        <w:right w:val="none" w:sz="0" w:space="0" w:color="auto"/>
      </w:divBdr>
    </w:div>
    <w:div w:id="1406561540">
      <w:bodyDiv w:val="1"/>
      <w:marLeft w:val="0"/>
      <w:marRight w:val="0"/>
      <w:marTop w:val="0"/>
      <w:marBottom w:val="0"/>
      <w:divBdr>
        <w:top w:val="none" w:sz="0" w:space="0" w:color="auto"/>
        <w:left w:val="none" w:sz="0" w:space="0" w:color="auto"/>
        <w:bottom w:val="none" w:sz="0" w:space="0" w:color="auto"/>
        <w:right w:val="none" w:sz="0" w:space="0" w:color="auto"/>
      </w:divBdr>
    </w:div>
    <w:div w:id="1512257172">
      <w:bodyDiv w:val="1"/>
      <w:marLeft w:val="0"/>
      <w:marRight w:val="0"/>
      <w:marTop w:val="0"/>
      <w:marBottom w:val="0"/>
      <w:divBdr>
        <w:top w:val="none" w:sz="0" w:space="0" w:color="auto"/>
        <w:left w:val="none" w:sz="0" w:space="0" w:color="auto"/>
        <w:bottom w:val="none" w:sz="0" w:space="0" w:color="auto"/>
        <w:right w:val="none" w:sz="0" w:space="0" w:color="auto"/>
      </w:divBdr>
    </w:div>
    <w:div w:id="1619992331">
      <w:bodyDiv w:val="1"/>
      <w:marLeft w:val="0"/>
      <w:marRight w:val="0"/>
      <w:marTop w:val="0"/>
      <w:marBottom w:val="0"/>
      <w:divBdr>
        <w:top w:val="none" w:sz="0" w:space="0" w:color="auto"/>
        <w:left w:val="none" w:sz="0" w:space="0" w:color="auto"/>
        <w:bottom w:val="none" w:sz="0" w:space="0" w:color="auto"/>
        <w:right w:val="none" w:sz="0" w:space="0" w:color="auto"/>
      </w:divBdr>
    </w:div>
    <w:div w:id="1696924301">
      <w:marLeft w:val="0"/>
      <w:marRight w:val="0"/>
      <w:marTop w:val="0"/>
      <w:marBottom w:val="0"/>
      <w:divBdr>
        <w:top w:val="none" w:sz="0" w:space="0" w:color="auto"/>
        <w:left w:val="none" w:sz="0" w:space="0" w:color="auto"/>
        <w:bottom w:val="none" w:sz="0" w:space="0" w:color="auto"/>
        <w:right w:val="none" w:sz="0" w:space="0" w:color="auto"/>
      </w:divBdr>
    </w:div>
    <w:div w:id="1696924302">
      <w:marLeft w:val="0"/>
      <w:marRight w:val="0"/>
      <w:marTop w:val="0"/>
      <w:marBottom w:val="0"/>
      <w:divBdr>
        <w:top w:val="none" w:sz="0" w:space="0" w:color="auto"/>
        <w:left w:val="none" w:sz="0" w:space="0" w:color="auto"/>
        <w:bottom w:val="none" w:sz="0" w:space="0" w:color="auto"/>
        <w:right w:val="none" w:sz="0" w:space="0" w:color="auto"/>
      </w:divBdr>
    </w:div>
    <w:div w:id="1803962443">
      <w:bodyDiv w:val="1"/>
      <w:marLeft w:val="0"/>
      <w:marRight w:val="0"/>
      <w:marTop w:val="0"/>
      <w:marBottom w:val="0"/>
      <w:divBdr>
        <w:top w:val="none" w:sz="0" w:space="0" w:color="auto"/>
        <w:left w:val="none" w:sz="0" w:space="0" w:color="auto"/>
        <w:bottom w:val="none" w:sz="0" w:space="0" w:color="auto"/>
        <w:right w:val="none" w:sz="0" w:space="0" w:color="auto"/>
      </w:divBdr>
    </w:div>
    <w:div w:id="1858037294">
      <w:bodyDiv w:val="1"/>
      <w:marLeft w:val="0"/>
      <w:marRight w:val="0"/>
      <w:marTop w:val="0"/>
      <w:marBottom w:val="0"/>
      <w:divBdr>
        <w:top w:val="none" w:sz="0" w:space="0" w:color="auto"/>
        <w:left w:val="none" w:sz="0" w:space="0" w:color="auto"/>
        <w:bottom w:val="none" w:sz="0" w:space="0" w:color="auto"/>
        <w:right w:val="none" w:sz="0" w:space="0" w:color="auto"/>
      </w:divBdr>
    </w:div>
    <w:div w:id="214272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EB2B7-C635-497E-B690-255C34597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2100</Words>
  <Characters>11974</Characters>
  <Application>Microsoft Office Word</Application>
  <DocSecurity>4</DocSecurity>
  <Lines>99</Lines>
  <Paragraphs>28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Deposit Insurance Corporation</Company>
  <LinksUpToDate>false</LinksUpToDate>
  <CharactersWithSpaces>14046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rstorch</dc:creator>
  <cp:lastModifiedBy>mary.gottlieb</cp:lastModifiedBy>
  <cp:revision>2</cp:revision>
  <cp:lastPrinted>2012-02-09T14:25:00Z</cp:lastPrinted>
  <dcterms:created xsi:type="dcterms:W3CDTF">2014-02-26T22:26:00Z</dcterms:created>
  <dcterms:modified xsi:type="dcterms:W3CDTF">2014-02-26T22:26:00Z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