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9A" w:rsidRPr="000E289D" w:rsidRDefault="00990BC8" w:rsidP="000C3CE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Supporting Statement for Form SSA-1691</w:t>
      </w:r>
    </w:p>
    <w:p w:rsidR="00990BC8" w:rsidRPr="000E289D" w:rsidRDefault="00990BC8" w:rsidP="000C3CE8">
      <w:pPr>
        <w:spacing w:after="0" w:line="240" w:lineRule="auto"/>
        <w:jc w:val="center"/>
        <w:rPr>
          <w:rFonts w:ascii="Times New Roman" w:hAnsi="Times New Roman" w:cs="Times New Roman"/>
          <w:b/>
          <w:sz w:val="24"/>
          <w:szCs w:val="24"/>
        </w:rPr>
      </w:pPr>
      <w:r w:rsidRPr="00654BC5">
        <w:rPr>
          <w:rFonts w:ascii="Times New Roman" w:hAnsi="Times New Roman" w:cs="Times New Roman"/>
          <w:b/>
          <w:sz w:val="24"/>
          <w:szCs w:val="24"/>
        </w:rPr>
        <w:t>Social Security Administration Eligible Non-Attorney Representative</w:t>
      </w:r>
    </w:p>
    <w:p w:rsidR="00990BC8" w:rsidRPr="000E289D" w:rsidRDefault="00990BC8" w:rsidP="000C3CE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20 CFR 404.1717, 404.1745 – 404.1799, 416.1517, and 416.1545 – 416.1599</w:t>
      </w:r>
    </w:p>
    <w:p w:rsidR="00990BC8" w:rsidRPr="000E289D" w:rsidRDefault="00990BC8" w:rsidP="000C3CE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OMB No. 0960-0699</w:t>
      </w:r>
    </w:p>
    <w:p w:rsidR="00990BC8" w:rsidRPr="000E289D" w:rsidRDefault="00990BC8" w:rsidP="000C3CE8">
      <w:pPr>
        <w:spacing w:after="0" w:line="240" w:lineRule="auto"/>
        <w:jc w:val="center"/>
        <w:rPr>
          <w:rFonts w:ascii="Times New Roman" w:hAnsi="Times New Roman" w:cs="Times New Roman"/>
          <w:b/>
          <w:sz w:val="24"/>
          <w:szCs w:val="24"/>
        </w:rPr>
      </w:pPr>
    </w:p>
    <w:p w:rsidR="00990BC8" w:rsidRPr="000E289D" w:rsidRDefault="00990BC8" w:rsidP="000C3CE8">
      <w:pPr>
        <w:pStyle w:val="ListParagraph"/>
        <w:numPr>
          <w:ilvl w:val="0"/>
          <w:numId w:val="1"/>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u w:val="single"/>
        </w:rPr>
        <w:t>Justification</w:t>
      </w:r>
    </w:p>
    <w:p w:rsidR="00990BC8" w:rsidRPr="000E289D" w:rsidRDefault="00990BC8" w:rsidP="000C3CE8">
      <w:pPr>
        <w:spacing w:after="0" w:line="240" w:lineRule="auto"/>
        <w:rPr>
          <w:rFonts w:ascii="Times New Roman" w:hAnsi="Times New Roman" w:cs="Times New Roman"/>
          <w:b/>
          <w:sz w:val="24"/>
          <w:szCs w:val="24"/>
        </w:rPr>
      </w:pPr>
    </w:p>
    <w:p w:rsidR="00990BC8" w:rsidRPr="000E289D" w:rsidRDefault="00990BC8"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Introduction/Authoring Laws and Regulations</w:t>
      </w:r>
    </w:p>
    <w:p w:rsidR="00C75B57" w:rsidRDefault="00990BC8" w:rsidP="000C3CE8">
      <w:pPr>
        <w:pStyle w:val="ListParagraph"/>
        <w:spacing w:after="0" w:line="240" w:lineRule="auto"/>
        <w:rPr>
          <w:rFonts w:ascii="Times New Roman" w:hAnsi="Times New Roman" w:cs="Times New Roman"/>
          <w:sz w:val="24"/>
          <w:szCs w:val="24"/>
        </w:rPr>
      </w:pPr>
      <w:r w:rsidRPr="000E289D">
        <w:rPr>
          <w:rFonts w:ascii="Times New Roman" w:hAnsi="Times New Roman" w:cs="Times New Roman"/>
          <w:sz w:val="24"/>
          <w:szCs w:val="24"/>
        </w:rPr>
        <w:t xml:space="preserve">Section </w:t>
      </w:r>
      <w:r w:rsidRPr="000E289D">
        <w:rPr>
          <w:rFonts w:ascii="Times New Roman" w:hAnsi="Times New Roman" w:cs="Times New Roman"/>
          <w:i/>
          <w:sz w:val="24"/>
          <w:szCs w:val="24"/>
        </w:rPr>
        <w:t>3</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Social Security Disability Applicants Access to Professional Representation Act</w:t>
      </w:r>
      <w:r w:rsidRPr="000E289D">
        <w:rPr>
          <w:rFonts w:ascii="Times New Roman" w:hAnsi="Times New Roman" w:cs="Times New Roman"/>
          <w:sz w:val="24"/>
          <w:szCs w:val="24"/>
        </w:rPr>
        <w:t xml:space="preserve"> (</w:t>
      </w:r>
      <w:r w:rsidRPr="000E289D">
        <w:rPr>
          <w:rFonts w:ascii="Times New Roman" w:hAnsi="Times New Roman" w:cs="Times New Roman"/>
          <w:i/>
          <w:sz w:val="24"/>
          <w:szCs w:val="24"/>
        </w:rPr>
        <w:t xml:space="preserve">PRA) </w:t>
      </w:r>
      <w:r w:rsidRPr="000E289D">
        <w:rPr>
          <w:rFonts w:ascii="Times New Roman" w:hAnsi="Times New Roman" w:cs="Times New Roman"/>
          <w:sz w:val="24"/>
          <w:szCs w:val="24"/>
        </w:rPr>
        <w:t>of</w:t>
      </w:r>
      <w:r w:rsidRPr="000E289D">
        <w:rPr>
          <w:rFonts w:ascii="Times New Roman" w:hAnsi="Times New Roman" w:cs="Times New Roman"/>
          <w:i/>
          <w:sz w:val="24"/>
          <w:szCs w:val="24"/>
        </w:rPr>
        <w:t xml:space="preserve"> 2010, Public Law (</w:t>
      </w:r>
      <w:proofErr w:type="spellStart"/>
      <w:r w:rsidRPr="000E289D">
        <w:rPr>
          <w:rFonts w:ascii="Times New Roman" w:hAnsi="Times New Roman" w:cs="Times New Roman"/>
          <w:i/>
          <w:sz w:val="24"/>
          <w:szCs w:val="24"/>
        </w:rPr>
        <w:t>Pub.L</w:t>
      </w:r>
      <w:proofErr w:type="spellEnd"/>
      <w:r w:rsidRPr="000E289D">
        <w:rPr>
          <w:rFonts w:ascii="Times New Roman" w:hAnsi="Times New Roman" w:cs="Times New Roman"/>
          <w:i/>
          <w:sz w:val="24"/>
          <w:szCs w:val="24"/>
        </w:rPr>
        <w:t xml:space="preserve">.) 111-142, </w:t>
      </w:r>
      <w:r w:rsidRPr="000E289D">
        <w:rPr>
          <w:rFonts w:ascii="Times New Roman" w:hAnsi="Times New Roman" w:cs="Times New Roman"/>
          <w:sz w:val="24"/>
          <w:szCs w:val="24"/>
        </w:rPr>
        <w:t>permanently extends the direct payment provision of Section</w:t>
      </w:r>
      <w:r w:rsidRPr="000E289D">
        <w:rPr>
          <w:rFonts w:ascii="Times New Roman" w:hAnsi="Times New Roman" w:cs="Times New Roman"/>
          <w:i/>
          <w:sz w:val="24"/>
          <w:szCs w:val="24"/>
        </w:rPr>
        <w:t xml:space="preserve"> 303 </w:t>
      </w:r>
      <w:r w:rsidRPr="000E289D">
        <w:rPr>
          <w:rFonts w:ascii="Times New Roman" w:hAnsi="Times New Roman" w:cs="Times New Roman"/>
          <w:sz w:val="24"/>
          <w:szCs w:val="24"/>
        </w:rPr>
        <w:t xml:space="preserve">of the </w:t>
      </w:r>
      <w:r w:rsidRPr="000E289D">
        <w:rPr>
          <w:rFonts w:ascii="Times New Roman" w:hAnsi="Times New Roman" w:cs="Times New Roman"/>
          <w:i/>
          <w:sz w:val="24"/>
          <w:szCs w:val="24"/>
        </w:rPr>
        <w:t>Social Security Protection Act (</w:t>
      </w:r>
      <w:r w:rsidR="00C75B57">
        <w:rPr>
          <w:rFonts w:ascii="Times New Roman" w:hAnsi="Times New Roman" w:cs="Times New Roman"/>
          <w:i/>
          <w:sz w:val="24"/>
          <w:szCs w:val="24"/>
        </w:rPr>
        <w:t xml:space="preserve">SSPA) </w:t>
      </w:r>
      <w:r w:rsidRPr="000E289D">
        <w:rPr>
          <w:rFonts w:ascii="Times New Roman" w:hAnsi="Times New Roman" w:cs="Times New Roman"/>
          <w:sz w:val="24"/>
          <w:szCs w:val="24"/>
        </w:rPr>
        <w:t>of</w:t>
      </w:r>
      <w:r w:rsidRPr="000E289D">
        <w:rPr>
          <w:rFonts w:ascii="Times New Roman" w:hAnsi="Times New Roman" w:cs="Times New Roman"/>
          <w:i/>
          <w:sz w:val="24"/>
          <w:szCs w:val="24"/>
        </w:rPr>
        <w:t xml:space="preserve"> 2004, </w:t>
      </w:r>
      <w:proofErr w:type="spellStart"/>
      <w:r w:rsidRPr="000E289D">
        <w:rPr>
          <w:rFonts w:ascii="Times New Roman" w:hAnsi="Times New Roman" w:cs="Times New Roman"/>
          <w:i/>
          <w:sz w:val="24"/>
          <w:szCs w:val="24"/>
        </w:rPr>
        <w:t>Pub.L</w:t>
      </w:r>
      <w:proofErr w:type="spellEnd"/>
      <w:r w:rsidRPr="000E289D">
        <w:rPr>
          <w:rFonts w:ascii="Times New Roman" w:hAnsi="Times New Roman" w:cs="Times New Roman"/>
          <w:i/>
          <w:sz w:val="24"/>
          <w:szCs w:val="24"/>
        </w:rPr>
        <w:t>. 108-203.</w:t>
      </w:r>
      <w:r w:rsidR="00C75B57">
        <w:rPr>
          <w:rFonts w:ascii="Times New Roman" w:hAnsi="Times New Roman" w:cs="Times New Roman"/>
          <w:sz w:val="24"/>
          <w:szCs w:val="24"/>
        </w:rPr>
        <w:t xml:space="preserve"> </w:t>
      </w:r>
      <w:r w:rsidRPr="000E289D">
        <w:rPr>
          <w:rFonts w:ascii="Times New Roman" w:hAnsi="Times New Roman" w:cs="Times New Roman"/>
          <w:sz w:val="24"/>
          <w:szCs w:val="24"/>
        </w:rPr>
        <w:t xml:space="preserve">The </w:t>
      </w:r>
      <w:r w:rsidRPr="000E289D">
        <w:rPr>
          <w:rFonts w:ascii="Times New Roman" w:hAnsi="Times New Roman" w:cs="Times New Roman"/>
          <w:i/>
          <w:sz w:val="24"/>
          <w:szCs w:val="24"/>
        </w:rPr>
        <w:t>PRA</w:t>
      </w:r>
      <w:r w:rsidRPr="000E289D">
        <w:rPr>
          <w:rFonts w:ascii="Times New Roman" w:hAnsi="Times New Roman" w:cs="Times New Roman"/>
          <w:sz w:val="24"/>
          <w:szCs w:val="24"/>
        </w:rPr>
        <w:t xml:space="preserve"> permits the Social Security Administration (SSA) to extend direct payment of approved fees from claimants’ past-due benefits to certain non-attorney representatives.  Prior to the enactment of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and</w:t>
      </w:r>
      <w:r w:rsidRPr="000E289D">
        <w:rPr>
          <w:rFonts w:ascii="Times New Roman" w:hAnsi="Times New Roman" w:cs="Times New Roman"/>
          <w:i/>
          <w:sz w:val="24"/>
          <w:szCs w:val="24"/>
        </w:rPr>
        <w:t xml:space="preserve"> PRA</w:t>
      </w:r>
      <w:r w:rsidRPr="000E289D">
        <w:rPr>
          <w:rFonts w:ascii="Times New Roman" w:hAnsi="Times New Roman" w:cs="Times New Roman"/>
          <w:sz w:val="24"/>
          <w:szCs w:val="24"/>
        </w:rPr>
        <w:t xml:space="preserve">, only attorneys could receive direct payment of SSA-approved fees.  Under the </w:t>
      </w:r>
      <w:r w:rsidRPr="000E289D">
        <w:rPr>
          <w:rFonts w:ascii="Times New Roman" w:hAnsi="Times New Roman" w:cs="Times New Roman"/>
          <w:i/>
          <w:sz w:val="24"/>
          <w:szCs w:val="24"/>
        </w:rPr>
        <w:t>PRA</w:t>
      </w:r>
      <w:r w:rsidRPr="000E289D">
        <w:rPr>
          <w:rFonts w:ascii="Times New Roman" w:hAnsi="Times New Roman" w:cs="Times New Roman"/>
          <w:sz w:val="24"/>
          <w:szCs w:val="24"/>
        </w:rPr>
        <w:t>, non-attorneys must meet the following prerequisites to be eligible for direct payment of fees:</w:t>
      </w:r>
    </w:p>
    <w:p w:rsidR="00C75B57" w:rsidRPr="00C75B57" w:rsidRDefault="00C75B57" w:rsidP="000C3CE8">
      <w:pPr>
        <w:pStyle w:val="ListParagraph"/>
        <w:spacing w:after="0" w:line="240" w:lineRule="auto"/>
        <w:rPr>
          <w:rFonts w:ascii="Times New Roman" w:hAnsi="Times New Roman" w:cs="Times New Roman"/>
          <w:sz w:val="24"/>
          <w:szCs w:val="24"/>
        </w:rPr>
      </w:pPr>
    </w:p>
    <w:p w:rsidR="00990BC8" w:rsidRPr="00C75B57" w:rsidRDefault="00990BC8" w:rsidP="000C3CE8">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Have been awarded a bachelor’s degree from an accredited institution of higher education, or at least four years of relevant professional experience and either a high school diploma or General Education Development (GED) certificate;</w:t>
      </w:r>
    </w:p>
    <w:p w:rsidR="00990BC8" w:rsidRPr="00C75B57" w:rsidRDefault="00990BC8" w:rsidP="000C3CE8">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Pass a written examination that the Social Security Administration (SSA) writes and administers which tests the knowledge of the relevant provisions of the </w:t>
      </w:r>
      <w:r w:rsidRPr="000E289D">
        <w:rPr>
          <w:rFonts w:ascii="Times New Roman" w:hAnsi="Times New Roman" w:cs="Times New Roman"/>
          <w:bCs/>
          <w:i/>
          <w:sz w:val="24"/>
          <w:szCs w:val="24"/>
        </w:rPr>
        <w:t>Social Security Act (Act)</w:t>
      </w:r>
      <w:r w:rsidRPr="000E289D">
        <w:rPr>
          <w:rFonts w:ascii="Times New Roman" w:hAnsi="Times New Roman" w:cs="Times New Roman"/>
          <w:bCs/>
          <w:sz w:val="24"/>
          <w:szCs w:val="24"/>
        </w:rPr>
        <w:t xml:space="preserve"> and the most recent developments in SSA and court decisions affecting the benefit programs under titles</w:t>
      </w:r>
      <w:r w:rsidRPr="000E289D">
        <w:rPr>
          <w:rFonts w:ascii="Times New Roman" w:hAnsi="Times New Roman" w:cs="Times New Roman"/>
          <w:bCs/>
          <w:i/>
          <w:sz w:val="24"/>
          <w:szCs w:val="24"/>
        </w:rPr>
        <w:t xml:space="preserve"> II </w:t>
      </w:r>
      <w:r w:rsidRPr="000E289D">
        <w:rPr>
          <w:rFonts w:ascii="Times New Roman" w:hAnsi="Times New Roman" w:cs="Times New Roman"/>
          <w:bCs/>
          <w:sz w:val="24"/>
          <w:szCs w:val="24"/>
        </w:rPr>
        <w:t xml:space="preserve">and </w:t>
      </w:r>
      <w:r w:rsidRPr="000E289D">
        <w:rPr>
          <w:rFonts w:ascii="Times New Roman" w:hAnsi="Times New Roman" w:cs="Times New Roman"/>
          <w:bCs/>
          <w:i/>
          <w:sz w:val="24"/>
          <w:szCs w:val="24"/>
        </w:rPr>
        <w:t>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r w:rsidRPr="000E289D">
        <w:rPr>
          <w:rFonts w:ascii="Times New Roman" w:hAnsi="Times New Roman" w:cs="Times New Roman"/>
          <w:bCs/>
          <w:sz w:val="24"/>
          <w:szCs w:val="24"/>
        </w:rPr>
        <w:t>;</w:t>
      </w:r>
    </w:p>
    <w:p w:rsidR="00990BC8" w:rsidRPr="00C75B57" w:rsidRDefault="00990BC8" w:rsidP="000C3CE8">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Secure and maintain continuous professional liability insurance or equivalent insurance to protect claimants in the event of malpractice by the non-attorney representative;</w:t>
      </w:r>
    </w:p>
    <w:p w:rsidR="00990BC8" w:rsidRPr="00C75B57" w:rsidRDefault="00990BC8" w:rsidP="000C3CE8">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Pass a criminal background check; and</w:t>
      </w:r>
    </w:p>
    <w:p w:rsidR="00990BC8" w:rsidRPr="00C75B57" w:rsidRDefault="00990BC8" w:rsidP="000C3CE8">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Demonstrate ongoing completion of continuing education courses, including courses in ethics and professional conduct, to enhance professional knowledge in matters related to entitlement to, or eligibility for, benefits based on disability under titles</w:t>
      </w:r>
      <w:r w:rsidRPr="000E289D">
        <w:rPr>
          <w:rFonts w:ascii="Times New Roman" w:hAnsi="Times New Roman" w:cs="Times New Roman"/>
          <w:bCs/>
          <w:i/>
          <w:sz w:val="24"/>
          <w:szCs w:val="24"/>
        </w:rPr>
        <w:t xml:space="preserve"> II</w:t>
      </w:r>
      <w:r w:rsidRPr="000E289D">
        <w:rPr>
          <w:rFonts w:ascii="Times New Roman" w:hAnsi="Times New Roman" w:cs="Times New Roman"/>
          <w:bCs/>
          <w:sz w:val="24"/>
          <w:szCs w:val="24"/>
        </w:rPr>
        <w:t xml:space="preserve"> and</w:t>
      </w:r>
      <w:r w:rsidRPr="000E289D">
        <w:rPr>
          <w:rFonts w:ascii="Times New Roman" w:hAnsi="Times New Roman" w:cs="Times New Roman"/>
          <w:bCs/>
          <w:i/>
          <w:sz w:val="24"/>
          <w:szCs w:val="24"/>
        </w:rPr>
        <w:t xml:space="preserve"> 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p>
    <w:p w:rsidR="00C75B57" w:rsidRPr="00C75B57" w:rsidRDefault="00C75B57" w:rsidP="000C3CE8">
      <w:pPr>
        <w:pStyle w:val="ListParagraph"/>
        <w:spacing w:after="0" w:line="240" w:lineRule="auto"/>
        <w:ind w:left="1440"/>
        <w:rPr>
          <w:rFonts w:ascii="Times New Roman" w:hAnsi="Times New Roman" w:cs="Times New Roman"/>
          <w:sz w:val="24"/>
          <w:szCs w:val="24"/>
        </w:rPr>
      </w:pPr>
    </w:p>
    <w:p w:rsidR="00990BC8" w:rsidRPr="000E289D" w:rsidRDefault="00990BC8" w:rsidP="000C3CE8">
      <w:pPr>
        <w:spacing w:after="0" w:line="240" w:lineRule="auto"/>
        <w:ind w:left="720"/>
        <w:rPr>
          <w:rFonts w:ascii="Times New Roman" w:hAnsi="Times New Roman" w:cs="Times New Roman"/>
          <w:sz w:val="24"/>
          <w:szCs w:val="24"/>
        </w:rPr>
      </w:pPr>
      <w:r w:rsidRPr="000E289D">
        <w:rPr>
          <w:rFonts w:ascii="Times New Roman" w:hAnsi="Times New Roman" w:cs="Times New Roman"/>
          <w:sz w:val="24"/>
          <w:szCs w:val="24"/>
        </w:rPr>
        <w:t>The</w:t>
      </w:r>
      <w:r w:rsidRPr="000E289D">
        <w:rPr>
          <w:rFonts w:ascii="Times New Roman" w:hAnsi="Times New Roman" w:cs="Times New Roman"/>
          <w:i/>
          <w:sz w:val="24"/>
          <w:szCs w:val="24"/>
        </w:rPr>
        <w:t xml:space="preserve"> PRA, </w:t>
      </w:r>
      <w:r w:rsidRPr="000E289D">
        <w:rPr>
          <w:rFonts w:ascii="Times New Roman" w:hAnsi="Times New Roman" w:cs="Times New Roman"/>
          <w:sz w:val="24"/>
          <w:szCs w:val="24"/>
        </w:rPr>
        <w:t xml:space="preserve">as did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requires SSA to collect the information needed to determine if applicants have satisfied these prerequisites.  Under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we used the Social Security Administration Non-Attorney Representative Demonstration Project Application to collect applicants’ prerequisite information.  SSA codified these rules in </w:t>
      </w:r>
      <w:r w:rsidRPr="000E289D">
        <w:rPr>
          <w:rFonts w:ascii="Times New Roman" w:hAnsi="Times New Roman" w:cs="Times New Roman"/>
          <w:i/>
          <w:sz w:val="24"/>
          <w:szCs w:val="24"/>
        </w:rPr>
        <w:t>20 CFR 404.1717, 404.1745-404.1799</w:t>
      </w:r>
      <w:r w:rsidRPr="000E289D">
        <w:rPr>
          <w:rFonts w:ascii="Times New Roman" w:hAnsi="Times New Roman" w:cs="Times New Roman"/>
          <w:sz w:val="24"/>
          <w:szCs w:val="24"/>
        </w:rPr>
        <w:t xml:space="preserve">, and </w:t>
      </w:r>
      <w:r w:rsidRPr="000E289D">
        <w:rPr>
          <w:rFonts w:ascii="Times New Roman" w:hAnsi="Times New Roman" w:cs="Times New Roman"/>
          <w:i/>
          <w:sz w:val="24"/>
          <w:szCs w:val="24"/>
        </w:rPr>
        <w:t>20 CFR 416.1517, 416.1545-416.1599</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Code of Federal Regulations.</w:t>
      </w:r>
    </w:p>
    <w:p w:rsidR="00990BC8" w:rsidRDefault="00990BC8" w:rsidP="000C3CE8">
      <w:pPr>
        <w:spacing w:after="0" w:line="240" w:lineRule="auto"/>
        <w:rPr>
          <w:rFonts w:ascii="Times New Roman" w:hAnsi="Times New Roman" w:cs="Times New Roman"/>
          <w:sz w:val="24"/>
          <w:szCs w:val="24"/>
        </w:rPr>
      </w:pPr>
    </w:p>
    <w:p w:rsidR="00C75B57" w:rsidRPr="000E289D" w:rsidRDefault="00C75B57" w:rsidP="000C3CE8">
      <w:pPr>
        <w:spacing w:after="0" w:line="240" w:lineRule="auto"/>
        <w:rPr>
          <w:rFonts w:ascii="Times New Roman" w:hAnsi="Times New Roman" w:cs="Times New Roman"/>
          <w:sz w:val="24"/>
          <w:szCs w:val="24"/>
        </w:rPr>
      </w:pPr>
    </w:p>
    <w:p w:rsidR="00990BC8" w:rsidRPr="000E289D" w:rsidRDefault="00990BC8"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Description of Collection</w:t>
      </w:r>
    </w:p>
    <w:p w:rsidR="00990BC8" w:rsidRPr="000E289D" w:rsidRDefault="00990BC8" w:rsidP="000C3CE8">
      <w:pPr>
        <w:pStyle w:val="ListParagraph"/>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The </w:t>
      </w:r>
      <w:r w:rsidRPr="000E289D">
        <w:rPr>
          <w:rFonts w:ascii="Times New Roman" w:hAnsi="Times New Roman" w:cs="Times New Roman"/>
          <w:sz w:val="24"/>
          <w:szCs w:val="24"/>
        </w:rPr>
        <w:t>information we collect helps us determine whether an applic</w:t>
      </w:r>
      <w:r w:rsidR="00C75B57">
        <w:rPr>
          <w:rFonts w:ascii="Times New Roman" w:hAnsi="Times New Roman" w:cs="Times New Roman"/>
          <w:sz w:val="24"/>
          <w:szCs w:val="24"/>
        </w:rPr>
        <w:t xml:space="preserve">ant </w:t>
      </w:r>
      <w:r w:rsidRPr="000E289D">
        <w:rPr>
          <w:rFonts w:ascii="Times New Roman" w:hAnsi="Times New Roman" w:cs="Times New Roman"/>
          <w:sz w:val="24"/>
          <w:szCs w:val="24"/>
        </w:rPr>
        <w:t>fulfilled the statutory prerequisites and regulatory requirements as listed in item number 1 above.  To v</w:t>
      </w:r>
      <w:r w:rsidR="00C75B57">
        <w:rPr>
          <w:rFonts w:ascii="Times New Roman" w:hAnsi="Times New Roman" w:cs="Times New Roman"/>
          <w:sz w:val="24"/>
          <w:szCs w:val="24"/>
        </w:rPr>
        <w:t xml:space="preserve">erify this information, we </w:t>
      </w:r>
      <w:r w:rsidRPr="000E289D">
        <w:rPr>
          <w:rFonts w:ascii="Times New Roman" w:hAnsi="Times New Roman" w:cs="Times New Roman"/>
          <w:sz w:val="24"/>
          <w:szCs w:val="24"/>
        </w:rPr>
        <w:t>collect the following items, in addition to the application:</w:t>
      </w:r>
    </w:p>
    <w:p w:rsidR="00E82A93" w:rsidRPr="000E289D" w:rsidRDefault="00E82A93" w:rsidP="000C3CE8">
      <w:pPr>
        <w:spacing w:after="0" w:line="240" w:lineRule="auto"/>
        <w:rPr>
          <w:rFonts w:ascii="Times New Roman" w:hAnsi="Times New Roman" w:cs="Times New Roman"/>
          <w:sz w:val="24"/>
          <w:szCs w:val="24"/>
        </w:rPr>
      </w:pPr>
    </w:p>
    <w:p w:rsidR="00E82A93" w:rsidRPr="000E289D" w:rsidRDefault="00E82A93" w:rsidP="000C3CE8">
      <w:pPr>
        <w:pStyle w:val="ListParagraph"/>
        <w:numPr>
          <w:ilvl w:val="0"/>
          <w:numId w:val="6"/>
        </w:numPr>
        <w:spacing w:after="0" w:line="240" w:lineRule="auto"/>
        <w:rPr>
          <w:rFonts w:ascii="Times New Roman" w:hAnsi="Times New Roman" w:cs="Times New Roman"/>
          <w:sz w:val="24"/>
          <w:szCs w:val="24"/>
        </w:rPr>
      </w:pPr>
      <w:r w:rsidRPr="000E289D">
        <w:rPr>
          <w:rFonts w:ascii="Times New Roman" w:hAnsi="Times New Roman" w:cs="Times New Roman"/>
          <w:sz w:val="24"/>
          <w:szCs w:val="24"/>
        </w:rPr>
        <w:lastRenderedPageBreak/>
        <w:t>a signed criminal background form, allowing us to conduct criminal background checks;</w:t>
      </w:r>
    </w:p>
    <w:p w:rsidR="00E82A93" w:rsidRPr="000E289D" w:rsidRDefault="00C75B57" w:rsidP="000C3CE8">
      <w:pPr>
        <w:numPr>
          <w:ilvl w:val="0"/>
          <w:numId w:val="8"/>
        </w:numPr>
        <w:tabs>
          <w:tab w:val="left" w:pos="-720"/>
          <w:tab w:val="left" w:pos="0"/>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the examination document</w:t>
      </w:r>
      <w:r w:rsidR="00E82A93" w:rsidRPr="000E289D">
        <w:rPr>
          <w:rFonts w:ascii="Times New Roman" w:hAnsi="Times New Roman" w:cs="Times New Roman"/>
          <w:bCs/>
          <w:sz w:val="24"/>
          <w:szCs w:val="24"/>
        </w:rPr>
        <w:t xml:space="preserve"> and score for applicants who take the examination,</w:t>
      </w:r>
    </w:p>
    <w:p w:rsidR="00E82A93" w:rsidRPr="000E289D" w:rsidRDefault="00E82A93" w:rsidP="000C3CE8">
      <w:pPr>
        <w:numPr>
          <w:ilvl w:val="0"/>
          <w:numId w:val="8"/>
        </w:numPr>
        <w:tabs>
          <w:tab w:val="left" w:pos="-720"/>
          <w:tab w:val="left" w:pos="0"/>
        </w:tabs>
        <w:suppressAutoHyphens/>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professional or business liability insurance policies from applicants who pass the examination;</w:t>
      </w:r>
    </w:p>
    <w:p w:rsidR="00E82A93" w:rsidRPr="000E289D" w:rsidRDefault="00E82A93" w:rsidP="000C3CE8">
      <w:pPr>
        <w:numPr>
          <w:ilvl w:val="0"/>
          <w:numId w:val="8"/>
        </w:numPr>
        <w:tabs>
          <w:tab w:val="left" w:pos="-720"/>
          <w:tab w:val="left" w:pos="0"/>
        </w:tabs>
        <w:suppressAutoHyphens/>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 xml:space="preserve">official college transcripts from applicants who pass the examination and possess a bachelor’s degree or higher </w:t>
      </w:r>
    </w:p>
    <w:p w:rsidR="00E82A93" w:rsidRPr="000E289D" w:rsidRDefault="00E82A93" w:rsidP="000C3CE8">
      <w:pPr>
        <w:numPr>
          <w:ilvl w:val="1"/>
          <w:numId w:val="8"/>
        </w:numPr>
        <w:tabs>
          <w:tab w:val="left" w:pos="-720"/>
          <w:tab w:val="left" w:pos="0"/>
        </w:tabs>
        <w:suppressAutoHyphens/>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 xml:space="preserve">high school transcripts, diplomas, or GED certificates and proof (e.g., Internal Revenue Service Form W-2(s) and wage and tax statement(s)) of relevant professional experience from applicants who pass the examination, but do not possess a bachelor’s degree or higher  </w:t>
      </w:r>
    </w:p>
    <w:p w:rsidR="00E82A93" w:rsidRPr="000E289D" w:rsidRDefault="00E82A93" w:rsidP="000C3CE8">
      <w:pPr>
        <w:pStyle w:val="ListParagraph"/>
        <w:numPr>
          <w:ilvl w:val="0"/>
          <w:numId w:val="6"/>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email messages, from eligible non-attorneys, which certify the completion of a required continuing education course</w:t>
      </w:r>
    </w:p>
    <w:p w:rsidR="00E82A93" w:rsidRPr="000E289D" w:rsidRDefault="00E82A93" w:rsidP="000C3CE8">
      <w:pPr>
        <w:spacing w:after="0" w:line="240" w:lineRule="auto"/>
        <w:rPr>
          <w:rFonts w:ascii="Times New Roman" w:hAnsi="Times New Roman" w:cs="Times New Roman"/>
          <w:sz w:val="24"/>
          <w:szCs w:val="24"/>
        </w:rPr>
      </w:pPr>
    </w:p>
    <w:p w:rsidR="00E82A93" w:rsidRPr="000E289D" w:rsidRDefault="00E82A93" w:rsidP="000C3CE8">
      <w:pPr>
        <w:spacing w:after="0" w:line="240" w:lineRule="auto"/>
        <w:ind w:left="720"/>
        <w:rPr>
          <w:rFonts w:ascii="Times New Roman" w:hAnsi="Times New Roman" w:cs="Times New Roman"/>
          <w:sz w:val="24"/>
          <w:szCs w:val="24"/>
        </w:rPr>
      </w:pPr>
      <w:r w:rsidRPr="000E289D">
        <w:rPr>
          <w:rFonts w:ascii="Times New Roman" w:hAnsi="Times New Roman" w:cs="Times New Roman"/>
          <w:bCs/>
          <w:sz w:val="24"/>
          <w:szCs w:val="24"/>
        </w:rPr>
        <w:t>Every year, S</w:t>
      </w:r>
      <w:r w:rsidR="00C75B57">
        <w:rPr>
          <w:rFonts w:ascii="Times New Roman" w:hAnsi="Times New Roman" w:cs="Times New Roman"/>
          <w:bCs/>
          <w:sz w:val="24"/>
          <w:szCs w:val="24"/>
        </w:rPr>
        <w:t xml:space="preserve">SA </w:t>
      </w:r>
      <w:r w:rsidRPr="000E289D">
        <w:rPr>
          <w:rFonts w:ascii="Times New Roman" w:hAnsi="Times New Roman" w:cs="Times New Roman"/>
          <w:bCs/>
          <w:sz w:val="24"/>
          <w:szCs w:val="24"/>
        </w:rPr>
        <w:t>evaluate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the applications, conduct</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verification investigations, and issue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recommendations regarding applicants’ eligibility to sit for the examination and eligibility to receive direct payment.  </w:t>
      </w:r>
      <w:r w:rsidRPr="000E289D">
        <w:rPr>
          <w:rFonts w:ascii="Times New Roman" w:hAnsi="Times New Roman" w:cs="Times New Roman"/>
          <w:sz w:val="24"/>
          <w:szCs w:val="24"/>
        </w:rPr>
        <w:t>In addition, one of the requirements for direct payment is the completion of continuing education credits.  To meet these credits, elig</w:t>
      </w:r>
      <w:r w:rsidR="00C75B57">
        <w:rPr>
          <w:rFonts w:ascii="Times New Roman" w:hAnsi="Times New Roman" w:cs="Times New Roman"/>
          <w:sz w:val="24"/>
          <w:szCs w:val="24"/>
        </w:rPr>
        <w:t xml:space="preserve">ible non-attorneys </w:t>
      </w:r>
      <w:r w:rsidRPr="000E289D">
        <w:rPr>
          <w:rFonts w:ascii="Times New Roman" w:hAnsi="Times New Roman" w:cs="Times New Roman"/>
          <w:sz w:val="24"/>
          <w:szCs w:val="24"/>
        </w:rPr>
        <w:t>view training guides and materials, including but not limited to PowerPoint presentations, or Webinars, on ethics, professional conduct, disabilit</w:t>
      </w:r>
      <w:r w:rsidR="00C75B57">
        <w:rPr>
          <w:rFonts w:ascii="Times New Roman" w:hAnsi="Times New Roman" w:cs="Times New Roman"/>
          <w:sz w:val="24"/>
          <w:szCs w:val="24"/>
        </w:rPr>
        <w:t xml:space="preserve">y listings, etc. which SSA </w:t>
      </w:r>
      <w:r w:rsidRPr="000E289D">
        <w:rPr>
          <w:rFonts w:ascii="Times New Roman" w:hAnsi="Times New Roman" w:cs="Times New Roman"/>
          <w:sz w:val="24"/>
          <w:szCs w:val="24"/>
        </w:rPr>
        <w:t>make</w:t>
      </w:r>
      <w:r w:rsidR="00C75B57">
        <w:rPr>
          <w:rFonts w:ascii="Times New Roman" w:hAnsi="Times New Roman" w:cs="Times New Roman"/>
          <w:sz w:val="24"/>
          <w:szCs w:val="24"/>
        </w:rPr>
        <w:t>s</w:t>
      </w:r>
      <w:r w:rsidRPr="000E289D">
        <w:rPr>
          <w:rFonts w:ascii="Times New Roman" w:hAnsi="Times New Roman" w:cs="Times New Roman"/>
          <w:sz w:val="24"/>
          <w:szCs w:val="24"/>
        </w:rPr>
        <w:t xml:space="preserve"> available on the Soc</w:t>
      </w:r>
      <w:r w:rsidR="00C75B57">
        <w:rPr>
          <w:rFonts w:ascii="Times New Roman" w:hAnsi="Times New Roman" w:cs="Times New Roman"/>
          <w:sz w:val="24"/>
          <w:szCs w:val="24"/>
        </w:rPr>
        <w:t>ial Security Website.  They</w:t>
      </w:r>
      <w:r w:rsidRPr="000E289D">
        <w:rPr>
          <w:rFonts w:ascii="Times New Roman" w:hAnsi="Times New Roman" w:cs="Times New Roman"/>
          <w:sz w:val="24"/>
          <w:szCs w:val="24"/>
        </w:rPr>
        <w:t xml:space="preserve"> certify they </w:t>
      </w:r>
      <w:r w:rsidR="00C75B57">
        <w:rPr>
          <w:rFonts w:ascii="Times New Roman" w:hAnsi="Times New Roman" w:cs="Times New Roman"/>
          <w:sz w:val="24"/>
          <w:szCs w:val="24"/>
        </w:rPr>
        <w:t>took</w:t>
      </w:r>
      <w:r w:rsidRPr="000E289D">
        <w:rPr>
          <w:rFonts w:ascii="Times New Roman" w:hAnsi="Times New Roman" w:cs="Times New Roman"/>
          <w:sz w:val="24"/>
          <w:szCs w:val="24"/>
        </w:rPr>
        <w:t xml:space="preserve"> the training by sending us an email message acknowledging their completion of the training within a specified period as directed by us.  </w:t>
      </w:r>
      <w:r w:rsidRPr="000E289D">
        <w:rPr>
          <w:rFonts w:ascii="Times New Roman" w:hAnsi="Times New Roman" w:cs="Times New Roman"/>
          <w:bCs/>
          <w:sz w:val="24"/>
          <w:szCs w:val="24"/>
        </w:rPr>
        <w:t>The respondents are non-attorneys who want to receive direct payment of their fees for representational services before SSA.</w:t>
      </w:r>
    </w:p>
    <w:p w:rsidR="00990BC8" w:rsidRPr="000E289D" w:rsidRDefault="00990BC8" w:rsidP="000C3CE8">
      <w:pPr>
        <w:spacing w:after="0" w:line="240" w:lineRule="auto"/>
        <w:rPr>
          <w:rFonts w:ascii="Times New Roman" w:hAnsi="Times New Roman" w:cs="Times New Roman"/>
          <w:sz w:val="24"/>
          <w:szCs w:val="24"/>
        </w:rPr>
      </w:pPr>
    </w:p>
    <w:p w:rsidR="00990BC8" w:rsidRPr="000E289D" w:rsidRDefault="00990BC8"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Use of Information Technology to Collect the Information</w:t>
      </w:r>
    </w:p>
    <w:p w:rsidR="00E82A93" w:rsidRPr="000E289D" w:rsidRDefault="00E82A93" w:rsidP="000C3CE8">
      <w:pPr>
        <w:pStyle w:val="ListParagraph"/>
        <w:spacing w:after="0" w:line="240" w:lineRule="auto"/>
        <w:rPr>
          <w:rFonts w:ascii="Times New Roman" w:hAnsi="Times New Roman" w:cs="Times New Roman"/>
          <w:sz w:val="24"/>
          <w:szCs w:val="24"/>
        </w:rPr>
      </w:pPr>
      <w:r w:rsidRPr="000E289D">
        <w:rPr>
          <w:rFonts w:ascii="Times New Roman" w:hAnsi="Times New Roman" w:cs="Times New Roman"/>
          <w:sz w:val="24"/>
          <w:szCs w:val="24"/>
        </w:rPr>
        <w:t>We did not create an electronic version of this information collection under the Government Paperwork Elimination Act, as the Statement of Work states the contractor must collect the information using a paper questionnaire form since a wet signature is required on the application.  SSA made the paper form available for print on the contractor’s Internet website.  However, applicants need to print it out, complete the form, and mail or deliver the signed paper form to the contractor.</w:t>
      </w:r>
    </w:p>
    <w:p w:rsidR="00A37BCF" w:rsidRDefault="00A37BCF" w:rsidP="000C3CE8">
      <w:pPr>
        <w:spacing w:after="0" w:line="240" w:lineRule="auto"/>
        <w:rPr>
          <w:rFonts w:ascii="Times New Roman" w:hAnsi="Times New Roman" w:cs="Times New Roman"/>
          <w:b/>
          <w:sz w:val="24"/>
          <w:szCs w:val="24"/>
        </w:rPr>
      </w:pPr>
    </w:p>
    <w:p w:rsidR="00C75B57" w:rsidRDefault="00C75B57" w:rsidP="000C3CE8">
      <w:pPr>
        <w:spacing w:after="0" w:line="240" w:lineRule="auto"/>
        <w:rPr>
          <w:rFonts w:ascii="Times New Roman" w:hAnsi="Times New Roman" w:cs="Times New Roman"/>
          <w:b/>
          <w:sz w:val="24"/>
          <w:szCs w:val="24"/>
        </w:rPr>
      </w:pPr>
    </w:p>
    <w:p w:rsidR="00C75B57" w:rsidRPr="00C75B57" w:rsidRDefault="00C75B57" w:rsidP="000C3CE8">
      <w:pPr>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Why We Cannot Use Duplicate Information</w:t>
      </w: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The nature of the information we are collecting and the manner in which we are collecting it preclude duplication.  SSA does not use another collection instrument to obtain similar data.</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Minimizing Burden on Small Respondents</w:t>
      </w: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This collection does not affect small businesses or other small entities.</w:t>
      </w:r>
    </w:p>
    <w:p w:rsidR="00E82A93" w:rsidRDefault="00E82A93" w:rsidP="000C3CE8">
      <w:pPr>
        <w:pStyle w:val="ListParagraph"/>
        <w:spacing w:after="0" w:line="240" w:lineRule="auto"/>
        <w:rPr>
          <w:rFonts w:ascii="Times New Roman" w:hAnsi="Times New Roman" w:cs="Times New Roman"/>
          <w:b/>
          <w:sz w:val="24"/>
          <w:szCs w:val="24"/>
        </w:rPr>
      </w:pPr>
    </w:p>
    <w:p w:rsidR="000C3CE8" w:rsidRDefault="000C3CE8" w:rsidP="000C3CE8">
      <w:pPr>
        <w:pStyle w:val="ListParagraph"/>
        <w:spacing w:after="0" w:line="240" w:lineRule="auto"/>
        <w:rPr>
          <w:rFonts w:ascii="Times New Roman" w:hAnsi="Times New Roman" w:cs="Times New Roman"/>
          <w:b/>
          <w:sz w:val="24"/>
          <w:szCs w:val="24"/>
        </w:rPr>
      </w:pPr>
    </w:p>
    <w:p w:rsidR="000C3CE8" w:rsidRPr="000E289D" w:rsidRDefault="000C3CE8"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lastRenderedPageBreak/>
        <w:t>Consequence of Not Collecting Information or Collecting it Less Frequently</w:t>
      </w: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 xml:space="preserve">If we did not use the application, the applicants would have no way to apply to become eligible to receive direct payment.  This would be in violation of regulations at </w:t>
      </w:r>
      <w:r w:rsidRPr="000E289D">
        <w:rPr>
          <w:rFonts w:ascii="Times New Roman" w:hAnsi="Times New Roman" w:cs="Times New Roman"/>
          <w:i/>
          <w:sz w:val="24"/>
          <w:szCs w:val="24"/>
        </w:rPr>
        <w:t xml:space="preserve">5 CFR 1320.5.  </w:t>
      </w:r>
      <w:r w:rsidRPr="000E289D">
        <w:rPr>
          <w:rFonts w:ascii="Times New Roman" w:hAnsi="Times New Roman" w:cs="Times New Roman"/>
          <w:sz w:val="24"/>
          <w:szCs w:val="24"/>
        </w:rPr>
        <w:t>Since the applicants must submit their applications during the yearly application period within the time we prescribe, we cannot collect the information less frequently.  There are no technical or legal obstacles to burden reduction.</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Special Circumstance</w:t>
      </w: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 xml:space="preserve">To limit the time required to determine eligibility, </w:t>
      </w:r>
      <w:r w:rsidR="00C75B57">
        <w:rPr>
          <w:rFonts w:ascii="Times New Roman" w:hAnsi="Times New Roman" w:cs="Times New Roman"/>
          <w:sz w:val="24"/>
          <w:szCs w:val="24"/>
        </w:rPr>
        <w:t>we give applicants</w:t>
      </w:r>
      <w:r w:rsidRPr="000E289D">
        <w:rPr>
          <w:rFonts w:ascii="Times New Roman" w:hAnsi="Times New Roman" w:cs="Times New Roman"/>
          <w:sz w:val="24"/>
          <w:szCs w:val="24"/>
        </w:rPr>
        <w:t xml:space="preserve"> a prescribed period to submit their applications during the yearly application period.  Applicants have 30 calendar days after the close of the application period to correct any application defects.  There are no other special circumstances that would cause SSA to conduct this information collection in a manner inconsistent with </w:t>
      </w:r>
      <w:r w:rsidRPr="000E289D">
        <w:rPr>
          <w:rFonts w:ascii="Times New Roman" w:hAnsi="Times New Roman" w:cs="Times New Roman"/>
          <w:i/>
          <w:sz w:val="24"/>
          <w:szCs w:val="24"/>
        </w:rPr>
        <w:t>5 CFR 1320.5.</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Solicitation of Public Comment and Other Consultations with the Public</w:t>
      </w: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 xml:space="preserve">The 60-day advance Federal </w:t>
      </w:r>
      <w:r w:rsidR="00A7225A">
        <w:rPr>
          <w:rFonts w:ascii="Times New Roman" w:hAnsi="Times New Roman" w:cs="Times New Roman"/>
          <w:sz w:val="24"/>
          <w:szCs w:val="24"/>
        </w:rPr>
        <w:t>Register Notice published on March 21, 2014</w:t>
      </w:r>
      <w:r w:rsidRPr="000E289D">
        <w:rPr>
          <w:rFonts w:ascii="Times New Roman" w:hAnsi="Times New Roman" w:cs="Times New Roman"/>
          <w:sz w:val="24"/>
          <w:szCs w:val="24"/>
        </w:rPr>
        <w:t xml:space="preserve">, at 79 FR </w:t>
      </w:r>
      <w:r w:rsidR="00A7225A">
        <w:rPr>
          <w:rFonts w:ascii="Times New Roman" w:hAnsi="Times New Roman" w:cs="Times New Roman"/>
          <w:sz w:val="24"/>
          <w:szCs w:val="24"/>
        </w:rPr>
        <w:t>15782</w:t>
      </w:r>
      <w:r w:rsidRPr="000E289D">
        <w:rPr>
          <w:rFonts w:ascii="Times New Roman" w:hAnsi="Times New Roman" w:cs="Times New Roman"/>
          <w:sz w:val="24"/>
          <w:szCs w:val="24"/>
        </w:rPr>
        <w:t xml:space="preserve">, and we received no public comments.  SSA published the second Notice on </w:t>
      </w:r>
      <w:r w:rsidR="00751B1E">
        <w:rPr>
          <w:rFonts w:ascii="Times New Roman" w:hAnsi="Times New Roman" w:cs="Times New Roman"/>
          <w:sz w:val="24"/>
          <w:szCs w:val="24"/>
        </w:rPr>
        <w:t>May 29, 2014, at 79 FR 30922</w:t>
      </w:r>
      <w:bookmarkStart w:id="0" w:name="_GoBack"/>
      <w:bookmarkEnd w:id="0"/>
      <w:r w:rsidRPr="000E289D">
        <w:rPr>
          <w:rFonts w:ascii="Times New Roman" w:hAnsi="Times New Roman" w:cs="Times New Roman"/>
          <w:sz w:val="24"/>
          <w:szCs w:val="24"/>
        </w:rPr>
        <w:t>.  If we receive comments in response to the 30-day Notice, we will forward them to OMB.  We did not consult with the public in the revision of this form.</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Payment or Gifts to Respondents</w:t>
      </w:r>
    </w:p>
    <w:p w:rsidR="00E82A93" w:rsidRPr="000E289D" w:rsidRDefault="00E82A93" w:rsidP="000C3CE8">
      <w:pPr>
        <w:pStyle w:val="ListParagraph"/>
        <w:spacing w:after="0" w:line="240" w:lineRule="auto"/>
        <w:rPr>
          <w:rFonts w:ascii="Times New Roman" w:hAnsi="Times New Roman" w:cs="Times New Roman"/>
          <w:sz w:val="24"/>
          <w:szCs w:val="24"/>
        </w:rPr>
      </w:pPr>
      <w:r w:rsidRPr="000E289D">
        <w:rPr>
          <w:rFonts w:ascii="Times New Roman" w:hAnsi="Times New Roman" w:cs="Times New Roman"/>
          <w:sz w:val="24"/>
          <w:szCs w:val="24"/>
        </w:rPr>
        <w:t>SSA does not provide payments or gifts to the respondents.</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Assurances of Confidentiality</w:t>
      </w: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 xml:space="preserve">SSA protects and holds confidential the information it collects in accordance with </w:t>
      </w:r>
      <w:r w:rsidRPr="000E289D">
        <w:rPr>
          <w:rFonts w:ascii="Times New Roman" w:hAnsi="Times New Roman" w:cs="Times New Roman"/>
          <w:i/>
          <w:sz w:val="24"/>
          <w:szCs w:val="24"/>
        </w:rPr>
        <w:t xml:space="preserve">42 U.S.C. 1306, 20 CFR 401 </w:t>
      </w:r>
      <w:r w:rsidRPr="000E289D">
        <w:rPr>
          <w:rFonts w:ascii="Times New Roman" w:hAnsi="Times New Roman" w:cs="Times New Roman"/>
          <w:sz w:val="24"/>
          <w:szCs w:val="24"/>
        </w:rPr>
        <w:t xml:space="preserve">and </w:t>
      </w:r>
      <w:r w:rsidRPr="000E289D">
        <w:rPr>
          <w:rFonts w:ascii="Times New Roman" w:hAnsi="Times New Roman" w:cs="Times New Roman"/>
          <w:i/>
          <w:sz w:val="24"/>
          <w:szCs w:val="24"/>
        </w:rPr>
        <w:t xml:space="preserve">402, 5 U.S.C. 552 </w:t>
      </w:r>
      <w:r w:rsidRPr="000E289D">
        <w:rPr>
          <w:rFonts w:ascii="Times New Roman" w:hAnsi="Times New Roman" w:cs="Times New Roman"/>
          <w:sz w:val="24"/>
          <w:szCs w:val="24"/>
        </w:rPr>
        <w:t>(Freedom of Information Act),</w:t>
      </w:r>
      <w:r w:rsidRPr="000E289D">
        <w:rPr>
          <w:rFonts w:ascii="Times New Roman" w:hAnsi="Times New Roman" w:cs="Times New Roman"/>
          <w:i/>
          <w:sz w:val="24"/>
          <w:szCs w:val="24"/>
        </w:rPr>
        <w:t xml:space="preserve"> 5 U.S.C. 552a </w:t>
      </w:r>
      <w:r w:rsidRPr="000E289D">
        <w:rPr>
          <w:rFonts w:ascii="Times New Roman" w:hAnsi="Times New Roman" w:cs="Times New Roman"/>
          <w:sz w:val="24"/>
          <w:szCs w:val="24"/>
        </w:rPr>
        <w:t xml:space="preserve">(Privacy Act of 1974), and OMB Circular No. </w:t>
      </w:r>
      <w:proofErr w:type="gramStart"/>
      <w:r w:rsidRPr="000E289D">
        <w:rPr>
          <w:rFonts w:ascii="Times New Roman" w:hAnsi="Times New Roman" w:cs="Times New Roman"/>
          <w:sz w:val="24"/>
          <w:szCs w:val="24"/>
        </w:rPr>
        <w:t>A-130.</w:t>
      </w:r>
      <w:proofErr w:type="gramEnd"/>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Justification for Sensitive Questions</w:t>
      </w:r>
    </w:p>
    <w:p w:rsidR="00E82A93" w:rsidRPr="000E289D" w:rsidRDefault="00E82A93" w:rsidP="000C3CE8">
      <w:pPr>
        <w:pStyle w:val="ListParagraph"/>
        <w:spacing w:after="0" w:line="240" w:lineRule="auto"/>
        <w:rPr>
          <w:rFonts w:ascii="Times New Roman" w:hAnsi="Times New Roman" w:cs="Times New Roman"/>
          <w:sz w:val="24"/>
          <w:szCs w:val="24"/>
        </w:rPr>
      </w:pPr>
      <w:r w:rsidRPr="000E289D">
        <w:rPr>
          <w:rFonts w:ascii="Times New Roman" w:hAnsi="Times New Roman" w:cs="Times New Roman"/>
          <w:sz w:val="24"/>
          <w:szCs w:val="24"/>
        </w:rPr>
        <w:t>The information collection does not contain any questions of a sensitive nature.</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E82A93"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Estimates of Public Reporting Burden</w:t>
      </w:r>
    </w:p>
    <w:p w:rsidR="00E82A93" w:rsidRDefault="00E82A93" w:rsidP="000C3CE8">
      <w:pPr>
        <w:pStyle w:val="ListParagraph"/>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 xml:space="preserve">The projected number of new and existing respondents may vary because of the eligibility criteria for non-attorneys to receive direct payment.  However, we present the current burden information </w:t>
      </w:r>
      <w:r w:rsidRPr="00654BC5">
        <w:rPr>
          <w:rFonts w:ascii="Times New Roman" w:hAnsi="Times New Roman" w:cs="Times New Roman"/>
          <w:bCs/>
          <w:sz w:val="24"/>
          <w:szCs w:val="24"/>
        </w:rPr>
        <w:t>in the chart below:</w:t>
      </w:r>
    </w:p>
    <w:p w:rsidR="00654BC5" w:rsidRPr="000E289D" w:rsidRDefault="00654BC5" w:rsidP="000C3CE8">
      <w:pPr>
        <w:pStyle w:val="ListParagraph"/>
        <w:spacing w:after="0" w:line="240" w:lineRule="auto"/>
        <w:rPr>
          <w:rFonts w:ascii="Times New Roman" w:hAnsi="Times New Roman" w:cs="Times New Roman"/>
          <w:bCs/>
          <w:sz w:val="24"/>
          <w:szCs w:val="24"/>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620"/>
        <w:gridCol w:w="1530"/>
        <w:gridCol w:w="1530"/>
        <w:gridCol w:w="1620"/>
      </w:tblGrid>
      <w:tr w:rsidR="00654BC5" w:rsidRPr="00067650" w:rsidTr="00F5421B">
        <w:tc>
          <w:tcPr>
            <w:tcW w:w="198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Modality of Completion</w:t>
            </w:r>
          </w:p>
        </w:tc>
        <w:tc>
          <w:tcPr>
            <w:tcW w:w="162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Number of Respondents</w:t>
            </w:r>
          </w:p>
        </w:tc>
        <w:tc>
          <w:tcPr>
            <w:tcW w:w="153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Frequency of Response</w:t>
            </w:r>
          </w:p>
        </w:tc>
        <w:tc>
          <w:tcPr>
            <w:tcW w:w="153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Average Burden per Response (minutes)</w:t>
            </w:r>
          </w:p>
        </w:tc>
        <w:tc>
          <w:tcPr>
            <w:tcW w:w="162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t>Total Annual Burden (hours)</w:t>
            </w:r>
          </w:p>
        </w:tc>
      </w:tr>
      <w:tr w:rsidR="00654BC5" w:rsidRPr="00067650" w:rsidTr="00F5421B">
        <w:tc>
          <w:tcPr>
            <w:tcW w:w="1980" w:type="dxa"/>
          </w:tcPr>
          <w:p w:rsidR="00654BC5" w:rsidRDefault="00654BC5" w:rsidP="000C3CE8">
            <w:pPr>
              <w:spacing w:line="240" w:lineRule="auto"/>
              <w:rPr>
                <w:rFonts w:ascii="Times New Roman" w:hAnsi="Times New Roman"/>
              </w:rPr>
            </w:pPr>
            <w:r w:rsidRPr="00197AE4">
              <w:rPr>
                <w:rFonts w:ascii="Times New Roman" w:hAnsi="Times New Roman"/>
              </w:rPr>
              <w:t xml:space="preserve">New Respondents </w:t>
            </w:r>
            <w:r>
              <w:rPr>
                <w:rFonts w:ascii="Times New Roman" w:hAnsi="Times New Roman"/>
              </w:rPr>
              <w:t>–</w:t>
            </w:r>
            <w:r w:rsidRPr="00197AE4">
              <w:rPr>
                <w:rFonts w:ascii="Times New Roman" w:hAnsi="Times New Roman"/>
              </w:rPr>
              <w:t xml:space="preserve"> </w:t>
            </w:r>
            <w:r>
              <w:rPr>
                <w:rFonts w:ascii="Times New Roman" w:hAnsi="Times New Roman"/>
              </w:rPr>
              <w:t xml:space="preserve">Paper </w:t>
            </w:r>
            <w:r w:rsidRPr="00197AE4">
              <w:rPr>
                <w:rFonts w:ascii="Times New Roman" w:hAnsi="Times New Roman"/>
              </w:rPr>
              <w:t xml:space="preserve">Application </w:t>
            </w:r>
            <w:r>
              <w:rPr>
                <w:rFonts w:ascii="Times New Roman" w:hAnsi="Times New Roman"/>
              </w:rPr>
              <w:t>(complete and submit) – 404.1717(b)&amp;(c);</w:t>
            </w:r>
          </w:p>
          <w:p w:rsidR="00654BC5" w:rsidRPr="00197AE4" w:rsidRDefault="00654BC5" w:rsidP="000C3CE8">
            <w:pPr>
              <w:spacing w:line="240" w:lineRule="auto"/>
              <w:rPr>
                <w:rFonts w:ascii="Times New Roman" w:hAnsi="Times New Roman"/>
              </w:rPr>
            </w:pPr>
            <w:r>
              <w:rPr>
                <w:rFonts w:ascii="Times New Roman" w:hAnsi="Times New Roman"/>
              </w:rPr>
              <w:lastRenderedPageBreak/>
              <w:t>416.1517(b)&amp;(c)</w:t>
            </w:r>
          </w:p>
        </w:tc>
        <w:tc>
          <w:tcPr>
            <w:tcW w:w="1620" w:type="dxa"/>
          </w:tcPr>
          <w:p w:rsidR="00654BC5" w:rsidRDefault="00654BC5" w:rsidP="000C3CE8">
            <w:pPr>
              <w:spacing w:line="240" w:lineRule="auto"/>
              <w:jc w:val="right"/>
              <w:rPr>
                <w:rFonts w:ascii="Times New Roman" w:hAnsi="Times New Roman"/>
              </w:rPr>
            </w:pPr>
            <w:r>
              <w:rPr>
                <w:rFonts w:ascii="Times New Roman" w:hAnsi="Times New Roman"/>
              </w:rPr>
              <w:lastRenderedPageBreak/>
              <w:t>200</w:t>
            </w:r>
          </w:p>
        </w:tc>
        <w:tc>
          <w:tcPr>
            <w:tcW w:w="1530" w:type="dxa"/>
          </w:tcPr>
          <w:p w:rsidR="00654BC5" w:rsidRPr="00197AE4" w:rsidRDefault="00654BC5" w:rsidP="000C3CE8">
            <w:pPr>
              <w:spacing w:line="240" w:lineRule="auto"/>
              <w:jc w:val="right"/>
              <w:rPr>
                <w:rFonts w:ascii="Times New Roman" w:hAnsi="Times New Roman"/>
              </w:rPr>
            </w:pPr>
            <w:r>
              <w:rPr>
                <w:rFonts w:ascii="Times New Roman" w:hAnsi="Times New Roman"/>
              </w:rPr>
              <w:t>1</w:t>
            </w:r>
          </w:p>
        </w:tc>
        <w:tc>
          <w:tcPr>
            <w:tcW w:w="1530" w:type="dxa"/>
          </w:tcPr>
          <w:p w:rsidR="00654BC5" w:rsidRPr="00197AE4" w:rsidRDefault="00654BC5" w:rsidP="000C3CE8">
            <w:pPr>
              <w:spacing w:line="240" w:lineRule="auto"/>
              <w:jc w:val="right"/>
              <w:rPr>
                <w:rFonts w:ascii="Times New Roman" w:hAnsi="Times New Roman"/>
              </w:rPr>
            </w:pPr>
            <w:r>
              <w:rPr>
                <w:rFonts w:ascii="Times New Roman" w:hAnsi="Times New Roman"/>
              </w:rPr>
              <w:t>45</w:t>
            </w:r>
          </w:p>
        </w:tc>
        <w:tc>
          <w:tcPr>
            <w:tcW w:w="1620" w:type="dxa"/>
          </w:tcPr>
          <w:p w:rsidR="00654BC5" w:rsidRDefault="00654BC5" w:rsidP="000C3CE8">
            <w:pPr>
              <w:spacing w:line="240" w:lineRule="auto"/>
              <w:jc w:val="right"/>
              <w:rPr>
                <w:rFonts w:ascii="Times New Roman" w:hAnsi="Times New Roman"/>
              </w:rPr>
            </w:pPr>
            <w:r>
              <w:rPr>
                <w:rFonts w:ascii="Times New Roman" w:hAnsi="Times New Roman"/>
              </w:rPr>
              <w:t>150</w:t>
            </w:r>
          </w:p>
        </w:tc>
      </w:tr>
      <w:tr w:rsidR="00654BC5" w:rsidRPr="00067650" w:rsidTr="00F5421B">
        <w:tc>
          <w:tcPr>
            <w:tcW w:w="1980" w:type="dxa"/>
          </w:tcPr>
          <w:p w:rsidR="00654BC5" w:rsidRPr="00197AE4" w:rsidRDefault="00654BC5" w:rsidP="000C3CE8">
            <w:pPr>
              <w:spacing w:line="240" w:lineRule="auto"/>
              <w:rPr>
                <w:rFonts w:ascii="Times New Roman" w:hAnsi="Times New Roman"/>
              </w:rPr>
            </w:pPr>
            <w:r w:rsidRPr="00197AE4">
              <w:rPr>
                <w:rFonts w:ascii="Times New Roman" w:hAnsi="Times New Roman"/>
              </w:rPr>
              <w:lastRenderedPageBreak/>
              <w:t xml:space="preserve">New Respondents Examination </w:t>
            </w:r>
            <w:r>
              <w:rPr>
                <w:rFonts w:ascii="Times New Roman" w:hAnsi="Times New Roman"/>
              </w:rPr>
              <w:t>– 404.1717(a)(5); 416.1517(a)(5)</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200</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120</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400</w:t>
            </w:r>
          </w:p>
        </w:tc>
      </w:tr>
      <w:tr w:rsidR="00654BC5" w:rsidTr="00F5421B">
        <w:tc>
          <w:tcPr>
            <w:tcW w:w="1980" w:type="dxa"/>
          </w:tcPr>
          <w:p w:rsidR="00654BC5" w:rsidRDefault="00654BC5" w:rsidP="000C3CE8">
            <w:pPr>
              <w:spacing w:line="240" w:lineRule="auto"/>
              <w:rPr>
                <w:rFonts w:ascii="Times New Roman" w:hAnsi="Times New Roman"/>
              </w:rPr>
            </w:pPr>
            <w:r w:rsidRPr="00197AE4">
              <w:rPr>
                <w:rFonts w:ascii="Times New Roman" w:hAnsi="Times New Roman"/>
              </w:rPr>
              <w:t xml:space="preserve">New Respondents  -  Submission of proof of Bachelor’s Degree or Equivalent Qualifications </w:t>
            </w:r>
            <w:r>
              <w:rPr>
                <w:rFonts w:ascii="Times New Roman" w:hAnsi="Times New Roman"/>
              </w:rPr>
              <w:t>– 404.1717(a)(3);</w:t>
            </w:r>
          </w:p>
          <w:p w:rsidR="00654BC5" w:rsidRPr="00197AE4" w:rsidRDefault="00654BC5" w:rsidP="000C3CE8">
            <w:pPr>
              <w:spacing w:line="240" w:lineRule="auto"/>
              <w:rPr>
                <w:rFonts w:ascii="Times New Roman" w:hAnsi="Times New Roman"/>
              </w:rPr>
            </w:pPr>
            <w:r>
              <w:rPr>
                <w:rFonts w:ascii="Times New Roman" w:hAnsi="Times New Roman"/>
              </w:rPr>
              <w:t>416.1517(a)(3)</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200</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10</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33</w:t>
            </w:r>
          </w:p>
        </w:tc>
      </w:tr>
      <w:tr w:rsidR="00654BC5" w:rsidRPr="00067650" w:rsidTr="00F5421B">
        <w:tc>
          <w:tcPr>
            <w:tcW w:w="1980" w:type="dxa"/>
          </w:tcPr>
          <w:p w:rsidR="00654BC5" w:rsidRPr="00197AE4" w:rsidRDefault="00654BC5" w:rsidP="000C3CE8">
            <w:pPr>
              <w:spacing w:line="240" w:lineRule="auto"/>
              <w:rPr>
                <w:rFonts w:ascii="Times New Roman" w:hAnsi="Times New Roman"/>
              </w:rPr>
            </w:pPr>
            <w:r w:rsidRPr="00197AE4">
              <w:rPr>
                <w:rFonts w:ascii="Times New Roman" w:hAnsi="Times New Roman"/>
              </w:rPr>
              <w:t xml:space="preserve">New and Existing Respondents - CE Submission via email/mail/or FAX of training courses taken as  prescribed by SSA </w:t>
            </w:r>
            <w:r>
              <w:rPr>
                <w:rFonts w:ascii="Times New Roman" w:hAnsi="Times New Roman"/>
              </w:rPr>
              <w:t>– 404.1717(a)(7); 416.1517(a)(7)</w:t>
            </w:r>
          </w:p>
        </w:tc>
        <w:tc>
          <w:tcPr>
            <w:tcW w:w="1620" w:type="dxa"/>
          </w:tcPr>
          <w:p w:rsidR="00654BC5" w:rsidRPr="00197AE4" w:rsidRDefault="00654BC5" w:rsidP="000C3CE8">
            <w:pPr>
              <w:spacing w:line="240" w:lineRule="auto"/>
              <w:jc w:val="right"/>
              <w:rPr>
                <w:rFonts w:ascii="Times New Roman" w:hAnsi="Times New Roman"/>
              </w:rPr>
            </w:pPr>
            <w:r>
              <w:rPr>
                <w:rFonts w:ascii="Times New Roman" w:hAnsi="Times New Roman"/>
              </w:rPr>
              <w:t>710</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20</w:t>
            </w:r>
          </w:p>
        </w:tc>
        <w:tc>
          <w:tcPr>
            <w:tcW w:w="1620" w:type="dxa"/>
          </w:tcPr>
          <w:p w:rsidR="00654BC5" w:rsidRPr="00197AE4" w:rsidRDefault="00654BC5" w:rsidP="000C3CE8">
            <w:pPr>
              <w:spacing w:line="240" w:lineRule="auto"/>
              <w:jc w:val="right"/>
              <w:rPr>
                <w:rFonts w:ascii="Times New Roman" w:hAnsi="Times New Roman"/>
              </w:rPr>
            </w:pPr>
            <w:r>
              <w:rPr>
                <w:rFonts w:ascii="Times New Roman" w:hAnsi="Times New Roman"/>
              </w:rPr>
              <w:t>237</w:t>
            </w:r>
          </w:p>
        </w:tc>
      </w:tr>
      <w:tr w:rsidR="00654BC5" w:rsidRPr="00D35C1A" w:rsidTr="00F5421B">
        <w:tc>
          <w:tcPr>
            <w:tcW w:w="1980" w:type="dxa"/>
          </w:tcPr>
          <w:p w:rsidR="00654BC5" w:rsidRPr="00197AE4" w:rsidRDefault="00654BC5" w:rsidP="000C3CE8">
            <w:pPr>
              <w:spacing w:line="240" w:lineRule="auto"/>
              <w:rPr>
                <w:rFonts w:ascii="Times New Roman" w:hAnsi="Times New Roman"/>
              </w:rPr>
            </w:pPr>
            <w:r w:rsidRPr="00197AE4">
              <w:rPr>
                <w:rFonts w:ascii="Times New Roman" w:hAnsi="Times New Roman"/>
              </w:rPr>
              <w:t>New and Existing Respondents - Proof of Continuous Professional or Business Liability Insurance Coverage (Scan and  Email)</w:t>
            </w:r>
            <w:r>
              <w:rPr>
                <w:rFonts w:ascii="Times New Roman" w:hAnsi="Times New Roman"/>
              </w:rPr>
              <w:t xml:space="preserve"> – 404.1717(a)(6); 416.1517(a)(6)</w:t>
            </w:r>
          </w:p>
        </w:tc>
        <w:tc>
          <w:tcPr>
            <w:tcW w:w="1620" w:type="dxa"/>
          </w:tcPr>
          <w:p w:rsidR="00654BC5" w:rsidRPr="00197AE4" w:rsidRDefault="00654BC5" w:rsidP="000C3CE8">
            <w:pPr>
              <w:spacing w:line="240" w:lineRule="auto"/>
              <w:jc w:val="right"/>
              <w:rPr>
                <w:rFonts w:ascii="Times New Roman" w:hAnsi="Times New Roman"/>
              </w:rPr>
            </w:pPr>
            <w:r>
              <w:rPr>
                <w:rFonts w:ascii="Times New Roman" w:hAnsi="Times New Roman"/>
              </w:rPr>
              <w:t>672</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10</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r>
              <w:rPr>
                <w:rFonts w:ascii="Times New Roman" w:hAnsi="Times New Roman"/>
              </w:rPr>
              <w:t>1</w:t>
            </w:r>
            <w:r w:rsidRPr="00197AE4">
              <w:rPr>
                <w:rFonts w:ascii="Times New Roman" w:hAnsi="Times New Roman"/>
              </w:rPr>
              <w:t>2</w:t>
            </w:r>
          </w:p>
        </w:tc>
      </w:tr>
      <w:tr w:rsidR="00654BC5" w:rsidRPr="00D35C1A" w:rsidTr="00F5421B">
        <w:tc>
          <w:tcPr>
            <w:tcW w:w="1980" w:type="dxa"/>
            <w:shd w:val="clear" w:color="auto" w:fill="FFFFFF"/>
          </w:tcPr>
          <w:p w:rsidR="00654BC5" w:rsidRPr="00197AE4" w:rsidRDefault="00654BC5" w:rsidP="000C3CE8">
            <w:pPr>
              <w:spacing w:line="240" w:lineRule="auto"/>
              <w:rPr>
                <w:rFonts w:ascii="Times New Roman" w:hAnsi="Times New Roman"/>
              </w:rPr>
            </w:pPr>
            <w:r w:rsidRPr="00197AE4">
              <w:rPr>
                <w:rFonts w:ascii="Times New Roman" w:hAnsi="Times New Roman"/>
              </w:rPr>
              <w:t>New and Existing Respondents - Proof of Continuous Professional or Business Liability Insurance Coverage (Copy and Mail)</w:t>
            </w:r>
            <w:r>
              <w:rPr>
                <w:rFonts w:ascii="Times New Roman" w:hAnsi="Times New Roman"/>
              </w:rPr>
              <w:t xml:space="preserve"> - 404.1717(a)(6); 416.1517(a)(6)</w:t>
            </w:r>
          </w:p>
        </w:tc>
        <w:tc>
          <w:tcPr>
            <w:tcW w:w="162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38</w:t>
            </w:r>
          </w:p>
        </w:tc>
        <w:tc>
          <w:tcPr>
            <w:tcW w:w="153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53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15</w:t>
            </w:r>
          </w:p>
        </w:tc>
        <w:tc>
          <w:tcPr>
            <w:tcW w:w="1620" w:type="dxa"/>
            <w:shd w:val="clear" w:color="auto" w:fill="FFFFFF"/>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10</w:t>
            </w:r>
          </w:p>
        </w:tc>
      </w:tr>
      <w:tr w:rsidR="00654BC5" w:rsidRPr="00D35C1A" w:rsidTr="00F5421B">
        <w:tc>
          <w:tcPr>
            <w:tcW w:w="1980" w:type="dxa"/>
          </w:tcPr>
          <w:p w:rsidR="00654BC5" w:rsidRPr="00197AE4" w:rsidRDefault="00654BC5" w:rsidP="000C3CE8">
            <w:pPr>
              <w:spacing w:line="240" w:lineRule="auto"/>
              <w:rPr>
                <w:rFonts w:ascii="Times New Roman" w:hAnsi="Times New Roman"/>
              </w:rPr>
            </w:pPr>
            <w:r w:rsidRPr="00197AE4">
              <w:rPr>
                <w:rFonts w:ascii="Times New Roman" w:hAnsi="Times New Roman"/>
              </w:rPr>
              <w:t>New and Existing Respondents - Written Protests</w:t>
            </w:r>
            <w:r>
              <w:rPr>
                <w:rFonts w:ascii="Times New Roman" w:hAnsi="Times New Roman"/>
              </w:rPr>
              <w:t xml:space="preserve"> – </w:t>
            </w:r>
            <w:r>
              <w:rPr>
                <w:rFonts w:ascii="Times New Roman" w:hAnsi="Times New Roman"/>
              </w:rPr>
              <w:lastRenderedPageBreak/>
              <w:t>404.1717(d); 416.1517(d)</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lastRenderedPageBreak/>
              <w:t>45</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1</w:t>
            </w:r>
          </w:p>
        </w:tc>
        <w:tc>
          <w:tcPr>
            <w:tcW w:w="153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45</w:t>
            </w:r>
          </w:p>
        </w:tc>
        <w:tc>
          <w:tcPr>
            <w:tcW w:w="1620" w:type="dxa"/>
          </w:tcPr>
          <w:p w:rsidR="00654BC5" w:rsidRPr="00197AE4" w:rsidRDefault="00654BC5" w:rsidP="000C3CE8">
            <w:pPr>
              <w:spacing w:line="240" w:lineRule="auto"/>
              <w:jc w:val="right"/>
              <w:rPr>
                <w:rFonts w:ascii="Times New Roman" w:hAnsi="Times New Roman"/>
              </w:rPr>
            </w:pPr>
            <w:r w:rsidRPr="00197AE4">
              <w:rPr>
                <w:rFonts w:ascii="Times New Roman" w:hAnsi="Times New Roman"/>
              </w:rPr>
              <w:t>34</w:t>
            </w:r>
          </w:p>
        </w:tc>
      </w:tr>
      <w:tr w:rsidR="00654BC5" w:rsidRPr="00067650" w:rsidTr="00F5421B">
        <w:tc>
          <w:tcPr>
            <w:tcW w:w="1980" w:type="dxa"/>
          </w:tcPr>
          <w:p w:rsidR="00654BC5" w:rsidRPr="00197AE4" w:rsidRDefault="00654BC5" w:rsidP="000C3CE8">
            <w:pPr>
              <w:spacing w:line="240" w:lineRule="auto"/>
              <w:rPr>
                <w:rFonts w:ascii="Times New Roman" w:hAnsi="Times New Roman"/>
                <w:b/>
              </w:rPr>
            </w:pPr>
            <w:r w:rsidRPr="00197AE4">
              <w:rPr>
                <w:rFonts w:ascii="Times New Roman" w:hAnsi="Times New Roman"/>
                <w:b/>
              </w:rPr>
              <w:lastRenderedPageBreak/>
              <w:t>Totals</w:t>
            </w:r>
          </w:p>
        </w:tc>
        <w:tc>
          <w:tcPr>
            <w:tcW w:w="1620" w:type="dxa"/>
          </w:tcPr>
          <w:p w:rsidR="00654BC5" w:rsidRPr="00197AE4" w:rsidRDefault="00654BC5" w:rsidP="000C3CE8">
            <w:pPr>
              <w:spacing w:line="240" w:lineRule="auto"/>
              <w:jc w:val="right"/>
              <w:rPr>
                <w:rFonts w:ascii="Times New Roman" w:hAnsi="Times New Roman"/>
                <w:b/>
              </w:rPr>
            </w:pPr>
            <w:r w:rsidRPr="00197AE4">
              <w:rPr>
                <w:rFonts w:ascii="Times New Roman" w:hAnsi="Times New Roman"/>
                <w:b/>
              </w:rPr>
              <w:t>2,0</w:t>
            </w:r>
            <w:r>
              <w:rPr>
                <w:rFonts w:ascii="Times New Roman" w:hAnsi="Times New Roman"/>
                <w:b/>
              </w:rPr>
              <w:t>65</w:t>
            </w:r>
          </w:p>
        </w:tc>
        <w:tc>
          <w:tcPr>
            <w:tcW w:w="1530" w:type="dxa"/>
          </w:tcPr>
          <w:p w:rsidR="00654BC5" w:rsidRPr="00197AE4" w:rsidRDefault="00654BC5" w:rsidP="000C3CE8">
            <w:pPr>
              <w:spacing w:line="240" w:lineRule="auto"/>
              <w:jc w:val="right"/>
              <w:rPr>
                <w:rFonts w:ascii="Times New Roman" w:hAnsi="Times New Roman"/>
                <w:b/>
              </w:rPr>
            </w:pPr>
          </w:p>
        </w:tc>
        <w:tc>
          <w:tcPr>
            <w:tcW w:w="1530" w:type="dxa"/>
          </w:tcPr>
          <w:p w:rsidR="00654BC5" w:rsidRPr="00197AE4" w:rsidRDefault="00654BC5" w:rsidP="000C3CE8">
            <w:pPr>
              <w:spacing w:line="240" w:lineRule="auto"/>
              <w:jc w:val="right"/>
              <w:rPr>
                <w:rFonts w:ascii="Times New Roman" w:hAnsi="Times New Roman"/>
                <w:b/>
              </w:rPr>
            </w:pPr>
          </w:p>
        </w:tc>
        <w:tc>
          <w:tcPr>
            <w:tcW w:w="1620" w:type="dxa"/>
          </w:tcPr>
          <w:p w:rsidR="00654BC5" w:rsidRPr="00197AE4" w:rsidRDefault="00654BC5" w:rsidP="000C3CE8">
            <w:pPr>
              <w:spacing w:line="240" w:lineRule="auto"/>
              <w:jc w:val="right"/>
              <w:rPr>
                <w:rFonts w:ascii="Times New Roman" w:hAnsi="Times New Roman"/>
                <w:b/>
              </w:rPr>
            </w:pPr>
            <w:r w:rsidRPr="00197AE4">
              <w:rPr>
                <w:rFonts w:ascii="Times New Roman" w:hAnsi="Times New Roman"/>
                <w:b/>
              </w:rPr>
              <w:t>9</w:t>
            </w:r>
            <w:r>
              <w:rPr>
                <w:rFonts w:ascii="Times New Roman" w:hAnsi="Times New Roman"/>
                <w:b/>
              </w:rPr>
              <w:t>76</w:t>
            </w:r>
          </w:p>
        </w:tc>
      </w:tr>
    </w:tbl>
    <w:p w:rsidR="00E82A93" w:rsidRPr="000E289D" w:rsidRDefault="00E82A93" w:rsidP="000C3CE8">
      <w:pPr>
        <w:pStyle w:val="ListParagraph"/>
        <w:spacing w:after="0" w:line="240" w:lineRule="auto"/>
        <w:rPr>
          <w:rFonts w:ascii="Times New Roman" w:hAnsi="Times New Roman" w:cs="Times New Roman"/>
          <w:bCs/>
          <w:sz w:val="24"/>
          <w:szCs w:val="24"/>
        </w:rPr>
      </w:pPr>
    </w:p>
    <w:p w:rsidR="00E82A93" w:rsidRPr="000E289D" w:rsidRDefault="00E82A93"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bCs/>
          <w:sz w:val="24"/>
          <w:szCs w:val="24"/>
        </w:rPr>
        <w:t>The total burden for this ICR is 976 hours.  This figure represents burden hours and we did not calculate a separate cost burden.</w:t>
      </w:r>
    </w:p>
    <w:p w:rsidR="00E82A93" w:rsidRPr="000E289D" w:rsidRDefault="00E82A93" w:rsidP="000C3CE8">
      <w:pPr>
        <w:pStyle w:val="ListParagraph"/>
        <w:spacing w:after="0" w:line="240" w:lineRule="auto"/>
        <w:rPr>
          <w:rFonts w:ascii="Times New Roman" w:hAnsi="Times New Roman" w:cs="Times New Roman"/>
          <w:b/>
          <w:sz w:val="24"/>
          <w:szCs w:val="24"/>
        </w:rPr>
      </w:pPr>
    </w:p>
    <w:p w:rsidR="00E82A93" w:rsidRPr="000E289D" w:rsidRDefault="000E289D"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Annual</w:t>
      </w:r>
      <w:r w:rsidRPr="000E289D">
        <w:rPr>
          <w:rFonts w:ascii="Times New Roman" w:hAnsi="Times New Roman" w:cs="Times New Roman"/>
          <w:sz w:val="24"/>
          <w:szCs w:val="24"/>
        </w:rPr>
        <w:t xml:space="preserve"> </w:t>
      </w:r>
      <w:r w:rsidRPr="000E289D">
        <w:rPr>
          <w:rFonts w:ascii="Times New Roman" w:hAnsi="Times New Roman" w:cs="Times New Roman"/>
          <w:b/>
          <w:sz w:val="24"/>
          <w:szCs w:val="24"/>
        </w:rPr>
        <w:t>Cost to the Respondents (Other)</w:t>
      </w:r>
    </w:p>
    <w:p w:rsidR="000E289D" w:rsidRPr="000E289D" w:rsidRDefault="000E289D"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This collection imposes a one-time application fee of $1000 per applicant.  Since we estimate approximately 200 applicants per year, the total annual cost to the applicants is $200,000.</w:t>
      </w:r>
    </w:p>
    <w:p w:rsidR="000E289D" w:rsidRPr="000E289D" w:rsidRDefault="000E289D" w:rsidP="000C3CE8">
      <w:pPr>
        <w:pStyle w:val="ListParagraph"/>
        <w:spacing w:after="0" w:line="240" w:lineRule="auto"/>
        <w:rPr>
          <w:rFonts w:ascii="Times New Roman" w:hAnsi="Times New Roman" w:cs="Times New Roman"/>
          <w:b/>
          <w:sz w:val="24"/>
          <w:szCs w:val="24"/>
        </w:rPr>
      </w:pPr>
    </w:p>
    <w:p w:rsidR="00E82A93" w:rsidRPr="000E289D" w:rsidRDefault="000E289D"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Annual Cost To Federal Government</w:t>
      </w:r>
    </w:p>
    <w:p w:rsidR="000E289D" w:rsidRPr="000E289D" w:rsidRDefault="000E289D"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The annual cost to the Federal Government is approximately $100,000.  This estimate is a projection of the cost of paying the contractor who is responsible for collecting the information and verifying respondents’ eligibility for non-attorneys to take the examination to become eligible for direct payment of fees.</w:t>
      </w:r>
    </w:p>
    <w:p w:rsidR="000E289D" w:rsidRPr="000E289D" w:rsidRDefault="000E289D" w:rsidP="000C3CE8">
      <w:pPr>
        <w:pStyle w:val="ListParagraph"/>
        <w:spacing w:after="0" w:line="240" w:lineRule="auto"/>
        <w:rPr>
          <w:rFonts w:ascii="Times New Roman" w:hAnsi="Times New Roman" w:cs="Times New Roman"/>
          <w:b/>
          <w:sz w:val="24"/>
          <w:szCs w:val="24"/>
        </w:rPr>
      </w:pPr>
    </w:p>
    <w:p w:rsidR="00E82A93" w:rsidRPr="000E289D" w:rsidRDefault="000E289D"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Program Changes or Adjustments to the Information Collection Request</w:t>
      </w:r>
    </w:p>
    <w:p w:rsidR="000E289D" w:rsidRPr="00C75B57" w:rsidRDefault="000E289D" w:rsidP="000C3CE8">
      <w:pPr>
        <w:pStyle w:val="ListParagraph"/>
        <w:tabs>
          <w:tab w:val="left" w:pos="1481"/>
        </w:tabs>
        <w:spacing w:after="0" w:line="240" w:lineRule="auto"/>
        <w:rPr>
          <w:rFonts w:ascii="Times New Roman" w:hAnsi="Times New Roman" w:cs="Times New Roman"/>
          <w:sz w:val="24"/>
          <w:szCs w:val="24"/>
        </w:rPr>
      </w:pPr>
      <w:r w:rsidRPr="000E289D">
        <w:rPr>
          <w:rFonts w:ascii="Times New Roman" w:hAnsi="Times New Roman" w:cs="Times New Roman"/>
          <w:sz w:val="24"/>
          <w:szCs w:val="24"/>
        </w:rPr>
        <w:t>There are no changes to the public reporting burden.</w:t>
      </w:r>
    </w:p>
    <w:p w:rsidR="000C3CE8" w:rsidRDefault="000C3CE8" w:rsidP="000C3CE8">
      <w:pPr>
        <w:pStyle w:val="ListParagraph"/>
        <w:spacing w:after="0" w:line="240" w:lineRule="auto"/>
        <w:rPr>
          <w:rFonts w:ascii="Times New Roman" w:hAnsi="Times New Roman" w:cs="Times New Roman"/>
          <w:b/>
          <w:sz w:val="24"/>
          <w:szCs w:val="24"/>
        </w:rPr>
      </w:pPr>
    </w:p>
    <w:p w:rsidR="00E82A93" w:rsidRPr="000E289D" w:rsidRDefault="000E289D"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Plans for Publication Information Collection Results</w:t>
      </w:r>
    </w:p>
    <w:p w:rsidR="000E289D" w:rsidRPr="000E289D" w:rsidRDefault="000E289D"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bCs/>
          <w:iCs/>
          <w:sz w:val="24"/>
          <w:szCs w:val="24"/>
        </w:rPr>
        <w:t>SSA will not publish the results of the information collection.</w:t>
      </w:r>
    </w:p>
    <w:p w:rsidR="000E289D" w:rsidRPr="000E289D" w:rsidRDefault="000E289D" w:rsidP="000C3CE8">
      <w:pPr>
        <w:pStyle w:val="ListParagraph"/>
        <w:spacing w:after="0" w:line="240" w:lineRule="auto"/>
        <w:rPr>
          <w:rFonts w:ascii="Times New Roman" w:hAnsi="Times New Roman" w:cs="Times New Roman"/>
          <w:b/>
          <w:sz w:val="24"/>
          <w:szCs w:val="24"/>
        </w:rPr>
      </w:pPr>
    </w:p>
    <w:p w:rsidR="00E82A93" w:rsidRPr="000E289D" w:rsidRDefault="000E289D"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Displaying the OMB Approval Expiration Date</w:t>
      </w:r>
    </w:p>
    <w:p w:rsidR="000E289D" w:rsidRPr="000E289D" w:rsidRDefault="000E289D" w:rsidP="000C3CE8">
      <w:pPr>
        <w:pStyle w:val="ListParagraph"/>
        <w:spacing w:after="0" w:line="240" w:lineRule="auto"/>
        <w:rPr>
          <w:rFonts w:ascii="Times New Roman" w:hAnsi="Times New Roman" w:cs="Times New Roman"/>
          <w:b/>
          <w:sz w:val="24"/>
          <w:szCs w:val="24"/>
        </w:rPr>
      </w:pPr>
      <w:r w:rsidRPr="000E289D">
        <w:rPr>
          <w:rFonts w:ascii="Times New Roman" w:hAnsi="Times New Roman" w:cs="Times New Roman"/>
          <w:sz w:val="24"/>
          <w:szCs w:val="24"/>
        </w:rPr>
        <w:t>SSA is not requesting an exception to the requirement to display an expiration date</w:t>
      </w:r>
      <w:r w:rsidRPr="000E289D">
        <w:rPr>
          <w:rFonts w:ascii="Times New Roman" w:hAnsi="Times New Roman" w:cs="Times New Roman"/>
          <w:bCs/>
          <w:iCs/>
          <w:sz w:val="24"/>
          <w:szCs w:val="24"/>
        </w:rPr>
        <w:t>.</w:t>
      </w:r>
    </w:p>
    <w:p w:rsidR="000E289D" w:rsidRPr="000E289D" w:rsidRDefault="000E289D" w:rsidP="000C3CE8">
      <w:pPr>
        <w:pStyle w:val="ListParagraph"/>
        <w:spacing w:after="0" w:line="240" w:lineRule="auto"/>
        <w:rPr>
          <w:rFonts w:ascii="Times New Roman" w:hAnsi="Times New Roman" w:cs="Times New Roman"/>
          <w:b/>
          <w:sz w:val="24"/>
          <w:szCs w:val="24"/>
        </w:rPr>
      </w:pPr>
    </w:p>
    <w:p w:rsidR="00E82A93" w:rsidRPr="000E289D" w:rsidRDefault="000E289D" w:rsidP="000C3CE8">
      <w:pPr>
        <w:pStyle w:val="ListParagraph"/>
        <w:numPr>
          <w:ilvl w:val="0"/>
          <w:numId w:val="2"/>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rPr>
        <w:t>Exceptions to Certification Statement</w:t>
      </w:r>
    </w:p>
    <w:p w:rsidR="000E289D" w:rsidRPr="000E289D" w:rsidRDefault="000E289D" w:rsidP="000C3CE8">
      <w:pPr>
        <w:pStyle w:val="ListParagraph"/>
        <w:spacing w:after="0" w:line="240" w:lineRule="auto"/>
        <w:rPr>
          <w:rFonts w:ascii="Times New Roman" w:hAnsi="Times New Roman" w:cs="Times New Roman"/>
          <w:sz w:val="24"/>
          <w:szCs w:val="24"/>
        </w:rPr>
      </w:pPr>
      <w:r w:rsidRPr="000E289D">
        <w:rPr>
          <w:rFonts w:ascii="Times New Roman" w:hAnsi="Times New Roman" w:cs="Times New Roman"/>
          <w:sz w:val="24"/>
          <w:szCs w:val="24"/>
        </w:rPr>
        <w:t xml:space="preserve">SSA is not requesting an exception to the certification requirements at </w:t>
      </w:r>
      <w:r w:rsidRPr="000E289D">
        <w:rPr>
          <w:rFonts w:ascii="Times New Roman" w:hAnsi="Times New Roman" w:cs="Times New Roman"/>
          <w:i/>
          <w:sz w:val="24"/>
          <w:szCs w:val="24"/>
        </w:rPr>
        <w:t>5 CFR 1320.9</w:t>
      </w:r>
      <w:r w:rsidRPr="000E289D">
        <w:rPr>
          <w:rFonts w:ascii="Times New Roman" w:hAnsi="Times New Roman" w:cs="Times New Roman"/>
          <w:sz w:val="24"/>
          <w:szCs w:val="24"/>
        </w:rPr>
        <w:t xml:space="preserve"> and related provisions at </w:t>
      </w:r>
      <w:r w:rsidRPr="000E289D">
        <w:rPr>
          <w:rFonts w:ascii="Times New Roman" w:hAnsi="Times New Roman" w:cs="Times New Roman"/>
          <w:i/>
          <w:sz w:val="24"/>
          <w:szCs w:val="24"/>
        </w:rPr>
        <w:t>5 CFR 1320.8(b</w:t>
      </w:r>
      <w:proofErr w:type="gramStart"/>
      <w:r w:rsidRPr="000E289D">
        <w:rPr>
          <w:rFonts w:ascii="Times New Roman" w:hAnsi="Times New Roman" w:cs="Times New Roman"/>
          <w:i/>
          <w:sz w:val="24"/>
          <w:szCs w:val="24"/>
        </w:rPr>
        <w:t>)(</w:t>
      </w:r>
      <w:proofErr w:type="gramEnd"/>
      <w:r w:rsidRPr="000E289D">
        <w:rPr>
          <w:rFonts w:ascii="Times New Roman" w:hAnsi="Times New Roman" w:cs="Times New Roman"/>
          <w:i/>
          <w:sz w:val="24"/>
          <w:szCs w:val="24"/>
        </w:rPr>
        <w:t>3).</w:t>
      </w:r>
    </w:p>
    <w:p w:rsidR="00E82A93" w:rsidRPr="000E289D" w:rsidRDefault="00E82A93" w:rsidP="000C3CE8">
      <w:pPr>
        <w:pStyle w:val="ListParagraph"/>
        <w:spacing w:after="0" w:line="240" w:lineRule="auto"/>
        <w:rPr>
          <w:rFonts w:ascii="Times New Roman" w:hAnsi="Times New Roman" w:cs="Times New Roman"/>
          <w:b/>
          <w:sz w:val="24"/>
          <w:szCs w:val="24"/>
        </w:rPr>
      </w:pPr>
    </w:p>
    <w:p w:rsidR="00990BC8" w:rsidRPr="000E289D" w:rsidRDefault="00990BC8" w:rsidP="000C3CE8">
      <w:pPr>
        <w:pStyle w:val="ListParagraph"/>
        <w:numPr>
          <w:ilvl w:val="0"/>
          <w:numId w:val="1"/>
        </w:numPr>
        <w:spacing w:after="0" w:line="240" w:lineRule="auto"/>
        <w:rPr>
          <w:rFonts w:ascii="Times New Roman" w:hAnsi="Times New Roman" w:cs="Times New Roman"/>
          <w:b/>
          <w:sz w:val="24"/>
          <w:szCs w:val="24"/>
        </w:rPr>
      </w:pPr>
      <w:r w:rsidRPr="000E289D">
        <w:rPr>
          <w:rFonts w:ascii="Times New Roman" w:hAnsi="Times New Roman" w:cs="Times New Roman"/>
          <w:b/>
          <w:sz w:val="24"/>
          <w:szCs w:val="24"/>
          <w:u w:val="single"/>
        </w:rPr>
        <w:t>Collection of Information Employing Statistical Methods</w:t>
      </w:r>
    </w:p>
    <w:p w:rsidR="000E289D" w:rsidRPr="000E289D" w:rsidRDefault="000E289D" w:rsidP="000C3CE8">
      <w:pPr>
        <w:pStyle w:val="ListParagraph"/>
        <w:spacing w:after="0" w:line="240" w:lineRule="auto"/>
        <w:ind w:left="360"/>
        <w:rPr>
          <w:rFonts w:ascii="Times New Roman" w:hAnsi="Times New Roman" w:cs="Times New Roman"/>
          <w:b/>
          <w:sz w:val="24"/>
          <w:szCs w:val="24"/>
          <w:u w:val="single"/>
        </w:rPr>
      </w:pPr>
    </w:p>
    <w:p w:rsidR="000E289D" w:rsidRPr="000E289D" w:rsidRDefault="000E289D" w:rsidP="000C3CE8">
      <w:pPr>
        <w:pStyle w:val="ListParagraph"/>
        <w:spacing w:after="0" w:line="240" w:lineRule="auto"/>
        <w:ind w:left="360" w:firstLine="360"/>
        <w:rPr>
          <w:rFonts w:ascii="Times New Roman" w:hAnsi="Times New Roman" w:cs="Times New Roman"/>
          <w:b/>
          <w:sz w:val="24"/>
          <w:szCs w:val="24"/>
        </w:rPr>
      </w:pPr>
      <w:r w:rsidRPr="000E289D">
        <w:rPr>
          <w:rFonts w:ascii="Times New Roman" w:hAnsi="Times New Roman" w:cs="Times New Roman"/>
          <w:sz w:val="24"/>
          <w:szCs w:val="24"/>
        </w:rPr>
        <w:t>SSA does not use statistical methods for this information collection.</w:t>
      </w:r>
    </w:p>
    <w:p w:rsidR="00990BC8" w:rsidRPr="00990BC8" w:rsidRDefault="00990BC8" w:rsidP="000C3CE8">
      <w:pPr>
        <w:spacing w:after="0" w:line="240" w:lineRule="auto"/>
        <w:jc w:val="center"/>
        <w:rPr>
          <w:rFonts w:ascii="Times New Roman" w:hAnsi="Times New Roman" w:cs="Times New Roman"/>
          <w:b/>
          <w:sz w:val="24"/>
          <w:szCs w:val="24"/>
        </w:rPr>
      </w:pPr>
    </w:p>
    <w:sectPr w:rsidR="00990BC8" w:rsidRPr="00990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D58"/>
    <w:multiLevelType w:val="hybridMultilevel"/>
    <w:tmpl w:val="6A5E358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3494426"/>
    <w:multiLevelType w:val="hybridMultilevel"/>
    <w:tmpl w:val="3616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940AD"/>
    <w:multiLevelType w:val="hybridMultilevel"/>
    <w:tmpl w:val="02246038"/>
    <w:lvl w:ilvl="0" w:tplc="6F989E1E">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087652"/>
    <w:multiLevelType w:val="hybridMultilevel"/>
    <w:tmpl w:val="56743062"/>
    <w:lvl w:ilvl="0" w:tplc="FED28D6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25A542D"/>
    <w:multiLevelType w:val="hybridMultilevel"/>
    <w:tmpl w:val="F1EC9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8B0B2B"/>
    <w:multiLevelType w:val="hybridMultilevel"/>
    <w:tmpl w:val="54CE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BE7C9D"/>
    <w:multiLevelType w:val="hybridMultilevel"/>
    <w:tmpl w:val="CADE2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C8"/>
    <w:rsid w:val="000C3CE8"/>
    <w:rsid w:val="000E289D"/>
    <w:rsid w:val="001E1E0A"/>
    <w:rsid w:val="0050097B"/>
    <w:rsid w:val="00522892"/>
    <w:rsid w:val="00627F96"/>
    <w:rsid w:val="00654BC5"/>
    <w:rsid w:val="00751B1E"/>
    <w:rsid w:val="0076319A"/>
    <w:rsid w:val="00990BC8"/>
    <w:rsid w:val="00A37BCF"/>
    <w:rsid w:val="00A7225A"/>
    <w:rsid w:val="00AB0614"/>
    <w:rsid w:val="00B836EE"/>
    <w:rsid w:val="00BA6FFF"/>
    <w:rsid w:val="00C2454D"/>
    <w:rsid w:val="00C75B57"/>
    <w:rsid w:val="00DB174D"/>
    <w:rsid w:val="00E82A93"/>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C8"/>
    <w:pPr>
      <w:ind w:left="720"/>
      <w:contextualSpacing/>
    </w:pPr>
  </w:style>
  <w:style w:type="paragraph" w:styleId="Header">
    <w:name w:val="header"/>
    <w:basedOn w:val="Normal"/>
    <w:link w:val="HeaderChar"/>
    <w:rsid w:val="00990BC8"/>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90BC8"/>
    <w:rPr>
      <w:rFonts w:ascii="Courier" w:eastAsia="Times New Roman" w:hAnsi="Courier" w:cs="Times New Roman"/>
      <w:snapToGrid w:val="0"/>
      <w:sz w:val="24"/>
      <w:szCs w:val="24"/>
    </w:rPr>
  </w:style>
  <w:style w:type="character" w:styleId="CommentReference">
    <w:name w:val="annotation reference"/>
    <w:basedOn w:val="DefaultParagraphFont"/>
    <w:uiPriority w:val="99"/>
    <w:semiHidden/>
    <w:unhideWhenUsed/>
    <w:rsid w:val="00522892"/>
    <w:rPr>
      <w:sz w:val="16"/>
      <w:szCs w:val="16"/>
    </w:rPr>
  </w:style>
  <w:style w:type="paragraph" w:styleId="CommentText">
    <w:name w:val="annotation text"/>
    <w:basedOn w:val="Normal"/>
    <w:link w:val="CommentTextChar"/>
    <w:uiPriority w:val="99"/>
    <w:semiHidden/>
    <w:unhideWhenUsed/>
    <w:rsid w:val="00522892"/>
    <w:pPr>
      <w:spacing w:line="240" w:lineRule="auto"/>
    </w:pPr>
    <w:rPr>
      <w:sz w:val="20"/>
      <w:szCs w:val="20"/>
    </w:rPr>
  </w:style>
  <w:style w:type="character" w:customStyle="1" w:styleId="CommentTextChar">
    <w:name w:val="Comment Text Char"/>
    <w:basedOn w:val="DefaultParagraphFont"/>
    <w:link w:val="CommentText"/>
    <w:uiPriority w:val="99"/>
    <w:semiHidden/>
    <w:rsid w:val="00522892"/>
    <w:rPr>
      <w:sz w:val="20"/>
      <w:szCs w:val="20"/>
    </w:rPr>
  </w:style>
  <w:style w:type="paragraph" w:styleId="CommentSubject">
    <w:name w:val="annotation subject"/>
    <w:basedOn w:val="CommentText"/>
    <w:next w:val="CommentText"/>
    <w:link w:val="CommentSubjectChar"/>
    <w:uiPriority w:val="99"/>
    <w:semiHidden/>
    <w:unhideWhenUsed/>
    <w:rsid w:val="00522892"/>
    <w:rPr>
      <w:b/>
      <w:bCs/>
    </w:rPr>
  </w:style>
  <w:style w:type="character" w:customStyle="1" w:styleId="CommentSubjectChar">
    <w:name w:val="Comment Subject Char"/>
    <w:basedOn w:val="CommentTextChar"/>
    <w:link w:val="CommentSubject"/>
    <w:uiPriority w:val="99"/>
    <w:semiHidden/>
    <w:rsid w:val="00522892"/>
    <w:rPr>
      <w:b/>
      <w:bCs/>
      <w:sz w:val="20"/>
      <w:szCs w:val="20"/>
    </w:rPr>
  </w:style>
  <w:style w:type="paragraph" w:styleId="Revision">
    <w:name w:val="Revision"/>
    <w:hidden/>
    <w:uiPriority w:val="99"/>
    <w:semiHidden/>
    <w:rsid w:val="00522892"/>
    <w:pPr>
      <w:spacing w:after="0" w:line="240" w:lineRule="auto"/>
    </w:pPr>
  </w:style>
  <w:style w:type="paragraph" w:styleId="BalloonText">
    <w:name w:val="Balloon Text"/>
    <w:basedOn w:val="Normal"/>
    <w:link w:val="BalloonTextChar"/>
    <w:uiPriority w:val="99"/>
    <w:semiHidden/>
    <w:unhideWhenUsed/>
    <w:rsid w:val="00522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C8"/>
    <w:pPr>
      <w:ind w:left="720"/>
      <w:contextualSpacing/>
    </w:pPr>
  </w:style>
  <w:style w:type="paragraph" w:styleId="Header">
    <w:name w:val="header"/>
    <w:basedOn w:val="Normal"/>
    <w:link w:val="HeaderChar"/>
    <w:rsid w:val="00990BC8"/>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90BC8"/>
    <w:rPr>
      <w:rFonts w:ascii="Courier" w:eastAsia="Times New Roman" w:hAnsi="Courier" w:cs="Times New Roman"/>
      <w:snapToGrid w:val="0"/>
      <w:sz w:val="24"/>
      <w:szCs w:val="24"/>
    </w:rPr>
  </w:style>
  <w:style w:type="character" w:styleId="CommentReference">
    <w:name w:val="annotation reference"/>
    <w:basedOn w:val="DefaultParagraphFont"/>
    <w:uiPriority w:val="99"/>
    <w:semiHidden/>
    <w:unhideWhenUsed/>
    <w:rsid w:val="00522892"/>
    <w:rPr>
      <w:sz w:val="16"/>
      <w:szCs w:val="16"/>
    </w:rPr>
  </w:style>
  <w:style w:type="paragraph" w:styleId="CommentText">
    <w:name w:val="annotation text"/>
    <w:basedOn w:val="Normal"/>
    <w:link w:val="CommentTextChar"/>
    <w:uiPriority w:val="99"/>
    <w:semiHidden/>
    <w:unhideWhenUsed/>
    <w:rsid w:val="00522892"/>
    <w:pPr>
      <w:spacing w:line="240" w:lineRule="auto"/>
    </w:pPr>
    <w:rPr>
      <w:sz w:val="20"/>
      <w:szCs w:val="20"/>
    </w:rPr>
  </w:style>
  <w:style w:type="character" w:customStyle="1" w:styleId="CommentTextChar">
    <w:name w:val="Comment Text Char"/>
    <w:basedOn w:val="DefaultParagraphFont"/>
    <w:link w:val="CommentText"/>
    <w:uiPriority w:val="99"/>
    <w:semiHidden/>
    <w:rsid w:val="00522892"/>
    <w:rPr>
      <w:sz w:val="20"/>
      <w:szCs w:val="20"/>
    </w:rPr>
  </w:style>
  <w:style w:type="paragraph" w:styleId="CommentSubject">
    <w:name w:val="annotation subject"/>
    <w:basedOn w:val="CommentText"/>
    <w:next w:val="CommentText"/>
    <w:link w:val="CommentSubjectChar"/>
    <w:uiPriority w:val="99"/>
    <w:semiHidden/>
    <w:unhideWhenUsed/>
    <w:rsid w:val="00522892"/>
    <w:rPr>
      <w:b/>
      <w:bCs/>
    </w:rPr>
  </w:style>
  <w:style w:type="character" w:customStyle="1" w:styleId="CommentSubjectChar">
    <w:name w:val="Comment Subject Char"/>
    <w:basedOn w:val="CommentTextChar"/>
    <w:link w:val="CommentSubject"/>
    <w:uiPriority w:val="99"/>
    <w:semiHidden/>
    <w:rsid w:val="00522892"/>
    <w:rPr>
      <w:b/>
      <w:bCs/>
      <w:sz w:val="20"/>
      <w:szCs w:val="20"/>
    </w:rPr>
  </w:style>
  <w:style w:type="paragraph" w:styleId="Revision">
    <w:name w:val="Revision"/>
    <w:hidden/>
    <w:uiPriority w:val="99"/>
    <w:semiHidden/>
    <w:rsid w:val="00522892"/>
    <w:pPr>
      <w:spacing w:after="0" w:line="240" w:lineRule="auto"/>
    </w:pPr>
  </w:style>
  <w:style w:type="paragraph" w:styleId="BalloonText">
    <w:name w:val="Balloon Text"/>
    <w:basedOn w:val="Normal"/>
    <w:link w:val="BalloonTextChar"/>
    <w:uiPriority w:val="99"/>
    <w:semiHidden/>
    <w:unhideWhenUsed/>
    <w:rsid w:val="00522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8</cp:revision>
  <dcterms:created xsi:type="dcterms:W3CDTF">2014-03-14T17:47:00Z</dcterms:created>
  <dcterms:modified xsi:type="dcterms:W3CDTF">2014-05-29T18:26:00Z</dcterms:modified>
</cp:coreProperties>
</file>