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E7" w:rsidRDefault="00723EE7" w:rsidP="009F1037">
      <w:pPr>
        <w:pStyle w:val="Heading1Black"/>
        <w:rPr>
          <w:rFonts w:ascii="Garamond" w:hAnsi="Garamond" w:cs="Arial"/>
          <w:sz w:val="28"/>
          <w:szCs w:val="28"/>
        </w:rPr>
      </w:pPr>
    </w:p>
    <w:p w:rsidR="00E034D0" w:rsidRPr="009F1037" w:rsidRDefault="00E034D0" w:rsidP="009F1037">
      <w:pPr>
        <w:pStyle w:val="Heading1Black"/>
        <w:rPr>
          <w:rFonts w:ascii="Garamond" w:hAnsi="Garamond" w:cs="Arial"/>
          <w:sz w:val="28"/>
          <w:szCs w:val="28"/>
        </w:rPr>
      </w:pPr>
      <w:bookmarkStart w:id="0" w:name="_Toc291497935"/>
      <w:r w:rsidRPr="009F1037">
        <w:rPr>
          <w:rFonts w:ascii="Garamond" w:hAnsi="Garamond" w:cs="Arial"/>
          <w:sz w:val="28"/>
          <w:szCs w:val="28"/>
        </w:rPr>
        <w:t>SUPPORTING STATEMENT</w:t>
      </w:r>
      <w:bookmarkEnd w:id="0"/>
    </w:p>
    <w:p w:rsidR="00E034D0" w:rsidRPr="009F1037" w:rsidRDefault="00E034D0" w:rsidP="009F1037">
      <w:pPr>
        <w:pStyle w:val="Heading1Black"/>
        <w:rPr>
          <w:rFonts w:ascii="Garamond" w:hAnsi="Garamond" w:cs="Arial"/>
          <w:sz w:val="28"/>
          <w:szCs w:val="28"/>
        </w:rPr>
      </w:pPr>
    </w:p>
    <w:p w:rsidR="00E034D0" w:rsidRPr="009F1037" w:rsidRDefault="00FB1BE4" w:rsidP="009F1037">
      <w:pPr>
        <w:pStyle w:val="Heading1Black"/>
        <w:rPr>
          <w:rFonts w:ascii="Garamond" w:hAnsi="Garamond" w:cs="Arial"/>
          <w:sz w:val="28"/>
          <w:szCs w:val="28"/>
        </w:rPr>
      </w:pPr>
      <w:bookmarkStart w:id="1" w:name="_Toc291497936"/>
      <w:r w:rsidRPr="009F1037">
        <w:rPr>
          <w:rFonts w:ascii="Garamond" w:hAnsi="Garamond" w:cs="Arial"/>
          <w:caps w:val="0"/>
          <w:sz w:val="28"/>
          <w:szCs w:val="28"/>
        </w:rPr>
        <w:t>Part B</w:t>
      </w:r>
      <w:bookmarkEnd w:id="1"/>
    </w:p>
    <w:p w:rsidR="00E034D0" w:rsidRPr="009F1037" w:rsidRDefault="00E034D0" w:rsidP="009F1037">
      <w:pPr>
        <w:pStyle w:val="Heading1Black"/>
        <w:rPr>
          <w:rFonts w:ascii="Garamond" w:hAnsi="Garamond" w:cs="Arial"/>
          <w:sz w:val="28"/>
          <w:szCs w:val="28"/>
        </w:rPr>
      </w:pPr>
    </w:p>
    <w:p w:rsidR="00E034D0" w:rsidRPr="009F1037" w:rsidRDefault="00E034D0" w:rsidP="009F1037">
      <w:pPr>
        <w:pStyle w:val="Heading1Black"/>
        <w:rPr>
          <w:rFonts w:ascii="Garamond" w:hAnsi="Garamond" w:cs="Arial"/>
          <w:sz w:val="28"/>
          <w:szCs w:val="28"/>
        </w:rPr>
      </w:pPr>
    </w:p>
    <w:p w:rsidR="00E034D0" w:rsidRPr="009F1037" w:rsidRDefault="00E034D0" w:rsidP="009F1037">
      <w:pPr>
        <w:pStyle w:val="Heading1Black"/>
        <w:rPr>
          <w:rFonts w:ascii="Garamond" w:hAnsi="Garamond" w:cs="Arial"/>
          <w:sz w:val="28"/>
          <w:szCs w:val="28"/>
        </w:rPr>
      </w:pPr>
    </w:p>
    <w:p w:rsidR="00E034D0" w:rsidRPr="009F1037" w:rsidRDefault="00E034D0" w:rsidP="009F1037">
      <w:pPr>
        <w:pStyle w:val="Heading1Black"/>
        <w:rPr>
          <w:rFonts w:ascii="Garamond" w:hAnsi="Garamond" w:cs="Arial"/>
          <w:sz w:val="28"/>
          <w:szCs w:val="28"/>
        </w:rPr>
      </w:pPr>
    </w:p>
    <w:p w:rsidR="00E034D0" w:rsidRPr="009F1037" w:rsidRDefault="00FB1BE4" w:rsidP="009F1037">
      <w:pPr>
        <w:pStyle w:val="Heading1Black"/>
        <w:rPr>
          <w:rFonts w:ascii="Garamond" w:hAnsi="Garamond" w:cs="Arial"/>
          <w:sz w:val="28"/>
          <w:szCs w:val="28"/>
        </w:rPr>
      </w:pPr>
      <w:bookmarkStart w:id="2" w:name="_Toc291497937"/>
      <w:r w:rsidRPr="009F1037">
        <w:rPr>
          <w:rFonts w:ascii="Garamond" w:hAnsi="Garamond" w:cs="Arial"/>
          <w:caps w:val="0"/>
          <w:sz w:val="28"/>
          <w:szCs w:val="28"/>
        </w:rPr>
        <w:t>Evaluation of the Children’s Health Insurance Program Reauthorization Act of 2009 (CHIPRA) Quality Demonstration Grant Program</w:t>
      </w:r>
      <w:bookmarkEnd w:id="2"/>
    </w:p>
    <w:p w:rsidR="009F1037" w:rsidRPr="009F1037" w:rsidRDefault="009F1037" w:rsidP="009F1037">
      <w:pPr>
        <w:jc w:val="center"/>
        <w:rPr>
          <w:b/>
        </w:rPr>
      </w:pPr>
      <w:r w:rsidRPr="0040199F">
        <w:rPr>
          <w:b/>
          <w:highlight w:val="yellow"/>
        </w:rPr>
        <w:t>OMB# 0935-0190</w:t>
      </w:r>
    </w:p>
    <w:p w:rsidR="00E034D0" w:rsidRPr="009F1037" w:rsidRDefault="00E034D0" w:rsidP="009F1037">
      <w:pPr>
        <w:pStyle w:val="Heading1Black"/>
        <w:rPr>
          <w:rFonts w:ascii="Garamond" w:hAnsi="Garamond" w:cs="Arial"/>
          <w:sz w:val="28"/>
          <w:szCs w:val="28"/>
        </w:rPr>
      </w:pPr>
    </w:p>
    <w:p w:rsidR="00E034D0" w:rsidRPr="009F1037" w:rsidRDefault="00E034D0" w:rsidP="009F1037">
      <w:pPr>
        <w:pStyle w:val="Heading1Black"/>
        <w:rPr>
          <w:rFonts w:ascii="Garamond" w:hAnsi="Garamond" w:cs="Arial"/>
          <w:sz w:val="28"/>
          <w:szCs w:val="28"/>
        </w:rPr>
      </w:pPr>
    </w:p>
    <w:p w:rsidR="0040199F" w:rsidRDefault="0040199F" w:rsidP="0040199F">
      <w:pPr>
        <w:pStyle w:val="Heading1Black"/>
        <w:rPr>
          <w:rFonts w:ascii="Garamond" w:hAnsi="Garamond"/>
          <w:b w:val="0"/>
          <w:caps w:val="0"/>
          <w:sz w:val="28"/>
          <w:szCs w:val="28"/>
        </w:rPr>
      </w:pPr>
      <w:bookmarkStart w:id="3" w:name="_Toc291509280"/>
      <w:r w:rsidRPr="007C68A8">
        <w:rPr>
          <w:rFonts w:ascii="Garamond" w:hAnsi="Garamond"/>
          <w:b w:val="0"/>
          <w:caps w:val="0"/>
          <w:sz w:val="28"/>
          <w:szCs w:val="28"/>
          <w:highlight w:val="yellow"/>
        </w:rPr>
        <w:t>Version: February 1</w:t>
      </w:r>
      <w:r>
        <w:rPr>
          <w:rFonts w:ascii="Garamond" w:hAnsi="Garamond"/>
          <w:b w:val="0"/>
          <w:caps w:val="0"/>
          <w:sz w:val="28"/>
          <w:szCs w:val="28"/>
          <w:highlight w:val="yellow"/>
        </w:rPr>
        <w:t>2</w:t>
      </w:r>
      <w:r w:rsidRPr="007C68A8">
        <w:rPr>
          <w:rFonts w:ascii="Garamond" w:hAnsi="Garamond"/>
          <w:b w:val="0"/>
          <w:caps w:val="0"/>
          <w:sz w:val="28"/>
          <w:szCs w:val="28"/>
          <w:highlight w:val="yellow"/>
        </w:rPr>
        <w:t xml:space="preserve">, </w:t>
      </w:r>
      <w:bookmarkEnd w:id="3"/>
      <w:r w:rsidRPr="007C68A8">
        <w:rPr>
          <w:rFonts w:ascii="Garamond" w:hAnsi="Garamond"/>
          <w:b w:val="0"/>
          <w:caps w:val="0"/>
          <w:sz w:val="28"/>
          <w:szCs w:val="28"/>
          <w:highlight w:val="yellow"/>
        </w:rPr>
        <w:t>2014</w:t>
      </w:r>
    </w:p>
    <w:p w:rsidR="0040199F" w:rsidRDefault="0040199F" w:rsidP="0040199F">
      <w:pPr>
        <w:jc w:val="center"/>
        <w:rPr>
          <w:b/>
        </w:rPr>
      </w:pPr>
      <w:r w:rsidRPr="007C68A8">
        <w:rPr>
          <w:highlight w:val="yellow"/>
        </w:rPr>
        <w:t>Revision of Previously Approved Protocol #0935-0190</w:t>
      </w:r>
    </w:p>
    <w:p w:rsidR="00E52A13" w:rsidRDefault="00FB1BE4">
      <w:pPr>
        <w:pStyle w:val="Heading1Black"/>
        <w:rPr>
          <w:rFonts w:ascii="Garamond" w:hAnsi="Garamond" w:cs="Arial"/>
          <w:b w:val="0"/>
          <w:sz w:val="28"/>
          <w:szCs w:val="28"/>
        </w:rPr>
      </w:pPr>
      <w:bookmarkStart w:id="4" w:name="_Toc291497939"/>
      <w:r w:rsidRPr="009F1037">
        <w:rPr>
          <w:rFonts w:ascii="Garamond" w:hAnsi="Garamond" w:cs="Arial"/>
          <w:b w:val="0"/>
          <w:caps w:val="0"/>
          <w:sz w:val="28"/>
          <w:szCs w:val="28"/>
        </w:rPr>
        <w:t>Agency of Healthcare Research and Quality (AHRQ)</w:t>
      </w:r>
      <w:bookmarkEnd w:id="4"/>
    </w:p>
    <w:p w:rsidR="00E52A13" w:rsidRDefault="00E52A13" w:rsidP="009F1037">
      <w:pPr>
        <w:tabs>
          <w:tab w:val="clear" w:pos="432"/>
        </w:tabs>
        <w:spacing w:line="240" w:lineRule="auto"/>
        <w:ind w:firstLine="0"/>
        <w:jc w:val="left"/>
        <w:sectPr w:rsidR="00E52A13" w:rsidSect="007C0CD8">
          <w:endnotePr>
            <w:numFmt w:val="decimal"/>
          </w:endnotePr>
          <w:pgSz w:w="12240" w:h="15840" w:code="1"/>
          <w:pgMar w:top="1440" w:right="1440" w:bottom="576" w:left="1440" w:header="720" w:footer="576" w:gutter="0"/>
          <w:cols w:space="720"/>
          <w:docGrid w:linePitch="326"/>
        </w:sectPr>
      </w:pPr>
    </w:p>
    <w:p w:rsidR="00E52A13" w:rsidRDefault="00EE029A">
      <w:pPr>
        <w:pStyle w:val="Heading1Black"/>
        <w:rPr>
          <w:rFonts w:ascii="Arial" w:hAnsi="Arial" w:cs="Arial"/>
        </w:rPr>
      </w:pPr>
      <w:bookmarkStart w:id="5" w:name="_Toc291497940"/>
      <w:r>
        <w:rPr>
          <w:rFonts w:ascii="Arial" w:hAnsi="Arial" w:cs="Arial"/>
        </w:rPr>
        <w:lastRenderedPageBreak/>
        <w:t>TABLE OF CONTENTS</w:t>
      </w:r>
      <w:bookmarkEnd w:id="5"/>
      <w:r w:rsidR="00971775" w:rsidRPr="009F1037">
        <w:rPr>
          <w:rFonts w:ascii="Arial" w:hAnsi="Arial" w:cs="Arial"/>
        </w:rPr>
        <w:fldChar w:fldCharType="begin"/>
      </w:r>
      <w:r>
        <w:rPr>
          <w:rFonts w:ascii="Arial" w:hAnsi="Arial" w:cs="Arial"/>
        </w:rPr>
        <w:instrText xml:space="preserve"> TOC \o "1-3" \z \t "Heading 1_Black,1,Heading 1_Red,1,Heading 1_Blue,1,Heading 2_Black,2,Heading 2_Red,2,Heading 2_Blue,2,Mark for Appendix Heading_Black,1,Mark for Appendix Heading_Blue,1,Mark for Appendix Heading_Red,1" </w:instrText>
      </w:r>
      <w:r w:rsidR="00971775" w:rsidRPr="009F1037">
        <w:rPr>
          <w:rFonts w:ascii="Arial" w:hAnsi="Arial" w:cs="Arial"/>
        </w:rPr>
        <w:fldChar w:fldCharType="separate"/>
      </w:r>
    </w:p>
    <w:p w:rsidR="00723EE7" w:rsidRPr="009F1037" w:rsidRDefault="00723EE7" w:rsidP="009F1037">
      <w:pPr>
        <w:pStyle w:val="TOC1"/>
        <w:rPr>
          <w:rFonts w:eastAsiaTheme="minorEastAsia"/>
          <w:szCs w:val="22"/>
        </w:rPr>
      </w:pPr>
      <w:r w:rsidRPr="009F1037">
        <w:t>B.</w:t>
      </w:r>
      <w:r w:rsidRPr="009F1037">
        <w:tab/>
      </w:r>
      <w:r w:rsidRPr="009F1037">
        <w:tab/>
      </w:r>
      <w:r w:rsidRPr="009F1037">
        <w:rPr>
          <w:caps w:val="0"/>
        </w:rPr>
        <w:t>Collections Of Information Employing Statistical Methods</w:t>
      </w:r>
      <w:r w:rsidRPr="009F1037">
        <w:rPr>
          <w:webHidden/>
        </w:rPr>
        <w:tab/>
      </w:r>
      <w:r w:rsidR="00971775" w:rsidRPr="009F1037">
        <w:rPr>
          <w:webHidden/>
        </w:rPr>
        <w:fldChar w:fldCharType="begin"/>
      </w:r>
      <w:r w:rsidR="00EE029A">
        <w:rPr>
          <w:webHidden/>
        </w:rPr>
        <w:instrText xml:space="preserve"> PAGEREF _Toc291497941 \h </w:instrText>
      </w:r>
      <w:r w:rsidR="00971775" w:rsidRPr="009F1037">
        <w:rPr>
          <w:webHidden/>
        </w:rPr>
      </w:r>
      <w:r w:rsidR="00971775" w:rsidRPr="009F1037">
        <w:rPr>
          <w:webHidden/>
        </w:rPr>
        <w:fldChar w:fldCharType="separate"/>
      </w:r>
      <w:r w:rsidR="005D3846">
        <w:rPr>
          <w:webHidden/>
        </w:rPr>
        <w:t>3</w:t>
      </w:r>
      <w:r w:rsidR="00971775" w:rsidRPr="009F1037">
        <w:rPr>
          <w:webHidden/>
        </w:rPr>
        <w:fldChar w:fldCharType="end"/>
      </w:r>
    </w:p>
    <w:p w:rsidR="00723EE7" w:rsidRPr="009F1037" w:rsidRDefault="00723EE7" w:rsidP="009F1037">
      <w:pPr>
        <w:pStyle w:val="TOC2"/>
        <w:spacing w:after="0"/>
        <w:rPr>
          <w:rFonts w:ascii="Garamond" w:eastAsiaTheme="minorEastAsia" w:hAnsi="Garamond" w:cs="Arial"/>
          <w:noProof/>
          <w:szCs w:val="22"/>
        </w:rPr>
      </w:pPr>
      <w:r w:rsidRPr="009F1037">
        <w:rPr>
          <w:rFonts w:ascii="Garamond" w:hAnsi="Garamond" w:cs="Arial"/>
          <w:noProof/>
        </w:rPr>
        <w:t>1.</w:t>
      </w:r>
      <w:r w:rsidRPr="009F1037">
        <w:rPr>
          <w:rFonts w:ascii="Garamond" w:eastAsiaTheme="minorEastAsia" w:hAnsi="Garamond" w:cs="Arial"/>
          <w:noProof/>
          <w:szCs w:val="22"/>
        </w:rPr>
        <w:tab/>
      </w:r>
      <w:r w:rsidRPr="009F1037">
        <w:rPr>
          <w:rFonts w:ascii="Garamond" w:hAnsi="Garamond" w:cs="Arial"/>
          <w:noProof/>
        </w:rPr>
        <w:t>Respondent Universe and Sampling Methods</w:t>
      </w:r>
      <w:r w:rsidRPr="009F1037">
        <w:rPr>
          <w:rFonts w:ascii="Garamond" w:hAnsi="Garamond" w:cs="Arial"/>
          <w:noProof/>
          <w:webHidden/>
        </w:rPr>
        <w:tab/>
      </w:r>
      <w:r w:rsidR="00971775" w:rsidRPr="009F1037">
        <w:rPr>
          <w:rFonts w:ascii="Garamond" w:hAnsi="Garamond" w:cs="Arial"/>
          <w:noProof/>
          <w:webHidden/>
        </w:rPr>
        <w:fldChar w:fldCharType="begin"/>
      </w:r>
      <w:r w:rsidR="00EE029A">
        <w:rPr>
          <w:rFonts w:ascii="Garamond" w:hAnsi="Garamond" w:cs="Arial"/>
          <w:noProof/>
          <w:webHidden/>
        </w:rPr>
        <w:instrText xml:space="preserve"> PAGEREF _Toc291497942 \h </w:instrText>
      </w:r>
      <w:r w:rsidR="00971775" w:rsidRPr="009F1037">
        <w:rPr>
          <w:rFonts w:ascii="Garamond" w:hAnsi="Garamond" w:cs="Arial"/>
          <w:noProof/>
          <w:webHidden/>
        </w:rPr>
      </w:r>
      <w:r w:rsidR="00971775" w:rsidRPr="009F1037">
        <w:rPr>
          <w:rFonts w:ascii="Garamond" w:hAnsi="Garamond" w:cs="Arial"/>
          <w:noProof/>
          <w:webHidden/>
        </w:rPr>
        <w:fldChar w:fldCharType="separate"/>
      </w:r>
      <w:r w:rsidR="005D3846">
        <w:rPr>
          <w:rFonts w:ascii="Garamond" w:hAnsi="Garamond" w:cs="Arial"/>
          <w:noProof/>
          <w:webHidden/>
        </w:rPr>
        <w:t>3</w:t>
      </w:r>
      <w:r w:rsidR="00971775" w:rsidRPr="009F1037">
        <w:rPr>
          <w:rFonts w:ascii="Garamond" w:hAnsi="Garamond" w:cs="Arial"/>
          <w:noProof/>
          <w:webHidden/>
        </w:rPr>
        <w:fldChar w:fldCharType="end"/>
      </w:r>
    </w:p>
    <w:p w:rsidR="00E52A13" w:rsidRDefault="00723EE7">
      <w:pPr>
        <w:pStyle w:val="TOC2"/>
        <w:spacing w:after="0"/>
        <w:rPr>
          <w:rFonts w:ascii="Garamond" w:eastAsiaTheme="minorEastAsia" w:hAnsi="Garamond" w:cs="Arial"/>
          <w:noProof/>
          <w:szCs w:val="22"/>
        </w:rPr>
      </w:pPr>
      <w:r w:rsidRPr="009F1037">
        <w:rPr>
          <w:rFonts w:ascii="Garamond" w:hAnsi="Garamond" w:cs="Arial"/>
          <w:noProof/>
        </w:rPr>
        <w:t>2.</w:t>
      </w:r>
      <w:r w:rsidRPr="009F1037">
        <w:rPr>
          <w:rFonts w:ascii="Garamond" w:eastAsiaTheme="minorEastAsia" w:hAnsi="Garamond" w:cs="Arial"/>
          <w:noProof/>
          <w:szCs w:val="22"/>
        </w:rPr>
        <w:tab/>
      </w:r>
      <w:r w:rsidRPr="009F1037">
        <w:rPr>
          <w:rFonts w:ascii="Garamond" w:hAnsi="Garamond" w:cs="Arial"/>
          <w:noProof/>
        </w:rPr>
        <w:t>Information Collection Procedures</w:t>
      </w:r>
      <w:r w:rsidRPr="009F1037">
        <w:rPr>
          <w:rFonts w:ascii="Garamond" w:hAnsi="Garamond" w:cs="Arial"/>
          <w:noProof/>
          <w:webHidden/>
        </w:rPr>
        <w:tab/>
      </w:r>
      <w:r w:rsidR="00971775" w:rsidRPr="009F1037">
        <w:rPr>
          <w:rFonts w:ascii="Garamond" w:hAnsi="Garamond" w:cs="Arial"/>
          <w:noProof/>
          <w:webHidden/>
        </w:rPr>
        <w:fldChar w:fldCharType="begin"/>
      </w:r>
      <w:r w:rsidR="00EE029A">
        <w:rPr>
          <w:rFonts w:ascii="Garamond" w:hAnsi="Garamond" w:cs="Arial"/>
          <w:noProof/>
          <w:webHidden/>
        </w:rPr>
        <w:instrText xml:space="preserve"> PAGEREF _Toc291497943 \h </w:instrText>
      </w:r>
      <w:r w:rsidR="00971775" w:rsidRPr="009F1037">
        <w:rPr>
          <w:rFonts w:ascii="Garamond" w:hAnsi="Garamond" w:cs="Arial"/>
          <w:noProof/>
          <w:webHidden/>
        </w:rPr>
      </w:r>
      <w:r w:rsidR="00971775" w:rsidRPr="009F1037">
        <w:rPr>
          <w:rFonts w:ascii="Garamond" w:hAnsi="Garamond" w:cs="Arial"/>
          <w:noProof/>
          <w:webHidden/>
        </w:rPr>
        <w:fldChar w:fldCharType="separate"/>
      </w:r>
      <w:r w:rsidR="005D3846">
        <w:rPr>
          <w:rFonts w:ascii="Garamond" w:hAnsi="Garamond" w:cs="Arial"/>
          <w:noProof/>
          <w:webHidden/>
        </w:rPr>
        <w:t>5</w:t>
      </w:r>
      <w:r w:rsidR="00971775" w:rsidRPr="009F1037">
        <w:rPr>
          <w:rFonts w:ascii="Garamond" w:hAnsi="Garamond" w:cs="Arial"/>
          <w:noProof/>
          <w:webHidden/>
        </w:rPr>
        <w:fldChar w:fldCharType="end"/>
      </w:r>
    </w:p>
    <w:p w:rsidR="00E52A13" w:rsidRDefault="00723EE7">
      <w:pPr>
        <w:pStyle w:val="TOC2"/>
        <w:spacing w:after="0"/>
        <w:rPr>
          <w:rFonts w:ascii="Garamond" w:eastAsiaTheme="minorEastAsia" w:hAnsi="Garamond" w:cs="Arial"/>
          <w:noProof/>
          <w:szCs w:val="22"/>
        </w:rPr>
      </w:pPr>
      <w:r w:rsidRPr="009F1037">
        <w:rPr>
          <w:rFonts w:ascii="Garamond" w:hAnsi="Garamond" w:cs="Arial"/>
          <w:noProof/>
        </w:rPr>
        <w:t>3.</w:t>
      </w:r>
      <w:r w:rsidRPr="009F1037">
        <w:rPr>
          <w:rFonts w:ascii="Garamond" w:eastAsiaTheme="minorEastAsia" w:hAnsi="Garamond" w:cs="Arial"/>
          <w:noProof/>
          <w:szCs w:val="22"/>
        </w:rPr>
        <w:tab/>
      </w:r>
      <w:r w:rsidRPr="009F1037">
        <w:rPr>
          <w:rFonts w:ascii="Garamond" w:hAnsi="Garamond" w:cs="Arial"/>
          <w:noProof/>
        </w:rPr>
        <w:t>Methods to Maximize Response Rates</w:t>
      </w:r>
      <w:r w:rsidRPr="009F1037">
        <w:rPr>
          <w:rFonts w:ascii="Garamond" w:hAnsi="Garamond" w:cs="Arial"/>
          <w:noProof/>
          <w:webHidden/>
        </w:rPr>
        <w:tab/>
      </w:r>
      <w:r w:rsidR="00971775" w:rsidRPr="009F1037">
        <w:rPr>
          <w:rFonts w:ascii="Garamond" w:hAnsi="Garamond" w:cs="Arial"/>
          <w:noProof/>
          <w:webHidden/>
        </w:rPr>
        <w:fldChar w:fldCharType="begin"/>
      </w:r>
      <w:r w:rsidR="00EE029A">
        <w:rPr>
          <w:rFonts w:ascii="Garamond" w:hAnsi="Garamond" w:cs="Arial"/>
          <w:noProof/>
          <w:webHidden/>
        </w:rPr>
        <w:instrText xml:space="preserve"> PAGEREF _Toc291497944 \h </w:instrText>
      </w:r>
      <w:r w:rsidR="00971775" w:rsidRPr="009F1037">
        <w:rPr>
          <w:rFonts w:ascii="Garamond" w:hAnsi="Garamond" w:cs="Arial"/>
          <w:noProof/>
          <w:webHidden/>
        </w:rPr>
      </w:r>
      <w:r w:rsidR="00971775" w:rsidRPr="009F1037">
        <w:rPr>
          <w:rFonts w:ascii="Garamond" w:hAnsi="Garamond" w:cs="Arial"/>
          <w:noProof/>
          <w:webHidden/>
        </w:rPr>
        <w:fldChar w:fldCharType="separate"/>
      </w:r>
      <w:r w:rsidR="005D3846">
        <w:rPr>
          <w:rFonts w:ascii="Garamond" w:hAnsi="Garamond" w:cs="Arial"/>
          <w:noProof/>
          <w:webHidden/>
        </w:rPr>
        <w:t>6</w:t>
      </w:r>
      <w:r w:rsidR="00971775" w:rsidRPr="009F1037">
        <w:rPr>
          <w:rFonts w:ascii="Garamond" w:hAnsi="Garamond" w:cs="Arial"/>
          <w:noProof/>
          <w:webHidden/>
        </w:rPr>
        <w:fldChar w:fldCharType="end"/>
      </w:r>
    </w:p>
    <w:p w:rsidR="00E52A13" w:rsidRDefault="00723EE7">
      <w:pPr>
        <w:pStyle w:val="TOC2"/>
        <w:spacing w:after="0"/>
        <w:rPr>
          <w:rFonts w:ascii="Garamond" w:eastAsiaTheme="minorEastAsia" w:hAnsi="Garamond" w:cs="Arial"/>
          <w:noProof/>
          <w:szCs w:val="22"/>
        </w:rPr>
      </w:pPr>
      <w:r w:rsidRPr="009F1037">
        <w:rPr>
          <w:rFonts w:ascii="Garamond" w:hAnsi="Garamond" w:cs="Arial"/>
          <w:noProof/>
        </w:rPr>
        <w:t>4.</w:t>
      </w:r>
      <w:r w:rsidRPr="009F1037">
        <w:rPr>
          <w:rFonts w:ascii="Garamond" w:eastAsiaTheme="minorEastAsia" w:hAnsi="Garamond" w:cs="Arial"/>
          <w:noProof/>
          <w:szCs w:val="22"/>
        </w:rPr>
        <w:tab/>
      </w:r>
      <w:r w:rsidRPr="009F1037">
        <w:rPr>
          <w:rFonts w:ascii="Garamond" w:hAnsi="Garamond" w:cs="Arial"/>
          <w:noProof/>
        </w:rPr>
        <w:t>Tests of Procedures</w:t>
      </w:r>
      <w:r w:rsidRPr="009F1037">
        <w:rPr>
          <w:rFonts w:ascii="Garamond" w:hAnsi="Garamond" w:cs="Arial"/>
          <w:noProof/>
          <w:webHidden/>
        </w:rPr>
        <w:tab/>
      </w:r>
      <w:r w:rsidR="00971775" w:rsidRPr="009F1037">
        <w:rPr>
          <w:rFonts w:ascii="Garamond" w:hAnsi="Garamond" w:cs="Arial"/>
          <w:noProof/>
          <w:webHidden/>
        </w:rPr>
        <w:fldChar w:fldCharType="begin"/>
      </w:r>
      <w:r w:rsidR="00EE029A">
        <w:rPr>
          <w:rFonts w:ascii="Garamond" w:hAnsi="Garamond" w:cs="Arial"/>
          <w:noProof/>
          <w:webHidden/>
        </w:rPr>
        <w:instrText xml:space="preserve"> PAGEREF _Toc291497945 \h </w:instrText>
      </w:r>
      <w:r w:rsidR="00971775" w:rsidRPr="009F1037">
        <w:rPr>
          <w:rFonts w:ascii="Garamond" w:hAnsi="Garamond" w:cs="Arial"/>
          <w:noProof/>
          <w:webHidden/>
        </w:rPr>
      </w:r>
      <w:r w:rsidR="00971775" w:rsidRPr="009F1037">
        <w:rPr>
          <w:rFonts w:ascii="Garamond" w:hAnsi="Garamond" w:cs="Arial"/>
          <w:noProof/>
          <w:webHidden/>
        </w:rPr>
        <w:fldChar w:fldCharType="separate"/>
      </w:r>
      <w:r w:rsidR="005D3846">
        <w:rPr>
          <w:rFonts w:ascii="Garamond" w:hAnsi="Garamond" w:cs="Arial"/>
          <w:noProof/>
          <w:webHidden/>
        </w:rPr>
        <w:t>7</w:t>
      </w:r>
      <w:r w:rsidR="00971775" w:rsidRPr="009F1037">
        <w:rPr>
          <w:rFonts w:ascii="Garamond" w:hAnsi="Garamond" w:cs="Arial"/>
          <w:noProof/>
          <w:webHidden/>
        </w:rPr>
        <w:fldChar w:fldCharType="end"/>
      </w:r>
    </w:p>
    <w:p w:rsidR="00E52A13" w:rsidRDefault="00723EE7">
      <w:pPr>
        <w:pStyle w:val="TOC2"/>
        <w:spacing w:after="0"/>
        <w:rPr>
          <w:rFonts w:ascii="Garamond" w:eastAsiaTheme="minorEastAsia" w:hAnsi="Garamond" w:cs="Arial"/>
          <w:noProof/>
          <w:szCs w:val="22"/>
        </w:rPr>
      </w:pPr>
      <w:r w:rsidRPr="009F1037">
        <w:rPr>
          <w:rFonts w:ascii="Garamond" w:hAnsi="Garamond" w:cs="Arial"/>
          <w:noProof/>
        </w:rPr>
        <w:t>5.</w:t>
      </w:r>
      <w:r w:rsidRPr="009F1037">
        <w:rPr>
          <w:rFonts w:ascii="Garamond" w:eastAsiaTheme="minorEastAsia" w:hAnsi="Garamond" w:cs="Arial"/>
          <w:noProof/>
          <w:szCs w:val="22"/>
        </w:rPr>
        <w:tab/>
      </w:r>
      <w:r w:rsidRPr="009F1037">
        <w:rPr>
          <w:rFonts w:ascii="Garamond" w:hAnsi="Garamond" w:cs="Arial"/>
          <w:noProof/>
        </w:rPr>
        <w:t>Statistical Consultants</w:t>
      </w:r>
      <w:r w:rsidRPr="009F1037">
        <w:rPr>
          <w:rFonts w:ascii="Garamond" w:hAnsi="Garamond" w:cs="Arial"/>
          <w:noProof/>
          <w:webHidden/>
        </w:rPr>
        <w:tab/>
      </w:r>
      <w:r w:rsidR="00971775" w:rsidRPr="009F1037">
        <w:rPr>
          <w:rFonts w:ascii="Garamond" w:hAnsi="Garamond" w:cs="Arial"/>
          <w:noProof/>
          <w:webHidden/>
        </w:rPr>
        <w:fldChar w:fldCharType="begin"/>
      </w:r>
      <w:r w:rsidR="00EE029A">
        <w:rPr>
          <w:rFonts w:ascii="Garamond" w:hAnsi="Garamond" w:cs="Arial"/>
          <w:noProof/>
          <w:webHidden/>
        </w:rPr>
        <w:instrText xml:space="preserve"> PAGEREF _Toc291497946 \h </w:instrText>
      </w:r>
      <w:r w:rsidR="00971775" w:rsidRPr="009F1037">
        <w:rPr>
          <w:rFonts w:ascii="Garamond" w:hAnsi="Garamond" w:cs="Arial"/>
          <w:noProof/>
          <w:webHidden/>
        </w:rPr>
      </w:r>
      <w:r w:rsidR="00971775" w:rsidRPr="009F1037">
        <w:rPr>
          <w:rFonts w:ascii="Garamond" w:hAnsi="Garamond" w:cs="Arial"/>
          <w:noProof/>
          <w:webHidden/>
        </w:rPr>
        <w:fldChar w:fldCharType="separate"/>
      </w:r>
      <w:r w:rsidR="005D3846">
        <w:rPr>
          <w:rFonts w:ascii="Garamond" w:hAnsi="Garamond" w:cs="Arial"/>
          <w:noProof/>
          <w:webHidden/>
        </w:rPr>
        <w:t>8</w:t>
      </w:r>
      <w:r w:rsidR="00971775" w:rsidRPr="009F1037">
        <w:rPr>
          <w:rFonts w:ascii="Garamond" w:hAnsi="Garamond" w:cs="Arial"/>
          <w:noProof/>
          <w:webHidden/>
        </w:rPr>
        <w:fldChar w:fldCharType="end"/>
      </w:r>
    </w:p>
    <w:p w:rsidR="00723EE7" w:rsidRPr="009F1037" w:rsidRDefault="00971775" w:rsidP="009F1037">
      <w:pPr>
        <w:pStyle w:val="Heading1Black"/>
        <w:spacing w:after="480"/>
        <w:rPr>
          <w:rFonts w:cs="Arial"/>
          <w:b w:val="0"/>
          <w:color w:val="345294"/>
        </w:rPr>
        <w:sectPr w:rsidR="00723EE7" w:rsidRPr="009F1037"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r w:rsidRPr="009F1037">
        <w:rPr>
          <w:rFonts w:ascii="Arial" w:hAnsi="Arial" w:cs="Arial"/>
          <w:b w:val="0"/>
          <w:color w:val="345294"/>
        </w:rPr>
        <w:fldChar w:fldCharType="end"/>
      </w:r>
    </w:p>
    <w:p w:rsidR="00E52A13" w:rsidRDefault="00EE498D">
      <w:pPr>
        <w:pStyle w:val="Heading1Black"/>
        <w:rPr>
          <w:rFonts w:ascii="Arial" w:hAnsi="Arial" w:cs="Arial"/>
        </w:rPr>
      </w:pPr>
      <w:bookmarkStart w:id="6" w:name="_Toc291497941"/>
      <w:r w:rsidRPr="009F1037">
        <w:rPr>
          <w:rFonts w:ascii="Arial" w:hAnsi="Arial" w:cs="Arial"/>
        </w:rPr>
        <w:lastRenderedPageBreak/>
        <w:t>B. COLLECTIONS OF INFORMATION EMPLOYING STATISTICAL METHODS</w:t>
      </w:r>
      <w:bookmarkEnd w:id="6"/>
    </w:p>
    <w:p w:rsidR="00E52A13" w:rsidRDefault="00EE498D">
      <w:pPr>
        <w:pStyle w:val="NormalSS"/>
        <w:ind w:firstLine="0"/>
      </w:pPr>
      <w:r w:rsidRPr="009F1037">
        <w:t xml:space="preserve">  </w:t>
      </w:r>
    </w:p>
    <w:p w:rsidR="00E52A13" w:rsidRDefault="00EE498D">
      <w:pPr>
        <w:pStyle w:val="Heading2Black"/>
        <w:rPr>
          <w:rFonts w:ascii="Arial" w:hAnsi="Arial" w:cs="Arial"/>
          <w:i/>
        </w:rPr>
      </w:pPr>
      <w:bookmarkStart w:id="7" w:name="_Toc291497942"/>
      <w:r w:rsidRPr="009F1037">
        <w:rPr>
          <w:rFonts w:ascii="Arial" w:hAnsi="Arial" w:cs="Arial"/>
          <w:i/>
        </w:rPr>
        <w:t>1.</w:t>
      </w:r>
      <w:r w:rsidRPr="009F1037">
        <w:rPr>
          <w:rFonts w:ascii="Arial" w:hAnsi="Arial" w:cs="Arial"/>
          <w:i/>
        </w:rPr>
        <w:tab/>
        <w:t>Respondent Universe and Sampling Methods</w:t>
      </w:r>
      <w:bookmarkEnd w:id="7"/>
    </w:p>
    <w:p w:rsidR="00E52A13" w:rsidRPr="00EA4C67" w:rsidRDefault="005C3B42">
      <w:pPr>
        <w:pStyle w:val="NormalSS"/>
        <w:tabs>
          <w:tab w:val="clear" w:pos="432"/>
          <w:tab w:val="left" w:pos="0"/>
        </w:tabs>
        <w:ind w:firstLine="0"/>
        <w:jc w:val="left"/>
      </w:pPr>
      <w:r w:rsidRPr="005C3B42">
        <w:t xml:space="preserve">The </w:t>
      </w:r>
      <w:r w:rsidRPr="00EA4C67">
        <w:t xml:space="preserve">information collected under this request is not based on probability samples and may not be </w:t>
      </w:r>
      <w:r w:rsidR="00D10BC9" w:rsidRPr="00EA4C67">
        <w:t>generalizable</w:t>
      </w:r>
      <w:r w:rsidR="00D10BC9">
        <w:t xml:space="preserve"> </w:t>
      </w:r>
      <w:r w:rsidR="00D10BC9" w:rsidRPr="00EA4C67">
        <w:t>beyond</w:t>
      </w:r>
      <w:r w:rsidR="00053E01" w:rsidRPr="00EA4C67">
        <w:t xml:space="preserve"> the states included in the demonstration.</w:t>
      </w:r>
      <w:r w:rsidR="00F306DA" w:rsidRPr="00EA4C67">
        <w:t xml:space="preserve"> </w:t>
      </w:r>
      <w:r w:rsidR="009F1037" w:rsidRPr="00EA4C67">
        <w:t>N</w:t>
      </w:r>
      <w:r w:rsidR="00EE498D" w:rsidRPr="00EA4C67">
        <w:t>o sampling, imputation, or other statistical estimation techniques</w:t>
      </w:r>
      <w:r w:rsidR="009F1037" w:rsidRPr="00EA4C67">
        <w:t xml:space="preserve"> are used</w:t>
      </w:r>
      <w:r w:rsidR="00EE498D" w:rsidRPr="00EA4C67">
        <w:t xml:space="preserve">. </w:t>
      </w:r>
    </w:p>
    <w:p w:rsidR="0053023D" w:rsidRPr="004D1887" w:rsidRDefault="009F1037">
      <w:pPr>
        <w:spacing w:line="240" w:lineRule="auto"/>
        <w:ind w:firstLine="0"/>
        <w:jc w:val="left"/>
      </w:pPr>
      <w:r w:rsidRPr="004D1887">
        <w:t>The first round of interviews were completed in August of 2012 under the previously approved information collection request (</w:t>
      </w:r>
      <w:r w:rsidR="005C3B42" w:rsidRPr="004D1887">
        <w:t>OMB# 0935-0190</w:t>
      </w:r>
      <w:r w:rsidRPr="004D1887">
        <w:t xml:space="preserve">). For the first round of interviews, interview respondents were selected based on a review of grantee applications and final operational plans and in consultation with key project staff. </w:t>
      </w:r>
      <w:r w:rsidR="007C70C2" w:rsidRPr="00EA4C67">
        <w:rPr>
          <w:highlight w:val="yellow"/>
        </w:rPr>
        <w:t xml:space="preserve">Under this </w:t>
      </w:r>
      <w:r w:rsidR="00C01518">
        <w:rPr>
          <w:highlight w:val="yellow"/>
        </w:rPr>
        <w:t xml:space="preserve">revision to the approved </w:t>
      </w:r>
      <w:r w:rsidR="007C70C2" w:rsidRPr="00EA4C67">
        <w:rPr>
          <w:highlight w:val="yellow"/>
        </w:rPr>
        <w:t xml:space="preserve">information collection request, we </w:t>
      </w:r>
      <w:r w:rsidR="00C01518">
        <w:rPr>
          <w:highlight w:val="yellow"/>
        </w:rPr>
        <w:t>intend</w:t>
      </w:r>
      <w:r w:rsidR="00C01518" w:rsidRPr="00EA4C67">
        <w:rPr>
          <w:highlight w:val="yellow"/>
        </w:rPr>
        <w:t xml:space="preserve"> </w:t>
      </w:r>
      <w:r w:rsidR="007C70C2" w:rsidRPr="00EA4C67">
        <w:rPr>
          <w:highlight w:val="yellow"/>
        </w:rPr>
        <w:t xml:space="preserve">to conduct a second round of interviews. </w:t>
      </w:r>
      <w:r w:rsidRPr="00EA4C67">
        <w:rPr>
          <w:highlight w:val="yellow"/>
        </w:rPr>
        <w:t xml:space="preserve">Since the second round of interviews builds on the information gained in the first round, we plan to interview the same respondents, unless they have had little or no project involvement since 2012, as well as others who may have become involved since 2012. </w:t>
      </w:r>
      <w:r w:rsidR="007C70C2" w:rsidRPr="004D1887">
        <w:t xml:space="preserve">The total number of interviews </w:t>
      </w:r>
      <w:r w:rsidR="00A73FAF" w:rsidRPr="004D1887">
        <w:t>needed</w:t>
      </w:r>
      <w:r w:rsidR="007C70C2" w:rsidRPr="004D1887">
        <w:t xml:space="preserve"> to yield a comprehensive, multi-faceted understanding of project implementation will range considerably, from 20 to 40, depending on the number, scope and complexity, and nature of the projects in a given state. Below are the details on the selection criteria for the different interview respondent types. </w:t>
      </w:r>
    </w:p>
    <w:p w:rsidR="00EA4C67" w:rsidRPr="004D1887" w:rsidRDefault="00EA4C67">
      <w:pPr>
        <w:spacing w:line="240" w:lineRule="auto"/>
        <w:ind w:firstLine="0"/>
      </w:pPr>
    </w:p>
    <w:p w:rsidR="008F2DE1" w:rsidRPr="004D1887" w:rsidRDefault="00EE498D" w:rsidP="009F1037">
      <w:pPr>
        <w:pStyle w:val="NumberedBullet"/>
        <w:numPr>
          <w:ilvl w:val="0"/>
          <w:numId w:val="18"/>
        </w:numPr>
        <w:jc w:val="left"/>
        <w:rPr>
          <w:highlight w:val="yellow"/>
        </w:rPr>
      </w:pPr>
      <w:r w:rsidRPr="004D1887">
        <w:t xml:space="preserve">Key project staff (up to 4 respondents in each state). </w:t>
      </w:r>
      <w:r w:rsidR="005C3B42" w:rsidRPr="004D1887">
        <w:t xml:space="preserve">Key project staff will include the project director, project manager, principal investigator, and/or medical director. </w:t>
      </w:r>
      <w:r w:rsidR="007C70C2" w:rsidRPr="004D1887">
        <w:rPr>
          <w:highlight w:val="yellow"/>
        </w:rPr>
        <w:t xml:space="preserve">We will review semi-annual progress reports </w:t>
      </w:r>
      <w:r w:rsidR="00C01518" w:rsidRPr="004D1887">
        <w:rPr>
          <w:highlight w:val="yellow"/>
        </w:rPr>
        <w:t xml:space="preserve">submitted by grantees/demonstration States </w:t>
      </w:r>
      <w:r w:rsidR="007C70C2" w:rsidRPr="004D1887">
        <w:rPr>
          <w:highlight w:val="yellow"/>
        </w:rPr>
        <w:t xml:space="preserve">to determine if key staff changed since the first round of interviews. </w:t>
      </w:r>
    </w:p>
    <w:p w:rsidR="003A1645" w:rsidRPr="004D1887" w:rsidRDefault="00EE498D" w:rsidP="009F1037">
      <w:pPr>
        <w:pStyle w:val="NumberedBullet"/>
        <w:numPr>
          <w:ilvl w:val="0"/>
          <w:numId w:val="18"/>
        </w:numPr>
        <w:jc w:val="left"/>
      </w:pPr>
      <w:r w:rsidRPr="004D1887">
        <w:t xml:space="preserve">Other implementation personnel (up to 16 respondents). </w:t>
      </w:r>
      <w:r w:rsidR="005C3B42" w:rsidRPr="004D1887">
        <w:t xml:space="preserve">Other implementation staff will be staff involved in the day-to-day implementation of grant funded projects and will include state agency employees, provider trainers, health information </w:t>
      </w:r>
      <w:proofErr w:type="gramStart"/>
      <w:r w:rsidR="005C3B42" w:rsidRPr="004D1887">
        <w:t>technology  vendors</w:t>
      </w:r>
      <w:proofErr w:type="gramEnd"/>
      <w:r w:rsidR="005C3B42" w:rsidRPr="004D1887">
        <w:t xml:space="preserve">, and/or project consultants. </w:t>
      </w:r>
      <w:r w:rsidR="007C70C2" w:rsidRPr="004D1887">
        <w:t>We will review semi-annual progress reports and consult with key project staff to select up to 16 staff members</w:t>
      </w:r>
      <w:r w:rsidR="004D1887">
        <w:t xml:space="preserve">, </w:t>
      </w:r>
      <w:r w:rsidR="004D1887" w:rsidRPr="004D1887">
        <w:rPr>
          <w:highlight w:val="yellow"/>
        </w:rPr>
        <w:t>many of whom may also been interviewed in 2012</w:t>
      </w:r>
      <w:r w:rsidR="007C70C2" w:rsidRPr="004D1887">
        <w:rPr>
          <w:highlight w:val="yellow"/>
        </w:rPr>
        <w:t>.</w:t>
      </w:r>
      <w:r w:rsidR="007C70C2" w:rsidRPr="004D1887">
        <w:t xml:space="preserve"> In many </w:t>
      </w:r>
      <w:r w:rsidR="00DE55DA" w:rsidRPr="004D1887">
        <w:t>States</w:t>
      </w:r>
      <w:r w:rsidR="007C70C2" w:rsidRPr="004D1887">
        <w:t xml:space="preserve">, we will be able to interview all staff involved in day-to-day operations. In </w:t>
      </w:r>
      <w:r w:rsidR="00DE55DA" w:rsidRPr="004D1887">
        <w:t>States</w:t>
      </w:r>
      <w:r w:rsidR="007C70C2" w:rsidRPr="004D1887">
        <w:t xml:space="preserve"> with more than 16 staff members, we will consult with </w:t>
      </w:r>
      <w:r w:rsidR="0053023D" w:rsidRPr="004D1887">
        <w:t>the project director</w:t>
      </w:r>
      <w:r w:rsidR="007C70C2" w:rsidRPr="004D1887">
        <w:t xml:space="preserve"> to select the respondents who are most knowledgeable about or involved in the demonstration.</w:t>
      </w:r>
    </w:p>
    <w:p w:rsidR="003A1645" w:rsidRPr="004D1887" w:rsidRDefault="00EE498D" w:rsidP="009F1037">
      <w:pPr>
        <w:pStyle w:val="NumberedBullet"/>
        <w:numPr>
          <w:ilvl w:val="0"/>
          <w:numId w:val="18"/>
        </w:numPr>
        <w:jc w:val="left"/>
      </w:pPr>
      <w:r w:rsidRPr="004D1887">
        <w:t xml:space="preserve">External stakeholders (up to 8 respondents in each state). </w:t>
      </w:r>
      <w:r w:rsidR="00C01518" w:rsidRPr="004D1887">
        <w:t>The s</w:t>
      </w:r>
      <w:r w:rsidR="005C3B42" w:rsidRPr="004D1887">
        <w:t xml:space="preserve">takeholders </w:t>
      </w:r>
      <w:r w:rsidR="00C01518" w:rsidRPr="004D1887">
        <w:t xml:space="preserve">are likely to be </w:t>
      </w:r>
      <w:r w:rsidR="005C3B42" w:rsidRPr="004D1887">
        <w:t xml:space="preserve">familiar with CHIPRA projects and may serve on advisory panels or workgroups but will not be involved in day-to-day project implementation. </w:t>
      </w:r>
      <w:r w:rsidR="007C70C2" w:rsidRPr="004D1887">
        <w:t xml:space="preserve">We will consult with key project staff to develop a list of up to 8 external stakeholders to interview, </w:t>
      </w:r>
      <w:r w:rsidR="007C70C2" w:rsidRPr="004D1887">
        <w:rPr>
          <w:highlight w:val="yellow"/>
        </w:rPr>
        <w:t>many of whom may also have been interviewed in 2012.</w:t>
      </w:r>
      <w:r w:rsidR="007C70C2" w:rsidRPr="004D1887">
        <w:t xml:space="preserve"> Stakeholders selected for interviews will (1) be knowledgeable about the demonstration and/or interested in the quality of care provided by their state’s Medicaid and CHIP programs and (2) represent </w:t>
      </w:r>
      <w:r w:rsidR="00A73FAF" w:rsidRPr="004D1887">
        <w:t>a</w:t>
      </w:r>
      <w:r w:rsidR="007C70C2" w:rsidRPr="004D1887">
        <w:t xml:space="preserve"> range of stakeholder groups in the state such as consumer advocacy groups, professional associations, human services agencies, and large health systems.</w:t>
      </w:r>
    </w:p>
    <w:p w:rsidR="003A1645" w:rsidRPr="004D1887" w:rsidRDefault="00EE498D" w:rsidP="009F1037">
      <w:pPr>
        <w:pStyle w:val="NumberedBullet"/>
        <w:numPr>
          <w:ilvl w:val="0"/>
          <w:numId w:val="18"/>
        </w:numPr>
        <w:jc w:val="left"/>
        <w:rPr>
          <w:highlight w:val="yellow"/>
        </w:rPr>
      </w:pPr>
      <w:r w:rsidRPr="004D1887">
        <w:t xml:space="preserve">Health care </w:t>
      </w:r>
      <w:r w:rsidR="007C70C2" w:rsidRPr="004D1887">
        <w:t xml:space="preserve">organization staff </w:t>
      </w:r>
      <w:r w:rsidRPr="004D1887">
        <w:t xml:space="preserve">(up to 12 respondents in each state). </w:t>
      </w:r>
      <w:r w:rsidR="005C3B42" w:rsidRPr="004D1887">
        <w:t xml:space="preserve">Health care </w:t>
      </w:r>
      <w:r w:rsidR="00A73FAF" w:rsidRPr="004D1887">
        <w:t>organization staff</w:t>
      </w:r>
      <w:r w:rsidR="005C3B42" w:rsidRPr="004D1887">
        <w:t xml:space="preserve"> will be actively participating in demonstration grant activities</w:t>
      </w:r>
      <w:r w:rsidR="00F41E91" w:rsidRPr="004D1887">
        <w:t>.</w:t>
      </w:r>
      <w:r w:rsidR="005C3B42" w:rsidRPr="004D1887">
        <w:t xml:space="preserve"> </w:t>
      </w:r>
      <w:r w:rsidR="007C70C2" w:rsidRPr="004D1887">
        <w:t xml:space="preserve">AHRQ’s contractor will attempt to interview the same staff members interviewed during the first </w:t>
      </w:r>
      <w:r w:rsidR="007C70C2" w:rsidRPr="004D1887">
        <w:lastRenderedPageBreak/>
        <w:t xml:space="preserve">round of site visits to assess how implementation progressed over the course of the demonstration. For the first round of visits, </w:t>
      </w:r>
      <w:r w:rsidR="00D62AD7" w:rsidRPr="004D1887">
        <w:t>S</w:t>
      </w:r>
      <w:r w:rsidR="007C70C2" w:rsidRPr="004D1887">
        <w:t xml:space="preserve">tates furnished a list of all health care organizations participating in their grant-funded projects. If more than 12 organizations were included on the list, AHRQ’s contractor used it to select organizations to represent a range of specified criteria, such as provider type, size, and location. </w:t>
      </w:r>
      <w:r w:rsidR="007C70C2" w:rsidRPr="004D1887">
        <w:rPr>
          <w:highlight w:val="yellow"/>
        </w:rPr>
        <w:t>If organizations selected in round one are not available or are no longer participating, we will select replacement organizations that fit similar criteria. At each selected organization, we will interview the clinical and administrative staff members (up to three) most directly involved in project implementation.</w:t>
      </w:r>
    </w:p>
    <w:p w:rsidR="00EA4C67" w:rsidRPr="00EA4C67" w:rsidRDefault="007C70C2">
      <w:pPr>
        <w:pStyle w:val="NormalSS"/>
        <w:tabs>
          <w:tab w:val="clear" w:pos="432"/>
          <w:tab w:val="left" w:pos="0"/>
        </w:tabs>
        <w:ind w:firstLine="0"/>
        <w:jc w:val="left"/>
        <w:rPr>
          <w:highlight w:val="yellow"/>
        </w:rPr>
      </w:pPr>
      <w:r w:rsidRPr="00EA4C67">
        <w:rPr>
          <w:highlight w:val="yellow"/>
        </w:rPr>
        <w:t xml:space="preserve">The focus group sample </w:t>
      </w:r>
      <w:r w:rsidR="0053023D">
        <w:rPr>
          <w:highlight w:val="yellow"/>
        </w:rPr>
        <w:t>was</w:t>
      </w:r>
      <w:r w:rsidRPr="00EA4C67">
        <w:rPr>
          <w:highlight w:val="yellow"/>
        </w:rPr>
        <w:t xml:space="preserve"> designed to provide insights into the key evaluation questions rather than to be statistically representative. AHRQ’s evaluation contractor </w:t>
      </w:r>
      <w:r w:rsidR="0053023D">
        <w:rPr>
          <w:highlight w:val="yellow"/>
        </w:rPr>
        <w:t>is using</w:t>
      </w:r>
      <w:r w:rsidRPr="00EA4C67">
        <w:rPr>
          <w:highlight w:val="yellow"/>
        </w:rPr>
        <w:t xml:space="preserve"> a purposive, nested sampling design to select focus group participants for up to 20 focus groups in 5 </w:t>
      </w:r>
      <w:r w:rsidR="00DE55DA" w:rsidRPr="00EA4C67">
        <w:rPr>
          <w:highlight w:val="yellow"/>
        </w:rPr>
        <w:t>States</w:t>
      </w:r>
      <w:r w:rsidRPr="00EA4C67">
        <w:rPr>
          <w:highlight w:val="yellow"/>
        </w:rPr>
        <w:t>. Our sampling strategy has also been specifically designed to be able to answer evaluation questions related to disparities by comparing the experiences of English and Spanish speaking Medicaid and CHIP beneficiaries among CHIPRA demonstration sites. The following selection criteria will be applied at each of three levels in sequential order:</w:t>
      </w:r>
    </w:p>
    <w:p w:rsidR="007C70C2" w:rsidRPr="00EA4C67" w:rsidRDefault="007C70C2" w:rsidP="007C70C2">
      <w:pPr>
        <w:spacing w:line="240" w:lineRule="auto"/>
        <w:rPr>
          <w:highlight w:val="yellow"/>
        </w:rPr>
      </w:pPr>
    </w:p>
    <w:p w:rsidR="00EA4C67" w:rsidRPr="00EA4C67" w:rsidRDefault="007C70C2">
      <w:pPr>
        <w:pStyle w:val="ListParagraph"/>
        <w:numPr>
          <w:ilvl w:val="0"/>
          <w:numId w:val="24"/>
        </w:numPr>
        <w:tabs>
          <w:tab w:val="clear" w:pos="432"/>
        </w:tabs>
        <w:spacing w:after="200" w:line="240" w:lineRule="auto"/>
        <w:jc w:val="left"/>
        <w:rPr>
          <w:highlight w:val="yellow"/>
        </w:rPr>
      </w:pPr>
      <w:r w:rsidRPr="00EA4C67">
        <w:rPr>
          <w:b/>
          <w:highlight w:val="yellow"/>
        </w:rPr>
        <w:t>States</w:t>
      </w:r>
      <w:r w:rsidRPr="00EA4C67">
        <w:rPr>
          <w:highlight w:val="yellow"/>
        </w:rPr>
        <w:t>:  We select</w:t>
      </w:r>
      <w:r w:rsidR="0053023D">
        <w:rPr>
          <w:highlight w:val="yellow"/>
        </w:rPr>
        <w:t>ed</w:t>
      </w:r>
      <w:r w:rsidRPr="00EA4C67">
        <w:rPr>
          <w:highlight w:val="yellow"/>
        </w:rPr>
        <w:t xml:space="preserve"> </w:t>
      </w:r>
      <w:r w:rsidR="00DE55DA" w:rsidRPr="00EA4C67">
        <w:rPr>
          <w:highlight w:val="yellow"/>
        </w:rPr>
        <w:t>States</w:t>
      </w:r>
      <w:r w:rsidRPr="00EA4C67">
        <w:rPr>
          <w:highlight w:val="yellow"/>
        </w:rPr>
        <w:t xml:space="preserve"> that are sufficiently advanced in the implementation of their demonstrations to increase the likelihood that patients have experienced and can speak to the impact of these demonstrations. In addition, we target</w:t>
      </w:r>
      <w:r w:rsidR="0053023D">
        <w:rPr>
          <w:highlight w:val="yellow"/>
        </w:rPr>
        <w:t>ed</w:t>
      </w:r>
      <w:r w:rsidRPr="00EA4C67">
        <w:rPr>
          <w:highlight w:val="yellow"/>
        </w:rPr>
        <w:t xml:space="preserve"> </w:t>
      </w:r>
      <w:r w:rsidR="00DE55DA" w:rsidRPr="00EA4C67">
        <w:rPr>
          <w:highlight w:val="yellow"/>
        </w:rPr>
        <w:t>States</w:t>
      </w:r>
      <w:r w:rsidRPr="00EA4C67">
        <w:rPr>
          <w:highlight w:val="yellow"/>
        </w:rPr>
        <w:t xml:space="preserve"> where there are a sufficient number of Spanish speakers to conduct focus groups with Spanish speaking beneficiaries. States </w:t>
      </w:r>
      <w:r w:rsidR="0053023D">
        <w:rPr>
          <w:highlight w:val="yellow"/>
        </w:rPr>
        <w:t xml:space="preserve">were </w:t>
      </w:r>
      <w:r w:rsidRPr="00EA4C67">
        <w:rPr>
          <w:highlight w:val="yellow"/>
        </w:rPr>
        <w:t xml:space="preserve">also targeted to include a variety of care models, including 4 </w:t>
      </w:r>
      <w:r w:rsidR="00DE55DA" w:rsidRPr="00EA4C67">
        <w:rPr>
          <w:highlight w:val="yellow"/>
        </w:rPr>
        <w:t>States</w:t>
      </w:r>
      <w:r w:rsidRPr="00EA4C67">
        <w:rPr>
          <w:highlight w:val="yellow"/>
        </w:rPr>
        <w:t xml:space="preserve"> that have selected patient-centered medical home (PCMH) and 1 state that has selected school based health center (SBHC) as the care model for their demonstrations.  Finally, to the extent </w:t>
      </w:r>
      <w:r w:rsidR="0053023D">
        <w:rPr>
          <w:highlight w:val="yellow"/>
        </w:rPr>
        <w:t>possible</w:t>
      </w:r>
      <w:r w:rsidR="00890977">
        <w:rPr>
          <w:highlight w:val="yellow"/>
        </w:rPr>
        <w:t>,</w:t>
      </w:r>
      <w:r w:rsidRPr="00EA4C67">
        <w:rPr>
          <w:highlight w:val="yellow"/>
        </w:rPr>
        <w:t xml:space="preserve"> we select</w:t>
      </w:r>
      <w:r w:rsidR="0053023D">
        <w:rPr>
          <w:highlight w:val="yellow"/>
        </w:rPr>
        <w:t>ed</w:t>
      </w:r>
      <w:r w:rsidRPr="00EA4C67">
        <w:rPr>
          <w:highlight w:val="yellow"/>
        </w:rPr>
        <w:t xml:space="preserve"> </w:t>
      </w:r>
      <w:r w:rsidR="00DE55DA" w:rsidRPr="00EA4C67">
        <w:rPr>
          <w:highlight w:val="yellow"/>
        </w:rPr>
        <w:t>S</w:t>
      </w:r>
      <w:r w:rsidRPr="00EA4C67">
        <w:rPr>
          <w:highlight w:val="yellow"/>
        </w:rPr>
        <w:t xml:space="preserve">tates that are not participating in another major quality initiative in order to minimize the confounding factor of these initiatives in our results.  </w:t>
      </w:r>
      <w:r w:rsidR="00F76E5B">
        <w:rPr>
          <w:highlight w:val="yellow"/>
        </w:rPr>
        <w:t xml:space="preserve">We selected Oregon, Utah, Florida, and South Carolina for PCMH focus groups and New Mexico for the SBHC focus groups. </w:t>
      </w:r>
      <w:r w:rsidRPr="00EA4C67">
        <w:rPr>
          <w:highlight w:val="yellow"/>
        </w:rPr>
        <w:t xml:space="preserve">       </w:t>
      </w:r>
      <w:bookmarkStart w:id="8" w:name="_GoBack"/>
      <w:bookmarkEnd w:id="8"/>
    </w:p>
    <w:p w:rsidR="007C70C2" w:rsidRPr="00EA4C67" w:rsidRDefault="007C70C2" w:rsidP="007C70C2">
      <w:pPr>
        <w:pStyle w:val="ListParagraph"/>
        <w:numPr>
          <w:ilvl w:val="0"/>
          <w:numId w:val="24"/>
        </w:numPr>
        <w:tabs>
          <w:tab w:val="clear" w:pos="432"/>
        </w:tabs>
        <w:spacing w:after="200" w:line="240" w:lineRule="auto"/>
        <w:jc w:val="left"/>
        <w:rPr>
          <w:highlight w:val="yellow"/>
        </w:rPr>
      </w:pPr>
      <w:r w:rsidRPr="00EA4C67">
        <w:rPr>
          <w:b/>
          <w:highlight w:val="yellow"/>
        </w:rPr>
        <w:t>Health Care Organizations</w:t>
      </w:r>
      <w:r w:rsidRPr="00EA4C67">
        <w:rPr>
          <w:highlight w:val="yellow"/>
        </w:rPr>
        <w:t xml:space="preserve">: The contractor will consult with key project staff from each selected state to determine key practice or clinic characteristics to represent a relevant range of experiences from their state. These characteristics will include participation and level of engagement in the CHIPRA quality demonstration, proportion of Spanish-speaking patients, organization size, organization location (including rural/urban), type of organization (FQHC, independently-owned, system-owned, etc.). In each PCMH state, we will select practices to allow for 2 Spanish focus groups and 2 non-Spanish focus groups. Depending on the state, more than one practice </w:t>
      </w:r>
      <w:r w:rsidR="00E035A2">
        <w:rPr>
          <w:highlight w:val="yellow"/>
        </w:rPr>
        <w:t xml:space="preserve">or school-based health clinic </w:t>
      </w:r>
      <w:r w:rsidRPr="00EA4C67">
        <w:rPr>
          <w:highlight w:val="yellow"/>
        </w:rPr>
        <w:t xml:space="preserve">may be selected for recruitment for a single focus group, or the same practice </w:t>
      </w:r>
      <w:r w:rsidR="00E035A2" w:rsidRPr="00E035A2">
        <w:rPr>
          <w:highlight w:val="yellow"/>
        </w:rPr>
        <w:t xml:space="preserve">or school-based health clinic </w:t>
      </w:r>
      <w:r w:rsidRPr="00EA4C67">
        <w:rPr>
          <w:highlight w:val="yellow"/>
        </w:rPr>
        <w:t xml:space="preserve">may be the recruitment site for multiple focus groups. Therefore, the number of practices selected may not necessarily be the same as the number of focus groups conducted. The provider site recruitment letters are included as Attachment </w:t>
      </w:r>
      <w:r w:rsidR="00AD7B68">
        <w:rPr>
          <w:highlight w:val="yellow"/>
        </w:rPr>
        <w:t>W</w:t>
      </w:r>
      <w:r w:rsidRPr="00EA4C67">
        <w:rPr>
          <w:highlight w:val="yellow"/>
        </w:rPr>
        <w:t xml:space="preserve">. </w:t>
      </w:r>
    </w:p>
    <w:p w:rsidR="007C70C2" w:rsidRPr="00EA4C67" w:rsidRDefault="007C70C2" w:rsidP="007C70C2">
      <w:pPr>
        <w:pStyle w:val="ListParagraph"/>
        <w:numPr>
          <w:ilvl w:val="0"/>
          <w:numId w:val="24"/>
        </w:numPr>
        <w:tabs>
          <w:tab w:val="clear" w:pos="432"/>
        </w:tabs>
        <w:spacing w:after="200" w:line="240" w:lineRule="auto"/>
        <w:jc w:val="left"/>
        <w:rPr>
          <w:highlight w:val="yellow"/>
        </w:rPr>
      </w:pPr>
      <w:r w:rsidRPr="00EA4C67">
        <w:rPr>
          <w:b/>
          <w:highlight w:val="yellow"/>
        </w:rPr>
        <w:t>Participants:</w:t>
      </w:r>
      <w:r w:rsidRPr="00EA4C67">
        <w:rPr>
          <w:highlight w:val="yellow"/>
        </w:rPr>
        <w:t xml:space="preserve"> Focus group participants will be recruited through flyers posted at the CHIPRA demonstration sites where they receive their care and letters handed out to parents and adolescents as they arrive for care (see Attachments </w:t>
      </w:r>
      <w:r w:rsidR="00AD7B68">
        <w:rPr>
          <w:highlight w:val="yellow"/>
        </w:rPr>
        <w:t>L</w:t>
      </w:r>
      <w:r w:rsidRPr="00EA4C67">
        <w:rPr>
          <w:highlight w:val="yellow"/>
        </w:rPr>
        <w:t xml:space="preserve"> and </w:t>
      </w:r>
      <w:r w:rsidR="00AD7B68">
        <w:rPr>
          <w:highlight w:val="yellow"/>
        </w:rPr>
        <w:t>Q</w:t>
      </w:r>
      <w:r w:rsidRPr="00EA4C67">
        <w:rPr>
          <w:highlight w:val="yellow"/>
        </w:rPr>
        <w:t xml:space="preserve"> for parent and adolescent focus group recruitment materials). The flyers and letters will include a toll-free number for potential participants to use to take</w:t>
      </w:r>
      <w:r w:rsidR="0053023D">
        <w:rPr>
          <w:highlight w:val="yellow"/>
        </w:rPr>
        <w:t xml:space="preserve"> part in a telephone screening</w:t>
      </w:r>
      <w:r w:rsidR="005C0DD1">
        <w:rPr>
          <w:highlight w:val="yellow"/>
        </w:rPr>
        <w:t xml:space="preserve"> in English or Spanish</w:t>
      </w:r>
      <w:r w:rsidR="0053023D">
        <w:rPr>
          <w:highlight w:val="yellow"/>
        </w:rPr>
        <w:t xml:space="preserve">. </w:t>
      </w:r>
      <w:r w:rsidRPr="00EA4C67">
        <w:rPr>
          <w:highlight w:val="yellow"/>
        </w:rPr>
        <w:t xml:space="preserve">As part of the call, we will determine whether the person is within the target population for the focus groups (see Attachments </w:t>
      </w:r>
      <w:r w:rsidR="00AD7B68">
        <w:rPr>
          <w:highlight w:val="yellow"/>
        </w:rPr>
        <w:t>M</w:t>
      </w:r>
      <w:r w:rsidRPr="00EA4C67">
        <w:rPr>
          <w:highlight w:val="yellow"/>
        </w:rPr>
        <w:t xml:space="preserve"> and </w:t>
      </w:r>
      <w:r w:rsidR="00AD7B68">
        <w:rPr>
          <w:highlight w:val="yellow"/>
        </w:rPr>
        <w:t>R</w:t>
      </w:r>
      <w:r w:rsidRPr="00EA4C67">
        <w:rPr>
          <w:highlight w:val="yellow"/>
        </w:rPr>
        <w:t xml:space="preserve"> </w:t>
      </w:r>
      <w:r w:rsidR="00AD7B68">
        <w:rPr>
          <w:highlight w:val="yellow"/>
        </w:rPr>
        <w:t xml:space="preserve">for </w:t>
      </w:r>
      <w:r w:rsidRPr="00EA4C67">
        <w:rPr>
          <w:highlight w:val="yellow"/>
        </w:rPr>
        <w:t>parent and adolescent telephone screening scripts)</w:t>
      </w:r>
      <w:r w:rsidR="00AD7B68">
        <w:rPr>
          <w:highlight w:val="yellow"/>
        </w:rPr>
        <w:t xml:space="preserve"> and, if they are eligible, conduct a pre-focus group </w:t>
      </w:r>
      <w:r w:rsidR="003F638E">
        <w:rPr>
          <w:highlight w:val="yellow"/>
        </w:rPr>
        <w:t>interview</w:t>
      </w:r>
      <w:r w:rsidR="00AD7B68">
        <w:rPr>
          <w:highlight w:val="yellow"/>
        </w:rPr>
        <w:t xml:space="preserve"> (see Attachments N and </w:t>
      </w:r>
      <w:r w:rsidR="00AD7B68">
        <w:rPr>
          <w:highlight w:val="yellow"/>
        </w:rPr>
        <w:lastRenderedPageBreak/>
        <w:t>S for parent and adolescent pre-focus group interview guides)</w:t>
      </w:r>
      <w:r w:rsidRPr="00EA4C67">
        <w:rPr>
          <w:highlight w:val="yellow"/>
        </w:rPr>
        <w:t xml:space="preserve">. If these relatively passive strategies for recruitment of focus group participants are not successful, ARHQ’s evaluation contractor will ask practices or SBHCs to mail a postcard to parents or adolescents in their database (see Attachment </w:t>
      </w:r>
      <w:r w:rsidR="00AD7B68">
        <w:rPr>
          <w:highlight w:val="yellow"/>
        </w:rPr>
        <w:t>L</w:t>
      </w:r>
      <w:r w:rsidRPr="00EA4C67">
        <w:rPr>
          <w:highlight w:val="yellow"/>
        </w:rPr>
        <w:t xml:space="preserve"> and </w:t>
      </w:r>
      <w:r w:rsidR="00AD7B68">
        <w:rPr>
          <w:highlight w:val="yellow"/>
        </w:rPr>
        <w:t>Q</w:t>
      </w:r>
      <w:r w:rsidRPr="00EA4C67">
        <w:rPr>
          <w:highlight w:val="yellow"/>
        </w:rPr>
        <w:t xml:space="preserve">). Through the telephone screening, individuals will be identified who are the parent of a Medicaid or CHIP beneficiary in PCMH </w:t>
      </w:r>
      <w:r w:rsidR="00DE55DA" w:rsidRPr="00EA4C67">
        <w:rPr>
          <w:highlight w:val="yellow"/>
        </w:rPr>
        <w:t>States</w:t>
      </w:r>
      <w:r w:rsidRPr="00EA4C67">
        <w:rPr>
          <w:highlight w:val="yellow"/>
        </w:rPr>
        <w:t xml:space="preserve"> or who are an adolescent beneficiary in SBHC </w:t>
      </w:r>
      <w:r w:rsidR="00DE55DA" w:rsidRPr="00EA4C67">
        <w:rPr>
          <w:highlight w:val="yellow"/>
        </w:rPr>
        <w:t>States</w:t>
      </w:r>
      <w:r w:rsidRPr="00EA4C67">
        <w:rPr>
          <w:highlight w:val="yellow"/>
        </w:rPr>
        <w:t xml:space="preserve">, and for whom the participating provider is the beneficiary’s usual source of care. Some individuals may also be excluded if they appear to be potential outliers (for example, serial focus group participants who have participated in one or more focus groups in the past year). </w:t>
      </w:r>
      <w:r w:rsidR="005C3B42" w:rsidRPr="00EA4C67">
        <w:rPr>
          <w:highlight w:val="yellow"/>
        </w:rPr>
        <w:t xml:space="preserve">For each focus group, 8-10 participants will be recruited. A maximum of 160 parents will participate in 16 focus groups across 4 States implementing PCMH-focused demonstration projects. Up to 40 adolescents will participate in four focus groups completed in one State with </w:t>
      </w:r>
      <w:r w:rsidR="00DE55DA" w:rsidRPr="00EA4C67">
        <w:rPr>
          <w:highlight w:val="yellow"/>
        </w:rPr>
        <w:t xml:space="preserve">a </w:t>
      </w:r>
      <w:r w:rsidR="005C3B42" w:rsidRPr="00EA4C67">
        <w:rPr>
          <w:highlight w:val="yellow"/>
        </w:rPr>
        <w:t>SBHC demonstration project.</w:t>
      </w:r>
      <w:r w:rsidRPr="00EA4C67">
        <w:rPr>
          <w:highlight w:val="yellow"/>
        </w:rPr>
        <w:t xml:space="preserve">          </w:t>
      </w:r>
    </w:p>
    <w:p w:rsidR="007C70C2" w:rsidRPr="00EA4C67" w:rsidRDefault="007C70C2" w:rsidP="007C70C2">
      <w:pPr>
        <w:tabs>
          <w:tab w:val="clear" w:pos="432"/>
          <w:tab w:val="left" w:pos="0"/>
        </w:tabs>
        <w:spacing w:line="240" w:lineRule="auto"/>
        <w:ind w:firstLine="0"/>
        <w:rPr>
          <w:highlight w:val="yellow"/>
        </w:rPr>
      </w:pPr>
      <w:r w:rsidRPr="00EA4C67">
        <w:rPr>
          <w:highlight w:val="yellow"/>
        </w:rPr>
        <w:t xml:space="preserve">Exhibit 1 illustrates our sampling design, which will allow us to make comparisons within and across </w:t>
      </w:r>
      <w:r w:rsidR="00DE55DA" w:rsidRPr="00EA4C67">
        <w:rPr>
          <w:highlight w:val="yellow"/>
        </w:rPr>
        <w:t>States</w:t>
      </w:r>
      <w:r w:rsidRPr="00EA4C67">
        <w:rPr>
          <w:highlight w:val="yellow"/>
        </w:rPr>
        <w:t xml:space="preserve"> in order to answer multiple evaluation questions.</w:t>
      </w:r>
    </w:p>
    <w:p w:rsidR="007C70C2" w:rsidRPr="00EA4C67" w:rsidRDefault="007C70C2" w:rsidP="007C70C2">
      <w:pPr>
        <w:tabs>
          <w:tab w:val="clear" w:pos="432"/>
          <w:tab w:val="left" w:pos="0"/>
        </w:tabs>
        <w:spacing w:line="240" w:lineRule="auto"/>
        <w:ind w:firstLine="0"/>
        <w:rPr>
          <w:highlight w:val="yellow"/>
        </w:rPr>
      </w:pPr>
    </w:p>
    <w:p w:rsidR="007C70C2" w:rsidRPr="00EB3A8B" w:rsidRDefault="00EE09F2" w:rsidP="007C70C2">
      <w:pPr>
        <w:pStyle w:val="NormalSS"/>
        <w:ind w:firstLine="0"/>
      </w:pPr>
      <w:r>
        <w:rPr>
          <w:noProof/>
          <w:highlight w:val="yellow"/>
        </w:rPr>
        <w:pict>
          <v:group id="Group 61" o:spid="_x0000_s1026" style="position:absolute;left:0;text-align:left;margin-left:16.55pt;margin-top:23.4pt;width:415.25pt;height:264.2pt;z-index:251660288" coordorigin="1771,4808" coordsize="8305,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">
            <v:shapetype id="_x0000_t202" coordsize="21600,21600" o:spt="202" path="m,l,21600r21600,l21600,xe">
              <v:stroke joinstyle="miter"/>
              <v:path gradientshapeok="t" o:connecttype="rect"/>
            </v:shapetype>
            <v:shape id="Text Box 2" o:spid="_x0000_s1027" type="#_x0000_t202" style="position:absolute;left:1771;top:6013;width:1567;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4D1887" w:rsidRDefault="004D1887" w:rsidP="007C70C2">
                    <w:pPr>
                      <w:spacing w:line="240" w:lineRule="auto"/>
                      <w:ind w:firstLine="0"/>
                      <w:rPr>
                        <w:b/>
                        <w:sz w:val="20"/>
                        <w:szCs w:val="20"/>
                        <w:u w:val="single"/>
                      </w:rPr>
                    </w:pPr>
                    <w:r w:rsidRPr="00CB69C9">
                      <w:rPr>
                        <w:b/>
                        <w:sz w:val="20"/>
                        <w:szCs w:val="20"/>
                        <w:u w:val="single"/>
                      </w:rPr>
                      <w:t>Sampling</w:t>
                    </w:r>
                  </w:p>
                </w:txbxContent>
              </v:textbox>
            </v:shape>
            <v:group id="Group 36" o:spid="_x0000_s1028" style="position:absolute;left:4603;top:4808;width:4335;height:1398" coordorigin="3953,4928" coordsize="4335,1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4" o:spid="_x0000_s1029" type="#_x0000_t202" style="position:absolute;left:3953;top:4928;width:4335;height:13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D1887" w:rsidRPr="00CB69C9" w:rsidRDefault="004D1887" w:rsidP="007C70C2">
                      <w:pPr>
                        <w:spacing w:line="240" w:lineRule="auto"/>
                        <w:ind w:firstLine="0"/>
                        <w:jc w:val="center"/>
                        <w:rPr>
                          <w:sz w:val="20"/>
                          <w:szCs w:val="20"/>
                        </w:rPr>
                      </w:pPr>
                      <w:r w:rsidRPr="00CB69C9">
                        <w:rPr>
                          <w:sz w:val="20"/>
                          <w:szCs w:val="20"/>
                        </w:rPr>
                        <w:t>18 Demonstration States</w:t>
                      </w:r>
                    </w:p>
                  </w:txbxContent>
                </v:textbox>
              </v:shape>
              <v:group id="Group 35" o:spid="_x0000_s1030" style="position:absolute;left:4171;top:5292;width:3900;height:841" coordorigin="4236,5292" coordsize="3900,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5" o:spid="_x0000_s1031" type="#_x0000_t202" style="position:absolute;left:4236;top:5292;width:1830;height: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D1887" w:rsidRPr="00CB69C9" w:rsidRDefault="004D1887" w:rsidP="007C70C2">
                        <w:pPr>
                          <w:spacing w:line="240" w:lineRule="auto"/>
                          <w:ind w:firstLine="0"/>
                          <w:jc w:val="center"/>
                          <w:rPr>
                            <w:sz w:val="20"/>
                            <w:szCs w:val="20"/>
                          </w:rPr>
                        </w:pPr>
                        <w:r w:rsidRPr="00CB69C9">
                          <w:rPr>
                            <w:sz w:val="20"/>
                            <w:szCs w:val="20"/>
                          </w:rPr>
                          <w:t>12 PCMH States</w:t>
                        </w:r>
                      </w:p>
                    </w:txbxContent>
                  </v:textbox>
                </v:shape>
                <v:shape id="Text Box 3" o:spid="_x0000_s1032" type="#_x0000_t202" style="position:absolute;left:6306;top:5292;width:1830;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D1887" w:rsidRPr="00CB69C9" w:rsidRDefault="004D1887" w:rsidP="007C70C2">
                        <w:pPr>
                          <w:spacing w:line="240" w:lineRule="auto"/>
                          <w:ind w:firstLine="0"/>
                          <w:jc w:val="center"/>
                          <w:rPr>
                            <w:sz w:val="20"/>
                            <w:szCs w:val="20"/>
                          </w:rPr>
                        </w:pPr>
                        <w:r w:rsidRPr="00CB69C9">
                          <w:rPr>
                            <w:sz w:val="20"/>
                            <w:szCs w:val="20"/>
                          </w:rPr>
                          <w:t>2 SBHC States</w:t>
                        </w:r>
                      </w:p>
                    </w:txbxContent>
                  </v:textbox>
                </v:shape>
                <v:shape id="Text Box 4" o:spid="_x0000_s1033" type="#_x0000_t202" style="position:absolute;left:4236;top:5786;width:3900;height: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D1887" w:rsidRPr="00CB69C9" w:rsidRDefault="004D1887" w:rsidP="007C70C2">
                        <w:pPr>
                          <w:spacing w:line="240" w:lineRule="auto"/>
                          <w:ind w:firstLine="0"/>
                          <w:jc w:val="center"/>
                          <w:rPr>
                            <w:sz w:val="20"/>
                            <w:szCs w:val="20"/>
                          </w:rPr>
                        </w:pPr>
                        <w:r w:rsidRPr="00CB69C9">
                          <w:rPr>
                            <w:sz w:val="20"/>
                            <w:szCs w:val="20"/>
                          </w:rPr>
                          <w:t>4 non-PCMH or SBHC States</w:t>
                        </w:r>
                      </w:p>
                    </w:txbxContent>
                  </v:textbox>
                </v:shape>
              </v:group>
            </v:group>
            <v:shape id="Text Box 26" o:spid="_x0000_s1034" type="#_x0000_t202" style="position:absolute;left:4929;top:8868;width:1152;height:1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D1887" w:rsidRDefault="004D1887" w:rsidP="007C70C2">
                    <w:pPr>
                      <w:spacing w:line="240" w:lineRule="auto"/>
                      <w:ind w:firstLine="0"/>
                      <w:jc w:val="center"/>
                      <w:rPr>
                        <w:sz w:val="20"/>
                        <w:szCs w:val="20"/>
                      </w:rPr>
                    </w:pPr>
                    <w:r w:rsidRPr="00CB69C9">
                      <w:rPr>
                        <w:b/>
                        <w:sz w:val="20"/>
                        <w:szCs w:val="20"/>
                      </w:rPr>
                      <w:t>4 parent groups</w:t>
                    </w:r>
                    <w:r w:rsidRPr="00CB69C9">
                      <w:rPr>
                        <w:sz w:val="20"/>
                        <w:szCs w:val="20"/>
                      </w:rPr>
                      <w:t xml:space="preserve"> </w:t>
                    </w:r>
                  </w:p>
                  <w:p w:rsidR="004D1887" w:rsidRPr="00D34CD9" w:rsidRDefault="004D1887" w:rsidP="007C70C2">
                    <w:pPr>
                      <w:spacing w:line="240" w:lineRule="auto"/>
                      <w:ind w:firstLine="0"/>
                      <w:jc w:val="center"/>
                      <w:rPr>
                        <w:sz w:val="10"/>
                        <w:szCs w:val="10"/>
                      </w:rPr>
                    </w:pPr>
                    <w:r w:rsidRPr="00D34CD9">
                      <w:rPr>
                        <w:sz w:val="10"/>
                        <w:szCs w:val="10"/>
                      </w:rPr>
                      <w:t xml:space="preserve"> </w:t>
                    </w:r>
                  </w:p>
                  <w:p w:rsidR="004D1887" w:rsidRDefault="004D1887" w:rsidP="007C70C2">
                    <w:pPr>
                      <w:spacing w:line="240" w:lineRule="auto"/>
                      <w:ind w:firstLine="0"/>
                      <w:jc w:val="center"/>
                      <w:rPr>
                        <w:sz w:val="20"/>
                        <w:szCs w:val="20"/>
                      </w:rPr>
                    </w:pPr>
                    <w:r w:rsidRPr="00CB69C9">
                      <w:rPr>
                        <w:sz w:val="20"/>
                        <w:szCs w:val="20"/>
                      </w:rPr>
                      <w:t xml:space="preserve"> 2 English</w:t>
                    </w:r>
                  </w:p>
                  <w:p w:rsidR="004D1887" w:rsidRPr="00CB69C9" w:rsidRDefault="004D1887" w:rsidP="007C70C2">
                    <w:pPr>
                      <w:spacing w:line="240" w:lineRule="auto"/>
                      <w:ind w:firstLine="0"/>
                      <w:jc w:val="center"/>
                      <w:rPr>
                        <w:sz w:val="20"/>
                        <w:szCs w:val="20"/>
                      </w:rPr>
                    </w:pPr>
                    <w:r w:rsidRPr="00CB69C9">
                      <w:rPr>
                        <w:sz w:val="20"/>
                        <w:szCs w:val="20"/>
                      </w:rPr>
                      <w:t xml:space="preserve"> 2 Spanish</w:t>
                    </w:r>
                  </w:p>
                </w:txbxContent>
              </v:textbox>
            </v:shape>
            <v:shape id="Text Box 27" o:spid="_x0000_s1035" type="#_x0000_t202" style="position:absolute;left:6193;top:8868;width:1152;height:1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D1887" w:rsidRDefault="004D1887" w:rsidP="007C70C2">
                    <w:pPr>
                      <w:spacing w:line="240" w:lineRule="auto"/>
                      <w:ind w:firstLine="0"/>
                      <w:jc w:val="center"/>
                      <w:rPr>
                        <w:sz w:val="20"/>
                        <w:szCs w:val="20"/>
                      </w:rPr>
                    </w:pPr>
                    <w:r w:rsidRPr="00CB69C9">
                      <w:rPr>
                        <w:b/>
                        <w:sz w:val="20"/>
                        <w:szCs w:val="20"/>
                      </w:rPr>
                      <w:t>4 parent groups</w:t>
                    </w:r>
                    <w:r w:rsidRPr="00CB69C9">
                      <w:rPr>
                        <w:sz w:val="20"/>
                        <w:szCs w:val="20"/>
                      </w:rPr>
                      <w:t xml:space="preserve">  </w:t>
                    </w:r>
                  </w:p>
                  <w:p w:rsidR="004D1887" w:rsidRPr="00D34CD9" w:rsidRDefault="004D1887" w:rsidP="007C70C2">
                    <w:pPr>
                      <w:spacing w:line="240" w:lineRule="auto"/>
                      <w:ind w:firstLine="0"/>
                      <w:jc w:val="center"/>
                      <w:rPr>
                        <w:sz w:val="10"/>
                        <w:szCs w:val="10"/>
                      </w:rPr>
                    </w:pPr>
                  </w:p>
                  <w:p w:rsidR="004D1887" w:rsidRDefault="004D1887" w:rsidP="007C70C2">
                    <w:pPr>
                      <w:spacing w:line="240" w:lineRule="auto"/>
                      <w:ind w:firstLine="0"/>
                      <w:jc w:val="center"/>
                      <w:rPr>
                        <w:sz w:val="20"/>
                        <w:szCs w:val="20"/>
                      </w:rPr>
                    </w:pPr>
                    <w:r w:rsidRPr="00CB69C9">
                      <w:rPr>
                        <w:sz w:val="20"/>
                        <w:szCs w:val="20"/>
                      </w:rPr>
                      <w:t xml:space="preserve"> 2 English </w:t>
                    </w:r>
                  </w:p>
                  <w:p w:rsidR="004D1887" w:rsidRPr="00CB69C9" w:rsidRDefault="004D1887" w:rsidP="007C70C2">
                    <w:pPr>
                      <w:spacing w:line="240" w:lineRule="auto"/>
                      <w:ind w:firstLine="0"/>
                      <w:jc w:val="center"/>
                      <w:rPr>
                        <w:sz w:val="20"/>
                        <w:szCs w:val="20"/>
                      </w:rPr>
                    </w:pPr>
                    <w:r w:rsidRPr="00CB69C9">
                      <w:rPr>
                        <w:sz w:val="20"/>
                        <w:szCs w:val="20"/>
                      </w:rPr>
                      <w:t>2 Spanish</w:t>
                    </w:r>
                  </w:p>
                </w:txbxContent>
              </v:textbox>
            </v:shape>
            <v:shape id="Text Box 28" o:spid="_x0000_s1036" type="#_x0000_t202" style="position:absolute;left:7457;top:8868;width:1152;height:1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D1887" w:rsidRDefault="004D1887" w:rsidP="007C70C2">
                    <w:pPr>
                      <w:spacing w:line="240" w:lineRule="auto"/>
                      <w:ind w:firstLine="0"/>
                      <w:jc w:val="center"/>
                      <w:rPr>
                        <w:sz w:val="20"/>
                        <w:szCs w:val="20"/>
                      </w:rPr>
                    </w:pPr>
                    <w:r w:rsidRPr="00CB69C9">
                      <w:rPr>
                        <w:b/>
                        <w:sz w:val="20"/>
                        <w:szCs w:val="20"/>
                      </w:rPr>
                      <w:t>4 parent groups</w:t>
                    </w:r>
                    <w:r w:rsidRPr="00CB69C9">
                      <w:rPr>
                        <w:sz w:val="20"/>
                        <w:szCs w:val="20"/>
                      </w:rPr>
                      <w:t xml:space="preserve">  </w:t>
                    </w:r>
                  </w:p>
                  <w:p w:rsidR="004D1887" w:rsidRPr="00D34CD9" w:rsidRDefault="004D1887" w:rsidP="007C70C2">
                    <w:pPr>
                      <w:spacing w:line="240" w:lineRule="auto"/>
                      <w:ind w:firstLine="0"/>
                      <w:jc w:val="center"/>
                      <w:rPr>
                        <w:sz w:val="10"/>
                        <w:szCs w:val="10"/>
                      </w:rPr>
                    </w:pPr>
                  </w:p>
                  <w:p w:rsidR="004D1887" w:rsidRDefault="004D1887" w:rsidP="007C70C2">
                    <w:pPr>
                      <w:spacing w:line="240" w:lineRule="auto"/>
                      <w:ind w:firstLine="0"/>
                      <w:jc w:val="center"/>
                      <w:rPr>
                        <w:sz w:val="20"/>
                        <w:szCs w:val="20"/>
                      </w:rPr>
                    </w:pPr>
                    <w:r w:rsidRPr="00CB69C9">
                      <w:rPr>
                        <w:sz w:val="20"/>
                        <w:szCs w:val="20"/>
                      </w:rPr>
                      <w:t xml:space="preserve">2 English </w:t>
                    </w:r>
                  </w:p>
                  <w:p w:rsidR="004D1887" w:rsidRPr="00CB69C9" w:rsidRDefault="004D1887" w:rsidP="007C70C2">
                    <w:pPr>
                      <w:spacing w:line="240" w:lineRule="auto"/>
                      <w:ind w:firstLine="0"/>
                      <w:jc w:val="center"/>
                      <w:rPr>
                        <w:sz w:val="20"/>
                        <w:szCs w:val="20"/>
                      </w:rPr>
                    </w:pPr>
                    <w:r w:rsidRPr="00CB69C9">
                      <w:rPr>
                        <w:sz w:val="20"/>
                        <w:szCs w:val="20"/>
                      </w:rPr>
                      <w:t>2 Spanish</w:t>
                    </w:r>
                  </w:p>
                </w:txbxContent>
              </v:textbox>
            </v:shape>
            <v:shape id="Text Box 288" o:spid="_x0000_s1037" type="#_x0000_t202" style="position:absolute;left:8721;top:8868;width:1355;height:1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D1887" w:rsidRDefault="004D1887" w:rsidP="007C70C2">
                    <w:pPr>
                      <w:spacing w:line="240" w:lineRule="auto"/>
                      <w:ind w:firstLine="0"/>
                      <w:jc w:val="center"/>
                      <w:rPr>
                        <w:sz w:val="20"/>
                        <w:szCs w:val="20"/>
                      </w:rPr>
                    </w:pPr>
                    <w:r w:rsidRPr="00CB69C9">
                      <w:rPr>
                        <w:b/>
                        <w:sz w:val="20"/>
                        <w:szCs w:val="20"/>
                      </w:rPr>
                      <w:t>4 adolescent groups</w:t>
                    </w:r>
                    <w:r w:rsidRPr="00CB69C9">
                      <w:rPr>
                        <w:sz w:val="20"/>
                        <w:szCs w:val="20"/>
                      </w:rPr>
                      <w:t xml:space="preserve"> </w:t>
                    </w:r>
                  </w:p>
                  <w:p w:rsidR="004D1887" w:rsidRPr="00D34CD9" w:rsidRDefault="004D1887" w:rsidP="007C70C2">
                    <w:pPr>
                      <w:spacing w:line="240" w:lineRule="auto"/>
                      <w:ind w:firstLine="0"/>
                      <w:jc w:val="center"/>
                      <w:rPr>
                        <w:sz w:val="10"/>
                        <w:szCs w:val="10"/>
                      </w:rPr>
                    </w:pPr>
                  </w:p>
                  <w:p w:rsidR="004D1887" w:rsidRPr="00CB69C9" w:rsidRDefault="004D1887" w:rsidP="007C70C2">
                    <w:pPr>
                      <w:spacing w:line="240" w:lineRule="auto"/>
                      <w:ind w:firstLine="0"/>
                      <w:jc w:val="center"/>
                      <w:rPr>
                        <w:sz w:val="20"/>
                        <w:szCs w:val="20"/>
                      </w:rPr>
                    </w:pPr>
                    <w:r w:rsidRPr="00CB69C9">
                      <w:rPr>
                        <w:sz w:val="20"/>
                        <w:szCs w:val="20"/>
                      </w:rPr>
                      <w:t xml:space="preserve"> </w:t>
                    </w:r>
                    <w:r>
                      <w:rPr>
                        <w:sz w:val="20"/>
                        <w:szCs w:val="20"/>
                      </w:rPr>
                      <w:t>4</w:t>
                    </w:r>
                    <w:r w:rsidRPr="00CB69C9">
                      <w:rPr>
                        <w:sz w:val="20"/>
                        <w:szCs w:val="20"/>
                      </w:rPr>
                      <w:t xml:space="preserve"> English </w:t>
                    </w:r>
                  </w:p>
                  <w:p w:rsidR="004D1887" w:rsidRDefault="004D1887">
                    <w:pPr>
                      <w:spacing w:line="240" w:lineRule="auto"/>
                      <w:ind w:firstLine="0"/>
                      <w:rPr>
                        <w:sz w:val="20"/>
                        <w:szCs w:val="20"/>
                      </w:rPr>
                    </w:pPr>
                    <w:r w:rsidRPr="00CB69C9">
                      <w:rPr>
                        <w:sz w:val="20"/>
                        <w:szCs w:val="20"/>
                      </w:rPr>
                      <w:t xml:space="preserve"> </w:t>
                    </w:r>
                  </w:p>
                </w:txbxContent>
              </v:textbox>
            </v:shape>
            <v:group id="Group 40" o:spid="_x0000_s1038" style="position:absolute;left:3996;top:6531;width:5550;height:1167" coordorigin="3471,7177" coordsize="5550,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9" o:spid="_x0000_s1039" type="#_x0000_t202" style="position:absolute;left:3471;top:7177;width:5550;height:11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4D1887" w:rsidRPr="00CB69C9" w:rsidRDefault="004D1887" w:rsidP="007C70C2">
                      <w:pPr>
                        <w:spacing w:line="240" w:lineRule="auto"/>
                        <w:ind w:firstLine="0"/>
                        <w:jc w:val="center"/>
                        <w:rPr>
                          <w:sz w:val="20"/>
                          <w:szCs w:val="20"/>
                        </w:rPr>
                      </w:pPr>
                      <w:r w:rsidRPr="00CB69C9">
                        <w:rPr>
                          <w:sz w:val="20"/>
                          <w:szCs w:val="20"/>
                        </w:rPr>
                        <w:t>5 Selected States</w:t>
                      </w:r>
                    </w:p>
                  </w:txbxContent>
                </v:textbox>
              </v:shape>
              <v:group id="Group 39" o:spid="_x0000_s1040" style="position:absolute;left:3666;top:7556;width:5160;height:606" coordorigin="3696,7556" coordsize="5160,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8" o:spid="_x0000_s1041" type="#_x0000_t202" style="position:absolute;left:3696;top:7556;width:930;height: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D1887" w:rsidRPr="00CB69C9" w:rsidRDefault="004D1887" w:rsidP="007C70C2">
                        <w:pPr>
                          <w:spacing w:line="240" w:lineRule="auto"/>
                          <w:ind w:firstLine="0"/>
                          <w:jc w:val="center"/>
                          <w:rPr>
                            <w:sz w:val="20"/>
                            <w:szCs w:val="20"/>
                          </w:rPr>
                        </w:pPr>
                        <w:r w:rsidRPr="00CB69C9">
                          <w:rPr>
                            <w:sz w:val="20"/>
                            <w:szCs w:val="20"/>
                          </w:rPr>
                          <w:t>PCMH State</w:t>
                        </w:r>
                      </w:p>
                    </w:txbxContent>
                  </v:textbox>
                </v:shape>
                <v:shape id="Text Box 9" o:spid="_x0000_s1042" type="#_x0000_t202" style="position:absolute;left:5811;top:7556;width:930;height: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D1887" w:rsidRPr="00CB69C9" w:rsidRDefault="004D1887" w:rsidP="007C70C2">
                        <w:pPr>
                          <w:spacing w:line="240" w:lineRule="auto"/>
                          <w:ind w:firstLine="0"/>
                          <w:jc w:val="center"/>
                          <w:rPr>
                            <w:sz w:val="20"/>
                            <w:szCs w:val="20"/>
                          </w:rPr>
                        </w:pPr>
                        <w:r w:rsidRPr="00CB69C9">
                          <w:rPr>
                            <w:sz w:val="20"/>
                            <w:szCs w:val="20"/>
                          </w:rPr>
                          <w:t>PCMH State</w:t>
                        </w:r>
                      </w:p>
                    </w:txbxContent>
                  </v:textbox>
                </v:shape>
                <v:shape id="Text Box 10" o:spid="_x0000_s1043" type="#_x0000_t202" style="position:absolute;left:4753;top:7556;width:930;height: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D1887" w:rsidRPr="00CB69C9" w:rsidRDefault="004D1887" w:rsidP="007C70C2">
                        <w:pPr>
                          <w:spacing w:line="240" w:lineRule="auto"/>
                          <w:ind w:firstLine="0"/>
                          <w:jc w:val="center"/>
                          <w:rPr>
                            <w:sz w:val="20"/>
                            <w:szCs w:val="20"/>
                          </w:rPr>
                        </w:pPr>
                        <w:r w:rsidRPr="00CB69C9">
                          <w:rPr>
                            <w:sz w:val="20"/>
                            <w:szCs w:val="20"/>
                          </w:rPr>
                          <w:t>PCMH State</w:t>
                        </w:r>
                      </w:p>
                    </w:txbxContent>
                  </v:textbox>
                </v:shape>
                <v:shape id="Text Box 11" o:spid="_x0000_s1044" type="#_x0000_t202" style="position:absolute;left:6868;top:7556;width:930;height: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D1887" w:rsidRPr="00CB69C9" w:rsidRDefault="004D1887" w:rsidP="007C70C2">
                        <w:pPr>
                          <w:spacing w:line="240" w:lineRule="auto"/>
                          <w:ind w:firstLine="0"/>
                          <w:jc w:val="center"/>
                          <w:rPr>
                            <w:sz w:val="20"/>
                            <w:szCs w:val="20"/>
                          </w:rPr>
                        </w:pPr>
                        <w:r w:rsidRPr="00CB69C9">
                          <w:rPr>
                            <w:sz w:val="20"/>
                            <w:szCs w:val="20"/>
                          </w:rPr>
                          <w:t>PCMH State</w:t>
                        </w:r>
                      </w:p>
                    </w:txbxContent>
                  </v:textbox>
                </v:shape>
                <v:shape id="Text Box 12" o:spid="_x0000_s1045" type="#_x0000_t202" style="position:absolute;left:7926;top:7556;width:930;height: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D1887" w:rsidRPr="00CB69C9" w:rsidRDefault="004D1887" w:rsidP="007C70C2">
                        <w:pPr>
                          <w:spacing w:line="240" w:lineRule="auto"/>
                          <w:ind w:firstLine="0"/>
                          <w:jc w:val="center"/>
                          <w:rPr>
                            <w:sz w:val="20"/>
                            <w:szCs w:val="20"/>
                          </w:rPr>
                        </w:pPr>
                        <w:r w:rsidRPr="00CB69C9">
                          <w:rPr>
                            <w:sz w:val="20"/>
                            <w:szCs w:val="20"/>
                          </w:rPr>
                          <w:t>SBHC State</w:t>
                        </w:r>
                      </w:p>
                    </w:txbxContent>
                  </v:textbox>
                </v:shape>
              </v:group>
            </v:group>
            <v:shapetype id="_x0000_t32" coordsize="21600,21600" o:spt="32" o:oned="t" path="m,l21600,21600e" filled="f">
              <v:path arrowok="t" fillok="f" o:connecttype="none"/>
              <o:lock v:ext="edit" shapetype="t"/>
            </v:shapetype>
            <v:shape id="AutoShape 42" o:spid="_x0000_s1046" type="#_x0000_t32" style="position:absolute;left:6771;top:6206;width:0;height: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AutoShape 47" o:spid="_x0000_s1047" type="#_x0000_t32" style="position:absolute;left:8938;top:7520;width:0;height:4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AutoShape 48" o:spid="_x0000_s1048" type="#_x0000_t32" style="position:absolute;left:7869;top:7527;width:0;height:4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5w8MAAADbAAAADwAAAGRycy9kb3ducmV2LnhtbESPQWvCQBSE7wX/w/KEXkrdGNFKdCMi&#10;tBU8qYVeH9mXbEj2bciuMf33XaHQ4zAz3zDb3WhbMVDva8cK5rMEBHHhdM2Vgq/r++sahA/IGlvH&#10;pOCHPOzyydMWM+3ufKbhEioRIewzVGBC6DIpfWHIop+5jjh6pesthij7Suoe7xFuW5kmyUparDku&#10;GOzoYKhoLjeroEw1zV+ab/P5tsTycFqkw9B+KPU8HfcbEIHG8B/+ax+1gnQB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RucPDAAAA2wAAAA8AAAAAAAAAAAAA&#10;AAAAoQIAAGRycy9kb3ducmV2LnhtbFBLBQYAAAAABAAEAPkAAACRAwAAAAA=&#10;">
              <v:stroke endarrow="open"/>
            </v:shape>
            <v:shape id="AutoShape 49" o:spid="_x0000_s1049" type="#_x0000_t32" style="position:absolute;left:6771;top:7527;width:0;height:4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AutoShape 50" o:spid="_x0000_s1050" type="#_x0000_t32" style="position:absolute;left:5779;top:7527;width:0;height:4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AutoShape 51" o:spid="_x0000_s1051" type="#_x0000_t32" style="position:absolute;left:4627;top:7527;width:0;height:4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Text Box 23" o:spid="_x0000_s1052" type="#_x0000_t202" style="position:absolute;left:3666;top:8868;width:1152;height:1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4D1887" w:rsidRDefault="004D1887" w:rsidP="007C70C2">
                    <w:pPr>
                      <w:spacing w:line="240" w:lineRule="auto"/>
                      <w:ind w:firstLine="0"/>
                      <w:jc w:val="center"/>
                      <w:rPr>
                        <w:b/>
                        <w:sz w:val="20"/>
                        <w:szCs w:val="20"/>
                      </w:rPr>
                    </w:pPr>
                    <w:r w:rsidRPr="00CB69C9">
                      <w:rPr>
                        <w:b/>
                        <w:sz w:val="20"/>
                        <w:szCs w:val="20"/>
                      </w:rPr>
                      <w:t>4 parent groups</w:t>
                    </w:r>
                  </w:p>
                  <w:p w:rsidR="004D1887" w:rsidRPr="00D34CD9" w:rsidRDefault="004D1887" w:rsidP="007C70C2">
                    <w:pPr>
                      <w:spacing w:line="240" w:lineRule="auto"/>
                      <w:ind w:firstLine="0"/>
                      <w:jc w:val="center"/>
                      <w:rPr>
                        <w:sz w:val="10"/>
                        <w:szCs w:val="10"/>
                      </w:rPr>
                    </w:pPr>
                    <w:r w:rsidRPr="00D34CD9">
                      <w:rPr>
                        <w:sz w:val="10"/>
                        <w:szCs w:val="10"/>
                      </w:rPr>
                      <w:t xml:space="preserve">  </w:t>
                    </w:r>
                  </w:p>
                  <w:p w:rsidR="004D1887" w:rsidRDefault="004D1887" w:rsidP="007C70C2">
                    <w:pPr>
                      <w:spacing w:line="240" w:lineRule="auto"/>
                      <w:ind w:firstLine="0"/>
                      <w:jc w:val="center"/>
                      <w:rPr>
                        <w:sz w:val="20"/>
                        <w:szCs w:val="20"/>
                      </w:rPr>
                    </w:pPr>
                    <w:r w:rsidRPr="00CB69C9">
                      <w:rPr>
                        <w:sz w:val="20"/>
                        <w:szCs w:val="20"/>
                      </w:rPr>
                      <w:t xml:space="preserve"> 2 English </w:t>
                    </w:r>
                  </w:p>
                  <w:p w:rsidR="004D1887" w:rsidRPr="00CB69C9" w:rsidRDefault="004D1887" w:rsidP="007C70C2">
                    <w:pPr>
                      <w:spacing w:line="240" w:lineRule="auto"/>
                      <w:ind w:firstLine="0"/>
                      <w:jc w:val="center"/>
                      <w:rPr>
                        <w:sz w:val="20"/>
                        <w:szCs w:val="20"/>
                      </w:rPr>
                    </w:pPr>
                    <w:r w:rsidRPr="00CB69C9">
                      <w:rPr>
                        <w:sz w:val="20"/>
                        <w:szCs w:val="20"/>
                      </w:rPr>
                      <w:t>2 Spanish</w:t>
                    </w:r>
                  </w:p>
                </w:txbxContent>
              </v:textbox>
            </v:shape>
            <v:group id="Group 60" o:spid="_x0000_s1053" style="position:absolute;left:3666;top:7982;width:6098;height:574" coordorigin="3666,7982" coordsize="6098,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14" o:spid="_x0000_s1054" type="#_x0000_t202" style="position:absolute;left:4937;top:7982;width:1155;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4D1887" w:rsidRPr="00CB69C9" w:rsidRDefault="004D1887" w:rsidP="007C70C2">
                      <w:pPr>
                        <w:spacing w:line="240" w:lineRule="auto"/>
                        <w:ind w:firstLine="0"/>
                        <w:jc w:val="center"/>
                        <w:rPr>
                          <w:sz w:val="20"/>
                          <w:szCs w:val="20"/>
                        </w:rPr>
                      </w:pPr>
                      <w:r w:rsidRPr="00CB69C9">
                        <w:rPr>
                          <w:sz w:val="20"/>
                          <w:szCs w:val="20"/>
                        </w:rPr>
                        <w:t>Selected Practices</w:t>
                      </w:r>
                    </w:p>
                  </w:txbxContent>
                </v:textbox>
              </v:shape>
              <v:shape id="Text Box 15" o:spid="_x0000_s1055" type="#_x0000_t202" style="position:absolute;left:6208;top:7982;width:1013;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4D1887" w:rsidRPr="00CB69C9" w:rsidRDefault="004D1887" w:rsidP="007C70C2">
                      <w:pPr>
                        <w:spacing w:line="240" w:lineRule="auto"/>
                        <w:ind w:firstLine="0"/>
                        <w:jc w:val="center"/>
                        <w:rPr>
                          <w:sz w:val="20"/>
                          <w:szCs w:val="20"/>
                        </w:rPr>
                      </w:pPr>
                      <w:r w:rsidRPr="00CB69C9">
                        <w:rPr>
                          <w:sz w:val="20"/>
                          <w:szCs w:val="20"/>
                        </w:rPr>
                        <w:t>Selected Practices</w:t>
                      </w:r>
                    </w:p>
                  </w:txbxContent>
                </v:textbox>
              </v:shape>
              <v:shape id="Text Box 16" o:spid="_x0000_s1056" type="#_x0000_t202" style="position:absolute;left:7337;top:7982;width:1155;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D1887" w:rsidRPr="00CB69C9" w:rsidRDefault="004D1887" w:rsidP="007C70C2">
                      <w:pPr>
                        <w:spacing w:line="240" w:lineRule="auto"/>
                        <w:ind w:firstLine="0"/>
                        <w:jc w:val="center"/>
                        <w:rPr>
                          <w:sz w:val="20"/>
                          <w:szCs w:val="20"/>
                        </w:rPr>
                      </w:pPr>
                      <w:r w:rsidRPr="00CB69C9">
                        <w:rPr>
                          <w:sz w:val="20"/>
                          <w:szCs w:val="20"/>
                        </w:rPr>
                        <w:t>Selected Practices</w:t>
                      </w:r>
                    </w:p>
                  </w:txbxContent>
                </v:textbox>
              </v:shape>
              <v:shape id="Text Box 17" o:spid="_x0000_s1057" type="#_x0000_t202" style="position:absolute;left:8609;top:7982;width:1155;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4D1887" w:rsidRPr="00CB69C9" w:rsidRDefault="004D1887" w:rsidP="007C70C2">
                      <w:pPr>
                        <w:spacing w:line="240" w:lineRule="auto"/>
                        <w:ind w:firstLine="0"/>
                        <w:jc w:val="center"/>
                        <w:rPr>
                          <w:sz w:val="20"/>
                          <w:szCs w:val="20"/>
                        </w:rPr>
                      </w:pPr>
                      <w:r w:rsidRPr="00CB69C9">
                        <w:rPr>
                          <w:sz w:val="20"/>
                          <w:szCs w:val="20"/>
                        </w:rPr>
                        <w:t xml:space="preserve">Selected </w:t>
                      </w:r>
                      <w:r>
                        <w:rPr>
                          <w:sz w:val="20"/>
                          <w:szCs w:val="20"/>
                        </w:rPr>
                        <w:t>SBHCs</w:t>
                      </w:r>
                    </w:p>
                  </w:txbxContent>
                </v:textbox>
              </v:shape>
              <v:shape id="Text Box 13" o:spid="_x0000_s1058" type="#_x0000_t202" style="position:absolute;left:3666;top:7982;width:1155;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D1887" w:rsidRPr="00CB69C9" w:rsidRDefault="004D1887" w:rsidP="007C70C2">
                      <w:pPr>
                        <w:spacing w:line="240" w:lineRule="auto"/>
                        <w:ind w:firstLine="0"/>
                        <w:jc w:val="center"/>
                        <w:rPr>
                          <w:sz w:val="20"/>
                          <w:szCs w:val="20"/>
                        </w:rPr>
                      </w:pPr>
                      <w:r w:rsidRPr="00CB69C9">
                        <w:rPr>
                          <w:sz w:val="20"/>
                          <w:szCs w:val="20"/>
                        </w:rPr>
                        <w:t>Selected Practices</w:t>
                      </w:r>
                    </w:p>
                  </w:txbxContent>
                </v:textbox>
              </v:shape>
            </v:group>
            <v:shape id="AutoShape 52" o:spid="_x0000_s1059" type="#_x0000_t32" style="position:absolute;left:4243;top:8569;width:0;height: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3asMAAADbAAAADwAAAGRycy9kb3ducmV2LnhtbESPQWvCQBSE74L/YXkFL1I3Rm1L6ioi&#10;qIWeqoVeH9mXbDD7NmTXGP+9KxQ8DjPzDbNc97YWHbW+cqxgOklAEOdOV1wq+D3tXj9A+ICssXZM&#10;Cm7kYb0aDpaYaXflH+qOoRQRwj5DBSaEJpPS54Ys+olriKNXuNZiiLItpW7xGuG2lmmSvEmLFccF&#10;gw1tDeXn48UqKFJN0/H5zxzeF1hsv2dp19V7pUYv/eYTRKA+PMP/7S+tYDaH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ht2rDAAAA2wAAAA8AAAAAAAAAAAAA&#10;AAAAoQIAAGRycy9kb3ducmV2LnhtbFBLBQYAAAAABAAEAPkAAACRAwAAAAA=&#10;">
              <v:stroke endarrow="open"/>
            </v:shape>
            <v:shape id="AutoShape 53" o:spid="_x0000_s1060" type="#_x0000_t32" style="position:absolute;left:5491;top:8569;width:0;height: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0S8cQAAADbAAAADwAAAGRycy9kb3ducmV2LnhtbESPQWvCQBSE7wX/w/IKXkrdGLGV1I2I&#10;oC30VBW8PrIv2ZDs25BdY/z3bqHQ4zAz3zDrzWhbMVDva8cK5rMEBHHhdM2VgvNp/7oC4QOyxtYx&#10;KbiTh00+eVpjpt2Nf2g4hkpECPsMFZgQukxKXxiy6GeuI45e6XqLIcq+krrHW4TbVqZJ8iYt1hwX&#10;DHa0M1Q0x6tVUKaa5i/NxXy+L7HcfS/SYWgPSk2fx+0HiEBj+A//tb+0gsUSfr/EHy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rRLxxAAAANsAAAAPAAAAAAAAAAAA&#10;AAAAAKECAABkcnMvZG93bnJldi54bWxQSwUGAAAAAAQABAD5AAAAkgMAAAAA&#10;">
              <v:stroke endarrow="open"/>
            </v:shape>
            <v:shape id="AutoShape 54" o:spid="_x0000_s1061" type="#_x0000_t32" style="position:absolute;left:6771;top:8556;width:0;height: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MhsQAAADbAAAADwAAAGRycy9kb3ducmV2LnhtbESPzWrDMBCE74W8g9hAL6WR41CnuFZC&#10;CDQt9JQf6HWx1paxtTKW4jhvXxUKPQ4z8w1TbCfbiZEG3zhWsFwkIIhLpxuuFVzO78+vIHxA1tg5&#10;JgV38rDdzB4KzLW78ZHGU6hFhLDPUYEJoc+l9KUhi37heuLoVW6wGKIcaqkHvEW47WSaJJm02HBc&#10;MNjT3lDZnq5WQZVqWj613+Zj/YLV/muVjmN3UOpxPu3eQASawn/4r/2pFawy+P0Sf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4yGxAAAANsAAAAPAAAAAAAAAAAA&#10;AAAAAKECAABkcnMvZG93bnJldi54bWxQSwUGAAAAAAQABAD5AAAAkgMAAAAA&#10;">
              <v:stroke endarrow="open"/>
            </v:shape>
            <v:shape id="AutoShape 55" o:spid="_x0000_s1062" type="#_x0000_t32" style="position:absolute;left:7895;top:8563;width:0;height: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pHcMAAADbAAAADwAAAGRycy9kb3ducmV2LnhtbESPQWvCQBSE74L/YXlCL1I3RqwldRUR&#10;agVPVaHXR/YlG8y+Ddk1xn/fFQSPw8x8wyzXva1FR62vHCuYThIQxLnTFZcKzqfv908QPiBrrB2T&#10;gjt5WK+GgyVm2t34l7pjKEWEsM9QgQmhyaT0uSGLfuIa4ugVrrUYomxLqVu8RbitZZokH9JixXHB&#10;YENbQ/nleLUKilTTdHz5Mz+LORbbwyztunqn1Nuo33yBCNSHV/jZ3msFswU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zKR3DAAAA2wAAAA8AAAAAAAAAAAAA&#10;AAAAoQIAAGRycy9kb3ducmV2LnhtbFBLBQYAAAAABAAEAPkAAACRAwAAAAA=&#10;">
              <v:stroke endarrow="open"/>
            </v:shape>
            <v:shape id="AutoShape 56" o:spid="_x0000_s1063" type="#_x0000_t32" style="position:absolute;left:9180;top:8554;width:0;height: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9b8EAAADbAAAADwAAAGRycy9kb3ducmV2LnhtbERPyWrDMBC9F/IPYgq5lEReaFPcKCEY&#10;mhZ6ahLodbDGlok1MpZqO38fHQo9Pt6+3c+2EyMNvnWsIF0nIIgrp1tuFFzO76tXED4ga+wck4Ib&#10;edjvFg9bLLSb+JvGU2hEDGFfoAITQl9I6StDFv3a9cSRq91gMUQ4NFIPOMVw28ksSV6kxZZjg8Ge&#10;SkPV9fRrFdSZpvTp+mM+Ns9Yl195No7dUanl43x4AxFoDv/iP/enVpDHs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L1vwQAAANsAAAAPAAAAAAAAAAAAAAAA&#10;AKECAABkcnMvZG93bnJldi54bWxQSwUGAAAAAAQABAD5AAAAjwMAAAAA&#10;">
              <v:stroke endarrow="open"/>
            </v:shape>
            <v:shape id="Text Box 57" o:spid="_x0000_s1064" type="#_x0000_t202" style="position:absolute;left:1771;top:7852;width:1882;height:8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4D1887" w:rsidRPr="00CB69C9" w:rsidRDefault="004D1887" w:rsidP="007C70C2">
                    <w:pPr>
                      <w:spacing w:line="240" w:lineRule="auto"/>
                      <w:ind w:firstLine="0"/>
                      <w:rPr>
                        <w:b/>
                        <w:sz w:val="20"/>
                        <w:szCs w:val="20"/>
                      </w:rPr>
                    </w:pPr>
                    <w:r w:rsidRPr="00CB69C9">
                      <w:rPr>
                        <w:b/>
                        <w:sz w:val="20"/>
                        <w:szCs w:val="20"/>
                      </w:rPr>
                      <w:t xml:space="preserve">Level 2: </w:t>
                    </w:r>
                  </w:p>
                  <w:p w:rsidR="004D1887" w:rsidRPr="00CB69C9" w:rsidRDefault="004D1887" w:rsidP="007C70C2">
                    <w:pPr>
                      <w:spacing w:line="240" w:lineRule="auto"/>
                      <w:ind w:firstLine="0"/>
                      <w:rPr>
                        <w:b/>
                        <w:sz w:val="20"/>
                        <w:szCs w:val="20"/>
                      </w:rPr>
                    </w:pPr>
                    <w:r w:rsidRPr="00CB69C9">
                      <w:rPr>
                        <w:b/>
                        <w:sz w:val="20"/>
                        <w:szCs w:val="20"/>
                      </w:rPr>
                      <w:t>Selected Practices</w:t>
                    </w:r>
                    <w:r>
                      <w:rPr>
                        <w:b/>
                        <w:sz w:val="20"/>
                        <w:szCs w:val="20"/>
                      </w:rPr>
                      <w:t xml:space="preserve"> and SBHCs</w:t>
                    </w:r>
                  </w:p>
                </w:txbxContent>
              </v:textbox>
            </v:shape>
            <v:shape id="Text Box 58" o:spid="_x0000_s1065" type="#_x0000_t202" style="position:absolute;left:1771;top:9231;width:1734;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4D1887" w:rsidRPr="00CB69C9" w:rsidRDefault="004D1887" w:rsidP="007C70C2">
                    <w:pPr>
                      <w:spacing w:line="240" w:lineRule="auto"/>
                      <w:ind w:firstLine="0"/>
                      <w:rPr>
                        <w:b/>
                        <w:sz w:val="20"/>
                        <w:szCs w:val="20"/>
                      </w:rPr>
                    </w:pPr>
                    <w:r w:rsidRPr="00CB69C9">
                      <w:rPr>
                        <w:b/>
                        <w:sz w:val="20"/>
                        <w:szCs w:val="20"/>
                      </w:rPr>
                      <w:t xml:space="preserve">Level 3: </w:t>
                    </w:r>
                  </w:p>
                  <w:p w:rsidR="004D1887" w:rsidRPr="00CB69C9" w:rsidRDefault="004D1887" w:rsidP="007C70C2">
                    <w:pPr>
                      <w:spacing w:line="240" w:lineRule="auto"/>
                      <w:ind w:firstLine="0"/>
                      <w:rPr>
                        <w:b/>
                        <w:sz w:val="20"/>
                        <w:szCs w:val="20"/>
                      </w:rPr>
                    </w:pPr>
                    <w:r w:rsidRPr="00CB69C9">
                      <w:rPr>
                        <w:b/>
                        <w:sz w:val="20"/>
                        <w:szCs w:val="20"/>
                      </w:rPr>
                      <w:t>200 Participants</w:t>
                    </w:r>
                  </w:p>
                </w:txbxContent>
              </v:textbox>
            </v:shape>
            <v:shape id="Text Box 59" o:spid="_x0000_s1066" type="#_x0000_t202" style="position:absolute;left:1771;top:6789;width:1910;height: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rsidR="004D1887" w:rsidRPr="00CB69C9" w:rsidRDefault="004D1887" w:rsidP="007C70C2">
                    <w:pPr>
                      <w:spacing w:line="240" w:lineRule="auto"/>
                      <w:ind w:firstLine="0"/>
                      <w:rPr>
                        <w:b/>
                        <w:sz w:val="20"/>
                        <w:szCs w:val="20"/>
                      </w:rPr>
                    </w:pPr>
                    <w:r w:rsidRPr="00CB69C9">
                      <w:rPr>
                        <w:b/>
                        <w:sz w:val="20"/>
                        <w:szCs w:val="20"/>
                      </w:rPr>
                      <w:t>Level 1:</w:t>
                    </w:r>
                  </w:p>
                  <w:p w:rsidR="004D1887" w:rsidRPr="00CB69C9" w:rsidRDefault="004D1887" w:rsidP="007C70C2">
                    <w:pPr>
                      <w:spacing w:line="240" w:lineRule="auto"/>
                      <w:ind w:firstLine="0"/>
                      <w:rPr>
                        <w:b/>
                        <w:sz w:val="20"/>
                        <w:szCs w:val="20"/>
                      </w:rPr>
                    </w:pPr>
                    <w:r w:rsidRPr="00CB69C9">
                      <w:rPr>
                        <w:b/>
                        <w:sz w:val="20"/>
                        <w:szCs w:val="20"/>
                      </w:rPr>
                      <w:t>5 States</w:t>
                    </w:r>
                  </w:p>
                </w:txbxContent>
              </v:textbox>
            </v:shape>
          </v:group>
        </w:pict>
      </w:r>
      <w:r w:rsidR="007C70C2" w:rsidRPr="00EA4C67">
        <w:rPr>
          <w:b/>
          <w:highlight w:val="yellow"/>
        </w:rPr>
        <w:t>Exhibit 1. Focus Group Sampling Design</w:t>
      </w: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Default="007C70C2" w:rsidP="007C70C2">
      <w:pPr>
        <w:tabs>
          <w:tab w:val="clear" w:pos="432"/>
          <w:tab w:val="left" w:pos="0"/>
        </w:tabs>
        <w:spacing w:line="240" w:lineRule="auto"/>
        <w:ind w:firstLine="0"/>
      </w:pPr>
    </w:p>
    <w:p w:rsidR="007C70C2" w:rsidRPr="00EB3A8B" w:rsidRDefault="007C70C2" w:rsidP="007C70C2">
      <w:pPr>
        <w:tabs>
          <w:tab w:val="clear" w:pos="432"/>
          <w:tab w:val="left" w:pos="0"/>
        </w:tabs>
        <w:spacing w:line="240" w:lineRule="auto"/>
        <w:ind w:firstLine="0"/>
      </w:pPr>
    </w:p>
    <w:p w:rsidR="007C70C2" w:rsidRDefault="007C70C2" w:rsidP="007C70C2">
      <w:pPr>
        <w:pStyle w:val="NormalSS"/>
        <w:ind w:firstLine="0"/>
        <w:jc w:val="center"/>
      </w:pPr>
    </w:p>
    <w:p w:rsidR="007C70C2" w:rsidRDefault="007C70C2" w:rsidP="007C70C2">
      <w:pPr>
        <w:pStyle w:val="NormalSS"/>
        <w:ind w:firstLine="0"/>
        <w:jc w:val="center"/>
      </w:pPr>
    </w:p>
    <w:p w:rsidR="007C70C2" w:rsidRDefault="007C70C2" w:rsidP="007C70C2">
      <w:pPr>
        <w:pStyle w:val="NormalSS"/>
        <w:ind w:firstLine="0"/>
        <w:jc w:val="center"/>
      </w:pPr>
    </w:p>
    <w:p w:rsidR="007C70C2" w:rsidRPr="009F1037" w:rsidRDefault="007C70C2" w:rsidP="009F1037">
      <w:pPr>
        <w:pStyle w:val="NormalSS"/>
        <w:tabs>
          <w:tab w:val="clear" w:pos="432"/>
          <w:tab w:val="left" w:pos="0"/>
        </w:tabs>
        <w:ind w:firstLine="0"/>
        <w:jc w:val="left"/>
      </w:pPr>
    </w:p>
    <w:p w:rsidR="00552AAF" w:rsidRPr="009F1037" w:rsidRDefault="00EE498D" w:rsidP="009F1037">
      <w:pPr>
        <w:pStyle w:val="Heading2Black"/>
        <w:jc w:val="left"/>
        <w:rPr>
          <w:rFonts w:ascii="Arial" w:hAnsi="Arial" w:cs="Arial"/>
          <w:i/>
        </w:rPr>
      </w:pPr>
      <w:bookmarkStart w:id="9" w:name="_Toc291497943"/>
      <w:r w:rsidRPr="009F1037">
        <w:rPr>
          <w:rFonts w:ascii="Arial" w:hAnsi="Arial" w:cs="Arial"/>
          <w:i/>
        </w:rPr>
        <w:t>2.</w:t>
      </w:r>
      <w:r w:rsidRPr="009F1037">
        <w:rPr>
          <w:rFonts w:ascii="Arial" w:hAnsi="Arial" w:cs="Arial"/>
          <w:i/>
        </w:rPr>
        <w:tab/>
        <w:t>Information Collection Procedures</w:t>
      </w:r>
      <w:bookmarkEnd w:id="9"/>
    </w:p>
    <w:p w:rsidR="00D62AD7" w:rsidRPr="00EA4C67" w:rsidRDefault="005C3B42" w:rsidP="009F1037">
      <w:pPr>
        <w:pStyle w:val="NormalSS"/>
        <w:ind w:firstLine="0"/>
        <w:jc w:val="left"/>
        <w:rPr>
          <w:highlight w:val="yellow"/>
        </w:rPr>
      </w:pPr>
      <w:r w:rsidRPr="00EA4C67">
        <w:rPr>
          <w:highlight w:val="yellow"/>
        </w:rPr>
        <w:t xml:space="preserve">Semi-structured interviews </w:t>
      </w:r>
      <w:r w:rsidR="00D62AD7" w:rsidRPr="00EA4C67">
        <w:rPr>
          <w:highlight w:val="yellow"/>
        </w:rPr>
        <w:t xml:space="preserve">and focus groups </w:t>
      </w:r>
      <w:r w:rsidRPr="00EA4C67">
        <w:rPr>
          <w:highlight w:val="yellow"/>
        </w:rPr>
        <w:t xml:space="preserve">will be used for this data collection effort. </w:t>
      </w:r>
    </w:p>
    <w:p w:rsidR="000C778B" w:rsidRPr="009F1037" w:rsidRDefault="007C70C2" w:rsidP="009F1037">
      <w:pPr>
        <w:pStyle w:val="NormalSS"/>
        <w:ind w:firstLine="0"/>
        <w:jc w:val="left"/>
      </w:pPr>
      <w:r w:rsidRPr="00EA4C67">
        <w:rPr>
          <w:highlight w:val="yellow"/>
        </w:rPr>
        <w:t xml:space="preserve">We will use the same information collection procedures for the proposed 2014 </w:t>
      </w:r>
      <w:r w:rsidR="001214B7">
        <w:rPr>
          <w:highlight w:val="yellow"/>
        </w:rPr>
        <w:t xml:space="preserve">semi-structured </w:t>
      </w:r>
      <w:r w:rsidRPr="00EA4C67">
        <w:rPr>
          <w:highlight w:val="yellow"/>
        </w:rPr>
        <w:t xml:space="preserve">interviews as we used for the previously approved interviews completed in 2012. </w:t>
      </w:r>
      <w:r w:rsidR="00D62AD7" w:rsidRPr="004D1887">
        <w:t xml:space="preserve">Interviews will be conducted with </w:t>
      </w:r>
      <w:r w:rsidR="00DE55DA" w:rsidRPr="004D1887">
        <w:t>an individual</w:t>
      </w:r>
      <w:r w:rsidR="00D62AD7" w:rsidRPr="004D1887">
        <w:t xml:space="preserve"> respondent</w:t>
      </w:r>
      <w:r w:rsidR="00DE55DA" w:rsidRPr="004D1887">
        <w:t xml:space="preserve"> and two-member interview team</w:t>
      </w:r>
      <w:r w:rsidR="00D62AD7" w:rsidRPr="004D1887">
        <w:t xml:space="preserve">. </w:t>
      </w:r>
      <w:r w:rsidR="005C3B42" w:rsidRPr="004D1887">
        <w:t xml:space="preserve">The interview guides (included in attachments </w:t>
      </w:r>
      <w:r w:rsidR="00AD7B68" w:rsidRPr="004D1887">
        <w:t xml:space="preserve">B, </w:t>
      </w:r>
      <w:r w:rsidR="00AD7B68" w:rsidRPr="004D1887">
        <w:rPr>
          <w:highlight w:val="yellow"/>
        </w:rPr>
        <w:t>D,</w:t>
      </w:r>
      <w:r w:rsidR="00AD7B68" w:rsidRPr="004D1887">
        <w:t xml:space="preserve"> E, </w:t>
      </w:r>
      <w:r w:rsidR="00AD7B68" w:rsidRPr="004D1887">
        <w:rPr>
          <w:highlight w:val="yellow"/>
        </w:rPr>
        <w:t>F</w:t>
      </w:r>
      <w:r w:rsidR="00AD7B68" w:rsidRPr="004D1887">
        <w:t xml:space="preserve">, G, </w:t>
      </w:r>
      <w:r w:rsidR="00AD7B68" w:rsidRPr="004D1887">
        <w:rPr>
          <w:highlight w:val="yellow"/>
        </w:rPr>
        <w:t>H</w:t>
      </w:r>
      <w:r w:rsidR="00AD7B68" w:rsidRPr="004D1887">
        <w:t xml:space="preserve">, I, and </w:t>
      </w:r>
      <w:r w:rsidR="00AD7B68" w:rsidRPr="004D1887">
        <w:rPr>
          <w:highlight w:val="yellow"/>
        </w:rPr>
        <w:t>J</w:t>
      </w:r>
      <w:r w:rsidR="005C3B42" w:rsidRPr="004D1887">
        <w:t xml:space="preserve">) will be customized based on the scope and </w:t>
      </w:r>
      <w:r w:rsidR="005C3B42" w:rsidRPr="004D1887">
        <w:lastRenderedPageBreak/>
        <w:t xml:space="preserve">nature of projects in a given state. </w:t>
      </w:r>
      <w:r w:rsidRPr="004D1887">
        <w:t xml:space="preserve">The interview guides address detailed questions about project implementation and impact that do not lend themselves to self-administered questionnaires or other quantitative data collection methods. </w:t>
      </w:r>
    </w:p>
    <w:p w:rsidR="00683351" w:rsidRDefault="00EE498D" w:rsidP="009F1037">
      <w:pPr>
        <w:pStyle w:val="NormalSS"/>
        <w:ind w:firstLine="0"/>
        <w:jc w:val="left"/>
      </w:pPr>
      <w:r w:rsidRPr="009F1037">
        <w:t xml:space="preserve">Interview appointments will be </w:t>
      </w:r>
      <w:r w:rsidR="007C70C2">
        <w:t>scheduled</w:t>
      </w:r>
      <w:r w:rsidR="007C70C2" w:rsidRPr="009F1037">
        <w:t xml:space="preserve"> </w:t>
      </w:r>
      <w:r w:rsidRPr="009F1037">
        <w:t xml:space="preserve">well in advance. </w:t>
      </w:r>
      <w:r w:rsidR="005C3B42" w:rsidRPr="005C3B42">
        <w:t xml:space="preserve">All </w:t>
      </w:r>
      <w:r w:rsidR="007C70C2">
        <w:t xml:space="preserve">interview </w:t>
      </w:r>
      <w:r w:rsidR="005C3B42" w:rsidRPr="005C3B42">
        <w:t xml:space="preserve">respondents will be sent the invitation request (included in attachment </w:t>
      </w:r>
      <w:r w:rsidR="00AD7B68">
        <w:t>C</w:t>
      </w:r>
      <w:r w:rsidR="005C3B42" w:rsidRPr="005C3B42">
        <w:t xml:space="preserve">) by email. AHRQ’s contractor will then follow up with the </w:t>
      </w:r>
      <w:r w:rsidR="00DE55DA">
        <w:t>non-</w:t>
      </w:r>
      <w:r w:rsidR="005C3B42" w:rsidRPr="005C3B42">
        <w:t>respondent</w:t>
      </w:r>
      <w:r w:rsidR="00DE55DA">
        <w:t>s</w:t>
      </w:r>
      <w:r w:rsidR="005C3B42" w:rsidRPr="005C3B42">
        <w:t xml:space="preserve"> every three days, alternating phone and email contacts. If the respondent does not respond to any attempts at follow up within three weeks and the contractor cannot identify a reason for non-response (e.g., the respondent is out of the office), the contractor will stop attempting to contact the respondent. Respondents who agree to be interviewed will be sent a confirmation email (included in attachment </w:t>
      </w:r>
      <w:r w:rsidR="00AD7B68">
        <w:t>C</w:t>
      </w:r>
      <w:r w:rsidR="005C3B42" w:rsidRPr="005C3B42">
        <w:t>) one week prior to their scheduled interview.</w:t>
      </w:r>
      <w:r w:rsidR="00A54D2F" w:rsidRPr="009F1037">
        <w:t xml:space="preserve"> </w:t>
      </w:r>
    </w:p>
    <w:p w:rsidR="003E7969" w:rsidRPr="00EA4C67" w:rsidRDefault="003E7969" w:rsidP="009F1037">
      <w:pPr>
        <w:pStyle w:val="NormalSS"/>
        <w:ind w:firstLine="0"/>
        <w:jc w:val="left"/>
        <w:rPr>
          <w:highlight w:val="yellow"/>
        </w:rPr>
      </w:pPr>
      <w:r w:rsidRPr="00EA4C67">
        <w:rPr>
          <w:highlight w:val="yellow"/>
        </w:rPr>
        <w:t xml:space="preserve">The focus group guides (Attachments </w:t>
      </w:r>
      <w:r w:rsidR="00AD7B68">
        <w:rPr>
          <w:highlight w:val="yellow"/>
        </w:rPr>
        <w:t>K and P</w:t>
      </w:r>
      <w:r w:rsidRPr="00EA4C67">
        <w:rPr>
          <w:highlight w:val="yellow"/>
        </w:rPr>
        <w:t xml:space="preserve">) will be used to facilitate the conversation with </w:t>
      </w:r>
      <w:r w:rsidR="00D62AD7" w:rsidRPr="00EA4C67">
        <w:rPr>
          <w:highlight w:val="yellow"/>
        </w:rPr>
        <w:t xml:space="preserve">8-10 </w:t>
      </w:r>
      <w:r w:rsidRPr="00EA4C67">
        <w:rPr>
          <w:highlight w:val="yellow"/>
        </w:rPr>
        <w:t xml:space="preserve">focus group participants. Focus group participants will be encouraged to respond to questions asked by the focus group facilitator or comments made by other participants. The process for focus group recruitment </w:t>
      </w:r>
      <w:r w:rsidR="00D62AD7" w:rsidRPr="00EA4C67">
        <w:rPr>
          <w:highlight w:val="yellow"/>
        </w:rPr>
        <w:t>is described in the previous section</w:t>
      </w:r>
      <w:r w:rsidRPr="00EA4C67">
        <w:rPr>
          <w:highlight w:val="yellow"/>
        </w:rPr>
        <w:t xml:space="preserve">.  </w:t>
      </w:r>
    </w:p>
    <w:p w:rsidR="00552AAF" w:rsidRPr="009F1037" w:rsidRDefault="00EE498D" w:rsidP="009F1037">
      <w:pPr>
        <w:pStyle w:val="NormalSS"/>
        <w:ind w:firstLine="0"/>
        <w:jc w:val="left"/>
      </w:pPr>
      <w:r w:rsidRPr="009F1037">
        <w:rPr>
          <w:b/>
        </w:rPr>
        <w:t>Quality Control Procedures.</w:t>
      </w:r>
      <w:r w:rsidRPr="009F1037">
        <w:t xml:space="preserve">  AHRQ’s evaluation contractor has designated a team of experienced qualitative researchers to collect and analyze interview </w:t>
      </w:r>
      <w:r w:rsidR="003E7969">
        <w:t xml:space="preserve">and focus group </w:t>
      </w:r>
      <w:r w:rsidRPr="009F1037">
        <w:t xml:space="preserve">data described in this statement.  The team leaders will host a team training session so that all researchers involved in data collection employ uniform, high-quality methods and are thoroughly familiar with the data collection instruments.  All interviews </w:t>
      </w:r>
      <w:r w:rsidR="003E7969">
        <w:t xml:space="preserve">and focus groups </w:t>
      </w:r>
      <w:r w:rsidRPr="009F1037">
        <w:t xml:space="preserve">will be conducted by two-person teams (a lead </w:t>
      </w:r>
      <w:r w:rsidR="003E7969">
        <w:t xml:space="preserve">facilitator </w:t>
      </w:r>
      <w:r w:rsidRPr="009F1037">
        <w:t xml:space="preserve">and note taker) and they will be digitally recorded (audio only) if respondents consent. </w:t>
      </w:r>
    </w:p>
    <w:p w:rsidR="00552AAF" w:rsidRPr="009F1037" w:rsidRDefault="00EE498D" w:rsidP="009F1037">
      <w:pPr>
        <w:pStyle w:val="Heading2Black"/>
        <w:jc w:val="left"/>
        <w:rPr>
          <w:rFonts w:ascii="Arial" w:hAnsi="Arial" w:cs="Arial"/>
          <w:i/>
        </w:rPr>
      </w:pPr>
      <w:bookmarkStart w:id="10" w:name="_Toc291497944"/>
      <w:r w:rsidRPr="009F1037">
        <w:rPr>
          <w:rFonts w:ascii="Arial" w:hAnsi="Arial" w:cs="Arial"/>
          <w:i/>
        </w:rPr>
        <w:t>3.</w:t>
      </w:r>
      <w:r w:rsidRPr="009F1037">
        <w:rPr>
          <w:rFonts w:ascii="Arial" w:hAnsi="Arial" w:cs="Arial"/>
          <w:i/>
        </w:rPr>
        <w:tab/>
        <w:t>Methods to Maximize Response Rates</w:t>
      </w:r>
      <w:bookmarkEnd w:id="10"/>
    </w:p>
    <w:p w:rsidR="00E52A13" w:rsidRDefault="00EE029A">
      <w:pPr>
        <w:pStyle w:val="NormalSS"/>
        <w:ind w:firstLine="0"/>
        <w:jc w:val="left"/>
      </w:pPr>
      <w:r>
        <w:t>The in-depth interview data collection is not based on probability samples</w:t>
      </w:r>
      <w:r w:rsidR="00A63AE9">
        <w:t xml:space="preserve">, and </w:t>
      </w:r>
      <w:r>
        <w:t xml:space="preserve">a response rate does not apply to this activity. However, in awarding grants to demonstration </w:t>
      </w:r>
      <w:r w:rsidR="00DE55DA">
        <w:t>States</w:t>
      </w:r>
      <w:r>
        <w:t xml:space="preserve">, CMS stipulated that </w:t>
      </w:r>
      <w:r w:rsidR="00DE55DA">
        <w:t>States</w:t>
      </w:r>
      <w:r>
        <w:t xml:space="preserve"> cooperate fully in the cross-state</w:t>
      </w:r>
      <w:r w:rsidR="00EE498D" w:rsidRPr="009F1037">
        <w:t xml:space="preserve"> demonstration evaluation, including participation in in-depth interviews. </w:t>
      </w:r>
      <w:r w:rsidR="005C3B42" w:rsidRPr="005C3B42">
        <w:t xml:space="preserve">Given this, and AHRQ’s experience conducting </w:t>
      </w:r>
      <w:r w:rsidR="003E7969">
        <w:t>the prior round of interviews</w:t>
      </w:r>
      <w:r w:rsidR="005C3B42" w:rsidRPr="005C3B42">
        <w:t>, ARHQ expects a high level of participation from key project staff, other implementation personnel, and external stakeholders.</w:t>
      </w:r>
      <w:r w:rsidR="00CF6AFC" w:rsidRPr="009F1037">
        <w:t xml:space="preserve"> </w:t>
      </w:r>
      <w:r w:rsidR="00EE498D" w:rsidRPr="009F1037">
        <w:t>To further ensure the cooperation of respondents, contractor staff will attempt to minimize individual burden and develop interview schedules that respect site constraints and pressures.</w:t>
      </w:r>
      <w:r w:rsidR="003E7969">
        <w:t xml:space="preserve"> </w:t>
      </w:r>
      <w:r w:rsidR="003E7969" w:rsidRPr="00EA4C67">
        <w:rPr>
          <w:highlight w:val="yellow"/>
        </w:rPr>
        <w:t>The strategies proposed to encourage interview participation under the revised information collection request are the same as those used under the previously approved package.</w:t>
      </w:r>
    </w:p>
    <w:p w:rsidR="00E52A13" w:rsidRDefault="00EE498D">
      <w:pPr>
        <w:pStyle w:val="BulletBlack"/>
        <w:jc w:val="left"/>
      </w:pPr>
      <w:r w:rsidRPr="009F1037">
        <w:t xml:space="preserve">Minimize individual burden. Willingness of respondents to participate in in-person interviews may hinge on the time these meetings require. To minimize the burden, guides are designed to gather information that is as complete as possible in as little time as possible. AHRQ’s contractor has developed separate discussion guides for each respondent type so that respondents are not asked about activities or issues that are not applicable to them or the state in which they work. In addition, interviewers will meet with interview respondents in person in their own offices or at a location of their choice. </w:t>
      </w:r>
    </w:p>
    <w:p w:rsidR="00E52A13" w:rsidRDefault="00EE029A">
      <w:pPr>
        <w:pStyle w:val="BulletBlackLastSS"/>
        <w:jc w:val="left"/>
      </w:pPr>
      <w:r>
        <w:t>Develop interview schedules that respect site constraints and pressures. The project team will work with each site to determine logistics and a schedule for the in-person interviews. The schedule will avoid conflict with other activities and allow individuals to find time in their calendars to spend with contractor staff.</w:t>
      </w:r>
    </w:p>
    <w:p w:rsidR="00EA4C67" w:rsidRDefault="003E7969">
      <w:pPr>
        <w:pStyle w:val="BulletBlack"/>
      </w:pPr>
      <w:r>
        <w:lastRenderedPageBreak/>
        <w:t xml:space="preserve">Offer additional accommodations for providers. </w:t>
      </w:r>
      <w:r w:rsidR="005C3B42" w:rsidRPr="005C3B42">
        <w:t>While AHRQ expects a high degree of participation from all respondent types, we expect providers may be less readily available for in-person interviews than other respondent types. AHRQ will offer additional accommodations to this respondent type to increase the likelihood of their participation. We will offer to meet with providers outside of clinical hours, restrict the interview to 30 minutes if 45 minutes is not acceptable, and conduct the interview by telephone if the respondent says that would be more convenient.</w:t>
      </w:r>
      <w:r w:rsidR="00FE62A3" w:rsidRPr="009F1037">
        <w:t xml:space="preserve"> </w:t>
      </w:r>
      <w:r w:rsidR="00CF6AFC" w:rsidRPr="009F1037">
        <w:t xml:space="preserve"> </w:t>
      </w:r>
    </w:p>
    <w:p w:rsidR="003E7969" w:rsidRPr="00EA4C67" w:rsidRDefault="003E7969" w:rsidP="003E7969">
      <w:pPr>
        <w:pStyle w:val="NormalSS"/>
        <w:ind w:firstLine="0"/>
        <w:jc w:val="left"/>
        <w:rPr>
          <w:highlight w:val="yellow"/>
        </w:rPr>
      </w:pPr>
      <w:r w:rsidRPr="00EA4C67">
        <w:rPr>
          <w:highlight w:val="yellow"/>
        </w:rPr>
        <w:t xml:space="preserve">AHRQ expects recruitment for focus groups to be more difficult than for interviews. To increase participation in focus groups, AHRQ’s contractor will work </w:t>
      </w:r>
      <w:r w:rsidR="005C0DD1">
        <w:rPr>
          <w:highlight w:val="yellow"/>
        </w:rPr>
        <w:t xml:space="preserve">provide an incentive to </w:t>
      </w:r>
      <w:r w:rsidRPr="00EA4C67">
        <w:rPr>
          <w:highlight w:val="yellow"/>
        </w:rPr>
        <w:t>practices to</w:t>
      </w:r>
      <w:r w:rsidR="005C0DD1">
        <w:rPr>
          <w:highlight w:val="yellow"/>
        </w:rPr>
        <w:t xml:space="preserve"> help</w:t>
      </w:r>
      <w:r w:rsidRPr="00EA4C67">
        <w:rPr>
          <w:highlight w:val="yellow"/>
        </w:rPr>
        <w:t xml:space="preserve"> recruit participants, provide an incentive to focus group participants, and host groups at locations that are convenient for participants.</w:t>
      </w:r>
    </w:p>
    <w:p w:rsidR="003E7969" w:rsidRPr="00EA4C67" w:rsidRDefault="003E7969" w:rsidP="003E7969">
      <w:pPr>
        <w:pStyle w:val="BulletBlack"/>
        <w:ind w:left="720" w:hanging="288"/>
        <w:jc w:val="left"/>
        <w:rPr>
          <w:highlight w:val="yellow"/>
        </w:rPr>
      </w:pPr>
      <w:r w:rsidRPr="00EA4C67">
        <w:rPr>
          <w:highlight w:val="yellow"/>
        </w:rPr>
        <w:t xml:space="preserve">The research team will work with state project staff to identify potential physician practices to serve as recruitment sites for the focus groups. These practices may be more highly engaged in CHIPRA demonstration activities than practices that are not identified or who do not agree to assist with recruitment.  Practices will be offered a $500 gift card for their assistance with recruitment, identification of a convenient meeting space, as well as for providing logistical support for the focus group.  </w:t>
      </w:r>
    </w:p>
    <w:p w:rsidR="003E7969" w:rsidRPr="00EA4C67" w:rsidRDefault="003E7969" w:rsidP="003E7969">
      <w:pPr>
        <w:pStyle w:val="BulletBlack"/>
        <w:ind w:left="720" w:hanging="288"/>
        <w:jc w:val="left"/>
        <w:rPr>
          <w:highlight w:val="yellow"/>
        </w:rPr>
      </w:pPr>
      <w:r w:rsidRPr="00EA4C67">
        <w:rPr>
          <w:highlight w:val="yellow"/>
        </w:rPr>
        <w:t xml:space="preserve">Each adult focus group participant will receive a $50 gift card for their participation in the focus group. Adolescent participants will receive a $25 gift card.  </w:t>
      </w:r>
    </w:p>
    <w:p w:rsidR="003E7969" w:rsidRPr="00EA4C67" w:rsidRDefault="003E7969" w:rsidP="003E7969">
      <w:pPr>
        <w:pStyle w:val="BulletBlackLastDS"/>
        <w:spacing w:after="320"/>
        <w:ind w:left="720" w:hanging="288"/>
        <w:jc w:val="left"/>
        <w:rPr>
          <w:highlight w:val="yellow"/>
        </w:rPr>
      </w:pPr>
      <w:r w:rsidRPr="00EA4C67">
        <w:rPr>
          <w:highlight w:val="yellow"/>
        </w:rPr>
        <w:t xml:space="preserve">Focus groups will be held at locations that are convenient for participants (for example, near bus lines and parking—locations to be selected with input from State demonstration and practice staff) as well as held during convenient times such as during lunchtime or in the evenings. Parent focus groups may be held at libraries, YMCA community centers, or a hotel meeting space. Adolescent focus groups will be held at school </w:t>
      </w:r>
      <w:r w:rsidR="00F41E91" w:rsidRPr="00EA4C67">
        <w:rPr>
          <w:highlight w:val="yellow"/>
        </w:rPr>
        <w:t xml:space="preserve">at the end of </w:t>
      </w:r>
      <w:r w:rsidRPr="00EA4C67">
        <w:rPr>
          <w:highlight w:val="yellow"/>
        </w:rPr>
        <w:t xml:space="preserve">the school day.  </w:t>
      </w:r>
    </w:p>
    <w:p w:rsidR="00E52A13" w:rsidRDefault="00EE498D">
      <w:pPr>
        <w:pStyle w:val="Heading2Black"/>
        <w:jc w:val="left"/>
        <w:rPr>
          <w:rFonts w:ascii="Arial" w:hAnsi="Arial" w:cs="Arial"/>
          <w:i/>
        </w:rPr>
      </w:pPr>
      <w:bookmarkStart w:id="11" w:name="_Toc291497945"/>
      <w:r w:rsidRPr="009F1037">
        <w:rPr>
          <w:rFonts w:ascii="Arial" w:hAnsi="Arial" w:cs="Arial"/>
          <w:i/>
        </w:rPr>
        <w:t>4.</w:t>
      </w:r>
      <w:r w:rsidRPr="009F1037">
        <w:rPr>
          <w:rFonts w:ascii="Arial" w:hAnsi="Arial" w:cs="Arial"/>
          <w:i/>
        </w:rPr>
        <w:tab/>
        <w:t>Tests of Procedures</w:t>
      </w:r>
      <w:bookmarkEnd w:id="11"/>
    </w:p>
    <w:p w:rsidR="005C0DD1" w:rsidRDefault="00EB7E60" w:rsidP="005C0DD1">
      <w:pPr>
        <w:pStyle w:val="NormalSS"/>
        <w:ind w:firstLine="0"/>
        <w:jc w:val="left"/>
      </w:pPr>
      <w:r w:rsidRPr="00EA4C67">
        <w:rPr>
          <w:highlight w:val="yellow"/>
        </w:rPr>
        <w:t xml:space="preserve">The interview protocols we plan to use for the second round of interviews proposed under this revised information collection request </w:t>
      </w:r>
      <w:r w:rsidRPr="00F331E1">
        <w:rPr>
          <w:highlight w:val="yellow"/>
        </w:rPr>
        <w:t xml:space="preserve">reflect lessons learned during </w:t>
      </w:r>
      <w:r w:rsidR="005C0DD1" w:rsidRPr="00F331E1">
        <w:rPr>
          <w:highlight w:val="yellow"/>
        </w:rPr>
        <w:t>our</w:t>
      </w:r>
      <w:r w:rsidRPr="00F331E1">
        <w:rPr>
          <w:highlight w:val="yellow"/>
        </w:rPr>
        <w:t xml:space="preserve"> first round of interviews. Our pilot procedures </w:t>
      </w:r>
      <w:r w:rsidR="00F331E1">
        <w:rPr>
          <w:highlight w:val="yellow"/>
        </w:rPr>
        <w:t>for the</w:t>
      </w:r>
      <w:r w:rsidRPr="00F331E1">
        <w:rPr>
          <w:highlight w:val="yellow"/>
        </w:rPr>
        <w:t xml:space="preserve"> </w:t>
      </w:r>
      <w:r w:rsidR="005C0DD1" w:rsidRPr="00F331E1">
        <w:rPr>
          <w:highlight w:val="yellow"/>
        </w:rPr>
        <w:t xml:space="preserve">first round of </w:t>
      </w:r>
      <w:r w:rsidRPr="00F331E1">
        <w:rPr>
          <w:highlight w:val="yellow"/>
        </w:rPr>
        <w:t xml:space="preserve">interviews are described below. </w:t>
      </w:r>
      <w:r w:rsidR="005C0DD1" w:rsidRPr="00F331E1">
        <w:rPr>
          <w:highlight w:val="yellow"/>
        </w:rPr>
        <w:t xml:space="preserve">In addition, we will pilot test the 2014 interview protocols with respondents in North Carolina. AHRQ’s objectives during the pilot visit </w:t>
      </w:r>
      <w:r w:rsidR="00F331E1">
        <w:rPr>
          <w:highlight w:val="yellow"/>
        </w:rPr>
        <w:t>are</w:t>
      </w:r>
      <w:r w:rsidR="005C0DD1" w:rsidRPr="00F331E1">
        <w:rPr>
          <w:highlight w:val="yellow"/>
        </w:rPr>
        <w:t xml:space="preserve"> to assess whether </w:t>
      </w:r>
      <w:r w:rsidR="00F331E1" w:rsidRPr="00F331E1">
        <w:rPr>
          <w:highlight w:val="yellow"/>
        </w:rPr>
        <w:t xml:space="preserve">(1) the interviews </w:t>
      </w:r>
      <w:r w:rsidR="00AD5EC3">
        <w:rPr>
          <w:highlight w:val="yellow"/>
        </w:rPr>
        <w:t>successfully build</w:t>
      </w:r>
      <w:r w:rsidR="00F331E1" w:rsidRPr="00F331E1">
        <w:rPr>
          <w:highlight w:val="yellow"/>
        </w:rPr>
        <w:t xml:space="preserve"> on information gained during the first round of interviews, </w:t>
      </w:r>
      <w:r w:rsidR="005C0DD1" w:rsidRPr="00F331E1">
        <w:rPr>
          <w:highlight w:val="yellow"/>
        </w:rPr>
        <w:t>(</w:t>
      </w:r>
      <w:r w:rsidR="00F331E1" w:rsidRPr="00F331E1">
        <w:rPr>
          <w:highlight w:val="yellow"/>
        </w:rPr>
        <w:t>2</w:t>
      </w:r>
      <w:r w:rsidR="005C0DD1" w:rsidRPr="00F331E1">
        <w:rPr>
          <w:highlight w:val="yellow"/>
        </w:rPr>
        <w:t>) interviewers could collect the information needed in the allotted time, (</w:t>
      </w:r>
      <w:r w:rsidR="00F331E1" w:rsidRPr="00F331E1">
        <w:rPr>
          <w:highlight w:val="yellow"/>
        </w:rPr>
        <w:t>3</w:t>
      </w:r>
      <w:r w:rsidR="005C0DD1" w:rsidRPr="00F331E1">
        <w:rPr>
          <w:highlight w:val="yellow"/>
        </w:rPr>
        <w:t>) respondents could readily understand and answer the interview questions, (</w:t>
      </w:r>
      <w:r w:rsidR="00F331E1" w:rsidRPr="00F331E1">
        <w:rPr>
          <w:highlight w:val="yellow"/>
        </w:rPr>
        <w:t>4</w:t>
      </w:r>
      <w:r w:rsidR="005C0DD1" w:rsidRPr="00F331E1">
        <w:rPr>
          <w:highlight w:val="yellow"/>
        </w:rPr>
        <w:t>) interviews flowed sensibly from topic to topic, and (</w:t>
      </w:r>
      <w:r w:rsidR="00F331E1" w:rsidRPr="00F331E1">
        <w:rPr>
          <w:highlight w:val="yellow"/>
        </w:rPr>
        <w:t>5</w:t>
      </w:r>
      <w:r w:rsidR="005C0DD1" w:rsidRPr="00F331E1">
        <w:rPr>
          <w:highlight w:val="yellow"/>
        </w:rPr>
        <w:t>) the questions seemed to yield thoughtful, candid responses.</w:t>
      </w:r>
      <w:r w:rsidR="005C0DD1">
        <w:t xml:space="preserve">  </w:t>
      </w:r>
    </w:p>
    <w:p w:rsidR="00F41E91" w:rsidRDefault="00EB7E60" w:rsidP="00F41E91">
      <w:pPr>
        <w:pStyle w:val="NormalSS"/>
        <w:ind w:firstLine="0"/>
        <w:jc w:val="left"/>
      </w:pPr>
      <w:r>
        <w:t xml:space="preserve">In preparation for the first round of interviews, </w:t>
      </w:r>
      <w:r w:rsidR="00EE498D" w:rsidRPr="009F1037">
        <w:t>AHRQ conduct</w:t>
      </w:r>
      <w:r w:rsidR="008C6D42" w:rsidRPr="009F1037">
        <w:t>ed</w:t>
      </w:r>
      <w:r w:rsidR="00EE498D" w:rsidRPr="009F1037">
        <w:t xml:space="preserve"> pilot test</w:t>
      </w:r>
      <w:r w:rsidR="008C6D42" w:rsidRPr="009F1037">
        <w:t>s</w:t>
      </w:r>
      <w:r w:rsidR="00EE498D" w:rsidRPr="009F1037">
        <w:t xml:space="preserve"> of </w:t>
      </w:r>
      <w:r w:rsidR="008C6D42" w:rsidRPr="009F1037">
        <w:t xml:space="preserve">the </w:t>
      </w:r>
      <w:r w:rsidR="00EE498D" w:rsidRPr="009F1037">
        <w:t xml:space="preserve">protocols </w:t>
      </w:r>
      <w:r w:rsidR="008C6D42" w:rsidRPr="009F1037">
        <w:t>for</w:t>
      </w:r>
      <w:r w:rsidR="002651E9" w:rsidRPr="009F1037">
        <w:t xml:space="preserve"> </w:t>
      </w:r>
      <w:r w:rsidR="00EE498D" w:rsidRPr="009F1037">
        <w:t>key project staff</w:t>
      </w:r>
      <w:r w:rsidR="00A63AE9">
        <w:t xml:space="preserve"> and</w:t>
      </w:r>
      <w:r w:rsidR="00EE498D" w:rsidRPr="009F1037">
        <w:t xml:space="preserve"> participating </w:t>
      </w:r>
      <w:r w:rsidR="00A63AE9">
        <w:t>health care organization staff.</w:t>
      </w:r>
      <w:r w:rsidR="00EE498D" w:rsidRPr="009F1037">
        <w:t xml:space="preserve"> </w:t>
      </w:r>
      <w:r w:rsidR="00701AAC" w:rsidRPr="009F1037">
        <w:t>T</w:t>
      </w:r>
      <w:r w:rsidR="00AF619B" w:rsidRPr="009F1037">
        <w:t xml:space="preserve">he key project staff and participating </w:t>
      </w:r>
      <w:r w:rsidR="00A63AE9">
        <w:t>health care organization staff</w:t>
      </w:r>
      <w:r w:rsidR="00A63AE9" w:rsidRPr="009F1037">
        <w:t xml:space="preserve"> </w:t>
      </w:r>
      <w:r w:rsidR="00AF619B" w:rsidRPr="009F1037">
        <w:t xml:space="preserve">protocols </w:t>
      </w:r>
      <w:r w:rsidR="00701AAC" w:rsidRPr="009F1037">
        <w:t xml:space="preserve">were selected </w:t>
      </w:r>
      <w:r w:rsidR="00AF619B" w:rsidRPr="009F1037">
        <w:t xml:space="preserve">for pretesting because project staff and </w:t>
      </w:r>
      <w:r w:rsidR="00A63AE9">
        <w:t>health care organization staff</w:t>
      </w:r>
      <w:r w:rsidR="00A63AE9" w:rsidRPr="009F1037">
        <w:t xml:space="preserve"> </w:t>
      </w:r>
      <w:r w:rsidR="00AF619B" w:rsidRPr="009F1037">
        <w:t xml:space="preserve">are the most essential respondent types to the study, and because those protocols </w:t>
      </w:r>
      <w:r w:rsidR="00701AAC" w:rsidRPr="009F1037">
        <w:t>are</w:t>
      </w:r>
      <w:r w:rsidR="00AF619B" w:rsidRPr="009F1037">
        <w:t xml:space="preserve"> the basis for </w:t>
      </w:r>
      <w:r w:rsidR="00A63AE9">
        <w:t>other protocols</w:t>
      </w:r>
      <w:r w:rsidR="003F3E8D" w:rsidRPr="009F1037">
        <w:t xml:space="preserve"> (external stakeholders, </w:t>
      </w:r>
      <w:r w:rsidR="00AF619B" w:rsidRPr="009F1037">
        <w:t xml:space="preserve">other implementation personnel).  </w:t>
      </w:r>
      <w:r w:rsidR="00EE029A">
        <w:t xml:space="preserve">  </w:t>
      </w:r>
    </w:p>
    <w:p w:rsidR="00E52A13" w:rsidRDefault="00F41E91" w:rsidP="00F41E91">
      <w:pPr>
        <w:pStyle w:val="NormalSS"/>
        <w:ind w:firstLine="0"/>
        <w:jc w:val="left"/>
      </w:pPr>
      <w:r>
        <w:t xml:space="preserve">The pretests were conducted as individual telephone interviews with a total of seven respondents </w:t>
      </w:r>
      <w:r w:rsidR="00EE029A">
        <w:t xml:space="preserve">(Because of limited resources and time, the agency could not conduct pretests in person, although </w:t>
      </w:r>
      <w:r w:rsidR="00EE029A">
        <w:lastRenderedPageBreak/>
        <w:t xml:space="preserve">the actual interviews will be in person.)  Pretest respondents were selected to represent a range of demonstration </w:t>
      </w:r>
      <w:r w:rsidR="00DE55DA">
        <w:t>States</w:t>
      </w:r>
      <w:r w:rsidR="00EE029A">
        <w:t xml:space="preserve"> (Alaska, Utah, Florida, Illinois, Massachusetts, Oregon, and Pennsylvania) and activities in all five grant categories.  </w:t>
      </w:r>
    </w:p>
    <w:p w:rsidR="00E52A13" w:rsidRDefault="00EE029A">
      <w:pPr>
        <w:pStyle w:val="NormalSS"/>
        <w:ind w:firstLine="0"/>
        <w:jc w:val="left"/>
      </w:pPr>
      <w:r>
        <w:t xml:space="preserve">The </w:t>
      </w:r>
      <w:proofErr w:type="gramStart"/>
      <w:r>
        <w:t>organization of the protocols attached to this supporting statement directly reflect</w:t>
      </w:r>
      <w:proofErr w:type="gramEnd"/>
      <w:r>
        <w:t xml:space="preserve"> the pretest results.  (Because of the overlap in protocol content across respondent types, we applied the insights gained from pretesting the three protocols to those for the other respondent types.) Specifically, the protocol for key project staff consists of a set of general questions to be addressed to a principal investigator or medical director, and sets of category-specific questions to be addressed to other key project staff, such as a project manager or director.  This approach ensures AHRQ will capture both broad, contextual information and specific, technical information while making the most effective use of each respondent’s time.  All other protocols consist of core and supplemental sections.  The core sections contain the high-priority questions that the pretests suggest most respondents will be able to answer in the allotted interview time. The supplemental sections contain lower priority questions that interviewers will be trained to select from if the respondent answers core questions in less than the allotted interview time.</w:t>
      </w:r>
      <w:r w:rsidR="00EB7E60">
        <w:t xml:space="preserve"> </w:t>
      </w:r>
    </w:p>
    <w:p w:rsidR="00E52A13" w:rsidRDefault="00EE029A">
      <w:pPr>
        <w:pStyle w:val="NormalSS"/>
        <w:ind w:firstLine="0"/>
        <w:jc w:val="left"/>
      </w:pPr>
      <w:r>
        <w:t xml:space="preserve">The recruitment and confirmation emails attached to this supporting statement also reflect insights from the pretests.  Specifically, pretest respondents suggested it would be helpful to know in advance: the types of questions they will be asked, information about confidentiality, identify of research </w:t>
      </w:r>
      <w:proofErr w:type="gramStart"/>
      <w:r>
        <w:t>sponsors,</w:t>
      </w:r>
      <w:proofErr w:type="gramEnd"/>
      <w:r>
        <w:t xml:space="preserve"> and the use of audio recording during interviews.</w:t>
      </w:r>
    </w:p>
    <w:p w:rsidR="005C0DD1" w:rsidRDefault="005C0DD1">
      <w:pPr>
        <w:pStyle w:val="NormalSS"/>
        <w:ind w:firstLine="0"/>
        <w:jc w:val="left"/>
      </w:pPr>
    </w:p>
    <w:p w:rsidR="00E52A13" w:rsidRDefault="00EE029A">
      <w:pPr>
        <w:pStyle w:val="Heading2Black"/>
        <w:jc w:val="left"/>
        <w:rPr>
          <w:rFonts w:ascii="Arial" w:hAnsi="Arial" w:cs="Arial"/>
          <w:i/>
        </w:rPr>
      </w:pPr>
      <w:bookmarkStart w:id="12" w:name="_Toc291497946"/>
      <w:r>
        <w:rPr>
          <w:rFonts w:ascii="Arial" w:hAnsi="Arial" w:cs="Arial"/>
          <w:i/>
        </w:rPr>
        <w:t>5.</w:t>
      </w:r>
      <w:r>
        <w:rPr>
          <w:rFonts w:ascii="Arial" w:hAnsi="Arial" w:cs="Arial"/>
          <w:i/>
        </w:rPr>
        <w:tab/>
        <w:t>Statistical Consultants</w:t>
      </w:r>
      <w:bookmarkEnd w:id="12"/>
    </w:p>
    <w:p w:rsidR="00E52A13" w:rsidRDefault="00EE029A">
      <w:pPr>
        <w:pStyle w:val="NormalSS"/>
        <w:ind w:firstLine="0"/>
        <w:jc w:val="left"/>
      </w:pPr>
      <w:r>
        <w:t>AHRQ has contracted with Mathematica Policy Research, Urban Institute and Academy Health to conduct the evaluation of the CHIPRA quality demonstration grants. Table 1 identifies the individuals at these organizations who were consulted regarding the qualitative methods used in this project.</w:t>
      </w:r>
    </w:p>
    <w:p w:rsidR="00E52A13" w:rsidRDefault="00EE029A">
      <w:pPr>
        <w:pStyle w:val="MarkforTableHeading"/>
        <w:rPr>
          <w:rFonts w:ascii="Arial" w:hAnsi="Arial" w:cs="Arial"/>
        </w:rPr>
      </w:pPr>
      <w:r>
        <w:rPr>
          <w:rFonts w:ascii="Arial" w:hAnsi="Arial" w:cs="Arial"/>
        </w:rPr>
        <w:t>Table 1. Individuals Consulted Regarding Qualitative Methods of Evaluation</w:t>
      </w:r>
    </w:p>
    <w:tbl>
      <w:tblPr>
        <w:tblStyle w:val="SMPRTableBlack"/>
        <w:tblW w:w="5000" w:type="pct"/>
        <w:tblBorders>
          <w:insideH w:val="single" w:sz="4" w:space="0" w:color="auto"/>
          <w:insideV w:val="single" w:sz="4" w:space="0" w:color="auto"/>
        </w:tblBorders>
        <w:tblLook w:val="04A0" w:firstRow="1" w:lastRow="0" w:firstColumn="1" w:lastColumn="0" w:noHBand="0" w:noVBand="1"/>
      </w:tblPr>
      <w:tblGrid>
        <w:gridCol w:w="2151"/>
        <w:gridCol w:w="1982"/>
        <w:gridCol w:w="3292"/>
        <w:gridCol w:w="2151"/>
      </w:tblGrid>
      <w:tr w:rsidR="00FB1BE4" w:rsidRPr="009F1037" w:rsidTr="00EF17B3">
        <w:trPr>
          <w:cnfStyle w:val="100000000000" w:firstRow="1" w:lastRow="0" w:firstColumn="0" w:lastColumn="0" w:oddVBand="0" w:evenVBand="0" w:oddHBand="0" w:evenHBand="0" w:firstRowFirstColumn="0" w:firstRowLastColumn="0" w:lastRowFirstColumn="0" w:lastRowLastColumn="0"/>
        </w:trPr>
        <w:tc>
          <w:tcPr>
            <w:tcW w:w="112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E52A13" w:rsidRDefault="00EE029A">
            <w:pPr>
              <w:pStyle w:val="TableHeaderLeft"/>
              <w:tabs>
                <w:tab w:val="clear" w:pos="432"/>
              </w:tabs>
              <w:rPr>
                <w:rFonts w:ascii="Arial" w:hAnsi="Arial" w:cs="Arial"/>
              </w:rPr>
            </w:pPr>
            <w:r>
              <w:rPr>
                <w:rFonts w:ascii="Arial" w:hAnsi="Arial" w:cs="Arial"/>
              </w:rPr>
              <w:t>Name</w:t>
            </w:r>
          </w:p>
        </w:tc>
        <w:tc>
          <w:tcPr>
            <w:tcW w:w="103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E52A13" w:rsidRDefault="00EE029A">
            <w:pPr>
              <w:pStyle w:val="TableHeaderCenter"/>
              <w:rPr>
                <w:rFonts w:ascii="Arial" w:hAnsi="Arial" w:cs="Arial"/>
              </w:rPr>
            </w:pPr>
            <w:r>
              <w:rPr>
                <w:rFonts w:ascii="Arial" w:hAnsi="Arial" w:cs="Arial"/>
              </w:rPr>
              <w:t>Title</w:t>
            </w:r>
          </w:p>
        </w:tc>
        <w:tc>
          <w:tcPr>
            <w:tcW w:w="171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E52A13" w:rsidRDefault="00EE029A">
            <w:pPr>
              <w:pStyle w:val="TableHeaderCenter"/>
              <w:rPr>
                <w:rFonts w:ascii="Arial" w:hAnsi="Arial" w:cs="Arial"/>
              </w:rPr>
            </w:pPr>
            <w:r>
              <w:rPr>
                <w:rFonts w:ascii="Arial" w:hAnsi="Arial" w:cs="Arial"/>
              </w:rPr>
              <w:t>Email</w:t>
            </w:r>
          </w:p>
        </w:tc>
        <w:tc>
          <w:tcPr>
            <w:tcW w:w="112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E52A13" w:rsidRDefault="00EE029A">
            <w:pPr>
              <w:pStyle w:val="TableHeaderCenter"/>
              <w:rPr>
                <w:rFonts w:ascii="Arial" w:hAnsi="Arial" w:cs="Arial"/>
              </w:rPr>
            </w:pPr>
            <w:r>
              <w:rPr>
                <w:rFonts w:ascii="Arial" w:hAnsi="Arial" w:cs="Arial"/>
              </w:rPr>
              <w:t>Phone Number</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 xml:space="preserve">Grace </w:t>
            </w:r>
            <w:r w:rsidR="00894D48" w:rsidRPr="009F1037">
              <w:rPr>
                <w:rFonts w:ascii="Arial" w:hAnsi="Arial" w:cs="Arial"/>
              </w:rPr>
              <w:t xml:space="preserve">Ferry </w:t>
            </w:r>
          </w:p>
          <w:p w:rsidR="00FB1BE4" w:rsidRPr="009F1037" w:rsidRDefault="00FB1BE4" w:rsidP="009F1037">
            <w:pPr>
              <w:pStyle w:val="TableText"/>
              <w:spacing w:before="20" w:after="20"/>
              <w:rPr>
                <w:rFonts w:ascii="Arial" w:hAnsi="Arial" w:cs="Arial"/>
              </w:rPr>
            </w:pPr>
            <w:r w:rsidRPr="009F1037">
              <w:rPr>
                <w:rFonts w:ascii="Arial" w:hAnsi="Arial" w:cs="Arial"/>
              </w:rPr>
              <w:t>(Mathematica)</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Research Analyst</w:t>
            </w:r>
          </w:p>
        </w:tc>
        <w:tc>
          <w:tcPr>
            <w:tcW w:w="1719" w:type="pct"/>
            <w:vAlign w:val="center"/>
          </w:tcPr>
          <w:p w:rsidR="00FB1BE4" w:rsidRPr="009F1037" w:rsidRDefault="00894D48" w:rsidP="009F1037">
            <w:pPr>
              <w:pStyle w:val="TableText"/>
              <w:spacing w:before="20" w:after="20"/>
              <w:rPr>
                <w:rFonts w:ascii="Arial" w:hAnsi="Arial" w:cs="Arial"/>
              </w:rPr>
            </w:pPr>
            <w:r w:rsidRPr="009F1037">
              <w:rPr>
                <w:rFonts w:ascii="Arial" w:hAnsi="Arial" w:cs="Arial"/>
              </w:rPr>
              <w:t>gferry</w:t>
            </w:r>
            <w:r w:rsidR="00FB1BE4" w:rsidRPr="009F1037">
              <w:rPr>
                <w:rFonts w:ascii="Arial" w:hAnsi="Arial" w:cs="Arial"/>
              </w:rPr>
              <w:t>@mathematica-mpr.com</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202-250-3571</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 xml:space="preserve">Danna Basson </w:t>
            </w:r>
          </w:p>
          <w:p w:rsidR="00FB1BE4" w:rsidRPr="009F1037" w:rsidRDefault="00FB1BE4" w:rsidP="009F1037">
            <w:pPr>
              <w:pStyle w:val="TableText"/>
              <w:spacing w:before="20" w:after="20"/>
              <w:rPr>
                <w:rFonts w:ascii="Arial" w:hAnsi="Arial" w:cs="Arial"/>
              </w:rPr>
            </w:pPr>
            <w:r w:rsidRPr="009F1037">
              <w:rPr>
                <w:rFonts w:ascii="Arial" w:hAnsi="Arial" w:cs="Arial"/>
              </w:rPr>
              <w:t>(Mathematica)</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Survey Researcher</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dbasson@mathematica-mpr.com</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510-830-3713</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Cindy Brach</w:t>
            </w:r>
          </w:p>
          <w:p w:rsidR="00FB1BE4" w:rsidRPr="009F1037" w:rsidRDefault="00FB1BE4" w:rsidP="009F1037">
            <w:pPr>
              <w:pStyle w:val="TableText"/>
              <w:spacing w:before="20" w:after="20"/>
              <w:rPr>
                <w:rFonts w:ascii="Arial" w:hAnsi="Arial" w:cs="Arial"/>
              </w:rPr>
            </w:pPr>
            <w:r w:rsidRPr="009F1037">
              <w:rPr>
                <w:rFonts w:ascii="Arial" w:hAnsi="Arial" w:cs="Arial"/>
              </w:rPr>
              <w:t>(AHRQ)</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Project Officer</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cindy.brach@ahrq.hhs.gov</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301-427-1444</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Tennille Brown</w:t>
            </w:r>
          </w:p>
          <w:p w:rsidR="00FB1BE4" w:rsidRPr="009F1037" w:rsidRDefault="00FB1BE4" w:rsidP="009F1037">
            <w:pPr>
              <w:pStyle w:val="TableText"/>
              <w:spacing w:before="20" w:after="20"/>
              <w:rPr>
                <w:rFonts w:ascii="Arial" w:hAnsi="Arial" w:cs="Arial"/>
              </w:rPr>
            </w:pPr>
            <w:r w:rsidRPr="009F1037">
              <w:rPr>
                <w:rFonts w:ascii="Arial" w:hAnsi="Arial" w:cs="Arial"/>
              </w:rPr>
              <w:t>(AHRQ)</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Project Officer</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tennille.brown@ahrq.hhs.gov</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301-427-1664</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Rachel Burton</w:t>
            </w:r>
          </w:p>
          <w:p w:rsidR="00FB1BE4" w:rsidRPr="009F1037" w:rsidRDefault="00FB1BE4" w:rsidP="009F1037">
            <w:pPr>
              <w:pStyle w:val="TableText"/>
              <w:spacing w:before="20" w:after="20"/>
              <w:rPr>
                <w:rFonts w:ascii="Arial" w:hAnsi="Arial" w:cs="Arial"/>
              </w:rPr>
            </w:pPr>
            <w:r w:rsidRPr="009F1037">
              <w:rPr>
                <w:rFonts w:ascii="Arial" w:hAnsi="Arial" w:cs="Arial"/>
              </w:rPr>
              <w:t>(Urban Institute)</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Research Associate</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rburton@urban.org</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202-261-5825</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 xml:space="preserve">Kelly Devers </w:t>
            </w:r>
          </w:p>
          <w:p w:rsidR="00FB1BE4" w:rsidRPr="009F1037" w:rsidRDefault="00FB1BE4" w:rsidP="009F1037">
            <w:pPr>
              <w:pStyle w:val="TableText"/>
              <w:spacing w:before="20" w:after="20"/>
              <w:rPr>
                <w:rFonts w:ascii="Arial" w:hAnsi="Arial" w:cs="Arial"/>
              </w:rPr>
            </w:pPr>
            <w:r w:rsidRPr="009F1037">
              <w:rPr>
                <w:rFonts w:ascii="Arial" w:hAnsi="Arial" w:cs="Arial"/>
              </w:rPr>
              <w:t>(Urban Institute)</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Senior Fellow</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kdevers@urban.org</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202-261-5905</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 xml:space="preserve">Leslie Foster </w:t>
            </w:r>
          </w:p>
          <w:p w:rsidR="00FB1BE4" w:rsidRPr="009F1037" w:rsidRDefault="00FB1BE4" w:rsidP="009F1037">
            <w:pPr>
              <w:pStyle w:val="TableText"/>
              <w:spacing w:before="20" w:after="20"/>
              <w:rPr>
                <w:rFonts w:ascii="Arial" w:hAnsi="Arial" w:cs="Arial"/>
              </w:rPr>
            </w:pPr>
            <w:r w:rsidRPr="009F1037">
              <w:rPr>
                <w:rFonts w:ascii="Arial" w:hAnsi="Arial" w:cs="Arial"/>
              </w:rPr>
              <w:t>(Mathematica)</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Senior Researcher</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lfoster@mathematica-mpr.com</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510-830-3709</w:t>
            </w:r>
          </w:p>
        </w:tc>
      </w:tr>
      <w:tr w:rsidR="00FB1BE4" w:rsidRPr="009F1037"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t xml:space="preserve">Ian Hill </w:t>
            </w:r>
          </w:p>
          <w:p w:rsidR="00FB1BE4" w:rsidRPr="009F1037" w:rsidRDefault="00FB1BE4" w:rsidP="009F1037">
            <w:pPr>
              <w:pStyle w:val="TableText"/>
              <w:spacing w:before="20" w:after="20"/>
              <w:rPr>
                <w:rFonts w:ascii="Arial" w:hAnsi="Arial" w:cs="Arial"/>
              </w:rPr>
            </w:pPr>
            <w:r w:rsidRPr="009F1037">
              <w:rPr>
                <w:rFonts w:ascii="Arial" w:hAnsi="Arial" w:cs="Arial"/>
              </w:rPr>
              <w:t>(Urban Institute)</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Senior Fellow</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ihill@urban.org</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202-261-5374</w:t>
            </w:r>
          </w:p>
        </w:tc>
      </w:tr>
      <w:tr w:rsidR="00FB1BE4" w:rsidRPr="009F1037" w:rsidTr="00EF17B3">
        <w:tc>
          <w:tcPr>
            <w:tcW w:w="1123" w:type="pct"/>
          </w:tcPr>
          <w:p w:rsidR="00FB1BE4" w:rsidRPr="009F1037" w:rsidRDefault="00E87FFD" w:rsidP="009F1037">
            <w:pPr>
              <w:pStyle w:val="TableText"/>
              <w:spacing w:before="20" w:after="20"/>
              <w:rPr>
                <w:rFonts w:ascii="Arial" w:hAnsi="Arial" w:cs="Arial"/>
              </w:rPr>
            </w:pPr>
            <w:r>
              <w:rPr>
                <w:rFonts w:ascii="Arial" w:hAnsi="Arial" w:cs="Arial"/>
              </w:rPr>
              <w:t>Henry Ir</w:t>
            </w:r>
            <w:r w:rsidR="00FB1BE4" w:rsidRPr="009F1037">
              <w:rPr>
                <w:rFonts w:ascii="Arial" w:hAnsi="Arial" w:cs="Arial"/>
              </w:rPr>
              <w:t>e</w:t>
            </w:r>
            <w:r>
              <w:rPr>
                <w:rFonts w:ascii="Arial" w:hAnsi="Arial" w:cs="Arial"/>
              </w:rPr>
              <w:t>y</w:t>
            </w:r>
            <w:r w:rsidR="00FB1BE4" w:rsidRPr="009F1037">
              <w:rPr>
                <w:rFonts w:ascii="Arial" w:hAnsi="Arial" w:cs="Arial"/>
              </w:rPr>
              <w:t xml:space="preserve">s </w:t>
            </w:r>
          </w:p>
          <w:p w:rsidR="00FB1BE4" w:rsidRPr="009F1037" w:rsidRDefault="00FB1BE4" w:rsidP="009F1037">
            <w:pPr>
              <w:pStyle w:val="TableText"/>
              <w:spacing w:before="20" w:after="20"/>
              <w:rPr>
                <w:rFonts w:ascii="Arial" w:hAnsi="Arial" w:cs="Arial"/>
              </w:rPr>
            </w:pPr>
            <w:r w:rsidRPr="009F1037">
              <w:rPr>
                <w:rFonts w:ascii="Arial" w:hAnsi="Arial" w:cs="Arial"/>
              </w:rPr>
              <w:t>(Mathematica)</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Senior Fellow</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hireys@mathematica-mpr.com</w:t>
            </w:r>
          </w:p>
        </w:tc>
        <w:tc>
          <w:tcPr>
            <w:tcW w:w="1123" w:type="pct"/>
            <w:vAlign w:val="center"/>
          </w:tcPr>
          <w:p w:rsidR="00FB1BE4" w:rsidRPr="009F1037" w:rsidRDefault="00FB1BE4" w:rsidP="009F1037">
            <w:pPr>
              <w:pStyle w:val="TableText"/>
              <w:spacing w:before="20" w:after="20"/>
              <w:ind w:left="360"/>
              <w:rPr>
                <w:rFonts w:ascii="Arial" w:hAnsi="Arial" w:cs="Arial"/>
              </w:rPr>
            </w:pPr>
            <w:r w:rsidRPr="009F1037">
              <w:rPr>
                <w:rFonts w:ascii="Arial" w:hAnsi="Arial" w:cs="Arial"/>
              </w:rPr>
              <w:t>202- 554-7536</w:t>
            </w:r>
          </w:p>
        </w:tc>
      </w:tr>
      <w:tr w:rsidR="00FB1BE4" w:rsidTr="00EF17B3">
        <w:tc>
          <w:tcPr>
            <w:tcW w:w="1123" w:type="pct"/>
          </w:tcPr>
          <w:p w:rsidR="00FB1BE4" w:rsidRPr="009F1037" w:rsidRDefault="00FB1BE4" w:rsidP="009F1037">
            <w:pPr>
              <w:pStyle w:val="TableText"/>
              <w:spacing w:before="20" w:after="20"/>
              <w:rPr>
                <w:rFonts w:ascii="Arial" w:hAnsi="Arial" w:cs="Arial"/>
              </w:rPr>
            </w:pPr>
            <w:r w:rsidRPr="009F1037">
              <w:rPr>
                <w:rFonts w:ascii="Arial" w:hAnsi="Arial" w:cs="Arial"/>
              </w:rPr>
              <w:lastRenderedPageBreak/>
              <w:t xml:space="preserve">Lisa Simpson </w:t>
            </w:r>
          </w:p>
          <w:p w:rsidR="00FB1BE4" w:rsidRPr="009F1037" w:rsidRDefault="00FB1BE4" w:rsidP="009F1037">
            <w:pPr>
              <w:pStyle w:val="TableText"/>
              <w:spacing w:before="20" w:after="20"/>
              <w:rPr>
                <w:rFonts w:ascii="Arial" w:hAnsi="Arial" w:cs="Arial"/>
              </w:rPr>
            </w:pPr>
            <w:r w:rsidRPr="009F1037">
              <w:rPr>
                <w:rFonts w:ascii="Arial" w:hAnsi="Arial" w:cs="Arial"/>
              </w:rPr>
              <w:t>(Academy Health)</w:t>
            </w:r>
          </w:p>
        </w:tc>
        <w:tc>
          <w:tcPr>
            <w:tcW w:w="1035"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President and CEO</w:t>
            </w:r>
          </w:p>
        </w:tc>
        <w:tc>
          <w:tcPr>
            <w:tcW w:w="1719" w:type="pct"/>
            <w:vAlign w:val="center"/>
          </w:tcPr>
          <w:p w:rsidR="00FB1BE4" w:rsidRPr="009F1037" w:rsidRDefault="00FB1BE4" w:rsidP="009F1037">
            <w:pPr>
              <w:pStyle w:val="TableText"/>
              <w:spacing w:before="20" w:after="20"/>
              <w:rPr>
                <w:rFonts w:ascii="Arial" w:hAnsi="Arial" w:cs="Arial"/>
              </w:rPr>
            </w:pPr>
            <w:r w:rsidRPr="009F1037">
              <w:rPr>
                <w:rFonts w:ascii="Arial" w:hAnsi="Arial" w:cs="Arial"/>
              </w:rPr>
              <w:t>lisa.simpson@academyhealth.org</w:t>
            </w:r>
          </w:p>
        </w:tc>
        <w:tc>
          <w:tcPr>
            <w:tcW w:w="1123" w:type="pct"/>
            <w:vAlign w:val="center"/>
          </w:tcPr>
          <w:p w:rsidR="00FB1BE4" w:rsidRPr="00723EE7" w:rsidRDefault="00FB1BE4" w:rsidP="009F1037">
            <w:pPr>
              <w:pStyle w:val="TableText"/>
              <w:spacing w:before="20" w:after="20"/>
              <w:ind w:left="360"/>
              <w:rPr>
                <w:rFonts w:ascii="Arial" w:hAnsi="Arial" w:cs="Arial"/>
              </w:rPr>
            </w:pPr>
            <w:r w:rsidRPr="009F1037">
              <w:rPr>
                <w:rFonts w:ascii="Arial" w:hAnsi="Arial" w:cs="Arial"/>
              </w:rPr>
              <w:t>202-292-6747</w:t>
            </w:r>
          </w:p>
        </w:tc>
      </w:tr>
      <w:tr w:rsidR="00EB7E60" w:rsidTr="00A73FAF">
        <w:tc>
          <w:tcPr>
            <w:tcW w:w="1123" w:type="pct"/>
          </w:tcPr>
          <w:p w:rsidR="00EB7E60" w:rsidRPr="00886693" w:rsidRDefault="00B56746" w:rsidP="003E1873">
            <w:pPr>
              <w:pStyle w:val="TableText"/>
              <w:spacing w:before="20" w:after="20"/>
              <w:rPr>
                <w:rFonts w:ascii="Arial" w:hAnsi="Arial" w:cs="Arial"/>
                <w:highlight w:val="yellow"/>
              </w:rPr>
            </w:pPr>
            <w:r w:rsidRPr="00B56746">
              <w:rPr>
                <w:rFonts w:ascii="Arial" w:hAnsi="Arial" w:cs="Arial"/>
                <w:highlight w:val="yellow"/>
              </w:rPr>
              <w:t>Dana Peterson, Mathematica</w:t>
            </w:r>
          </w:p>
        </w:tc>
        <w:tc>
          <w:tcPr>
            <w:tcW w:w="1035" w:type="pct"/>
          </w:tcPr>
          <w:p w:rsidR="00EB7E60" w:rsidRPr="00886693" w:rsidRDefault="00B56746" w:rsidP="009F1037">
            <w:pPr>
              <w:pStyle w:val="TableText"/>
              <w:spacing w:before="20" w:after="20"/>
              <w:rPr>
                <w:rFonts w:ascii="Arial" w:hAnsi="Arial" w:cs="Arial"/>
                <w:highlight w:val="yellow"/>
              </w:rPr>
            </w:pPr>
            <w:r w:rsidRPr="00B56746">
              <w:rPr>
                <w:rFonts w:ascii="Arial" w:hAnsi="Arial" w:cs="Arial"/>
                <w:highlight w:val="yellow"/>
              </w:rPr>
              <w:t xml:space="preserve">Researcher </w:t>
            </w:r>
          </w:p>
        </w:tc>
        <w:tc>
          <w:tcPr>
            <w:tcW w:w="1719" w:type="pct"/>
          </w:tcPr>
          <w:p w:rsidR="00EB7E60" w:rsidRPr="00886693" w:rsidRDefault="00B56746" w:rsidP="00B2628C">
            <w:pPr>
              <w:pStyle w:val="TableText"/>
              <w:spacing w:before="20" w:after="20"/>
              <w:rPr>
                <w:rFonts w:ascii="Arial" w:hAnsi="Arial" w:cs="Arial"/>
                <w:highlight w:val="yellow"/>
              </w:rPr>
            </w:pPr>
            <w:r w:rsidRPr="00B56746">
              <w:rPr>
                <w:rFonts w:ascii="Arial" w:hAnsi="Arial" w:cs="Arial"/>
                <w:highlight w:val="yellow"/>
              </w:rPr>
              <w:t>dpeterson@mathematica-mpr.com</w:t>
            </w:r>
          </w:p>
        </w:tc>
        <w:tc>
          <w:tcPr>
            <w:tcW w:w="1123" w:type="pct"/>
          </w:tcPr>
          <w:p w:rsidR="00EB7E60" w:rsidRPr="00886693" w:rsidRDefault="00B56746" w:rsidP="009F1037">
            <w:pPr>
              <w:pStyle w:val="TableText"/>
              <w:spacing w:before="20" w:after="20"/>
              <w:ind w:left="360"/>
              <w:rPr>
                <w:rFonts w:ascii="Arial" w:hAnsi="Arial" w:cs="Arial"/>
                <w:highlight w:val="yellow"/>
              </w:rPr>
            </w:pPr>
            <w:r w:rsidRPr="00B56746">
              <w:rPr>
                <w:rFonts w:ascii="Arial" w:hAnsi="Arial" w:cs="Arial"/>
                <w:highlight w:val="yellow"/>
              </w:rPr>
              <w:t>510-830-3713</w:t>
            </w:r>
          </w:p>
        </w:tc>
      </w:tr>
    </w:tbl>
    <w:p w:rsidR="00FB1BE4" w:rsidRPr="00EE498D" w:rsidRDefault="00FB1BE4" w:rsidP="009F1037">
      <w:pPr>
        <w:pStyle w:val="NormalSS"/>
      </w:pPr>
    </w:p>
    <w:sectPr w:rsidR="00FB1BE4" w:rsidRPr="00EE498D"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87" w:rsidRDefault="004D1887">
      <w:pPr>
        <w:spacing w:line="240" w:lineRule="auto"/>
        <w:ind w:firstLine="0"/>
      </w:pPr>
    </w:p>
  </w:endnote>
  <w:endnote w:type="continuationSeparator" w:id="0">
    <w:p w:rsidR="004D1887" w:rsidRDefault="004D1887">
      <w:pPr>
        <w:spacing w:line="240" w:lineRule="auto"/>
        <w:ind w:firstLine="0"/>
      </w:pPr>
    </w:p>
  </w:endnote>
  <w:endnote w:type="continuationNotice" w:id="1">
    <w:p w:rsidR="004D1887" w:rsidRDefault="004D1887">
      <w:pPr>
        <w:spacing w:line="240" w:lineRule="auto"/>
        <w:ind w:firstLine="0"/>
      </w:pPr>
    </w:p>
    <w:p w:rsidR="004D1887" w:rsidRDefault="004D1887"/>
    <w:p w:rsidR="004D1887" w:rsidRDefault="004D188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N:\Project\06816_CHIPRA_QDE\DC1\Common\Task 800 OMB\820 OMB Revisions\2014\Qualitative\CHIPRASupporting Statement Part B -- Revised Feb 12.2014.docx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87" w:rsidRDefault="004D1887" w:rsidP="00723EE7">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E09F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87" w:rsidRDefault="004D1887">
      <w:pPr>
        <w:spacing w:line="240" w:lineRule="auto"/>
        <w:ind w:firstLine="0"/>
      </w:pPr>
      <w:r>
        <w:separator/>
      </w:r>
    </w:p>
  </w:footnote>
  <w:footnote w:type="continuationSeparator" w:id="0">
    <w:p w:rsidR="004D1887" w:rsidRDefault="004D1887">
      <w:pPr>
        <w:spacing w:line="240" w:lineRule="auto"/>
        <w:ind w:firstLine="0"/>
      </w:pPr>
      <w:r>
        <w:separator/>
      </w:r>
    </w:p>
    <w:p w:rsidR="004D1887" w:rsidRDefault="004D1887">
      <w:pPr>
        <w:spacing w:line="240" w:lineRule="auto"/>
        <w:ind w:firstLine="0"/>
        <w:rPr>
          <w:i/>
        </w:rPr>
      </w:pPr>
      <w:r>
        <w:rPr>
          <w:i/>
        </w:rPr>
        <w:t>(continued)</w:t>
      </w:r>
    </w:p>
  </w:footnote>
  <w:footnote w:type="continuationNotice" w:id="1">
    <w:p w:rsidR="004D1887" w:rsidRDefault="004D188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87" w:rsidRPr="00003EF3" w:rsidRDefault="004D1887" w:rsidP="00003EF3">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032B7"/>
    <w:multiLevelType w:val="hybridMultilevel"/>
    <w:tmpl w:val="A9C800F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F7513D4"/>
    <w:multiLevelType w:val="hybridMultilevel"/>
    <w:tmpl w:val="59B02946"/>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5610147"/>
    <w:multiLevelType w:val="hybridMultilevel"/>
    <w:tmpl w:val="311C90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F4E8A"/>
    <w:multiLevelType w:val="hybridMultilevel"/>
    <w:tmpl w:val="B6F21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7D1AD986">
      <w:start w:val="1"/>
      <w:numFmt w:val="bullet"/>
      <w:pStyle w:val="ListParagraph"/>
      <w:lvlText w:val=""/>
      <w:lvlJc w:val="left"/>
      <w:pPr>
        <w:ind w:left="792" w:hanging="360"/>
      </w:pPr>
      <w:rPr>
        <w:rFonts w:ascii="Symbol" w:hAnsi="Symbol" w:hint="default"/>
      </w:rPr>
    </w:lvl>
    <w:lvl w:ilvl="1" w:tplc="7764D636" w:tentative="1">
      <w:start w:val="1"/>
      <w:numFmt w:val="bullet"/>
      <w:lvlText w:val="o"/>
      <w:lvlJc w:val="left"/>
      <w:pPr>
        <w:ind w:left="1872" w:hanging="360"/>
      </w:pPr>
      <w:rPr>
        <w:rFonts w:ascii="Courier New" w:hAnsi="Courier New" w:cs="Courier New" w:hint="default"/>
      </w:rPr>
    </w:lvl>
    <w:lvl w:ilvl="2" w:tplc="7A883BA8" w:tentative="1">
      <w:start w:val="1"/>
      <w:numFmt w:val="bullet"/>
      <w:lvlText w:val=""/>
      <w:lvlJc w:val="left"/>
      <w:pPr>
        <w:ind w:left="2592" w:hanging="360"/>
      </w:pPr>
      <w:rPr>
        <w:rFonts w:ascii="Wingdings" w:hAnsi="Wingdings" w:hint="default"/>
      </w:rPr>
    </w:lvl>
    <w:lvl w:ilvl="3" w:tplc="1518AA90" w:tentative="1">
      <w:start w:val="1"/>
      <w:numFmt w:val="bullet"/>
      <w:lvlText w:val=""/>
      <w:lvlJc w:val="left"/>
      <w:pPr>
        <w:ind w:left="3312" w:hanging="360"/>
      </w:pPr>
      <w:rPr>
        <w:rFonts w:ascii="Symbol" w:hAnsi="Symbol" w:hint="default"/>
      </w:rPr>
    </w:lvl>
    <w:lvl w:ilvl="4" w:tplc="D242D9AA" w:tentative="1">
      <w:start w:val="1"/>
      <w:numFmt w:val="bullet"/>
      <w:lvlText w:val="o"/>
      <w:lvlJc w:val="left"/>
      <w:pPr>
        <w:ind w:left="4032" w:hanging="360"/>
      </w:pPr>
      <w:rPr>
        <w:rFonts w:ascii="Courier New" w:hAnsi="Courier New" w:cs="Courier New" w:hint="default"/>
      </w:rPr>
    </w:lvl>
    <w:lvl w:ilvl="5" w:tplc="F3AC9CEC" w:tentative="1">
      <w:start w:val="1"/>
      <w:numFmt w:val="bullet"/>
      <w:lvlText w:val=""/>
      <w:lvlJc w:val="left"/>
      <w:pPr>
        <w:ind w:left="4752" w:hanging="360"/>
      </w:pPr>
      <w:rPr>
        <w:rFonts w:ascii="Wingdings" w:hAnsi="Wingdings" w:hint="default"/>
      </w:rPr>
    </w:lvl>
    <w:lvl w:ilvl="6" w:tplc="76646712" w:tentative="1">
      <w:start w:val="1"/>
      <w:numFmt w:val="bullet"/>
      <w:lvlText w:val=""/>
      <w:lvlJc w:val="left"/>
      <w:pPr>
        <w:ind w:left="5472" w:hanging="360"/>
      </w:pPr>
      <w:rPr>
        <w:rFonts w:ascii="Symbol" w:hAnsi="Symbol" w:hint="default"/>
      </w:rPr>
    </w:lvl>
    <w:lvl w:ilvl="7" w:tplc="A34E763E" w:tentative="1">
      <w:start w:val="1"/>
      <w:numFmt w:val="bullet"/>
      <w:lvlText w:val="o"/>
      <w:lvlJc w:val="left"/>
      <w:pPr>
        <w:ind w:left="6192" w:hanging="360"/>
      </w:pPr>
      <w:rPr>
        <w:rFonts w:ascii="Courier New" w:hAnsi="Courier New" w:cs="Courier New" w:hint="default"/>
      </w:rPr>
    </w:lvl>
    <w:lvl w:ilvl="8" w:tplc="C952E0DC" w:tentative="1">
      <w:start w:val="1"/>
      <w:numFmt w:val="bullet"/>
      <w:lvlText w:val=""/>
      <w:lvlJc w:val="left"/>
      <w:pPr>
        <w:ind w:left="6912" w:hanging="360"/>
      </w:pPr>
      <w:rPr>
        <w:rFonts w:ascii="Wingdings" w:hAnsi="Wingdings" w:hint="default"/>
      </w:rPr>
    </w:lvl>
  </w:abstractNum>
  <w:abstractNum w:abstractNumId="19">
    <w:nsid w:val="7CDC5794"/>
    <w:multiLevelType w:val="hybridMultilevel"/>
    <w:tmpl w:val="22102A22"/>
    <w:lvl w:ilvl="0" w:tplc="F65C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36715"/>
    <w:multiLevelType w:val="hybridMultilevel"/>
    <w:tmpl w:val="B2C4BBE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17"/>
  </w:num>
  <w:num w:numId="3">
    <w:abstractNumId w:val="11"/>
  </w:num>
  <w:num w:numId="4">
    <w:abstractNumId w:val="1"/>
  </w:num>
  <w:num w:numId="5">
    <w:abstractNumId w:val="0"/>
  </w:num>
  <w:num w:numId="6">
    <w:abstractNumId w:val="18"/>
  </w:num>
  <w:num w:numId="7">
    <w:abstractNumId w:val="16"/>
  </w:num>
  <w:num w:numId="8">
    <w:abstractNumId w:val="4"/>
  </w:num>
  <w:num w:numId="9">
    <w:abstractNumId w:val="6"/>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5"/>
  </w:num>
  <w:num w:numId="18">
    <w:abstractNumId w:val="14"/>
  </w:num>
  <w:num w:numId="19">
    <w:abstractNumId w:val="9"/>
  </w:num>
  <w:num w:numId="20">
    <w:abstractNumId w:val="9"/>
  </w:num>
  <w:num w:numId="21">
    <w:abstractNumId w:val="15"/>
  </w:num>
  <w:num w:numId="22">
    <w:abstractNumId w:val="19"/>
  </w:num>
  <w:num w:numId="23">
    <w:abstractNumId w:val="6"/>
  </w:num>
  <w:num w:numId="2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41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EE498D"/>
    <w:rsid w:val="000015FB"/>
    <w:rsid w:val="00003EF3"/>
    <w:rsid w:val="00006E1F"/>
    <w:rsid w:val="00007CA0"/>
    <w:rsid w:val="00012372"/>
    <w:rsid w:val="00012863"/>
    <w:rsid w:val="00017DD1"/>
    <w:rsid w:val="00021A62"/>
    <w:rsid w:val="000300AF"/>
    <w:rsid w:val="00037098"/>
    <w:rsid w:val="00046CA3"/>
    <w:rsid w:val="00046E51"/>
    <w:rsid w:val="00052499"/>
    <w:rsid w:val="00053968"/>
    <w:rsid w:val="00053E01"/>
    <w:rsid w:val="00063123"/>
    <w:rsid w:val="00063FEF"/>
    <w:rsid w:val="00066AB9"/>
    <w:rsid w:val="00070A6D"/>
    <w:rsid w:val="00073E4F"/>
    <w:rsid w:val="000769A1"/>
    <w:rsid w:val="00076CF0"/>
    <w:rsid w:val="00080DFA"/>
    <w:rsid w:val="000812AE"/>
    <w:rsid w:val="00081D47"/>
    <w:rsid w:val="0008500E"/>
    <w:rsid w:val="0009020B"/>
    <w:rsid w:val="00090529"/>
    <w:rsid w:val="00095A02"/>
    <w:rsid w:val="0009675B"/>
    <w:rsid w:val="000A4439"/>
    <w:rsid w:val="000A544F"/>
    <w:rsid w:val="000B2BD0"/>
    <w:rsid w:val="000B3A77"/>
    <w:rsid w:val="000B7E70"/>
    <w:rsid w:val="000C0118"/>
    <w:rsid w:val="000C15B4"/>
    <w:rsid w:val="000C70DC"/>
    <w:rsid w:val="000C72F8"/>
    <w:rsid w:val="000C778B"/>
    <w:rsid w:val="000D5512"/>
    <w:rsid w:val="000D709F"/>
    <w:rsid w:val="000E1D9E"/>
    <w:rsid w:val="000E6D11"/>
    <w:rsid w:val="000F79B9"/>
    <w:rsid w:val="00105D23"/>
    <w:rsid w:val="001073C9"/>
    <w:rsid w:val="001109FD"/>
    <w:rsid w:val="001214B7"/>
    <w:rsid w:val="00130424"/>
    <w:rsid w:val="0013282C"/>
    <w:rsid w:val="00132E2F"/>
    <w:rsid w:val="00135AF5"/>
    <w:rsid w:val="00137DB1"/>
    <w:rsid w:val="0014088D"/>
    <w:rsid w:val="00141646"/>
    <w:rsid w:val="00141705"/>
    <w:rsid w:val="00141A0B"/>
    <w:rsid w:val="001425AF"/>
    <w:rsid w:val="00142AE3"/>
    <w:rsid w:val="00144DA7"/>
    <w:rsid w:val="00160306"/>
    <w:rsid w:val="00160E09"/>
    <w:rsid w:val="00162191"/>
    <w:rsid w:val="00181F53"/>
    <w:rsid w:val="0018564C"/>
    <w:rsid w:val="001933B1"/>
    <w:rsid w:val="00197C10"/>
    <w:rsid w:val="001A02E9"/>
    <w:rsid w:val="001A07D4"/>
    <w:rsid w:val="001B360E"/>
    <w:rsid w:val="001C6D08"/>
    <w:rsid w:val="001D247C"/>
    <w:rsid w:val="001D3C41"/>
    <w:rsid w:val="001D634E"/>
    <w:rsid w:val="001E0AB2"/>
    <w:rsid w:val="001E336F"/>
    <w:rsid w:val="001E466A"/>
    <w:rsid w:val="001F5410"/>
    <w:rsid w:val="00200B10"/>
    <w:rsid w:val="00200CC4"/>
    <w:rsid w:val="002053F3"/>
    <w:rsid w:val="00206A2A"/>
    <w:rsid w:val="0022402B"/>
    <w:rsid w:val="0022522A"/>
    <w:rsid w:val="00236122"/>
    <w:rsid w:val="002371C2"/>
    <w:rsid w:val="00242FF4"/>
    <w:rsid w:val="00243909"/>
    <w:rsid w:val="00243DEE"/>
    <w:rsid w:val="0025182E"/>
    <w:rsid w:val="002545B3"/>
    <w:rsid w:val="002613D2"/>
    <w:rsid w:val="00264716"/>
    <w:rsid w:val="002651E9"/>
    <w:rsid w:val="00267F6C"/>
    <w:rsid w:val="00271B2B"/>
    <w:rsid w:val="00272CC1"/>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4DF3"/>
    <w:rsid w:val="002D6999"/>
    <w:rsid w:val="002E5B99"/>
    <w:rsid w:val="002F1E71"/>
    <w:rsid w:val="002F440B"/>
    <w:rsid w:val="002F71D4"/>
    <w:rsid w:val="002F7C83"/>
    <w:rsid w:val="00300CE3"/>
    <w:rsid w:val="00303CF8"/>
    <w:rsid w:val="00313671"/>
    <w:rsid w:val="00313E69"/>
    <w:rsid w:val="003142E6"/>
    <w:rsid w:val="00317EDA"/>
    <w:rsid w:val="00320EB3"/>
    <w:rsid w:val="00323E5A"/>
    <w:rsid w:val="00336A60"/>
    <w:rsid w:val="00342797"/>
    <w:rsid w:val="00342CD8"/>
    <w:rsid w:val="00343A0C"/>
    <w:rsid w:val="00350399"/>
    <w:rsid w:val="00350E63"/>
    <w:rsid w:val="00353544"/>
    <w:rsid w:val="00353E51"/>
    <w:rsid w:val="00354942"/>
    <w:rsid w:val="00354C34"/>
    <w:rsid w:val="0035674B"/>
    <w:rsid w:val="003607F3"/>
    <w:rsid w:val="00362133"/>
    <w:rsid w:val="00372AB1"/>
    <w:rsid w:val="00374549"/>
    <w:rsid w:val="00381892"/>
    <w:rsid w:val="00381A96"/>
    <w:rsid w:val="00381B5C"/>
    <w:rsid w:val="00386508"/>
    <w:rsid w:val="00394752"/>
    <w:rsid w:val="003A1506"/>
    <w:rsid w:val="003A1645"/>
    <w:rsid w:val="003A1774"/>
    <w:rsid w:val="003A17E0"/>
    <w:rsid w:val="003A19A5"/>
    <w:rsid w:val="003A26BB"/>
    <w:rsid w:val="003B1FFC"/>
    <w:rsid w:val="003B303A"/>
    <w:rsid w:val="003C0A5F"/>
    <w:rsid w:val="003C27A1"/>
    <w:rsid w:val="003C31AF"/>
    <w:rsid w:val="003C57EB"/>
    <w:rsid w:val="003C5F5F"/>
    <w:rsid w:val="003D6C09"/>
    <w:rsid w:val="003D77B2"/>
    <w:rsid w:val="003E0A97"/>
    <w:rsid w:val="003E0D48"/>
    <w:rsid w:val="003E1873"/>
    <w:rsid w:val="003E4DE6"/>
    <w:rsid w:val="003E7969"/>
    <w:rsid w:val="003F3E8D"/>
    <w:rsid w:val="003F638E"/>
    <w:rsid w:val="00401627"/>
    <w:rsid w:val="0040199F"/>
    <w:rsid w:val="004057ED"/>
    <w:rsid w:val="0040780A"/>
    <w:rsid w:val="00410D8F"/>
    <w:rsid w:val="00410F60"/>
    <w:rsid w:val="004118E0"/>
    <w:rsid w:val="00412D08"/>
    <w:rsid w:val="004130BF"/>
    <w:rsid w:val="0041434A"/>
    <w:rsid w:val="00414FF6"/>
    <w:rsid w:val="004178CB"/>
    <w:rsid w:val="00417B7A"/>
    <w:rsid w:val="0042391D"/>
    <w:rsid w:val="0042461E"/>
    <w:rsid w:val="00432733"/>
    <w:rsid w:val="004338D1"/>
    <w:rsid w:val="0044551C"/>
    <w:rsid w:val="00446472"/>
    <w:rsid w:val="00446CE2"/>
    <w:rsid w:val="00447C62"/>
    <w:rsid w:val="004504BB"/>
    <w:rsid w:val="00450873"/>
    <w:rsid w:val="00455C7B"/>
    <w:rsid w:val="00463045"/>
    <w:rsid w:val="00465689"/>
    <w:rsid w:val="00465A7D"/>
    <w:rsid w:val="00474405"/>
    <w:rsid w:val="0047478B"/>
    <w:rsid w:val="00475483"/>
    <w:rsid w:val="00476CB1"/>
    <w:rsid w:val="0048167E"/>
    <w:rsid w:val="00490847"/>
    <w:rsid w:val="00492B73"/>
    <w:rsid w:val="004A0392"/>
    <w:rsid w:val="004A071B"/>
    <w:rsid w:val="004A46CC"/>
    <w:rsid w:val="004A6E7B"/>
    <w:rsid w:val="004B0D54"/>
    <w:rsid w:val="004D1887"/>
    <w:rsid w:val="004D62CD"/>
    <w:rsid w:val="004E7D79"/>
    <w:rsid w:val="004F0B74"/>
    <w:rsid w:val="004F493C"/>
    <w:rsid w:val="00512AA2"/>
    <w:rsid w:val="00514703"/>
    <w:rsid w:val="005217BE"/>
    <w:rsid w:val="00525772"/>
    <w:rsid w:val="0053023D"/>
    <w:rsid w:val="00531424"/>
    <w:rsid w:val="00537F22"/>
    <w:rsid w:val="00540504"/>
    <w:rsid w:val="0054215C"/>
    <w:rsid w:val="00542523"/>
    <w:rsid w:val="00552AAF"/>
    <w:rsid w:val="00557FE1"/>
    <w:rsid w:val="005604DC"/>
    <w:rsid w:val="005637D0"/>
    <w:rsid w:val="0056487B"/>
    <w:rsid w:val="0056575E"/>
    <w:rsid w:val="005811B3"/>
    <w:rsid w:val="00581EE2"/>
    <w:rsid w:val="00582CD2"/>
    <w:rsid w:val="00583141"/>
    <w:rsid w:val="00584664"/>
    <w:rsid w:val="0058753C"/>
    <w:rsid w:val="00591AE6"/>
    <w:rsid w:val="00592E1A"/>
    <w:rsid w:val="00597C9C"/>
    <w:rsid w:val="00597FEB"/>
    <w:rsid w:val="005A17EB"/>
    <w:rsid w:val="005A19C0"/>
    <w:rsid w:val="005A3631"/>
    <w:rsid w:val="005A3D02"/>
    <w:rsid w:val="005A4E2C"/>
    <w:rsid w:val="005A52EB"/>
    <w:rsid w:val="005A66CB"/>
    <w:rsid w:val="005B0472"/>
    <w:rsid w:val="005C0DD1"/>
    <w:rsid w:val="005C228F"/>
    <w:rsid w:val="005C272F"/>
    <w:rsid w:val="005C3B42"/>
    <w:rsid w:val="005D01A8"/>
    <w:rsid w:val="005D3846"/>
    <w:rsid w:val="005E1375"/>
    <w:rsid w:val="005E7695"/>
    <w:rsid w:val="005F162C"/>
    <w:rsid w:val="005F430F"/>
    <w:rsid w:val="005F53E1"/>
    <w:rsid w:val="00607F61"/>
    <w:rsid w:val="006150A8"/>
    <w:rsid w:val="0062522C"/>
    <w:rsid w:val="00626C58"/>
    <w:rsid w:val="00635EC3"/>
    <w:rsid w:val="00636860"/>
    <w:rsid w:val="00637A61"/>
    <w:rsid w:val="0064008B"/>
    <w:rsid w:val="00641AC0"/>
    <w:rsid w:val="00645FA6"/>
    <w:rsid w:val="006553F0"/>
    <w:rsid w:val="00656171"/>
    <w:rsid w:val="00666769"/>
    <w:rsid w:val="00670448"/>
    <w:rsid w:val="006714AC"/>
    <w:rsid w:val="00671E2B"/>
    <w:rsid w:val="00672F90"/>
    <w:rsid w:val="0067684B"/>
    <w:rsid w:val="00677BF6"/>
    <w:rsid w:val="00682BCD"/>
    <w:rsid w:val="00683351"/>
    <w:rsid w:val="00690B57"/>
    <w:rsid w:val="006959AF"/>
    <w:rsid w:val="006A3DE8"/>
    <w:rsid w:val="006A5367"/>
    <w:rsid w:val="006A7614"/>
    <w:rsid w:val="006B0652"/>
    <w:rsid w:val="006B2B5D"/>
    <w:rsid w:val="006B43E8"/>
    <w:rsid w:val="006C5B99"/>
    <w:rsid w:val="006C5F78"/>
    <w:rsid w:val="006D413F"/>
    <w:rsid w:val="006D44FA"/>
    <w:rsid w:val="006D621E"/>
    <w:rsid w:val="006D67B8"/>
    <w:rsid w:val="006D6B4E"/>
    <w:rsid w:val="006E2AEF"/>
    <w:rsid w:val="006E3DE1"/>
    <w:rsid w:val="006F053F"/>
    <w:rsid w:val="006F168E"/>
    <w:rsid w:val="00701AAC"/>
    <w:rsid w:val="00702D34"/>
    <w:rsid w:val="00706824"/>
    <w:rsid w:val="00707664"/>
    <w:rsid w:val="00711CA6"/>
    <w:rsid w:val="0071244B"/>
    <w:rsid w:val="00712A21"/>
    <w:rsid w:val="00717B10"/>
    <w:rsid w:val="00720A3E"/>
    <w:rsid w:val="00720F11"/>
    <w:rsid w:val="007214EF"/>
    <w:rsid w:val="00723C00"/>
    <w:rsid w:val="00723EE7"/>
    <w:rsid w:val="00726DD4"/>
    <w:rsid w:val="00730892"/>
    <w:rsid w:val="00742342"/>
    <w:rsid w:val="00742C8C"/>
    <w:rsid w:val="00744CFB"/>
    <w:rsid w:val="0074653C"/>
    <w:rsid w:val="00747001"/>
    <w:rsid w:val="00747B99"/>
    <w:rsid w:val="007525FD"/>
    <w:rsid w:val="00754E03"/>
    <w:rsid w:val="00763814"/>
    <w:rsid w:val="00763A57"/>
    <w:rsid w:val="00773734"/>
    <w:rsid w:val="007761AF"/>
    <w:rsid w:val="007770B3"/>
    <w:rsid w:val="0078127B"/>
    <w:rsid w:val="00782BF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C70C2"/>
    <w:rsid w:val="007D4181"/>
    <w:rsid w:val="007D4918"/>
    <w:rsid w:val="007D4EE1"/>
    <w:rsid w:val="007D64C8"/>
    <w:rsid w:val="007E1553"/>
    <w:rsid w:val="007E2A28"/>
    <w:rsid w:val="007E4B90"/>
    <w:rsid w:val="007E6625"/>
    <w:rsid w:val="007F0DA1"/>
    <w:rsid w:val="007F1C0F"/>
    <w:rsid w:val="007F2742"/>
    <w:rsid w:val="007F3E0A"/>
    <w:rsid w:val="007F58E6"/>
    <w:rsid w:val="007F686C"/>
    <w:rsid w:val="007F76BA"/>
    <w:rsid w:val="00805E7D"/>
    <w:rsid w:val="00806376"/>
    <w:rsid w:val="00813568"/>
    <w:rsid w:val="00815ABB"/>
    <w:rsid w:val="008169DF"/>
    <w:rsid w:val="00816DF1"/>
    <w:rsid w:val="00821AF6"/>
    <w:rsid w:val="00833128"/>
    <w:rsid w:val="00840C27"/>
    <w:rsid w:val="00840E7C"/>
    <w:rsid w:val="008421A1"/>
    <w:rsid w:val="008432EE"/>
    <w:rsid w:val="00850CF2"/>
    <w:rsid w:val="00851DFB"/>
    <w:rsid w:val="0086314C"/>
    <w:rsid w:val="0086519F"/>
    <w:rsid w:val="00865D38"/>
    <w:rsid w:val="00874265"/>
    <w:rsid w:val="008840EE"/>
    <w:rsid w:val="00886693"/>
    <w:rsid w:val="00890977"/>
    <w:rsid w:val="008915B8"/>
    <w:rsid w:val="00893B1D"/>
    <w:rsid w:val="00894485"/>
    <w:rsid w:val="00894D48"/>
    <w:rsid w:val="00895A2A"/>
    <w:rsid w:val="008A02B7"/>
    <w:rsid w:val="008A3B53"/>
    <w:rsid w:val="008A5527"/>
    <w:rsid w:val="008B032B"/>
    <w:rsid w:val="008B1F5A"/>
    <w:rsid w:val="008B43D6"/>
    <w:rsid w:val="008C0EA3"/>
    <w:rsid w:val="008C2166"/>
    <w:rsid w:val="008C4666"/>
    <w:rsid w:val="008C6D42"/>
    <w:rsid w:val="008D0DC0"/>
    <w:rsid w:val="008D129A"/>
    <w:rsid w:val="008D34C6"/>
    <w:rsid w:val="008D5B53"/>
    <w:rsid w:val="008D6FDE"/>
    <w:rsid w:val="008E12AE"/>
    <w:rsid w:val="008E27F1"/>
    <w:rsid w:val="008E5DE3"/>
    <w:rsid w:val="008E602B"/>
    <w:rsid w:val="008F2DE1"/>
    <w:rsid w:val="008F312B"/>
    <w:rsid w:val="008F5A8F"/>
    <w:rsid w:val="009009D0"/>
    <w:rsid w:val="0090127B"/>
    <w:rsid w:val="00902B68"/>
    <w:rsid w:val="00903CAA"/>
    <w:rsid w:val="00912344"/>
    <w:rsid w:val="00912957"/>
    <w:rsid w:val="009156D2"/>
    <w:rsid w:val="0092134D"/>
    <w:rsid w:val="009219EA"/>
    <w:rsid w:val="00924506"/>
    <w:rsid w:val="00931BDB"/>
    <w:rsid w:val="00936037"/>
    <w:rsid w:val="00944D67"/>
    <w:rsid w:val="009527CF"/>
    <w:rsid w:val="00952FE4"/>
    <w:rsid w:val="00955CD5"/>
    <w:rsid w:val="00956F27"/>
    <w:rsid w:val="0095754B"/>
    <w:rsid w:val="009603FE"/>
    <w:rsid w:val="009672E4"/>
    <w:rsid w:val="00971775"/>
    <w:rsid w:val="00972701"/>
    <w:rsid w:val="0097556B"/>
    <w:rsid w:val="00976C7A"/>
    <w:rsid w:val="00980DB0"/>
    <w:rsid w:val="00984B0B"/>
    <w:rsid w:val="00984D01"/>
    <w:rsid w:val="00994EDD"/>
    <w:rsid w:val="00997375"/>
    <w:rsid w:val="009A522D"/>
    <w:rsid w:val="009B20BD"/>
    <w:rsid w:val="009B61A1"/>
    <w:rsid w:val="009C0EAF"/>
    <w:rsid w:val="009C1F87"/>
    <w:rsid w:val="009C4947"/>
    <w:rsid w:val="009C67C5"/>
    <w:rsid w:val="009E7EE8"/>
    <w:rsid w:val="009F1037"/>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0029"/>
    <w:rsid w:val="00A5366E"/>
    <w:rsid w:val="00A54D2F"/>
    <w:rsid w:val="00A55276"/>
    <w:rsid w:val="00A553D5"/>
    <w:rsid w:val="00A56BB5"/>
    <w:rsid w:val="00A56C6B"/>
    <w:rsid w:val="00A60FFF"/>
    <w:rsid w:val="00A61A2C"/>
    <w:rsid w:val="00A6306A"/>
    <w:rsid w:val="00A63890"/>
    <w:rsid w:val="00A63AE9"/>
    <w:rsid w:val="00A66CAD"/>
    <w:rsid w:val="00A678FC"/>
    <w:rsid w:val="00A71B7A"/>
    <w:rsid w:val="00A72CF0"/>
    <w:rsid w:val="00A73FAF"/>
    <w:rsid w:val="00A80A4F"/>
    <w:rsid w:val="00A91891"/>
    <w:rsid w:val="00A9613A"/>
    <w:rsid w:val="00A973B2"/>
    <w:rsid w:val="00AA0F0D"/>
    <w:rsid w:val="00AB0F92"/>
    <w:rsid w:val="00AB567E"/>
    <w:rsid w:val="00AB6D68"/>
    <w:rsid w:val="00AC08A8"/>
    <w:rsid w:val="00AC3943"/>
    <w:rsid w:val="00AC4317"/>
    <w:rsid w:val="00AC5EBF"/>
    <w:rsid w:val="00AC6981"/>
    <w:rsid w:val="00AD4163"/>
    <w:rsid w:val="00AD5EC3"/>
    <w:rsid w:val="00AD7B68"/>
    <w:rsid w:val="00AD7EED"/>
    <w:rsid w:val="00AE3A26"/>
    <w:rsid w:val="00AF1B2F"/>
    <w:rsid w:val="00AF1DB9"/>
    <w:rsid w:val="00AF619B"/>
    <w:rsid w:val="00B13000"/>
    <w:rsid w:val="00B14DB3"/>
    <w:rsid w:val="00B21550"/>
    <w:rsid w:val="00B24137"/>
    <w:rsid w:val="00B2628C"/>
    <w:rsid w:val="00B31FEF"/>
    <w:rsid w:val="00B325E1"/>
    <w:rsid w:val="00B3588C"/>
    <w:rsid w:val="00B43736"/>
    <w:rsid w:val="00B528FB"/>
    <w:rsid w:val="00B559AA"/>
    <w:rsid w:val="00B564BC"/>
    <w:rsid w:val="00B56746"/>
    <w:rsid w:val="00B569A9"/>
    <w:rsid w:val="00B63270"/>
    <w:rsid w:val="00B64400"/>
    <w:rsid w:val="00B65228"/>
    <w:rsid w:val="00B70CD9"/>
    <w:rsid w:val="00B71319"/>
    <w:rsid w:val="00B714B7"/>
    <w:rsid w:val="00B77143"/>
    <w:rsid w:val="00B8222A"/>
    <w:rsid w:val="00B82E71"/>
    <w:rsid w:val="00B83493"/>
    <w:rsid w:val="00B940DD"/>
    <w:rsid w:val="00B95847"/>
    <w:rsid w:val="00B966ED"/>
    <w:rsid w:val="00BA268A"/>
    <w:rsid w:val="00BA3D8F"/>
    <w:rsid w:val="00BA65A5"/>
    <w:rsid w:val="00BB6A0B"/>
    <w:rsid w:val="00BB756B"/>
    <w:rsid w:val="00BC15E4"/>
    <w:rsid w:val="00BD17C6"/>
    <w:rsid w:val="00BD1A05"/>
    <w:rsid w:val="00BD1B80"/>
    <w:rsid w:val="00BE335A"/>
    <w:rsid w:val="00BF187B"/>
    <w:rsid w:val="00C01518"/>
    <w:rsid w:val="00C01FF4"/>
    <w:rsid w:val="00C02961"/>
    <w:rsid w:val="00C02B5E"/>
    <w:rsid w:val="00C057EF"/>
    <w:rsid w:val="00C07274"/>
    <w:rsid w:val="00C14296"/>
    <w:rsid w:val="00C16B6E"/>
    <w:rsid w:val="00C2333D"/>
    <w:rsid w:val="00C2452C"/>
    <w:rsid w:val="00C2695D"/>
    <w:rsid w:val="00C32246"/>
    <w:rsid w:val="00C36AF5"/>
    <w:rsid w:val="00C41693"/>
    <w:rsid w:val="00C4260B"/>
    <w:rsid w:val="00C43792"/>
    <w:rsid w:val="00C450AE"/>
    <w:rsid w:val="00C52F01"/>
    <w:rsid w:val="00C53387"/>
    <w:rsid w:val="00C546B7"/>
    <w:rsid w:val="00C56ED2"/>
    <w:rsid w:val="00C6623A"/>
    <w:rsid w:val="00C673E2"/>
    <w:rsid w:val="00C70B6C"/>
    <w:rsid w:val="00C74089"/>
    <w:rsid w:val="00C758F5"/>
    <w:rsid w:val="00C8008D"/>
    <w:rsid w:val="00C829F5"/>
    <w:rsid w:val="00C860DE"/>
    <w:rsid w:val="00C90E85"/>
    <w:rsid w:val="00C92E5D"/>
    <w:rsid w:val="00C93509"/>
    <w:rsid w:val="00C9777C"/>
    <w:rsid w:val="00CA0455"/>
    <w:rsid w:val="00CA4A39"/>
    <w:rsid w:val="00CA4C69"/>
    <w:rsid w:val="00CA58CB"/>
    <w:rsid w:val="00CB137C"/>
    <w:rsid w:val="00CB4E54"/>
    <w:rsid w:val="00CB6AA7"/>
    <w:rsid w:val="00CB6AAE"/>
    <w:rsid w:val="00CB79DF"/>
    <w:rsid w:val="00CC215D"/>
    <w:rsid w:val="00CC3F2F"/>
    <w:rsid w:val="00CC602E"/>
    <w:rsid w:val="00CC62E0"/>
    <w:rsid w:val="00CD0EB5"/>
    <w:rsid w:val="00CD6D27"/>
    <w:rsid w:val="00CD6F65"/>
    <w:rsid w:val="00CE16E0"/>
    <w:rsid w:val="00CF5581"/>
    <w:rsid w:val="00CF5A9B"/>
    <w:rsid w:val="00CF6AFC"/>
    <w:rsid w:val="00D10BC9"/>
    <w:rsid w:val="00D11C16"/>
    <w:rsid w:val="00D1214E"/>
    <w:rsid w:val="00D14FDB"/>
    <w:rsid w:val="00D150CA"/>
    <w:rsid w:val="00D15D3F"/>
    <w:rsid w:val="00D20BD0"/>
    <w:rsid w:val="00D2311D"/>
    <w:rsid w:val="00D27605"/>
    <w:rsid w:val="00D3638A"/>
    <w:rsid w:val="00D36521"/>
    <w:rsid w:val="00D42C39"/>
    <w:rsid w:val="00D451FE"/>
    <w:rsid w:val="00D62AA3"/>
    <w:rsid w:val="00D62AD7"/>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5DA"/>
    <w:rsid w:val="00DE5628"/>
    <w:rsid w:val="00DE6AD2"/>
    <w:rsid w:val="00DE6E1C"/>
    <w:rsid w:val="00DF52DA"/>
    <w:rsid w:val="00E008D5"/>
    <w:rsid w:val="00E03491"/>
    <w:rsid w:val="00E034D0"/>
    <w:rsid w:val="00E035A2"/>
    <w:rsid w:val="00E04753"/>
    <w:rsid w:val="00E0544B"/>
    <w:rsid w:val="00E12C39"/>
    <w:rsid w:val="00E13871"/>
    <w:rsid w:val="00E16A37"/>
    <w:rsid w:val="00E25793"/>
    <w:rsid w:val="00E33FB4"/>
    <w:rsid w:val="00E35802"/>
    <w:rsid w:val="00E36FE2"/>
    <w:rsid w:val="00E51F41"/>
    <w:rsid w:val="00E52477"/>
    <w:rsid w:val="00E52A13"/>
    <w:rsid w:val="00E56C20"/>
    <w:rsid w:val="00E6158B"/>
    <w:rsid w:val="00E63ACD"/>
    <w:rsid w:val="00E673D2"/>
    <w:rsid w:val="00E701E0"/>
    <w:rsid w:val="00E72220"/>
    <w:rsid w:val="00E74213"/>
    <w:rsid w:val="00E76CD9"/>
    <w:rsid w:val="00E80549"/>
    <w:rsid w:val="00E80DD4"/>
    <w:rsid w:val="00E85272"/>
    <w:rsid w:val="00E87FFD"/>
    <w:rsid w:val="00E91E19"/>
    <w:rsid w:val="00E95106"/>
    <w:rsid w:val="00EA023E"/>
    <w:rsid w:val="00EA0EBF"/>
    <w:rsid w:val="00EA4C67"/>
    <w:rsid w:val="00EB7E60"/>
    <w:rsid w:val="00EC0B2E"/>
    <w:rsid w:val="00ED1CC5"/>
    <w:rsid w:val="00ED47C6"/>
    <w:rsid w:val="00ED48B6"/>
    <w:rsid w:val="00ED74EC"/>
    <w:rsid w:val="00ED79BB"/>
    <w:rsid w:val="00EE029A"/>
    <w:rsid w:val="00EE0957"/>
    <w:rsid w:val="00EE09F2"/>
    <w:rsid w:val="00EE0E4E"/>
    <w:rsid w:val="00EE498D"/>
    <w:rsid w:val="00EF0715"/>
    <w:rsid w:val="00EF0B95"/>
    <w:rsid w:val="00EF1732"/>
    <w:rsid w:val="00EF17B3"/>
    <w:rsid w:val="00EF3ABF"/>
    <w:rsid w:val="00EF636A"/>
    <w:rsid w:val="00EF6795"/>
    <w:rsid w:val="00EF6E67"/>
    <w:rsid w:val="00EF776D"/>
    <w:rsid w:val="00F03412"/>
    <w:rsid w:val="00F11FE7"/>
    <w:rsid w:val="00F142BF"/>
    <w:rsid w:val="00F1508D"/>
    <w:rsid w:val="00F306DA"/>
    <w:rsid w:val="00F30F6D"/>
    <w:rsid w:val="00F331E1"/>
    <w:rsid w:val="00F336F6"/>
    <w:rsid w:val="00F35860"/>
    <w:rsid w:val="00F36C1D"/>
    <w:rsid w:val="00F40E54"/>
    <w:rsid w:val="00F41E91"/>
    <w:rsid w:val="00F42C01"/>
    <w:rsid w:val="00F45261"/>
    <w:rsid w:val="00F5243D"/>
    <w:rsid w:val="00F570F0"/>
    <w:rsid w:val="00F5755F"/>
    <w:rsid w:val="00F62807"/>
    <w:rsid w:val="00F647CA"/>
    <w:rsid w:val="00F731D3"/>
    <w:rsid w:val="00F76E5B"/>
    <w:rsid w:val="00F816EE"/>
    <w:rsid w:val="00F83089"/>
    <w:rsid w:val="00F96808"/>
    <w:rsid w:val="00F968DD"/>
    <w:rsid w:val="00FA2139"/>
    <w:rsid w:val="00FA63D5"/>
    <w:rsid w:val="00FA7F74"/>
    <w:rsid w:val="00FB0335"/>
    <w:rsid w:val="00FB1BE4"/>
    <w:rsid w:val="00FB2BA4"/>
    <w:rsid w:val="00FB3929"/>
    <w:rsid w:val="00FB6B35"/>
    <w:rsid w:val="00FB6B9E"/>
    <w:rsid w:val="00FC0EF5"/>
    <w:rsid w:val="00FC1EE4"/>
    <w:rsid w:val="00FC5611"/>
    <w:rsid w:val="00FC5F8C"/>
    <w:rsid w:val="00FC63C2"/>
    <w:rsid w:val="00FC79B6"/>
    <w:rsid w:val="00FD1CCB"/>
    <w:rsid w:val="00FE130F"/>
    <w:rsid w:val="00FE2767"/>
    <w:rsid w:val="00FE62A3"/>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61"/>
    <o:shapelayout v:ext="edit">
      <o:idmap v:ext="edit" data="1"/>
      <o:rules v:ext="edit">
        <o:r id="V:Rule12" type="connector" idref="#AutoShape 50"/>
        <o:r id="V:Rule13" type="connector" idref="#AutoShape 56"/>
        <o:r id="V:Rule14" type="connector" idref="#AutoShape 55"/>
        <o:r id="V:Rule15" type="connector" idref="#AutoShape 42"/>
        <o:r id="V:Rule16" type="connector" idref="#AutoShape 48"/>
        <o:r id="V:Rule17" type="connector" idref="#AutoShape 47"/>
        <o:r id="V:Rule18" type="connector" idref="#AutoShape 54"/>
        <o:r id="V:Rule19" type="connector" idref="#AutoShape 53"/>
        <o:r id="V:Rule20" type="connector" idref="#AutoShape 52"/>
        <o:r id="V:Rule21" type="connector" idref="#AutoShape 49"/>
        <o:r id="V:Rule22" type="connector" idref="#AutoShape 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23EE7"/>
    <w:pPr>
      <w:tabs>
        <w:tab w:val="center" w:pos="432"/>
        <w:tab w:val="left" w:pos="1008"/>
        <w:tab w:val="right" w:leader="dot" w:pos="9360"/>
      </w:tabs>
      <w:spacing w:after="240"/>
      <w:ind w:left="1008" w:hanging="1008"/>
    </w:pPr>
    <w:rPr>
      <w:rFonts w:cs="Arial"/>
      <w:caps/>
      <w:noProof/>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1A02E9"/>
    <w:rPr>
      <w:sz w:val="16"/>
      <w:szCs w:val="16"/>
    </w:rPr>
  </w:style>
  <w:style w:type="paragraph" w:styleId="CommentText">
    <w:name w:val="annotation text"/>
    <w:basedOn w:val="Normal"/>
    <w:link w:val="CommentTextChar"/>
    <w:uiPriority w:val="99"/>
    <w:semiHidden/>
    <w:unhideWhenUsed/>
    <w:rsid w:val="001A02E9"/>
    <w:pPr>
      <w:spacing w:line="240" w:lineRule="auto"/>
    </w:pPr>
    <w:rPr>
      <w:sz w:val="20"/>
      <w:szCs w:val="20"/>
    </w:rPr>
  </w:style>
  <w:style w:type="character" w:customStyle="1" w:styleId="CommentTextChar">
    <w:name w:val="Comment Text Char"/>
    <w:basedOn w:val="DefaultParagraphFont"/>
    <w:link w:val="CommentText"/>
    <w:uiPriority w:val="99"/>
    <w:semiHidden/>
    <w:rsid w:val="001A02E9"/>
    <w:rPr>
      <w:sz w:val="20"/>
      <w:szCs w:val="20"/>
    </w:rPr>
  </w:style>
  <w:style w:type="paragraph" w:styleId="CommentSubject">
    <w:name w:val="annotation subject"/>
    <w:basedOn w:val="CommentText"/>
    <w:next w:val="CommentText"/>
    <w:link w:val="CommentSubjectChar"/>
    <w:uiPriority w:val="99"/>
    <w:semiHidden/>
    <w:unhideWhenUsed/>
    <w:rsid w:val="001A02E9"/>
    <w:rPr>
      <w:b/>
      <w:bCs/>
    </w:rPr>
  </w:style>
  <w:style w:type="character" w:customStyle="1" w:styleId="CommentSubjectChar">
    <w:name w:val="Comment Subject Char"/>
    <w:basedOn w:val="CommentTextChar"/>
    <w:link w:val="CommentSubject"/>
    <w:uiPriority w:val="99"/>
    <w:semiHidden/>
    <w:rsid w:val="001A02E9"/>
    <w:rPr>
      <w:b/>
      <w:bCs/>
      <w:sz w:val="20"/>
      <w:szCs w:val="20"/>
    </w:rPr>
  </w:style>
  <w:style w:type="paragraph" w:styleId="Revision">
    <w:name w:val="Revision"/>
    <w:hidden/>
    <w:uiPriority w:val="99"/>
    <w:semiHidden/>
    <w:rsid w:val="00DE5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2975</Words>
  <Characters>17719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Cindy Brach</cp:lastModifiedBy>
  <cp:revision>2</cp:revision>
  <cp:lastPrinted>2014-02-11T21:40:00Z</cp:lastPrinted>
  <dcterms:created xsi:type="dcterms:W3CDTF">2014-02-14T22:12:00Z</dcterms:created>
  <dcterms:modified xsi:type="dcterms:W3CDTF">2014-02-14T22:12:00Z</dcterms:modified>
</cp:coreProperties>
</file>