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3AE31" w14:textId="77777777" w:rsidR="00716F94" w:rsidRDefault="00716F94" w:rsidP="00526818">
      <w:pPr>
        <w:ind w:left="0"/>
        <w:rPr>
          <w:rFonts w:asciiTheme="minorHAnsi" w:hAnsiTheme="minorHAnsi"/>
        </w:rPr>
      </w:pPr>
    </w:p>
    <w:p w14:paraId="62B28F80" w14:textId="77777777" w:rsidR="00526818" w:rsidRPr="0068154E" w:rsidRDefault="00526818" w:rsidP="00526818">
      <w:pPr>
        <w:ind w:left="0"/>
        <w:rPr>
          <w:rFonts w:asciiTheme="minorHAnsi" w:hAnsiTheme="minorHAnsi"/>
        </w:rPr>
      </w:pPr>
    </w:p>
    <w:p w14:paraId="2A6E397C" w14:textId="77777777" w:rsidR="009B4A51" w:rsidRPr="0068154E" w:rsidRDefault="009B4A51" w:rsidP="00BC6896">
      <w:pPr>
        <w:rPr>
          <w:rFonts w:asciiTheme="minorHAnsi" w:hAnsiTheme="minorHAnsi"/>
        </w:rPr>
      </w:pPr>
    </w:p>
    <w:p w14:paraId="61A01FEA" w14:textId="77777777" w:rsidR="009B4A51" w:rsidRPr="0068154E" w:rsidRDefault="009B4A51" w:rsidP="00BC6896">
      <w:pPr>
        <w:rPr>
          <w:rFonts w:asciiTheme="minorHAnsi" w:hAnsiTheme="minorHAnsi"/>
        </w:rPr>
      </w:pPr>
    </w:p>
    <w:p w14:paraId="56F533FD" w14:textId="77777777" w:rsidR="009B4A51" w:rsidRPr="0068154E" w:rsidRDefault="009B4A51" w:rsidP="00BC6896">
      <w:pPr>
        <w:rPr>
          <w:rFonts w:asciiTheme="minorHAnsi" w:hAnsiTheme="minorHAnsi"/>
        </w:rPr>
      </w:pPr>
    </w:p>
    <w:p w14:paraId="17D864E7" w14:textId="77777777" w:rsidR="009B4A51" w:rsidRPr="0068154E" w:rsidRDefault="009B4A51" w:rsidP="00BC6896">
      <w:pPr>
        <w:rPr>
          <w:rFonts w:asciiTheme="minorHAnsi" w:hAnsiTheme="minorHAnsi"/>
        </w:rPr>
      </w:pPr>
    </w:p>
    <w:p w14:paraId="63A3AC49" w14:textId="77777777" w:rsidR="00667C89" w:rsidRPr="0068154E" w:rsidRDefault="00667C89" w:rsidP="00BC6896">
      <w:pPr>
        <w:rPr>
          <w:rFonts w:asciiTheme="minorHAnsi" w:hAnsiTheme="minorHAnsi"/>
        </w:rPr>
      </w:pPr>
    </w:p>
    <w:p w14:paraId="19155978" w14:textId="77777777" w:rsidR="009B4A51" w:rsidRPr="0068154E" w:rsidRDefault="009B4A51" w:rsidP="00BC6896">
      <w:pPr>
        <w:rPr>
          <w:rFonts w:asciiTheme="minorHAnsi" w:hAnsiTheme="minorHAnsi"/>
        </w:rPr>
      </w:pPr>
    </w:p>
    <w:p w14:paraId="6316081D" w14:textId="77777777" w:rsidR="009B4A51" w:rsidRPr="0068154E" w:rsidRDefault="009B4A51" w:rsidP="00BC6896">
      <w:pPr>
        <w:rPr>
          <w:rFonts w:asciiTheme="minorHAnsi" w:hAnsiTheme="minorHAnsi"/>
        </w:rPr>
      </w:pPr>
    </w:p>
    <w:p w14:paraId="045EF53B" w14:textId="77777777" w:rsidR="008D4684" w:rsidRPr="0068154E" w:rsidRDefault="008D4684" w:rsidP="008D4684">
      <w:pPr>
        <w:jc w:val="center"/>
        <w:rPr>
          <w:b/>
          <w:sz w:val="40"/>
        </w:rPr>
      </w:pPr>
      <w:r w:rsidRPr="0068154E">
        <w:rPr>
          <w:b/>
          <w:sz w:val="40"/>
        </w:rPr>
        <w:t xml:space="preserve">Services and Value of State and Local Immunization Information Systems </w:t>
      </w:r>
    </w:p>
    <w:p w14:paraId="09675F1B" w14:textId="77777777" w:rsidR="00AA3192" w:rsidRPr="0068154E" w:rsidRDefault="00AA3192" w:rsidP="00BC6896"/>
    <w:p w14:paraId="5DB84AE6" w14:textId="77777777" w:rsidR="00716F94" w:rsidRPr="0068154E" w:rsidRDefault="00484011" w:rsidP="00BC6896">
      <w:pPr>
        <w:ind w:left="0"/>
        <w:jc w:val="center"/>
      </w:pPr>
      <w:r w:rsidRPr="0068154E">
        <w:t>OSTLTS Generic Information C</w:t>
      </w:r>
      <w:r w:rsidR="00230CEF" w:rsidRPr="0068154E">
        <w:t>ollection</w:t>
      </w:r>
      <w:r w:rsidRPr="0068154E">
        <w:t xml:space="preserve"> Request</w:t>
      </w:r>
    </w:p>
    <w:p w14:paraId="021E4D53" w14:textId="77777777" w:rsidR="00484011" w:rsidRPr="0068154E" w:rsidRDefault="00484011" w:rsidP="00BC6896">
      <w:pPr>
        <w:pStyle w:val="Header"/>
        <w:ind w:left="0"/>
        <w:jc w:val="center"/>
      </w:pPr>
      <w:r w:rsidRPr="0068154E">
        <w:t>OMB No. 0920-0879</w:t>
      </w:r>
    </w:p>
    <w:p w14:paraId="5F890E9D" w14:textId="77777777" w:rsidR="009B4A51" w:rsidRPr="0068154E" w:rsidRDefault="009B4A51" w:rsidP="00BC6896"/>
    <w:p w14:paraId="28029659" w14:textId="77777777" w:rsidR="009B4A51" w:rsidRPr="0068154E" w:rsidRDefault="009B4A51" w:rsidP="00BC6896"/>
    <w:p w14:paraId="064EA1BD" w14:textId="77777777" w:rsidR="00AA3192" w:rsidRPr="0068154E" w:rsidRDefault="00AA3192" w:rsidP="00BC6896"/>
    <w:p w14:paraId="119F7521" w14:textId="77777777" w:rsidR="00AA3192" w:rsidRPr="0068154E" w:rsidRDefault="00AA3192" w:rsidP="00BC6896"/>
    <w:p w14:paraId="2D5D1F92" w14:textId="77777777" w:rsidR="009B4A51" w:rsidRPr="0068154E" w:rsidRDefault="009B4A51" w:rsidP="00BC6896">
      <w:pPr>
        <w:pStyle w:val="Heading2"/>
      </w:pPr>
      <w:r w:rsidRPr="0068154E">
        <w:t xml:space="preserve">Supporting Statement – Section </w:t>
      </w:r>
      <w:r w:rsidR="00601392" w:rsidRPr="0068154E">
        <w:t>B</w:t>
      </w:r>
    </w:p>
    <w:p w14:paraId="689100CC" w14:textId="77777777" w:rsidR="009B4A51" w:rsidRPr="0068154E" w:rsidRDefault="009B4A51" w:rsidP="00BC6896"/>
    <w:p w14:paraId="1DD88D5E" w14:textId="77777777" w:rsidR="00484011" w:rsidRPr="0068154E" w:rsidRDefault="00484011" w:rsidP="00BC6896"/>
    <w:p w14:paraId="17B42146" w14:textId="77777777" w:rsidR="00AA3192" w:rsidRPr="0068154E" w:rsidRDefault="00AA3192" w:rsidP="00BC6896"/>
    <w:p w14:paraId="746D30E6" w14:textId="77777777" w:rsidR="009B4A51" w:rsidRPr="0068154E" w:rsidRDefault="009B4A51" w:rsidP="00BC6896"/>
    <w:p w14:paraId="1BF9E9C8" w14:textId="77777777" w:rsidR="009B4A51" w:rsidRPr="0068154E" w:rsidRDefault="009B4A51" w:rsidP="00BC6896"/>
    <w:p w14:paraId="5D8A6BCE" w14:textId="77777777" w:rsidR="00187D5A" w:rsidRPr="0068154E" w:rsidRDefault="00187D5A" w:rsidP="00BC6896"/>
    <w:p w14:paraId="2256A8FC" w14:textId="3DE7738F" w:rsidR="009B4A51" w:rsidRPr="0068154E" w:rsidRDefault="009B4A51" w:rsidP="00BC6896">
      <w:pPr>
        <w:ind w:left="0"/>
        <w:jc w:val="center"/>
      </w:pPr>
      <w:r w:rsidRPr="0068154E">
        <w:t xml:space="preserve">Submitted: </w:t>
      </w:r>
      <w:r w:rsidR="005323BC">
        <w:t>September 11,</w:t>
      </w:r>
      <w:bookmarkStart w:id="0" w:name="_GoBack"/>
      <w:bookmarkEnd w:id="0"/>
      <w:r w:rsidR="00420BAC">
        <w:t>,</w:t>
      </w:r>
      <w:r w:rsidR="00EC5AC3" w:rsidRPr="00EC5AC3">
        <w:t xml:space="preserve"> 2014</w:t>
      </w:r>
    </w:p>
    <w:p w14:paraId="719D9BA4" w14:textId="77777777" w:rsidR="009B4A51" w:rsidRPr="0068154E" w:rsidRDefault="009B4A51" w:rsidP="00BC6896"/>
    <w:p w14:paraId="4668E973" w14:textId="77777777" w:rsidR="009B4A51" w:rsidRPr="0068154E" w:rsidRDefault="009B4A51" w:rsidP="00BC6896"/>
    <w:p w14:paraId="41D0B8D1" w14:textId="77777777" w:rsidR="009B4A51" w:rsidRPr="0068154E" w:rsidRDefault="009B4A51" w:rsidP="00BC6896"/>
    <w:p w14:paraId="7F4F142C" w14:textId="77777777" w:rsidR="00AA3192" w:rsidRPr="0068154E" w:rsidRDefault="00AA3192" w:rsidP="00BC6896"/>
    <w:p w14:paraId="17C5CB8E" w14:textId="77777777" w:rsidR="00AA3192" w:rsidRPr="0068154E" w:rsidRDefault="00AA3192" w:rsidP="00BC6896"/>
    <w:p w14:paraId="1A1ECBE6" w14:textId="77777777" w:rsidR="009B4A51" w:rsidRPr="0068154E" w:rsidRDefault="009B4A51" w:rsidP="00BC6896"/>
    <w:p w14:paraId="2A80EAB5" w14:textId="77777777" w:rsidR="00667C89" w:rsidRPr="0068154E" w:rsidRDefault="00716F94" w:rsidP="00BC6896">
      <w:pPr>
        <w:ind w:left="0"/>
        <w:rPr>
          <w:b/>
          <w:u w:val="single"/>
        </w:rPr>
      </w:pPr>
      <w:r w:rsidRPr="0068154E">
        <w:rPr>
          <w:b/>
          <w:u w:val="single"/>
        </w:rPr>
        <w:t>P</w:t>
      </w:r>
      <w:r w:rsidR="00667C89" w:rsidRPr="0068154E">
        <w:rPr>
          <w:b/>
          <w:u w:val="single"/>
        </w:rPr>
        <w:t>rogram Official/Project Officer</w:t>
      </w:r>
    </w:p>
    <w:p w14:paraId="2EB8E56A" w14:textId="77777777" w:rsidR="00CD2C4C" w:rsidRPr="0068154E" w:rsidRDefault="00CD2C4C" w:rsidP="00CD2C4C">
      <w:pPr>
        <w:spacing w:line="240" w:lineRule="auto"/>
        <w:ind w:left="0"/>
        <w:rPr>
          <w:rFonts w:cs="Times New Roman"/>
          <w:bCs/>
        </w:rPr>
      </w:pPr>
      <w:r w:rsidRPr="0068154E">
        <w:rPr>
          <w:rFonts w:cs="Times New Roman"/>
          <w:bCs/>
        </w:rPr>
        <w:t>Name: Kafayat Adeniyi</w:t>
      </w:r>
    </w:p>
    <w:p w14:paraId="0645EE2D" w14:textId="77777777" w:rsidR="00CD2C4C" w:rsidRPr="0068154E" w:rsidRDefault="00CD2C4C" w:rsidP="00CD2C4C">
      <w:pPr>
        <w:spacing w:line="240" w:lineRule="auto"/>
        <w:ind w:left="0"/>
        <w:rPr>
          <w:rFonts w:cs="Times New Roman"/>
        </w:rPr>
      </w:pPr>
      <w:r w:rsidRPr="0068154E">
        <w:rPr>
          <w:rFonts w:cs="Times New Roman"/>
        </w:rPr>
        <w:t>Title: Project Manager</w:t>
      </w:r>
    </w:p>
    <w:p w14:paraId="43CEDF95" w14:textId="77777777" w:rsidR="00CD2C4C" w:rsidRPr="0068154E" w:rsidRDefault="00CD2C4C" w:rsidP="00CD2C4C">
      <w:pPr>
        <w:spacing w:line="240" w:lineRule="auto"/>
        <w:ind w:left="0"/>
        <w:rPr>
          <w:rFonts w:cs="Times New Roman"/>
        </w:rPr>
      </w:pPr>
      <w:r w:rsidRPr="0068154E">
        <w:rPr>
          <w:rFonts w:cs="Times New Roman"/>
        </w:rPr>
        <w:t>Organization: CDC/OID/NCIRD</w:t>
      </w:r>
    </w:p>
    <w:p w14:paraId="7264298C" w14:textId="77777777" w:rsidR="00CD2C4C" w:rsidRPr="0068154E" w:rsidRDefault="00CD2C4C" w:rsidP="00CD2C4C">
      <w:pPr>
        <w:spacing w:line="240" w:lineRule="auto"/>
        <w:ind w:left="0"/>
        <w:rPr>
          <w:rFonts w:cs="Times New Roman"/>
        </w:rPr>
      </w:pPr>
      <w:r w:rsidRPr="0068154E">
        <w:rPr>
          <w:rFonts w:cs="Times New Roman"/>
        </w:rPr>
        <w:t>Address: 1600 Clifton Rd. Atlanta, GA 30333</w:t>
      </w:r>
    </w:p>
    <w:p w14:paraId="079AD893" w14:textId="77777777" w:rsidR="00CD2C4C" w:rsidRPr="0068154E" w:rsidRDefault="00CD2C4C" w:rsidP="00CD2C4C">
      <w:pPr>
        <w:spacing w:line="240" w:lineRule="auto"/>
        <w:ind w:left="0"/>
        <w:rPr>
          <w:rFonts w:cs="Times New Roman"/>
        </w:rPr>
      </w:pPr>
      <w:r w:rsidRPr="0068154E">
        <w:rPr>
          <w:rFonts w:cs="Times New Roman"/>
        </w:rPr>
        <w:t xml:space="preserve">Phone number: </w:t>
      </w:r>
      <w:r w:rsidRPr="0068154E">
        <w:rPr>
          <w:rFonts w:cs="Arial"/>
          <w:sz w:val="20"/>
          <w:szCs w:val="20"/>
        </w:rPr>
        <w:t>404-639-6236</w:t>
      </w:r>
    </w:p>
    <w:p w14:paraId="5A73247E" w14:textId="7A0470F7" w:rsidR="00CD2C4C" w:rsidRPr="0068154E" w:rsidRDefault="00CD2C4C" w:rsidP="00CD2C4C">
      <w:pPr>
        <w:spacing w:line="240" w:lineRule="auto"/>
        <w:ind w:left="0"/>
        <w:rPr>
          <w:rFonts w:cs="Times New Roman"/>
        </w:rPr>
      </w:pPr>
      <w:r w:rsidRPr="0068154E">
        <w:rPr>
          <w:rFonts w:cs="Times New Roman"/>
        </w:rPr>
        <w:t>Fax Number</w:t>
      </w:r>
      <w:r w:rsidR="005321DF">
        <w:rPr>
          <w:rFonts w:cs="Times New Roman"/>
        </w:rPr>
        <w:t xml:space="preserve">: </w:t>
      </w:r>
      <w:r w:rsidR="005321DF" w:rsidRPr="00EB62C8">
        <w:rPr>
          <w:rFonts w:cs="Times New Roman"/>
          <w:sz w:val="20"/>
          <w:szCs w:val="20"/>
        </w:rPr>
        <w:t>404-718-1873</w:t>
      </w:r>
    </w:p>
    <w:p w14:paraId="0E4BCC3E" w14:textId="77777777" w:rsidR="00CD2C4C" w:rsidRPr="0068154E" w:rsidRDefault="00CD2C4C" w:rsidP="00CD2C4C">
      <w:pPr>
        <w:spacing w:line="240" w:lineRule="auto"/>
        <w:ind w:left="0"/>
        <w:rPr>
          <w:rFonts w:cs="Times New Roman"/>
        </w:rPr>
      </w:pPr>
      <w:r w:rsidRPr="0068154E">
        <w:rPr>
          <w:rFonts w:cs="Times New Roman"/>
        </w:rPr>
        <w:t>Email: kga9@cdc.gov</w:t>
      </w:r>
    </w:p>
    <w:p w14:paraId="0CE73188" w14:textId="77777777" w:rsidR="00BC6896" w:rsidRPr="0068154E" w:rsidRDefault="00BC6896" w:rsidP="00CD2C4C">
      <w:pPr>
        <w:ind w:left="0"/>
        <w:rPr>
          <w:sz w:val="28"/>
        </w:rPr>
      </w:pPr>
      <w:r w:rsidRPr="0068154E">
        <w:br w:type="page"/>
      </w:r>
    </w:p>
    <w:p w14:paraId="1C63DB11" w14:textId="77777777" w:rsidR="00B12F51" w:rsidRPr="0068154E" w:rsidRDefault="00B12F51" w:rsidP="00BC6896">
      <w:pPr>
        <w:pStyle w:val="Heading3"/>
        <w:rPr>
          <w:rFonts w:asciiTheme="minorHAnsi" w:hAnsiTheme="minorHAnsi"/>
        </w:rPr>
      </w:pPr>
      <w:r w:rsidRPr="0068154E">
        <w:rPr>
          <w:rFonts w:asciiTheme="minorHAnsi" w:hAnsiTheme="minorHAnsi"/>
        </w:rPr>
        <w:lastRenderedPageBreak/>
        <w:t xml:space="preserve">Section B – </w:t>
      </w:r>
      <w:r w:rsidR="00287E2F" w:rsidRPr="0068154E">
        <w:rPr>
          <w:rFonts w:asciiTheme="minorHAnsi" w:hAnsiTheme="minorHAnsi"/>
        </w:rPr>
        <w:t xml:space="preserve">Data Collection </w:t>
      </w:r>
      <w:r w:rsidR="00287E2F" w:rsidRPr="0068154E">
        <w:t>Procedures</w:t>
      </w:r>
    </w:p>
    <w:p w14:paraId="3DD7D88B" w14:textId="77777777" w:rsidR="00287E2F" w:rsidRPr="0068154E" w:rsidRDefault="00287E2F" w:rsidP="00BC6896">
      <w:pPr>
        <w:rPr>
          <w:rFonts w:asciiTheme="minorHAnsi" w:hAnsiTheme="minorHAnsi"/>
        </w:rPr>
      </w:pPr>
    </w:p>
    <w:p w14:paraId="1C9B1D45" w14:textId="51FDACFA" w:rsidR="00A75D1C" w:rsidRPr="0068154E" w:rsidRDefault="009759F3" w:rsidP="0068154E">
      <w:pPr>
        <w:pStyle w:val="Heading4"/>
        <w:ind w:left="360"/>
        <w:rPr>
          <w:rFonts w:asciiTheme="minorHAnsi" w:hAnsiTheme="minorHAnsi"/>
        </w:rPr>
      </w:pPr>
      <w:r w:rsidRPr="0068154E">
        <w:rPr>
          <w:rFonts w:asciiTheme="minorHAnsi" w:hAnsiTheme="minorHAnsi"/>
        </w:rPr>
        <w:t xml:space="preserve">Respondent Universe and </w:t>
      </w:r>
      <w:r w:rsidR="00A13717">
        <w:rPr>
          <w:rFonts w:asciiTheme="minorHAnsi" w:hAnsiTheme="minorHAnsi"/>
        </w:rPr>
        <w:t>Data Collection</w:t>
      </w:r>
      <w:r w:rsidRPr="0068154E">
        <w:rPr>
          <w:rFonts w:asciiTheme="minorHAnsi" w:hAnsiTheme="minorHAnsi"/>
        </w:rPr>
        <w:t xml:space="preserve"> Methods</w:t>
      </w:r>
      <w:r w:rsidR="00A305CE" w:rsidRPr="0068154E">
        <w:rPr>
          <w:rFonts w:asciiTheme="minorHAnsi" w:hAnsiTheme="minorHAnsi"/>
        </w:rPr>
        <w:t xml:space="preserve"> </w:t>
      </w:r>
    </w:p>
    <w:p w14:paraId="05BEB291" w14:textId="77777777" w:rsidR="00B1668E" w:rsidRPr="0068154E" w:rsidRDefault="00B1668E" w:rsidP="0068154E">
      <w:pPr>
        <w:ind w:left="360"/>
        <w:rPr>
          <w:rFonts w:asciiTheme="minorHAnsi" w:hAnsiTheme="minorHAnsi"/>
        </w:rPr>
      </w:pPr>
    </w:p>
    <w:p w14:paraId="365FBFA4" w14:textId="77777777" w:rsidR="008D4684" w:rsidRPr="0068154E" w:rsidRDefault="008D4684" w:rsidP="0068154E">
      <w:pPr>
        <w:ind w:left="0"/>
        <w:rPr>
          <w:rFonts w:asciiTheme="minorHAnsi" w:hAnsiTheme="minorHAnsi"/>
          <w:i/>
        </w:rPr>
      </w:pPr>
      <w:r w:rsidRPr="0068154E">
        <w:rPr>
          <w:rFonts w:asciiTheme="minorHAnsi" w:hAnsiTheme="minorHAnsi"/>
          <w:i/>
        </w:rPr>
        <w:t>Online Data Collection Instrument</w:t>
      </w:r>
    </w:p>
    <w:p w14:paraId="7CE2B8A5" w14:textId="6B857DA8" w:rsidR="00D3046F" w:rsidRPr="0068154E" w:rsidRDefault="00B1668E" w:rsidP="0068154E">
      <w:pPr>
        <w:ind w:left="0"/>
        <w:rPr>
          <w:rFonts w:asciiTheme="minorHAnsi" w:hAnsiTheme="minorHAnsi"/>
        </w:rPr>
      </w:pPr>
      <w:r w:rsidRPr="0068154E">
        <w:rPr>
          <w:rFonts w:asciiTheme="minorHAnsi" w:hAnsiTheme="minorHAnsi"/>
        </w:rPr>
        <w:t>The respondent population consists of</w:t>
      </w:r>
      <w:r w:rsidR="00D3046F" w:rsidRPr="0068154E">
        <w:rPr>
          <w:rFonts w:asciiTheme="minorHAnsi" w:hAnsiTheme="minorHAnsi"/>
        </w:rPr>
        <w:t xml:space="preserve"> 64</w:t>
      </w:r>
      <w:r w:rsidRPr="0068154E">
        <w:rPr>
          <w:rFonts w:asciiTheme="minorHAnsi" w:hAnsiTheme="minorHAnsi"/>
        </w:rPr>
        <w:t xml:space="preserve"> state</w:t>
      </w:r>
      <w:r w:rsidR="00D3046F" w:rsidRPr="0068154E">
        <w:rPr>
          <w:rFonts w:asciiTheme="minorHAnsi" w:hAnsiTheme="minorHAnsi"/>
        </w:rPr>
        <w:t>/local/territorial public health department officials acting in their capacity as</w:t>
      </w:r>
      <w:r w:rsidRPr="0068154E">
        <w:rPr>
          <w:rFonts w:asciiTheme="minorHAnsi" w:hAnsiTheme="minorHAnsi"/>
        </w:rPr>
        <w:t xml:space="preserve"> immunization information system (IIS) </w:t>
      </w:r>
      <w:r w:rsidR="005D7F6C">
        <w:rPr>
          <w:rFonts w:asciiTheme="minorHAnsi" w:hAnsiTheme="minorHAnsi"/>
        </w:rPr>
        <w:t xml:space="preserve">program </w:t>
      </w:r>
      <w:r w:rsidRPr="0068154E">
        <w:rPr>
          <w:rFonts w:asciiTheme="minorHAnsi" w:hAnsiTheme="minorHAnsi"/>
        </w:rPr>
        <w:t xml:space="preserve">managers.  There are </w:t>
      </w:r>
      <w:r w:rsidR="00D3046F" w:rsidRPr="0068154E">
        <w:rPr>
          <w:rFonts w:asciiTheme="minorHAnsi" w:hAnsiTheme="minorHAnsi"/>
        </w:rPr>
        <w:t>64 active grantees across 50 states, the District of Columbia, 6 United States metropolitan areas, and 8 U.S. territories</w:t>
      </w:r>
      <w:r w:rsidRPr="0068154E">
        <w:rPr>
          <w:rFonts w:asciiTheme="minorHAnsi" w:hAnsiTheme="minorHAnsi"/>
        </w:rPr>
        <w:t xml:space="preserve"> </w:t>
      </w:r>
      <w:r w:rsidR="00D522E4" w:rsidRPr="0068154E">
        <w:rPr>
          <w:rFonts w:asciiTheme="minorHAnsi" w:hAnsiTheme="minorHAnsi"/>
        </w:rPr>
        <w:t xml:space="preserve">(see </w:t>
      </w:r>
      <w:r w:rsidR="00D522E4" w:rsidRPr="0068154E">
        <w:rPr>
          <w:rFonts w:asciiTheme="minorHAnsi" w:hAnsiTheme="minorHAnsi"/>
          <w:b/>
        </w:rPr>
        <w:t xml:space="preserve">Attachment </w:t>
      </w:r>
      <w:r w:rsidR="00503D02">
        <w:rPr>
          <w:rFonts w:asciiTheme="minorHAnsi" w:hAnsiTheme="minorHAnsi"/>
          <w:b/>
        </w:rPr>
        <w:t>A</w:t>
      </w:r>
      <w:r w:rsidRPr="0068154E">
        <w:rPr>
          <w:rFonts w:asciiTheme="minorHAnsi" w:hAnsiTheme="minorHAnsi"/>
        </w:rPr>
        <w:t xml:space="preserve">). </w:t>
      </w:r>
      <w:r w:rsidR="00D3046F" w:rsidRPr="0068154E">
        <w:rPr>
          <w:rFonts w:asciiTheme="minorHAnsi" w:hAnsiTheme="minorHAnsi"/>
        </w:rPr>
        <w:t xml:space="preserve"> IIS </w:t>
      </w:r>
      <w:r w:rsidR="005D7F6C">
        <w:rPr>
          <w:rFonts w:asciiTheme="minorHAnsi" w:hAnsiTheme="minorHAnsi"/>
        </w:rPr>
        <w:t xml:space="preserve">program </w:t>
      </w:r>
      <w:r w:rsidR="00D3046F" w:rsidRPr="0068154E">
        <w:rPr>
          <w:rFonts w:asciiTheme="minorHAnsi" w:hAnsiTheme="minorHAnsi"/>
        </w:rPr>
        <w:t>managers possess the experience and expertise from managing the ongoing development and day-to-day operations of the IIS, as well as IIS fiscal obligations and grant expenditures to provide the information being collected in the online data collection instrument.</w:t>
      </w:r>
    </w:p>
    <w:p w14:paraId="688C251C" w14:textId="77777777" w:rsidR="008D4684" w:rsidRPr="0068154E" w:rsidRDefault="008D4684" w:rsidP="0068154E">
      <w:pPr>
        <w:ind w:left="0"/>
        <w:rPr>
          <w:rFonts w:asciiTheme="minorHAnsi" w:hAnsiTheme="minorHAnsi"/>
        </w:rPr>
      </w:pPr>
    </w:p>
    <w:p w14:paraId="63788F4B" w14:textId="231E0E35" w:rsidR="008D4684" w:rsidRPr="0068154E" w:rsidRDefault="008D4684" w:rsidP="0068154E">
      <w:pPr>
        <w:ind w:left="0"/>
        <w:rPr>
          <w:rFonts w:asciiTheme="minorHAnsi" w:hAnsiTheme="minorHAnsi"/>
          <w:i/>
          <w:color w:val="FF0000"/>
        </w:rPr>
      </w:pPr>
      <w:r w:rsidRPr="0068154E">
        <w:rPr>
          <w:rFonts w:asciiTheme="minorHAnsi" w:hAnsiTheme="minorHAnsi"/>
          <w:i/>
        </w:rPr>
        <w:t>Interview Data Collection Instrument</w:t>
      </w:r>
    </w:p>
    <w:p w14:paraId="5A51C3AC" w14:textId="343FA681" w:rsidR="00526818" w:rsidRPr="0068154E" w:rsidRDefault="00D3046F" w:rsidP="00526818">
      <w:pPr>
        <w:ind w:left="0"/>
        <w:rPr>
          <w:rFonts w:asciiTheme="minorHAnsi" w:hAnsiTheme="minorHAnsi"/>
        </w:rPr>
      </w:pPr>
      <w:r w:rsidRPr="0068154E">
        <w:rPr>
          <w:rFonts w:asciiTheme="minorHAnsi" w:hAnsiTheme="minorHAnsi"/>
        </w:rPr>
        <w:t xml:space="preserve">The 64 IIS </w:t>
      </w:r>
      <w:r w:rsidR="005D7F6C">
        <w:rPr>
          <w:rFonts w:asciiTheme="minorHAnsi" w:hAnsiTheme="minorHAnsi"/>
        </w:rPr>
        <w:t xml:space="preserve">program </w:t>
      </w:r>
      <w:r w:rsidRPr="0068154E">
        <w:rPr>
          <w:rFonts w:asciiTheme="minorHAnsi" w:hAnsiTheme="minorHAnsi"/>
        </w:rPr>
        <w:t xml:space="preserve">managers also comprise the respondent universe for the interview data collection instrument. </w:t>
      </w:r>
      <w:r w:rsidR="0068154E" w:rsidRPr="0068154E">
        <w:rPr>
          <w:rFonts w:asciiTheme="minorHAnsi" w:hAnsiTheme="minorHAnsi"/>
        </w:rPr>
        <w:t>Due to the variation across all 64 IIS, an</w:t>
      </w:r>
      <w:r w:rsidRPr="0068154E">
        <w:rPr>
          <w:rFonts w:asciiTheme="minorHAnsi" w:hAnsiTheme="minorHAnsi"/>
        </w:rPr>
        <w:t xml:space="preserve"> interview is designed to </w:t>
      </w:r>
      <w:r w:rsidR="0068154E" w:rsidRPr="0068154E">
        <w:rPr>
          <w:rFonts w:asciiTheme="minorHAnsi" w:hAnsiTheme="minorHAnsi"/>
        </w:rPr>
        <w:t>capture</w:t>
      </w:r>
      <w:r w:rsidRPr="0068154E">
        <w:rPr>
          <w:rFonts w:asciiTheme="minorHAnsi" w:hAnsiTheme="minorHAnsi"/>
        </w:rPr>
        <w:t xml:space="preserve"> detailed information </w:t>
      </w:r>
      <w:r w:rsidR="0068154E" w:rsidRPr="0068154E">
        <w:rPr>
          <w:rFonts w:asciiTheme="minorHAnsi" w:hAnsiTheme="minorHAnsi"/>
        </w:rPr>
        <w:t>missed in the standardized</w:t>
      </w:r>
      <w:r w:rsidRPr="0068154E">
        <w:rPr>
          <w:rFonts w:asciiTheme="minorHAnsi" w:hAnsiTheme="minorHAnsi"/>
        </w:rPr>
        <w:t xml:space="preserve"> </w:t>
      </w:r>
      <w:r w:rsidR="0068154E" w:rsidRPr="0068154E">
        <w:rPr>
          <w:rFonts w:asciiTheme="minorHAnsi" w:hAnsiTheme="minorHAnsi"/>
        </w:rPr>
        <w:t>responses</w:t>
      </w:r>
      <w:r w:rsidRPr="0068154E">
        <w:rPr>
          <w:rFonts w:asciiTheme="minorHAnsi" w:hAnsiTheme="minorHAnsi"/>
        </w:rPr>
        <w:t xml:space="preserve"> collected in the online instrument. It is important for continuity to include the online data collection </w:t>
      </w:r>
      <w:r w:rsidR="0068154E" w:rsidRPr="0068154E">
        <w:rPr>
          <w:rFonts w:asciiTheme="minorHAnsi" w:hAnsiTheme="minorHAnsi"/>
        </w:rPr>
        <w:t>respond</w:t>
      </w:r>
      <w:r w:rsidR="00526818">
        <w:rPr>
          <w:rFonts w:asciiTheme="minorHAnsi" w:hAnsiTheme="minorHAnsi"/>
        </w:rPr>
        <w:t>ent</w:t>
      </w:r>
      <w:r w:rsidR="00526818" w:rsidRPr="0068154E">
        <w:rPr>
          <w:rFonts w:asciiTheme="minorHAnsi" w:hAnsiTheme="minorHAnsi"/>
        </w:rPr>
        <w:t xml:space="preserve">, IIS </w:t>
      </w:r>
      <w:r w:rsidR="00526818">
        <w:rPr>
          <w:rFonts w:asciiTheme="minorHAnsi" w:hAnsiTheme="minorHAnsi"/>
        </w:rPr>
        <w:t>program m</w:t>
      </w:r>
      <w:r w:rsidR="00526818" w:rsidRPr="0068154E">
        <w:rPr>
          <w:rFonts w:asciiTheme="minorHAnsi" w:hAnsiTheme="minorHAnsi"/>
        </w:rPr>
        <w:t xml:space="preserve">anager, in the interview data collection instrument as well. </w:t>
      </w:r>
      <w:r w:rsidR="00F42AB4">
        <w:rPr>
          <w:rFonts w:asciiTheme="minorHAnsi" w:hAnsiTheme="minorHAnsi"/>
        </w:rPr>
        <w:t>To this end the second data collection will include e</w:t>
      </w:r>
      <w:r w:rsidR="00526818" w:rsidRPr="0068154E">
        <w:rPr>
          <w:rFonts w:asciiTheme="minorHAnsi" w:hAnsiTheme="minorHAnsi"/>
        </w:rPr>
        <w:t>ach</w:t>
      </w:r>
      <w:r w:rsidR="00F42AB4">
        <w:rPr>
          <w:rFonts w:asciiTheme="minorHAnsi" w:hAnsiTheme="minorHAnsi"/>
        </w:rPr>
        <w:t xml:space="preserve"> of the 64</w:t>
      </w:r>
      <w:r w:rsidR="00526818" w:rsidRPr="0068154E">
        <w:rPr>
          <w:rFonts w:asciiTheme="minorHAnsi" w:hAnsiTheme="minorHAnsi"/>
        </w:rPr>
        <w:t xml:space="preserve"> IIS</w:t>
      </w:r>
      <w:r w:rsidR="00526818">
        <w:rPr>
          <w:rFonts w:asciiTheme="minorHAnsi" w:hAnsiTheme="minorHAnsi"/>
        </w:rPr>
        <w:t xml:space="preserve"> program manager and the immunization program manager who has</w:t>
      </w:r>
      <w:r w:rsidR="00526818" w:rsidRPr="0068154E">
        <w:rPr>
          <w:rFonts w:asciiTheme="minorHAnsi" w:hAnsiTheme="minorHAnsi"/>
        </w:rPr>
        <w:t xml:space="preserve"> specific knowledge on </w:t>
      </w:r>
      <w:r w:rsidR="00526818">
        <w:rPr>
          <w:rFonts w:asciiTheme="minorHAnsi" w:hAnsiTheme="minorHAnsi"/>
        </w:rPr>
        <w:t>programmatic and business operations of the Immunization Program.</w:t>
      </w:r>
      <w:r w:rsidR="00526818" w:rsidRPr="0068154E">
        <w:rPr>
          <w:rFonts w:asciiTheme="minorHAnsi" w:hAnsiTheme="minorHAnsi"/>
        </w:rPr>
        <w:t xml:space="preserve"> Based on experience in the pilot,</w:t>
      </w:r>
      <w:r w:rsidR="00526818">
        <w:rPr>
          <w:rFonts w:asciiTheme="minorHAnsi" w:hAnsiTheme="minorHAnsi"/>
        </w:rPr>
        <w:t xml:space="preserve"> the interview data collection instrument will include both the IIS program manager and </w:t>
      </w:r>
      <w:r w:rsidR="00F42AB4">
        <w:rPr>
          <w:rFonts w:asciiTheme="minorHAnsi" w:hAnsiTheme="minorHAnsi"/>
        </w:rPr>
        <w:t>immunization program manager</w:t>
      </w:r>
      <w:r w:rsidR="00526818" w:rsidRPr="0068154E">
        <w:rPr>
          <w:rFonts w:asciiTheme="minorHAnsi" w:hAnsiTheme="minorHAnsi"/>
        </w:rPr>
        <w:t xml:space="preserve"> making a total of 128 respondents across the 64 IIS grantees.</w:t>
      </w:r>
    </w:p>
    <w:p w14:paraId="4850E40F" w14:textId="77777777" w:rsidR="00F52BCC" w:rsidRPr="0068154E" w:rsidRDefault="00F52BCC" w:rsidP="00526818">
      <w:pPr>
        <w:ind w:left="0"/>
        <w:rPr>
          <w:rFonts w:asciiTheme="minorHAnsi" w:hAnsiTheme="minorHAnsi"/>
        </w:rPr>
      </w:pPr>
    </w:p>
    <w:p w14:paraId="6249F9E0" w14:textId="77777777" w:rsidR="00287E2F" w:rsidRPr="0068154E" w:rsidRDefault="00287E2F" w:rsidP="0068154E">
      <w:pPr>
        <w:pStyle w:val="Heading4"/>
        <w:ind w:left="360"/>
        <w:rPr>
          <w:rFonts w:asciiTheme="minorHAnsi" w:hAnsiTheme="minorHAnsi"/>
        </w:rPr>
      </w:pPr>
      <w:r w:rsidRPr="0068154E">
        <w:rPr>
          <w:rFonts w:asciiTheme="minorHAnsi" w:hAnsiTheme="minorHAnsi"/>
        </w:rPr>
        <w:t xml:space="preserve">Procedures for </w:t>
      </w:r>
      <w:r w:rsidR="009759F3" w:rsidRPr="0068154E">
        <w:t>the</w:t>
      </w:r>
      <w:r w:rsidR="009759F3" w:rsidRPr="0068154E">
        <w:rPr>
          <w:rFonts w:asciiTheme="minorHAnsi" w:hAnsiTheme="minorHAnsi"/>
        </w:rPr>
        <w:t xml:space="preserve"> </w:t>
      </w:r>
      <w:r w:rsidRPr="0068154E">
        <w:rPr>
          <w:rFonts w:asciiTheme="minorHAnsi" w:hAnsiTheme="minorHAnsi"/>
        </w:rPr>
        <w:t>Collecti</w:t>
      </w:r>
      <w:r w:rsidR="009759F3" w:rsidRPr="0068154E">
        <w:rPr>
          <w:rFonts w:asciiTheme="minorHAnsi" w:hAnsiTheme="minorHAnsi"/>
        </w:rPr>
        <w:t>on</w:t>
      </w:r>
      <w:r w:rsidRPr="0068154E">
        <w:rPr>
          <w:rFonts w:asciiTheme="minorHAnsi" w:hAnsiTheme="minorHAnsi"/>
        </w:rPr>
        <w:t xml:space="preserve"> of Information</w:t>
      </w:r>
      <w:r w:rsidR="00F725B5" w:rsidRPr="0068154E">
        <w:rPr>
          <w:rFonts w:asciiTheme="minorHAnsi" w:hAnsiTheme="minorHAnsi"/>
        </w:rPr>
        <w:t xml:space="preserve"> </w:t>
      </w:r>
      <w:r w:rsidR="009759F3" w:rsidRPr="0068154E">
        <w:rPr>
          <w:rFonts w:asciiTheme="minorHAnsi" w:hAnsiTheme="minorHAnsi"/>
        </w:rPr>
        <w:t xml:space="preserve">  </w:t>
      </w:r>
    </w:p>
    <w:p w14:paraId="4B03EBD4" w14:textId="77777777" w:rsidR="00302CC6" w:rsidRPr="0068154E" w:rsidRDefault="00302CC6" w:rsidP="0068154E">
      <w:pPr>
        <w:ind w:left="360"/>
        <w:rPr>
          <w:rFonts w:asciiTheme="minorHAnsi" w:hAnsiTheme="minorHAnsi"/>
        </w:rPr>
      </w:pPr>
    </w:p>
    <w:p w14:paraId="7B83F58E" w14:textId="65DAA94B" w:rsidR="00B21E1C" w:rsidRPr="0068154E" w:rsidRDefault="00B21E1C" w:rsidP="006815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rFonts w:asciiTheme="minorHAnsi" w:hAnsiTheme="minorHAnsi" w:cs="Arial"/>
          <w:i/>
        </w:rPr>
      </w:pPr>
      <w:r w:rsidRPr="0068154E">
        <w:rPr>
          <w:rFonts w:asciiTheme="minorHAnsi" w:hAnsiTheme="minorHAnsi" w:cs="Arial"/>
          <w:i/>
        </w:rPr>
        <w:t xml:space="preserve">Online </w:t>
      </w:r>
      <w:r w:rsidR="008D4684" w:rsidRPr="0068154E">
        <w:rPr>
          <w:rFonts w:asciiTheme="minorHAnsi" w:hAnsiTheme="minorHAnsi" w:cs="Arial"/>
          <w:i/>
        </w:rPr>
        <w:t>Data Collection Instrument</w:t>
      </w:r>
    </w:p>
    <w:p w14:paraId="10703E00" w14:textId="08E37151" w:rsidR="00302CC6" w:rsidRPr="0068154E" w:rsidRDefault="00302CC6" w:rsidP="006815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rFonts w:asciiTheme="minorHAnsi" w:hAnsiTheme="minorHAnsi" w:cs="Arial"/>
        </w:rPr>
      </w:pPr>
      <w:r w:rsidRPr="0068154E">
        <w:rPr>
          <w:rFonts w:asciiTheme="minorHAnsi" w:hAnsiTheme="minorHAnsi" w:cs="Arial"/>
        </w:rPr>
        <w:t xml:space="preserve">Data will be collected through </w:t>
      </w:r>
      <w:r w:rsidRPr="0068154E">
        <w:rPr>
          <w:rFonts w:asciiTheme="minorHAnsi" w:hAnsiTheme="minorHAnsi"/>
        </w:rPr>
        <w:t xml:space="preserve">Survey Monkey </w:t>
      </w:r>
      <w:r w:rsidRPr="0068154E">
        <w:rPr>
          <w:rFonts w:asciiTheme="minorHAnsi" w:hAnsiTheme="minorHAnsi" w:cs="Arial"/>
        </w:rPr>
        <w:t xml:space="preserve">and distributed to all individuals who comprise the respondent universe. </w:t>
      </w:r>
      <w:r w:rsidRPr="0068154E">
        <w:rPr>
          <w:rFonts w:asciiTheme="minorHAnsi" w:hAnsiTheme="minorHAnsi"/>
        </w:rPr>
        <w:t xml:space="preserve">The online data collection instrument consists of </w:t>
      </w:r>
      <w:r w:rsidR="008E3B1F">
        <w:rPr>
          <w:rFonts w:asciiTheme="minorHAnsi" w:hAnsiTheme="minorHAnsi"/>
        </w:rPr>
        <w:t>2</w:t>
      </w:r>
      <w:r w:rsidR="00840462">
        <w:rPr>
          <w:rFonts w:asciiTheme="minorHAnsi" w:hAnsiTheme="minorHAnsi"/>
        </w:rPr>
        <w:t>7</w:t>
      </w:r>
      <w:r w:rsidRPr="0068154E">
        <w:rPr>
          <w:rFonts w:asciiTheme="minorHAnsi" w:hAnsiTheme="minorHAnsi"/>
        </w:rPr>
        <w:t xml:space="preserve"> questions of various types, including </w:t>
      </w:r>
      <w:r w:rsidR="00B21E1C" w:rsidRPr="0068154E">
        <w:rPr>
          <w:rFonts w:asciiTheme="minorHAnsi" w:hAnsiTheme="minorHAnsi"/>
        </w:rPr>
        <w:t>multiple response</w:t>
      </w:r>
      <w:r w:rsidRPr="0068154E">
        <w:rPr>
          <w:rFonts w:asciiTheme="minorHAnsi" w:hAnsiTheme="minorHAnsi"/>
        </w:rPr>
        <w:t xml:space="preserve"> and open-ended. </w:t>
      </w:r>
      <w:r w:rsidRPr="0068154E">
        <w:rPr>
          <w:rFonts w:asciiTheme="minorHAnsi" w:hAnsiTheme="minorHAnsi" w:cs="Arial"/>
        </w:rPr>
        <w:t>An introductory e-mail notification (</w:t>
      </w:r>
      <w:r w:rsidR="009379D1" w:rsidRPr="009379D1">
        <w:rPr>
          <w:rFonts w:asciiTheme="minorHAnsi" w:hAnsiTheme="minorHAnsi" w:cs="Arial"/>
          <w:b/>
        </w:rPr>
        <w:t>Attachment</w:t>
      </w:r>
      <w:r w:rsidR="009379D1">
        <w:rPr>
          <w:rFonts w:asciiTheme="minorHAnsi" w:hAnsiTheme="minorHAnsi" w:cs="Arial"/>
        </w:rPr>
        <w:t xml:space="preserve"> </w:t>
      </w:r>
      <w:r w:rsidR="001B3C56">
        <w:rPr>
          <w:rFonts w:asciiTheme="minorHAnsi" w:hAnsiTheme="minorHAnsi" w:cs="Arial"/>
          <w:b/>
        </w:rPr>
        <w:t>I</w:t>
      </w:r>
      <w:r w:rsidR="009379D1">
        <w:rPr>
          <w:rFonts w:asciiTheme="minorHAnsi" w:hAnsiTheme="minorHAnsi" w:cs="Arial"/>
          <w:b/>
        </w:rPr>
        <w:t xml:space="preserve"> </w:t>
      </w:r>
      <w:r w:rsidR="00CC0AAB">
        <w:rPr>
          <w:rFonts w:asciiTheme="minorHAnsi" w:hAnsiTheme="minorHAnsi" w:cs="Arial"/>
          <w:b/>
        </w:rPr>
        <w:t>–Introductory Email</w:t>
      </w:r>
      <w:r w:rsidR="00503D02">
        <w:rPr>
          <w:rFonts w:asciiTheme="minorHAnsi" w:hAnsiTheme="minorHAnsi" w:cs="Arial"/>
          <w:b/>
        </w:rPr>
        <w:t>)</w:t>
      </w:r>
      <w:r w:rsidR="009379D1">
        <w:rPr>
          <w:rFonts w:asciiTheme="minorHAnsi" w:hAnsiTheme="minorHAnsi" w:cs="Arial"/>
          <w:b/>
        </w:rPr>
        <w:t xml:space="preserve"> </w:t>
      </w:r>
      <w:r w:rsidRPr="0068154E">
        <w:rPr>
          <w:rFonts w:asciiTheme="minorHAnsi" w:hAnsiTheme="minorHAnsi" w:cs="Arial"/>
        </w:rPr>
        <w:t xml:space="preserve">will be sent to all IIS </w:t>
      </w:r>
      <w:r w:rsidR="009F7301">
        <w:rPr>
          <w:rFonts w:asciiTheme="minorHAnsi" w:hAnsiTheme="minorHAnsi" w:cs="Arial"/>
        </w:rPr>
        <w:t xml:space="preserve">program </w:t>
      </w:r>
      <w:r w:rsidRPr="0068154E">
        <w:rPr>
          <w:rFonts w:asciiTheme="minorHAnsi" w:hAnsiTheme="minorHAnsi" w:cs="Arial"/>
        </w:rPr>
        <w:t xml:space="preserve">managers </w:t>
      </w:r>
      <w:r w:rsidR="00EE1035">
        <w:rPr>
          <w:rFonts w:asciiTheme="minorHAnsi" w:hAnsiTheme="minorHAnsi" w:cs="Arial"/>
        </w:rPr>
        <w:t>2</w:t>
      </w:r>
      <w:r w:rsidR="000A44EC">
        <w:rPr>
          <w:rFonts w:asciiTheme="minorHAnsi" w:hAnsiTheme="minorHAnsi" w:cs="Arial"/>
        </w:rPr>
        <w:t xml:space="preserve"> </w:t>
      </w:r>
      <w:r w:rsidR="00757652">
        <w:rPr>
          <w:rFonts w:asciiTheme="minorHAnsi" w:hAnsiTheme="minorHAnsi" w:cs="Arial"/>
        </w:rPr>
        <w:t xml:space="preserve">weeks in advance of data collection </w:t>
      </w:r>
      <w:r w:rsidRPr="0068154E">
        <w:rPr>
          <w:rFonts w:asciiTheme="minorHAnsi" w:hAnsiTheme="minorHAnsi" w:cs="Arial"/>
        </w:rPr>
        <w:t xml:space="preserve">informing them of the planned assessment, </w:t>
      </w:r>
      <w:r w:rsidR="00D9775D">
        <w:rPr>
          <w:rFonts w:asciiTheme="minorHAnsi" w:hAnsiTheme="minorHAnsi" w:cs="Arial"/>
        </w:rPr>
        <w:t xml:space="preserve">the link to the </w:t>
      </w:r>
      <w:r w:rsidR="00CC0AAB">
        <w:rPr>
          <w:rFonts w:asciiTheme="minorHAnsi" w:hAnsiTheme="minorHAnsi" w:cs="Arial"/>
        </w:rPr>
        <w:t>assessment</w:t>
      </w:r>
      <w:r w:rsidR="00D9775D">
        <w:rPr>
          <w:rFonts w:asciiTheme="minorHAnsi" w:hAnsiTheme="minorHAnsi" w:cs="Arial"/>
        </w:rPr>
        <w:t xml:space="preserve"> </w:t>
      </w:r>
      <w:r w:rsidR="0068154E">
        <w:rPr>
          <w:rFonts w:asciiTheme="minorHAnsi" w:hAnsiTheme="minorHAnsi" w:cs="Arial"/>
        </w:rPr>
        <w:t xml:space="preserve">and </w:t>
      </w:r>
      <w:r w:rsidRPr="0068154E">
        <w:rPr>
          <w:rFonts w:asciiTheme="minorHAnsi" w:hAnsiTheme="minorHAnsi" w:cs="Arial"/>
        </w:rPr>
        <w:t>announcing the dates the a</w:t>
      </w:r>
      <w:r w:rsidR="0068154E">
        <w:rPr>
          <w:rFonts w:asciiTheme="minorHAnsi" w:hAnsiTheme="minorHAnsi" w:cs="Arial"/>
        </w:rPr>
        <w:t xml:space="preserve">ssessment will be administered. </w:t>
      </w:r>
      <w:r w:rsidRPr="0068154E">
        <w:rPr>
          <w:rFonts w:asciiTheme="minorHAnsi" w:hAnsiTheme="minorHAnsi" w:cs="Arial"/>
        </w:rPr>
        <w:t xml:space="preserve">The </w:t>
      </w:r>
      <w:r w:rsidR="0068154E">
        <w:rPr>
          <w:rFonts w:asciiTheme="minorHAnsi" w:hAnsiTheme="minorHAnsi" w:cs="Arial"/>
        </w:rPr>
        <w:t>online data collection instrument</w:t>
      </w:r>
      <w:r w:rsidRPr="0068154E">
        <w:rPr>
          <w:rFonts w:asciiTheme="minorHAnsi" w:hAnsiTheme="minorHAnsi" w:cs="Arial"/>
        </w:rPr>
        <w:t xml:space="preserve"> will remain open for a period of </w:t>
      </w:r>
      <w:r w:rsidR="00593140" w:rsidRPr="0068154E">
        <w:rPr>
          <w:rFonts w:asciiTheme="minorHAnsi" w:hAnsiTheme="minorHAnsi" w:cs="Arial"/>
        </w:rPr>
        <w:t xml:space="preserve">3 </w:t>
      </w:r>
      <w:r w:rsidRPr="0068154E">
        <w:rPr>
          <w:rFonts w:asciiTheme="minorHAnsi" w:hAnsiTheme="minorHAnsi" w:cs="Arial"/>
        </w:rPr>
        <w:t xml:space="preserve">weeks to allow ample time for completion by respondents. A </w:t>
      </w:r>
      <w:r w:rsidR="00DA73BB">
        <w:rPr>
          <w:rFonts w:asciiTheme="minorHAnsi" w:hAnsiTheme="minorHAnsi" w:cs="Arial"/>
        </w:rPr>
        <w:t>reminder</w:t>
      </w:r>
      <w:r w:rsidRPr="0068154E">
        <w:rPr>
          <w:rFonts w:asciiTheme="minorHAnsi" w:hAnsiTheme="minorHAnsi" w:cs="Arial"/>
        </w:rPr>
        <w:t xml:space="preserve"> e-mail (</w:t>
      </w:r>
      <w:r w:rsidR="0034409A">
        <w:rPr>
          <w:rFonts w:asciiTheme="minorHAnsi" w:hAnsiTheme="minorHAnsi" w:cs="Arial"/>
          <w:b/>
        </w:rPr>
        <w:t xml:space="preserve">Attachment </w:t>
      </w:r>
      <w:r w:rsidR="001B3C56">
        <w:rPr>
          <w:rFonts w:asciiTheme="minorHAnsi" w:hAnsiTheme="minorHAnsi" w:cs="Arial"/>
          <w:b/>
        </w:rPr>
        <w:t>L</w:t>
      </w:r>
      <w:r w:rsidR="0034409A">
        <w:rPr>
          <w:rFonts w:asciiTheme="minorHAnsi" w:hAnsiTheme="minorHAnsi" w:cs="Arial"/>
          <w:b/>
        </w:rPr>
        <w:t>-</w:t>
      </w:r>
      <w:r w:rsidR="0034409A" w:rsidRPr="0034409A">
        <w:rPr>
          <w:rFonts w:asciiTheme="minorHAnsi" w:hAnsiTheme="minorHAnsi" w:cs="Arial"/>
          <w:b/>
        </w:rPr>
        <w:t>Reminder Email</w:t>
      </w:r>
      <w:r w:rsidR="009A7D8A" w:rsidRPr="0068154E">
        <w:rPr>
          <w:rFonts w:asciiTheme="minorHAnsi" w:hAnsiTheme="minorHAnsi" w:cs="Arial"/>
        </w:rPr>
        <w:t>)</w:t>
      </w:r>
      <w:r w:rsidRPr="0068154E">
        <w:rPr>
          <w:rFonts w:asciiTheme="minorHAnsi" w:hAnsiTheme="minorHAnsi" w:cs="Arial"/>
        </w:rPr>
        <w:t xml:space="preserve"> will be sent to those who have not responded </w:t>
      </w:r>
      <w:r w:rsidR="00593140" w:rsidRPr="0068154E">
        <w:rPr>
          <w:rFonts w:asciiTheme="minorHAnsi" w:hAnsiTheme="minorHAnsi" w:cs="Arial"/>
        </w:rPr>
        <w:t>1.5</w:t>
      </w:r>
      <w:r w:rsidRPr="0068154E">
        <w:rPr>
          <w:rFonts w:asciiTheme="minorHAnsi" w:hAnsiTheme="minorHAnsi" w:cs="Arial"/>
        </w:rPr>
        <w:t xml:space="preserve"> weeks into the open period. </w:t>
      </w:r>
    </w:p>
    <w:p w14:paraId="3D0751C1" w14:textId="77777777" w:rsidR="00302CC6" w:rsidRPr="0068154E" w:rsidRDefault="00302CC6" w:rsidP="0068154E">
      <w:pPr>
        <w:ind w:left="360"/>
        <w:rPr>
          <w:rFonts w:asciiTheme="minorHAnsi" w:hAnsiTheme="minorHAnsi"/>
        </w:rPr>
      </w:pPr>
    </w:p>
    <w:p w14:paraId="5CD82517" w14:textId="17958A28" w:rsidR="00B21E1C" w:rsidRPr="0068154E" w:rsidRDefault="008D4684" w:rsidP="006815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rFonts w:asciiTheme="minorHAnsi" w:hAnsiTheme="minorHAnsi" w:cs="Arial"/>
          <w:i/>
        </w:rPr>
      </w:pPr>
      <w:r w:rsidRPr="0068154E">
        <w:rPr>
          <w:rFonts w:asciiTheme="minorHAnsi" w:hAnsiTheme="minorHAnsi" w:cs="Arial"/>
          <w:i/>
        </w:rPr>
        <w:t>Interview Data Collection Instrument</w:t>
      </w:r>
    </w:p>
    <w:p w14:paraId="6B13C43C" w14:textId="187EEAB9" w:rsidR="000A10D5" w:rsidRPr="0068154E" w:rsidRDefault="000A10D5" w:rsidP="006815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rFonts w:asciiTheme="minorHAnsi" w:hAnsiTheme="minorHAnsi" w:cs="Arial"/>
        </w:rPr>
      </w:pPr>
      <w:r w:rsidRPr="0068154E">
        <w:rPr>
          <w:rFonts w:asciiTheme="minorHAnsi" w:hAnsiTheme="minorHAnsi" w:cs="Arial"/>
        </w:rPr>
        <w:t>Data will also be collected through a</w:t>
      </w:r>
      <w:r w:rsidR="007741F4" w:rsidRPr="0068154E">
        <w:rPr>
          <w:rFonts w:asciiTheme="minorHAnsi" w:hAnsiTheme="minorHAnsi" w:cs="Arial"/>
        </w:rPr>
        <w:t>n</w:t>
      </w:r>
      <w:r w:rsidRPr="0068154E">
        <w:rPr>
          <w:rFonts w:asciiTheme="minorHAnsi" w:hAnsiTheme="minorHAnsi" w:cs="Arial"/>
        </w:rPr>
        <w:t xml:space="preserve"> interview</w:t>
      </w:r>
      <w:r w:rsidRPr="0068154E">
        <w:rPr>
          <w:rFonts w:asciiTheme="minorHAnsi" w:hAnsiTheme="minorHAnsi"/>
        </w:rPr>
        <w:t xml:space="preserve"> </w:t>
      </w:r>
      <w:r w:rsidRPr="0068154E">
        <w:rPr>
          <w:rFonts w:asciiTheme="minorHAnsi" w:hAnsiTheme="minorHAnsi" w:cs="Arial"/>
        </w:rPr>
        <w:t>with all individuals who comprise the respondent universe. An introductory e-mail notification (</w:t>
      </w:r>
      <w:r w:rsidR="009379D1" w:rsidRPr="009379D1">
        <w:rPr>
          <w:rFonts w:asciiTheme="minorHAnsi" w:hAnsiTheme="minorHAnsi" w:cs="Arial"/>
          <w:b/>
        </w:rPr>
        <w:t>Attachment</w:t>
      </w:r>
      <w:r w:rsidR="009379D1">
        <w:rPr>
          <w:rFonts w:asciiTheme="minorHAnsi" w:hAnsiTheme="minorHAnsi" w:cs="Arial"/>
        </w:rPr>
        <w:t xml:space="preserve"> </w:t>
      </w:r>
      <w:r w:rsidR="001B3C56">
        <w:rPr>
          <w:rFonts w:asciiTheme="minorHAnsi" w:hAnsiTheme="minorHAnsi" w:cs="Arial"/>
          <w:b/>
        </w:rPr>
        <w:t>J</w:t>
      </w:r>
      <w:r w:rsidR="003A58AC">
        <w:rPr>
          <w:rFonts w:asciiTheme="minorHAnsi" w:hAnsiTheme="minorHAnsi" w:cs="Arial"/>
          <w:b/>
        </w:rPr>
        <w:t xml:space="preserve">– </w:t>
      </w:r>
      <w:r w:rsidR="009379D1" w:rsidRPr="009379D1">
        <w:rPr>
          <w:rFonts w:asciiTheme="minorHAnsi" w:hAnsiTheme="minorHAnsi" w:cs="Arial"/>
          <w:b/>
        </w:rPr>
        <w:t>Interview</w:t>
      </w:r>
      <w:r w:rsidR="003A58AC">
        <w:rPr>
          <w:rFonts w:asciiTheme="minorHAnsi" w:hAnsiTheme="minorHAnsi" w:cs="Arial"/>
          <w:b/>
        </w:rPr>
        <w:t xml:space="preserve"> Request</w:t>
      </w:r>
      <w:r w:rsidRPr="0068154E">
        <w:rPr>
          <w:rFonts w:asciiTheme="minorHAnsi" w:hAnsiTheme="minorHAnsi" w:cs="Arial"/>
        </w:rPr>
        <w:t xml:space="preserve">) will be sent to IIS </w:t>
      </w:r>
      <w:r w:rsidR="009F7301">
        <w:rPr>
          <w:rFonts w:asciiTheme="minorHAnsi" w:hAnsiTheme="minorHAnsi" w:cs="Arial"/>
        </w:rPr>
        <w:t xml:space="preserve">program </w:t>
      </w:r>
      <w:r w:rsidRPr="0068154E">
        <w:rPr>
          <w:rFonts w:asciiTheme="minorHAnsi" w:hAnsiTheme="minorHAnsi" w:cs="Arial"/>
        </w:rPr>
        <w:t>managers</w:t>
      </w:r>
      <w:r w:rsidR="00757652" w:rsidRPr="00757652">
        <w:rPr>
          <w:rFonts w:asciiTheme="minorHAnsi" w:hAnsiTheme="minorHAnsi" w:cs="Arial"/>
        </w:rPr>
        <w:t xml:space="preserve"> </w:t>
      </w:r>
      <w:r w:rsidR="00EE1035">
        <w:rPr>
          <w:rFonts w:asciiTheme="minorHAnsi" w:hAnsiTheme="minorHAnsi" w:cs="Arial"/>
        </w:rPr>
        <w:t>3</w:t>
      </w:r>
      <w:r w:rsidR="00757652">
        <w:rPr>
          <w:rFonts w:asciiTheme="minorHAnsi" w:hAnsiTheme="minorHAnsi" w:cs="Arial"/>
        </w:rPr>
        <w:t xml:space="preserve"> weeks in advance</w:t>
      </w:r>
      <w:r w:rsidRPr="0068154E">
        <w:rPr>
          <w:rFonts w:asciiTheme="minorHAnsi" w:hAnsiTheme="minorHAnsi" w:cs="Arial"/>
        </w:rPr>
        <w:t xml:space="preserve"> informing </w:t>
      </w:r>
      <w:r w:rsidR="0068154E">
        <w:rPr>
          <w:rFonts w:asciiTheme="minorHAnsi" w:hAnsiTheme="minorHAnsi" w:cs="Arial"/>
        </w:rPr>
        <w:t xml:space="preserve">them of the planned assessment and </w:t>
      </w:r>
      <w:r w:rsidR="000A44EC">
        <w:rPr>
          <w:rFonts w:asciiTheme="minorHAnsi" w:hAnsiTheme="minorHAnsi" w:cs="Arial"/>
        </w:rPr>
        <w:t xml:space="preserve">a Doodle Poll link to assess </w:t>
      </w:r>
      <w:r w:rsidR="003A58AC">
        <w:rPr>
          <w:rFonts w:asciiTheme="minorHAnsi" w:hAnsiTheme="minorHAnsi" w:cs="Arial"/>
        </w:rPr>
        <w:t xml:space="preserve">their </w:t>
      </w:r>
      <w:r w:rsidR="000A44EC">
        <w:rPr>
          <w:rFonts w:asciiTheme="minorHAnsi" w:hAnsiTheme="minorHAnsi" w:cs="Arial"/>
        </w:rPr>
        <w:t>availability</w:t>
      </w:r>
      <w:r w:rsidR="0068154E">
        <w:rPr>
          <w:rFonts w:asciiTheme="minorHAnsi" w:hAnsiTheme="minorHAnsi" w:cs="Arial"/>
        </w:rPr>
        <w:t xml:space="preserve">. A second email notification </w:t>
      </w:r>
      <w:r w:rsidR="0068154E" w:rsidRPr="0068154E">
        <w:rPr>
          <w:rFonts w:asciiTheme="minorHAnsi" w:hAnsiTheme="minorHAnsi" w:cs="Arial"/>
        </w:rPr>
        <w:t>(</w:t>
      </w:r>
      <w:r w:rsidR="0034409A" w:rsidRPr="0034409A">
        <w:rPr>
          <w:rFonts w:asciiTheme="minorHAnsi" w:hAnsiTheme="minorHAnsi" w:cs="Arial"/>
          <w:b/>
        </w:rPr>
        <w:t>Attachment</w:t>
      </w:r>
      <w:r w:rsidR="0034409A" w:rsidRPr="009F7301">
        <w:rPr>
          <w:rFonts w:asciiTheme="minorHAnsi" w:hAnsiTheme="minorHAnsi" w:cs="Arial"/>
          <w:b/>
        </w:rPr>
        <w:t xml:space="preserve"> </w:t>
      </w:r>
      <w:r w:rsidR="001B3C56">
        <w:rPr>
          <w:rFonts w:asciiTheme="minorHAnsi" w:hAnsiTheme="minorHAnsi" w:cs="Arial"/>
          <w:b/>
        </w:rPr>
        <w:t>K</w:t>
      </w:r>
      <w:r w:rsidR="0034409A">
        <w:rPr>
          <w:rFonts w:asciiTheme="minorHAnsi" w:hAnsiTheme="minorHAnsi" w:cs="Arial"/>
          <w:b/>
        </w:rPr>
        <w:t xml:space="preserve"> - </w:t>
      </w:r>
      <w:r w:rsidR="000A44EC">
        <w:rPr>
          <w:rFonts w:asciiTheme="minorHAnsi" w:hAnsiTheme="minorHAnsi" w:cs="Arial"/>
          <w:b/>
        </w:rPr>
        <w:t>Confirmation</w:t>
      </w:r>
      <w:r w:rsidR="00BB371D" w:rsidRPr="00BB371D">
        <w:rPr>
          <w:rFonts w:asciiTheme="minorHAnsi" w:hAnsiTheme="minorHAnsi" w:cs="Arial"/>
          <w:b/>
        </w:rPr>
        <w:t xml:space="preserve"> Email </w:t>
      </w:r>
      <w:r w:rsidR="003A58AC">
        <w:rPr>
          <w:rFonts w:asciiTheme="minorHAnsi" w:hAnsiTheme="minorHAnsi" w:cs="Arial"/>
          <w:b/>
        </w:rPr>
        <w:t xml:space="preserve">- </w:t>
      </w:r>
      <w:r w:rsidR="00BB371D" w:rsidRPr="00BB371D">
        <w:rPr>
          <w:rFonts w:asciiTheme="minorHAnsi" w:hAnsiTheme="minorHAnsi" w:cs="Arial"/>
          <w:b/>
        </w:rPr>
        <w:t>Interview</w:t>
      </w:r>
      <w:r w:rsidR="003A58AC">
        <w:rPr>
          <w:rFonts w:asciiTheme="minorHAnsi" w:hAnsiTheme="minorHAnsi" w:cs="Arial"/>
          <w:b/>
        </w:rPr>
        <w:t xml:space="preserve">) </w:t>
      </w:r>
      <w:r w:rsidR="0068154E">
        <w:rPr>
          <w:rFonts w:asciiTheme="minorHAnsi" w:hAnsiTheme="minorHAnsi" w:cs="Arial"/>
        </w:rPr>
        <w:lastRenderedPageBreak/>
        <w:t xml:space="preserve">will be sent </w:t>
      </w:r>
      <w:r w:rsidR="00EE1035">
        <w:rPr>
          <w:rFonts w:asciiTheme="minorHAnsi" w:hAnsiTheme="minorHAnsi" w:cs="Arial"/>
        </w:rPr>
        <w:t>2</w:t>
      </w:r>
      <w:r w:rsidR="0068154E">
        <w:rPr>
          <w:rFonts w:asciiTheme="minorHAnsi" w:hAnsiTheme="minorHAnsi" w:cs="Arial"/>
        </w:rPr>
        <w:t xml:space="preserve"> weeks ahead of data collection that </w:t>
      </w:r>
      <w:r w:rsidR="0068154E" w:rsidRPr="0068154E">
        <w:rPr>
          <w:rFonts w:asciiTheme="minorHAnsi" w:hAnsiTheme="minorHAnsi" w:cs="Arial"/>
        </w:rPr>
        <w:t xml:space="preserve">will </w:t>
      </w:r>
      <w:r w:rsidR="0068154E">
        <w:rPr>
          <w:rFonts w:asciiTheme="minorHAnsi" w:hAnsiTheme="minorHAnsi" w:cs="Arial"/>
        </w:rPr>
        <w:t xml:space="preserve">provide the respondents with a list of questions, </w:t>
      </w:r>
      <w:r w:rsidR="0068154E" w:rsidRPr="0068154E">
        <w:rPr>
          <w:rFonts w:asciiTheme="minorHAnsi" w:hAnsiTheme="minorHAnsi" w:cs="Arial"/>
        </w:rPr>
        <w:t xml:space="preserve">inform respondents of the potential data sources </w:t>
      </w:r>
      <w:r w:rsidR="0068154E">
        <w:rPr>
          <w:rFonts w:asciiTheme="minorHAnsi" w:hAnsiTheme="minorHAnsi" w:cs="Arial"/>
        </w:rPr>
        <w:t>they</w:t>
      </w:r>
      <w:r w:rsidR="0068154E" w:rsidRPr="0068154E">
        <w:rPr>
          <w:rFonts w:asciiTheme="minorHAnsi" w:hAnsiTheme="minorHAnsi" w:cs="Arial"/>
        </w:rPr>
        <w:t xml:space="preserve"> </w:t>
      </w:r>
      <w:r w:rsidR="0068154E">
        <w:rPr>
          <w:rFonts w:asciiTheme="minorHAnsi" w:hAnsiTheme="minorHAnsi" w:cs="Arial"/>
        </w:rPr>
        <w:t>may need to complete the assessment, and confirm the date for the interview</w:t>
      </w:r>
      <w:r w:rsidRPr="0068154E">
        <w:rPr>
          <w:rFonts w:asciiTheme="minorHAnsi" w:hAnsiTheme="minorHAnsi" w:cs="Arial"/>
        </w:rPr>
        <w:t xml:space="preserve"> data collection</w:t>
      </w:r>
      <w:r w:rsidR="009379D1">
        <w:rPr>
          <w:rFonts w:asciiTheme="minorHAnsi" w:hAnsiTheme="minorHAnsi" w:cs="Arial"/>
        </w:rPr>
        <w:t>.</w:t>
      </w:r>
      <w:r w:rsidR="0068154E">
        <w:rPr>
          <w:rFonts w:asciiTheme="minorHAnsi" w:hAnsiTheme="minorHAnsi" w:cs="Arial"/>
        </w:rPr>
        <w:t xml:space="preserve"> </w:t>
      </w:r>
    </w:p>
    <w:p w14:paraId="705C2CAD" w14:textId="77777777" w:rsidR="007B0932" w:rsidRPr="0068154E" w:rsidRDefault="007B0932" w:rsidP="0068154E">
      <w:pPr>
        <w:ind w:left="360"/>
        <w:rPr>
          <w:rFonts w:asciiTheme="minorHAnsi" w:hAnsiTheme="minorHAnsi"/>
        </w:rPr>
      </w:pPr>
    </w:p>
    <w:p w14:paraId="579A70B6" w14:textId="51667550" w:rsidR="00F126AF" w:rsidRPr="0068154E" w:rsidRDefault="00287E2F" w:rsidP="0068154E">
      <w:pPr>
        <w:pStyle w:val="Heading4"/>
        <w:ind w:left="360"/>
        <w:rPr>
          <w:rFonts w:asciiTheme="minorHAnsi" w:hAnsiTheme="minorHAnsi"/>
        </w:rPr>
      </w:pPr>
      <w:r w:rsidRPr="0068154E">
        <w:rPr>
          <w:rFonts w:asciiTheme="minorHAnsi" w:hAnsiTheme="minorHAnsi"/>
        </w:rPr>
        <w:t>Methods to Maximize Response Rates</w:t>
      </w:r>
      <w:r w:rsidR="00F725B5" w:rsidRPr="0068154E">
        <w:rPr>
          <w:rFonts w:asciiTheme="minorHAnsi" w:hAnsiTheme="minorHAnsi"/>
        </w:rPr>
        <w:t xml:space="preserve"> </w:t>
      </w:r>
      <w:r w:rsidR="007741F4" w:rsidRPr="0068154E">
        <w:rPr>
          <w:rFonts w:asciiTheme="minorHAnsi" w:hAnsiTheme="minorHAnsi"/>
        </w:rPr>
        <w:t>and</w:t>
      </w:r>
      <w:r w:rsidRPr="0068154E">
        <w:rPr>
          <w:rFonts w:asciiTheme="minorHAnsi" w:hAnsiTheme="minorHAnsi"/>
        </w:rPr>
        <w:t xml:space="preserve"> </w:t>
      </w:r>
      <w:r w:rsidR="009759F3" w:rsidRPr="0068154E">
        <w:rPr>
          <w:rFonts w:asciiTheme="minorHAnsi" w:hAnsiTheme="minorHAnsi"/>
        </w:rPr>
        <w:t>Deal with Nonresponse</w:t>
      </w:r>
    </w:p>
    <w:p w14:paraId="4B61CF64" w14:textId="23E4CDBB" w:rsidR="00F126AF" w:rsidRPr="0068154E" w:rsidRDefault="00E0719F" w:rsidP="0068154E">
      <w:pPr>
        <w:tabs>
          <w:tab w:val="left" w:pos="3525"/>
        </w:tabs>
        <w:ind w:left="0"/>
        <w:rPr>
          <w:rFonts w:asciiTheme="minorHAnsi" w:hAnsiTheme="minorHAnsi"/>
          <w:sz w:val="24"/>
          <w:szCs w:val="24"/>
        </w:rPr>
      </w:pPr>
      <w:r w:rsidRPr="0068154E">
        <w:rPr>
          <w:rFonts w:asciiTheme="minorHAnsi" w:hAnsiTheme="minorHAnsi"/>
          <w:sz w:val="24"/>
          <w:szCs w:val="24"/>
        </w:rPr>
        <w:tab/>
      </w:r>
    </w:p>
    <w:p w14:paraId="7BFB94C5" w14:textId="57FF7AD2" w:rsidR="0041115F" w:rsidRPr="0068154E" w:rsidRDefault="0034409A" w:rsidP="0068154E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introductory email and an advance notification email will be sent </w:t>
      </w:r>
      <w:r w:rsidR="00EE1035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and </w:t>
      </w:r>
      <w:r w:rsidR="00EE1035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weeks prior to data collection to provide respondents adequate time </w:t>
      </w:r>
      <w:r w:rsidR="00AF7427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>prepare and reserve time to participate. T</w:t>
      </w:r>
      <w:r w:rsidR="00F126AF" w:rsidRPr="0068154E">
        <w:rPr>
          <w:rFonts w:asciiTheme="minorHAnsi" w:hAnsiTheme="minorHAnsi"/>
        </w:rPr>
        <w:t>o reduce burden on the respondents</w:t>
      </w:r>
      <w:r w:rsidR="00772643" w:rsidRPr="0068154E">
        <w:rPr>
          <w:rFonts w:asciiTheme="minorHAnsi" w:hAnsiTheme="minorHAnsi"/>
        </w:rPr>
        <w:t xml:space="preserve">, </w:t>
      </w:r>
      <w:r w:rsidR="00F126AF" w:rsidRPr="0068154E">
        <w:rPr>
          <w:rFonts w:asciiTheme="minorHAnsi" w:hAnsiTheme="minorHAnsi"/>
        </w:rPr>
        <w:t xml:space="preserve">CDC will review which IIS have responded to the online </w:t>
      </w:r>
      <w:r w:rsidR="00455CC2" w:rsidRPr="0068154E">
        <w:rPr>
          <w:rFonts w:asciiTheme="minorHAnsi" w:hAnsiTheme="minorHAnsi"/>
        </w:rPr>
        <w:t>instrument</w:t>
      </w:r>
      <w:r w:rsidR="00F126AF" w:rsidRPr="0068154E">
        <w:rPr>
          <w:rFonts w:asciiTheme="minorHAnsi" w:hAnsiTheme="minorHAnsi"/>
        </w:rPr>
        <w:t xml:space="preserve">, and </w:t>
      </w:r>
      <w:r>
        <w:rPr>
          <w:rFonts w:asciiTheme="minorHAnsi" w:hAnsiTheme="minorHAnsi"/>
        </w:rPr>
        <w:t xml:space="preserve">send </w:t>
      </w:r>
      <w:r w:rsidR="00F126AF" w:rsidRPr="0068154E">
        <w:rPr>
          <w:rFonts w:asciiTheme="minorHAnsi" w:hAnsiTheme="minorHAnsi"/>
        </w:rPr>
        <w:t xml:space="preserve">a reminder e-mail only to those who have not yet completed the </w:t>
      </w:r>
      <w:r>
        <w:rPr>
          <w:rFonts w:asciiTheme="minorHAnsi" w:hAnsiTheme="minorHAnsi"/>
        </w:rPr>
        <w:t>online data collection halfway through the collection period</w:t>
      </w:r>
      <w:r w:rsidR="00F126AF" w:rsidRPr="0068154E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A</w:t>
      </w:r>
      <w:r w:rsidR="00CC0AAB">
        <w:rPr>
          <w:rFonts w:asciiTheme="minorHAnsi" w:hAnsiTheme="minorHAnsi"/>
        </w:rPr>
        <w:t xml:space="preserve"> reminder</w:t>
      </w:r>
      <w:r>
        <w:rPr>
          <w:rFonts w:asciiTheme="minorHAnsi" w:hAnsiTheme="minorHAnsi"/>
        </w:rPr>
        <w:t xml:space="preserve"> email will be sent to IIS </w:t>
      </w:r>
      <w:r w:rsidR="000E1690">
        <w:rPr>
          <w:rFonts w:asciiTheme="minorHAnsi" w:hAnsiTheme="minorHAnsi"/>
        </w:rPr>
        <w:t xml:space="preserve">program </w:t>
      </w:r>
      <w:r>
        <w:rPr>
          <w:rFonts w:asciiTheme="minorHAnsi" w:hAnsiTheme="minorHAnsi"/>
        </w:rPr>
        <w:t>managers who have not responded to maximize response rate</w:t>
      </w:r>
      <w:r w:rsidRPr="0068154E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(Attachment </w:t>
      </w:r>
      <w:r w:rsidR="001B3C56">
        <w:rPr>
          <w:rFonts w:asciiTheme="minorHAnsi" w:hAnsiTheme="minorHAnsi"/>
          <w:b/>
        </w:rPr>
        <w:t>L</w:t>
      </w:r>
      <w:r w:rsidRPr="0068154E">
        <w:rPr>
          <w:rFonts w:asciiTheme="minorHAnsi" w:hAnsiTheme="minorHAnsi"/>
          <w:b/>
        </w:rPr>
        <w:t>)</w:t>
      </w:r>
      <w:r w:rsidRPr="0068154E">
        <w:rPr>
          <w:rFonts w:asciiTheme="minorHAnsi" w:hAnsiTheme="minorHAnsi"/>
        </w:rPr>
        <w:t xml:space="preserve">. </w:t>
      </w:r>
      <w:r w:rsidR="0041115F" w:rsidRPr="0068154E">
        <w:rPr>
          <w:rFonts w:asciiTheme="minorHAnsi" w:hAnsiTheme="minorHAnsi"/>
        </w:rPr>
        <w:t>On</w:t>
      </w:r>
      <w:r>
        <w:rPr>
          <w:rFonts w:asciiTheme="minorHAnsi" w:hAnsiTheme="minorHAnsi"/>
        </w:rPr>
        <w:t>ly one</w:t>
      </w:r>
      <w:r w:rsidR="0041115F" w:rsidRPr="0068154E">
        <w:rPr>
          <w:rFonts w:asciiTheme="minorHAnsi" w:hAnsiTheme="minorHAnsi"/>
        </w:rPr>
        <w:t xml:space="preserve"> e-mail reminder will be sent to each non-responder.</w:t>
      </w:r>
    </w:p>
    <w:p w14:paraId="7D875202" w14:textId="77777777" w:rsidR="0041115F" w:rsidRPr="0068154E" w:rsidRDefault="0041115F" w:rsidP="0068154E">
      <w:pPr>
        <w:ind w:left="0"/>
        <w:rPr>
          <w:rFonts w:asciiTheme="minorHAnsi" w:hAnsiTheme="minorHAnsi"/>
        </w:rPr>
      </w:pPr>
    </w:p>
    <w:p w14:paraId="0BC34979" w14:textId="2B7B7129" w:rsidR="0041115F" w:rsidRPr="0068154E" w:rsidRDefault="00C66BF2" w:rsidP="0068154E">
      <w:pPr>
        <w:ind w:left="0"/>
        <w:rPr>
          <w:rFonts w:asciiTheme="minorHAnsi" w:hAnsiTheme="minorHAnsi"/>
        </w:rPr>
      </w:pPr>
      <w:r w:rsidRPr="0068154E">
        <w:rPr>
          <w:rFonts w:asciiTheme="minorHAnsi" w:hAnsiTheme="minorHAnsi"/>
        </w:rPr>
        <w:t>Staff</w:t>
      </w:r>
      <w:r w:rsidR="007741F4" w:rsidRPr="0068154E">
        <w:rPr>
          <w:rFonts w:asciiTheme="minorHAnsi" w:hAnsiTheme="minorHAnsi"/>
        </w:rPr>
        <w:t xml:space="preserve"> </w:t>
      </w:r>
      <w:r w:rsidR="00F126AF" w:rsidRPr="0068154E">
        <w:rPr>
          <w:rFonts w:asciiTheme="minorHAnsi" w:hAnsiTheme="minorHAnsi"/>
        </w:rPr>
        <w:t xml:space="preserve">will review which IIS have responded </w:t>
      </w:r>
      <w:r w:rsidR="00503D02">
        <w:rPr>
          <w:rFonts w:asciiTheme="minorHAnsi" w:hAnsiTheme="minorHAnsi"/>
        </w:rPr>
        <w:t>to the Doodle Poll with selected dates that are convenient to be interviewed.</w:t>
      </w:r>
      <w:r w:rsidR="0041115F" w:rsidRPr="0068154E">
        <w:rPr>
          <w:rFonts w:asciiTheme="minorHAnsi" w:hAnsiTheme="minorHAnsi"/>
        </w:rPr>
        <w:t xml:space="preserve">  For non-responsive respondents, the team will call the listed IIS</w:t>
      </w:r>
      <w:r w:rsidR="000E1690">
        <w:rPr>
          <w:rFonts w:asciiTheme="minorHAnsi" w:hAnsiTheme="minorHAnsi"/>
        </w:rPr>
        <w:t xml:space="preserve"> program</w:t>
      </w:r>
      <w:r w:rsidR="0041115F" w:rsidRPr="0068154E">
        <w:rPr>
          <w:rFonts w:asciiTheme="minorHAnsi" w:hAnsiTheme="minorHAnsi"/>
        </w:rPr>
        <w:t xml:space="preserve"> manager to inquire further about the respondent</w:t>
      </w:r>
      <w:r w:rsidR="0034409A">
        <w:rPr>
          <w:rFonts w:asciiTheme="minorHAnsi" w:hAnsiTheme="minorHAnsi"/>
        </w:rPr>
        <w:t xml:space="preserve">s’ willingness to participate. </w:t>
      </w:r>
      <w:r w:rsidR="00772643" w:rsidRPr="0068154E">
        <w:rPr>
          <w:rFonts w:asciiTheme="minorHAnsi" w:hAnsiTheme="minorHAnsi"/>
        </w:rPr>
        <w:t>CDC</w:t>
      </w:r>
      <w:r w:rsidR="008D4684" w:rsidRPr="0068154E">
        <w:rPr>
          <w:rFonts w:asciiTheme="minorHAnsi" w:hAnsiTheme="minorHAnsi"/>
        </w:rPr>
        <w:t xml:space="preserve"> </w:t>
      </w:r>
      <w:r w:rsidR="0041115F" w:rsidRPr="0068154E">
        <w:rPr>
          <w:rFonts w:asciiTheme="minorHAnsi" w:hAnsiTheme="minorHAnsi"/>
        </w:rPr>
        <w:t>will then</w:t>
      </w:r>
      <w:r w:rsidR="00F126AF" w:rsidRPr="0068154E">
        <w:rPr>
          <w:rFonts w:asciiTheme="minorHAnsi" w:hAnsiTheme="minorHAnsi"/>
        </w:rPr>
        <w:t xml:space="preserve"> </w:t>
      </w:r>
      <w:r w:rsidR="0041115F" w:rsidRPr="0068154E">
        <w:rPr>
          <w:rFonts w:asciiTheme="minorHAnsi" w:hAnsiTheme="minorHAnsi"/>
        </w:rPr>
        <w:t xml:space="preserve">send a </w:t>
      </w:r>
      <w:r w:rsidR="00F126AF" w:rsidRPr="0068154E">
        <w:rPr>
          <w:rFonts w:asciiTheme="minorHAnsi" w:hAnsiTheme="minorHAnsi"/>
        </w:rPr>
        <w:t xml:space="preserve">follow up </w:t>
      </w:r>
      <w:r w:rsidR="00F96483" w:rsidRPr="0068154E">
        <w:rPr>
          <w:rFonts w:asciiTheme="minorHAnsi" w:hAnsiTheme="minorHAnsi"/>
        </w:rPr>
        <w:t>email,</w:t>
      </w:r>
      <w:r w:rsidR="0041115F" w:rsidRPr="0068154E">
        <w:rPr>
          <w:rFonts w:asciiTheme="minorHAnsi" w:hAnsiTheme="minorHAnsi"/>
        </w:rPr>
        <w:t xml:space="preserve"> with </w:t>
      </w:r>
      <w:r w:rsidR="00503D02">
        <w:rPr>
          <w:rFonts w:asciiTheme="minorHAnsi" w:hAnsiTheme="minorHAnsi"/>
        </w:rPr>
        <w:t xml:space="preserve">the </w:t>
      </w:r>
      <w:r w:rsidR="0041115F" w:rsidRPr="0068154E">
        <w:rPr>
          <w:rFonts w:asciiTheme="minorHAnsi" w:hAnsiTheme="minorHAnsi"/>
        </w:rPr>
        <w:t>interview date</w:t>
      </w:r>
      <w:r w:rsidR="00F96483" w:rsidRPr="0068154E">
        <w:rPr>
          <w:rFonts w:asciiTheme="minorHAnsi" w:hAnsiTheme="minorHAnsi"/>
        </w:rPr>
        <w:t>, to</w:t>
      </w:r>
      <w:r w:rsidR="0041115F" w:rsidRPr="0068154E">
        <w:rPr>
          <w:rFonts w:asciiTheme="minorHAnsi" w:hAnsiTheme="minorHAnsi"/>
        </w:rPr>
        <w:t xml:space="preserve"> those who choose to participate</w:t>
      </w:r>
      <w:r w:rsidR="0034409A">
        <w:rPr>
          <w:rFonts w:asciiTheme="minorHAnsi" w:hAnsiTheme="minorHAnsi"/>
        </w:rPr>
        <w:t xml:space="preserve"> </w:t>
      </w:r>
      <w:r w:rsidR="0034409A" w:rsidRPr="00BB371D">
        <w:rPr>
          <w:rFonts w:asciiTheme="minorHAnsi" w:hAnsiTheme="minorHAnsi"/>
          <w:b/>
        </w:rPr>
        <w:t xml:space="preserve">(Attachment </w:t>
      </w:r>
      <w:r w:rsidR="001B3C56">
        <w:rPr>
          <w:rFonts w:asciiTheme="minorHAnsi" w:hAnsiTheme="minorHAnsi"/>
          <w:b/>
        </w:rPr>
        <w:t>K</w:t>
      </w:r>
      <w:r w:rsidR="0034409A" w:rsidRPr="00BB371D">
        <w:rPr>
          <w:rFonts w:asciiTheme="minorHAnsi" w:hAnsiTheme="minorHAnsi"/>
          <w:b/>
        </w:rPr>
        <w:t>)</w:t>
      </w:r>
      <w:r w:rsidR="0041115F" w:rsidRPr="00BB371D">
        <w:rPr>
          <w:rFonts w:asciiTheme="minorHAnsi" w:hAnsiTheme="minorHAnsi"/>
          <w:b/>
        </w:rPr>
        <w:t>.</w:t>
      </w:r>
    </w:p>
    <w:p w14:paraId="68451036" w14:textId="77777777" w:rsidR="00BC6896" w:rsidRPr="0068154E" w:rsidRDefault="00BC6896" w:rsidP="0068154E">
      <w:pPr>
        <w:ind w:left="0"/>
        <w:rPr>
          <w:rFonts w:asciiTheme="minorHAnsi" w:hAnsiTheme="minorHAnsi"/>
        </w:rPr>
      </w:pPr>
    </w:p>
    <w:p w14:paraId="5B43F7C0" w14:textId="731DD07E" w:rsidR="00F126AF" w:rsidRPr="0068154E" w:rsidRDefault="00287E2F" w:rsidP="0068154E">
      <w:pPr>
        <w:pStyle w:val="Heading4"/>
        <w:ind w:left="360"/>
        <w:rPr>
          <w:rFonts w:asciiTheme="minorHAnsi" w:hAnsiTheme="minorHAnsi"/>
        </w:rPr>
      </w:pPr>
      <w:r w:rsidRPr="0068154E">
        <w:rPr>
          <w:rFonts w:asciiTheme="minorHAnsi" w:hAnsiTheme="minorHAnsi"/>
        </w:rPr>
        <w:t xml:space="preserve">Test of </w:t>
      </w:r>
      <w:r w:rsidRPr="0068154E">
        <w:t>Procedures</w:t>
      </w:r>
      <w:r w:rsidRPr="0068154E">
        <w:rPr>
          <w:rFonts w:asciiTheme="minorHAnsi" w:hAnsiTheme="minorHAnsi"/>
        </w:rPr>
        <w:t xml:space="preserve"> </w:t>
      </w:r>
      <w:r w:rsidR="009759F3" w:rsidRPr="0068154E">
        <w:rPr>
          <w:rFonts w:asciiTheme="minorHAnsi" w:hAnsiTheme="minorHAnsi"/>
        </w:rPr>
        <w:t xml:space="preserve">or Methods to be </w:t>
      </w:r>
      <w:proofErr w:type="gramStart"/>
      <w:r w:rsidR="003F0F85">
        <w:rPr>
          <w:rFonts w:asciiTheme="minorHAnsi" w:hAnsiTheme="minorHAnsi"/>
        </w:rPr>
        <w:t>U</w:t>
      </w:r>
      <w:r w:rsidR="003F0F85" w:rsidRPr="0068154E">
        <w:rPr>
          <w:rFonts w:asciiTheme="minorHAnsi" w:hAnsiTheme="minorHAnsi"/>
        </w:rPr>
        <w:t>ndertaken</w:t>
      </w:r>
      <w:proofErr w:type="gramEnd"/>
    </w:p>
    <w:p w14:paraId="44EA8C28" w14:textId="36F6EA11" w:rsidR="000115CA" w:rsidRDefault="00F126AF" w:rsidP="0068154E">
      <w:pPr>
        <w:autoSpaceDE w:val="0"/>
        <w:autoSpaceDN w:val="0"/>
        <w:adjustRightInd w:val="0"/>
        <w:ind w:left="0"/>
        <w:rPr>
          <w:rFonts w:asciiTheme="minorHAnsi" w:hAnsiTheme="minorHAnsi"/>
        </w:rPr>
      </w:pPr>
      <w:r w:rsidRPr="0068154E">
        <w:rPr>
          <w:rFonts w:asciiTheme="minorHAnsi" w:hAnsiTheme="minorHAnsi"/>
          <w:color w:val="000000"/>
        </w:rPr>
        <w:t xml:space="preserve">A pilot test of the </w:t>
      </w:r>
      <w:r w:rsidR="000115CA" w:rsidRPr="0068154E">
        <w:rPr>
          <w:rFonts w:asciiTheme="minorHAnsi" w:hAnsiTheme="minorHAnsi"/>
          <w:color w:val="000000"/>
        </w:rPr>
        <w:t>online data collection instrument</w:t>
      </w:r>
      <w:r w:rsidRPr="0068154E">
        <w:rPr>
          <w:rFonts w:asciiTheme="minorHAnsi" w:hAnsiTheme="minorHAnsi"/>
          <w:color w:val="000000"/>
        </w:rPr>
        <w:t xml:space="preserve"> was performed with </w:t>
      </w:r>
      <w:r w:rsidR="00DF6320">
        <w:rPr>
          <w:rFonts w:asciiTheme="minorHAnsi" w:hAnsiTheme="minorHAnsi"/>
        </w:rPr>
        <w:t>9</w:t>
      </w:r>
      <w:r w:rsidR="000115CA" w:rsidRPr="0068154E">
        <w:rPr>
          <w:rFonts w:asciiTheme="minorHAnsi" w:hAnsiTheme="minorHAnsi"/>
        </w:rPr>
        <w:t xml:space="preserve"> of the 64 IIS </w:t>
      </w:r>
      <w:r w:rsidR="000E1690">
        <w:rPr>
          <w:rFonts w:asciiTheme="minorHAnsi" w:hAnsiTheme="minorHAnsi"/>
        </w:rPr>
        <w:t xml:space="preserve">program </w:t>
      </w:r>
      <w:r w:rsidR="000115CA" w:rsidRPr="0068154E">
        <w:rPr>
          <w:rFonts w:asciiTheme="minorHAnsi" w:hAnsiTheme="minorHAnsi"/>
        </w:rPr>
        <w:t>managers</w:t>
      </w:r>
      <w:r w:rsidRPr="0068154E">
        <w:rPr>
          <w:rFonts w:asciiTheme="minorHAnsi" w:hAnsiTheme="minorHAnsi"/>
        </w:rPr>
        <w:t>. In the pilot test, the average time to complete the</w:t>
      </w:r>
      <w:r w:rsidRPr="0068154E">
        <w:rPr>
          <w:rFonts w:asciiTheme="minorHAnsi" w:hAnsiTheme="minorHAnsi"/>
          <w:color w:val="000000"/>
        </w:rPr>
        <w:t xml:space="preserve"> assessment</w:t>
      </w:r>
      <w:r w:rsidRPr="0068154E">
        <w:rPr>
          <w:rFonts w:asciiTheme="minorHAnsi" w:hAnsiTheme="minorHAnsi"/>
        </w:rPr>
        <w:t xml:space="preserve">, including time for reviewing instructions, gathering needed information, and completing the </w:t>
      </w:r>
      <w:r w:rsidR="000F716A" w:rsidRPr="0068154E">
        <w:rPr>
          <w:rFonts w:asciiTheme="minorHAnsi" w:hAnsiTheme="minorHAnsi"/>
        </w:rPr>
        <w:t xml:space="preserve">online </w:t>
      </w:r>
      <w:r w:rsidRPr="0068154E">
        <w:rPr>
          <w:rFonts w:asciiTheme="minorHAnsi" w:hAnsiTheme="minorHAnsi"/>
          <w:color w:val="000000"/>
        </w:rPr>
        <w:t>assessment</w:t>
      </w:r>
      <w:r w:rsidRPr="0068154E">
        <w:rPr>
          <w:rFonts w:asciiTheme="minorHAnsi" w:hAnsiTheme="minorHAnsi"/>
        </w:rPr>
        <w:t xml:space="preserve">, was approximately </w:t>
      </w:r>
      <w:r w:rsidR="009A3CCA" w:rsidRPr="0068154E">
        <w:rPr>
          <w:rFonts w:asciiTheme="minorHAnsi" w:hAnsiTheme="minorHAnsi"/>
        </w:rPr>
        <w:t>45</w:t>
      </w:r>
      <w:r w:rsidRPr="0068154E">
        <w:rPr>
          <w:rFonts w:asciiTheme="minorHAnsi" w:hAnsiTheme="minorHAnsi"/>
        </w:rPr>
        <w:t xml:space="preserve"> minutes.</w:t>
      </w:r>
      <w:r w:rsidR="00F96483" w:rsidRPr="0068154E">
        <w:rPr>
          <w:rFonts w:asciiTheme="minorHAnsi" w:hAnsiTheme="minorHAnsi"/>
        </w:rPr>
        <w:t xml:space="preserve"> </w:t>
      </w:r>
      <w:r w:rsidR="003F0F85" w:rsidRPr="003F0F85">
        <w:rPr>
          <w:rFonts w:asciiTheme="minorHAnsi" w:hAnsiTheme="minorHAnsi"/>
        </w:rPr>
        <w:t xml:space="preserve">For the purposes of estimating burden hours, we have calculated </w:t>
      </w:r>
      <w:r w:rsidR="00DF4355">
        <w:rPr>
          <w:rFonts w:asciiTheme="minorHAnsi" w:hAnsiTheme="minorHAnsi"/>
        </w:rPr>
        <w:t>45 minutes (i.e., 30</w:t>
      </w:r>
      <w:r w:rsidR="003F0F85" w:rsidRPr="003F0F85">
        <w:rPr>
          <w:rFonts w:asciiTheme="minorHAnsi" w:hAnsiTheme="minorHAnsi"/>
        </w:rPr>
        <w:t xml:space="preserve"> minutes of survey execution time plus 15 minutes of preparation time).</w:t>
      </w:r>
    </w:p>
    <w:p w14:paraId="1339E649" w14:textId="77777777" w:rsidR="003F0F85" w:rsidRPr="0068154E" w:rsidRDefault="003F0F85" w:rsidP="0068154E">
      <w:pPr>
        <w:autoSpaceDE w:val="0"/>
        <w:autoSpaceDN w:val="0"/>
        <w:adjustRightInd w:val="0"/>
        <w:ind w:left="0"/>
        <w:rPr>
          <w:rFonts w:asciiTheme="minorHAnsi" w:hAnsiTheme="minorHAnsi"/>
        </w:rPr>
      </w:pPr>
    </w:p>
    <w:p w14:paraId="0440AFDB" w14:textId="044B9955" w:rsidR="000661D0" w:rsidRDefault="000115CA" w:rsidP="00B55AE5">
      <w:pPr>
        <w:autoSpaceDE w:val="0"/>
        <w:autoSpaceDN w:val="0"/>
        <w:adjustRightInd w:val="0"/>
        <w:ind w:left="0"/>
        <w:rPr>
          <w:rFonts w:asciiTheme="minorHAnsi" w:hAnsiTheme="minorHAnsi"/>
        </w:rPr>
      </w:pPr>
      <w:r w:rsidRPr="0068154E">
        <w:rPr>
          <w:rFonts w:asciiTheme="minorHAnsi" w:hAnsiTheme="minorHAnsi"/>
          <w:color w:val="000000"/>
        </w:rPr>
        <w:t xml:space="preserve">A pilot test of the interview data collection instrument was performed with </w:t>
      </w:r>
      <w:r w:rsidR="00DF6320">
        <w:rPr>
          <w:rFonts w:asciiTheme="minorHAnsi" w:hAnsiTheme="minorHAnsi"/>
        </w:rPr>
        <w:t>9</w:t>
      </w:r>
      <w:r w:rsidRPr="0068154E">
        <w:rPr>
          <w:rFonts w:asciiTheme="minorHAnsi" w:hAnsiTheme="minorHAnsi"/>
        </w:rPr>
        <w:t xml:space="preserve"> of the 64 IIS </w:t>
      </w:r>
      <w:r w:rsidR="000E1690">
        <w:rPr>
          <w:rFonts w:asciiTheme="minorHAnsi" w:hAnsiTheme="minorHAnsi"/>
        </w:rPr>
        <w:t xml:space="preserve">program </w:t>
      </w:r>
      <w:r w:rsidRPr="0068154E">
        <w:rPr>
          <w:rFonts w:asciiTheme="minorHAnsi" w:hAnsiTheme="minorHAnsi"/>
        </w:rPr>
        <w:t xml:space="preserve">managers.  Based on these results, the estimated time range for actual respondents to complete the interview process is </w:t>
      </w:r>
      <w:r w:rsidR="00E0719F" w:rsidRPr="0068154E">
        <w:rPr>
          <w:rFonts w:asciiTheme="minorHAnsi" w:hAnsiTheme="minorHAnsi"/>
        </w:rPr>
        <w:t>2</w:t>
      </w:r>
      <w:r w:rsidRPr="0068154E">
        <w:rPr>
          <w:rFonts w:asciiTheme="minorHAnsi" w:hAnsiTheme="minorHAnsi"/>
        </w:rPr>
        <w:t xml:space="preserve"> </w:t>
      </w:r>
      <w:r w:rsidR="00E0719F" w:rsidRPr="0068154E">
        <w:rPr>
          <w:rFonts w:asciiTheme="minorHAnsi" w:hAnsiTheme="minorHAnsi"/>
        </w:rPr>
        <w:t>hours, 1.5 hours for the interview and 30 minutes for preparation</w:t>
      </w:r>
      <w:r w:rsidRPr="0068154E">
        <w:rPr>
          <w:rFonts w:asciiTheme="minorHAnsi" w:hAnsiTheme="minorHAnsi"/>
        </w:rPr>
        <w:t xml:space="preserve">. The upper limit of this range (i.e., </w:t>
      </w:r>
      <w:r w:rsidR="00E0719F" w:rsidRPr="0068154E">
        <w:rPr>
          <w:rFonts w:asciiTheme="minorHAnsi" w:hAnsiTheme="minorHAnsi"/>
        </w:rPr>
        <w:t>2</w:t>
      </w:r>
      <w:r w:rsidRPr="0068154E">
        <w:rPr>
          <w:rFonts w:asciiTheme="minorHAnsi" w:hAnsiTheme="minorHAnsi"/>
        </w:rPr>
        <w:t xml:space="preserve"> </w:t>
      </w:r>
      <w:r w:rsidR="00E0719F" w:rsidRPr="0068154E">
        <w:rPr>
          <w:rFonts w:asciiTheme="minorHAnsi" w:hAnsiTheme="minorHAnsi"/>
        </w:rPr>
        <w:t>hours</w:t>
      </w:r>
      <w:r w:rsidRPr="0068154E">
        <w:rPr>
          <w:rFonts w:asciiTheme="minorHAnsi" w:hAnsiTheme="minorHAnsi"/>
        </w:rPr>
        <w:t>) is used for completion of the entire interview.</w:t>
      </w:r>
    </w:p>
    <w:p w14:paraId="1AD048D1" w14:textId="77777777" w:rsidR="000661D0" w:rsidRPr="0068154E" w:rsidRDefault="000661D0" w:rsidP="0068154E">
      <w:pPr>
        <w:ind w:left="0"/>
        <w:rPr>
          <w:rFonts w:asciiTheme="minorHAnsi" w:hAnsiTheme="minorHAnsi"/>
        </w:rPr>
      </w:pPr>
    </w:p>
    <w:p w14:paraId="79A432A1" w14:textId="77777777" w:rsidR="009759F3" w:rsidRPr="0068154E" w:rsidRDefault="009759F3" w:rsidP="0068154E">
      <w:pPr>
        <w:pStyle w:val="Heading4"/>
        <w:ind w:left="360"/>
        <w:rPr>
          <w:rFonts w:asciiTheme="minorHAnsi" w:hAnsiTheme="minorHAnsi"/>
        </w:rPr>
      </w:pPr>
      <w:r w:rsidRPr="0068154E">
        <w:t>Individuals</w:t>
      </w:r>
      <w:r w:rsidRPr="0068154E">
        <w:rPr>
          <w:rFonts w:asciiTheme="minorHAnsi" w:hAnsiTheme="minorHAnsi"/>
        </w:rPr>
        <w:t xml:space="preserve"> Consulted on Statistical Aspects and Individuals Collecting and/or Analyzing Data</w:t>
      </w:r>
    </w:p>
    <w:p w14:paraId="3F9E158C" w14:textId="5DCFFF3F" w:rsidR="000115CA" w:rsidRPr="009379D1" w:rsidRDefault="000115CA" w:rsidP="009379D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0"/>
        <w:rPr>
          <w:rFonts w:asciiTheme="minorHAnsi" w:eastAsia="Times New Roman" w:hAnsiTheme="minorHAnsi" w:cs="Arial"/>
        </w:rPr>
      </w:pPr>
      <w:r w:rsidRPr="0068154E">
        <w:rPr>
          <w:rFonts w:asciiTheme="minorHAnsi" w:eastAsia="Times New Roman" w:hAnsiTheme="minorHAnsi" w:cs="Arial"/>
        </w:rPr>
        <w:t>The following individual was consulted to provide advice about the design of these data collection activities:</w:t>
      </w:r>
    </w:p>
    <w:p w14:paraId="51216A56" w14:textId="77777777" w:rsidR="000F716A" w:rsidRPr="0068154E" w:rsidRDefault="000F716A" w:rsidP="0068154E">
      <w:pPr>
        <w:spacing w:line="240" w:lineRule="auto"/>
        <w:ind w:left="0"/>
        <w:rPr>
          <w:rFonts w:asciiTheme="minorHAnsi" w:eastAsia="Times New Roman" w:hAnsiTheme="minorHAnsi" w:cs="Arial"/>
          <w:b/>
          <w:noProof/>
          <w:color w:val="FF0000"/>
        </w:rPr>
      </w:pPr>
    </w:p>
    <w:p w14:paraId="09F95231" w14:textId="19F7407E" w:rsidR="000115CA" w:rsidRPr="0068154E" w:rsidRDefault="00E0719F" w:rsidP="0068154E">
      <w:pPr>
        <w:spacing w:line="240" w:lineRule="auto"/>
        <w:ind w:left="0" w:firstLine="360"/>
        <w:rPr>
          <w:rFonts w:asciiTheme="minorHAnsi" w:eastAsia="Times New Roman" w:hAnsiTheme="minorHAnsi" w:cs="Arial"/>
          <w:i/>
          <w:noProof/>
        </w:rPr>
      </w:pPr>
      <w:r w:rsidRPr="0068154E">
        <w:rPr>
          <w:rFonts w:asciiTheme="minorHAnsi" w:eastAsia="Times New Roman" w:hAnsiTheme="minorHAnsi" w:cs="Arial"/>
          <w:i/>
          <w:noProof/>
        </w:rPr>
        <w:t xml:space="preserve">Kafayat Adeniyi, MPH </w:t>
      </w:r>
    </w:p>
    <w:p w14:paraId="3CD2D953" w14:textId="4DCFD1A9" w:rsidR="000115CA" w:rsidRPr="0068154E" w:rsidRDefault="00E0719F" w:rsidP="0068154E">
      <w:pPr>
        <w:spacing w:line="240" w:lineRule="auto"/>
        <w:ind w:left="0" w:firstLine="360"/>
        <w:rPr>
          <w:rFonts w:asciiTheme="minorHAnsi" w:eastAsia="Times New Roman" w:hAnsiTheme="minorHAnsi" w:cs="Arial"/>
          <w:i/>
          <w:noProof/>
          <w:lang w:val="fr-FR"/>
        </w:rPr>
      </w:pPr>
      <w:r w:rsidRPr="0068154E">
        <w:rPr>
          <w:rFonts w:asciiTheme="minorHAnsi" w:hAnsiTheme="minorHAnsi"/>
          <w:i/>
          <w:lang w:val="en"/>
        </w:rPr>
        <w:t>Operations Research Analyst</w:t>
      </w:r>
    </w:p>
    <w:p w14:paraId="7FE80F7A" w14:textId="77777777" w:rsidR="000115CA" w:rsidRPr="0068154E" w:rsidRDefault="000115CA" w:rsidP="0068154E">
      <w:pPr>
        <w:ind w:left="0" w:firstLine="360"/>
        <w:rPr>
          <w:rFonts w:asciiTheme="minorHAnsi" w:hAnsiTheme="minorHAnsi"/>
          <w:i/>
        </w:rPr>
      </w:pPr>
      <w:r w:rsidRPr="0068154E">
        <w:rPr>
          <w:rFonts w:asciiTheme="minorHAnsi" w:hAnsiTheme="minorHAnsi"/>
          <w:i/>
        </w:rPr>
        <w:t>Centers for Disease Control and Prevention</w:t>
      </w:r>
    </w:p>
    <w:p w14:paraId="04A6C2B8" w14:textId="77777777" w:rsidR="000115CA" w:rsidRPr="0068154E" w:rsidRDefault="000115CA" w:rsidP="0068154E">
      <w:pPr>
        <w:ind w:left="360"/>
        <w:rPr>
          <w:rFonts w:asciiTheme="minorHAnsi" w:hAnsiTheme="minorHAnsi"/>
          <w:i/>
        </w:rPr>
      </w:pPr>
      <w:r w:rsidRPr="0068154E">
        <w:rPr>
          <w:rFonts w:asciiTheme="minorHAnsi" w:hAnsiTheme="minorHAnsi"/>
          <w:i/>
        </w:rPr>
        <w:t>National Center for Immunization and Respiratory Diseases</w:t>
      </w:r>
    </w:p>
    <w:p w14:paraId="0C88C904" w14:textId="22DEC859" w:rsidR="000115CA" w:rsidRPr="0068154E" w:rsidRDefault="00E0719F" w:rsidP="0068154E">
      <w:pPr>
        <w:ind w:left="360"/>
        <w:rPr>
          <w:rFonts w:asciiTheme="minorHAnsi" w:hAnsiTheme="minorHAnsi"/>
          <w:i/>
        </w:rPr>
      </w:pPr>
      <w:r w:rsidRPr="0068154E">
        <w:rPr>
          <w:rFonts w:asciiTheme="minorHAnsi" w:hAnsiTheme="minorHAnsi"/>
          <w:i/>
        </w:rPr>
        <w:t>Office of the Director</w:t>
      </w:r>
    </w:p>
    <w:p w14:paraId="75F09842" w14:textId="77777777" w:rsidR="00E0719F" w:rsidRPr="0068154E" w:rsidRDefault="000115CA" w:rsidP="0068154E">
      <w:pPr>
        <w:spacing w:line="240" w:lineRule="auto"/>
        <w:ind w:left="360"/>
        <w:rPr>
          <w:rFonts w:asciiTheme="minorHAnsi" w:eastAsia="Times New Roman" w:hAnsiTheme="minorHAnsi" w:cs="Arial"/>
          <w:i/>
          <w:noProof/>
        </w:rPr>
      </w:pPr>
      <w:r w:rsidRPr="0068154E">
        <w:rPr>
          <w:rFonts w:asciiTheme="minorHAnsi" w:hAnsiTheme="minorHAnsi"/>
          <w:i/>
        </w:rPr>
        <w:t xml:space="preserve">Phone: </w:t>
      </w:r>
      <w:r w:rsidR="00E0719F" w:rsidRPr="0068154E">
        <w:rPr>
          <w:rFonts w:asciiTheme="minorHAnsi" w:eastAsia="Times New Roman" w:hAnsiTheme="minorHAnsi" w:cs="Arial"/>
          <w:i/>
          <w:noProof/>
        </w:rPr>
        <w:t>404-639-6236</w:t>
      </w:r>
    </w:p>
    <w:p w14:paraId="32461293" w14:textId="2F33E7C4" w:rsidR="000115CA" w:rsidRPr="0068154E" w:rsidRDefault="000115CA" w:rsidP="0068154E">
      <w:pPr>
        <w:spacing w:line="240" w:lineRule="auto"/>
        <w:ind w:left="360"/>
        <w:rPr>
          <w:rFonts w:asciiTheme="minorHAnsi" w:hAnsiTheme="minorHAnsi"/>
        </w:rPr>
      </w:pPr>
      <w:r w:rsidRPr="0068154E">
        <w:rPr>
          <w:rFonts w:asciiTheme="minorHAnsi" w:hAnsiTheme="minorHAnsi"/>
          <w:i/>
        </w:rPr>
        <w:t xml:space="preserve">Email: </w:t>
      </w:r>
      <w:hyperlink r:id="rId14" w:history="1">
        <w:r w:rsidR="00E0719F" w:rsidRPr="0068154E">
          <w:rPr>
            <w:rStyle w:val="Hyperlink"/>
            <w:rFonts w:asciiTheme="minorHAnsi" w:hAnsiTheme="minorHAnsi"/>
          </w:rPr>
          <w:t>kga9@cdc.gov</w:t>
        </w:r>
      </w:hyperlink>
    </w:p>
    <w:p w14:paraId="457EC651" w14:textId="2FB137EE" w:rsidR="000115CA" w:rsidRPr="0068154E" w:rsidRDefault="000115CA" w:rsidP="0068154E">
      <w:pPr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Arial"/>
          <w:sz w:val="24"/>
          <w:szCs w:val="24"/>
        </w:rPr>
      </w:pPr>
      <w:r w:rsidRPr="0068154E">
        <w:rPr>
          <w:rFonts w:asciiTheme="minorHAnsi" w:eastAsia="Times New Roman" w:hAnsiTheme="minorHAnsi" w:cs="Arial"/>
          <w:sz w:val="24"/>
          <w:szCs w:val="24"/>
        </w:rPr>
        <w:lastRenderedPageBreak/>
        <w:t>The team of individuals working on this information collection, including instrument development, data collection, and data analysis will consist of team members, as listed in Table B-5.</w:t>
      </w:r>
    </w:p>
    <w:tbl>
      <w:tblPr>
        <w:tblW w:w="0" w:type="auto"/>
        <w:tblInd w:w="-720" w:type="dxa"/>
        <w:tblLayout w:type="fixed"/>
        <w:tblLook w:val="01E0" w:firstRow="1" w:lastRow="1" w:firstColumn="1" w:lastColumn="1" w:noHBand="0" w:noVBand="0"/>
      </w:tblPr>
      <w:tblGrid>
        <w:gridCol w:w="8658"/>
      </w:tblGrid>
      <w:tr w:rsidR="000115CA" w:rsidRPr="0068154E" w14:paraId="0CBDD260" w14:textId="77777777" w:rsidTr="00B55AE5">
        <w:trPr>
          <w:trHeight w:val="333"/>
        </w:trPr>
        <w:tc>
          <w:tcPr>
            <w:tcW w:w="8658" w:type="dxa"/>
          </w:tcPr>
          <w:p w14:paraId="2B8AF3F5" w14:textId="77777777" w:rsidR="000115CA" w:rsidRPr="00494440" w:rsidRDefault="000115CA" w:rsidP="00757652">
            <w:pPr>
              <w:rPr>
                <w:b/>
              </w:rPr>
            </w:pPr>
            <w:r w:rsidRPr="00494440">
              <w:rPr>
                <w:b/>
              </w:rPr>
              <w:t>Staff Responsible for Instrument Design, Data Collection, and Analyses</w:t>
            </w:r>
          </w:p>
        </w:tc>
      </w:tr>
    </w:tbl>
    <w:p w14:paraId="693C7494" w14:textId="3D175BDA" w:rsidR="003F5913" w:rsidRPr="0068154E" w:rsidRDefault="00025F7D" w:rsidP="0068154E">
      <w:pPr>
        <w:ind w:left="0"/>
        <w:rPr>
          <w:rFonts w:asciiTheme="minorHAnsi" w:hAnsiTheme="minorHAnsi"/>
        </w:rPr>
      </w:pPr>
      <w:r w:rsidRPr="0068154E">
        <w:rPr>
          <w:rFonts w:asciiTheme="minorHAnsi" w:hAnsiTheme="minorHAnsi"/>
        </w:rPr>
        <w:t xml:space="preserve">The </w:t>
      </w:r>
      <w:r w:rsidR="00F20918">
        <w:rPr>
          <w:rFonts w:asciiTheme="minorHAnsi" w:hAnsiTheme="minorHAnsi"/>
        </w:rPr>
        <w:t>entire IIS-ESV team will participate</w:t>
      </w:r>
      <w:r w:rsidR="0051543B" w:rsidRPr="0068154E">
        <w:rPr>
          <w:rFonts w:asciiTheme="minorHAnsi" w:hAnsiTheme="minorHAnsi"/>
        </w:rPr>
        <w:t xml:space="preserve"> in the collection of</w:t>
      </w:r>
      <w:r w:rsidRPr="0068154E">
        <w:rPr>
          <w:rFonts w:asciiTheme="minorHAnsi" w:hAnsiTheme="minorHAnsi"/>
        </w:rPr>
        <w:t xml:space="preserve"> data via the online data collection and telephone interview data collection instruments. </w:t>
      </w:r>
    </w:p>
    <w:p w14:paraId="4F514B73" w14:textId="77777777" w:rsidR="007D6E7C" w:rsidRPr="0068154E" w:rsidRDefault="007D6E7C" w:rsidP="0068154E">
      <w:pPr>
        <w:ind w:left="0"/>
        <w:rPr>
          <w:rFonts w:asciiTheme="minorHAnsi" w:hAnsiTheme="minorHAnsi"/>
          <w:b/>
          <w:u w:val="single"/>
        </w:rPr>
      </w:pPr>
    </w:p>
    <w:p w14:paraId="7CC85403" w14:textId="77777777" w:rsidR="007D6E7C" w:rsidRPr="0068154E" w:rsidRDefault="007D6E7C" w:rsidP="0068154E">
      <w:pPr>
        <w:ind w:firstLine="180"/>
        <w:rPr>
          <w:rFonts w:asciiTheme="minorHAnsi" w:hAnsiTheme="minorHAnsi"/>
        </w:rPr>
      </w:pPr>
      <w:r w:rsidRPr="0068154E">
        <w:rPr>
          <w:rFonts w:asciiTheme="minorHAnsi" w:hAnsiTheme="minorHAnsi"/>
          <w:b/>
          <w:u w:val="single"/>
        </w:rPr>
        <w:t>Table B-5</w:t>
      </w:r>
      <w:r w:rsidRPr="0068154E">
        <w:rPr>
          <w:rFonts w:asciiTheme="minorHAnsi" w:hAnsiTheme="minorHAnsi"/>
          <w:b/>
        </w:rPr>
        <w:t>:</w:t>
      </w:r>
      <w:r w:rsidRPr="0068154E">
        <w:rPr>
          <w:rFonts w:asciiTheme="minorHAnsi" w:hAnsiTheme="minorHAnsi"/>
        </w:rPr>
        <w:t xml:space="preserve"> IIS-ESV Project Team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710"/>
        <w:gridCol w:w="1620"/>
        <w:gridCol w:w="2791"/>
      </w:tblGrid>
      <w:tr w:rsidR="000115CA" w:rsidRPr="0068154E" w14:paraId="65C69C2C" w14:textId="77777777" w:rsidTr="003E62D6">
        <w:trPr>
          <w:cantSplit/>
          <w:trHeight w:val="575"/>
          <w:tblHeader/>
          <w:jc w:val="center"/>
        </w:trPr>
        <w:tc>
          <w:tcPr>
            <w:tcW w:w="1368" w:type="dxa"/>
            <w:shd w:val="clear" w:color="auto" w:fill="D9D9D9" w:themeFill="background1" w:themeFillShade="D9"/>
          </w:tcPr>
          <w:p w14:paraId="2C4C041B" w14:textId="77777777" w:rsidR="000115CA" w:rsidRPr="0068154E" w:rsidRDefault="000115CA" w:rsidP="003E62D6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68154E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B4653F3" w14:textId="77777777" w:rsidR="000115CA" w:rsidRPr="0068154E" w:rsidRDefault="000115CA" w:rsidP="003E62D6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68154E">
              <w:rPr>
                <w:rFonts w:asciiTheme="minorHAnsi" w:hAnsiTheme="minorHAnsi"/>
                <w:b/>
              </w:rPr>
              <w:t>Organization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40F90CE" w14:textId="77777777" w:rsidR="000115CA" w:rsidRPr="0068154E" w:rsidRDefault="000115CA" w:rsidP="003E62D6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68154E">
              <w:rPr>
                <w:rFonts w:asciiTheme="minorHAnsi" w:hAnsiTheme="minorHAnsi"/>
                <w:b/>
              </w:rPr>
              <w:t>Telephone #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14:paraId="74330EAB" w14:textId="77777777" w:rsidR="000115CA" w:rsidRPr="0068154E" w:rsidRDefault="000115CA" w:rsidP="003E62D6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68154E">
              <w:rPr>
                <w:rFonts w:asciiTheme="minorHAnsi" w:hAnsiTheme="minorHAnsi"/>
                <w:b/>
              </w:rPr>
              <w:t>Email</w:t>
            </w:r>
          </w:p>
        </w:tc>
      </w:tr>
      <w:tr w:rsidR="000115CA" w:rsidRPr="0068154E" w14:paraId="5D7A2C3C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0F622D1D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 xml:space="preserve">Jeffrey Toole </w:t>
            </w:r>
          </w:p>
        </w:tc>
        <w:tc>
          <w:tcPr>
            <w:tcW w:w="1710" w:type="dxa"/>
          </w:tcPr>
          <w:p w14:paraId="44695EF1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Offspring Solutions</w:t>
            </w:r>
          </w:p>
        </w:tc>
        <w:tc>
          <w:tcPr>
            <w:tcW w:w="1620" w:type="dxa"/>
          </w:tcPr>
          <w:p w14:paraId="196C203D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(703) 801-0144</w:t>
            </w:r>
          </w:p>
        </w:tc>
        <w:tc>
          <w:tcPr>
            <w:tcW w:w="2791" w:type="dxa"/>
          </w:tcPr>
          <w:p w14:paraId="641D9215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r w:rsidRPr="0068154E">
              <w:rPr>
                <w:rFonts w:asciiTheme="minorHAnsi" w:hAnsiTheme="minorHAnsi" w:cs="Calibri"/>
                <w:color w:val="0000FF"/>
                <w:u w:val="single"/>
              </w:rPr>
              <w:t>jtoole@offspringsolutions.com</w:t>
            </w:r>
          </w:p>
        </w:tc>
      </w:tr>
      <w:tr w:rsidR="000115CA" w:rsidRPr="0068154E" w14:paraId="27341DB0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32FFD642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Tracy Culbreath</w:t>
            </w:r>
          </w:p>
        </w:tc>
        <w:tc>
          <w:tcPr>
            <w:tcW w:w="1710" w:type="dxa"/>
          </w:tcPr>
          <w:p w14:paraId="1BCB815D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Offspring Solutions</w:t>
            </w:r>
          </w:p>
        </w:tc>
        <w:tc>
          <w:tcPr>
            <w:tcW w:w="1620" w:type="dxa"/>
          </w:tcPr>
          <w:p w14:paraId="692E8906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(678) 855-6864</w:t>
            </w:r>
          </w:p>
        </w:tc>
        <w:tc>
          <w:tcPr>
            <w:tcW w:w="2791" w:type="dxa"/>
          </w:tcPr>
          <w:p w14:paraId="394BACE2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r w:rsidRPr="0068154E">
              <w:rPr>
                <w:rFonts w:asciiTheme="minorHAnsi" w:hAnsiTheme="minorHAnsi" w:cs="Calibri"/>
                <w:color w:val="0000FF"/>
                <w:u w:val="single"/>
              </w:rPr>
              <w:t>tculbreath@offspringsolutions.com</w:t>
            </w:r>
          </w:p>
        </w:tc>
      </w:tr>
      <w:tr w:rsidR="000115CA" w:rsidRPr="0068154E" w14:paraId="7EFF67E7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1563BCA3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Anne Cordon</w:t>
            </w:r>
          </w:p>
        </w:tc>
        <w:tc>
          <w:tcPr>
            <w:tcW w:w="1710" w:type="dxa"/>
          </w:tcPr>
          <w:p w14:paraId="2E486892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Offspring Solutions</w:t>
            </w:r>
          </w:p>
        </w:tc>
        <w:tc>
          <w:tcPr>
            <w:tcW w:w="1620" w:type="dxa"/>
          </w:tcPr>
          <w:p w14:paraId="2AE07B16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(619) 370-9019</w:t>
            </w:r>
          </w:p>
        </w:tc>
        <w:tc>
          <w:tcPr>
            <w:tcW w:w="2791" w:type="dxa"/>
          </w:tcPr>
          <w:p w14:paraId="00DED0DD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r w:rsidRPr="0068154E">
              <w:rPr>
                <w:rFonts w:asciiTheme="minorHAnsi" w:hAnsiTheme="minorHAnsi" w:cs="Calibri"/>
                <w:color w:val="0000FF"/>
                <w:u w:val="single"/>
              </w:rPr>
              <w:t>acordon@offspringsolutions.com</w:t>
            </w:r>
          </w:p>
        </w:tc>
      </w:tr>
      <w:tr w:rsidR="00424F6D" w:rsidRPr="0068154E" w14:paraId="72B0A66A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0AEB208F" w14:textId="7DED1416" w:rsidR="00424F6D" w:rsidRPr="0068154E" w:rsidRDefault="00424F6D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Terry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Njoroge</w:t>
            </w:r>
            <w:proofErr w:type="spellEnd"/>
          </w:p>
        </w:tc>
        <w:tc>
          <w:tcPr>
            <w:tcW w:w="1710" w:type="dxa"/>
          </w:tcPr>
          <w:p w14:paraId="0B287945" w14:textId="77777777" w:rsidR="00424F6D" w:rsidRDefault="00424F6D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Offspring </w:t>
            </w:r>
          </w:p>
          <w:p w14:paraId="794CBFEC" w14:textId="4A48FB76" w:rsidR="00424F6D" w:rsidRPr="0068154E" w:rsidRDefault="00424F6D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Solutions</w:t>
            </w:r>
          </w:p>
        </w:tc>
        <w:tc>
          <w:tcPr>
            <w:tcW w:w="1620" w:type="dxa"/>
          </w:tcPr>
          <w:p w14:paraId="106BC6DC" w14:textId="6CE3A86B" w:rsidR="00424F6D" w:rsidRPr="0068154E" w:rsidRDefault="00424F6D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(404) 952-8444</w:t>
            </w:r>
          </w:p>
        </w:tc>
        <w:tc>
          <w:tcPr>
            <w:tcW w:w="2791" w:type="dxa"/>
          </w:tcPr>
          <w:p w14:paraId="11B89ECC" w14:textId="238A1097" w:rsidR="00424F6D" w:rsidRPr="0068154E" w:rsidRDefault="00424F6D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r>
              <w:rPr>
                <w:rFonts w:asciiTheme="minorHAnsi" w:hAnsiTheme="minorHAnsi" w:cs="Calibri"/>
                <w:color w:val="0000FF"/>
                <w:u w:val="single"/>
              </w:rPr>
              <w:t>tnjoroge@offspringsolutions.com</w:t>
            </w:r>
          </w:p>
        </w:tc>
      </w:tr>
      <w:tr w:rsidR="000115CA" w:rsidRPr="0068154E" w14:paraId="1DC85817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2741FCE9" w14:textId="2AC1077C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 xml:space="preserve">Robert </w:t>
            </w:r>
            <w:proofErr w:type="spellStart"/>
            <w:r w:rsidRPr="0068154E">
              <w:rPr>
                <w:rFonts w:asciiTheme="minorHAnsi" w:hAnsiTheme="minorHAnsi" w:cs="Calibri"/>
                <w:color w:val="000000"/>
              </w:rPr>
              <w:t>Rosofsky</w:t>
            </w:r>
            <w:proofErr w:type="spellEnd"/>
          </w:p>
        </w:tc>
        <w:tc>
          <w:tcPr>
            <w:tcW w:w="1710" w:type="dxa"/>
          </w:tcPr>
          <w:p w14:paraId="29903C8E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Offspring Solutions</w:t>
            </w:r>
          </w:p>
        </w:tc>
        <w:tc>
          <w:tcPr>
            <w:tcW w:w="1620" w:type="dxa"/>
          </w:tcPr>
          <w:p w14:paraId="1D6FD91F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(617) 680-1149</w:t>
            </w:r>
          </w:p>
        </w:tc>
        <w:tc>
          <w:tcPr>
            <w:tcW w:w="2791" w:type="dxa"/>
          </w:tcPr>
          <w:p w14:paraId="66E94351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r w:rsidRPr="0068154E">
              <w:rPr>
                <w:rFonts w:asciiTheme="minorHAnsi" w:hAnsiTheme="minorHAnsi" w:cs="Calibri"/>
                <w:color w:val="0000FF"/>
                <w:u w:val="single"/>
              </w:rPr>
              <w:t>rrosofsky@offspringsolutions.com</w:t>
            </w:r>
          </w:p>
        </w:tc>
      </w:tr>
      <w:tr w:rsidR="000115CA" w:rsidRPr="0068154E" w14:paraId="044B3C31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29E81FC8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 xml:space="preserve">Jeff </w:t>
            </w:r>
            <w:proofErr w:type="spellStart"/>
            <w:r w:rsidRPr="0068154E">
              <w:rPr>
                <w:rFonts w:asciiTheme="minorHAnsi" w:hAnsiTheme="minorHAnsi" w:cs="Calibri"/>
                <w:color w:val="000000"/>
              </w:rPr>
              <w:t>Perkowski</w:t>
            </w:r>
            <w:proofErr w:type="spellEnd"/>
          </w:p>
        </w:tc>
        <w:tc>
          <w:tcPr>
            <w:tcW w:w="1710" w:type="dxa"/>
          </w:tcPr>
          <w:p w14:paraId="491802B0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Accenture</w:t>
            </w:r>
          </w:p>
        </w:tc>
        <w:tc>
          <w:tcPr>
            <w:tcW w:w="1620" w:type="dxa"/>
          </w:tcPr>
          <w:p w14:paraId="392BFB45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(678) 458-3822</w:t>
            </w:r>
          </w:p>
        </w:tc>
        <w:tc>
          <w:tcPr>
            <w:tcW w:w="2791" w:type="dxa"/>
          </w:tcPr>
          <w:p w14:paraId="67535E08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r w:rsidRPr="0068154E">
              <w:rPr>
                <w:rFonts w:asciiTheme="minorHAnsi" w:hAnsiTheme="minorHAnsi" w:cs="Calibri"/>
                <w:color w:val="0000FF"/>
                <w:u w:val="single"/>
              </w:rPr>
              <w:t>jeffrey.l.perkowski@accenturefederal.com</w:t>
            </w:r>
          </w:p>
        </w:tc>
      </w:tr>
      <w:tr w:rsidR="000115CA" w:rsidRPr="0068154E" w14:paraId="2F65220B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5550CAC3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68154E">
              <w:rPr>
                <w:rFonts w:asciiTheme="minorHAnsi" w:hAnsiTheme="minorHAnsi" w:cs="Calibri"/>
                <w:color w:val="000000"/>
              </w:rPr>
              <w:t>Yagil</w:t>
            </w:r>
            <w:proofErr w:type="spellEnd"/>
            <w:r w:rsidRPr="0068154E">
              <w:rPr>
                <w:rFonts w:asciiTheme="minorHAnsi" w:hAnsiTheme="minorHAnsi" w:cs="Calibri"/>
                <w:color w:val="000000"/>
              </w:rPr>
              <w:t xml:space="preserve"> </w:t>
            </w:r>
            <w:proofErr w:type="spellStart"/>
            <w:r w:rsidRPr="0068154E">
              <w:rPr>
                <w:rFonts w:asciiTheme="minorHAnsi" w:hAnsiTheme="minorHAnsi" w:cs="Calibri"/>
                <w:color w:val="000000"/>
              </w:rPr>
              <w:t>Kehati</w:t>
            </w:r>
            <w:proofErr w:type="spellEnd"/>
          </w:p>
        </w:tc>
        <w:tc>
          <w:tcPr>
            <w:tcW w:w="1710" w:type="dxa"/>
          </w:tcPr>
          <w:p w14:paraId="177F8611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Accenture</w:t>
            </w:r>
          </w:p>
        </w:tc>
        <w:tc>
          <w:tcPr>
            <w:tcW w:w="1620" w:type="dxa"/>
          </w:tcPr>
          <w:p w14:paraId="1246EAE2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(973) 735-4863</w:t>
            </w:r>
          </w:p>
        </w:tc>
        <w:tc>
          <w:tcPr>
            <w:tcW w:w="2791" w:type="dxa"/>
          </w:tcPr>
          <w:p w14:paraId="45AD9620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r w:rsidRPr="0068154E">
              <w:rPr>
                <w:rFonts w:asciiTheme="minorHAnsi" w:hAnsiTheme="minorHAnsi" w:cs="Calibri"/>
                <w:color w:val="0000FF"/>
                <w:u w:val="single"/>
              </w:rPr>
              <w:t>yagil.kehati@accenturefederal.com</w:t>
            </w:r>
          </w:p>
        </w:tc>
      </w:tr>
      <w:tr w:rsidR="000115CA" w:rsidRPr="0068154E" w14:paraId="765436F2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55D7C05C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 xml:space="preserve">Lauren </w:t>
            </w:r>
            <w:proofErr w:type="spellStart"/>
            <w:r w:rsidRPr="0068154E">
              <w:rPr>
                <w:rFonts w:asciiTheme="minorHAnsi" w:hAnsiTheme="minorHAnsi" w:cs="Calibri"/>
                <w:color w:val="000000"/>
              </w:rPr>
              <w:t>Buethe</w:t>
            </w:r>
            <w:proofErr w:type="spellEnd"/>
          </w:p>
        </w:tc>
        <w:tc>
          <w:tcPr>
            <w:tcW w:w="1710" w:type="dxa"/>
          </w:tcPr>
          <w:p w14:paraId="50FB6462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Accenture</w:t>
            </w:r>
          </w:p>
        </w:tc>
        <w:tc>
          <w:tcPr>
            <w:tcW w:w="1620" w:type="dxa"/>
          </w:tcPr>
          <w:p w14:paraId="5746F112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(602) 791-8320</w:t>
            </w:r>
          </w:p>
        </w:tc>
        <w:tc>
          <w:tcPr>
            <w:tcW w:w="2791" w:type="dxa"/>
          </w:tcPr>
          <w:p w14:paraId="579B27D7" w14:textId="77777777" w:rsidR="000115CA" w:rsidRPr="0068154E" w:rsidRDefault="00907D7D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FF"/>
                <w:u w:val="single"/>
              </w:rPr>
            </w:pPr>
            <w:hyperlink r:id="rId15" w:history="1">
              <w:r w:rsidR="000115CA" w:rsidRPr="0068154E">
                <w:rPr>
                  <w:rStyle w:val="Hyperlink"/>
                  <w:rFonts w:asciiTheme="minorHAnsi" w:hAnsiTheme="minorHAnsi" w:cs="Calibri"/>
                </w:rPr>
                <w:t>lauren.e.buethe@accenturefederal.com</w:t>
              </w:r>
            </w:hyperlink>
          </w:p>
        </w:tc>
      </w:tr>
      <w:tr w:rsidR="000115CA" w:rsidRPr="0068154E" w14:paraId="0B39D0F0" w14:textId="77777777" w:rsidTr="003E62D6">
        <w:trPr>
          <w:cantSplit/>
          <w:tblHeader/>
          <w:jc w:val="center"/>
        </w:trPr>
        <w:tc>
          <w:tcPr>
            <w:tcW w:w="1368" w:type="dxa"/>
          </w:tcPr>
          <w:p w14:paraId="17CCEBEF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Kafayat Adeniyi</w:t>
            </w:r>
          </w:p>
        </w:tc>
        <w:tc>
          <w:tcPr>
            <w:tcW w:w="1710" w:type="dxa"/>
          </w:tcPr>
          <w:p w14:paraId="2B83F9C8" w14:textId="77777777" w:rsidR="000115CA" w:rsidRPr="0068154E" w:rsidRDefault="000115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NCIRD / OD</w:t>
            </w:r>
          </w:p>
        </w:tc>
        <w:tc>
          <w:tcPr>
            <w:tcW w:w="1620" w:type="dxa"/>
          </w:tcPr>
          <w:p w14:paraId="01122BDA" w14:textId="77777777" w:rsidR="000115CA" w:rsidRPr="0068154E" w:rsidRDefault="009A3CCA" w:rsidP="00CC0FF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Calibri"/>
                <w:color w:val="000000"/>
              </w:rPr>
            </w:pPr>
            <w:r w:rsidRPr="0068154E">
              <w:rPr>
                <w:rFonts w:asciiTheme="minorHAnsi" w:hAnsiTheme="minorHAnsi" w:cs="Calibri"/>
                <w:color w:val="000000"/>
              </w:rPr>
              <w:t>(404) 639-6236</w:t>
            </w:r>
          </w:p>
        </w:tc>
        <w:tc>
          <w:tcPr>
            <w:tcW w:w="2791" w:type="dxa"/>
          </w:tcPr>
          <w:p w14:paraId="3128F488" w14:textId="77777777" w:rsidR="000115CA" w:rsidRPr="0068154E" w:rsidRDefault="00907D7D" w:rsidP="009A3CCA">
            <w:pPr>
              <w:pStyle w:val="PlainText"/>
              <w:rPr>
                <w:rFonts w:asciiTheme="minorHAnsi" w:hAnsiTheme="minorHAnsi"/>
              </w:rPr>
            </w:pPr>
            <w:hyperlink r:id="rId16" w:history="1">
              <w:r w:rsidR="009A3CCA" w:rsidRPr="0068154E">
                <w:rPr>
                  <w:rStyle w:val="Hyperlink"/>
                  <w:rFonts w:asciiTheme="minorHAnsi" w:hAnsiTheme="minorHAnsi"/>
                </w:rPr>
                <w:t>kga9@cdc.gov</w:t>
              </w:r>
            </w:hyperlink>
            <w:r w:rsidR="009A3CCA" w:rsidRPr="0068154E">
              <w:rPr>
                <w:rFonts w:asciiTheme="minorHAnsi" w:hAnsiTheme="minorHAnsi"/>
              </w:rPr>
              <w:t xml:space="preserve"> </w:t>
            </w:r>
          </w:p>
        </w:tc>
      </w:tr>
    </w:tbl>
    <w:p w14:paraId="4CC79DEF" w14:textId="77777777" w:rsidR="00025F7D" w:rsidRPr="0068154E" w:rsidRDefault="00025F7D" w:rsidP="0068154E">
      <w:pPr>
        <w:ind w:left="0"/>
        <w:rPr>
          <w:rFonts w:asciiTheme="minorHAnsi" w:hAnsiTheme="minorHAnsi"/>
        </w:rPr>
      </w:pPr>
    </w:p>
    <w:p w14:paraId="0017EDE8" w14:textId="77777777" w:rsidR="00E24C20" w:rsidRPr="0068154E" w:rsidRDefault="00E24C20" w:rsidP="0068154E">
      <w:pPr>
        <w:ind w:left="360"/>
        <w:rPr>
          <w:rFonts w:asciiTheme="minorHAnsi" w:hAnsiTheme="minorHAnsi"/>
        </w:rPr>
      </w:pPr>
    </w:p>
    <w:p w14:paraId="6B4BFE19" w14:textId="77777777" w:rsidR="0068154E" w:rsidRDefault="0068154E" w:rsidP="0068154E">
      <w:pPr>
        <w:spacing w:after="200"/>
        <w:ind w:left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</w:rPr>
        <w:br w:type="page"/>
      </w:r>
    </w:p>
    <w:p w14:paraId="310E9986" w14:textId="778603C8" w:rsidR="00A36419" w:rsidRPr="0068154E" w:rsidRDefault="00A36419" w:rsidP="00BC6896">
      <w:pPr>
        <w:pStyle w:val="Heading3"/>
        <w:rPr>
          <w:rFonts w:asciiTheme="minorHAnsi" w:hAnsiTheme="minorHAnsi"/>
        </w:rPr>
      </w:pPr>
      <w:r w:rsidRPr="0068154E">
        <w:rPr>
          <w:rFonts w:asciiTheme="minorHAnsi" w:hAnsiTheme="minorHAnsi"/>
        </w:rPr>
        <w:lastRenderedPageBreak/>
        <w:t xml:space="preserve">LIST </w:t>
      </w:r>
      <w:r w:rsidRPr="0068154E">
        <w:t>OF</w:t>
      </w:r>
      <w:r w:rsidRPr="0068154E">
        <w:rPr>
          <w:rFonts w:asciiTheme="minorHAnsi" w:hAnsiTheme="minorHAnsi"/>
        </w:rPr>
        <w:t xml:space="preserve"> ATTACHMENTS</w:t>
      </w:r>
      <w:r w:rsidR="00E24C20" w:rsidRPr="0068154E">
        <w:rPr>
          <w:rFonts w:asciiTheme="minorHAnsi" w:hAnsiTheme="minorHAnsi"/>
        </w:rPr>
        <w:t xml:space="preserve"> – Section B</w:t>
      </w:r>
    </w:p>
    <w:p w14:paraId="18248505" w14:textId="77777777" w:rsidR="006B5E55" w:rsidRPr="0068154E" w:rsidRDefault="006B5E55" w:rsidP="00BC6896">
      <w:pPr>
        <w:ind w:left="0"/>
        <w:rPr>
          <w:rFonts w:asciiTheme="minorHAnsi" w:hAnsiTheme="minorHAnsi"/>
        </w:rPr>
      </w:pPr>
      <w:r w:rsidRPr="0068154E">
        <w:rPr>
          <w:rFonts w:asciiTheme="minorHAnsi" w:hAnsiTheme="minorHAnsi"/>
        </w:rPr>
        <w:t>Note: Attachments are included as separate files as instructed.</w:t>
      </w:r>
    </w:p>
    <w:p w14:paraId="4C0FE20A" w14:textId="77777777" w:rsidR="000F716A" w:rsidRPr="0068154E" w:rsidRDefault="000F716A" w:rsidP="00BC6896">
      <w:pPr>
        <w:ind w:left="0"/>
        <w:rPr>
          <w:rFonts w:asciiTheme="minorHAnsi" w:hAnsiTheme="minorHAnsi"/>
        </w:rPr>
      </w:pPr>
    </w:p>
    <w:p w14:paraId="5FC88136" w14:textId="7F17AC4B" w:rsidR="009379D1" w:rsidRPr="00F12D99" w:rsidRDefault="00D9775D" w:rsidP="00F12D99">
      <w:pPr>
        <w:pStyle w:val="ListParagraph"/>
        <w:numPr>
          <w:ilvl w:val="0"/>
          <w:numId w:val="28"/>
        </w:numPr>
        <w:spacing w:after="120" w:line="360" w:lineRule="auto"/>
        <w:rPr>
          <w:rFonts w:asciiTheme="minorHAnsi" w:hAnsiTheme="minorHAnsi"/>
          <w:b/>
        </w:rPr>
      </w:pPr>
      <w:r w:rsidRPr="00F12D99">
        <w:rPr>
          <w:rFonts w:asciiTheme="minorHAnsi" w:hAnsiTheme="minorHAnsi"/>
          <w:b/>
        </w:rPr>
        <w:t xml:space="preserve">Introductory Email </w:t>
      </w:r>
    </w:p>
    <w:p w14:paraId="6948F3C6" w14:textId="212ADDF2" w:rsidR="009379D1" w:rsidRDefault="003A58AC" w:rsidP="009379D1">
      <w:pPr>
        <w:pStyle w:val="ListParagraph"/>
        <w:numPr>
          <w:ilvl w:val="0"/>
          <w:numId w:val="28"/>
        </w:numPr>
        <w:spacing w:after="12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Interview </w:t>
      </w:r>
      <w:r w:rsidR="009379D1">
        <w:rPr>
          <w:rFonts w:asciiTheme="minorHAnsi" w:hAnsiTheme="minorHAnsi"/>
          <w:b/>
        </w:rPr>
        <w:t>Re</w:t>
      </w:r>
      <w:r w:rsidR="009379D1" w:rsidRPr="009379D1">
        <w:rPr>
          <w:rFonts w:asciiTheme="minorHAnsi" w:hAnsiTheme="minorHAnsi"/>
          <w:b/>
        </w:rPr>
        <w:t xml:space="preserve">quest </w:t>
      </w:r>
    </w:p>
    <w:p w14:paraId="0B72E72F" w14:textId="290BF090" w:rsidR="00F96483" w:rsidRPr="0068154E" w:rsidRDefault="00F96483" w:rsidP="00935843">
      <w:pPr>
        <w:pStyle w:val="ListParagraph"/>
        <w:numPr>
          <w:ilvl w:val="0"/>
          <w:numId w:val="28"/>
        </w:numPr>
        <w:spacing w:after="120" w:line="360" w:lineRule="auto"/>
        <w:rPr>
          <w:rFonts w:asciiTheme="minorHAnsi" w:hAnsiTheme="minorHAnsi"/>
          <w:b/>
        </w:rPr>
      </w:pPr>
      <w:r w:rsidRPr="0068154E">
        <w:rPr>
          <w:rFonts w:asciiTheme="minorHAnsi" w:hAnsiTheme="minorHAnsi"/>
          <w:b/>
        </w:rPr>
        <w:t>Confirmation</w:t>
      </w:r>
      <w:r w:rsidR="004B454F">
        <w:rPr>
          <w:rFonts w:asciiTheme="minorHAnsi" w:hAnsiTheme="minorHAnsi"/>
          <w:b/>
        </w:rPr>
        <w:t>_</w:t>
      </w:r>
      <w:r w:rsidRPr="0068154E">
        <w:rPr>
          <w:rFonts w:asciiTheme="minorHAnsi" w:hAnsiTheme="minorHAnsi"/>
          <w:b/>
        </w:rPr>
        <w:t xml:space="preserve"> </w:t>
      </w:r>
      <w:r w:rsidR="00065BA0">
        <w:rPr>
          <w:rFonts w:asciiTheme="minorHAnsi" w:hAnsiTheme="minorHAnsi"/>
          <w:b/>
        </w:rPr>
        <w:t>Interview</w:t>
      </w:r>
    </w:p>
    <w:p w14:paraId="2A50EE52" w14:textId="10616EA1" w:rsidR="000E6577" w:rsidRPr="009379D1" w:rsidRDefault="009379D1" w:rsidP="009379D1">
      <w:pPr>
        <w:pStyle w:val="ListParagraph"/>
        <w:numPr>
          <w:ilvl w:val="0"/>
          <w:numId w:val="28"/>
        </w:numPr>
        <w:spacing w:after="12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Reminder Email </w:t>
      </w:r>
    </w:p>
    <w:sectPr w:rsidR="000E6577" w:rsidRPr="009379D1" w:rsidSect="003E5D57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5D03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2DA6B" w14:textId="77777777" w:rsidR="00907D7D" w:rsidRDefault="00907D7D" w:rsidP="00BC6896">
      <w:r>
        <w:separator/>
      </w:r>
    </w:p>
    <w:p w14:paraId="61B20EA4" w14:textId="77777777" w:rsidR="00907D7D" w:rsidRDefault="00907D7D" w:rsidP="00BC6896"/>
  </w:endnote>
  <w:endnote w:type="continuationSeparator" w:id="0">
    <w:p w14:paraId="2173ACA1" w14:textId="77777777" w:rsidR="00907D7D" w:rsidRDefault="00907D7D" w:rsidP="00BC6896">
      <w:r>
        <w:continuationSeparator/>
      </w:r>
    </w:p>
    <w:p w14:paraId="6DB272BA" w14:textId="77777777" w:rsidR="00907D7D" w:rsidRDefault="00907D7D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B77131" w14:textId="5DC77656" w:rsidR="00CC0FF2" w:rsidRDefault="00CC0FF2" w:rsidP="00BC68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23B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0719F">
              <w:rPr>
                <w:b/>
                <w:szCs w:val="24"/>
              </w:rPr>
              <w:t>6</w:t>
            </w:r>
          </w:p>
        </w:sdtContent>
      </w:sdt>
    </w:sdtContent>
  </w:sdt>
  <w:p w14:paraId="7E7E2490" w14:textId="77777777" w:rsidR="00CC0FF2" w:rsidRDefault="00CC0FF2" w:rsidP="00BC6896">
    <w:pPr>
      <w:pStyle w:val="Footer"/>
    </w:pPr>
  </w:p>
  <w:p w14:paraId="484D9841" w14:textId="77777777" w:rsidR="00CC0FF2" w:rsidRDefault="00CC0FF2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1D15F" w14:textId="77777777" w:rsidR="00907D7D" w:rsidRDefault="00907D7D" w:rsidP="00BC6896">
      <w:r>
        <w:separator/>
      </w:r>
    </w:p>
    <w:p w14:paraId="35BA2A04" w14:textId="77777777" w:rsidR="00907D7D" w:rsidRDefault="00907D7D" w:rsidP="00BC6896"/>
  </w:footnote>
  <w:footnote w:type="continuationSeparator" w:id="0">
    <w:p w14:paraId="6170EFFD" w14:textId="77777777" w:rsidR="00907D7D" w:rsidRDefault="00907D7D" w:rsidP="00BC6896">
      <w:r>
        <w:continuationSeparator/>
      </w:r>
    </w:p>
    <w:p w14:paraId="44B3AEE0" w14:textId="77777777" w:rsidR="00907D7D" w:rsidRDefault="00907D7D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6F86C" w14:textId="77777777" w:rsidR="00CC0FF2" w:rsidRPr="00716F94" w:rsidRDefault="00CC0FF2" w:rsidP="00BC6896">
    <w:pPr>
      <w:pStyle w:val="Header"/>
      <w:rPr>
        <w:color w:val="0033CC"/>
      </w:rPr>
    </w:pPr>
    <w:r>
      <w:tab/>
    </w:r>
  </w:p>
  <w:p w14:paraId="61E4F025" w14:textId="77777777" w:rsidR="00CC0FF2" w:rsidRDefault="00CC0FF2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90F0B"/>
    <w:multiLevelType w:val="hybridMultilevel"/>
    <w:tmpl w:val="AA90E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541F21"/>
    <w:multiLevelType w:val="hybridMultilevel"/>
    <w:tmpl w:val="04381A96"/>
    <w:lvl w:ilvl="0" w:tplc="33E2F044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3570B"/>
    <w:multiLevelType w:val="hybridMultilevel"/>
    <w:tmpl w:val="F78EC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997"/>
    <w:multiLevelType w:val="hybridMultilevel"/>
    <w:tmpl w:val="BB74E3CE"/>
    <w:lvl w:ilvl="0" w:tplc="752C7C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6CFA18AA">
      <w:start w:val="1"/>
      <w:numFmt w:val="lowerLetter"/>
      <w:lvlText w:val="%2."/>
      <w:lvlJc w:val="left"/>
      <w:pPr>
        <w:ind w:left="2160" w:hanging="360"/>
      </w:pPr>
    </w:lvl>
    <w:lvl w:ilvl="2" w:tplc="B9A81224">
      <w:start w:val="1"/>
      <w:numFmt w:val="lowerRoman"/>
      <w:lvlText w:val="%3."/>
      <w:lvlJc w:val="right"/>
      <w:pPr>
        <w:ind w:left="2880" w:hanging="180"/>
      </w:pPr>
    </w:lvl>
    <w:lvl w:ilvl="3" w:tplc="34503FB6">
      <w:start w:val="1"/>
      <w:numFmt w:val="decimal"/>
      <w:lvlText w:val="%4."/>
      <w:lvlJc w:val="left"/>
      <w:pPr>
        <w:ind w:left="3600" w:hanging="360"/>
      </w:pPr>
    </w:lvl>
    <w:lvl w:ilvl="4" w:tplc="94BEDC12">
      <w:start w:val="1"/>
      <w:numFmt w:val="lowerLetter"/>
      <w:lvlText w:val="%5."/>
      <w:lvlJc w:val="left"/>
      <w:pPr>
        <w:ind w:left="4320" w:hanging="360"/>
      </w:pPr>
    </w:lvl>
    <w:lvl w:ilvl="5" w:tplc="44803950">
      <w:start w:val="1"/>
      <w:numFmt w:val="lowerRoman"/>
      <w:lvlText w:val="%6."/>
      <w:lvlJc w:val="right"/>
      <w:pPr>
        <w:ind w:left="5040" w:hanging="180"/>
      </w:pPr>
    </w:lvl>
    <w:lvl w:ilvl="6" w:tplc="278EDDF4">
      <w:start w:val="1"/>
      <w:numFmt w:val="decimal"/>
      <w:lvlText w:val="%7."/>
      <w:lvlJc w:val="left"/>
      <w:pPr>
        <w:ind w:left="5760" w:hanging="360"/>
      </w:pPr>
    </w:lvl>
    <w:lvl w:ilvl="7" w:tplc="87B0F3C6">
      <w:start w:val="1"/>
      <w:numFmt w:val="lowerLetter"/>
      <w:lvlText w:val="%8."/>
      <w:lvlJc w:val="left"/>
      <w:pPr>
        <w:ind w:left="6480" w:hanging="360"/>
      </w:pPr>
    </w:lvl>
    <w:lvl w:ilvl="8" w:tplc="82E03EF4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46F22"/>
    <w:multiLevelType w:val="hybridMultilevel"/>
    <w:tmpl w:val="61488276"/>
    <w:lvl w:ilvl="0" w:tplc="3F3AE0BE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E1F5C"/>
    <w:multiLevelType w:val="hybridMultilevel"/>
    <w:tmpl w:val="D4A697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7423C"/>
    <w:multiLevelType w:val="hybridMultilevel"/>
    <w:tmpl w:val="56A8E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D953D2"/>
    <w:multiLevelType w:val="hybridMultilevel"/>
    <w:tmpl w:val="E32464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B480D"/>
    <w:multiLevelType w:val="hybridMultilevel"/>
    <w:tmpl w:val="C61EE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C6AF8"/>
    <w:multiLevelType w:val="hybridMultilevel"/>
    <w:tmpl w:val="2CF63126"/>
    <w:lvl w:ilvl="0" w:tplc="E4D456D2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7"/>
  </w:num>
  <w:num w:numId="4">
    <w:abstractNumId w:val="14"/>
  </w:num>
  <w:num w:numId="5">
    <w:abstractNumId w:val="22"/>
  </w:num>
  <w:num w:numId="6">
    <w:abstractNumId w:val="10"/>
  </w:num>
  <w:num w:numId="7">
    <w:abstractNumId w:val="0"/>
  </w:num>
  <w:num w:numId="8">
    <w:abstractNumId w:val="7"/>
  </w:num>
  <w:num w:numId="9">
    <w:abstractNumId w:val="13"/>
  </w:num>
  <w:num w:numId="10">
    <w:abstractNumId w:val="23"/>
  </w:num>
  <w:num w:numId="11">
    <w:abstractNumId w:val="3"/>
  </w:num>
  <w:num w:numId="12">
    <w:abstractNumId w:val="26"/>
  </w:num>
  <w:num w:numId="13">
    <w:abstractNumId w:val="9"/>
  </w:num>
  <w:num w:numId="14">
    <w:abstractNumId w:val="5"/>
  </w:num>
  <w:num w:numId="15">
    <w:abstractNumId w:val="24"/>
  </w:num>
  <w:num w:numId="16">
    <w:abstractNumId w:val="29"/>
  </w:num>
  <w:num w:numId="17">
    <w:abstractNumId w:val="11"/>
  </w:num>
  <w:num w:numId="18">
    <w:abstractNumId w:val="15"/>
  </w:num>
  <w:num w:numId="19">
    <w:abstractNumId w:val="6"/>
  </w:num>
  <w:num w:numId="20">
    <w:abstractNumId w:val="17"/>
  </w:num>
  <w:num w:numId="21">
    <w:abstractNumId w:val="28"/>
  </w:num>
  <w:num w:numId="22">
    <w:abstractNumId w:val="8"/>
  </w:num>
  <w:num w:numId="23">
    <w:abstractNumId w:val="25"/>
  </w:num>
  <w:num w:numId="24">
    <w:abstractNumId w:val="20"/>
  </w:num>
  <w:num w:numId="25">
    <w:abstractNumId w:val="2"/>
  </w:num>
  <w:num w:numId="26">
    <w:abstractNumId w:val="21"/>
  </w:num>
  <w:num w:numId="27">
    <w:abstractNumId w:val="16"/>
  </w:num>
  <w:num w:numId="28">
    <w:abstractNumId w:val="4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7A9C"/>
    <w:rsid w:val="00010420"/>
    <w:rsid w:val="000115CA"/>
    <w:rsid w:val="00011A98"/>
    <w:rsid w:val="00011F8D"/>
    <w:rsid w:val="000130B4"/>
    <w:rsid w:val="00014361"/>
    <w:rsid w:val="0002513C"/>
    <w:rsid w:val="00025468"/>
    <w:rsid w:val="00025F7D"/>
    <w:rsid w:val="000474FB"/>
    <w:rsid w:val="00052A34"/>
    <w:rsid w:val="00053A92"/>
    <w:rsid w:val="000557D0"/>
    <w:rsid w:val="0005605E"/>
    <w:rsid w:val="00057F36"/>
    <w:rsid w:val="00065BA0"/>
    <w:rsid w:val="000661D0"/>
    <w:rsid w:val="000668AC"/>
    <w:rsid w:val="000A10D5"/>
    <w:rsid w:val="000A1F30"/>
    <w:rsid w:val="000A44EC"/>
    <w:rsid w:val="000A4512"/>
    <w:rsid w:val="000B30B2"/>
    <w:rsid w:val="000C39AE"/>
    <w:rsid w:val="000E1690"/>
    <w:rsid w:val="000E6577"/>
    <w:rsid w:val="000E7A19"/>
    <w:rsid w:val="000F3EE8"/>
    <w:rsid w:val="000F716A"/>
    <w:rsid w:val="00104A1B"/>
    <w:rsid w:val="00115F15"/>
    <w:rsid w:val="001177DD"/>
    <w:rsid w:val="001308EB"/>
    <w:rsid w:val="001412D4"/>
    <w:rsid w:val="00144F64"/>
    <w:rsid w:val="00151567"/>
    <w:rsid w:val="00163E17"/>
    <w:rsid w:val="00166F9E"/>
    <w:rsid w:val="001833E0"/>
    <w:rsid w:val="00187D5A"/>
    <w:rsid w:val="001972D7"/>
    <w:rsid w:val="001A28F6"/>
    <w:rsid w:val="001A7D0E"/>
    <w:rsid w:val="001B2831"/>
    <w:rsid w:val="001B3C56"/>
    <w:rsid w:val="001C0493"/>
    <w:rsid w:val="001C28AD"/>
    <w:rsid w:val="001D7FCB"/>
    <w:rsid w:val="001E2B99"/>
    <w:rsid w:val="001E69B6"/>
    <w:rsid w:val="001F4DBB"/>
    <w:rsid w:val="001F793B"/>
    <w:rsid w:val="001F7C89"/>
    <w:rsid w:val="002024AB"/>
    <w:rsid w:val="0020312D"/>
    <w:rsid w:val="0020495F"/>
    <w:rsid w:val="00206E33"/>
    <w:rsid w:val="00210519"/>
    <w:rsid w:val="00230CEF"/>
    <w:rsid w:val="00241B17"/>
    <w:rsid w:val="00241C81"/>
    <w:rsid w:val="00256397"/>
    <w:rsid w:val="00257A1C"/>
    <w:rsid w:val="00260A37"/>
    <w:rsid w:val="0027234C"/>
    <w:rsid w:val="00272E03"/>
    <w:rsid w:val="00277F00"/>
    <w:rsid w:val="00281795"/>
    <w:rsid w:val="002850E3"/>
    <w:rsid w:val="00287E2F"/>
    <w:rsid w:val="002A1948"/>
    <w:rsid w:val="002C0877"/>
    <w:rsid w:val="002C2AE2"/>
    <w:rsid w:val="002D0DCE"/>
    <w:rsid w:val="002E2B10"/>
    <w:rsid w:val="002E4245"/>
    <w:rsid w:val="002F1502"/>
    <w:rsid w:val="002F169D"/>
    <w:rsid w:val="002F2069"/>
    <w:rsid w:val="002F3454"/>
    <w:rsid w:val="002F6F92"/>
    <w:rsid w:val="00302CC6"/>
    <w:rsid w:val="003041AD"/>
    <w:rsid w:val="0031279F"/>
    <w:rsid w:val="00312D63"/>
    <w:rsid w:val="003234F6"/>
    <w:rsid w:val="00336D96"/>
    <w:rsid w:val="0034409A"/>
    <w:rsid w:val="00344F07"/>
    <w:rsid w:val="003469C8"/>
    <w:rsid w:val="00347F9F"/>
    <w:rsid w:val="00355EA4"/>
    <w:rsid w:val="003635BE"/>
    <w:rsid w:val="00366B5E"/>
    <w:rsid w:val="00372844"/>
    <w:rsid w:val="00391CB2"/>
    <w:rsid w:val="003A3F56"/>
    <w:rsid w:val="003A58AC"/>
    <w:rsid w:val="003C31C9"/>
    <w:rsid w:val="003C4961"/>
    <w:rsid w:val="003C7C5D"/>
    <w:rsid w:val="003D0AD2"/>
    <w:rsid w:val="003E4E7D"/>
    <w:rsid w:val="003E5D57"/>
    <w:rsid w:val="003E62D6"/>
    <w:rsid w:val="003F0F85"/>
    <w:rsid w:val="003F3114"/>
    <w:rsid w:val="003F5913"/>
    <w:rsid w:val="004024F8"/>
    <w:rsid w:val="0041115F"/>
    <w:rsid w:val="0041159A"/>
    <w:rsid w:val="00420BAC"/>
    <w:rsid w:val="00424D86"/>
    <w:rsid w:val="00424F6D"/>
    <w:rsid w:val="004305A8"/>
    <w:rsid w:val="0043417A"/>
    <w:rsid w:val="00441E4D"/>
    <w:rsid w:val="00443CA0"/>
    <w:rsid w:val="00450E14"/>
    <w:rsid w:val="00450FF7"/>
    <w:rsid w:val="00455CC2"/>
    <w:rsid w:val="00462C65"/>
    <w:rsid w:val="00467B14"/>
    <w:rsid w:val="0047060B"/>
    <w:rsid w:val="0047412F"/>
    <w:rsid w:val="00474EDA"/>
    <w:rsid w:val="0047536D"/>
    <w:rsid w:val="004824FA"/>
    <w:rsid w:val="00484011"/>
    <w:rsid w:val="004841F1"/>
    <w:rsid w:val="00494440"/>
    <w:rsid w:val="004A1E3A"/>
    <w:rsid w:val="004A765A"/>
    <w:rsid w:val="004B454F"/>
    <w:rsid w:val="004C4AEA"/>
    <w:rsid w:val="004C54F6"/>
    <w:rsid w:val="004E003C"/>
    <w:rsid w:val="004E16EB"/>
    <w:rsid w:val="004E6665"/>
    <w:rsid w:val="004F634E"/>
    <w:rsid w:val="004F67A8"/>
    <w:rsid w:val="00503D02"/>
    <w:rsid w:val="0051543B"/>
    <w:rsid w:val="005210EC"/>
    <w:rsid w:val="00521250"/>
    <w:rsid w:val="00522A50"/>
    <w:rsid w:val="00526818"/>
    <w:rsid w:val="00527225"/>
    <w:rsid w:val="005321DF"/>
    <w:rsid w:val="005323BC"/>
    <w:rsid w:val="0053557D"/>
    <w:rsid w:val="005408EF"/>
    <w:rsid w:val="00543B75"/>
    <w:rsid w:val="005463DE"/>
    <w:rsid w:val="00546DC2"/>
    <w:rsid w:val="005542E8"/>
    <w:rsid w:val="00556630"/>
    <w:rsid w:val="0055686D"/>
    <w:rsid w:val="005800EE"/>
    <w:rsid w:val="005869D6"/>
    <w:rsid w:val="00593140"/>
    <w:rsid w:val="005A33F6"/>
    <w:rsid w:val="005A416E"/>
    <w:rsid w:val="005A59E5"/>
    <w:rsid w:val="005A7C04"/>
    <w:rsid w:val="005B6F23"/>
    <w:rsid w:val="005B7440"/>
    <w:rsid w:val="005C6E9D"/>
    <w:rsid w:val="005D7F6C"/>
    <w:rsid w:val="005E2150"/>
    <w:rsid w:val="005E2995"/>
    <w:rsid w:val="005F208A"/>
    <w:rsid w:val="005F3FEF"/>
    <w:rsid w:val="00601392"/>
    <w:rsid w:val="00605D49"/>
    <w:rsid w:val="006075F6"/>
    <w:rsid w:val="00607F7C"/>
    <w:rsid w:val="006102DA"/>
    <w:rsid w:val="00621F93"/>
    <w:rsid w:val="006315A3"/>
    <w:rsid w:val="00633066"/>
    <w:rsid w:val="00637CC1"/>
    <w:rsid w:val="00640266"/>
    <w:rsid w:val="00645C54"/>
    <w:rsid w:val="006579A2"/>
    <w:rsid w:val="00667C89"/>
    <w:rsid w:val="006711EE"/>
    <w:rsid w:val="006809BB"/>
    <w:rsid w:val="006809FD"/>
    <w:rsid w:val="0068154E"/>
    <w:rsid w:val="00691D1F"/>
    <w:rsid w:val="00697BAE"/>
    <w:rsid w:val="006A3CFD"/>
    <w:rsid w:val="006B4694"/>
    <w:rsid w:val="006B4DDC"/>
    <w:rsid w:val="006B5E55"/>
    <w:rsid w:val="006D25A1"/>
    <w:rsid w:val="006F6856"/>
    <w:rsid w:val="007145D0"/>
    <w:rsid w:val="0071485C"/>
    <w:rsid w:val="00716F94"/>
    <w:rsid w:val="00751DB5"/>
    <w:rsid w:val="00757652"/>
    <w:rsid w:val="00760E12"/>
    <w:rsid w:val="00763CF3"/>
    <w:rsid w:val="00772293"/>
    <w:rsid w:val="00772643"/>
    <w:rsid w:val="007741F4"/>
    <w:rsid w:val="00783A3C"/>
    <w:rsid w:val="00783C75"/>
    <w:rsid w:val="00784619"/>
    <w:rsid w:val="0078627B"/>
    <w:rsid w:val="00794E32"/>
    <w:rsid w:val="00795C91"/>
    <w:rsid w:val="007A24AE"/>
    <w:rsid w:val="007B0932"/>
    <w:rsid w:val="007B0DA1"/>
    <w:rsid w:val="007B305A"/>
    <w:rsid w:val="007B4B9C"/>
    <w:rsid w:val="007C10C3"/>
    <w:rsid w:val="007D2B87"/>
    <w:rsid w:val="007D6E7C"/>
    <w:rsid w:val="00800993"/>
    <w:rsid w:val="00815C7D"/>
    <w:rsid w:val="00817941"/>
    <w:rsid w:val="008261AB"/>
    <w:rsid w:val="00835CA7"/>
    <w:rsid w:val="008370D4"/>
    <w:rsid w:val="00840462"/>
    <w:rsid w:val="008414AD"/>
    <w:rsid w:val="008428D9"/>
    <w:rsid w:val="00842EAB"/>
    <w:rsid w:val="00846612"/>
    <w:rsid w:val="00871FDF"/>
    <w:rsid w:val="00884DB9"/>
    <w:rsid w:val="0089676F"/>
    <w:rsid w:val="008C67D2"/>
    <w:rsid w:val="008D4684"/>
    <w:rsid w:val="008D5A31"/>
    <w:rsid w:val="008E0244"/>
    <w:rsid w:val="008E0683"/>
    <w:rsid w:val="008E3B1F"/>
    <w:rsid w:val="00902DD9"/>
    <w:rsid w:val="00907D7D"/>
    <w:rsid w:val="00911486"/>
    <w:rsid w:val="009129CA"/>
    <w:rsid w:val="009206B6"/>
    <w:rsid w:val="009263C1"/>
    <w:rsid w:val="0092651D"/>
    <w:rsid w:val="00931C02"/>
    <w:rsid w:val="00935843"/>
    <w:rsid w:val="00935FFD"/>
    <w:rsid w:val="009379D1"/>
    <w:rsid w:val="00941B4F"/>
    <w:rsid w:val="00963CE3"/>
    <w:rsid w:val="00964F18"/>
    <w:rsid w:val="00970987"/>
    <w:rsid w:val="00974424"/>
    <w:rsid w:val="009759F3"/>
    <w:rsid w:val="00987F76"/>
    <w:rsid w:val="00993088"/>
    <w:rsid w:val="0099664F"/>
    <w:rsid w:val="00997D5D"/>
    <w:rsid w:val="009A0447"/>
    <w:rsid w:val="009A3CCA"/>
    <w:rsid w:val="009A64C4"/>
    <w:rsid w:val="009A7D8A"/>
    <w:rsid w:val="009B034F"/>
    <w:rsid w:val="009B4A51"/>
    <w:rsid w:val="009C28B1"/>
    <w:rsid w:val="009C61AD"/>
    <w:rsid w:val="009D373D"/>
    <w:rsid w:val="009E1D05"/>
    <w:rsid w:val="009F7283"/>
    <w:rsid w:val="009F7301"/>
    <w:rsid w:val="00A017CF"/>
    <w:rsid w:val="00A11B0C"/>
    <w:rsid w:val="00A13717"/>
    <w:rsid w:val="00A305CE"/>
    <w:rsid w:val="00A33B35"/>
    <w:rsid w:val="00A36419"/>
    <w:rsid w:val="00A50065"/>
    <w:rsid w:val="00A578C2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3EE9"/>
    <w:rsid w:val="00AC5C48"/>
    <w:rsid w:val="00AE0C29"/>
    <w:rsid w:val="00AE668B"/>
    <w:rsid w:val="00AE6B45"/>
    <w:rsid w:val="00AF0CF4"/>
    <w:rsid w:val="00AF2252"/>
    <w:rsid w:val="00AF7427"/>
    <w:rsid w:val="00B06FCA"/>
    <w:rsid w:val="00B1129F"/>
    <w:rsid w:val="00B11D61"/>
    <w:rsid w:val="00B12F51"/>
    <w:rsid w:val="00B1668E"/>
    <w:rsid w:val="00B171B6"/>
    <w:rsid w:val="00B21E1C"/>
    <w:rsid w:val="00B2751E"/>
    <w:rsid w:val="00B33A47"/>
    <w:rsid w:val="00B3650C"/>
    <w:rsid w:val="00B55AE5"/>
    <w:rsid w:val="00B64BFA"/>
    <w:rsid w:val="00B73959"/>
    <w:rsid w:val="00B8361C"/>
    <w:rsid w:val="00B853F1"/>
    <w:rsid w:val="00B85DE4"/>
    <w:rsid w:val="00B91A31"/>
    <w:rsid w:val="00BA6DB4"/>
    <w:rsid w:val="00BB371D"/>
    <w:rsid w:val="00BC3F3C"/>
    <w:rsid w:val="00BC5BB2"/>
    <w:rsid w:val="00BC6896"/>
    <w:rsid w:val="00BC70AD"/>
    <w:rsid w:val="00BF3F54"/>
    <w:rsid w:val="00C00697"/>
    <w:rsid w:val="00C0376C"/>
    <w:rsid w:val="00C06D77"/>
    <w:rsid w:val="00C14BA6"/>
    <w:rsid w:val="00C347E7"/>
    <w:rsid w:val="00C3485C"/>
    <w:rsid w:val="00C360AB"/>
    <w:rsid w:val="00C420D4"/>
    <w:rsid w:val="00C66BF2"/>
    <w:rsid w:val="00CA2004"/>
    <w:rsid w:val="00CB334D"/>
    <w:rsid w:val="00CB56D5"/>
    <w:rsid w:val="00CC00BE"/>
    <w:rsid w:val="00CC0AAB"/>
    <w:rsid w:val="00CC0B7A"/>
    <w:rsid w:val="00CC0FF2"/>
    <w:rsid w:val="00CD0771"/>
    <w:rsid w:val="00CD1EA8"/>
    <w:rsid w:val="00CD2C4C"/>
    <w:rsid w:val="00CF5ABD"/>
    <w:rsid w:val="00CF63CE"/>
    <w:rsid w:val="00D067C1"/>
    <w:rsid w:val="00D13B13"/>
    <w:rsid w:val="00D16E78"/>
    <w:rsid w:val="00D201D3"/>
    <w:rsid w:val="00D26A64"/>
    <w:rsid w:val="00D3046F"/>
    <w:rsid w:val="00D328FA"/>
    <w:rsid w:val="00D4221A"/>
    <w:rsid w:val="00D522E4"/>
    <w:rsid w:val="00D52B9A"/>
    <w:rsid w:val="00D5367E"/>
    <w:rsid w:val="00D61A79"/>
    <w:rsid w:val="00D7285C"/>
    <w:rsid w:val="00D74EF7"/>
    <w:rsid w:val="00D861ED"/>
    <w:rsid w:val="00D873E0"/>
    <w:rsid w:val="00D94F8B"/>
    <w:rsid w:val="00D9775D"/>
    <w:rsid w:val="00DA2B9E"/>
    <w:rsid w:val="00DA4EA9"/>
    <w:rsid w:val="00DA5988"/>
    <w:rsid w:val="00DA73BB"/>
    <w:rsid w:val="00DC317C"/>
    <w:rsid w:val="00DC4FF2"/>
    <w:rsid w:val="00DC79CC"/>
    <w:rsid w:val="00DC7F7E"/>
    <w:rsid w:val="00DF4355"/>
    <w:rsid w:val="00DF6320"/>
    <w:rsid w:val="00E0719F"/>
    <w:rsid w:val="00E134F4"/>
    <w:rsid w:val="00E23568"/>
    <w:rsid w:val="00E245B5"/>
    <w:rsid w:val="00E24C20"/>
    <w:rsid w:val="00E24D6B"/>
    <w:rsid w:val="00E31397"/>
    <w:rsid w:val="00E33E1B"/>
    <w:rsid w:val="00E34D3E"/>
    <w:rsid w:val="00E433C8"/>
    <w:rsid w:val="00E74E7A"/>
    <w:rsid w:val="00E81C5E"/>
    <w:rsid w:val="00E83B3C"/>
    <w:rsid w:val="00E8736B"/>
    <w:rsid w:val="00E90275"/>
    <w:rsid w:val="00E925D4"/>
    <w:rsid w:val="00E97226"/>
    <w:rsid w:val="00EB62C8"/>
    <w:rsid w:val="00EB63B3"/>
    <w:rsid w:val="00EC5AC3"/>
    <w:rsid w:val="00ED6878"/>
    <w:rsid w:val="00EE1035"/>
    <w:rsid w:val="00EF0EC8"/>
    <w:rsid w:val="00EF33CD"/>
    <w:rsid w:val="00F07C97"/>
    <w:rsid w:val="00F126AF"/>
    <w:rsid w:val="00F12D99"/>
    <w:rsid w:val="00F20918"/>
    <w:rsid w:val="00F2267A"/>
    <w:rsid w:val="00F300CB"/>
    <w:rsid w:val="00F42AB4"/>
    <w:rsid w:val="00F42C3A"/>
    <w:rsid w:val="00F52BCC"/>
    <w:rsid w:val="00F5313F"/>
    <w:rsid w:val="00F57581"/>
    <w:rsid w:val="00F725B5"/>
    <w:rsid w:val="00F81A48"/>
    <w:rsid w:val="00F96483"/>
    <w:rsid w:val="00FB2F6A"/>
    <w:rsid w:val="00FD157C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A0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14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C6896"/>
    <w:pPr>
      <w:numPr>
        <w:numId w:val="3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aliases w:val="Proposal Bullet List,Paragraph"/>
    <w:basedOn w:val="Normal"/>
    <w:link w:val="ListParagraphChar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6896"/>
    <w:rPr>
      <w:rFonts w:asciiTheme="majorHAnsi" w:hAnsiTheme="majorHAns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B093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5F7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A3CCA"/>
    <w:pPr>
      <w:spacing w:line="240" w:lineRule="auto"/>
      <w:ind w:left="0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3CCA"/>
    <w:rPr>
      <w:rFonts w:ascii="Calibri" w:eastAsiaTheme="minorHAnsi" w:hAnsi="Calibri"/>
      <w:szCs w:val="21"/>
    </w:rPr>
  </w:style>
  <w:style w:type="character" w:customStyle="1" w:styleId="ListParagraphChar">
    <w:name w:val="List Paragraph Char"/>
    <w:aliases w:val="Proposal Bullet List Char,Paragraph Char"/>
    <w:link w:val="ListParagraph"/>
    <w:uiPriority w:val="34"/>
    <w:rsid w:val="00F96483"/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14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C6896"/>
    <w:pPr>
      <w:numPr>
        <w:numId w:val="3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aliases w:val="Proposal Bullet List,Paragraph"/>
    <w:basedOn w:val="Normal"/>
    <w:link w:val="ListParagraphChar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6896"/>
    <w:rPr>
      <w:rFonts w:asciiTheme="majorHAnsi" w:hAnsiTheme="majorHAns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B093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5F7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A3CCA"/>
    <w:pPr>
      <w:spacing w:line="240" w:lineRule="auto"/>
      <w:ind w:left="0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3CCA"/>
    <w:rPr>
      <w:rFonts w:ascii="Calibri" w:eastAsiaTheme="minorHAnsi" w:hAnsi="Calibri"/>
      <w:szCs w:val="21"/>
    </w:rPr>
  </w:style>
  <w:style w:type="character" w:customStyle="1" w:styleId="ListParagraphChar">
    <w:name w:val="List Paragraph Char"/>
    <w:aliases w:val="Proposal Bullet List Char,Paragraph Char"/>
    <w:link w:val="ListParagraph"/>
    <w:uiPriority w:val="34"/>
    <w:rsid w:val="00F96483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ga9@cd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lauren.e.buethe@accenturefederal.com" TargetMode="External"/><Relationship Id="rId23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kga9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4b6d642acce4a69bb12b2a8776f908fb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2acb54aff11e712fd2cd31498753e1a5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OSTLTSDOC-727-23</_dlc_DocId>
    <_dlc_DocIdUrl xmlns="b5c0ca00-073d-4463-9985-b654f14791fe">
      <Url>http://esp.cdc.gov/sites/ostlts/pip/osc/_layouts/DocIdRedir.aspx?ID=OSTLTSDOC-727-23</Url>
      <Description>OSTLTSDOC-727-23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BD6B-39B8-4D82-AD82-B908C977B90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3848E2E-3708-4ABF-9D2E-48BA002CC5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EBB37C-90D9-457A-A846-8B179207C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AEF73-14DB-4452-8FE7-2DB8517EA9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AAE2E4-A5A8-4789-8626-2300D2A51420}">
  <ds:schemaRefs>
    <ds:schemaRef ds:uri="http://schemas.microsoft.com/office/2006/metadata/properties"/>
    <ds:schemaRef ds:uri="http://schemas.microsoft.com/office/infopath/2007/PartnerControls"/>
    <ds:schemaRef ds:uri="bd99c180-279b-44c3-9486-dd050336677e"/>
    <ds:schemaRef ds:uri="15b1c282-9287-45cb-9b41-eae3a76919a0"/>
    <ds:schemaRef ds:uri="b5c0ca00-073d-4463-9985-b654f14791fe"/>
  </ds:schemaRefs>
</ds:datastoreItem>
</file>

<file path=customXml/itemProps6.xml><?xml version="1.0" encoding="utf-8"?>
<ds:datastoreItem xmlns:ds="http://schemas.openxmlformats.org/officeDocument/2006/customXml" ds:itemID="{9F17B6DD-12CB-421B-9629-B2E5F5B4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2</cp:revision>
  <cp:lastPrinted>2014-08-13T15:32:00Z</cp:lastPrinted>
  <dcterms:created xsi:type="dcterms:W3CDTF">2014-09-11T16:33:00Z</dcterms:created>
  <dcterms:modified xsi:type="dcterms:W3CDTF">2014-09-11T16:33:00Z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e9977b6b-d011-44d4-a1f7-f56c023c8cf8</vt:lpwstr>
  </property>
</Properties>
</file>