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A00E5" w14:textId="77777777" w:rsidR="00716F94" w:rsidRDefault="00716F94" w:rsidP="00BC6896"/>
    <w:p w14:paraId="2DAA00E6" w14:textId="77777777" w:rsidR="009B4A51" w:rsidRDefault="009B4A51" w:rsidP="00BC6896"/>
    <w:p w14:paraId="2DAA00E7" w14:textId="77777777" w:rsidR="009B4A51" w:rsidRDefault="009B4A51" w:rsidP="00BC6896"/>
    <w:p w14:paraId="2DAA00E8" w14:textId="77777777" w:rsidR="009B4A51" w:rsidRDefault="009B4A51" w:rsidP="00BC6896"/>
    <w:p w14:paraId="2DAA00E9" w14:textId="77777777" w:rsidR="009B4A51" w:rsidRDefault="009B4A51" w:rsidP="00BC6896"/>
    <w:p w14:paraId="2DAA00EA" w14:textId="77777777" w:rsidR="00667C89" w:rsidRDefault="00667C89" w:rsidP="00BC6896"/>
    <w:p w14:paraId="2DAA00EB" w14:textId="77777777" w:rsidR="009B4A51" w:rsidRDefault="009B4A51" w:rsidP="00BC6896"/>
    <w:p w14:paraId="2DAA00EC" w14:textId="77777777" w:rsidR="009B4A51" w:rsidRDefault="009B4A51" w:rsidP="00BC6896"/>
    <w:p w14:paraId="287F2C05" w14:textId="77777777" w:rsidR="008A1FD3" w:rsidRPr="00E17769" w:rsidRDefault="008A1FD3" w:rsidP="008A1FD3">
      <w:pPr>
        <w:pStyle w:val="Heading1"/>
      </w:pPr>
      <w:r w:rsidRPr="00E17769">
        <w:t xml:space="preserve">School Health “Water Toolkit”: Assessing </w:t>
      </w:r>
      <w:r>
        <w:t xml:space="preserve">Awareness, </w:t>
      </w:r>
      <w:r w:rsidRPr="00E17769">
        <w:t>Satisfaction</w:t>
      </w:r>
      <w:r>
        <w:t>,</w:t>
      </w:r>
      <w:r w:rsidRPr="00E17769">
        <w:t xml:space="preserve"> and Utility </w:t>
      </w:r>
    </w:p>
    <w:p w14:paraId="31C8791C" w14:textId="77777777" w:rsidR="008A1FD3" w:rsidRDefault="008A1FD3" w:rsidP="008A1FD3"/>
    <w:p w14:paraId="72DAF0F9" w14:textId="77777777" w:rsidR="008A1FD3" w:rsidRPr="00AA3192" w:rsidRDefault="008A1FD3" w:rsidP="008A1FD3">
      <w:pPr>
        <w:ind w:left="0"/>
        <w:jc w:val="center"/>
      </w:pPr>
      <w:r w:rsidRPr="00AA3192">
        <w:t>OSTLTS Generic Information C</w:t>
      </w:r>
      <w:r>
        <w:t>ollection</w:t>
      </w:r>
      <w:r w:rsidRPr="00AA3192">
        <w:t xml:space="preserve"> Request</w:t>
      </w:r>
    </w:p>
    <w:p w14:paraId="545B7D70" w14:textId="77777777" w:rsidR="008A1FD3" w:rsidRPr="00AA3192" w:rsidRDefault="008A1FD3" w:rsidP="008A1FD3">
      <w:pPr>
        <w:pStyle w:val="Header"/>
        <w:ind w:left="0"/>
        <w:jc w:val="center"/>
      </w:pPr>
      <w:r w:rsidRPr="00AA3192">
        <w:t>OMB No. 0920-0879</w:t>
      </w:r>
    </w:p>
    <w:p w14:paraId="54E80AA0" w14:textId="77777777" w:rsidR="008A1FD3" w:rsidRDefault="008A1FD3" w:rsidP="008A1FD3"/>
    <w:p w14:paraId="64EC8D44" w14:textId="77777777" w:rsidR="008A1FD3" w:rsidRDefault="008A1FD3" w:rsidP="008A1FD3"/>
    <w:p w14:paraId="61F44E2E" w14:textId="77777777" w:rsidR="008A1FD3" w:rsidRDefault="008A1FD3" w:rsidP="008A1FD3"/>
    <w:p w14:paraId="74682ACD" w14:textId="77777777" w:rsidR="008A1FD3" w:rsidRDefault="008A1FD3" w:rsidP="008A1FD3"/>
    <w:p w14:paraId="5B3EF07C" w14:textId="77777777" w:rsidR="008A1FD3" w:rsidRPr="00BC6896" w:rsidRDefault="008A1FD3" w:rsidP="008A1FD3">
      <w:pPr>
        <w:pStyle w:val="Heading2"/>
      </w:pPr>
      <w:r w:rsidRPr="00BC6896">
        <w:t>Supporting Statement – Section B</w:t>
      </w:r>
    </w:p>
    <w:p w14:paraId="189CA22F" w14:textId="77777777" w:rsidR="008A1FD3" w:rsidRDefault="008A1FD3" w:rsidP="008A1FD3"/>
    <w:p w14:paraId="4C06B672" w14:textId="77777777" w:rsidR="008A1FD3" w:rsidRDefault="008A1FD3" w:rsidP="008A1FD3"/>
    <w:p w14:paraId="3892174B" w14:textId="77777777" w:rsidR="008A1FD3" w:rsidRDefault="008A1FD3" w:rsidP="008A1FD3"/>
    <w:p w14:paraId="579476F4" w14:textId="77777777" w:rsidR="008A1FD3" w:rsidRDefault="008A1FD3" w:rsidP="008A1FD3"/>
    <w:p w14:paraId="75A45F41" w14:textId="77777777" w:rsidR="008A1FD3" w:rsidRDefault="008A1FD3" w:rsidP="008A1FD3"/>
    <w:p w14:paraId="3DE7410A" w14:textId="77777777" w:rsidR="008A1FD3" w:rsidRDefault="008A1FD3" w:rsidP="008A1FD3"/>
    <w:p w14:paraId="6BB70335" w14:textId="341EF238" w:rsidR="008A1FD3" w:rsidRPr="00BC6896" w:rsidRDefault="008A1FD3" w:rsidP="008A1FD3">
      <w:pPr>
        <w:ind w:left="0"/>
        <w:jc w:val="center"/>
      </w:pPr>
      <w:r w:rsidRPr="00AA3192">
        <w:t xml:space="preserve">Submitted: </w:t>
      </w:r>
      <w:r w:rsidR="00426055">
        <w:t>8/11/14</w:t>
      </w:r>
    </w:p>
    <w:p w14:paraId="6702FBA4" w14:textId="77777777" w:rsidR="008A1FD3" w:rsidRDefault="008A1FD3" w:rsidP="008A1FD3"/>
    <w:p w14:paraId="787CB84A" w14:textId="77777777" w:rsidR="008A1FD3" w:rsidRDefault="008A1FD3" w:rsidP="008A1FD3"/>
    <w:p w14:paraId="63B6D66F" w14:textId="77777777" w:rsidR="008A1FD3" w:rsidRDefault="008A1FD3" w:rsidP="008A1FD3">
      <w:pPr>
        <w:ind w:left="0"/>
      </w:pPr>
    </w:p>
    <w:p w14:paraId="784D3B36" w14:textId="77777777" w:rsidR="008A1FD3" w:rsidRDefault="008A1FD3" w:rsidP="008A1FD3"/>
    <w:p w14:paraId="223F1AFF" w14:textId="77777777" w:rsidR="00426055" w:rsidRDefault="00426055" w:rsidP="008A1FD3"/>
    <w:p w14:paraId="69FB7B81" w14:textId="77777777" w:rsidR="00426055" w:rsidRDefault="00426055" w:rsidP="008A1FD3"/>
    <w:p w14:paraId="6FBE0004" w14:textId="77777777" w:rsidR="00426055" w:rsidRDefault="00426055" w:rsidP="008A1FD3"/>
    <w:p w14:paraId="45E56D1E" w14:textId="77777777" w:rsidR="008A1FD3" w:rsidRPr="00BC6896" w:rsidRDefault="008A1FD3" w:rsidP="008A1FD3">
      <w:pPr>
        <w:ind w:left="0"/>
        <w:rPr>
          <w:b/>
          <w:u w:val="single"/>
        </w:rPr>
      </w:pPr>
      <w:r w:rsidRPr="00BC6896">
        <w:rPr>
          <w:b/>
          <w:u w:val="single"/>
        </w:rPr>
        <w:t>Program Official/Project Officer</w:t>
      </w:r>
    </w:p>
    <w:p w14:paraId="0D980453" w14:textId="77777777" w:rsidR="008A1FD3" w:rsidRPr="004B1EED" w:rsidRDefault="008A1FD3" w:rsidP="008A1FD3">
      <w:pPr>
        <w:spacing w:line="240" w:lineRule="auto"/>
        <w:ind w:left="0"/>
      </w:pPr>
      <w:r w:rsidRPr="004B1EED">
        <w:t>Sarah Sliwa</w:t>
      </w:r>
    </w:p>
    <w:p w14:paraId="1BEA9143" w14:textId="77777777" w:rsidR="008A1FD3" w:rsidRPr="004B1EED" w:rsidRDefault="008A1FD3" w:rsidP="008A1FD3">
      <w:pPr>
        <w:spacing w:line="240" w:lineRule="auto"/>
        <w:ind w:left="0"/>
      </w:pPr>
      <w:r w:rsidRPr="004B1EED">
        <w:t>School Health Branch/Division of Population Health</w:t>
      </w:r>
    </w:p>
    <w:p w14:paraId="10D37828" w14:textId="77777777" w:rsidR="008A1FD3" w:rsidRPr="004B1EED" w:rsidRDefault="008A1FD3" w:rsidP="008A1FD3">
      <w:pPr>
        <w:spacing w:line="240" w:lineRule="auto"/>
        <w:ind w:left="0"/>
      </w:pPr>
      <w:r w:rsidRPr="004B1EED">
        <w:rPr>
          <w:noProof/>
        </w:rPr>
        <w:t>National Center for Chronic Disease Prevention and Health Promotion</w:t>
      </w:r>
      <w:r w:rsidRPr="004B1EED">
        <w:t xml:space="preserve"> </w:t>
      </w:r>
    </w:p>
    <w:p w14:paraId="1BB54E95" w14:textId="77777777" w:rsidR="008A1FD3" w:rsidRPr="004B1EED" w:rsidRDefault="008A1FD3" w:rsidP="008A1FD3">
      <w:pPr>
        <w:spacing w:line="240" w:lineRule="auto"/>
        <w:ind w:left="0"/>
      </w:pPr>
      <w:r w:rsidRPr="004B1EED">
        <w:t>Centers for Disease Control and Prevention</w:t>
      </w:r>
    </w:p>
    <w:p w14:paraId="15945883" w14:textId="77777777" w:rsidR="008A1FD3" w:rsidRPr="004B1EED" w:rsidRDefault="008A1FD3" w:rsidP="008A1FD3">
      <w:pPr>
        <w:spacing w:line="240" w:lineRule="auto"/>
        <w:ind w:left="0"/>
      </w:pPr>
      <w:r w:rsidRPr="004B1EED">
        <w:t>4770 Buford Hwy, NE, MS E-70, Atlanta, GA 30341</w:t>
      </w:r>
    </w:p>
    <w:p w14:paraId="77145DC6" w14:textId="77777777" w:rsidR="008A1FD3" w:rsidRPr="004B1EED" w:rsidRDefault="008A1FD3" w:rsidP="008A1FD3">
      <w:pPr>
        <w:spacing w:line="240" w:lineRule="auto"/>
        <w:ind w:left="0"/>
      </w:pPr>
      <w:proofErr w:type="gramStart"/>
      <w:r w:rsidRPr="004B1EED">
        <w:t>cubicle</w:t>
      </w:r>
      <w:proofErr w:type="gramEnd"/>
      <w:r w:rsidRPr="004B1EED">
        <w:t xml:space="preserve"> 6221.4, mailstop F78</w:t>
      </w:r>
    </w:p>
    <w:p w14:paraId="635E5A02" w14:textId="77777777" w:rsidR="008A1FD3" w:rsidRPr="004B1EED" w:rsidRDefault="008A1FD3" w:rsidP="008A1FD3">
      <w:pPr>
        <w:spacing w:line="240" w:lineRule="auto"/>
        <w:ind w:left="0"/>
      </w:pPr>
      <w:r w:rsidRPr="004B1EED">
        <w:rPr>
          <w:noProof/>
        </w:rPr>
        <w:t>Phone: 770-488-0946</w:t>
      </w:r>
      <w:r w:rsidRPr="004B1EED">
        <w:t xml:space="preserve"> </w:t>
      </w:r>
    </w:p>
    <w:p w14:paraId="35AFD9EA" w14:textId="77777777" w:rsidR="008A1FD3" w:rsidRPr="004B1EED" w:rsidRDefault="008A1FD3" w:rsidP="008A1FD3">
      <w:pPr>
        <w:spacing w:line="240" w:lineRule="auto"/>
        <w:ind w:left="0"/>
      </w:pPr>
      <w:r w:rsidRPr="004B1EED">
        <w:t xml:space="preserve">Fax: </w:t>
      </w:r>
      <w:r w:rsidRPr="004B1EED">
        <w:rPr>
          <w:rStyle w:val="baec5a81-e4d6-4674-97f3-e9220f0136c1"/>
          <w:rFonts w:cs="Tahoma"/>
        </w:rPr>
        <w:t>404-488-5771</w:t>
      </w:r>
    </w:p>
    <w:p w14:paraId="3647C205" w14:textId="77777777" w:rsidR="008A1FD3" w:rsidRPr="004B1EED" w:rsidRDefault="008A1FD3" w:rsidP="008A1FD3">
      <w:pPr>
        <w:spacing w:line="240" w:lineRule="auto"/>
        <w:ind w:left="0"/>
      </w:pPr>
      <w:r w:rsidRPr="004B1EED">
        <w:t>ssliwa@cdc.gov</w:t>
      </w:r>
    </w:p>
    <w:p w14:paraId="3698B670" w14:textId="77777777" w:rsidR="008A1FD3" w:rsidRDefault="008A1FD3" w:rsidP="008A1FD3"/>
    <w:p w14:paraId="4AAE6215" w14:textId="77777777" w:rsidR="008A1FD3" w:rsidRPr="00BC6896" w:rsidRDefault="008A1FD3" w:rsidP="008A1FD3">
      <w:pPr>
        <w:pStyle w:val="Heading3"/>
      </w:pPr>
      <w:r w:rsidRPr="00BC6896">
        <w:lastRenderedPageBreak/>
        <w:t xml:space="preserve">Section B – </w:t>
      </w:r>
      <w:r>
        <w:t>Information</w:t>
      </w:r>
      <w:r w:rsidRPr="00BC6896">
        <w:t xml:space="preserve"> Collection Procedures</w:t>
      </w:r>
    </w:p>
    <w:p w14:paraId="1EF598B9" w14:textId="77777777" w:rsidR="008A1FD3" w:rsidRDefault="008A1FD3" w:rsidP="008A1FD3"/>
    <w:p w14:paraId="4EF0A38F" w14:textId="77777777" w:rsidR="008A1FD3" w:rsidRPr="00BC6896" w:rsidRDefault="008A1FD3" w:rsidP="008A1FD3">
      <w:pPr>
        <w:pStyle w:val="Heading4"/>
      </w:pPr>
      <w:r w:rsidRPr="004B1EED">
        <w:t>Respondent</w:t>
      </w:r>
      <w:r w:rsidRPr="00BC6896">
        <w:t xml:space="preserve"> Universe and Sampling Methods </w:t>
      </w:r>
    </w:p>
    <w:p w14:paraId="00BF8131" w14:textId="2DEC1482" w:rsidR="008A1FD3" w:rsidRDefault="00DF5E3A" w:rsidP="008A1FD3">
      <w:pPr>
        <w:ind w:left="0"/>
      </w:pPr>
      <w:r w:rsidRPr="00DF5E3A">
        <w:t xml:space="preserve">Data will be collected through </w:t>
      </w:r>
      <w:r>
        <w:t xml:space="preserve">a </w:t>
      </w:r>
      <w:r w:rsidRPr="00DF5E3A">
        <w:t xml:space="preserve">two-phased assessment administered to the respondent population. </w:t>
      </w:r>
      <w:r w:rsidR="008A1FD3" w:rsidRPr="00673961">
        <w:t xml:space="preserve">The respondent </w:t>
      </w:r>
      <w:r w:rsidR="008A1FD3">
        <w:t>universe</w:t>
      </w:r>
      <w:r w:rsidR="008A1FD3" w:rsidRPr="00673961">
        <w:t xml:space="preserve"> </w:t>
      </w:r>
      <w:r>
        <w:t xml:space="preserve">for both phases </w:t>
      </w:r>
      <w:r w:rsidR="008A1FD3" w:rsidRPr="00673961">
        <w:t>consists</w:t>
      </w:r>
      <w:r w:rsidR="008A1FD3">
        <w:t xml:space="preserve"> of </w:t>
      </w:r>
      <w:r w:rsidRPr="00DF5E3A">
        <w:t xml:space="preserve">85 State Department of Public Health and 6 State Department of Education staff acting in their official capacities to implement strategies to support healthier school nutrition environments, which encompasses all 50 states and the District of Columbia. </w:t>
      </w:r>
      <w:proofErr w:type="gramStart"/>
      <w:r w:rsidRPr="00DF5E3A">
        <w:t>These staff are</w:t>
      </w:r>
      <w:proofErr w:type="gramEnd"/>
      <w:r w:rsidRPr="00DF5E3A">
        <w:t xml:space="preserve"> State Public Health Actions to Prevent and Control Diabetes, Heart Disease, Obesity and Associated Risk Factors and Promote School Health/1305 (“1305/State Public Health Actions”) grantees funded by the Centers for Disease Control and Prevention (CDC).</w:t>
      </w:r>
    </w:p>
    <w:p w14:paraId="4DCBD8EA" w14:textId="77777777" w:rsidR="008A1FD3" w:rsidRDefault="008A1FD3" w:rsidP="008A1FD3">
      <w:pPr>
        <w:ind w:left="0"/>
      </w:pPr>
    </w:p>
    <w:p w14:paraId="204D77FB" w14:textId="3FB22946" w:rsidR="008A1FD3" w:rsidRDefault="008A1FD3" w:rsidP="008A1FD3">
      <w:pPr>
        <w:ind w:left="0"/>
      </w:pPr>
      <w:r>
        <w:t>The universe includes state health officers, public health information officers, school health coordinators, directors in chronic prevention sections of state health departments, as well</w:t>
      </w:r>
      <w:r w:rsidR="000A0494">
        <w:t xml:space="preserve"> as</w:t>
      </w:r>
      <w:r>
        <w:t xml:space="preserve"> school health coordinators and similar positions based in </w:t>
      </w:r>
      <w:r w:rsidR="00426055">
        <w:t>state health and education d</w:t>
      </w:r>
      <w:r>
        <w:t>epartments</w:t>
      </w:r>
      <w:r w:rsidR="00426055">
        <w:t xml:space="preserve">. </w:t>
      </w:r>
      <w:r>
        <w:t>Implementing strategies to support physical activity, nutrition, and coordinated management of chronic conditions in school settings are the responsibilities of both the health depar</w:t>
      </w:r>
      <w:r w:rsidR="00426055">
        <w:t xml:space="preserve">tment and public school staff. </w:t>
      </w:r>
      <w:r>
        <w:t xml:space="preserve">Staffing configurations vary among the </w:t>
      </w:r>
      <w:r w:rsidR="00DF5E3A" w:rsidRPr="00DF5E3A">
        <w:t>1305/State Public Health Actions</w:t>
      </w:r>
      <w:r>
        <w:t xml:space="preserve"> grantees such that in some states, the primary contact for the implementation of school-based strategies is based in the </w:t>
      </w:r>
      <w:r w:rsidR="00426055">
        <w:t>h</w:t>
      </w:r>
      <w:r>
        <w:t xml:space="preserve">ealth </w:t>
      </w:r>
      <w:r w:rsidR="00426055">
        <w:t>d</w:t>
      </w:r>
      <w:r>
        <w:t xml:space="preserve">epartment and in others the main contact is in the Department of Education or Public Instruction. In order to reliably reach those leading the implementation of activities to improve students’ access to drinking water, the respondent universe includes personnel from both settings. </w:t>
      </w:r>
    </w:p>
    <w:p w14:paraId="5700977F" w14:textId="77777777" w:rsidR="008A1FD3" w:rsidRDefault="008A1FD3" w:rsidP="008A1FD3">
      <w:pPr>
        <w:ind w:left="0"/>
      </w:pPr>
    </w:p>
    <w:p w14:paraId="4CC0CFA2" w14:textId="46F154F3" w:rsidR="008A1FD3" w:rsidRDefault="008A1FD3" w:rsidP="008A1FD3">
      <w:pPr>
        <w:ind w:left="0"/>
      </w:pPr>
      <w:r>
        <w:t xml:space="preserve">The universe </w:t>
      </w:r>
      <w:r w:rsidR="003003FD">
        <w:t xml:space="preserve">comprises </w:t>
      </w:r>
      <w:r>
        <w:t>the individuals responsible for the School Health Strategies</w:t>
      </w:r>
      <w:r w:rsidR="003003FD">
        <w:t xml:space="preserve"> as identified through </w:t>
      </w:r>
      <w:r>
        <w:t xml:space="preserve">the </w:t>
      </w:r>
      <w:r w:rsidR="00426055">
        <w:t xml:space="preserve">primary </w:t>
      </w:r>
      <w:r>
        <w:t xml:space="preserve">staff contact </w:t>
      </w:r>
      <w:r w:rsidR="003003FD">
        <w:t xml:space="preserve">list </w:t>
      </w:r>
      <w:r>
        <w:t xml:space="preserve">provided by the </w:t>
      </w:r>
      <w:r w:rsidR="00426055">
        <w:t>CDC</w:t>
      </w:r>
      <w:r w:rsidR="003003FD">
        <w:t xml:space="preserve"> program officers for </w:t>
      </w:r>
      <w:r w:rsidR="00DF5E3A" w:rsidRPr="00DF5E3A">
        <w:t>1305/State Public Health Actions</w:t>
      </w:r>
      <w:r>
        <w:t xml:space="preserve">. </w:t>
      </w:r>
      <w:r w:rsidR="003003FD">
        <w:t>The universe</w:t>
      </w:r>
      <w:r>
        <w:t xml:space="preserve"> </w:t>
      </w:r>
      <w:r w:rsidR="003003FD">
        <w:t>comprises 85 officials from the Department of Health and 6 from Departments of Education or Public Instruction across the</w:t>
      </w:r>
      <w:r>
        <w:t xml:space="preserve"> 50 states and the District of Columbia </w:t>
      </w:r>
      <w:r w:rsidR="009E09EE">
        <w:t xml:space="preserve">who </w:t>
      </w:r>
      <w:r>
        <w:t xml:space="preserve">will be contacted through this assessment. No sampling procedures are required as everyone in the respondent universe will be asked to participate in the assessment.  </w:t>
      </w:r>
    </w:p>
    <w:p w14:paraId="1BEA544B" w14:textId="77777777" w:rsidR="008A1FD3" w:rsidRDefault="008A1FD3" w:rsidP="008A1FD3">
      <w:pPr>
        <w:ind w:left="0"/>
      </w:pPr>
    </w:p>
    <w:p w14:paraId="07B07DF1" w14:textId="77777777" w:rsidR="008A1FD3" w:rsidRPr="009759F3" w:rsidRDefault="008A1FD3" w:rsidP="008A1FD3">
      <w:pPr>
        <w:pStyle w:val="Heading4"/>
      </w:pPr>
      <w:r w:rsidRPr="009759F3">
        <w:t xml:space="preserve">Procedures for the Collection of Information   </w:t>
      </w:r>
    </w:p>
    <w:p w14:paraId="18DC3EF9" w14:textId="2D1C7A6A" w:rsidR="008A1FD3" w:rsidRPr="00704894" w:rsidRDefault="008A1FD3" w:rsidP="008A1FD3">
      <w:pPr>
        <w:pStyle w:val="ListParagraph"/>
        <w:ind w:left="0"/>
      </w:pPr>
      <w:r>
        <w:t xml:space="preserve">Data will be collected through </w:t>
      </w:r>
      <w:r w:rsidR="00DF5E3A">
        <w:t xml:space="preserve">a </w:t>
      </w:r>
      <w:r>
        <w:t>two</w:t>
      </w:r>
      <w:r w:rsidR="00C922B8">
        <w:t>-phased</w:t>
      </w:r>
      <w:r>
        <w:t xml:space="preserve"> assessment administered to the respondent population</w:t>
      </w:r>
      <w:r w:rsidR="00DF5E3A">
        <w:t xml:space="preserve"> described above.</w:t>
      </w:r>
      <w:r>
        <w:t xml:space="preserve"> The online assessments have been developed using </w:t>
      </w:r>
      <w:r w:rsidRPr="00272850">
        <w:t>Survey Monkey,</w:t>
      </w:r>
      <w:r w:rsidRPr="00704894">
        <w:t xml:space="preserve"> a commercial off-the-shelf </w:t>
      </w:r>
      <w:r>
        <w:t>software</w:t>
      </w:r>
      <w:r w:rsidRPr="00704894">
        <w:t xml:space="preserve"> application that is customizable</w:t>
      </w:r>
      <w:r>
        <w:t xml:space="preserve"> to include </w:t>
      </w:r>
      <w:r w:rsidRPr="00704894">
        <w:t>skip patterns</w:t>
      </w:r>
      <w:r>
        <w:t>, which</w:t>
      </w:r>
      <w:r w:rsidRPr="00704894">
        <w:t xml:space="preserve"> will ensure that questions are relevant to respondents based on previous responses, and will reduce the response burden. </w:t>
      </w:r>
    </w:p>
    <w:p w14:paraId="5468A7AE" w14:textId="77777777" w:rsidR="008A1FD3" w:rsidRPr="00704894" w:rsidRDefault="008A1FD3" w:rsidP="008A1FD3">
      <w:pPr>
        <w:pStyle w:val="ListParagraph"/>
        <w:ind w:left="0"/>
      </w:pPr>
    </w:p>
    <w:p w14:paraId="4DF59427" w14:textId="41135E26" w:rsidR="008A1FD3" w:rsidRPr="00800A64" w:rsidRDefault="008A1FD3" w:rsidP="008A1FD3">
      <w:pPr>
        <w:ind w:left="0"/>
        <w:rPr>
          <w:u w:val="single"/>
        </w:rPr>
      </w:pPr>
      <w:r w:rsidRPr="00800A64">
        <w:rPr>
          <w:u w:val="single"/>
        </w:rPr>
        <w:t>Awareness and Planning Assessment Instrument</w:t>
      </w:r>
      <w:r w:rsidR="00C922B8">
        <w:rPr>
          <w:u w:val="single"/>
        </w:rPr>
        <w:t xml:space="preserve"> (Phase 1</w:t>
      </w:r>
      <w:r w:rsidRPr="00800A64">
        <w:rPr>
          <w:u w:val="single"/>
        </w:rPr>
        <w:t>:</w:t>
      </w:r>
      <w:r w:rsidR="00C922B8">
        <w:rPr>
          <w:u w:val="single"/>
        </w:rPr>
        <w:t xml:space="preserve"> September 2014):</w:t>
      </w:r>
    </w:p>
    <w:p w14:paraId="6141831E" w14:textId="3A320694" w:rsidR="008A1FD3" w:rsidRDefault="008A1FD3" w:rsidP="008A1FD3">
      <w:pPr>
        <w:ind w:left="0"/>
      </w:pPr>
      <w:r w:rsidRPr="00704894">
        <w:t xml:space="preserve">An email notification will be sent to the respondent universe with a link to the online </w:t>
      </w:r>
      <w:r>
        <w:t>assessment tool</w:t>
      </w:r>
      <w:r w:rsidRPr="00704894">
        <w:t xml:space="preserve"> and instructions for completing </w:t>
      </w:r>
      <w:r>
        <w:t>it</w:t>
      </w:r>
      <w:r w:rsidRPr="00704894">
        <w:t xml:space="preserve">. </w:t>
      </w:r>
      <w:r>
        <w:t xml:space="preserve">The notification email (see </w:t>
      </w:r>
      <w:r w:rsidRPr="00334CD6">
        <w:rPr>
          <w:b/>
        </w:rPr>
        <w:t xml:space="preserve">Attachment </w:t>
      </w:r>
      <w:r>
        <w:rPr>
          <w:b/>
        </w:rPr>
        <w:t>F—Notification Email</w:t>
      </w:r>
      <w:r>
        <w:t>) will explain</w:t>
      </w:r>
      <w:r w:rsidRPr="0006651A">
        <w:t xml:space="preserve">: </w:t>
      </w:r>
    </w:p>
    <w:p w14:paraId="295005C5" w14:textId="77777777" w:rsidR="008A1FD3" w:rsidRPr="00272850" w:rsidRDefault="008A1FD3" w:rsidP="008A1FD3">
      <w:pPr>
        <w:pStyle w:val="ListParagraph"/>
        <w:numPr>
          <w:ilvl w:val="0"/>
          <w:numId w:val="27"/>
        </w:numPr>
        <w:rPr>
          <w:b/>
        </w:rPr>
      </w:pPr>
      <w:r w:rsidRPr="00957A95">
        <w:rPr>
          <w:b/>
        </w:rPr>
        <w:t>Duration of survey period:</w:t>
      </w:r>
      <w:r>
        <w:t xml:space="preserve"> </w:t>
      </w:r>
      <w:r w:rsidRPr="007B0608">
        <w:t>The assessment will remain open for three weeks</w:t>
      </w:r>
      <w:r>
        <w:t xml:space="preserve"> (15 business days)</w:t>
      </w:r>
      <w:r w:rsidRPr="007B0608">
        <w:t xml:space="preserve"> to allow ample time for respondents to complete it. </w:t>
      </w:r>
    </w:p>
    <w:p w14:paraId="7DFA114F" w14:textId="77777777" w:rsidR="008A1FD3" w:rsidRPr="00272850" w:rsidRDefault="008A1FD3" w:rsidP="008A1FD3">
      <w:pPr>
        <w:pStyle w:val="ListParagraph"/>
        <w:numPr>
          <w:ilvl w:val="0"/>
          <w:numId w:val="27"/>
        </w:numPr>
        <w:rPr>
          <w:b/>
        </w:rPr>
      </w:pPr>
      <w:r w:rsidRPr="00957A95">
        <w:rPr>
          <w:b/>
        </w:rPr>
        <w:t>Instructions for completing the survey</w:t>
      </w:r>
      <w:r>
        <w:t xml:space="preserve">: Respondents are encouraged to complete the assessment in one sitting, but </w:t>
      </w:r>
      <w:r w:rsidRPr="007B0608">
        <w:t>may complete the assessment in multiple sessions, if necessary.</w:t>
      </w:r>
      <w:r>
        <w:t xml:space="preserve"> </w:t>
      </w:r>
      <w:r w:rsidRPr="007B0608">
        <w:t xml:space="preserve"> </w:t>
      </w:r>
    </w:p>
    <w:p w14:paraId="7D76ED1F" w14:textId="77777777" w:rsidR="008A1FD3" w:rsidRPr="00272850" w:rsidRDefault="008A1FD3" w:rsidP="008A1FD3">
      <w:pPr>
        <w:pStyle w:val="ListParagraph"/>
        <w:numPr>
          <w:ilvl w:val="0"/>
          <w:numId w:val="27"/>
        </w:numPr>
        <w:rPr>
          <w:b/>
        </w:rPr>
      </w:pPr>
      <w:r w:rsidRPr="00957A95">
        <w:rPr>
          <w:b/>
        </w:rPr>
        <w:lastRenderedPageBreak/>
        <w:t>Considerations for respondents’ privacy:</w:t>
      </w:r>
      <w:r>
        <w:rPr>
          <w:b/>
        </w:rPr>
        <w:t xml:space="preserve"> </w:t>
      </w:r>
      <w:r w:rsidRPr="00957A95">
        <w:t>The introduction to the survey describes how the data will only be reported in aggregate and without any information that could be used to identify individual respondents.</w:t>
      </w:r>
      <w:r>
        <w:rPr>
          <w:b/>
        </w:rPr>
        <w:t xml:space="preserve"> </w:t>
      </w:r>
    </w:p>
    <w:p w14:paraId="5673ADFB" w14:textId="200A28FE" w:rsidR="008A1FD3" w:rsidRPr="00272850" w:rsidRDefault="00BE509B" w:rsidP="00C922B8">
      <w:pPr>
        <w:tabs>
          <w:tab w:val="left" w:pos="0"/>
        </w:tabs>
        <w:ind w:left="0"/>
        <w:rPr>
          <w:b/>
        </w:rPr>
      </w:pPr>
      <w:r>
        <w:t>A</w:t>
      </w:r>
      <w:r w:rsidR="008A1FD3" w:rsidRPr="007B0608">
        <w:t xml:space="preserve"> reminder email will be sent to non-respondents </w:t>
      </w:r>
      <w:r w:rsidR="00EF0D87">
        <w:t xml:space="preserve">in </w:t>
      </w:r>
      <w:r>
        <w:t xml:space="preserve">the second week </w:t>
      </w:r>
      <w:r w:rsidRPr="00EF0D87">
        <w:t>(8</w:t>
      </w:r>
      <w:r w:rsidRPr="00EF0D87">
        <w:rPr>
          <w:vertAlign w:val="superscript"/>
        </w:rPr>
        <w:t>th</w:t>
      </w:r>
      <w:r w:rsidRPr="00EF0D87">
        <w:t xml:space="preserve"> business day) of the </w:t>
      </w:r>
      <w:r w:rsidR="008A1FD3" w:rsidRPr="00EF0D87">
        <w:t>assessment period</w:t>
      </w:r>
      <w:r w:rsidR="008A1FD3" w:rsidRPr="007B0608">
        <w:t xml:space="preserve"> (</w:t>
      </w:r>
      <w:r w:rsidR="008A1FD3">
        <w:t xml:space="preserve">see </w:t>
      </w:r>
      <w:r w:rsidR="008A1FD3" w:rsidRPr="00272850">
        <w:rPr>
          <w:b/>
        </w:rPr>
        <w:t>Attachment H—Reminder Email</w:t>
      </w:r>
      <w:r w:rsidR="00C27E67">
        <w:rPr>
          <w:b/>
        </w:rPr>
        <w:t xml:space="preserve"> Week 1</w:t>
      </w:r>
      <w:r w:rsidR="008A1FD3" w:rsidRPr="007B0608">
        <w:t xml:space="preserve">), a final reminder will be </w:t>
      </w:r>
      <w:r w:rsidR="0078095F">
        <w:t>sent the day before the end of the assessment period</w:t>
      </w:r>
      <w:r>
        <w:t xml:space="preserve"> </w:t>
      </w:r>
      <w:r w:rsidR="008A1FD3">
        <w:t>(</w:t>
      </w:r>
      <w:r w:rsidR="008A1FD3" w:rsidRPr="007B0608">
        <w:t>1</w:t>
      </w:r>
      <w:r w:rsidR="008A1FD3">
        <w:t>4</w:t>
      </w:r>
      <w:r w:rsidR="008A1FD3" w:rsidRPr="00272850">
        <w:rPr>
          <w:vertAlign w:val="superscript"/>
        </w:rPr>
        <w:t>th</w:t>
      </w:r>
      <w:r w:rsidR="008A1FD3">
        <w:t xml:space="preserve"> business day)</w:t>
      </w:r>
      <w:r w:rsidR="008A1FD3" w:rsidRPr="007B0608">
        <w:t xml:space="preserve"> </w:t>
      </w:r>
      <w:r w:rsidRPr="007B0608">
        <w:t>(</w:t>
      </w:r>
      <w:r>
        <w:t xml:space="preserve">see </w:t>
      </w:r>
      <w:r w:rsidRPr="00272850">
        <w:rPr>
          <w:b/>
        </w:rPr>
        <w:t>Attachment I—Reminder Email</w:t>
      </w:r>
      <w:r w:rsidR="00C27E67">
        <w:rPr>
          <w:b/>
        </w:rPr>
        <w:t xml:space="preserve"> Week 2</w:t>
      </w:r>
      <w:r w:rsidRPr="007B0608">
        <w:t xml:space="preserve">), </w:t>
      </w:r>
    </w:p>
    <w:p w14:paraId="539BD33B" w14:textId="77777777" w:rsidR="008A1FD3" w:rsidRDefault="008A1FD3" w:rsidP="008A1FD3"/>
    <w:p w14:paraId="1C036935" w14:textId="3A7D5D53" w:rsidR="008A1FD3" w:rsidRPr="008A1FD3" w:rsidRDefault="008A1FD3" w:rsidP="008A1FD3">
      <w:pPr>
        <w:ind w:left="0"/>
        <w:rPr>
          <w:u w:val="single"/>
        </w:rPr>
      </w:pPr>
      <w:r w:rsidRPr="008A1FD3">
        <w:rPr>
          <w:u w:val="single"/>
        </w:rPr>
        <w:t>Utilization Feedback Tool</w:t>
      </w:r>
      <w:r w:rsidR="00C922B8">
        <w:rPr>
          <w:u w:val="single"/>
        </w:rPr>
        <w:t xml:space="preserve"> (Phase 2</w:t>
      </w:r>
      <w:r w:rsidRPr="008A1FD3">
        <w:rPr>
          <w:u w:val="single"/>
        </w:rPr>
        <w:t>:</w:t>
      </w:r>
      <w:r w:rsidR="00C922B8">
        <w:rPr>
          <w:u w:val="single"/>
        </w:rPr>
        <w:t xml:space="preserve"> April/May 2015):</w:t>
      </w:r>
    </w:p>
    <w:p w14:paraId="49E7E9E0" w14:textId="2907C1C9" w:rsidR="008A1FD3" w:rsidRDefault="008A1FD3" w:rsidP="008A1FD3">
      <w:pPr>
        <w:ind w:left="0"/>
      </w:pPr>
      <w:r w:rsidRPr="00704894">
        <w:t>An email notification will be sent to</w:t>
      </w:r>
      <w:r>
        <w:t xml:space="preserve"> </w:t>
      </w:r>
      <w:r w:rsidR="00DF5E3A">
        <w:t xml:space="preserve">the same respondent universe </w:t>
      </w:r>
      <w:r>
        <w:t>from the</w:t>
      </w:r>
      <w:r w:rsidR="00DF5E3A">
        <w:t xml:space="preserve"> phase 1</w:t>
      </w:r>
      <w:r>
        <w:t xml:space="preserve"> assessment.  </w:t>
      </w:r>
      <w:r w:rsidR="00DF5E3A">
        <w:t>Respondents</w:t>
      </w:r>
      <w:r>
        <w:t xml:space="preserve"> will receive</w:t>
      </w:r>
      <w:r w:rsidRPr="00704894">
        <w:t xml:space="preserve"> a link to the online </w:t>
      </w:r>
      <w:r>
        <w:t>assessment tool</w:t>
      </w:r>
      <w:r w:rsidRPr="00704894">
        <w:t xml:space="preserve"> and instructions for completing </w:t>
      </w:r>
      <w:r>
        <w:t>it</w:t>
      </w:r>
      <w:r w:rsidRPr="00704894">
        <w:t xml:space="preserve">. </w:t>
      </w:r>
      <w:r>
        <w:t xml:space="preserve">The notification email (see </w:t>
      </w:r>
      <w:r w:rsidRPr="00334CD6">
        <w:rPr>
          <w:b/>
        </w:rPr>
        <w:t xml:space="preserve">Attachment </w:t>
      </w:r>
      <w:r w:rsidR="00BE509B">
        <w:rPr>
          <w:b/>
        </w:rPr>
        <w:t>J</w:t>
      </w:r>
      <w:r>
        <w:rPr>
          <w:b/>
        </w:rPr>
        <w:t>—Notification Email</w:t>
      </w:r>
      <w:r>
        <w:t>) will explain</w:t>
      </w:r>
      <w:r w:rsidRPr="0006651A">
        <w:t xml:space="preserve">: </w:t>
      </w:r>
    </w:p>
    <w:p w14:paraId="6104051F" w14:textId="77777777" w:rsidR="008A1FD3" w:rsidRPr="00272850" w:rsidRDefault="008A1FD3" w:rsidP="008A1FD3">
      <w:pPr>
        <w:pStyle w:val="ListParagraph"/>
        <w:numPr>
          <w:ilvl w:val="0"/>
          <w:numId w:val="27"/>
        </w:numPr>
        <w:rPr>
          <w:b/>
        </w:rPr>
      </w:pPr>
      <w:r w:rsidRPr="00957A95">
        <w:rPr>
          <w:b/>
        </w:rPr>
        <w:t>Duration of survey period:</w:t>
      </w:r>
      <w:r>
        <w:t xml:space="preserve"> </w:t>
      </w:r>
      <w:r w:rsidRPr="007B0608">
        <w:t>The assessment will remain open for three weeks</w:t>
      </w:r>
      <w:r>
        <w:t xml:space="preserve"> (15 business days)</w:t>
      </w:r>
      <w:r w:rsidRPr="007B0608">
        <w:t xml:space="preserve"> to allow ample time for respondents to complete it. </w:t>
      </w:r>
    </w:p>
    <w:p w14:paraId="724572CA" w14:textId="77777777" w:rsidR="008A1FD3" w:rsidRPr="00272850" w:rsidRDefault="008A1FD3" w:rsidP="008A1FD3">
      <w:pPr>
        <w:pStyle w:val="ListParagraph"/>
        <w:numPr>
          <w:ilvl w:val="0"/>
          <w:numId w:val="27"/>
        </w:numPr>
        <w:rPr>
          <w:b/>
        </w:rPr>
      </w:pPr>
      <w:r w:rsidRPr="00957A95">
        <w:rPr>
          <w:b/>
        </w:rPr>
        <w:t>Instructions for completing the survey</w:t>
      </w:r>
      <w:r>
        <w:t xml:space="preserve">: Respondents are encouraged to complete the assessment in one sitting, but </w:t>
      </w:r>
      <w:r w:rsidRPr="007B0608">
        <w:t>may complete the assessment in multiple sessions, if necessary.</w:t>
      </w:r>
      <w:r>
        <w:t xml:space="preserve"> </w:t>
      </w:r>
      <w:r w:rsidRPr="007B0608">
        <w:t xml:space="preserve"> </w:t>
      </w:r>
    </w:p>
    <w:p w14:paraId="6D51AB3D" w14:textId="77777777" w:rsidR="008A1FD3" w:rsidRPr="00272850" w:rsidRDefault="008A1FD3" w:rsidP="008A1FD3">
      <w:pPr>
        <w:pStyle w:val="ListParagraph"/>
        <w:numPr>
          <w:ilvl w:val="0"/>
          <w:numId w:val="27"/>
        </w:numPr>
        <w:rPr>
          <w:b/>
        </w:rPr>
      </w:pPr>
      <w:r w:rsidRPr="00957A95">
        <w:rPr>
          <w:b/>
        </w:rPr>
        <w:t>Considerations for respondents’ privacy:</w:t>
      </w:r>
      <w:r>
        <w:rPr>
          <w:b/>
        </w:rPr>
        <w:t xml:space="preserve"> </w:t>
      </w:r>
      <w:r w:rsidRPr="00957A95">
        <w:t>The introduction to the survey describes how the data will only be reported in aggregate and without any information that could be used to identify individual respondents.</w:t>
      </w:r>
      <w:r>
        <w:rPr>
          <w:b/>
        </w:rPr>
        <w:t xml:space="preserve"> </w:t>
      </w:r>
    </w:p>
    <w:p w14:paraId="6C9209EF" w14:textId="2A61F668" w:rsidR="008A1FD3" w:rsidRPr="004B1EED" w:rsidRDefault="00A8089B" w:rsidP="00EF0D87">
      <w:pPr>
        <w:ind w:left="0"/>
        <w:rPr>
          <w:b/>
        </w:rPr>
      </w:pPr>
      <w:r>
        <w:t>A</w:t>
      </w:r>
      <w:r w:rsidR="008A1FD3" w:rsidRPr="007B0608">
        <w:t xml:space="preserve"> reminder email will be sent to non-</w:t>
      </w:r>
      <w:r w:rsidR="008A1FD3" w:rsidRPr="00EF0D87">
        <w:t xml:space="preserve">respondents </w:t>
      </w:r>
      <w:r w:rsidR="00EF0D87">
        <w:t xml:space="preserve">in the second week </w:t>
      </w:r>
      <w:r w:rsidR="00EF0D87" w:rsidRPr="00EF0D87">
        <w:t>(8</w:t>
      </w:r>
      <w:r w:rsidR="00EF0D87" w:rsidRPr="00EF0D87">
        <w:rPr>
          <w:vertAlign w:val="superscript"/>
        </w:rPr>
        <w:t>th</w:t>
      </w:r>
      <w:r w:rsidR="00EF0D87" w:rsidRPr="00EF0D87">
        <w:t xml:space="preserve"> business day) </w:t>
      </w:r>
      <w:r w:rsidR="008A1FD3" w:rsidRPr="007B0608">
        <w:t>of the assessment period (</w:t>
      </w:r>
      <w:r w:rsidR="008A1FD3">
        <w:t xml:space="preserve">see </w:t>
      </w:r>
      <w:r w:rsidR="008A1FD3" w:rsidRPr="006D3EDE">
        <w:rPr>
          <w:b/>
        </w:rPr>
        <w:t xml:space="preserve">Attachment </w:t>
      </w:r>
      <w:r w:rsidR="00BE509B">
        <w:rPr>
          <w:b/>
        </w:rPr>
        <w:t>K</w:t>
      </w:r>
      <w:r w:rsidR="008A1FD3" w:rsidRPr="006D3EDE">
        <w:rPr>
          <w:b/>
        </w:rPr>
        <w:t>—Reminder Email</w:t>
      </w:r>
      <w:r w:rsidR="00C27E67">
        <w:rPr>
          <w:b/>
        </w:rPr>
        <w:t xml:space="preserve"> Week 1</w:t>
      </w:r>
      <w:r w:rsidR="00BE509B">
        <w:t>) and a second/</w:t>
      </w:r>
      <w:r w:rsidR="00BE509B" w:rsidRPr="007B0608">
        <w:t xml:space="preserve">final reminder will be sent </w:t>
      </w:r>
      <w:r w:rsidR="00BE509B">
        <w:t>the day before the assessment ends (14</w:t>
      </w:r>
      <w:r w:rsidR="00BE509B" w:rsidRPr="00BE509B">
        <w:rPr>
          <w:vertAlign w:val="superscript"/>
        </w:rPr>
        <w:t>th</w:t>
      </w:r>
      <w:r w:rsidR="00BE509B">
        <w:t xml:space="preserve"> business day)</w:t>
      </w:r>
      <w:r w:rsidR="00BE509B" w:rsidRPr="007B0608">
        <w:t xml:space="preserve"> </w:t>
      </w:r>
      <w:r w:rsidR="008A1FD3" w:rsidRPr="007B0608">
        <w:t>(</w:t>
      </w:r>
      <w:r w:rsidR="008A1FD3">
        <w:t xml:space="preserve">see </w:t>
      </w:r>
      <w:r w:rsidR="008A1FD3" w:rsidRPr="006D3EDE">
        <w:rPr>
          <w:b/>
        </w:rPr>
        <w:t xml:space="preserve">Attachment </w:t>
      </w:r>
      <w:r w:rsidR="00BE509B">
        <w:rPr>
          <w:b/>
        </w:rPr>
        <w:t>L</w:t>
      </w:r>
      <w:r w:rsidR="008A1FD3" w:rsidRPr="006D3EDE">
        <w:rPr>
          <w:b/>
        </w:rPr>
        <w:t>—Reminder Email</w:t>
      </w:r>
      <w:r w:rsidR="00C27E67">
        <w:rPr>
          <w:b/>
        </w:rPr>
        <w:t xml:space="preserve"> Week 2</w:t>
      </w:r>
      <w:r w:rsidR="008A1FD3" w:rsidRPr="007B0608">
        <w:t>)</w:t>
      </w:r>
      <w:r w:rsidR="00BE509B">
        <w:t>.</w:t>
      </w:r>
      <w:r w:rsidR="008A1FD3" w:rsidRPr="007B0608">
        <w:t xml:space="preserve"> </w:t>
      </w:r>
    </w:p>
    <w:p w14:paraId="77497A10" w14:textId="77777777" w:rsidR="00381879" w:rsidRDefault="00381879" w:rsidP="008A1FD3">
      <w:pPr>
        <w:ind w:left="0"/>
      </w:pPr>
    </w:p>
    <w:p w14:paraId="564B594E" w14:textId="4FC60695" w:rsidR="008A1FD3" w:rsidRPr="00E17769" w:rsidRDefault="00470129" w:rsidP="008A1FD3">
      <w:pPr>
        <w:ind w:left="0"/>
      </w:pPr>
      <w:r>
        <w:t>After data collection is complete, d</w:t>
      </w:r>
      <w:r w:rsidR="008A1FD3">
        <w:t xml:space="preserve">ata will be exported from Survey Monkey into an </w:t>
      </w:r>
      <w:r w:rsidR="000A0494">
        <w:t>E</w:t>
      </w:r>
      <w:r w:rsidR="008A1FD3">
        <w:t>xcel</w:t>
      </w:r>
      <w:r w:rsidR="000A0494">
        <w:t xml:space="preserve"> spreadsheet</w:t>
      </w:r>
      <w:r w:rsidR="008A1FD3">
        <w:t xml:space="preserve"> file.  Data will be reviewed for completion and simple descriptive statistics will be run looking at response frequencies.  Depending on the response distribution, frequencies may be cross-tabulated to identify response similarities and differences between respondents that work for the department of health as compared to those based at the department of education. </w:t>
      </w:r>
    </w:p>
    <w:p w14:paraId="23ADDBCE" w14:textId="77777777" w:rsidR="008A1FD3" w:rsidRDefault="008A1FD3" w:rsidP="008A1FD3">
      <w:pPr>
        <w:ind w:left="0"/>
      </w:pPr>
    </w:p>
    <w:p w14:paraId="384F6320" w14:textId="7011F9EA" w:rsidR="008A1FD3" w:rsidRPr="009759F3" w:rsidRDefault="008A1FD3" w:rsidP="008A1FD3">
      <w:pPr>
        <w:pStyle w:val="Heading4"/>
      </w:pPr>
      <w:r w:rsidRPr="00D26A64">
        <w:t>Methods to Maximize Response Rates</w:t>
      </w:r>
      <w:r>
        <w:t xml:space="preserve"> </w:t>
      </w:r>
      <w:r w:rsidRPr="009759F3">
        <w:t>Deal with Nonresponse</w:t>
      </w:r>
    </w:p>
    <w:p w14:paraId="589AA65A" w14:textId="7CAD6BD5" w:rsidR="008A1FD3" w:rsidRDefault="008A1FD3" w:rsidP="008A1FD3">
      <w:pPr>
        <w:pStyle w:val="ListParagraph"/>
        <w:ind w:left="0"/>
        <w:rPr>
          <w:rFonts w:cs="Times New Roman"/>
        </w:rPr>
      </w:pPr>
      <w:r w:rsidRPr="007C6296">
        <w:rPr>
          <w:rFonts w:cs="Times New Roman"/>
        </w:rPr>
        <w:t xml:space="preserve">Although participation in the </w:t>
      </w:r>
      <w:r>
        <w:rPr>
          <w:rFonts w:cs="Times New Roman"/>
        </w:rPr>
        <w:t>assessment</w:t>
      </w:r>
      <w:r w:rsidRPr="007C6296">
        <w:rPr>
          <w:rFonts w:cs="Times New Roman"/>
        </w:rPr>
        <w:t xml:space="preserve"> is voluntary, </w:t>
      </w:r>
      <w:r>
        <w:rPr>
          <w:rFonts w:cs="Times New Roman"/>
        </w:rPr>
        <w:t xml:space="preserve">the project team will make </w:t>
      </w:r>
      <w:r w:rsidRPr="007C6296">
        <w:rPr>
          <w:rFonts w:cs="Times New Roman"/>
        </w:rPr>
        <w:t xml:space="preserve">every effort to maximize the rate of response. </w:t>
      </w:r>
      <w:r>
        <w:rPr>
          <w:rFonts w:cs="Times New Roman"/>
        </w:rPr>
        <w:t xml:space="preserve">The two tools were </w:t>
      </w:r>
      <w:r w:rsidRPr="007C6296">
        <w:rPr>
          <w:rFonts w:cs="Times New Roman"/>
        </w:rPr>
        <w:t>designed with particular focus on</w:t>
      </w:r>
      <w:r>
        <w:rPr>
          <w:rFonts w:cs="Times New Roman"/>
        </w:rPr>
        <w:t xml:space="preserve"> providing multiple choice options instead of narrative responses, and streamlining questions to allow for skipping questions based on responses to previous questions, thereby minimizing response burden.  </w:t>
      </w:r>
    </w:p>
    <w:p w14:paraId="3FECC1D5" w14:textId="77777777" w:rsidR="008A1FD3" w:rsidRDefault="008A1FD3" w:rsidP="008A1FD3"/>
    <w:p w14:paraId="47506B92" w14:textId="77777777" w:rsidR="00DF5E3A" w:rsidRDefault="00DF5E3A">
      <w:pPr>
        <w:spacing w:after="200"/>
        <w:ind w:left="0"/>
        <w:rPr>
          <w:u w:val="single"/>
        </w:rPr>
      </w:pPr>
      <w:r>
        <w:rPr>
          <w:u w:val="single"/>
        </w:rPr>
        <w:br w:type="page"/>
      </w:r>
    </w:p>
    <w:p w14:paraId="78D4DADF" w14:textId="29A202C1" w:rsidR="008A1FD3" w:rsidRPr="00800A64" w:rsidRDefault="008A1FD3" w:rsidP="008A1FD3">
      <w:pPr>
        <w:ind w:left="0"/>
        <w:rPr>
          <w:u w:val="single"/>
        </w:rPr>
      </w:pPr>
      <w:r w:rsidRPr="00800A64">
        <w:rPr>
          <w:u w:val="single"/>
        </w:rPr>
        <w:t>Awareness and Planning Assessment Instrument:</w:t>
      </w:r>
    </w:p>
    <w:p w14:paraId="18DD9CB1" w14:textId="4A9FE42E" w:rsidR="008A1FD3" w:rsidRDefault="008A1FD3" w:rsidP="008A1FD3">
      <w:pPr>
        <w:pStyle w:val="ListParagraph"/>
        <w:ind w:left="0"/>
        <w:rPr>
          <w:rFonts w:cs="Times New Roman"/>
        </w:rPr>
      </w:pPr>
      <w:r>
        <w:rPr>
          <w:rFonts w:cs="Times New Roman"/>
        </w:rPr>
        <w:t xml:space="preserve">Reminder </w:t>
      </w:r>
      <w:r w:rsidRPr="006C30B8">
        <w:rPr>
          <w:rFonts w:cs="Times New Roman"/>
        </w:rPr>
        <w:t>emails (</w:t>
      </w:r>
      <w:r>
        <w:rPr>
          <w:rFonts w:cs="Times New Roman"/>
        </w:rPr>
        <w:t xml:space="preserve">see </w:t>
      </w:r>
      <w:r w:rsidRPr="00747888">
        <w:rPr>
          <w:rFonts w:cs="Times New Roman"/>
          <w:b/>
        </w:rPr>
        <w:t>Attachment</w:t>
      </w:r>
      <w:r>
        <w:rPr>
          <w:rFonts w:cs="Times New Roman"/>
          <w:b/>
        </w:rPr>
        <w:t>s</w:t>
      </w:r>
      <w:r w:rsidRPr="00747888">
        <w:rPr>
          <w:rFonts w:cs="Times New Roman"/>
          <w:b/>
        </w:rPr>
        <w:t xml:space="preserve"> </w:t>
      </w:r>
      <w:r w:rsidR="00C922B8">
        <w:rPr>
          <w:rFonts w:cs="Times New Roman"/>
          <w:b/>
        </w:rPr>
        <w:t>H, I</w:t>
      </w:r>
      <w:r w:rsidRPr="006C30B8">
        <w:rPr>
          <w:rFonts w:cs="Times New Roman"/>
        </w:rPr>
        <w:t>)</w:t>
      </w:r>
      <w:r>
        <w:rPr>
          <w:rFonts w:cs="Times New Roman"/>
        </w:rPr>
        <w:t xml:space="preserve"> will be sent to those who have not completed the assessment at </w:t>
      </w:r>
      <w:r w:rsidR="00A8089B">
        <w:rPr>
          <w:rFonts w:cs="Times New Roman"/>
        </w:rPr>
        <w:t xml:space="preserve">two </w:t>
      </w:r>
      <w:r>
        <w:rPr>
          <w:rFonts w:cs="Times New Roman"/>
        </w:rPr>
        <w:t>points during the assessment period (business day</w:t>
      </w:r>
      <w:r w:rsidR="00A8089B">
        <w:rPr>
          <w:rFonts w:cs="Times New Roman"/>
        </w:rPr>
        <w:t>s 8</w:t>
      </w:r>
      <w:r>
        <w:rPr>
          <w:rFonts w:cs="Times New Roman"/>
        </w:rPr>
        <w:t xml:space="preserve"> and 14). </w:t>
      </w:r>
    </w:p>
    <w:p w14:paraId="08D0F990" w14:textId="77777777" w:rsidR="008A1FD3" w:rsidRDefault="008A1FD3" w:rsidP="008A1FD3">
      <w:pPr>
        <w:pStyle w:val="ListParagraph"/>
        <w:ind w:left="0"/>
        <w:rPr>
          <w:rFonts w:cs="Times New Roman"/>
        </w:rPr>
      </w:pPr>
    </w:p>
    <w:p w14:paraId="5402B2D2" w14:textId="04590D80" w:rsidR="008A1FD3" w:rsidRPr="00800A64" w:rsidRDefault="008A1FD3" w:rsidP="008A1FD3">
      <w:pPr>
        <w:ind w:left="0"/>
        <w:rPr>
          <w:u w:val="single"/>
        </w:rPr>
      </w:pPr>
      <w:r w:rsidRPr="00800A64">
        <w:rPr>
          <w:u w:val="single"/>
        </w:rPr>
        <w:t>Utilization Feedback Tool:</w:t>
      </w:r>
    </w:p>
    <w:p w14:paraId="06931442" w14:textId="200F297F" w:rsidR="008A1FD3" w:rsidRDefault="008A1FD3" w:rsidP="008A1FD3">
      <w:pPr>
        <w:pStyle w:val="ListParagraph"/>
        <w:ind w:left="0"/>
        <w:rPr>
          <w:rFonts w:cs="Times New Roman"/>
        </w:rPr>
      </w:pPr>
      <w:r>
        <w:rPr>
          <w:rFonts w:cs="Times New Roman"/>
        </w:rPr>
        <w:t xml:space="preserve">Reminder </w:t>
      </w:r>
      <w:r w:rsidRPr="006C30B8">
        <w:rPr>
          <w:rFonts w:cs="Times New Roman"/>
        </w:rPr>
        <w:t>emails (</w:t>
      </w:r>
      <w:r>
        <w:rPr>
          <w:rFonts w:cs="Times New Roman"/>
        </w:rPr>
        <w:t xml:space="preserve">see </w:t>
      </w:r>
      <w:r w:rsidRPr="00747888">
        <w:rPr>
          <w:rFonts w:cs="Times New Roman"/>
          <w:b/>
        </w:rPr>
        <w:t>Attachment</w:t>
      </w:r>
      <w:r>
        <w:rPr>
          <w:rFonts w:cs="Times New Roman"/>
          <w:b/>
        </w:rPr>
        <w:t>s</w:t>
      </w:r>
      <w:r w:rsidRPr="00747888">
        <w:rPr>
          <w:rFonts w:cs="Times New Roman"/>
          <w:b/>
        </w:rPr>
        <w:t xml:space="preserve"> </w:t>
      </w:r>
      <w:r w:rsidR="00A8089B">
        <w:rPr>
          <w:rFonts w:cs="Times New Roman"/>
          <w:b/>
        </w:rPr>
        <w:t xml:space="preserve">K, </w:t>
      </w:r>
      <w:r>
        <w:rPr>
          <w:rFonts w:cs="Times New Roman"/>
          <w:b/>
        </w:rPr>
        <w:t>L</w:t>
      </w:r>
      <w:r w:rsidRPr="006C30B8">
        <w:rPr>
          <w:rFonts w:cs="Times New Roman"/>
        </w:rPr>
        <w:t>)</w:t>
      </w:r>
      <w:r>
        <w:rPr>
          <w:rFonts w:cs="Times New Roman"/>
        </w:rPr>
        <w:t xml:space="preserve"> will be sent to those who have not completed the assessment at </w:t>
      </w:r>
      <w:r w:rsidR="00A8089B">
        <w:rPr>
          <w:rFonts w:cs="Times New Roman"/>
        </w:rPr>
        <w:t xml:space="preserve">two </w:t>
      </w:r>
      <w:r>
        <w:rPr>
          <w:rFonts w:cs="Times New Roman"/>
        </w:rPr>
        <w:t xml:space="preserve">points during the assessment period </w:t>
      </w:r>
      <w:r w:rsidR="00A8089B">
        <w:rPr>
          <w:rFonts w:cs="Times New Roman"/>
        </w:rPr>
        <w:t>(business days 8 and 14).</w:t>
      </w:r>
    </w:p>
    <w:p w14:paraId="537CE604" w14:textId="77777777" w:rsidR="008A1FD3" w:rsidRPr="004B1EED" w:rsidRDefault="008A1FD3" w:rsidP="008A1FD3">
      <w:pPr>
        <w:pStyle w:val="ListParagraph"/>
        <w:ind w:left="0"/>
        <w:rPr>
          <w:rFonts w:cs="Times New Roman"/>
        </w:rPr>
      </w:pPr>
    </w:p>
    <w:p w14:paraId="4D35D189" w14:textId="77777777" w:rsidR="008A1FD3" w:rsidRPr="009759F3" w:rsidRDefault="008A1FD3" w:rsidP="008A1FD3">
      <w:pPr>
        <w:pStyle w:val="Heading4"/>
      </w:pPr>
      <w:r w:rsidRPr="005F3FEF">
        <w:t xml:space="preserve">Test of Procedures </w:t>
      </w:r>
      <w:r w:rsidRPr="009759F3">
        <w:t xml:space="preserve">or Methods to be </w:t>
      </w:r>
      <w:proofErr w:type="gramStart"/>
      <w:r w:rsidRPr="009759F3">
        <w:t>Undertaken</w:t>
      </w:r>
      <w:proofErr w:type="gramEnd"/>
    </w:p>
    <w:p w14:paraId="24B45175" w14:textId="4AB7876E" w:rsidR="008A1FD3" w:rsidRDefault="008A1FD3" w:rsidP="008A1FD3">
      <w:pPr>
        <w:pStyle w:val="ListParagraph"/>
        <w:ind w:left="0"/>
        <w:rPr>
          <w:rFonts w:cs="Times New Roman"/>
        </w:rPr>
      </w:pPr>
      <w:r>
        <w:t xml:space="preserve">The Word version of the questionnaire was revised and refined with 4 individuals at the CDC. </w:t>
      </w:r>
      <w:r w:rsidRPr="00704894">
        <w:rPr>
          <w:rFonts w:cs="Times New Roman"/>
        </w:rPr>
        <w:t xml:space="preserve">The online version of the </w:t>
      </w:r>
      <w:r>
        <w:rPr>
          <w:rFonts w:cs="Times New Roman"/>
        </w:rPr>
        <w:t xml:space="preserve">assessment </w:t>
      </w:r>
      <w:r>
        <w:rPr>
          <w:rFonts w:ascii="Cambria" w:hAnsi="Cambria"/>
        </w:rPr>
        <w:t xml:space="preserve">tool was pilot tested by CDC employees who were familiar with the “Water Toolkit” or </w:t>
      </w:r>
      <w:r w:rsidR="000A0494">
        <w:rPr>
          <w:rFonts w:ascii="Cambria" w:hAnsi="Cambria"/>
        </w:rPr>
        <w:t xml:space="preserve">had </w:t>
      </w:r>
      <w:r>
        <w:rPr>
          <w:rFonts w:ascii="Cambria" w:hAnsi="Cambria"/>
        </w:rPr>
        <w:t xml:space="preserve">experience working with state health department staff in the respondent universe. </w:t>
      </w:r>
      <w:r w:rsidRPr="00704894">
        <w:rPr>
          <w:rFonts w:cs="Times New Roman"/>
        </w:rPr>
        <w:t xml:space="preserve">Pilot </w:t>
      </w:r>
      <w:r>
        <w:rPr>
          <w:rFonts w:cs="Times New Roman"/>
        </w:rPr>
        <w:t>test participants</w:t>
      </w:r>
      <w:r w:rsidRPr="00704894">
        <w:rPr>
          <w:rFonts w:cs="Times New Roman"/>
        </w:rPr>
        <w:t xml:space="preserve"> were not involved in the development of the instrument</w:t>
      </w:r>
      <w:r>
        <w:rPr>
          <w:rFonts w:cs="Times New Roman"/>
        </w:rPr>
        <w:t>,</w:t>
      </w:r>
      <w:r w:rsidRPr="00704894">
        <w:rPr>
          <w:rFonts w:cs="Times New Roman"/>
        </w:rPr>
        <w:t xml:space="preserve"> nor are they part of the respondent population.  A pilot test questionnaire was developed to standardize feedback received from the pilot test participants. Pilot participants were asked to provide feedback on content (question wording and comprehensiveness of questions), layout (look and feel), and length. In addition, the </w:t>
      </w:r>
      <w:r>
        <w:rPr>
          <w:rFonts w:cs="Times New Roman"/>
        </w:rPr>
        <w:t>assessment</w:t>
      </w:r>
      <w:r w:rsidRPr="00704894">
        <w:rPr>
          <w:rFonts w:cs="Times New Roman"/>
        </w:rPr>
        <w:t xml:space="preserve"> team</w:t>
      </w:r>
      <w:r>
        <w:rPr>
          <w:rFonts w:cs="Times New Roman"/>
        </w:rPr>
        <w:t xml:space="preserve"> members were assigned hypothetical roles </w:t>
      </w:r>
      <w:r w:rsidRPr="00704894">
        <w:rPr>
          <w:rFonts w:cs="Times New Roman"/>
        </w:rPr>
        <w:t xml:space="preserve">to ensure </w:t>
      </w:r>
      <w:r>
        <w:rPr>
          <w:rFonts w:cs="Times New Roman"/>
        </w:rPr>
        <w:t xml:space="preserve">the longest possible </w:t>
      </w:r>
      <w:r w:rsidRPr="00704894">
        <w:rPr>
          <w:rFonts w:cs="Times New Roman"/>
        </w:rPr>
        <w:t xml:space="preserve">navigation </w:t>
      </w:r>
      <w:r>
        <w:rPr>
          <w:rFonts w:cs="Times New Roman"/>
        </w:rPr>
        <w:t xml:space="preserve">pattern. Subsequent tests were conducted to ensure the </w:t>
      </w:r>
      <w:r w:rsidRPr="00704894">
        <w:rPr>
          <w:rFonts w:cs="Times New Roman"/>
        </w:rPr>
        <w:t>skip patterns function as intended</w:t>
      </w:r>
      <w:r>
        <w:rPr>
          <w:rFonts w:cs="Times New Roman"/>
        </w:rPr>
        <w:t xml:space="preserve">. </w:t>
      </w:r>
      <w:r w:rsidRPr="00704894">
        <w:rPr>
          <w:rFonts w:cs="Times New Roman"/>
        </w:rPr>
        <w:t xml:space="preserve"> The </w:t>
      </w:r>
      <w:r>
        <w:rPr>
          <w:rFonts w:cs="Times New Roman"/>
        </w:rPr>
        <w:t>assessment</w:t>
      </w:r>
      <w:r w:rsidRPr="00704894">
        <w:rPr>
          <w:rFonts w:cs="Times New Roman"/>
        </w:rPr>
        <w:t xml:space="preserve"> instrument was refined based on feedback received from the pilot test</w:t>
      </w:r>
      <w:r>
        <w:rPr>
          <w:rFonts w:cs="Times New Roman"/>
        </w:rPr>
        <w:t xml:space="preserve"> of the entire survey (e.g., no skip patterns initiated)</w:t>
      </w:r>
      <w:r w:rsidRPr="00704894">
        <w:rPr>
          <w:rFonts w:cs="Times New Roman"/>
        </w:rPr>
        <w:t xml:space="preserve">. </w:t>
      </w:r>
    </w:p>
    <w:p w14:paraId="34A5C36E" w14:textId="77777777" w:rsidR="008A1FD3" w:rsidRDefault="008A1FD3" w:rsidP="008A1FD3">
      <w:pPr>
        <w:ind w:left="0"/>
      </w:pPr>
    </w:p>
    <w:p w14:paraId="56472934" w14:textId="58F1E029" w:rsidR="008A1FD3" w:rsidRDefault="008A1FD3" w:rsidP="008A1FD3">
      <w:pPr>
        <w:ind w:left="0"/>
        <w:rPr>
          <w:rFonts w:cs="Times New Roman"/>
        </w:rPr>
      </w:pPr>
      <w:r w:rsidRPr="004805CA">
        <w:rPr>
          <w:rFonts w:cs="Times New Roman"/>
        </w:rPr>
        <w:t>The estimate</w:t>
      </w:r>
      <w:r>
        <w:rPr>
          <w:rFonts w:cs="Times New Roman"/>
        </w:rPr>
        <w:t>s</w:t>
      </w:r>
      <w:r w:rsidRPr="004805CA">
        <w:rPr>
          <w:rFonts w:cs="Times New Roman"/>
        </w:rPr>
        <w:t xml:space="preserve"> for burden hours </w:t>
      </w:r>
      <w:r w:rsidR="00C922B8">
        <w:rPr>
          <w:rFonts w:cs="Times New Roman"/>
        </w:rPr>
        <w:t xml:space="preserve">are </w:t>
      </w:r>
      <w:r w:rsidR="00C922B8" w:rsidRPr="004805CA">
        <w:rPr>
          <w:rFonts w:cs="Times New Roman"/>
        </w:rPr>
        <w:t>based</w:t>
      </w:r>
      <w:r w:rsidRPr="004805CA">
        <w:rPr>
          <w:rFonts w:cs="Times New Roman"/>
        </w:rPr>
        <w:t xml:space="preserve"> on pilot test</w:t>
      </w:r>
      <w:r>
        <w:rPr>
          <w:rFonts w:cs="Times New Roman"/>
        </w:rPr>
        <w:t>s</w:t>
      </w:r>
      <w:r w:rsidRPr="004805CA">
        <w:rPr>
          <w:rFonts w:cs="Times New Roman"/>
        </w:rPr>
        <w:t xml:space="preserve"> of the assessment instrument</w:t>
      </w:r>
      <w:r>
        <w:rPr>
          <w:rFonts w:cs="Times New Roman"/>
        </w:rPr>
        <w:t>s</w:t>
      </w:r>
      <w:r w:rsidRPr="004805CA">
        <w:rPr>
          <w:rFonts w:cs="Times New Roman"/>
        </w:rPr>
        <w:t>.</w:t>
      </w:r>
    </w:p>
    <w:p w14:paraId="03048C5B" w14:textId="77777777" w:rsidR="008A1FD3" w:rsidRDefault="008A1FD3" w:rsidP="008A1FD3">
      <w:pPr>
        <w:ind w:left="0"/>
        <w:rPr>
          <w:rFonts w:cs="Times New Roman"/>
        </w:rPr>
      </w:pPr>
    </w:p>
    <w:p w14:paraId="60893814" w14:textId="77777777" w:rsidR="008A1FD3" w:rsidRPr="00103572" w:rsidRDefault="008A1FD3" w:rsidP="008A1FD3">
      <w:pPr>
        <w:ind w:left="0"/>
        <w:rPr>
          <w:u w:val="single"/>
        </w:rPr>
      </w:pPr>
      <w:r w:rsidRPr="00103572">
        <w:rPr>
          <w:u w:val="single"/>
        </w:rPr>
        <w:t>Awareness and Planning Assessment Instrument:</w:t>
      </w:r>
    </w:p>
    <w:p w14:paraId="0B3939E1" w14:textId="7DD364B1" w:rsidR="008A1FD3" w:rsidRPr="00103572" w:rsidRDefault="008A1FD3" w:rsidP="008A1FD3">
      <w:pPr>
        <w:ind w:left="0"/>
      </w:pPr>
      <w:r w:rsidRPr="00103572">
        <w:t>In the pilot test, the average time to complete the instrument including time for reviewing instructions, gathering needed information and completing the instrument, was approximately 10 minutes. Based on these results, the estimated time range for actual respondents to complete the instrument is 7-12 minutes. For the purposes of estimating burden hours, the upper limit of this range (i.e., 12 minutes) is used.</w:t>
      </w:r>
    </w:p>
    <w:p w14:paraId="2D6E125B" w14:textId="77777777" w:rsidR="008A1FD3" w:rsidRPr="00103572" w:rsidRDefault="008A1FD3" w:rsidP="008A1FD3"/>
    <w:p w14:paraId="72C2E793" w14:textId="77777777" w:rsidR="008A1FD3" w:rsidRPr="00103572" w:rsidRDefault="008A1FD3" w:rsidP="008A1FD3">
      <w:pPr>
        <w:ind w:left="0"/>
        <w:rPr>
          <w:u w:val="single"/>
        </w:rPr>
      </w:pPr>
      <w:r w:rsidRPr="00103572">
        <w:rPr>
          <w:u w:val="single"/>
        </w:rPr>
        <w:t>Utilization Feedback Tool:</w:t>
      </w:r>
    </w:p>
    <w:p w14:paraId="3A3AED49" w14:textId="31CAE36C" w:rsidR="008A1FD3" w:rsidRDefault="008A1FD3" w:rsidP="008A1FD3">
      <w:pPr>
        <w:ind w:left="0"/>
      </w:pPr>
      <w:r w:rsidRPr="00103572">
        <w:t>In the pilot test, the average time to complete the instrument including time for reviewing instructions, gathering needed information and completing the instrument, was approximately 7</w:t>
      </w:r>
      <w:r w:rsidR="000A0494">
        <w:t>.5</w:t>
      </w:r>
      <w:r w:rsidRPr="00103572">
        <w:t xml:space="preserve"> minutes. Based on these results, the estimated time range for actual respondents to complete the instrument is 5-11 range minutes. For the purposes of estimating burden hours, the upper limit of this range (i.e., 11 minutes) is used</w:t>
      </w:r>
      <w:r w:rsidRPr="00103572">
        <w:rPr>
          <w:rFonts w:cs="Times New Roman"/>
        </w:rPr>
        <w:t>.</w:t>
      </w:r>
    </w:p>
    <w:p w14:paraId="01ADDF2B" w14:textId="77777777" w:rsidR="008A1FD3" w:rsidRDefault="008A1FD3" w:rsidP="008A1FD3"/>
    <w:p w14:paraId="4F83694B" w14:textId="77777777" w:rsidR="00645FBD" w:rsidRDefault="00645FBD" w:rsidP="008A1FD3"/>
    <w:p w14:paraId="0A25FC69" w14:textId="77777777" w:rsidR="00DF5E3A" w:rsidRDefault="00DF5E3A">
      <w:pPr>
        <w:spacing w:after="200"/>
        <w:ind w:left="0"/>
        <w:rPr>
          <w:b/>
          <w:bCs/>
        </w:rPr>
      </w:pPr>
      <w:r>
        <w:br w:type="page"/>
      </w:r>
    </w:p>
    <w:p w14:paraId="06571957" w14:textId="03BD244B" w:rsidR="008A1FD3" w:rsidRPr="00281795" w:rsidRDefault="008A1FD3" w:rsidP="008A1FD3">
      <w:pPr>
        <w:pStyle w:val="Heading4"/>
      </w:pPr>
      <w:bookmarkStart w:id="0" w:name="_GoBack"/>
      <w:bookmarkEnd w:id="0"/>
      <w:r w:rsidRPr="009759F3">
        <w:t>Individuals Consulted on Statistical Aspects and Individuals Collecting and/or Analyzing Data</w:t>
      </w:r>
    </w:p>
    <w:p w14:paraId="5673D23B" w14:textId="77777777" w:rsidR="008A1FD3" w:rsidRDefault="008A1FD3" w:rsidP="008A1FD3">
      <w:pPr>
        <w:ind w:left="360"/>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3150"/>
      </w:tblGrid>
      <w:tr w:rsidR="008A1FD3" w:rsidRPr="004B1EED" w14:paraId="64046A41" w14:textId="77777777" w:rsidTr="008A1FD3">
        <w:tc>
          <w:tcPr>
            <w:tcW w:w="3870" w:type="dxa"/>
          </w:tcPr>
          <w:p w14:paraId="3455180B" w14:textId="77777777" w:rsidR="008A1FD3" w:rsidRPr="004B1EED" w:rsidRDefault="008A1FD3" w:rsidP="008A1FD3">
            <w:pPr>
              <w:ind w:left="0"/>
              <w:rPr>
                <w:b/>
              </w:rPr>
            </w:pPr>
            <w:r w:rsidRPr="004B1EED">
              <w:rPr>
                <w:b/>
              </w:rPr>
              <w:t xml:space="preserve">Sarah Lee </w:t>
            </w:r>
          </w:p>
        </w:tc>
        <w:tc>
          <w:tcPr>
            <w:tcW w:w="3150" w:type="dxa"/>
          </w:tcPr>
          <w:p w14:paraId="3F881E6F" w14:textId="77777777" w:rsidR="008A1FD3" w:rsidRPr="004B1EED" w:rsidRDefault="008A1FD3" w:rsidP="008A1FD3">
            <w:pPr>
              <w:rPr>
                <w:b/>
              </w:rPr>
            </w:pPr>
            <w:r w:rsidRPr="004B1EED">
              <w:rPr>
                <w:b/>
              </w:rPr>
              <w:t>Sarah Sliwa</w:t>
            </w:r>
          </w:p>
        </w:tc>
      </w:tr>
      <w:tr w:rsidR="008A1FD3" w:rsidRPr="004B1EED" w14:paraId="7BC3CC51" w14:textId="77777777" w:rsidTr="008A1FD3">
        <w:tc>
          <w:tcPr>
            <w:tcW w:w="3870" w:type="dxa"/>
          </w:tcPr>
          <w:p w14:paraId="186D28F7" w14:textId="77777777" w:rsidR="008A1FD3" w:rsidRPr="004B1EED" w:rsidRDefault="008A1FD3" w:rsidP="008A1FD3">
            <w:pPr>
              <w:ind w:left="0"/>
            </w:pPr>
            <w:r w:rsidRPr="004B1EED">
              <w:t>Health Scientist</w:t>
            </w:r>
          </w:p>
        </w:tc>
        <w:tc>
          <w:tcPr>
            <w:tcW w:w="3150" w:type="dxa"/>
          </w:tcPr>
          <w:p w14:paraId="2EC94E0B" w14:textId="251532CE" w:rsidR="008A1FD3" w:rsidRPr="004B1EED" w:rsidRDefault="00381879" w:rsidP="008A1FD3">
            <w:r>
              <w:t xml:space="preserve">ORISE </w:t>
            </w:r>
            <w:r w:rsidR="008A1FD3">
              <w:t>Fellow</w:t>
            </w:r>
          </w:p>
        </w:tc>
      </w:tr>
      <w:tr w:rsidR="008A1FD3" w:rsidRPr="004B1EED" w14:paraId="6498AEE6" w14:textId="77777777" w:rsidTr="008A1FD3">
        <w:tc>
          <w:tcPr>
            <w:tcW w:w="3870" w:type="dxa"/>
          </w:tcPr>
          <w:p w14:paraId="218234D7" w14:textId="77777777" w:rsidR="008A1FD3" w:rsidRPr="004B1EED" w:rsidRDefault="008A1FD3" w:rsidP="008A1FD3">
            <w:pPr>
              <w:ind w:left="0"/>
            </w:pPr>
            <w:r w:rsidRPr="004B1EED">
              <w:t>School Health Branch</w:t>
            </w:r>
          </w:p>
        </w:tc>
        <w:tc>
          <w:tcPr>
            <w:tcW w:w="3150" w:type="dxa"/>
          </w:tcPr>
          <w:p w14:paraId="1B31E7DC" w14:textId="77777777" w:rsidR="008A1FD3" w:rsidRPr="004B1EED" w:rsidRDefault="008A1FD3" w:rsidP="008A1FD3">
            <w:r w:rsidRPr="004B1EED">
              <w:t>School Health Branch</w:t>
            </w:r>
          </w:p>
        </w:tc>
      </w:tr>
      <w:tr w:rsidR="008A1FD3" w:rsidRPr="004B1EED" w14:paraId="77344DE5" w14:textId="77777777" w:rsidTr="008A1FD3">
        <w:tc>
          <w:tcPr>
            <w:tcW w:w="3870" w:type="dxa"/>
          </w:tcPr>
          <w:p w14:paraId="507A8E70" w14:textId="77777777" w:rsidR="008A1FD3" w:rsidRPr="004B1EED" w:rsidRDefault="008A1FD3" w:rsidP="008A1FD3">
            <w:pPr>
              <w:ind w:left="0"/>
            </w:pPr>
            <w:r w:rsidRPr="004B1EED">
              <w:t>DPH/</w:t>
            </w:r>
            <w:r w:rsidRPr="004B1EED">
              <w:rPr>
                <w:rFonts w:cs="Tahoma"/>
              </w:rPr>
              <w:t>NCCDPHP</w:t>
            </w:r>
          </w:p>
        </w:tc>
        <w:tc>
          <w:tcPr>
            <w:tcW w:w="3150" w:type="dxa"/>
          </w:tcPr>
          <w:p w14:paraId="08B73336" w14:textId="77777777" w:rsidR="008A1FD3" w:rsidRPr="004B1EED" w:rsidRDefault="008A1FD3" w:rsidP="008A1FD3">
            <w:r w:rsidRPr="004B1EED">
              <w:t>DPH/</w:t>
            </w:r>
            <w:r w:rsidRPr="004B1EED">
              <w:rPr>
                <w:rFonts w:cs="Tahoma"/>
              </w:rPr>
              <w:t>NCCDPHP</w:t>
            </w:r>
          </w:p>
        </w:tc>
      </w:tr>
      <w:tr w:rsidR="008A1FD3" w:rsidRPr="004B1EED" w14:paraId="1B6C0AB7" w14:textId="77777777" w:rsidTr="008A1FD3">
        <w:tc>
          <w:tcPr>
            <w:tcW w:w="3870" w:type="dxa"/>
          </w:tcPr>
          <w:p w14:paraId="2C9D3BA2" w14:textId="77777777" w:rsidR="008A1FD3" w:rsidRPr="004B1EED" w:rsidRDefault="008A1FD3" w:rsidP="008A1FD3">
            <w:pPr>
              <w:ind w:left="0"/>
              <w:rPr>
                <w:rFonts w:eastAsia="Times New Roman" w:cs="Tahoma"/>
                <w:color w:val="333333"/>
              </w:rPr>
            </w:pPr>
            <w:r w:rsidRPr="004B1EED">
              <w:rPr>
                <w:rFonts w:eastAsia="Times New Roman" w:cs="Tahoma"/>
                <w:color w:val="333333"/>
              </w:rPr>
              <w:t>770-488-6126</w:t>
            </w:r>
          </w:p>
        </w:tc>
        <w:tc>
          <w:tcPr>
            <w:tcW w:w="3150" w:type="dxa"/>
          </w:tcPr>
          <w:p w14:paraId="27058FD8" w14:textId="77777777" w:rsidR="008A1FD3" w:rsidRPr="004B1EED" w:rsidRDefault="008A1FD3" w:rsidP="008A1FD3">
            <w:r w:rsidRPr="004B1EED">
              <w:rPr>
                <w:noProof/>
              </w:rPr>
              <w:t>770-488-0946</w:t>
            </w:r>
          </w:p>
        </w:tc>
      </w:tr>
      <w:tr w:rsidR="008A1FD3" w:rsidRPr="004B1EED" w14:paraId="2C9083F1" w14:textId="77777777" w:rsidTr="008A1FD3">
        <w:tc>
          <w:tcPr>
            <w:tcW w:w="3870" w:type="dxa"/>
          </w:tcPr>
          <w:p w14:paraId="1AE3DFA1" w14:textId="77777777" w:rsidR="008A1FD3" w:rsidRPr="004B1EED" w:rsidRDefault="00365EF8" w:rsidP="008A1FD3">
            <w:pPr>
              <w:ind w:left="0"/>
            </w:pPr>
            <w:hyperlink r:id="rId14" w:history="1">
              <w:r w:rsidR="008A1FD3" w:rsidRPr="004B1EED">
                <w:rPr>
                  <w:rStyle w:val="Hyperlink"/>
                </w:rPr>
                <w:t>slee@cdc.gov</w:t>
              </w:r>
            </w:hyperlink>
          </w:p>
        </w:tc>
        <w:tc>
          <w:tcPr>
            <w:tcW w:w="3150" w:type="dxa"/>
          </w:tcPr>
          <w:p w14:paraId="3306F277" w14:textId="77777777" w:rsidR="008A1FD3" w:rsidRPr="004B1EED" w:rsidRDefault="008A1FD3" w:rsidP="008A1FD3">
            <w:r w:rsidRPr="004B1EED">
              <w:t>ssliwa@cdc.gov</w:t>
            </w:r>
          </w:p>
        </w:tc>
      </w:tr>
      <w:tr w:rsidR="008A1FD3" w:rsidRPr="004B1EED" w14:paraId="0C5BEFC6" w14:textId="77777777" w:rsidTr="008A1FD3">
        <w:tc>
          <w:tcPr>
            <w:tcW w:w="3870" w:type="dxa"/>
          </w:tcPr>
          <w:p w14:paraId="3F227DAE" w14:textId="77777777" w:rsidR="008A1FD3" w:rsidRPr="004B1EED" w:rsidRDefault="008A1FD3" w:rsidP="008A1FD3">
            <w:pPr>
              <w:ind w:left="0"/>
            </w:pPr>
          </w:p>
        </w:tc>
        <w:tc>
          <w:tcPr>
            <w:tcW w:w="3150" w:type="dxa"/>
          </w:tcPr>
          <w:p w14:paraId="293C60D7" w14:textId="77777777" w:rsidR="008A1FD3" w:rsidRPr="004B1EED" w:rsidRDefault="008A1FD3" w:rsidP="008A1FD3"/>
        </w:tc>
      </w:tr>
    </w:tbl>
    <w:p w14:paraId="3E0A4656" w14:textId="77777777" w:rsidR="008A1FD3" w:rsidRDefault="008A1FD3" w:rsidP="008A1FD3"/>
    <w:p w14:paraId="2B392F0E" w14:textId="77777777" w:rsidR="008A1FD3" w:rsidRPr="00BC6896" w:rsidRDefault="008A1FD3" w:rsidP="008A1FD3">
      <w:pPr>
        <w:pStyle w:val="Heading3"/>
      </w:pPr>
      <w:r w:rsidRPr="00BC6896">
        <w:t>LIST OF ATTACHMENTS – Section B</w:t>
      </w:r>
    </w:p>
    <w:p w14:paraId="4BCEEF72" w14:textId="77777777" w:rsidR="008A1FD3" w:rsidRPr="00CD1EA8" w:rsidRDefault="008A1FD3" w:rsidP="008A1FD3">
      <w:pPr>
        <w:ind w:left="0"/>
      </w:pPr>
      <w:r w:rsidRPr="00CD1EA8">
        <w:t>Note:</w:t>
      </w:r>
      <w:r>
        <w:t xml:space="preserve"> Attachments are included as separate files as instructed.</w:t>
      </w:r>
    </w:p>
    <w:p w14:paraId="5CC4CD91" w14:textId="77777777" w:rsidR="008A1FD3" w:rsidRPr="00A36419" w:rsidRDefault="008A1FD3" w:rsidP="008A1FD3">
      <w:pPr>
        <w:ind w:left="0"/>
      </w:pPr>
    </w:p>
    <w:p w14:paraId="050F15C3" w14:textId="77777777" w:rsidR="008A1FD3" w:rsidRPr="00FA7C19" w:rsidRDefault="008A1FD3" w:rsidP="008A1FD3">
      <w:pPr>
        <w:pStyle w:val="ListParagraph"/>
        <w:numPr>
          <w:ilvl w:val="0"/>
          <w:numId w:val="26"/>
        </w:numPr>
        <w:spacing w:line="360" w:lineRule="auto"/>
        <w:rPr>
          <w:rFonts w:ascii="Cambria" w:hAnsi="Cambria"/>
          <w:b/>
        </w:rPr>
      </w:pPr>
      <w:r w:rsidRPr="00FA7C19">
        <w:rPr>
          <w:b/>
        </w:rPr>
        <w:t>Assessment Instrument</w:t>
      </w:r>
      <w:r w:rsidRPr="00FA7C19">
        <w:rPr>
          <w:rFonts w:ascii="Cambria" w:hAnsi="Cambria"/>
          <w:b/>
        </w:rPr>
        <w:t xml:space="preserve"> Notification Email</w:t>
      </w:r>
    </w:p>
    <w:p w14:paraId="2EC28467" w14:textId="669A8A59" w:rsidR="008A1FD3" w:rsidRPr="00FA7C19" w:rsidRDefault="008A1FD3" w:rsidP="008A1FD3">
      <w:pPr>
        <w:pStyle w:val="ListParagraph"/>
        <w:numPr>
          <w:ilvl w:val="0"/>
          <w:numId w:val="26"/>
        </w:numPr>
        <w:spacing w:line="360" w:lineRule="auto"/>
        <w:rPr>
          <w:rFonts w:ascii="Cambria" w:hAnsi="Cambria"/>
          <w:b/>
        </w:rPr>
      </w:pPr>
      <w:r w:rsidRPr="00FA7C19">
        <w:rPr>
          <w:b/>
        </w:rPr>
        <w:t xml:space="preserve">Assessment Instrument </w:t>
      </w:r>
      <w:r w:rsidRPr="00FA7C19">
        <w:rPr>
          <w:rFonts w:ascii="Cambria" w:hAnsi="Cambria"/>
          <w:b/>
        </w:rPr>
        <w:t xml:space="preserve">Reminder Email </w:t>
      </w:r>
      <w:r w:rsidR="00C27E67">
        <w:rPr>
          <w:rFonts w:ascii="Cambria" w:hAnsi="Cambria"/>
          <w:b/>
        </w:rPr>
        <w:t>Week 1</w:t>
      </w:r>
    </w:p>
    <w:p w14:paraId="3E33874C" w14:textId="7AF75299" w:rsidR="0078095F" w:rsidRDefault="0078095F" w:rsidP="0078095F">
      <w:pPr>
        <w:pStyle w:val="ListParagraph"/>
        <w:numPr>
          <w:ilvl w:val="0"/>
          <w:numId w:val="26"/>
        </w:numPr>
        <w:spacing w:line="360" w:lineRule="auto"/>
        <w:rPr>
          <w:rFonts w:ascii="Cambria" w:hAnsi="Cambria"/>
          <w:b/>
        </w:rPr>
      </w:pPr>
      <w:r>
        <w:rPr>
          <w:b/>
        </w:rPr>
        <w:t xml:space="preserve">Assessment Instrument </w:t>
      </w:r>
      <w:r>
        <w:rPr>
          <w:rFonts w:ascii="Cambria" w:hAnsi="Cambria"/>
          <w:b/>
        </w:rPr>
        <w:t>Reminder Email</w:t>
      </w:r>
      <w:r w:rsidR="00C27E67">
        <w:rPr>
          <w:rFonts w:ascii="Cambria" w:hAnsi="Cambria"/>
          <w:b/>
        </w:rPr>
        <w:t xml:space="preserve"> Week 2</w:t>
      </w:r>
    </w:p>
    <w:p w14:paraId="7BAAFE0D" w14:textId="77777777" w:rsidR="008A1FD3" w:rsidRPr="009970FA" w:rsidRDefault="008A1FD3" w:rsidP="008A1FD3">
      <w:pPr>
        <w:pStyle w:val="ListParagraph"/>
        <w:numPr>
          <w:ilvl w:val="0"/>
          <w:numId w:val="26"/>
        </w:numPr>
        <w:spacing w:line="360" w:lineRule="auto"/>
        <w:rPr>
          <w:rFonts w:ascii="Cambria" w:hAnsi="Cambria"/>
          <w:b/>
        </w:rPr>
      </w:pPr>
      <w:r>
        <w:rPr>
          <w:b/>
        </w:rPr>
        <w:t xml:space="preserve">Feedback Tool </w:t>
      </w:r>
      <w:r>
        <w:rPr>
          <w:rFonts w:ascii="Cambria" w:hAnsi="Cambria"/>
          <w:b/>
        </w:rPr>
        <w:t>N</w:t>
      </w:r>
      <w:r w:rsidRPr="009970FA">
        <w:rPr>
          <w:rFonts w:ascii="Cambria" w:hAnsi="Cambria"/>
          <w:b/>
        </w:rPr>
        <w:t xml:space="preserve">otification </w:t>
      </w:r>
      <w:r>
        <w:rPr>
          <w:rFonts w:ascii="Cambria" w:hAnsi="Cambria"/>
          <w:b/>
        </w:rPr>
        <w:t>Email</w:t>
      </w:r>
    </w:p>
    <w:p w14:paraId="69E127FD" w14:textId="74764D93" w:rsidR="008A1FD3" w:rsidRPr="009970FA" w:rsidRDefault="008A1FD3" w:rsidP="008A1FD3">
      <w:pPr>
        <w:pStyle w:val="ListParagraph"/>
        <w:numPr>
          <w:ilvl w:val="0"/>
          <w:numId w:val="26"/>
        </w:numPr>
        <w:spacing w:line="360" w:lineRule="auto"/>
        <w:rPr>
          <w:rFonts w:ascii="Cambria" w:hAnsi="Cambria"/>
          <w:b/>
        </w:rPr>
      </w:pPr>
      <w:r>
        <w:rPr>
          <w:b/>
        </w:rPr>
        <w:t xml:space="preserve">Feedback Tool </w:t>
      </w:r>
      <w:r>
        <w:rPr>
          <w:rFonts w:ascii="Cambria" w:hAnsi="Cambria"/>
          <w:b/>
        </w:rPr>
        <w:t>R</w:t>
      </w:r>
      <w:r w:rsidRPr="009970FA">
        <w:rPr>
          <w:rFonts w:ascii="Cambria" w:hAnsi="Cambria"/>
          <w:b/>
        </w:rPr>
        <w:t xml:space="preserve">eminder </w:t>
      </w:r>
      <w:r>
        <w:rPr>
          <w:rFonts w:ascii="Cambria" w:hAnsi="Cambria"/>
          <w:b/>
        </w:rPr>
        <w:t xml:space="preserve">Email </w:t>
      </w:r>
      <w:r w:rsidR="00C27E67">
        <w:rPr>
          <w:rFonts w:ascii="Cambria" w:hAnsi="Cambria"/>
          <w:b/>
        </w:rPr>
        <w:t>Week 1</w:t>
      </w:r>
    </w:p>
    <w:p w14:paraId="7E5D9C88" w14:textId="7D28BAEE" w:rsidR="008A1FD3" w:rsidRDefault="008A1FD3" w:rsidP="008A1FD3">
      <w:pPr>
        <w:pStyle w:val="ListParagraph"/>
        <w:numPr>
          <w:ilvl w:val="0"/>
          <w:numId w:val="26"/>
        </w:numPr>
        <w:spacing w:line="360" w:lineRule="auto"/>
        <w:rPr>
          <w:rFonts w:ascii="Cambria" w:hAnsi="Cambria"/>
          <w:b/>
        </w:rPr>
      </w:pPr>
      <w:r>
        <w:rPr>
          <w:b/>
        </w:rPr>
        <w:t xml:space="preserve">Feedback Tool </w:t>
      </w:r>
      <w:r>
        <w:rPr>
          <w:rFonts w:ascii="Cambria" w:hAnsi="Cambria"/>
          <w:b/>
        </w:rPr>
        <w:t>Reminder Email</w:t>
      </w:r>
      <w:r w:rsidR="00C27E67">
        <w:rPr>
          <w:rFonts w:ascii="Cambria" w:hAnsi="Cambria"/>
          <w:b/>
        </w:rPr>
        <w:t xml:space="preserve"> Week 2</w:t>
      </w:r>
    </w:p>
    <w:p w14:paraId="2DAA0159" w14:textId="77777777" w:rsidR="000E6577" w:rsidRPr="000E6577" w:rsidRDefault="000E6577" w:rsidP="00BC6896">
      <w:pPr>
        <w:ind w:left="0"/>
      </w:pPr>
    </w:p>
    <w:sectPr w:rsidR="000E6577" w:rsidRPr="000E6577" w:rsidSect="003E5D57">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A017C" w14:textId="77777777" w:rsidR="00A8089B" w:rsidRDefault="00A8089B" w:rsidP="00BC6896">
      <w:r>
        <w:separator/>
      </w:r>
    </w:p>
    <w:p w14:paraId="2DAA017D" w14:textId="77777777" w:rsidR="00A8089B" w:rsidRDefault="00A8089B" w:rsidP="00BC6896"/>
  </w:endnote>
  <w:endnote w:type="continuationSeparator" w:id="0">
    <w:p w14:paraId="2DAA017E" w14:textId="77777777" w:rsidR="00A8089B" w:rsidRDefault="00A8089B" w:rsidP="00BC6896">
      <w:r>
        <w:continuationSeparator/>
      </w:r>
    </w:p>
    <w:p w14:paraId="2DAA017F" w14:textId="77777777" w:rsidR="00A8089B" w:rsidRDefault="00A8089B" w:rsidP="00BC6896"/>
  </w:endnote>
  <w:endnote w:type="continuationNotice" w:id="1">
    <w:p w14:paraId="2DAA0180" w14:textId="77777777" w:rsidR="00A8089B" w:rsidRDefault="00A808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2DAA0183" w14:textId="00310CD2" w:rsidR="00A8089B" w:rsidRDefault="00A8089B" w:rsidP="00BC6896">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365EF8">
              <w:rPr>
                <w:b/>
                <w:noProof/>
              </w:rPr>
              <w:t>5</w:t>
            </w:r>
            <w:r>
              <w:rPr>
                <w:b/>
                <w:sz w:val="24"/>
                <w:szCs w:val="24"/>
              </w:rPr>
              <w:fldChar w:fldCharType="end"/>
            </w:r>
            <w:r>
              <w:t xml:space="preserve"> of </w:t>
            </w:r>
            <w:r w:rsidR="00AE57F9">
              <w:rPr>
                <w:b/>
                <w:szCs w:val="24"/>
              </w:rPr>
              <w:t>5</w:t>
            </w:r>
          </w:p>
        </w:sdtContent>
      </w:sdt>
    </w:sdtContent>
  </w:sdt>
  <w:p w14:paraId="2DAA0184" w14:textId="77777777" w:rsidR="00A8089B" w:rsidRDefault="00A8089B" w:rsidP="00BC6896">
    <w:pPr>
      <w:pStyle w:val="Footer"/>
    </w:pPr>
  </w:p>
  <w:p w14:paraId="2DAA0185" w14:textId="77777777" w:rsidR="00A8089B" w:rsidRDefault="00A8089B"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A0177" w14:textId="77777777" w:rsidR="00A8089B" w:rsidRDefault="00A8089B" w:rsidP="00BC6896">
      <w:r>
        <w:separator/>
      </w:r>
    </w:p>
    <w:p w14:paraId="2DAA0178" w14:textId="77777777" w:rsidR="00A8089B" w:rsidRDefault="00A8089B" w:rsidP="00BC6896"/>
  </w:footnote>
  <w:footnote w:type="continuationSeparator" w:id="0">
    <w:p w14:paraId="2DAA0179" w14:textId="77777777" w:rsidR="00A8089B" w:rsidRDefault="00A8089B" w:rsidP="00BC6896">
      <w:r>
        <w:continuationSeparator/>
      </w:r>
    </w:p>
    <w:p w14:paraId="2DAA017A" w14:textId="77777777" w:rsidR="00A8089B" w:rsidRDefault="00A8089B" w:rsidP="00BC6896"/>
  </w:footnote>
  <w:footnote w:type="continuationNotice" w:id="1">
    <w:p w14:paraId="2DAA017B" w14:textId="77777777" w:rsidR="00A8089B" w:rsidRDefault="00A8089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A0181" w14:textId="77777777" w:rsidR="00A8089B" w:rsidRPr="00716F94" w:rsidRDefault="00A8089B" w:rsidP="00BC6896">
    <w:pPr>
      <w:pStyle w:val="Header"/>
      <w:rPr>
        <w:color w:val="0033CC"/>
      </w:rPr>
    </w:pPr>
    <w:r>
      <w:tab/>
    </w:r>
  </w:p>
  <w:p w14:paraId="2DAA0182" w14:textId="77777777" w:rsidR="00A8089B" w:rsidRDefault="00A8089B"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924BEE"/>
    <w:multiLevelType w:val="hybridMultilevel"/>
    <w:tmpl w:val="4DEE20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3E574A"/>
    <w:multiLevelType w:val="hybridMultilevel"/>
    <w:tmpl w:val="0DF6003E"/>
    <w:lvl w:ilvl="0" w:tplc="78C823BA">
      <w:start w:val="7"/>
      <w:numFmt w:val="upperLetter"/>
      <w:lvlText w:val="%1."/>
      <w:lvlJc w:val="lef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F6550C"/>
    <w:multiLevelType w:val="hybridMultilevel"/>
    <w:tmpl w:val="D9288876"/>
    <w:lvl w:ilvl="0" w:tplc="88326A32">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3A29E7"/>
    <w:multiLevelType w:val="hybridMultilevel"/>
    <w:tmpl w:val="5A36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A96A45"/>
    <w:multiLevelType w:val="hybridMultilevel"/>
    <w:tmpl w:val="3A1E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2774FD"/>
    <w:multiLevelType w:val="hybridMultilevel"/>
    <w:tmpl w:val="78B065A4"/>
    <w:lvl w:ilvl="0" w:tplc="FD2413D6">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0C6AF8"/>
    <w:multiLevelType w:val="hybridMultilevel"/>
    <w:tmpl w:val="21BEEB10"/>
    <w:lvl w:ilvl="0" w:tplc="707A6608">
      <w:start w:val="1"/>
      <w:numFmt w:val="decimal"/>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6"/>
  </w:num>
  <w:num w:numId="3">
    <w:abstractNumId w:val="24"/>
  </w:num>
  <w:num w:numId="4">
    <w:abstractNumId w:val="12"/>
  </w:num>
  <w:num w:numId="5">
    <w:abstractNumId w:val="17"/>
  </w:num>
  <w:num w:numId="6">
    <w:abstractNumId w:val="8"/>
  </w:num>
  <w:num w:numId="7">
    <w:abstractNumId w:val="0"/>
  </w:num>
  <w:num w:numId="8">
    <w:abstractNumId w:val="6"/>
  </w:num>
  <w:num w:numId="9">
    <w:abstractNumId w:val="11"/>
  </w:num>
  <w:num w:numId="10">
    <w:abstractNumId w:val="18"/>
  </w:num>
  <w:num w:numId="11">
    <w:abstractNumId w:val="2"/>
  </w:num>
  <w:num w:numId="12">
    <w:abstractNumId w:val="23"/>
  </w:num>
  <w:num w:numId="13">
    <w:abstractNumId w:val="7"/>
  </w:num>
  <w:num w:numId="14">
    <w:abstractNumId w:val="3"/>
  </w:num>
  <w:num w:numId="15">
    <w:abstractNumId w:val="20"/>
  </w:num>
  <w:num w:numId="16">
    <w:abstractNumId w:val="26"/>
  </w:num>
  <w:num w:numId="17">
    <w:abstractNumId w:val="10"/>
  </w:num>
  <w:num w:numId="18">
    <w:abstractNumId w:val="13"/>
  </w:num>
  <w:num w:numId="19">
    <w:abstractNumId w:val="5"/>
  </w:num>
  <w:num w:numId="20">
    <w:abstractNumId w:val="14"/>
  </w:num>
  <w:num w:numId="21">
    <w:abstractNumId w:val="25"/>
  </w:num>
  <w:num w:numId="22">
    <w:abstractNumId w:val="19"/>
  </w:num>
  <w:num w:numId="23">
    <w:abstractNumId w:val="4"/>
  </w:num>
  <w:num w:numId="24">
    <w:abstractNumId w:val="15"/>
  </w:num>
  <w:num w:numId="25">
    <w:abstractNumId w:val="22"/>
  </w:num>
  <w:num w:numId="26">
    <w:abstractNumId w:val="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55A6"/>
    <w:rsid w:val="00010420"/>
    <w:rsid w:val="00011A98"/>
    <w:rsid w:val="00011F8D"/>
    <w:rsid w:val="000130B4"/>
    <w:rsid w:val="00014361"/>
    <w:rsid w:val="000474FB"/>
    <w:rsid w:val="00052A34"/>
    <w:rsid w:val="00053A92"/>
    <w:rsid w:val="000557D0"/>
    <w:rsid w:val="0005605E"/>
    <w:rsid w:val="00057F36"/>
    <w:rsid w:val="000A0494"/>
    <w:rsid w:val="000A1F30"/>
    <w:rsid w:val="000E6577"/>
    <w:rsid w:val="000E7A19"/>
    <w:rsid w:val="00104A1B"/>
    <w:rsid w:val="001057B6"/>
    <w:rsid w:val="001177DD"/>
    <w:rsid w:val="001308EB"/>
    <w:rsid w:val="00134D02"/>
    <w:rsid w:val="001412D4"/>
    <w:rsid w:val="00144F64"/>
    <w:rsid w:val="00151567"/>
    <w:rsid w:val="00163E17"/>
    <w:rsid w:val="00166F9E"/>
    <w:rsid w:val="00187D5A"/>
    <w:rsid w:val="001972D7"/>
    <w:rsid w:val="001A28F6"/>
    <w:rsid w:val="001A7D0E"/>
    <w:rsid w:val="001B2831"/>
    <w:rsid w:val="001C0493"/>
    <w:rsid w:val="001C28AD"/>
    <w:rsid w:val="001D7FCB"/>
    <w:rsid w:val="001E2B99"/>
    <w:rsid w:val="001E69B6"/>
    <w:rsid w:val="001F4DBB"/>
    <w:rsid w:val="001F7C89"/>
    <w:rsid w:val="0020312D"/>
    <w:rsid w:val="0020495F"/>
    <w:rsid w:val="00206E33"/>
    <w:rsid w:val="00210519"/>
    <w:rsid w:val="00230CEF"/>
    <w:rsid w:val="00241B17"/>
    <w:rsid w:val="00241C81"/>
    <w:rsid w:val="00257A1C"/>
    <w:rsid w:val="0027234C"/>
    <w:rsid w:val="00272E03"/>
    <w:rsid w:val="002773B8"/>
    <w:rsid w:val="00281795"/>
    <w:rsid w:val="002850E3"/>
    <w:rsid w:val="00287E2F"/>
    <w:rsid w:val="002A1948"/>
    <w:rsid w:val="002C0877"/>
    <w:rsid w:val="002C2AE2"/>
    <w:rsid w:val="002D0DCE"/>
    <w:rsid w:val="002E2B10"/>
    <w:rsid w:val="002F1502"/>
    <w:rsid w:val="002F169D"/>
    <w:rsid w:val="002F2069"/>
    <w:rsid w:val="002F6F92"/>
    <w:rsid w:val="003003FD"/>
    <w:rsid w:val="003041AD"/>
    <w:rsid w:val="0031279F"/>
    <w:rsid w:val="00312D63"/>
    <w:rsid w:val="00314922"/>
    <w:rsid w:val="0032242C"/>
    <w:rsid w:val="00327D05"/>
    <w:rsid w:val="00335EBD"/>
    <w:rsid w:val="00336D96"/>
    <w:rsid w:val="00344F07"/>
    <w:rsid w:val="003469C8"/>
    <w:rsid w:val="00355EA4"/>
    <w:rsid w:val="003635BE"/>
    <w:rsid w:val="00365EF8"/>
    <w:rsid w:val="00366B5E"/>
    <w:rsid w:val="00372844"/>
    <w:rsid w:val="00381879"/>
    <w:rsid w:val="0038560A"/>
    <w:rsid w:val="003A1CEB"/>
    <w:rsid w:val="003B7A62"/>
    <w:rsid w:val="003C31C9"/>
    <w:rsid w:val="003C4961"/>
    <w:rsid w:val="003C7C5D"/>
    <w:rsid w:val="003D0AD2"/>
    <w:rsid w:val="003E4E7D"/>
    <w:rsid w:val="003E5D57"/>
    <w:rsid w:val="003F5913"/>
    <w:rsid w:val="004024F8"/>
    <w:rsid w:val="0041159A"/>
    <w:rsid w:val="00426055"/>
    <w:rsid w:val="004279DA"/>
    <w:rsid w:val="004305A8"/>
    <w:rsid w:val="0043417A"/>
    <w:rsid w:val="00443CA0"/>
    <w:rsid w:val="00450E14"/>
    <w:rsid w:val="00462C65"/>
    <w:rsid w:val="00467B14"/>
    <w:rsid w:val="00470129"/>
    <w:rsid w:val="00474EDA"/>
    <w:rsid w:val="0047536D"/>
    <w:rsid w:val="004824FA"/>
    <w:rsid w:val="00484011"/>
    <w:rsid w:val="004841F1"/>
    <w:rsid w:val="004A1E3A"/>
    <w:rsid w:val="004A3B15"/>
    <w:rsid w:val="004B1EED"/>
    <w:rsid w:val="004C4AEA"/>
    <w:rsid w:val="004D17B9"/>
    <w:rsid w:val="004E003C"/>
    <w:rsid w:val="004E16EB"/>
    <w:rsid w:val="004E6665"/>
    <w:rsid w:val="004F634E"/>
    <w:rsid w:val="004F67A8"/>
    <w:rsid w:val="0050548A"/>
    <w:rsid w:val="00522A50"/>
    <w:rsid w:val="00527225"/>
    <w:rsid w:val="0053557D"/>
    <w:rsid w:val="005463DE"/>
    <w:rsid w:val="00546DC2"/>
    <w:rsid w:val="005542E8"/>
    <w:rsid w:val="005554AD"/>
    <w:rsid w:val="00556630"/>
    <w:rsid w:val="0055686D"/>
    <w:rsid w:val="005800EE"/>
    <w:rsid w:val="005869D6"/>
    <w:rsid w:val="005A33F6"/>
    <w:rsid w:val="005A59E5"/>
    <w:rsid w:val="005B7440"/>
    <w:rsid w:val="005C6E9D"/>
    <w:rsid w:val="005D5948"/>
    <w:rsid w:val="005E2150"/>
    <w:rsid w:val="005E2995"/>
    <w:rsid w:val="005F3FEF"/>
    <w:rsid w:val="00601392"/>
    <w:rsid w:val="006075F6"/>
    <w:rsid w:val="00607F7C"/>
    <w:rsid w:val="006102DA"/>
    <w:rsid w:val="00621F93"/>
    <w:rsid w:val="006315A3"/>
    <w:rsid w:val="00637CC1"/>
    <w:rsid w:val="00645FBD"/>
    <w:rsid w:val="006466BA"/>
    <w:rsid w:val="006579A2"/>
    <w:rsid w:val="00667C89"/>
    <w:rsid w:val="006711EE"/>
    <w:rsid w:val="006809BB"/>
    <w:rsid w:val="006809FD"/>
    <w:rsid w:val="00691D1F"/>
    <w:rsid w:val="00697BAE"/>
    <w:rsid w:val="006B4DDC"/>
    <w:rsid w:val="006B5E55"/>
    <w:rsid w:val="006D25A1"/>
    <w:rsid w:val="006D3EDE"/>
    <w:rsid w:val="006F6856"/>
    <w:rsid w:val="0071190E"/>
    <w:rsid w:val="007145D0"/>
    <w:rsid w:val="00716F94"/>
    <w:rsid w:val="00735106"/>
    <w:rsid w:val="00760E12"/>
    <w:rsid w:val="00763CF3"/>
    <w:rsid w:val="00772293"/>
    <w:rsid w:val="00776C6B"/>
    <w:rsid w:val="0078095F"/>
    <w:rsid w:val="00783A3C"/>
    <w:rsid w:val="00783C75"/>
    <w:rsid w:val="00784619"/>
    <w:rsid w:val="0078627B"/>
    <w:rsid w:val="00794E32"/>
    <w:rsid w:val="007B0608"/>
    <w:rsid w:val="007B305A"/>
    <w:rsid w:val="007E04F5"/>
    <w:rsid w:val="007E1D5C"/>
    <w:rsid w:val="007E579B"/>
    <w:rsid w:val="00800993"/>
    <w:rsid w:val="00815C7D"/>
    <w:rsid w:val="00817941"/>
    <w:rsid w:val="008261AB"/>
    <w:rsid w:val="00835CA7"/>
    <w:rsid w:val="008370D4"/>
    <w:rsid w:val="008414AD"/>
    <w:rsid w:val="008428D9"/>
    <w:rsid w:val="00853659"/>
    <w:rsid w:val="00884DB9"/>
    <w:rsid w:val="008958B4"/>
    <w:rsid w:val="0089676F"/>
    <w:rsid w:val="008A1FD3"/>
    <w:rsid w:val="008C67D2"/>
    <w:rsid w:val="008E0683"/>
    <w:rsid w:val="008F5B18"/>
    <w:rsid w:val="00902DD9"/>
    <w:rsid w:val="00906582"/>
    <w:rsid w:val="00911486"/>
    <w:rsid w:val="009129CA"/>
    <w:rsid w:val="009206B6"/>
    <w:rsid w:val="009263C1"/>
    <w:rsid w:val="00931C02"/>
    <w:rsid w:val="00935FFD"/>
    <w:rsid w:val="00941B4F"/>
    <w:rsid w:val="00963CE3"/>
    <w:rsid w:val="00964F18"/>
    <w:rsid w:val="00974424"/>
    <w:rsid w:val="009759F3"/>
    <w:rsid w:val="00987F76"/>
    <w:rsid w:val="00993088"/>
    <w:rsid w:val="0099664F"/>
    <w:rsid w:val="00997D5D"/>
    <w:rsid w:val="009A0447"/>
    <w:rsid w:val="009B034F"/>
    <w:rsid w:val="009B4A51"/>
    <w:rsid w:val="009B4FB6"/>
    <w:rsid w:val="009C28B1"/>
    <w:rsid w:val="009C34D9"/>
    <w:rsid w:val="009C61AD"/>
    <w:rsid w:val="009D373D"/>
    <w:rsid w:val="009E09EE"/>
    <w:rsid w:val="009E1D05"/>
    <w:rsid w:val="009F7283"/>
    <w:rsid w:val="00A11B0C"/>
    <w:rsid w:val="00A305CE"/>
    <w:rsid w:val="00A33B35"/>
    <w:rsid w:val="00A36419"/>
    <w:rsid w:val="00A578C2"/>
    <w:rsid w:val="00A72652"/>
    <w:rsid w:val="00A75D1C"/>
    <w:rsid w:val="00A8089B"/>
    <w:rsid w:val="00A809AA"/>
    <w:rsid w:val="00A849B3"/>
    <w:rsid w:val="00A8510D"/>
    <w:rsid w:val="00A86AF3"/>
    <w:rsid w:val="00A90BDC"/>
    <w:rsid w:val="00A95477"/>
    <w:rsid w:val="00A975A9"/>
    <w:rsid w:val="00AA3192"/>
    <w:rsid w:val="00AB3608"/>
    <w:rsid w:val="00AC5C48"/>
    <w:rsid w:val="00AE57F9"/>
    <w:rsid w:val="00AF0CF4"/>
    <w:rsid w:val="00AF2252"/>
    <w:rsid w:val="00B1129F"/>
    <w:rsid w:val="00B11D61"/>
    <w:rsid w:val="00B12F51"/>
    <w:rsid w:val="00B2751E"/>
    <w:rsid w:val="00B3650C"/>
    <w:rsid w:val="00B4074A"/>
    <w:rsid w:val="00B50A2B"/>
    <w:rsid w:val="00B64BFA"/>
    <w:rsid w:val="00B8216F"/>
    <w:rsid w:val="00B853F1"/>
    <w:rsid w:val="00B85DE4"/>
    <w:rsid w:val="00B91A31"/>
    <w:rsid w:val="00BA6DB4"/>
    <w:rsid w:val="00BC3F3C"/>
    <w:rsid w:val="00BC5BB2"/>
    <w:rsid w:val="00BC6896"/>
    <w:rsid w:val="00BE509B"/>
    <w:rsid w:val="00BF3F54"/>
    <w:rsid w:val="00C00697"/>
    <w:rsid w:val="00C03639"/>
    <w:rsid w:val="00C0376C"/>
    <w:rsid w:val="00C06D77"/>
    <w:rsid w:val="00C14BA6"/>
    <w:rsid w:val="00C27E67"/>
    <w:rsid w:val="00C347E7"/>
    <w:rsid w:val="00C3485C"/>
    <w:rsid w:val="00C420D4"/>
    <w:rsid w:val="00C84DC3"/>
    <w:rsid w:val="00C922B8"/>
    <w:rsid w:val="00CA2004"/>
    <w:rsid w:val="00CB334D"/>
    <w:rsid w:val="00CB56D5"/>
    <w:rsid w:val="00CD0771"/>
    <w:rsid w:val="00CD1EA8"/>
    <w:rsid w:val="00CF0CE8"/>
    <w:rsid w:val="00CF5ABD"/>
    <w:rsid w:val="00CF63CE"/>
    <w:rsid w:val="00D067C1"/>
    <w:rsid w:val="00D13B13"/>
    <w:rsid w:val="00D16E78"/>
    <w:rsid w:val="00D201D3"/>
    <w:rsid w:val="00D26A64"/>
    <w:rsid w:val="00D328FA"/>
    <w:rsid w:val="00D4221A"/>
    <w:rsid w:val="00D52B9A"/>
    <w:rsid w:val="00D5367E"/>
    <w:rsid w:val="00D7285C"/>
    <w:rsid w:val="00D76819"/>
    <w:rsid w:val="00D810B0"/>
    <w:rsid w:val="00D861ED"/>
    <w:rsid w:val="00D873E0"/>
    <w:rsid w:val="00D94F8B"/>
    <w:rsid w:val="00DA4EA9"/>
    <w:rsid w:val="00DA5988"/>
    <w:rsid w:val="00DC317C"/>
    <w:rsid w:val="00DC4FF2"/>
    <w:rsid w:val="00DC79CC"/>
    <w:rsid w:val="00DF5E3A"/>
    <w:rsid w:val="00E134F4"/>
    <w:rsid w:val="00E23568"/>
    <w:rsid w:val="00E245B5"/>
    <w:rsid w:val="00E24C20"/>
    <w:rsid w:val="00E33E1B"/>
    <w:rsid w:val="00E34D3E"/>
    <w:rsid w:val="00E432DC"/>
    <w:rsid w:val="00E81C5E"/>
    <w:rsid w:val="00E83B3C"/>
    <w:rsid w:val="00E8736B"/>
    <w:rsid w:val="00E90275"/>
    <w:rsid w:val="00E925D4"/>
    <w:rsid w:val="00E97226"/>
    <w:rsid w:val="00EB2FC0"/>
    <w:rsid w:val="00EB63B3"/>
    <w:rsid w:val="00ED6878"/>
    <w:rsid w:val="00EF0D87"/>
    <w:rsid w:val="00EF0EC8"/>
    <w:rsid w:val="00EF3347"/>
    <w:rsid w:val="00EF33CD"/>
    <w:rsid w:val="00F2267A"/>
    <w:rsid w:val="00F300CB"/>
    <w:rsid w:val="00F42C3A"/>
    <w:rsid w:val="00F52BCC"/>
    <w:rsid w:val="00F5313F"/>
    <w:rsid w:val="00F57581"/>
    <w:rsid w:val="00F725B5"/>
    <w:rsid w:val="00F81A48"/>
    <w:rsid w:val="00FD17C9"/>
    <w:rsid w:val="00FD1EF0"/>
    <w:rsid w:val="00FD2A5B"/>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4B1EED"/>
    <w:pPr>
      <w:numPr>
        <w:numId w:val="3"/>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4B1EED"/>
    <w:rPr>
      <w:rFonts w:asciiTheme="majorHAnsi" w:hAnsiTheme="majorHAnsi"/>
      <w:b/>
      <w:bCs/>
    </w:rPr>
  </w:style>
  <w:style w:type="character" w:customStyle="1" w:styleId="baec5a81-e4d6-4674-97f3-e9220f0136c1">
    <w:name w:val="baec5a81-e4d6-4674-97f3-e9220f0136c1"/>
    <w:basedOn w:val="DefaultParagraphFont"/>
    <w:rsid w:val="007E579B"/>
  </w:style>
  <w:style w:type="paragraph" w:styleId="Revision">
    <w:name w:val="Revision"/>
    <w:hidden/>
    <w:uiPriority w:val="99"/>
    <w:semiHidden/>
    <w:rsid w:val="006D3EDE"/>
    <w:pPr>
      <w:spacing w:after="0" w:line="240" w:lineRule="auto"/>
    </w:pPr>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4B1EED"/>
    <w:pPr>
      <w:numPr>
        <w:numId w:val="3"/>
      </w:num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4B1EED"/>
    <w:rPr>
      <w:rFonts w:asciiTheme="majorHAnsi" w:hAnsiTheme="majorHAnsi"/>
      <w:b/>
      <w:bCs/>
    </w:rPr>
  </w:style>
  <w:style w:type="character" w:customStyle="1" w:styleId="baec5a81-e4d6-4674-97f3-e9220f0136c1">
    <w:name w:val="baec5a81-e4d6-4674-97f3-e9220f0136c1"/>
    <w:basedOn w:val="DefaultParagraphFont"/>
    <w:rsid w:val="007E579B"/>
  </w:style>
  <w:style w:type="paragraph" w:styleId="Revision">
    <w:name w:val="Revision"/>
    <w:hidden/>
    <w:uiPriority w:val="99"/>
    <w:semiHidden/>
    <w:rsid w:val="006D3EDE"/>
    <w:pPr>
      <w:spacing w:after="0" w:line="240" w:lineRule="auto"/>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65891138">
      <w:bodyDiv w:val="1"/>
      <w:marLeft w:val="0"/>
      <w:marRight w:val="0"/>
      <w:marTop w:val="0"/>
      <w:marBottom w:val="0"/>
      <w:divBdr>
        <w:top w:val="none" w:sz="0" w:space="0" w:color="auto"/>
        <w:left w:val="none" w:sz="0" w:space="0" w:color="auto"/>
        <w:bottom w:val="none" w:sz="0" w:space="0" w:color="auto"/>
        <w:right w:val="none" w:sz="0" w:space="0" w:color="auto"/>
      </w:divBdr>
      <w:divsChild>
        <w:div w:id="1958675839">
          <w:marLeft w:val="0"/>
          <w:marRight w:val="0"/>
          <w:marTop w:val="0"/>
          <w:marBottom w:val="0"/>
          <w:divBdr>
            <w:top w:val="none" w:sz="0" w:space="0" w:color="auto"/>
            <w:left w:val="none" w:sz="0" w:space="0" w:color="auto"/>
            <w:bottom w:val="none" w:sz="0" w:space="0" w:color="auto"/>
            <w:right w:val="none" w:sz="0" w:space="0" w:color="auto"/>
          </w:divBdr>
          <w:divsChild>
            <w:div w:id="1197355701">
              <w:marLeft w:val="0"/>
              <w:marRight w:val="0"/>
              <w:marTop w:val="0"/>
              <w:marBottom w:val="300"/>
              <w:divBdr>
                <w:top w:val="single" w:sz="6" w:space="0" w:color="BEBEBE"/>
                <w:left w:val="single" w:sz="6" w:space="0" w:color="BEBEBE"/>
                <w:bottom w:val="single" w:sz="6" w:space="0" w:color="BEBEBE"/>
                <w:right w:val="single" w:sz="6" w:space="0" w:color="BEBEBE"/>
              </w:divBdr>
              <w:divsChild>
                <w:div w:id="1882589623">
                  <w:marLeft w:val="0"/>
                  <w:marRight w:val="0"/>
                  <w:marTop w:val="0"/>
                  <w:marBottom w:val="0"/>
                  <w:divBdr>
                    <w:top w:val="none" w:sz="0" w:space="0" w:color="auto"/>
                    <w:left w:val="none" w:sz="0" w:space="0" w:color="auto"/>
                    <w:bottom w:val="none" w:sz="0" w:space="0" w:color="auto"/>
                    <w:right w:val="none" w:sz="0" w:space="0" w:color="auto"/>
                  </w:divBdr>
                  <w:divsChild>
                    <w:div w:id="726534067">
                      <w:marLeft w:val="0"/>
                      <w:marRight w:val="0"/>
                      <w:marTop w:val="0"/>
                      <w:marBottom w:val="0"/>
                      <w:divBdr>
                        <w:top w:val="none" w:sz="0" w:space="0" w:color="auto"/>
                        <w:left w:val="none" w:sz="0" w:space="0" w:color="auto"/>
                        <w:bottom w:val="none" w:sz="0" w:space="0" w:color="auto"/>
                        <w:right w:val="none" w:sz="0" w:space="0" w:color="auto"/>
                      </w:divBdr>
                      <w:divsChild>
                        <w:div w:id="314916683">
                          <w:marLeft w:val="0"/>
                          <w:marRight w:val="0"/>
                          <w:marTop w:val="0"/>
                          <w:marBottom w:val="0"/>
                          <w:divBdr>
                            <w:top w:val="none" w:sz="0" w:space="0" w:color="auto"/>
                            <w:left w:val="none" w:sz="0" w:space="0" w:color="auto"/>
                            <w:bottom w:val="none" w:sz="0" w:space="0" w:color="auto"/>
                            <w:right w:val="none" w:sz="0" w:space="0" w:color="auto"/>
                          </w:divBdr>
                          <w:divsChild>
                            <w:div w:id="19461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lee@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4b6d642acce4a69bb12b2a8776f908fb">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2acb54aff11e712fd2cd31498753e1a5"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OSTLTSDOC-727-13</_dlc_DocId>
    <_dlc_DocIdUrl xmlns="b5c0ca00-073d-4463-9985-b654f14791fe">
      <Url>http://esp.cdc.gov/sites/ostlts/pip/osc/_layouts/DocIdRedir.aspx?ID=OSTLTSDOC-727-13</Url>
      <Description>OSTLTSDOC-727-13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43C0A-CBAF-49CE-9DB3-3DB7C3C4B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A4329-DDBB-4E4D-AF8A-4733050A575B}">
  <ds:schemaRefs>
    <ds:schemaRef ds:uri="http://schemas.microsoft.com/sharepoint/events"/>
  </ds:schemaRefs>
</ds:datastoreItem>
</file>

<file path=customXml/itemProps3.xml><?xml version="1.0" encoding="utf-8"?>
<ds:datastoreItem xmlns:ds="http://schemas.openxmlformats.org/officeDocument/2006/customXml" ds:itemID="{28A7212A-1DCF-48B7-AD8D-E57A7D84E8EE}">
  <ds:schemaRefs>
    <ds:schemaRef ds:uri="http://schemas.microsoft.com/office/2006/metadata/customXsn"/>
  </ds:schemaRefs>
</ds:datastoreItem>
</file>

<file path=customXml/itemProps4.xml><?xml version="1.0" encoding="utf-8"?>
<ds:datastoreItem xmlns:ds="http://schemas.openxmlformats.org/officeDocument/2006/customXml" ds:itemID="{932343EC-6410-4D8E-BFA2-35D5F00E78AE}">
  <ds:schemaRefs>
    <ds:schemaRef ds:uri="http://schemas.microsoft.com/sharepoint/v3/contenttype/forms"/>
  </ds:schemaRefs>
</ds:datastoreItem>
</file>

<file path=customXml/itemProps5.xml><?xml version="1.0" encoding="utf-8"?>
<ds:datastoreItem xmlns:ds="http://schemas.openxmlformats.org/officeDocument/2006/customXml" ds:itemID="{872C34B4-8C7F-4821-95EC-CF5BF563F8E1}">
  <ds:schemaRefs>
    <ds:schemaRef ds:uri="http://purl.org/dc/elements/1.1/"/>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bd99c180-279b-44c3-9486-dd050336677e"/>
    <ds:schemaRef ds:uri="http://www.w3.org/XML/1998/namespace"/>
    <ds:schemaRef ds:uri="15b1c282-9287-45cb-9b41-eae3a76919a0"/>
    <ds:schemaRef ds:uri="http://purl.org/dc/dcmitype/"/>
    <ds:schemaRef ds:uri="http://schemas.openxmlformats.org/package/2006/metadata/core-properties"/>
    <ds:schemaRef ds:uri="http://purl.org/dc/terms/"/>
  </ds:schemaRefs>
</ds:datastoreItem>
</file>

<file path=customXml/itemProps6.xml><?xml version="1.0" encoding="utf-8"?>
<ds:datastoreItem xmlns:ds="http://schemas.openxmlformats.org/officeDocument/2006/customXml" ds:itemID="{DB5ABCED-009A-4990-B38C-662A354D1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2</cp:revision>
  <cp:lastPrinted>2011-06-07T15:53:00Z</cp:lastPrinted>
  <dcterms:created xsi:type="dcterms:W3CDTF">2014-08-11T16:10:00Z</dcterms:created>
  <dcterms:modified xsi:type="dcterms:W3CDTF">2014-08-11T16:10:00Z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9c0a9c8b-2667-4545-b695-9b21fd62dd68</vt:lpwstr>
  </property>
</Properties>
</file>