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574AF" w14:textId="77777777" w:rsidR="00716F94" w:rsidRDefault="00716F94" w:rsidP="007D6163"/>
    <w:p w14:paraId="102574B0" w14:textId="77777777" w:rsidR="009B4A51" w:rsidRDefault="009B4A51" w:rsidP="007D6163"/>
    <w:p w14:paraId="102574B1" w14:textId="77777777" w:rsidR="009B4A51" w:rsidRDefault="009B4A51" w:rsidP="007D6163"/>
    <w:p w14:paraId="102574B2" w14:textId="77777777" w:rsidR="009B4A51" w:rsidRDefault="009B4A51" w:rsidP="007D6163"/>
    <w:p w14:paraId="102574B3" w14:textId="77777777" w:rsidR="009B4A51" w:rsidRDefault="009B4A51" w:rsidP="007D6163"/>
    <w:p w14:paraId="102574B4" w14:textId="77777777" w:rsidR="00667C89" w:rsidRDefault="00667C89" w:rsidP="007D6163"/>
    <w:p w14:paraId="102574B5" w14:textId="77777777" w:rsidR="009B4A51" w:rsidRDefault="009B4A51" w:rsidP="007D6163"/>
    <w:p w14:paraId="102574B6" w14:textId="77777777" w:rsidR="009B4A51" w:rsidRDefault="009B4A51" w:rsidP="00CA5840">
      <w:pPr>
        <w:ind w:left="0"/>
      </w:pPr>
    </w:p>
    <w:p w14:paraId="102574B7" w14:textId="77777777" w:rsidR="00AA3192" w:rsidRPr="0043446A" w:rsidRDefault="00630F51" w:rsidP="00630F51">
      <w:pPr>
        <w:ind w:left="0"/>
        <w:jc w:val="center"/>
      </w:pPr>
      <w:r w:rsidRPr="0043446A">
        <w:rPr>
          <w:b/>
          <w:sz w:val="40"/>
        </w:rPr>
        <w:t>Healthy Homes Needs Assessment</w:t>
      </w:r>
      <w:r w:rsidR="00FF4F7E" w:rsidRPr="0043446A">
        <w:rPr>
          <w:b/>
          <w:sz w:val="40"/>
        </w:rPr>
        <w:t xml:space="preserve"> for State and Local Health Departments</w:t>
      </w:r>
    </w:p>
    <w:p w14:paraId="102574B8" w14:textId="77777777" w:rsidR="00716F94" w:rsidRPr="0043446A" w:rsidRDefault="00484011" w:rsidP="00CA5840">
      <w:pPr>
        <w:ind w:left="0"/>
        <w:jc w:val="center"/>
      </w:pPr>
      <w:r w:rsidRPr="0043446A">
        <w:t>OSTL</w:t>
      </w:r>
      <w:r w:rsidR="00316F00" w:rsidRPr="0043446A">
        <w:t>TS Generic Information Collection</w:t>
      </w:r>
      <w:r w:rsidRPr="0043446A">
        <w:t xml:space="preserve"> Request</w:t>
      </w:r>
    </w:p>
    <w:p w14:paraId="102574B9" w14:textId="77777777" w:rsidR="00484011" w:rsidRPr="0043446A" w:rsidRDefault="00484011" w:rsidP="00CA5840">
      <w:pPr>
        <w:ind w:left="0"/>
        <w:jc w:val="center"/>
      </w:pPr>
      <w:r w:rsidRPr="0043446A">
        <w:t>OMB No. 0920-0879</w:t>
      </w:r>
    </w:p>
    <w:p w14:paraId="102574BA" w14:textId="77777777" w:rsidR="009B4A51" w:rsidRPr="0043446A" w:rsidRDefault="009B4A51" w:rsidP="00CA5840">
      <w:pPr>
        <w:ind w:left="0"/>
      </w:pPr>
    </w:p>
    <w:p w14:paraId="102574BB" w14:textId="77777777" w:rsidR="009B4A51" w:rsidRPr="0043446A" w:rsidRDefault="009B4A51" w:rsidP="00CA5840">
      <w:pPr>
        <w:ind w:left="0"/>
      </w:pPr>
    </w:p>
    <w:p w14:paraId="102574BC" w14:textId="77777777" w:rsidR="00AA3192" w:rsidRPr="0043446A" w:rsidRDefault="00AA3192" w:rsidP="00CA5840">
      <w:pPr>
        <w:ind w:left="0"/>
      </w:pPr>
    </w:p>
    <w:p w14:paraId="102574BD" w14:textId="77777777" w:rsidR="00AA3192" w:rsidRPr="0043446A" w:rsidRDefault="00AA3192" w:rsidP="00CA5840">
      <w:pPr>
        <w:ind w:left="0"/>
      </w:pPr>
    </w:p>
    <w:p w14:paraId="102574BE" w14:textId="77777777" w:rsidR="009B4A51" w:rsidRPr="0043446A" w:rsidRDefault="009B4A51" w:rsidP="00CA5840">
      <w:pPr>
        <w:pStyle w:val="Heading2"/>
        <w:ind w:left="0"/>
      </w:pPr>
      <w:r w:rsidRPr="0043446A">
        <w:t>Supporting Statement – Section A</w:t>
      </w:r>
    </w:p>
    <w:p w14:paraId="102574BF" w14:textId="77777777" w:rsidR="009B4A51" w:rsidRPr="0043446A" w:rsidRDefault="009B4A51" w:rsidP="00CA5840">
      <w:pPr>
        <w:ind w:left="0"/>
      </w:pPr>
    </w:p>
    <w:p w14:paraId="102574C0" w14:textId="77777777" w:rsidR="00484011" w:rsidRPr="0043446A" w:rsidRDefault="00484011" w:rsidP="00CA5840">
      <w:pPr>
        <w:ind w:left="0"/>
      </w:pPr>
    </w:p>
    <w:p w14:paraId="102574C1" w14:textId="77777777" w:rsidR="00AA3192" w:rsidRPr="0043446A" w:rsidRDefault="00AA3192" w:rsidP="00CA5840">
      <w:pPr>
        <w:ind w:left="0"/>
      </w:pPr>
    </w:p>
    <w:p w14:paraId="102574C2" w14:textId="77777777" w:rsidR="009B4A51" w:rsidRPr="0043446A" w:rsidRDefault="009B4A51" w:rsidP="00CA5840">
      <w:pPr>
        <w:ind w:left="0"/>
      </w:pPr>
    </w:p>
    <w:p w14:paraId="102574C3" w14:textId="77777777" w:rsidR="009B4A51" w:rsidRPr="0043446A" w:rsidRDefault="009B4A51" w:rsidP="00CA5840">
      <w:pPr>
        <w:ind w:left="0"/>
      </w:pPr>
    </w:p>
    <w:p w14:paraId="102574C4" w14:textId="77777777" w:rsidR="00187D5A" w:rsidRPr="0043446A" w:rsidRDefault="00187D5A" w:rsidP="00CA5840">
      <w:pPr>
        <w:ind w:left="0"/>
      </w:pPr>
    </w:p>
    <w:p w14:paraId="102574C5" w14:textId="3904D98F" w:rsidR="009B4A51" w:rsidRPr="0043446A" w:rsidRDefault="009B4A51" w:rsidP="00CA5840">
      <w:pPr>
        <w:ind w:left="0"/>
        <w:jc w:val="center"/>
      </w:pPr>
      <w:r w:rsidRPr="0043446A">
        <w:t xml:space="preserve">Submitted: </w:t>
      </w:r>
      <w:r w:rsidR="00EB4166" w:rsidRPr="0043446A">
        <w:t>8/1</w:t>
      </w:r>
      <w:r w:rsidR="00002EFE" w:rsidRPr="0043446A">
        <w:t>5</w:t>
      </w:r>
      <w:r w:rsidR="00EB4166" w:rsidRPr="0043446A">
        <w:t>/14</w:t>
      </w:r>
    </w:p>
    <w:p w14:paraId="102574C6" w14:textId="77777777" w:rsidR="009B4A51" w:rsidRPr="0043446A" w:rsidRDefault="009B4A51" w:rsidP="007D6163"/>
    <w:p w14:paraId="102574C7" w14:textId="77777777" w:rsidR="009B4A51" w:rsidRPr="0043446A" w:rsidRDefault="009B4A51" w:rsidP="007D6163"/>
    <w:p w14:paraId="102574C8" w14:textId="77777777" w:rsidR="009B4A51" w:rsidRPr="0043446A" w:rsidRDefault="009B4A51" w:rsidP="007D6163"/>
    <w:p w14:paraId="102574C9" w14:textId="77777777" w:rsidR="00AA3192" w:rsidRPr="0043446A" w:rsidRDefault="00AA3192" w:rsidP="007D6163"/>
    <w:p w14:paraId="102574CA" w14:textId="77777777" w:rsidR="00AA3192" w:rsidRPr="0043446A" w:rsidRDefault="00AA3192" w:rsidP="007D6163"/>
    <w:p w14:paraId="102574CB" w14:textId="77777777" w:rsidR="009B4A51" w:rsidRPr="0043446A" w:rsidRDefault="009B4A51" w:rsidP="007D6163"/>
    <w:p w14:paraId="102574CC" w14:textId="77777777" w:rsidR="00321B51" w:rsidRPr="0043446A" w:rsidRDefault="00716F94" w:rsidP="00CA5840">
      <w:pPr>
        <w:ind w:left="0"/>
      </w:pPr>
      <w:r w:rsidRPr="0043446A">
        <w:rPr>
          <w:b/>
          <w:u w:val="single"/>
        </w:rPr>
        <w:t>P</w:t>
      </w:r>
      <w:r w:rsidR="00667C89" w:rsidRPr="0043446A">
        <w:rPr>
          <w:b/>
          <w:u w:val="single"/>
        </w:rPr>
        <w:t>rogram Official/Project Officer</w:t>
      </w:r>
      <w:r w:rsidR="000B0962" w:rsidRPr="0043446A">
        <w:tab/>
      </w:r>
    </w:p>
    <w:p w14:paraId="102574CD" w14:textId="77777777" w:rsidR="00321B51" w:rsidRPr="0043446A" w:rsidRDefault="00256F07" w:rsidP="00CA5840">
      <w:pPr>
        <w:ind w:left="0"/>
      </w:pPr>
      <w:r w:rsidRPr="0043446A">
        <w:t xml:space="preserve">Kimball </w:t>
      </w:r>
      <w:proofErr w:type="spellStart"/>
      <w:r w:rsidRPr="0043446A">
        <w:t>Credle</w:t>
      </w:r>
      <w:proofErr w:type="spellEnd"/>
      <w:r w:rsidR="000F0E56" w:rsidRPr="0043446A">
        <w:t>,</w:t>
      </w:r>
      <w:r w:rsidRPr="0043446A">
        <w:t xml:space="preserve"> MPH</w:t>
      </w:r>
    </w:p>
    <w:p w14:paraId="102574CE" w14:textId="77777777" w:rsidR="00321B51" w:rsidRPr="0043446A" w:rsidRDefault="00256F07" w:rsidP="00CA5840">
      <w:pPr>
        <w:ind w:left="0"/>
      </w:pPr>
      <w:r w:rsidRPr="0043446A">
        <w:t>Project Officer</w:t>
      </w:r>
    </w:p>
    <w:p w14:paraId="102574CF" w14:textId="77777777" w:rsidR="00256F07" w:rsidRPr="0043446A" w:rsidRDefault="00256F07" w:rsidP="00CA5840">
      <w:pPr>
        <w:ind w:left="0"/>
      </w:pPr>
      <w:r w:rsidRPr="0043446A">
        <w:t>National Center for Environmental Health</w:t>
      </w:r>
    </w:p>
    <w:p w14:paraId="102574D0" w14:textId="77777777" w:rsidR="00321B51" w:rsidRPr="0043446A" w:rsidRDefault="00256F07" w:rsidP="00CA5840">
      <w:pPr>
        <w:ind w:left="0"/>
      </w:pPr>
      <w:r w:rsidRPr="0043446A">
        <w:t>Centers for Disease Control and Prevention</w:t>
      </w:r>
    </w:p>
    <w:p w14:paraId="102574D1" w14:textId="77777777" w:rsidR="00321B51" w:rsidRPr="0043446A" w:rsidRDefault="00256F07" w:rsidP="00CA5840">
      <w:pPr>
        <w:ind w:left="0"/>
      </w:pPr>
      <w:r w:rsidRPr="0043446A">
        <w:t xml:space="preserve">4770 Buford </w:t>
      </w:r>
      <w:r w:rsidR="000F0E56" w:rsidRPr="0043446A">
        <w:t>H</w:t>
      </w:r>
      <w:r w:rsidRPr="0043446A">
        <w:t>ighway NE</w:t>
      </w:r>
    </w:p>
    <w:p w14:paraId="102574D2" w14:textId="77777777" w:rsidR="00321B51" w:rsidRPr="0043446A" w:rsidRDefault="000F0E56" w:rsidP="00CA5840">
      <w:pPr>
        <w:ind w:left="0"/>
      </w:pPr>
      <w:r w:rsidRPr="0043446A">
        <w:t xml:space="preserve">Mail: </w:t>
      </w:r>
      <w:r w:rsidR="00256F07" w:rsidRPr="0043446A">
        <w:t>770-488-3643</w:t>
      </w:r>
    </w:p>
    <w:p w14:paraId="102574D3" w14:textId="77777777" w:rsidR="00321B51" w:rsidRPr="0043446A" w:rsidRDefault="000F0E56" w:rsidP="00CA5840">
      <w:pPr>
        <w:ind w:left="0"/>
      </w:pPr>
      <w:r w:rsidRPr="0043446A">
        <w:t xml:space="preserve">Fax: </w:t>
      </w:r>
      <w:r w:rsidR="00256F07" w:rsidRPr="0043446A">
        <w:t>770-488-</w:t>
      </w:r>
      <w:r w:rsidR="00AF1726" w:rsidRPr="0043446A">
        <w:t>3635</w:t>
      </w:r>
    </w:p>
    <w:p w14:paraId="102574D4" w14:textId="77777777" w:rsidR="00321B51" w:rsidRPr="0043446A" w:rsidRDefault="000F0E56" w:rsidP="00CA5840">
      <w:pPr>
        <w:ind w:left="0"/>
      </w:pPr>
      <w:r w:rsidRPr="0043446A">
        <w:t xml:space="preserve">Email: </w:t>
      </w:r>
      <w:r w:rsidR="00256F07" w:rsidRPr="0043446A">
        <w:t>kfc2@cdc.gov</w:t>
      </w:r>
    </w:p>
    <w:p w14:paraId="102574D5" w14:textId="77777777" w:rsidR="000B0962" w:rsidRPr="0043446A" w:rsidRDefault="000B0962" w:rsidP="007D6163"/>
    <w:p w14:paraId="102574D6" w14:textId="77777777" w:rsidR="000B0962" w:rsidRPr="0043446A" w:rsidRDefault="000B0962" w:rsidP="007D6163"/>
    <w:p w14:paraId="102574D8" w14:textId="77777777" w:rsidR="00CD1EA8" w:rsidRPr="0043446A" w:rsidRDefault="00CD1EA8" w:rsidP="00CA5840">
      <w:pPr>
        <w:pStyle w:val="Heading3"/>
        <w:ind w:left="0"/>
      </w:pPr>
      <w:r w:rsidRPr="0043446A">
        <w:lastRenderedPageBreak/>
        <w:t>Section A</w:t>
      </w:r>
      <w:r w:rsidR="00B12F51" w:rsidRPr="0043446A">
        <w:t xml:space="preserve"> – Justification</w:t>
      </w:r>
    </w:p>
    <w:p w14:paraId="102574D9" w14:textId="77777777" w:rsidR="00B12F51" w:rsidRPr="0043446A" w:rsidRDefault="00B12F51" w:rsidP="007D6163"/>
    <w:p w14:paraId="102574DA" w14:textId="77777777" w:rsidR="00CD1EA8" w:rsidRPr="0043446A" w:rsidRDefault="00B12F51" w:rsidP="00F95046">
      <w:pPr>
        <w:pStyle w:val="Heading4"/>
        <w:ind w:left="360"/>
      </w:pPr>
      <w:r w:rsidRPr="0043446A">
        <w:t>Circumstances Making the Collection of Information Necessary</w:t>
      </w:r>
    </w:p>
    <w:p w14:paraId="102574DB" w14:textId="77777777" w:rsidR="00E33E1B" w:rsidRPr="0043446A" w:rsidRDefault="00E33E1B" w:rsidP="00F95046">
      <w:pPr>
        <w:ind w:left="360"/>
      </w:pPr>
    </w:p>
    <w:p w14:paraId="102574DC" w14:textId="77777777" w:rsidR="00E33E1B" w:rsidRPr="0043446A" w:rsidRDefault="00E33E1B" w:rsidP="00F95046">
      <w:pPr>
        <w:pStyle w:val="Heading5"/>
        <w:ind w:left="360"/>
      </w:pPr>
      <w:r w:rsidRPr="0043446A">
        <w:t>Background</w:t>
      </w:r>
    </w:p>
    <w:p w14:paraId="102574DD" w14:textId="77777777" w:rsidR="004B49E5" w:rsidRPr="0043446A" w:rsidRDefault="004B49E5" w:rsidP="00F95046">
      <w:pPr>
        <w:ind w:left="360"/>
      </w:pPr>
      <w:r w:rsidRPr="0043446A">
        <w:t xml:space="preserve">This data collection is being conducted using the Generic Information Collection mechanism of the OSTLTS OMB Clearance Center (O2C2)  – OMB No. 0920-0879. The respondent universe for this data collection aligns with that of the O2C2. Data will be collected from </w:t>
      </w:r>
      <w:r w:rsidR="00FF4F7E" w:rsidRPr="0043446A">
        <w:t>40</w:t>
      </w:r>
      <w:r w:rsidR="00B554C8" w:rsidRPr="0043446A">
        <w:t xml:space="preserve"> state and local </w:t>
      </w:r>
      <w:r w:rsidR="00AF2708" w:rsidRPr="0043446A">
        <w:t>program managers of childhood lead poisoning prevention programs</w:t>
      </w:r>
      <w:r w:rsidR="00B554C8" w:rsidRPr="0043446A">
        <w:t xml:space="preserve"> within </w:t>
      </w:r>
      <w:r w:rsidR="00FF4F7E" w:rsidRPr="0043446A">
        <w:t>40</w:t>
      </w:r>
      <w:r w:rsidR="00B554C8" w:rsidRPr="0043446A">
        <w:t xml:space="preserve"> </w:t>
      </w:r>
      <w:r w:rsidRPr="0043446A">
        <w:t>state and local health departments</w:t>
      </w:r>
      <w:r w:rsidR="00B554C8" w:rsidRPr="0043446A">
        <w:t xml:space="preserve">.  These officials will be </w:t>
      </w:r>
      <w:r w:rsidRPr="0043446A">
        <w:t>acting in their official capacities</w:t>
      </w:r>
      <w:r w:rsidR="00B554C8" w:rsidRPr="0043446A">
        <w:t>, and</w:t>
      </w:r>
      <w:r w:rsidR="00725E0B" w:rsidRPr="0043446A">
        <w:t xml:space="preserve"> will be specifically selected from a universe of state</w:t>
      </w:r>
      <w:r w:rsidR="00B554C8" w:rsidRPr="0043446A">
        <w:t xml:space="preserve"> and local health departments</w:t>
      </w:r>
      <w:r w:rsidR="00B604B0" w:rsidRPr="0043446A">
        <w:t xml:space="preserve"> </w:t>
      </w:r>
      <w:r w:rsidR="00725E0B" w:rsidRPr="0043446A">
        <w:t>known by the Centers for Disease Control and Prevention (CDC) as being high risk based on such factors as high percent of old housing, high percent of rental properties, high percent of low income and minority children and high percent of immigrant and refugee children</w:t>
      </w:r>
      <w:r w:rsidR="00CF495F" w:rsidRPr="0043446A">
        <w:t xml:space="preserve"> (</w:t>
      </w:r>
      <w:r w:rsidR="00F95046" w:rsidRPr="0043446A">
        <w:t xml:space="preserve">see </w:t>
      </w:r>
      <w:r w:rsidR="00CD21E0" w:rsidRPr="0043446A">
        <w:rPr>
          <w:b/>
        </w:rPr>
        <w:t>Att</w:t>
      </w:r>
      <w:r w:rsidR="00F95046" w:rsidRPr="0043446A">
        <w:rPr>
          <w:b/>
        </w:rPr>
        <w:t>achment</w:t>
      </w:r>
      <w:r w:rsidR="00CD21E0" w:rsidRPr="0043446A">
        <w:rPr>
          <w:b/>
        </w:rPr>
        <w:t xml:space="preserve"> </w:t>
      </w:r>
      <w:r w:rsidR="00CF495F" w:rsidRPr="0043446A">
        <w:rPr>
          <w:b/>
        </w:rPr>
        <w:t>A</w:t>
      </w:r>
      <w:r w:rsidR="00CD21E0" w:rsidRPr="0043446A">
        <w:rPr>
          <w:b/>
        </w:rPr>
        <w:t>: Risk by State Locality</w:t>
      </w:r>
      <w:r w:rsidR="00CF495F" w:rsidRPr="0043446A">
        <w:rPr>
          <w:b/>
        </w:rPr>
        <w:t>).</w:t>
      </w:r>
    </w:p>
    <w:p w14:paraId="102574DE" w14:textId="77777777" w:rsidR="004B49E5" w:rsidRPr="0043446A" w:rsidRDefault="004B49E5" w:rsidP="00F95046">
      <w:pPr>
        <w:pStyle w:val="Header"/>
        <w:ind w:left="360"/>
      </w:pPr>
    </w:p>
    <w:p w14:paraId="102574DF" w14:textId="2C61277B" w:rsidR="004B49E5" w:rsidRPr="0043446A" w:rsidRDefault="004B49E5" w:rsidP="00F95046">
      <w:pPr>
        <w:ind w:left="360"/>
      </w:pPr>
      <w:r w:rsidRPr="0043446A">
        <w:t>This data collection is authorized by Section 301 of the Public Health Service Act (42 U.S.C. 241).</w:t>
      </w:r>
      <w:r w:rsidR="00ED4455" w:rsidRPr="0043446A">
        <w:rPr>
          <w:iCs/>
        </w:rPr>
        <w:t xml:space="preserve"> This data collection falls under the following essential public health services</w:t>
      </w:r>
      <w:r w:rsidR="00FC7885" w:rsidRPr="0043446A">
        <w:rPr>
          <w:iCs/>
        </w:rPr>
        <w:t xml:space="preserve">: </w:t>
      </w:r>
      <w:r w:rsidR="005970A4" w:rsidRPr="0043446A">
        <w:rPr>
          <w:iCs/>
        </w:rPr>
        <w:t xml:space="preserve">1) </w:t>
      </w:r>
      <w:r w:rsidR="00ED4455" w:rsidRPr="0043446A">
        <w:rPr>
          <w:iCs/>
        </w:rPr>
        <w:t>evaluating effectiveness, accessibility, and quality of personal and p</w:t>
      </w:r>
      <w:r w:rsidR="005970A4" w:rsidRPr="0043446A">
        <w:rPr>
          <w:iCs/>
        </w:rPr>
        <w:t>opulation-based health services</w:t>
      </w:r>
      <w:r w:rsidR="00ED4455" w:rsidRPr="0043446A">
        <w:rPr>
          <w:iCs/>
        </w:rPr>
        <w:t>, and 2) development of policies and plans that support individual and community health efforts.</w:t>
      </w:r>
      <w:r w:rsidR="00ED4455" w:rsidRPr="0043446A">
        <w:rPr>
          <w:iCs/>
          <w:vertAlign w:val="superscript"/>
        </w:rPr>
        <w:t>1</w:t>
      </w:r>
    </w:p>
    <w:p w14:paraId="102574E0" w14:textId="77777777" w:rsidR="004B49E5" w:rsidRPr="0043446A" w:rsidRDefault="004B49E5" w:rsidP="00F95046">
      <w:pPr>
        <w:ind w:left="360"/>
      </w:pPr>
    </w:p>
    <w:p w14:paraId="102574E1" w14:textId="4733D78B" w:rsidR="003664B9" w:rsidRPr="0043446A" w:rsidRDefault="00E60EFE" w:rsidP="00F95046">
      <w:pPr>
        <w:ind w:left="360"/>
      </w:pPr>
      <w:r w:rsidRPr="0043446A">
        <w:t xml:space="preserve">Today, out of 38 million </w:t>
      </w:r>
      <w:r w:rsidR="00682CB3" w:rsidRPr="0043446A">
        <w:t xml:space="preserve">US </w:t>
      </w:r>
      <w:r w:rsidRPr="0043446A">
        <w:t>households with children, at least 4.2 million households (11%) have children living in them that are being exposed to lead at levels that can harm their intellectual development.</w:t>
      </w:r>
      <w:r w:rsidR="00ED4455" w:rsidRPr="0043446A">
        <w:rPr>
          <w:vertAlign w:val="superscript"/>
        </w:rPr>
        <w:t>2</w:t>
      </w:r>
      <w:r w:rsidR="008C0AFA" w:rsidRPr="0043446A">
        <w:t xml:space="preserve"> </w:t>
      </w:r>
      <w:r w:rsidR="004C76E6" w:rsidRPr="0043446A">
        <w:t>C</w:t>
      </w:r>
      <w:r w:rsidRPr="0043446A">
        <w:t>hildren who are exposed to lead suffer a $3,000 to almost $8,000 loss in lifetime productivity for each 1 µg/</w:t>
      </w:r>
      <w:proofErr w:type="spellStart"/>
      <w:r w:rsidRPr="0043446A">
        <w:t>dL</w:t>
      </w:r>
      <w:proofErr w:type="spellEnd"/>
      <w:r w:rsidRPr="0043446A">
        <w:t xml:space="preserve"> incremental increase in blood-lead level, and blood-lead levels over 1 </w:t>
      </w:r>
      <w:r w:rsidR="004C76E6" w:rsidRPr="0043446A">
        <w:t>µg/</w:t>
      </w:r>
      <w:proofErr w:type="spellStart"/>
      <w:r w:rsidR="004C76E6" w:rsidRPr="0043446A">
        <w:t>dL</w:t>
      </w:r>
      <w:proofErr w:type="spellEnd"/>
      <w:r w:rsidR="004C76E6" w:rsidRPr="0043446A">
        <w:t xml:space="preserve"> </w:t>
      </w:r>
      <w:r w:rsidRPr="0043446A">
        <w:t>are associated with measurable reductions in IQ.</w:t>
      </w:r>
      <w:r w:rsidR="00ED4455" w:rsidRPr="0043446A">
        <w:rPr>
          <w:vertAlign w:val="superscript"/>
        </w:rPr>
        <w:t>3</w:t>
      </w:r>
      <w:r w:rsidRPr="0043446A">
        <w:t xml:space="preserve"> In 2010, more than 12 million U.S. children had levels above this threshold, and it is estimated that they will suffer a $45 to $99 billion loss in lifetime productivity associated with this exposure.</w:t>
      </w:r>
      <w:r w:rsidR="00ED4455" w:rsidRPr="0043446A">
        <w:rPr>
          <w:vertAlign w:val="superscript"/>
        </w:rPr>
        <w:t>4</w:t>
      </w:r>
      <w:r w:rsidR="008C0AFA" w:rsidRPr="0043446A">
        <w:t xml:space="preserve"> P</w:t>
      </w:r>
      <w:r w:rsidR="007A2860" w:rsidRPr="0043446A">
        <w:t xml:space="preserve">reventing high blood lead levels in children by controlling or eliminating lead sources before children </w:t>
      </w:r>
      <w:r w:rsidR="004C76E6" w:rsidRPr="0043446A">
        <w:t xml:space="preserve">are exposed </w:t>
      </w:r>
      <w:r w:rsidR="00413DF2" w:rsidRPr="0043446A">
        <w:t>is estimated to save $110-319 in economic benefits for each yearly cohort of unexposed 2 year old children.</w:t>
      </w:r>
      <w:r w:rsidR="00ED4455" w:rsidRPr="0043446A">
        <w:rPr>
          <w:vertAlign w:val="superscript"/>
        </w:rPr>
        <w:t xml:space="preserve">5 </w:t>
      </w:r>
      <w:r w:rsidR="00413DF2" w:rsidRPr="0043446A">
        <w:t>Further, housing where a child has been identified with high blood lead levels and</w:t>
      </w:r>
      <w:r w:rsidR="004C76E6" w:rsidRPr="0043446A">
        <w:t xml:space="preserve"> where</w:t>
      </w:r>
      <w:r w:rsidR="00413DF2" w:rsidRPr="0043446A">
        <w:t xml:space="preserve"> lead hazards are unaddressed is 4.5 times more likely to poison another child in the next 5 years compared to an address where hazards are controlled or eliminated.</w:t>
      </w:r>
      <w:r w:rsidR="00ED4455" w:rsidRPr="0043446A">
        <w:rPr>
          <w:vertAlign w:val="superscript"/>
        </w:rPr>
        <w:t>6</w:t>
      </w:r>
      <w:r w:rsidR="007A0C05" w:rsidRPr="0043446A">
        <w:t xml:space="preserve"> </w:t>
      </w:r>
      <w:r w:rsidR="00133D2A" w:rsidRPr="0043446A">
        <w:t>Primary prevention of high blood lead levels through c</w:t>
      </w:r>
      <w:r w:rsidR="00413DF2" w:rsidRPr="0043446A">
        <w:t xml:space="preserve">ontrolling lead hazards in this high risk housing saves an estimated $45,000 (2000 dollars) by preventing </w:t>
      </w:r>
      <w:r w:rsidR="00133D2A" w:rsidRPr="0043446A">
        <w:t xml:space="preserve">exposure to </w:t>
      </w:r>
      <w:r w:rsidR="00413DF2" w:rsidRPr="0043446A">
        <w:t>subsequent children.</w:t>
      </w:r>
      <w:r w:rsidR="00ED4455" w:rsidRPr="0043446A">
        <w:rPr>
          <w:vertAlign w:val="superscript"/>
        </w:rPr>
        <w:t>7</w:t>
      </w:r>
      <w:r w:rsidR="00413DF2" w:rsidRPr="0043446A">
        <w:t xml:space="preserve">  </w:t>
      </w:r>
    </w:p>
    <w:p w14:paraId="102574E2" w14:textId="77777777" w:rsidR="006E7E80" w:rsidRPr="0043446A" w:rsidRDefault="006E7E80" w:rsidP="00F95046">
      <w:pPr>
        <w:ind w:left="360"/>
      </w:pPr>
    </w:p>
    <w:p w14:paraId="102574E3" w14:textId="0D39B2AD" w:rsidR="003664B9" w:rsidRPr="0043446A" w:rsidRDefault="003664B9" w:rsidP="00F95046">
      <w:pPr>
        <w:ind w:left="360"/>
      </w:pPr>
      <w:r w:rsidRPr="0043446A">
        <w:t>In 2010</w:t>
      </w:r>
      <w:r w:rsidR="00B43184" w:rsidRPr="0043446A">
        <w:t>,</w:t>
      </w:r>
      <w:r w:rsidRPr="0043446A">
        <w:t xml:space="preserve"> a US council on prevention was created </w:t>
      </w:r>
      <w:r w:rsidR="00B43184" w:rsidRPr="0043446A">
        <w:t>to</w:t>
      </w:r>
      <w:r w:rsidRPr="0043446A">
        <w:t xml:space="preserve"> develop a national prevention and healthcare promotion strategy.</w:t>
      </w:r>
      <w:r w:rsidR="00ED4455" w:rsidRPr="0043446A">
        <w:rPr>
          <w:vertAlign w:val="superscript"/>
        </w:rPr>
        <w:t>8</w:t>
      </w:r>
      <w:r w:rsidRPr="0043446A">
        <w:t xml:space="preserve"> The strategy was released in the summer of 2012 and includes a section on healthy a</w:t>
      </w:r>
      <w:r w:rsidR="008C0AFA" w:rsidRPr="0043446A">
        <w:t xml:space="preserve">nd safe community environments. </w:t>
      </w:r>
      <w:r w:rsidRPr="0043446A">
        <w:t>This strategy</w:t>
      </w:r>
      <w:r w:rsidR="004F07BF" w:rsidRPr="0043446A">
        <w:t xml:space="preserve">, with </w:t>
      </w:r>
      <w:r w:rsidR="006E7E80" w:rsidRPr="0043446A">
        <w:t>its</w:t>
      </w:r>
      <w:r w:rsidR="004F07BF" w:rsidRPr="0043446A">
        <w:t xml:space="preserve"> emphasis on primary prevention of chronic diseases and conditions, public health education</w:t>
      </w:r>
      <w:r w:rsidR="00B43184" w:rsidRPr="0043446A">
        <w:t>,</w:t>
      </w:r>
      <w:r w:rsidR="004F07BF" w:rsidRPr="0043446A">
        <w:t xml:space="preserve"> and evidence based interventions</w:t>
      </w:r>
      <w:r w:rsidR="00A12171" w:rsidRPr="0043446A">
        <w:t>,</w:t>
      </w:r>
      <w:r w:rsidRPr="0043446A">
        <w:t xml:space="preserve"> provides a useful backdrop to </w:t>
      </w:r>
      <w:r w:rsidR="006E7E80" w:rsidRPr="0043446A">
        <w:t xml:space="preserve">CDC’s </w:t>
      </w:r>
      <w:r w:rsidRPr="0043446A">
        <w:t>primary prevention efforts</w:t>
      </w:r>
      <w:r w:rsidR="004F07BF" w:rsidRPr="0043446A">
        <w:t xml:space="preserve"> that focus </w:t>
      </w:r>
      <w:r w:rsidR="004F07BF" w:rsidRPr="0043446A">
        <w:lastRenderedPageBreak/>
        <w:t>on controlling or eliminating lead hazards before children are exposed and empowering parents to identify and reduce lead hazards at home</w:t>
      </w:r>
      <w:r w:rsidRPr="0043446A">
        <w:t>.</w:t>
      </w:r>
    </w:p>
    <w:p w14:paraId="102574E4" w14:textId="77777777" w:rsidR="007A0C05" w:rsidRPr="0043446A" w:rsidRDefault="007A0C05" w:rsidP="007A0C05"/>
    <w:p w14:paraId="102574E5" w14:textId="7C6FE5A2" w:rsidR="00111082" w:rsidRPr="0043446A" w:rsidRDefault="004C76E6" w:rsidP="006E7E80">
      <w:pPr>
        <w:ind w:left="360"/>
      </w:pPr>
      <w:r w:rsidRPr="0043446A">
        <w:t xml:space="preserve">At the </w:t>
      </w:r>
      <w:r w:rsidR="00A12171" w:rsidRPr="0043446A">
        <w:t>CDC</w:t>
      </w:r>
      <w:r w:rsidRPr="0043446A">
        <w:t>,</w:t>
      </w:r>
      <w:r w:rsidR="00E60EFE" w:rsidRPr="0043446A">
        <w:t xml:space="preserve"> Healthy Homes and Lead Poisoning Prevention (HHLPP) is dedicated to reducing blood lead levels in children through supporting state and city public health programs, educating communities, and providing scientific knowledge regarding the adverse health effects to children from being exposed to lead </w:t>
      </w:r>
      <w:r w:rsidR="007A0C05" w:rsidRPr="0043446A">
        <w:t xml:space="preserve">and supporting </w:t>
      </w:r>
      <w:r w:rsidR="007A0C05" w:rsidRPr="0043446A">
        <w:rPr>
          <w:rFonts w:cs="Verdana"/>
          <w:color w:val="000000"/>
          <w:lang w:eastAsia="ja-JP"/>
        </w:rPr>
        <w:t>research to determine the effectiveness of prevention efforts at federal, state, and local levels.</w:t>
      </w:r>
      <w:r w:rsidR="00ED4455" w:rsidRPr="0043446A">
        <w:rPr>
          <w:rFonts w:cs="Verdana"/>
          <w:color w:val="000000"/>
          <w:vertAlign w:val="superscript"/>
          <w:lang w:eastAsia="ja-JP"/>
        </w:rPr>
        <w:t>9</w:t>
      </w:r>
      <w:r w:rsidR="00C01033" w:rsidRPr="0043446A">
        <w:rPr>
          <w:rFonts w:cs="Verdana"/>
          <w:color w:val="000000"/>
          <w:vertAlign w:val="superscript"/>
          <w:lang w:eastAsia="ja-JP"/>
        </w:rPr>
        <w:t xml:space="preserve"> </w:t>
      </w:r>
      <w:r w:rsidR="003664B9" w:rsidRPr="0043446A">
        <w:t xml:space="preserve">The current goal of HHLPP is to ensure that primary prevention of high blood lead levels are  incorporated into efforts  to </w:t>
      </w:r>
      <w:r w:rsidR="003664B9" w:rsidRPr="0043446A">
        <w:rPr>
          <w:lang w:val="en"/>
        </w:rPr>
        <w:t>develop and implement prevention and health promotion strategies, and to ensure more Americans have access to criti</w:t>
      </w:r>
      <w:r w:rsidR="008C0AFA" w:rsidRPr="0043446A">
        <w:rPr>
          <w:lang w:val="en"/>
        </w:rPr>
        <w:t xml:space="preserve">cal preventive health services. </w:t>
      </w:r>
      <w:r w:rsidR="003664B9" w:rsidRPr="0043446A">
        <w:t xml:space="preserve">This includes forming partnerships with agencies and organizations such as housing authorities, schools, clinical pediatric health care providers and teachers that are on the forefront of promoting the initiatives to reduce children’s exposure to lead hazards in their homes. </w:t>
      </w:r>
    </w:p>
    <w:p w14:paraId="102574E6" w14:textId="77777777" w:rsidR="007F3A3D" w:rsidRPr="0043446A" w:rsidRDefault="007F3A3D" w:rsidP="00B604B0">
      <w:pPr>
        <w:ind w:left="0"/>
        <w:rPr>
          <w:rFonts w:cs="Times New Roman"/>
          <w:lang w:val="en"/>
        </w:rPr>
      </w:pPr>
    </w:p>
    <w:p w14:paraId="3DD14744" w14:textId="0277DF87" w:rsidR="00650AFA" w:rsidRPr="0043446A" w:rsidRDefault="00650AFA" w:rsidP="006E7E80">
      <w:pPr>
        <w:ind w:left="360"/>
        <w:rPr>
          <w:rFonts w:ascii="Cambria" w:hAnsi="Cambria"/>
          <w:lang w:val="en"/>
        </w:rPr>
      </w:pPr>
      <w:r w:rsidRPr="0043446A">
        <w:rPr>
          <w:rFonts w:ascii="Cambria" w:hAnsi="Cambria"/>
        </w:rPr>
        <w:t xml:space="preserve">In 2011, state and local health department childhood lead poisoning prevention programs developed and implemented strategies and best practices that successfully incorporated environmental health initiatives into their plans to conduct community needs assessments and use these data to </w:t>
      </w:r>
      <w:r w:rsidRPr="0043446A">
        <w:rPr>
          <w:rFonts w:ascii="Cambria" w:hAnsi="Cambria"/>
          <w:lang w:val="en"/>
        </w:rPr>
        <w:t>develop and implement p</w:t>
      </w:r>
      <w:r w:rsidR="006D2523" w:rsidRPr="0043446A">
        <w:rPr>
          <w:rFonts w:ascii="Cambria" w:hAnsi="Cambria"/>
          <w:lang w:val="en"/>
        </w:rPr>
        <w:t>revention and health promotion</w:t>
      </w:r>
      <w:r w:rsidR="00CB7E91" w:rsidRPr="0043446A">
        <w:rPr>
          <w:rFonts w:ascii="Cambria" w:hAnsi="Cambria"/>
          <w:lang w:val="en"/>
        </w:rPr>
        <w:t xml:space="preserve"> activities</w:t>
      </w:r>
      <w:r w:rsidR="006D2523" w:rsidRPr="0043446A">
        <w:rPr>
          <w:rFonts w:ascii="Cambria" w:hAnsi="Cambria"/>
          <w:lang w:val="en"/>
        </w:rPr>
        <w:t>.</w:t>
      </w:r>
      <w:r w:rsidRPr="0043446A">
        <w:rPr>
          <w:rFonts w:ascii="Cambria" w:hAnsi="Cambria"/>
          <w:lang w:val="en"/>
        </w:rPr>
        <w:t xml:space="preserve"> These plans also often include strategies for local and state health departments to work with state Medicaid agencies to allow individualized services, such as home inspection and case management, to be supported through Medicaid reimbursement. In addition, some jurisdictions are exploring ways to implement Social Impact Bonds, which bring together four parties—private investors, a knowledgeable intermediary, a government body, and a social service provider—to fund primary prevention of childhood lead poisoning by controlling or eliminating lead hazards in houses before children are exposed.  In 2012, funding for these programs was eliminated and as a result,  CDC’s knowledge of these best practices is based on anecdote and may not include many of the most effective or efficient practices.</w:t>
      </w:r>
    </w:p>
    <w:p w14:paraId="66B8A1C0" w14:textId="77777777" w:rsidR="00650AFA" w:rsidRPr="0043446A" w:rsidRDefault="00650AFA" w:rsidP="006E7E80">
      <w:pPr>
        <w:ind w:left="360"/>
        <w:rPr>
          <w:lang w:val="en"/>
        </w:rPr>
      </w:pPr>
    </w:p>
    <w:p w14:paraId="102574E9" w14:textId="1C234C58" w:rsidR="00111082" w:rsidRPr="0043446A" w:rsidRDefault="00E25FF1" w:rsidP="008C0AFA">
      <w:pPr>
        <w:autoSpaceDE w:val="0"/>
        <w:autoSpaceDN w:val="0"/>
        <w:ind w:left="360"/>
      </w:pPr>
      <w:r w:rsidRPr="0043446A">
        <w:rPr>
          <w:lang w:val="en"/>
        </w:rPr>
        <w:t xml:space="preserve">Although we know best practices exist among these </w:t>
      </w:r>
      <w:r w:rsidR="00493EFB" w:rsidRPr="0043446A">
        <w:rPr>
          <w:lang w:val="en"/>
        </w:rPr>
        <w:t>programs</w:t>
      </w:r>
      <w:r w:rsidRPr="0043446A">
        <w:rPr>
          <w:lang w:val="en"/>
        </w:rPr>
        <w:t>, we seek to identify the specific strategies for these practices in an effort to integrate primary prevention of lead poisoning into prevention and health promotion plans. T</w:t>
      </w:r>
      <w:r w:rsidRPr="0043446A">
        <w:rPr>
          <w:rFonts w:cs="Times New Roman"/>
          <w:lang w:val="en"/>
        </w:rPr>
        <w:t>hus, t</w:t>
      </w:r>
      <w:r w:rsidR="007F3A3D" w:rsidRPr="0043446A">
        <w:rPr>
          <w:rFonts w:cs="Times New Roman"/>
          <w:lang w:val="en"/>
        </w:rPr>
        <w:t xml:space="preserve">he purpose of this information collection is to </w:t>
      </w:r>
      <w:r w:rsidR="00B913E3" w:rsidRPr="0043446A">
        <w:rPr>
          <w:rFonts w:cs="Times New Roman"/>
          <w:lang w:val="en"/>
        </w:rPr>
        <w:t xml:space="preserve">identify and </w:t>
      </w:r>
      <w:r w:rsidR="007F3A3D" w:rsidRPr="0043446A">
        <w:rPr>
          <w:rFonts w:cs="Times New Roman"/>
          <w:lang w:val="en"/>
        </w:rPr>
        <w:t>gather</w:t>
      </w:r>
      <w:r w:rsidR="004C76E6" w:rsidRPr="0043446A">
        <w:rPr>
          <w:rFonts w:cs="Times New Roman"/>
          <w:lang w:val="en"/>
        </w:rPr>
        <w:t xml:space="preserve"> data on these best practices </w:t>
      </w:r>
      <w:r w:rsidR="007E32F9" w:rsidRPr="0043446A">
        <w:rPr>
          <w:rFonts w:cs="Times New Roman"/>
          <w:lang w:val="en"/>
        </w:rPr>
        <w:t xml:space="preserve">and how they have been executed from </w:t>
      </w:r>
      <w:r w:rsidR="00AF2708" w:rsidRPr="0043446A">
        <w:t>program managers of childhood lead poisoning prevention programs</w:t>
      </w:r>
      <w:r w:rsidR="00B913E3" w:rsidRPr="0043446A">
        <w:rPr>
          <w:rFonts w:cs="Times New Roman"/>
          <w:lang w:val="en"/>
        </w:rPr>
        <w:t xml:space="preserve"> within</w:t>
      </w:r>
      <w:r w:rsidR="00556275" w:rsidRPr="0043446A">
        <w:rPr>
          <w:rFonts w:cs="Times New Roman"/>
          <w:lang w:val="en"/>
        </w:rPr>
        <w:t xml:space="preserve"> the</w:t>
      </w:r>
      <w:r w:rsidR="00B913E3" w:rsidRPr="0043446A">
        <w:rPr>
          <w:rFonts w:cs="Times New Roman"/>
          <w:lang w:val="en"/>
        </w:rPr>
        <w:t xml:space="preserve"> stat</w:t>
      </w:r>
      <w:r w:rsidR="008C0AFA" w:rsidRPr="0043446A">
        <w:rPr>
          <w:rFonts w:cs="Times New Roman"/>
          <w:lang w:val="en"/>
        </w:rPr>
        <w:t xml:space="preserve">e and local health departments. </w:t>
      </w:r>
      <w:r w:rsidR="00556275" w:rsidRPr="0043446A">
        <w:rPr>
          <w:rFonts w:eastAsia="Calibri" w:cs="Times New Roman"/>
        </w:rPr>
        <w:t xml:space="preserve">This will allow </w:t>
      </w:r>
      <w:r w:rsidR="004C76E6" w:rsidRPr="0043446A">
        <w:rPr>
          <w:rFonts w:cs="Times New Roman"/>
          <w:lang w:val="en"/>
        </w:rPr>
        <w:t xml:space="preserve">HHLPP </w:t>
      </w:r>
      <w:r w:rsidR="007F3A3D" w:rsidRPr="0043446A">
        <w:rPr>
          <w:rFonts w:cs="Times New Roman"/>
          <w:lang w:val="en"/>
        </w:rPr>
        <w:t>to</w:t>
      </w:r>
      <w:r w:rsidR="007E32F9" w:rsidRPr="0043446A">
        <w:rPr>
          <w:rFonts w:cs="Times New Roman"/>
          <w:lang w:val="en"/>
        </w:rPr>
        <w:t xml:space="preserve"> gather and collate information that is currently</w:t>
      </w:r>
      <w:r w:rsidR="007E32F9" w:rsidRPr="0043446A">
        <w:rPr>
          <w:lang w:val="en"/>
        </w:rPr>
        <w:t xml:space="preserve"> unavailable</w:t>
      </w:r>
      <w:r w:rsidR="002946DD" w:rsidRPr="0043446A">
        <w:rPr>
          <w:lang w:val="en"/>
        </w:rPr>
        <w:t>, and improve our understanding in key areas</w:t>
      </w:r>
      <w:r w:rsidR="002D7857" w:rsidRPr="0043446A">
        <w:rPr>
          <w:lang w:val="en"/>
        </w:rPr>
        <w:t>.</w:t>
      </w:r>
      <w:r w:rsidR="002946DD" w:rsidRPr="0043446A">
        <w:rPr>
          <w:lang w:val="en"/>
        </w:rPr>
        <w:t xml:space="preserve"> Specifically, </w:t>
      </w:r>
      <w:r w:rsidR="006E7E80" w:rsidRPr="0043446A">
        <w:rPr>
          <w:lang w:val="en"/>
        </w:rPr>
        <w:t xml:space="preserve">the data collection will </w:t>
      </w:r>
      <w:r w:rsidR="007E32F9" w:rsidRPr="0043446A">
        <w:rPr>
          <w:lang w:val="en"/>
        </w:rPr>
        <w:t>improve our understanding of</w:t>
      </w:r>
      <w:r w:rsidR="002946DD" w:rsidRPr="0043446A">
        <w:rPr>
          <w:lang w:val="en"/>
        </w:rPr>
        <w:t xml:space="preserve"> 1)</w:t>
      </w:r>
      <w:r w:rsidR="006E7E80" w:rsidRPr="0043446A">
        <w:rPr>
          <w:lang w:val="en"/>
        </w:rPr>
        <w:t xml:space="preserve"> </w:t>
      </w:r>
      <w:r w:rsidR="007E32F9" w:rsidRPr="0043446A">
        <w:rPr>
          <w:lang w:val="en"/>
        </w:rPr>
        <w:t>current practices</w:t>
      </w:r>
      <w:r w:rsidR="002946DD" w:rsidRPr="0043446A">
        <w:rPr>
          <w:lang w:val="en"/>
        </w:rPr>
        <w:t xml:space="preserve"> and</w:t>
      </w:r>
      <w:r w:rsidR="007E32F9" w:rsidRPr="0043446A">
        <w:rPr>
          <w:lang w:val="en"/>
        </w:rPr>
        <w:t xml:space="preserve"> information gaps, </w:t>
      </w:r>
      <w:r w:rsidR="002946DD" w:rsidRPr="0043446A">
        <w:rPr>
          <w:lang w:val="en"/>
        </w:rPr>
        <w:t xml:space="preserve">2) </w:t>
      </w:r>
      <w:r w:rsidR="007E32F9" w:rsidRPr="0043446A">
        <w:rPr>
          <w:lang w:val="en"/>
        </w:rPr>
        <w:t>the impact of these strategies on environmental public health practice</w:t>
      </w:r>
      <w:r w:rsidR="002946DD" w:rsidRPr="0043446A">
        <w:rPr>
          <w:lang w:val="en"/>
        </w:rPr>
        <w:t>,</w:t>
      </w:r>
      <w:r w:rsidR="007E32F9" w:rsidRPr="0043446A">
        <w:rPr>
          <w:lang w:val="en"/>
        </w:rPr>
        <w:t xml:space="preserve"> and </w:t>
      </w:r>
      <w:r w:rsidR="002946DD" w:rsidRPr="0043446A">
        <w:rPr>
          <w:lang w:val="en"/>
        </w:rPr>
        <w:t xml:space="preserve">3) </w:t>
      </w:r>
      <w:r w:rsidR="007E32F9" w:rsidRPr="0043446A">
        <w:rPr>
          <w:lang w:val="en"/>
        </w:rPr>
        <w:t>the capacity of state</w:t>
      </w:r>
      <w:r w:rsidR="006E7E80" w:rsidRPr="0043446A">
        <w:rPr>
          <w:lang w:val="en"/>
        </w:rPr>
        <w:t xml:space="preserve"> and</w:t>
      </w:r>
      <w:r w:rsidR="007E32F9" w:rsidRPr="0043446A">
        <w:rPr>
          <w:lang w:val="en"/>
        </w:rPr>
        <w:t xml:space="preserve"> local health departments and partnering agencies</w:t>
      </w:r>
      <w:r w:rsidR="0080224E" w:rsidRPr="0043446A">
        <w:rPr>
          <w:lang w:val="en"/>
        </w:rPr>
        <w:t>.</w:t>
      </w:r>
      <w:r w:rsidR="004F07BF" w:rsidRPr="0043446A">
        <w:rPr>
          <w:lang w:val="en"/>
        </w:rPr>
        <w:t xml:space="preserve"> These practices and their implementation will become an integral part of HHLPP training for state and local health departments through the National Healthy Homes Training Center.  </w:t>
      </w:r>
      <w:r w:rsidR="00E84F37" w:rsidRPr="0043446A">
        <w:rPr>
          <w:lang w:val="en"/>
        </w:rPr>
        <w:t>S</w:t>
      </w:r>
      <w:r w:rsidR="004F07BF" w:rsidRPr="0043446A">
        <w:rPr>
          <w:lang w:val="en"/>
        </w:rPr>
        <w:t>ome of the funding for state and local lead poisoning prevention p</w:t>
      </w:r>
      <w:r w:rsidR="00E84F37" w:rsidRPr="0043446A">
        <w:rPr>
          <w:lang w:val="en"/>
        </w:rPr>
        <w:t xml:space="preserve">rograms was restored in FY 2014 and CDC will restore lead funding to up to 35 </w:t>
      </w:r>
      <w:r w:rsidR="00E84F37" w:rsidRPr="0043446A">
        <w:rPr>
          <w:lang w:val="en"/>
        </w:rPr>
        <w:lastRenderedPageBreak/>
        <w:t>state and local health departments</w:t>
      </w:r>
      <w:r w:rsidR="00A12171" w:rsidRPr="0043446A">
        <w:rPr>
          <w:lang w:val="en"/>
        </w:rPr>
        <w:t>. I</w:t>
      </w:r>
      <w:r w:rsidR="00E84F37" w:rsidRPr="0043446A">
        <w:rPr>
          <w:lang w:val="en"/>
        </w:rPr>
        <w:t>n FY 2015, having this information available will improve the impact of the state and local efforts.</w:t>
      </w:r>
      <w:r w:rsidR="002D7857" w:rsidRPr="0043446A">
        <w:rPr>
          <w:lang w:val="en"/>
        </w:rPr>
        <w:t xml:space="preserve"> </w:t>
      </w:r>
    </w:p>
    <w:p w14:paraId="102574EA" w14:textId="77777777" w:rsidR="00111082" w:rsidRPr="0043446A" w:rsidRDefault="00111082" w:rsidP="007A0C05">
      <w:pPr>
        <w:rPr>
          <w:rFonts w:cs="Verdana"/>
          <w:lang w:eastAsia="ja-JP"/>
        </w:rPr>
      </w:pPr>
    </w:p>
    <w:p w14:paraId="102574EB" w14:textId="77777777" w:rsidR="006102DA" w:rsidRPr="0043446A" w:rsidRDefault="006102DA" w:rsidP="006E7E80">
      <w:pPr>
        <w:pStyle w:val="Heading5"/>
        <w:ind w:left="360"/>
      </w:pPr>
      <w:r w:rsidRPr="0043446A">
        <w:t>Privacy Impact Assessment</w:t>
      </w:r>
    </w:p>
    <w:p w14:paraId="102574EC" w14:textId="69BA0DAE" w:rsidR="004024F8" w:rsidRPr="0043446A" w:rsidRDefault="006102DA" w:rsidP="00804802">
      <w:pPr>
        <w:ind w:left="360"/>
      </w:pPr>
      <w:r w:rsidRPr="0043446A">
        <w:rPr>
          <w:rStyle w:val="Heading6Char"/>
        </w:rPr>
        <w:t>Overview of the Data Collection System</w:t>
      </w:r>
      <w:r w:rsidR="00151567" w:rsidRPr="0043446A">
        <w:t xml:space="preserve"> – </w:t>
      </w:r>
      <w:r w:rsidR="00D820E4" w:rsidRPr="0043446A">
        <w:t>D</w:t>
      </w:r>
      <w:r w:rsidR="00B1129F" w:rsidRPr="0043446A">
        <w:t xml:space="preserve">ata collection consists of </w:t>
      </w:r>
      <w:r w:rsidR="00F56714" w:rsidRPr="0043446A">
        <w:t>an interview conducted by telephone</w:t>
      </w:r>
      <w:r w:rsidR="003370C8" w:rsidRPr="0043446A">
        <w:t xml:space="preserve"> using a trained interviewer</w:t>
      </w:r>
      <w:r w:rsidR="00F56714" w:rsidRPr="0043446A">
        <w:t xml:space="preserve"> </w:t>
      </w:r>
      <w:r w:rsidR="00E23568" w:rsidRPr="0043446A">
        <w:t>(see</w:t>
      </w:r>
      <w:r w:rsidR="00E23568" w:rsidRPr="0043446A">
        <w:rPr>
          <w:b/>
        </w:rPr>
        <w:t xml:space="preserve"> Att</w:t>
      </w:r>
      <w:r w:rsidR="00F95046" w:rsidRPr="0043446A">
        <w:rPr>
          <w:b/>
        </w:rPr>
        <w:t>achment</w:t>
      </w:r>
      <w:r w:rsidR="00E23568" w:rsidRPr="0043446A">
        <w:rPr>
          <w:b/>
        </w:rPr>
        <w:t xml:space="preserve"> </w:t>
      </w:r>
      <w:r w:rsidR="00CF495F" w:rsidRPr="0043446A">
        <w:rPr>
          <w:b/>
        </w:rPr>
        <w:t>B</w:t>
      </w:r>
      <w:r w:rsidR="009A4D22" w:rsidRPr="0043446A">
        <w:rPr>
          <w:b/>
        </w:rPr>
        <w:t xml:space="preserve">: Interview </w:t>
      </w:r>
      <w:r w:rsidR="00D73D46" w:rsidRPr="0043446A">
        <w:rPr>
          <w:b/>
        </w:rPr>
        <w:t>Script</w:t>
      </w:r>
      <w:r w:rsidR="00CB0627" w:rsidRPr="0043446A">
        <w:rPr>
          <w:b/>
        </w:rPr>
        <w:t xml:space="preserve"> and Interview Guide</w:t>
      </w:r>
      <w:r w:rsidR="00E23568" w:rsidRPr="0043446A">
        <w:t>)</w:t>
      </w:r>
      <w:r w:rsidR="00D31720" w:rsidRPr="0043446A">
        <w:t xml:space="preserve"> </w:t>
      </w:r>
      <w:r w:rsidR="003370C8" w:rsidRPr="0043446A">
        <w:t xml:space="preserve">and is </w:t>
      </w:r>
      <w:r w:rsidR="00D31720" w:rsidRPr="0043446A">
        <w:t>designed to</w:t>
      </w:r>
      <w:r w:rsidR="00486B68" w:rsidRPr="0043446A">
        <w:t xml:space="preserve"> identify strategies for successfully incorporating environmental health initiatives into</w:t>
      </w:r>
      <w:r w:rsidR="007E32F9" w:rsidRPr="0043446A">
        <w:t xml:space="preserve"> state prevention and health promotion plans</w:t>
      </w:r>
      <w:r w:rsidR="007F3D74" w:rsidRPr="0043446A">
        <w:t xml:space="preserve"> by assessing the capacity for state</w:t>
      </w:r>
      <w:r w:rsidR="00804802" w:rsidRPr="0043446A">
        <w:t>/local</w:t>
      </w:r>
      <w:r w:rsidR="007F3D74" w:rsidRPr="0043446A">
        <w:t xml:space="preserve"> agencies to integrate these activities into their health prevention and promotion plans, identifying gaps and assessing the impacts observed by </w:t>
      </w:r>
      <w:r w:rsidR="00FF4F7E" w:rsidRPr="0043446A">
        <w:t xml:space="preserve">40 </w:t>
      </w:r>
      <w:r w:rsidR="00AF2708" w:rsidRPr="0043446A">
        <w:t xml:space="preserve">program managers of state or local childhood lead poisoning prevention programs </w:t>
      </w:r>
      <w:r w:rsidR="00A64A5C" w:rsidRPr="0043446A">
        <w:t>in the state and local health departments</w:t>
      </w:r>
      <w:r w:rsidR="007E32F9" w:rsidRPr="0043446A">
        <w:t xml:space="preserve">. </w:t>
      </w:r>
      <w:r w:rsidR="00486B68" w:rsidRPr="0043446A">
        <w:t>Telephone interviews are the most appropriate method</w:t>
      </w:r>
      <w:r w:rsidR="005C0B19" w:rsidRPr="0043446A">
        <w:t xml:space="preserve"> to elicit success stories</w:t>
      </w:r>
      <w:r w:rsidR="00E84F37" w:rsidRPr="0043446A">
        <w:t>.  Telephone interviews preserve the advantages of in</w:t>
      </w:r>
      <w:r w:rsidR="001953DE" w:rsidRPr="0043446A">
        <w:t>-</w:t>
      </w:r>
      <w:r w:rsidR="00E84F37" w:rsidRPr="0043446A">
        <w:t>person interviews such as</w:t>
      </w:r>
      <w:r w:rsidR="005C0B19" w:rsidRPr="0043446A">
        <w:t xml:space="preserve"> using </w:t>
      </w:r>
      <w:r w:rsidR="00486B68" w:rsidRPr="0043446A">
        <w:t xml:space="preserve">an open-ended </w:t>
      </w:r>
      <w:r w:rsidR="005C0B19" w:rsidRPr="0043446A">
        <w:t xml:space="preserve">question </w:t>
      </w:r>
      <w:r w:rsidR="00486B68" w:rsidRPr="0043446A">
        <w:t>format followed by probes</w:t>
      </w:r>
      <w:r w:rsidR="000246D5" w:rsidRPr="0043446A">
        <w:t xml:space="preserve"> </w:t>
      </w:r>
      <w:r w:rsidR="00E84F37" w:rsidRPr="0043446A">
        <w:t>while allowing us to efficiently interview a</w:t>
      </w:r>
      <w:r w:rsidR="008C0AFA" w:rsidRPr="0043446A">
        <w:t xml:space="preserve"> geographically diverse sample.</w:t>
      </w:r>
      <w:r w:rsidR="00E95FE0" w:rsidRPr="0043446A">
        <w:rPr>
          <w:vertAlign w:val="superscript"/>
        </w:rPr>
        <w:t>10</w:t>
      </w:r>
      <w:r w:rsidR="00E84F37" w:rsidRPr="0043446A">
        <w:t xml:space="preserve"> </w:t>
      </w:r>
      <w:r w:rsidR="005C0B19" w:rsidRPr="0043446A">
        <w:t>The</w:t>
      </w:r>
      <w:r w:rsidR="003370C8" w:rsidRPr="0043446A">
        <w:t xml:space="preserve"> interview guide template includes the following components: a personal introduction, an explanation of the goals and rationale of the interview, a statement on </w:t>
      </w:r>
      <w:r w:rsidR="00A92964" w:rsidRPr="0043446A">
        <w:t>anonymity</w:t>
      </w:r>
      <w:r w:rsidR="003370C8" w:rsidRPr="0043446A">
        <w:t xml:space="preserve">, an explanation as to why the </w:t>
      </w:r>
      <w:r w:rsidR="00CB0627" w:rsidRPr="0043446A">
        <w:t>respondents</w:t>
      </w:r>
      <w:r w:rsidR="003370C8" w:rsidRPr="0043446A">
        <w:t xml:space="preserve"> were selected, and a permission request to audio record the responses.</w:t>
      </w:r>
      <w:r w:rsidR="008C0AFA" w:rsidRPr="0043446A">
        <w:t xml:space="preserve"> </w:t>
      </w:r>
      <w:r w:rsidR="00D31720" w:rsidRPr="0043446A">
        <w:t>The data collection instrument</w:t>
      </w:r>
      <w:r w:rsidR="00E8736B" w:rsidRPr="0043446A">
        <w:t xml:space="preserve"> was pilot tested</w:t>
      </w:r>
      <w:r w:rsidR="004024F8" w:rsidRPr="0043446A">
        <w:t xml:space="preserve"> </w:t>
      </w:r>
      <w:r w:rsidR="002C0877" w:rsidRPr="0043446A">
        <w:t>by</w:t>
      </w:r>
      <w:r w:rsidR="004024F8" w:rsidRPr="0043446A">
        <w:t xml:space="preserve"> </w:t>
      </w:r>
      <w:r w:rsidR="005C0B19" w:rsidRPr="0043446A">
        <w:t xml:space="preserve">eight </w:t>
      </w:r>
      <w:r w:rsidR="004024F8" w:rsidRPr="0043446A">
        <w:t>public health pr</w:t>
      </w:r>
      <w:r w:rsidR="002C0877" w:rsidRPr="0043446A">
        <w:t>ofessionals.</w:t>
      </w:r>
      <w:r w:rsidR="008C0AFA" w:rsidRPr="0043446A">
        <w:t xml:space="preserve"> </w:t>
      </w:r>
      <w:r w:rsidR="004024F8" w:rsidRPr="0043446A">
        <w:t xml:space="preserve">Feedback from this group </w:t>
      </w:r>
      <w:r w:rsidR="002C0877" w:rsidRPr="0043446A">
        <w:t>was</w:t>
      </w:r>
      <w:r w:rsidR="004024F8" w:rsidRPr="0043446A">
        <w:t xml:space="preserve"> used to refine questions as needed, ensure accurate programming and skip patterns</w:t>
      </w:r>
      <w:r w:rsidR="001953DE" w:rsidRPr="0043446A">
        <w:t>,</w:t>
      </w:r>
      <w:r w:rsidR="004024F8" w:rsidRPr="0043446A">
        <w:t xml:space="preserve"> and establish the estimated time</w:t>
      </w:r>
      <w:r w:rsidR="00365045" w:rsidRPr="0043446A">
        <w:t xml:space="preserve"> required to complete the data collection instrument</w:t>
      </w:r>
      <w:r w:rsidR="004024F8" w:rsidRPr="0043446A">
        <w:t>.</w:t>
      </w:r>
    </w:p>
    <w:p w14:paraId="102574ED" w14:textId="77777777" w:rsidR="009518C0" w:rsidRPr="0043446A" w:rsidRDefault="009518C0" w:rsidP="006E7E80">
      <w:pPr>
        <w:ind w:left="360"/>
      </w:pPr>
    </w:p>
    <w:p w14:paraId="102574EE" w14:textId="77777777" w:rsidR="00DB7F78" w:rsidRPr="0043446A" w:rsidRDefault="006102DA" w:rsidP="006E7E80">
      <w:pPr>
        <w:ind w:left="360"/>
      </w:pPr>
      <w:r w:rsidRPr="0043446A">
        <w:rPr>
          <w:u w:val="single"/>
        </w:rPr>
        <w:t>Items of Information to be Collected</w:t>
      </w:r>
      <w:r w:rsidR="00B1129F" w:rsidRPr="0043446A">
        <w:t xml:space="preserve"> –</w:t>
      </w:r>
      <w:r w:rsidR="000B0962" w:rsidRPr="0043446A">
        <w:t xml:space="preserve">   </w:t>
      </w:r>
      <w:r w:rsidR="009252DC" w:rsidRPr="0043446A">
        <w:t xml:space="preserve"> </w:t>
      </w:r>
    </w:p>
    <w:p w14:paraId="102574EF" w14:textId="112469CD" w:rsidR="005C5A06" w:rsidRPr="0043446A" w:rsidRDefault="005C5A06" w:rsidP="006E7E80">
      <w:pPr>
        <w:ind w:left="360"/>
      </w:pPr>
      <w:r w:rsidRPr="0043446A">
        <w:t>This needs assessment</w:t>
      </w:r>
      <w:r w:rsidR="00A12171" w:rsidRPr="0043446A">
        <w:t xml:space="preserve"> interview </w:t>
      </w:r>
      <w:r w:rsidR="00125A5A" w:rsidRPr="0043446A">
        <w:t xml:space="preserve">guide consists of </w:t>
      </w:r>
      <w:r w:rsidR="00265A2F" w:rsidRPr="0043446A">
        <w:t>ten</w:t>
      </w:r>
      <w:r w:rsidR="00125A5A" w:rsidRPr="0043446A">
        <w:t xml:space="preserve"> overarching questions, including three questions each on the areas of partnerships, impact</w:t>
      </w:r>
      <w:r w:rsidR="00265A2F" w:rsidRPr="0043446A">
        <w:t>s</w:t>
      </w:r>
      <w:r w:rsidR="00125A5A" w:rsidRPr="0043446A">
        <w:t xml:space="preserve">, and resources, and a final question assessing </w:t>
      </w:r>
      <w:r w:rsidR="00C85CBC" w:rsidRPr="0043446A">
        <w:t>participant</w:t>
      </w:r>
      <w:r w:rsidR="00125A5A" w:rsidRPr="0043446A">
        <w:t xml:space="preserve"> interest in being involved in a future HHLPP workgroup/panel. The interview </w:t>
      </w:r>
      <w:r w:rsidRPr="0043446A">
        <w:t>will be guided by the following questions:</w:t>
      </w:r>
    </w:p>
    <w:p w14:paraId="102574F0" w14:textId="2A7FA93E" w:rsidR="005C5A06" w:rsidRPr="0043446A" w:rsidRDefault="006714F5" w:rsidP="000D43D5">
      <w:pPr>
        <w:pStyle w:val="ListParagraph"/>
        <w:numPr>
          <w:ilvl w:val="0"/>
          <w:numId w:val="24"/>
        </w:numPr>
        <w:tabs>
          <w:tab w:val="clear" w:pos="9360"/>
        </w:tabs>
        <w:spacing w:line="240" w:lineRule="auto"/>
        <w:ind w:left="720"/>
      </w:pPr>
      <w:r w:rsidRPr="0043446A">
        <w:rPr>
          <w:b/>
        </w:rPr>
        <w:t>Partnerships:</w:t>
      </w:r>
      <w:r w:rsidRPr="0043446A">
        <w:t xml:space="preserve"> What is the </w:t>
      </w:r>
      <w:r w:rsidR="00C941AC" w:rsidRPr="0043446A">
        <w:t>organization’s</w:t>
      </w:r>
      <w:r w:rsidRPr="0043446A">
        <w:t xml:space="preserve"> focus </w:t>
      </w:r>
      <w:r w:rsidR="00C941AC" w:rsidRPr="0043446A">
        <w:t>on</w:t>
      </w:r>
      <w:r w:rsidRPr="0043446A">
        <w:t xml:space="preserve"> incorporating lead poisoning prevention activities into state prevention and health promotion plans? What partners/organizations have they worked with to </w:t>
      </w:r>
      <w:r w:rsidR="00C941AC" w:rsidRPr="0043446A">
        <w:t xml:space="preserve">better </w:t>
      </w:r>
      <w:r w:rsidRPr="0043446A">
        <w:t xml:space="preserve">implement </w:t>
      </w:r>
      <w:r w:rsidR="00C941AC" w:rsidRPr="0043446A">
        <w:t xml:space="preserve">lead poisoning prevention initiatives </w:t>
      </w:r>
      <w:r w:rsidR="003F2812" w:rsidRPr="0043446A">
        <w:rPr>
          <w:rFonts w:ascii="Cambria" w:hAnsi="Cambria"/>
        </w:rPr>
        <w:t xml:space="preserve">their plans? In particular, which </w:t>
      </w:r>
      <w:r w:rsidR="003F2812" w:rsidRPr="0043446A">
        <w:t>organizations have they worked with</w:t>
      </w:r>
      <w:r w:rsidR="003F2812" w:rsidRPr="0043446A">
        <w:rPr>
          <w:rFonts w:ascii="Cambria" w:hAnsi="Cambria"/>
        </w:rPr>
        <w:t xml:space="preserve"> to collect community needs assessment data that will be used to </w:t>
      </w:r>
      <w:r w:rsidR="003F2812" w:rsidRPr="0043446A">
        <w:rPr>
          <w:rFonts w:ascii="Cambria" w:hAnsi="Cambria"/>
          <w:lang w:val="en"/>
        </w:rPr>
        <w:t>develop and implement prevention and health promotion</w:t>
      </w:r>
      <w:r w:rsidR="006D2523" w:rsidRPr="0043446A">
        <w:rPr>
          <w:rFonts w:ascii="Cambria" w:hAnsi="Cambria"/>
          <w:lang w:val="en"/>
        </w:rPr>
        <w:t xml:space="preserve"> </w:t>
      </w:r>
      <w:r w:rsidR="00CB7E91" w:rsidRPr="0043446A">
        <w:rPr>
          <w:rFonts w:ascii="Cambria" w:hAnsi="Cambria"/>
          <w:lang w:val="en"/>
        </w:rPr>
        <w:t>activities</w:t>
      </w:r>
      <w:r w:rsidR="003F2812" w:rsidRPr="0043446A">
        <w:rPr>
          <w:rFonts w:ascii="Cambria" w:hAnsi="Cambria"/>
          <w:lang w:val="en"/>
        </w:rPr>
        <w:t>?</w:t>
      </w:r>
    </w:p>
    <w:p w14:paraId="102574F1" w14:textId="10D498F2" w:rsidR="005C5A06" w:rsidRPr="0043446A" w:rsidRDefault="006714F5" w:rsidP="000D43D5">
      <w:pPr>
        <w:pStyle w:val="ListParagraph"/>
        <w:numPr>
          <w:ilvl w:val="0"/>
          <w:numId w:val="24"/>
        </w:numPr>
        <w:tabs>
          <w:tab w:val="clear" w:pos="9360"/>
        </w:tabs>
        <w:spacing w:line="240" w:lineRule="auto"/>
        <w:ind w:left="720"/>
      </w:pPr>
      <w:r w:rsidRPr="0043446A">
        <w:rPr>
          <w:b/>
        </w:rPr>
        <w:t>Impacts:</w:t>
      </w:r>
      <w:r w:rsidRPr="0043446A">
        <w:t xml:space="preserve"> </w:t>
      </w:r>
      <w:r w:rsidR="005C5A06" w:rsidRPr="0043446A">
        <w:t>What</w:t>
      </w:r>
      <w:r w:rsidRPr="0043446A">
        <w:t xml:space="preserve"> are the barriers, </w:t>
      </w:r>
      <w:r w:rsidR="005C5A06" w:rsidRPr="0043446A">
        <w:t>impacts</w:t>
      </w:r>
      <w:r w:rsidRPr="0043446A">
        <w:t xml:space="preserve">, and lessons learned </w:t>
      </w:r>
      <w:r w:rsidR="00C941AC" w:rsidRPr="0043446A">
        <w:t xml:space="preserve">the program </w:t>
      </w:r>
      <w:r w:rsidR="00CB7E91" w:rsidRPr="0043446A">
        <w:t xml:space="preserve">has </w:t>
      </w:r>
      <w:r w:rsidR="005C5A06" w:rsidRPr="0043446A">
        <w:t xml:space="preserve">observed with respect to the implementation of </w:t>
      </w:r>
      <w:r w:rsidR="00BA5512" w:rsidRPr="0043446A">
        <w:t>primary prevention of lead poisoning into state prevention and health promotion plans</w:t>
      </w:r>
      <w:r w:rsidR="005C5A06" w:rsidRPr="0043446A">
        <w:t>?</w:t>
      </w:r>
    </w:p>
    <w:p w14:paraId="102574F3" w14:textId="7D81EBDE" w:rsidR="00A87A51" w:rsidRPr="0043446A" w:rsidRDefault="006714F5" w:rsidP="00265A2F">
      <w:pPr>
        <w:pStyle w:val="ListParagraph"/>
        <w:numPr>
          <w:ilvl w:val="0"/>
          <w:numId w:val="24"/>
        </w:numPr>
        <w:tabs>
          <w:tab w:val="clear" w:pos="9360"/>
        </w:tabs>
        <w:spacing w:line="240" w:lineRule="auto"/>
        <w:ind w:left="720"/>
      </w:pPr>
      <w:r w:rsidRPr="0043446A">
        <w:rPr>
          <w:b/>
        </w:rPr>
        <w:t>Resources:</w:t>
      </w:r>
      <w:r w:rsidRPr="0043446A">
        <w:t xml:space="preserve"> </w:t>
      </w:r>
      <w:r w:rsidR="005C5A06" w:rsidRPr="0043446A">
        <w:t xml:space="preserve">What resources </w:t>
      </w:r>
      <w:r w:rsidR="00BA5512" w:rsidRPr="0043446A">
        <w:t xml:space="preserve">and partnerships </w:t>
      </w:r>
      <w:r w:rsidR="005C5A06" w:rsidRPr="0043446A">
        <w:t>do organizations need</w:t>
      </w:r>
      <w:r w:rsidR="001953DE" w:rsidRPr="0043446A">
        <w:t xml:space="preserve"> or </w:t>
      </w:r>
      <w:r w:rsidR="00BA5512" w:rsidRPr="0043446A">
        <w:t xml:space="preserve">have </w:t>
      </w:r>
      <w:r w:rsidR="001953DE" w:rsidRPr="0043446A">
        <w:t>already</w:t>
      </w:r>
      <w:r w:rsidR="00BA5512" w:rsidRPr="0043446A">
        <w:t xml:space="preserve"> developed</w:t>
      </w:r>
      <w:r w:rsidR="005C5A06" w:rsidRPr="0043446A">
        <w:t xml:space="preserve"> </w:t>
      </w:r>
      <w:r w:rsidRPr="0043446A">
        <w:t xml:space="preserve">(e.g., </w:t>
      </w:r>
      <w:r w:rsidR="00265A2F" w:rsidRPr="0043446A">
        <w:t>working</w:t>
      </w:r>
      <w:r w:rsidR="00265A2F" w:rsidRPr="0043446A">
        <w:rPr>
          <w:rFonts w:ascii="Cambria" w:hAnsi="Cambria"/>
          <w:lang w:val="en"/>
        </w:rPr>
        <w:t xml:space="preserve"> with state Medicaid agencies</w:t>
      </w:r>
      <w:r w:rsidRPr="0043446A">
        <w:t xml:space="preserve">, </w:t>
      </w:r>
      <w:r w:rsidR="00265A2F" w:rsidRPr="0043446A">
        <w:t>implementation of S</w:t>
      </w:r>
      <w:r w:rsidRPr="0043446A">
        <w:t xml:space="preserve">ocial </w:t>
      </w:r>
      <w:r w:rsidR="00265A2F" w:rsidRPr="0043446A">
        <w:t>I</w:t>
      </w:r>
      <w:r w:rsidRPr="0043446A">
        <w:t xml:space="preserve">mpact </w:t>
      </w:r>
      <w:r w:rsidR="00265A2F" w:rsidRPr="0043446A">
        <w:t>B</w:t>
      </w:r>
      <w:r w:rsidRPr="0043446A">
        <w:t xml:space="preserve">onds) </w:t>
      </w:r>
      <w:r w:rsidR="005C5A06" w:rsidRPr="0043446A">
        <w:t xml:space="preserve">to help facilitate or implement these </w:t>
      </w:r>
      <w:r w:rsidR="00C941AC" w:rsidRPr="0043446A">
        <w:t xml:space="preserve">lead poisoning prevention </w:t>
      </w:r>
      <w:r w:rsidR="005C5A06" w:rsidRPr="0043446A">
        <w:t>initiatives?</w:t>
      </w:r>
      <w:r w:rsidR="00C941AC" w:rsidRPr="0043446A">
        <w:t xml:space="preserve"> </w:t>
      </w:r>
    </w:p>
    <w:p w14:paraId="7C429875" w14:textId="77777777" w:rsidR="00265A2F" w:rsidRPr="0043446A" w:rsidRDefault="00265A2F" w:rsidP="00265A2F">
      <w:pPr>
        <w:pStyle w:val="ListParagraph"/>
        <w:tabs>
          <w:tab w:val="clear" w:pos="9360"/>
        </w:tabs>
        <w:spacing w:line="240" w:lineRule="auto"/>
      </w:pPr>
    </w:p>
    <w:p w14:paraId="102574F4" w14:textId="77777777" w:rsidR="006102DA" w:rsidRPr="0043446A" w:rsidRDefault="006102DA" w:rsidP="006E7E80">
      <w:pPr>
        <w:ind w:left="360"/>
      </w:pPr>
      <w:r w:rsidRPr="0043446A">
        <w:rPr>
          <w:rStyle w:val="Heading6Char"/>
        </w:rPr>
        <w:t>Identification of Website(s) and Website Content Directed at Children Under 13 Years of Age</w:t>
      </w:r>
      <w:r w:rsidR="00D13B13" w:rsidRPr="0043446A">
        <w:rPr>
          <w:rStyle w:val="Heading6Char"/>
          <w:u w:val="none"/>
        </w:rPr>
        <w:t xml:space="preserve"> </w:t>
      </w:r>
      <w:r w:rsidR="00D13B13" w:rsidRPr="0043446A">
        <w:t xml:space="preserve">– </w:t>
      </w:r>
      <w:r w:rsidR="005869D6" w:rsidRPr="0043446A">
        <w:t xml:space="preserve">The data collection system </w:t>
      </w:r>
      <w:r w:rsidR="005C5A06" w:rsidRPr="0043446A">
        <w:t xml:space="preserve">does not </w:t>
      </w:r>
      <w:r w:rsidR="005869D6" w:rsidRPr="0043446A">
        <w:t>involve</w:t>
      </w:r>
      <w:r w:rsidR="00D267D5" w:rsidRPr="0043446A">
        <w:t xml:space="preserve"> using a web-based data collection instrument</w:t>
      </w:r>
      <w:r w:rsidR="005869D6" w:rsidRPr="0043446A">
        <w:t>. No website content will be directed at children.</w:t>
      </w:r>
    </w:p>
    <w:p w14:paraId="102574F5" w14:textId="77777777" w:rsidR="00F52BCC" w:rsidRPr="0043446A" w:rsidRDefault="00F52BCC" w:rsidP="007D6163"/>
    <w:p w14:paraId="522912B8" w14:textId="77777777" w:rsidR="00CB7E91" w:rsidRPr="0043446A" w:rsidRDefault="00CB7E91">
      <w:pPr>
        <w:tabs>
          <w:tab w:val="clear" w:pos="9360"/>
        </w:tabs>
        <w:spacing w:after="200"/>
        <w:ind w:left="0"/>
        <w:rPr>
          <w:b/>
        </w:rPr>
      </w:pPr>
      <w:r w:rsidRPr="0043446A">
        <w:br w:type="page"/>
      </w:r>
    </w:p>
    <w:p w14:paraId="102574F6" w14:textId="46FC2520" w:rsidR="00B12F51" w:rsidRPr="0043446A" w:rsidRDefault="00B12F51" w:rsidP="00CA5840">
      <w:pPr>
        <w:pStyle w:val="Heading4"/>
      </w:pPr>
      <w:r w:rsidRPr="0043446A">
        <w:lastRenderedPageBreak/>
        <w:t>Purpose and Use of the Information Collection</w:t>
      </w:r>
    </w:p>
    <w:p w14:paraId="102574F7" w14:textId="77777777" w:rsidR="00C205EC" w:rsidRPr="0043446A" w:rsidRDefault="00E25FF1" w:rsidP="000D43D5">
      <w:pPr>
        <w:tabs>
          <w:tab w:val="left" w:pos="360"/>
        </w:tabs>
        <w:ind w:left="360"/>
      </w:pPr>
      <w:r w:rsidRPr="0043446A">
        <w:t xml:space="preserve">The purpose of this information collection is to gather information on the specific strategies that state and local health departments have implemented as their best practices in an effort to integrate primary prevention of lead poisoning into prevention and health promotion plans. </w:t>
      </w:r>
      <w:r w:rsidR="00C205EC" w:rsidRPr="0043446A">
        <w:rPr>
          <w:rFonts w:eastAsia="Calibri" w:cs="Times New Roman"/>
        </w:rPr>
        <w:t xml:space="preserve"> </w:t>
      </w:r>
      <w:r w:rsidR="00C205EC" w:rsidRPr="0043446A">
        <w:t xml:space="preserve">This will allow </w:t>
      </w:r>
      <w:r w:rsidR="000D43D5" w:rsidRPr="0043446A">
        <w:rPr>
          <w:lang w:val="en"/>
        </w:rPr>
        <w:t xml:space="preserve">HHLPP </w:t>
      </w:r>
      <w:r w:rsidR="00C205EC" w:rsidRPr="0043446A">
        <w:t>to learn from their experience</w:t>
      </w:r>
      <w:r w:rsidR="00C205EC" w:rsidRPr="0043446A">
        <w:rPr>
          <w:lang w:val="en"/>
        </w:rPr>
        <w:t>, gather and collate information that is currently unavailable, and improve our understanding in key areas</w:t>
      </w:r>
      <w:r w:rsidR="001953DE" w:rsidRPr="0043446A">
        <w:rPr>
          <w:lang w:val="en"/>
        </w:rPr>
        <w:t>.</w:t>
      </w:r>
      <w:r w:rsidR="00C205EC" w:rsidRPr="0043446A">
        <w:rPr>
          <w:lang w:val="en"/>
        </w:rPr>
        <w:t xml:space="preserve"> Specifically, </w:t>
      </w:r>
      <w:r w:rsidR="000D43D5" w:rsidRPr="0043446A">
        <w:rPr>
          <w:lang w:val="en"/>
        </w:rPr>
        <w:t>the data collection will</w:t>
      </w:r>
      <w:r w:rsidR="00C205EC" w:rsidRPr="0043446A">
        <w:rPr>
          <w:lang w:val="en"/>
        </w:rPr>
        <w:t xml:space="preserve"> improve our understanding of 1)</w:t>
      </w:r>
      <w:r w:rsidR="000D43D5" w:rsidRPr="0043446A">
        <w:rPr>
          <w:lang w:val="en"/>
        </w:rPr>
        <w:t xml:space="preserve"> </w:t>
      </w:r>
      <w:r w:rsidR="00C205EC" w:rsidRPr="0043446A">
        <w:rPr>
          <w:lang w:val="en"/>
        </w:rPr>
        <w:t>current practices and information gaps, 2) the impact of these strategies on environmental public health practice, and 3) the capacity of state</w:t>
      </w:r>
      <w:r w:rsidR="000D43D5" w:rsidRPr="0043446A">
        <w:rPr>
          <w:lang w:val="en"/>
        </w:rPr>
        <w:t xml:space="preserve"> and</w:t>
      </w:r>
      <w:r w:rsidR="00C205EC" w:rsidRPr="0043446A">
        <w:rPr>
          <w:lang w:val="en"/>
        </w:rPr>
        <w:t xml:space="preserve"> local health departments and partnering agencies.</w:t>
      </w:r>
    </w:p>
    <w:p w14:paraId="102574F8" w14:textId="77777777" w:rsidR="00857FDD" w:rsidRPr="0043446A" w:rsidRDefault="00857FDD" w:rsidP="000D43D5">
      <w:pPr>
        <w:tabs>
          <w:tab w:val="left" w:pos="360"/>
        </w:tabs>
        <w:ind w:left="0"/>
      </w:pPr>
    </w:p>
    <w:p w14:paraId="102574F9" w14:textId="77777777" w:rsidR="00857FDD" w:rsidRPr="0043446A" w:rsidRDefault="00857FDD" w:rsidP="000D43D5">
      <w:pPr>
        <w:tabs>
          <w:tab w:val="left" w:pos="360"/>
        </w:tabs>
        <w:ind w:left="360"/>
      </w:pPr>
      <w:r w:rsidRPr="0043446A">
        <w:t xml:space="preserve">HHLPP plans to use the data collected to develop best practices that federal, state, and </w:t>
      </w:r>
      <w:r w:rsidR="00725E0B" w:rsidRPr="0043446A">
        <w:t xml:space="preserve">local </w:t>
      </w:r>
      <w:r w:rsidRPr="0043446A">
        <w:t xml:space="preserve">agencies can use as a guide for understanding </w:t>
      </w:r>
      <w:r w:rsidR="00C21029" w:rsidRPr="0043446A">
        <w:t>state prevention and health promotion plans</w:t>
      </w:r>
      <w:r w:rsidRPr="0043446A">
        <w:t xml:space="preserve">, and also to identify strategies for successfully incorporating environmental health initiatives into </w:t>
      </w:r>
      <w:r w:rsidR="00C21029" w:rsidRPr="0043446A">
        <w:t>state</w:t>
      </w:r>
      <w:r w:rsidRPr="0043446A">
        <w:t xml:space="preserve"> plans. Future initiatives will focus on 1) developing workgroups with agencies and organizations to share best practices and lessons learned, and 2) compiling and creating educational materials for state and local health departments, hospitals, and healthcare professionals to enforce the importance of continuing to monitor environmental hazards in children. </w:t>
      </w:r>
    </w:p>
    <w:p w14:paraId="102574FA" w14:textId="77777777" w:rsidR="000246D5" w:rsidRPr="0043446A" w:rsidRDefault="000246D5" w:rsidP="000D43D5">
      <w:pPr>
        <w:tabs>
          <w:tab w:val="left" w:pos="360"/>
        </w:tabs>
        <w:ind w:left="0"/>
      </w:pPr>
    </w:p>
    <w:p w14:paraId="102574FB" w14:textId="77777777" w:rsidR="006102DA" w:rsidRPr="0043446A" w:rsidRDefault="006102DA" w:rsidP="000D43D5">
      <w:pPr>
        <w:tabs>
          <w:tab w:val="left" w:pos="360"/>
        </w:tabs>
        <w:ind w:left="360"/>
        <w:rPr>
          <w:u w:val="single"/>
        </w:rPr>
      </w:pPr>
      <w:r w:rsidRPr="0043446A">
        <w:rPr>
          <w:u w:val="single"/>
        </w:rPr>
        <w:t>Privacy Impact Assessment</w:t>
      </w:r>
      <w:r w:rsidR="00DB7F78" w:rsidRPr="0043446A">
        <w:rPr>
          <w:u w:val="single"/>
        </w:rPr>
        <w:t xml:space="preserve"> </w:t>
      </w:r>
    </w:p>
    <w:p w14:paraId="102574FC" w14:textId="77777777" w:rsidR="00BA18DE" w:rsidRPr="0043446A" w:rsidRDefault="00BA18DE" w:rsidP="000D43D5">
      <w:pPr>
        <w:tabs>
          <w:tab w:val="left" w:pos="360"/>
        </w:tabs>
        <w:ind w:left="360"/>
      </w:pPr>
      <w:r w:rsidRPr="0043446A">
        <w:t>The contractor conducting the interviews subscribes to TCC Online</w:t>
      </w:r>
      <w:r w:rsidR="00C85CBC" w:rsidRPr="0043446A">
        <w:t xml:space="preserve"> (https://tcconline.com/IOL.action)</w:t>
      </w:r>
      <w:r w:rsidRPr="0043446A">
        <w:t xml:space="preserve">, a service which allows it to record interviews conducted via conference telephone lines.  Recorded interviews will be transmitted from TCC Online to the contractor’s secure server.  A narrative summary of each interview will be derived from the recordings and the interviewer’s notes   </w:t>
      </w:r>
    </w:p>
    <w:p w14:paraId="102574FD" w14:textId="77777777" w:rsidR="00BA18DE" w:rsidRPr="0043446A" w:rsidRDefault="00BA18DE" w:rsidP="000D43D5">
      <w:pPr>
        <w:tabs>
          <w:tab w:val="left" w:pos="360"/>
        </w:tabs>
        <w:ind w:left="0"/>
      </w:pPr>
    </w:p>
    <w:p w14:paraId="102574FE" w14:textId="77777777" w:rsidR="00FE6B06" w:rsidRPr="0043446A" w:rsidRDefault="00C85CBC" w:rsidP="000D43D5">
      <w:pPr>
        <w:tabs>
          <w:tab w:val="left" w:pos="360"/>
        </w:tabs>
        <w:ind w:left="360"/>
      </w:pPr>
      <w:r w:rsidRPr="0043446A">
        <w:t>Participant</w:t>
      </w:r>
      <w:r w:rsidR="00E15DDF" w:rsidRPr="0043446A">
        <w:t>s</w:t>
      </w:r>
      <w:r w:rsidR="00FE6B06" w:rsidRPr="0043446A">
        <w:t xml:space="preserve"> asked to provide information for the data collection will be informed of the reason for collecting the information and how the information will be used.  </w:t>
      </w:r>
      <w:r w:rsidR="00E15DDF" w:rsidRPr="0043446A">
        <w:t>They</w:t>
      </w:r>
      <w:r w:rsidR="00FE6B06" w:rsidRPr="0043446A">
        <w:t xml:space="preserve"> will be notified that their participation is voluntary through a written statement via email. All responses will be kept secure and IP addresses will not be collected. </w:t>
      </w:r>
      <w:r w:rsidR="001953DE" w:rsidRPr="0043446A">
        <w:t xml:space="preserve">Their </w:t>
      </w:r>
      <w:r w:rsidR="000D43D5" w:rsidRPr="0043446A">
        <w:t>i</w:t>
      </w:r>
      <w:r w:rsidR="00FE6B06" w:rsidRPr="0043446A">
        <w:t>denti</w:t>
      </w:r>
      <w:r w:rsidR="001953DE" w:rsidRPr="0043446A">
        <w:t>ties</w:t>
      </w:r>
      <w:r w:rsidR="00FE6B06" w:rsidRPr="0043446A">
        <w:t xml:space="preserve"> will not be included in any published materials related to this </w:t>
      </w:r>
      <w:r w:rsidR="00804802" w:rsidRPr="0043446A">
        <w:t>data collection</w:t>
      </w:r>
      <w:r w:rsidR="00FE6B06" w:rsidRPr="0043446A">
        <w:t xml:space="preserve">. </w:t>
      </w:r>
      <w:r w:rsidR="00272232" w:rsidRPr="0043446A">
        <w:t>The jurisdiction of the health department will be made public.</w:t>
      </w:r>
      <w:r w:rsidR="00FE6B06" w:rsidRPr="0043446A">
        <w:t xml:space="preserve"> </w:t>
      </w:r>
    </w:p>
    <w:p w14:paraId="102574FF" w14:textId="77777777" w:rsidR="00F52BCC" w:rsidRPr="0043446A" w:rsidRDefault="00F52BCC" w:rsidP="007D6163">
      <w:pPr>
        <w:pStyle w:val="ListParagraph"/>
      </w:pPr>
    </w:p>
    <w:p w14:paraId="10257500" w14:textId="77777777" w:rsidR="00B47055" w:rsidRPr="0043446A" w:rsidRDefault="00B47055" w:rsidP="00CA5840">
      <w:pPr>
        <w:pStyle w:val="Heading4"/>
      </w:pPr>
      <w:r w:rsidRPr="0043446A">
        <w:t>Use of Improved Information Technology and Burden Reduction</w:t>
      </w:r>
    </w:p>
    <w:p w14:paraId="10257501" w14:textId="77777777" w:rsidR="00F52BCC" w:rsidRPr="0043446A" w:rsidRDefault="00DC79CC" w:rsidP="000D43D5">
      <w:pPr>
        <w:ind w:left="360"/>
      </w:pPr>
      <w:r w:rsidRPr="0043446A">
        <w:t xml:space="preserve">Data will be collected via a </w:t>
      </w:r>
      <w:r w:rsidR="000659B9" w:rsidRPr="0043446A">
        <w:t>telephone interview</w:t>
      </w:r>
      <w:r w:rsidR="00D820E4" w:rsidRPr="0043446A">
        <w:t xml:space="preserve">. </w:t>
      </w:r>
      <w:r w:rsidR="000659B9" w:rsidRPr="0043446A">
        <w:t xml:space="preserve"> </w:t>
      </w:r>
      <w:r w:rsidRPr="0043446A">
        <w:t xml:space="preserve">This method was chosen </w:t>
      </w:r>
      <w:r w:rsidR="00D820E4" w:rsidRPr="0043446A">
        <w:t xml:space="preserve">as the best method to elicit </w:t>
      </w:r>
      <w:r w:rsidR="00C85CBC" w:rsidRPr="0043446A">
        <w:t>participant</w:t>
      </w:r>
      <w:r w:rsidR="00D820E4" w:rsidRPr="0043446A">
        <w:t>s</w:t>
      </w:r>
      <w:r w:rsidR="000246D5" w:rsidRPr="0043446A">
        <w:t>’</w:t>
      </w:r>
      <w:r w:rsidR="00D820E4" w:rsidRPr="0043446A">
        <w:t xml:space="preserve"> stories while less burdensome then responding in writing to open ended questions</w:t>
      </w:r>
      <w:r w:rsidR="009C6697" w:rsidRPr="0043446A">
        <w:t xml:space="preserve">. </w:t>
      </w:r>
      <w:r w:rsidR="00E84F37" w:rsidRPr="0043446A">
        <w:t>Telephone interviews also preserve the advantages of in</w:t>
      </w:r>
      <w:r w:rsidR="00C92FF1" w:rsidRPr="0043446A">
        <w:t>-</w:t>
      </w:r>
      <w:r w:rsidR="00E84F37" w:rsidRPr="0043446A">
        <w:t xml:space="preserve">person interviews such as using an open-ended question format followed by probes while allowing us to efficiently interview a geographically diverse sample.  </w:t>
      </w:r>
      <w:r w:rsidR="009C6697" w:rsidRPr="0043446A">
        <w:t>The data collection instrument</w:t>
      </w:r>
      <w:r w:rsidRPr="0043446A">
        <w:t xml:space="preserve"> was designed to collect the minimum information necessary for the purposes of this project (i.e., limited </w:t>
      </w:r>
      <w:r w:rsidR="000659B9" w:rsidRPr="0043446A">
        <w:t>to nine</w:t>
      </w:r>
      <w:r w:rsidRPr="0043446A">
        <w:t xml:space="preserve"> </w:t>
      </w:r>
      <w:r w:rsidR="00C92FF1" w:rsidRPr="0043446A">
        <w:t xml:space="preserve">overarching </w:t>
      </w:r>
      <w:r w:rsidR="008414AD" w:rsidRPr="0043446A">
        <w:t>questions</w:t>
      </w:r>
      <w:r w:rsidRPr="0043446A">
        <w:t>).</w:t>
      </w:r>
      <w:r w:rsidR="00AB251E" w:rsidRPr="0043446A">
        <w:t xml:space="preserve"> </w:t>
      </w:r>
    </w:p>
    <w:p w14:paraId="10257502" w14:textId="77777777" w:rsidR="00E8736B" w:rsidRPr="0043446A" w:rsidRDefault="00E8736B" w:rsidP="007D6163">
      <w:pPr>
        <w:pStyle w:val="ListParagraph"/>
      </w:pPr>
    </w:p>
    <w:p w14:paraId="39B55CC6" w14:textId="77777777" w:rsidR="00CB7E91" w:rsidRPr="0043446A" w:rsidRDefault="00CB7E91">
      <w:pPr>
        <w:tabs>
          <w:tab w:val="clear" w:pos="9360"/>
        </w:tabs>
        <w:spacing w:after="200"/>
        <w:ind w:left="0"/>
        <w:rPr>
          <w:b/>
        </w:rPr>
      </w:pPr>
      <w:r w:rsidRPr="0043446A">
        <w:br w:type="page"/>
      </w:r>
    </w:p>
    <w:p w14:paraId="10257503" w14:textId="0CBFEB5F" w:rsidR="00B47055" w:rsidRPr="0043446A" w:rsidRDefault="00B47055" w:rsidP="00CA5840">
      <w:pPr>
        <w:pStyle w:val="Heading4"/>
      </w:pPr>
      <w:r w:rsidRPr="0043446A">
        <w:lastRenderedPageBreak/>
        <w:t>Efforts to Identify Duplication and Use of Similar Information</w:t>
      </w:r>
    </w:p>
    <w:p w14:paraId="10257504" w14:textId="77777777" w:rsidR="00B12F51" w:rsidRPr="0043446A" w:rsidRDefault="000659B9" w:rsidP="000D43D5">
      <w:pPr>
        <w:ind w:left="360"/>
      </w:pPr>
      <w:r w:rsidRPr="0043446A">
        <w:t xml:space="preserve">The proposed data collection is unique.  </w:t>
      </w:r>
      <w:r w:rsidR="00C21029" w:rsidRPr="0043446A">
        <w:t>States have</w:t>
      </w:r>
      <w:r w:rsidRPr="0043446A">
        <w:t xml:space="preserve"> only recently begun to implement</w:t>
      </w:r>
      <w:r w:rsidR="00C21029" w:rsidRPr="0043446A">
        <w:t xml:space="preserve"> prevention and health promotion plans</w:t>
      </w:r>
      <w:r w:rsidRPr="0043446A">
        <w:t xml:space="preserve"> particularly those </w:t>
      </w:r>
      <w:r w:rsidR="00642508" w:rsidRPr="0043446A">
        <w:t xml:space="preserve">elements </w:t>
      </w:r>
      <w:r w:rsidR="00775868" w:rsidRPr="0043446A">
        <w:t>related to environmental health and primary prevention.  Thus, data regarding successful practices has not yet been collected.</w:t>
      </w:r>
    </w:p>
    <w:p w14:paraId="10257505" w14:textId="77777777" w:rsidR="00E33E1B" w:rsidRPr="0043446A" w:rsidRDefault="00E33E1B" w:rsidP="005D6F14"/>
    <w:p w14:paraId="10257506" w14:textId="77777777" w:rsidR="00B12F51" w:rsidRPr="0043446A" w:rsidRDefault="00B47055" w:rsidP="00CA5840">
      <w:pPr>
        <w:pStyle w:val="Heading4"/>
      </w:pPr>
      <w:r w:rsidRPr="0043446A">
        <w:t>Impact on Small Businesses or Other Small Entities</w:t>
      </w:r>
    </w:p>
    <w:p w14:paraId="10257507" w14:textId="77777777" w:rsidR="00F52BCC" w:rsidRPr="0043446A" w:rsidRDefault="00D26A64" w:rsidP="000D43D5">
      <w:pPr>
        <w:ind w:left="360"/>
      </w:pPr>
      <w:r w:rsidRPr="0043446A">
        <w:t>N</w:t>
      </w:r>
      <w:r w:rsidR="00AF2252" w:rsidRPr="0043446A">
        <w:t>o small businesses will be involved in this data collection</w:t>
      </w:r>
      <w:r w:rsidRPr="0043446A">
        <w:t>.</w:t>
      </w:r>
    </w:p>
    <w:p w14:paraId="10257508" w14:textId="77777777" w:rsidR="0053557D" w:rsidRPr="0043446A" w:rsidRDefault="0053557D" w:rsidP="005D6F14"/>
    <w:p w14:paraId="10257509" w14:textId="77777777" w:rsidR="00B12F51" w:rsidRPr="0043446A" w:rsidRDefault="00B47055" w:rsidP="00CA5840">
      <w:pPr>
        <w:pStyle w:val="Heading4"/>
      </w:pPr>
      <w:r w:rsidRPr="0043446A">
        <w:t xml:space="preserve">Consequences of Collecting the Information Less Frequently </w:t>
      </w:r>
      <w:r w:rsidR="00D95FBF" w:rsidRPr="0043446A">
        <w:t xml:space="preserve">   </w:t>
      </w:r>
    </w:p>
    <w:p w14:paraId="1025750A" w14:textId="77777777" w:rsidR="00607F7C" w:rsidRPr="0043446A" w:rsidRDefault="00607F7C" w:rsidP="000D43D5">
      <w:pPr>
        <w:ind w:left="360"/>
      </w:pPr>
      <w:r w:rsidRPr="0043446A">
        <w:t xml:space="preserve">This request is for </w:t>
      </w:r>
      <w:r w:rsidR="00667C89" w:rsidRPr="0043446A">
        <w:t xml:space="preserve">a </w:t>
      </w:r>
      <w:r w:rsidR="00BC5BB2" w:rsidRPr="0043446A">
        <w:t>one time data collection.</w:t>
      </w:r>
      <w:r w:rsidR="0053557D" w:rsidRPr="0043446A">
        <w:t xml:space="preserve">  </w:t>
      </w:r>
      <w:r w:rsidRPr="0043446A">
        <w:t>There are no legal obstacles to reduce the burden.</w:t>
      </w:r>
    </w:p>
    <w:p w14:paraId="1025750B" w14:textId="77777777" w:rsidR="00080C5E" w:rsidRPr="0043446A" w:rsidRDefault="00080C5E" w:rsidP="005D6F14"/>
    <w:p w14:paraId="1025750C" w14:textId="77777777" w:rsidR="00080C5E" w:rsidRPr="0043446A" w:rsidRDefault="005506CE" w:rsidP="000D43D5">
      <w:pPr>
        <w:pStyle w:val="ListParagraph"/>
        <w:ind w:left="360"/>
        <w:rPr>
          <w:lang w:eastAsia="ja-JP"/>
        </w:rPr>
      </w:pPr>
      <w:r w:rsidRPr="0043446A">
        <w:rPr>
          <w:bCs/>
          <w:lang w:eastAsia="ja-JP"/>
        </w:rPr>
        <w:t>This</w:t>
      </w:r>
      <w:r w:rsidR="00080C5E" w:rsidRPr="0043446A">
        <w:rPr>
          <w:bCs/>
          <w:lang w:eastAsia="ja-JP"/>
        </w:rPr>
        <w:t xml:space="preserve"> collection </w:t>
      </w:r>
      <w:r w:rsidRPr="0043446A">
        <w:rPr>
          <w:bCs/>
          <w:lang w:eastAsia="ja-JP"/>
        </w:rPr>
        <w:t>will</w:t>
      </w:r>
      <w:r w:rsidR="00080C5E" w:rsidRPr="0043446A">
        <w:rPr>
          <w:bCs/>
          <w:lang w:eastAsia="ja-JP"/>
        </w:rPr>
        <w:t xml:space="preserve"> gather data that is not otherwise available</w:t>
      </w:r>
      <w:r w:rsidR="00080C5E" w:rsidRPr="0043446A">
        <w:rPr>
          <w:lang w:eastAsia="ja-JP"/>
        </w:rPr>
        <w:t>.  Specifically, without th</w:t>
      </w:r>
      <w:r w:rsidR="00642508" w:rsidRPr="0043446A">
        <w:rPr>
          <w:lang w:eastAsia="ja-JP"/>
        </w:rPr>
        <w:t>ese</w:t>
      </w:r>
      <w:r w:rsidR="00080C5E" w:rsidRPr="0043446A">
        <w:rPr>
          <w:lang w:eastAsia="ja-JP"/>
        </w:rPr>
        <w:t xml:space="preserve"> data there would be: </w:t>
      </w:r>
    </w:p>
    <w:p w14:paraId="1025750D" w14:textId="77777777" w:rsidR="00080C5E" w:rsidRPr="0043446A" w:rsidRDefault="00080C5E" w:rsidP="000D43D5">
      <w:pPr>
        <w:pStyle w:val="ListParagraph"/>
        <w:numPr>
          <w:ilvl w:val="0"/>
          <w:numId w:val="25"/>
        </w:numPr>
        <w:tabs>
          <w:tab w:val="clear" w:pos="9360"/>
        </w:tabs>
        <w:ind w:left="1080"/>
        <w:rPr>
          <w:lang w:eastAsia="ja-JP"/>
        </w:rPr>
      </w:pPr>
      <w:r w:rsidRPr="0043446A">
        <w:rPr>
          <w:lang w:eastAsia="ja-JP"/>
        </w:rPr>
        <w:t xml:space="preserve">Incomplete understanding of current practices regarding successful </w:t>
      </w:r>
      <w:r w:rsidR="00C21029" w:rsidRPr="0043446A">
        <w:rPr>
          <w:lang w:eastAsia="ja-JP"/>
        </w:rPr>
        <w:t xml:space="preserve">integration of </w:t>
      </w:r>
      <w:r w:rsidRPr="0043446A">
        <w:rPr>
          <w:lang w:eastAsia="ja-JP"/>
        </w:rPr>
        <w:t xml:space="preserve"> primary prevention of lead poisoning and other housing related illnesses and diseases</w:t>
      </w:r>
      <w:r w:rsidR="00C21029" w:rsidRPr="0043446A">
        <w:rPr>
          <w:lang w:eastAsia="ja-JP"/>
        </w:rPr>
        <w:t xml:space="preserve"> into state prevention and health promotion plans</w:t>
      </w:r>
    </w:p>
    <w:p w14:paraId="1025750E" w14:textId="77777777" w:rsidR="00080C5E" w:rsidRPr="0043446A" w:rsidRDefault="00080C5E" w:rsidP="000D43D5">
      <w:pPr>
        <w:pStyle w:val="ListParagraph"/>
        <w:numPr>
          <w:ilvl w:val="0"/>
          <w:numId w:val="25"/>
        </w:numPr>
        <w:tabs>
          <w:tab w:val="clear" w:pos="9360"/>
        </w:tabs>
        <w:ind w:left="1080"/>
        <w:rPr>
          <w:lang w:eastAsia="ja-JP"/>
        </w:rPr>
      </w:pPr>
      <w:r w:rsidRPr="0043446A">
        <w:rPr>
          <w:lang w:eastAsia="ja-JP"/>
        </w:rPr>
        <w:t xml:space="preserve">Gap in information on current activities funded </w:t>
      </w:r>
      <w:r w:rsidR="00C21029" w:rsidRPr="0043446A">
        <w:rPr>
          <w:lang w:eastAsia="ja-JP"/>
        </w:rPr>
        <w:t>through state prevention and health promotion plans</w:t>
      </w:r>
      <w:r w:rsidRPr="0043446A">
        <w:rPr>
          <w:lang w:eastAsia="ja-JP"/>
        </w:rPr>
        <w:t xml:space="preserve"> and lack of ability to inform recommendations based on an understanding of best practices </w:t>
      </w:r>
    </w:p>
    <w:p w14:paraId="1025750F" w14:textId="77777777" w:rsidR="00080C5E" w:rsidRPr="0043446A" w:rsidRDefault="00080C5E" w:rsidP="000D43D5">
      <w:pPr>
        <w:pStyle w:val="ListParagraph"/>
        <w:numPr>
          <w:ilvl w:val="0"/>
          <w:numId w:val="25"/>
        </w:numPr>
        <w:tabs>
          <w:tab w:val="clear" w:pos="9360"/>
        </w:tabs>
        <w:ind w:left="1080"/>
      </w:pPr>
      <w:r w:rsidRPr="0043446A">
        <w:t xml:space="preserve">No information on the impact of  </w:t>
      </w:r>
      <w:r w:rsidR="00C21029" w:rsidRPr="0043446A">
        <w:t>state prevention and health promotion plans</w:t>
      </w:r>
      <w:r w:rsidRPr="0043446A">
        <w:t xml:space="preserve"> on environmental public health practice testing </w:t>
      </w:r>
    </w:p>
    <w:p w14:paraId="10257510" w14:textId="77777777" w:rsidR="00080C5E" w:rsidRPr="0043446A" w:rsidRDefault="00080C5E" w:rsidP="000D43D5">
      <w:pPr>
        <w:pStyle w:val="ListParagraph"/>
        <w:numPr>
          <w:ilvl w:val="0"/>
          <w:numId w:val="25"/>
        </w:numPr>
        <w:tabs>
          <w:tab w:val="clear" w:pos="9360"/>
        </w:tabs>
        <w:spacing w:after="200"/>
        <w:ind w:left="1080"/>
        <w:rPr>
          <w:lang w:eastAsia="ja-JP"/>
        </w:rPr>
      </w:pPr>
      <w:r w:rsidRPr="0043446A">
        <w:rPr>
          <w:lang w:eastAsia="ja-JP"/>
        </w:rPr>
        <w:t xml:space="preserve">Incomplete understanding of the capacity for </w:t>
      </w:r>
      <w:r w:rsidR="008E6A6F" w:rsidRPr="0043446A">
        <w:rPr>
          <w:lang w:eastAsia="ja-JP"/>
        </w:rPr>
        <w:t xml:space="preserve">state and local health departments to </w:t>
      </w:r>
      <w:r w:rsidR="00C21029" w:rsidRPr="0043446A">
        <w:rPr>
          <w:lang w:eastAsia="ja-JP"/>
        </w:rPr>
        <w:t>integrate environmental health into state prevention and health promotion plans</w:t>
      </w:r>
      <w:r w:rsidR="00642508" w:rsidRPr="0043446A">
        <w:rPr>
          <w:lang w:eastAsia="ja-JP"/>
        </w:rPr>
        <w:t>.</w:t>
      </w:r>
    </w:p>
    <w:p w14:paraId="10257511" w14:textId="77777777" w:rsidR="00080C5E" w:rsidRPr="0043446A" w:rsidRDefault="00080C5E" w:rsidP="00080C5E">
      <w:pPr>
        <w:pStyle w:val="ListParagraph"/>
        <w:rPr>
          <w:color w:val="FF0000"/>
          <w:lang w:eastAsia="ja-JP"/>
        </w:rPr>
      </w:pPr>
    </w:p>
    <w:p w14:paraId="10257512" w14:textId="77777777" w:rsidR="00B12F51" w:rsidRPr="0043446A" w:rsidRDefault="00B47055" w:rsidP="00CA5840">
      <w:pPr>
        <w:pStyle w:val="Heading4"/>
      </w:pPr>
      <w:r w:rsidRPr="0043446A">
        <w:t>Special Circumstances Relating to the Guidelines of 5 CFR 1320.5</w:t>
      </w:r>
    </w:p>
    <w:p w14:paraId="10257513" w14:textId="77777777" w:rsidR="00F52BCC" w:rsidRPr="0043446A" w:rsidRDefault="00A809AA" w:rsidP="000D43D5">
      <w:pPr>
        <w:ind w:left="360"/>
      </w:pPr>
      <w:r w:rsidRPr="0043446A">
        <w:t xml:space="preserve">There are no special circumstances with this information collection package. </w:t>
      </w:r>
      <w:r w:rsidR="00835CA7" w:rsidRPr="0043446A">
        <w:t>This request fully complies with the regulation 5 CFR 1320.5</w:t>
      </w:r>
      <w:r w:rsidR="00D95FBF" w:rsidRPr="0043446A">
        <w:t xml:space="preserve"> and will be voluntary</w:t>
      </w:r>
      <w:r w:rsidR="00835CA7" w:rsidRPr="0043446A">
        <w:t>.</w:t>
      </w:r>
    </w:p>
    <w:p w14:paraId="10257514" w14:textId="77777777" w:rsidR="00F52BCC" w:rsidRPr="0043446A" w:rsidRDefault="00F52BCC" w:rsidP="005D6F14"/>
    <w:p w14:paraId="10257515" w14:textId="77777777" w:rsidR="00B12F51" w:rsidRPr="0043446A" w:rsidRDefault="0088467A" w:rsidP="00CA5840">
      <w:pPr>
        <w:pStyle w:val="Heading4"/>
      </w:pPr>
      <w:r w:rsidRPr="0043446A">
        <w:t>Comments in Response to the Federal Register Notice and Efforts to Consult Outside the Agency</w:t>
      </w:r>
    </w:p>
    <w:p w14:paraId="10257516" w14:textId="77777777" w:rsidR="00A809AA" w:rsidRPr="0043446A" w:rsidRDefault="00C768E5" w:rsidP="000D43D5">
      <w:pPr>
        <w:ind w:left="360"/>
      </w:pPr>
      <w:r w:rsidRPr="0043446A">
        <w:t xml:space="preserve">This data collection is being conducted using the Generic Information Collection mechanism of the OSTLTS </w:t>
      </w:r>
      <w:r w:rsidR="005506CE" w:rsidRPr="0043446A">
        <w:t xml:space="preserve">OMB Clearance </w:t>
      </w:r>
      <w:r w:rsidRPr="0043446A">
        <w:t>Center (O</w:t>
      </w:r>
      <w:r w:rsidR="005506CE" w:rsidRPr="0043446A">
        <w:t>2</w:t>
      </w:r>
      <w:r w:rsidRPr="0043446A">
        <w:t>C</w:t>
      </w:r>
      <w:r w:rsidR="005506CE" w:rsidRPr="0043446A">
        <w:t>2</w:t>
      </w:r>
      <w:r w:rsidRPr="0043446A">
        <w:t xml:space="preserve">) – OMB No. 0920-0879. </w:t>
      </w:r>
      <w:r w:rsidR="00A809AA" w:rsidRPr="0043446A">
        <w:t xml:space="preserve">A 60-day Federal Register Notice was published in the Federal Register on </w:t>
      </w:r>
      <w:r w:rsidR="005115FA" w:rsidRPr="0043446A">
        <w:t>October 31, 2013, Vol. 78, No. 211; pp. 653 25-26</w:t>
      </w:r>
      <w:r w:rsidR="00A809AA" w:rsidRPr="0043446A">
        <w:t xml:space="preserve">.  </w:t>
      </w:r>
      <w:r w:rsidR="005115FA" w:rsidRPr="0043446A">
        <w:t xml:space="preserve">No </w:t>
      </w:r>
      <w:r w:rsidR="00A809AA" w:rsidRPr="0043446A">
        <w:t>comments were received</w:t>
      </w:r>
      <w:r w:rsidR="00783C75" w:rsidRPr="0043446A">
        <w:t>.</w:t>
      </w:r>
    </w:p>
    <w:p w14:paraId="10257517" w14:textId="77777777" w:rsidR="00A809AA" w:rsidRPr="0043446A" w:rsidRDefault="00A809AA" w:rsidP="005D6F14"/>
    <w:p w14:paraId="10257518" w14:textId="77777777" w:rsidR="00A809AA" w:rsidRPr="0043446A" w:rsidRDefault="00A809AA" w:rsidP="000D43D5">
      <w:pPr>
        <w:ind w:left="360"/>
      </w:pPr>
      <w:r w:rsidRPr="0043446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10257519" w14:textId="77777777" w:rsidR="00F52BCC" w:rsidRPr="0043446A" w:rsidRDefault="00F52BCC" w:rsidP="005D6F14"/>
    <w:p w14:paraId="1025751A" w14:textId="77777777" w:rsidR="00B12F51" w:rsidRPr="0043446A" w:rsidRDefault="0088467A" w:rsidP="00CA5840">
      <w:pPr>
        <w:pStyle w:val="Heading4"/>
      </w:pPr>
      <w:r w:rsidRPr="0043446A">
        <w:lastRenderedPageBreak/>
        <w:t xml:space="preserve">Explanation of Any Payment or Gift to </w:t>
      </w:r>
      <w:r w:rsidR="00C85CBC" w:rsidRPr="0043446A">
        <w:t>Participant</w:t>
      </w:r>
      <w:r w:rsidRPr="0043446A">
        <w:t>s</w:t>
      </w:r>
    </w:p>
    <w:p w14:paraId="1025751B" w14:textId="77777777" w:rsidR="00F52BCC" w:rsidRPr="0043446A" w:rsidRDefault="00A809AA" w:rsidP="000D43D5">
      <w:pPr>
        <w:ind w:left="360"/>
      </w:pPr>
      <w:r w:rsidRPr="0043446A">
        <w:t>CDC will not provide p</w:t>
      </w:r>
      <w:r w:rsidR="00D26A64" w:rsidRPr="0043446A">
        <w:t xml:space="preserve">ayments or gifts to </w:t>
      </w:r>
      <w:r w:rsidR="00C85CBC" w:rsidRPr="0043446A">
        <w:t>participant</w:t>
      </w:r>
      <w:r w:rsidR="00D26A64" w:rsidRPr="0043446A">
        <w:t>s.</w:t>
      </w:r>
    </w:p>
    <w:p w14:paraId="1025751C" w14:textId="77777777" w:rsidR="00F52BCC" w:rsidRPr="0043446A" w:rsidRDefault="00F52BCC" w:rsidP="005D6F14"/>
    <w:p w14:paraId="1025751D" w14:textId="77777777" w:rsidR="00B12F51" w:rsidRPr="0043446A" w:rsidRDefault="0088467A" w:rsidP="00CA5840">
      <w:pPr>
        <w:pStyle w:val="Heading4"/>
      </w:pPr>
      <w:r w:rsidRPr="0043446A">
        <w:t xml:space="preserve"> Assurance of Confidentiality Provided to </w:t>
      </w:r>
      <w:r w:rsidR="00C85CBC" w:rsidRPr="0043446A">
        <w:t>Participant</w:t>
      </w:r>
      <w:r w:rsidRPr="0043446A">
        <w:t>s</w:t>
      </w:r>
    </w:p>
    <w:p w14:paraId="1025751E" w14:textId="77777777" w:rsidR="003C31C9" w:rsidRPr="0043446A" w:rsidRDefault="003C31C9" w:rsidP="000D43D5">
      <w:pPr>
        <w:ind w:left="360"/>
      </w:pPr>
      <w:r w:rsidRPr="0043446A">
        <w:t>The Privacy Act does not apply to this data collection.  Employees of state</w:t>
      </w:r>
      <w:r w:rsidR="005542E8" w:rsidRPr="0043446A">
        <w:t xml:space="preserve"> and</w:t>
      </w:r>
      <w:r w:rsidRPr="0043446A">
        <w:t xml:space="preserve"> local</w:t>
      </w:r>
      <w:r w:rsidR="005542E8" w:rsidRPr="0043446A">
        <w:t xml:space="preserve"> </w:t>
      </w:r>
      <w:r w:rsidRPr="0043446A">
        <w:t xml:space="preserve">public health agencies will be speaking from their official roles and will not be asked, nor will they provide individually identifiable information.  </w:t>
      </w:r>
    </w:p>
    <w:p w14:paraId="1025751F" w14:textId="77777777" w:rsidR="003C31C9" w:rsidRPr="0043446A" w:rsidRDefault="003C31C9" w:rsidP="005D6F14"/>
    <w:p w14:paraId="10257520" w14:textId="77777777" w:rsidR="003C31C9" w:rsidRPr="0043446A" w:rsidRDefault="003C31C9" w:rsidP="000D43D5">
      <w:pPr>
        <w:ind w:left="360"/>
      </w:pPr>
      <w:r w:rsidRPr="0043446A">
        <w:t>This data collection is not research.</w:t>
      </w:r>
    </w:p>
    <w:p w14:paraId="10257521" w14:textId="77777777" w:rsidR="00F52BCC" w:rsidRPr="0043446A" w:rsidRDefault="00F52BCC" w:rsidP="005D6F14"/>
    <w:p w14:paraId="10257522" w14:textId="77777777" w:rsidR="00B12F51" w:rsidRPr="0043446A" w:rsidRDefault="0088467A" w:rsidP="00CA5840">
      <w:pPr>
        <w:pStyle w:val="Heading4"/>
      </w:pPr>
      <w:r w:rsidRPr="0043446A">
        <w:t>Justification for Sensitive Questions</w:t>
      </w:r>
    </w:p>
    <w:p w14:paraId="10257523" w14:textId="77777777" w:rsidR="00F52BCC" w:rsidRPr="0043446A" w:rsidRDefault="003C31C9" w:rsidP="000D43D5">
      <w:pPr>
        <w:ind w:left="360"/>
      </w:pPr>
      <w:r w:rsidRPr="0043446A">
        <w:t>No information will be collected</w:t>
      </w:r>
      <w:r w:rsidR="00616090" w:rsidRPr="0043446A">
        <w:t xml:space="preserve"> that are of personal or sensitive nature</w:t>
      </w:r>
      <w:r w:rsidR="00D26A64" w:rsidRPr="0043446A">
        <w:t>.</w:t>
      </w:r>
    </w:p>
    <w:p w14:paraId="10257524" w14:textId="77777777" w:rsidR="00616090" w:rsidRPr="0043446A" w:rsidRDefault="00616090" w:rsidP="005D6F14"/>
    <w:p w14:paraId="10257526" w14:textId="77777777" w:rsidR="00B64BFA" w:rsidRPr="0043446A" w:rsidRDefault="0088467A" w:rsidP="00CA5840">
      <w:pPr>
        <w:pStyle w:val="Heading4"/>
      </w:pPr>
      <w:r w:rsidRPr="0043446A">
        <w:t>Estimates of Annualized Burden Hours and Costs</w:t>
      </w:r>
    </w:p>
    <w:p w14:paraId="10257527" w14:textId="77777777" w:rsidR="00B64BFA" w:rsidRPr="0043446A" w:rsidRDefault="00B64BFA" w:rsidP="000D43D5">
      <w:pPr>
        <w:ind w:left="360"/>
        <w:rPr>
          <w:color w:val="000000"/>
        </w:rPr>
      </w:pPr>
      <w:r w:rsidRPr="0043446A">
        <w:t>The estimate for burden hours is bas</w:t>
      </w:r>
      <w:r w:rsidR="00FD731A" w:rsidRPr="0043446A">
        <w:t>ed on a pilot test of the data collection</w:t>
      </w:r>
      <w:r w:rsidRPr="0043446A">
        <w:t xml:space="preserve"> instrument by </w:t>
      </w:r>
      <w:r w:rsidR="008E6A6F" w:rsidRPr="0043446A">
        <w:t xml:space="preserve">eight </w:t>
      </w:r>
      <w:r w:rsidR="00C768E5" w:rsidRPr="0043446A">
        <w:t>public</w:t>
      </w:r>
      <w:r w:rsidRPr="0043446A">
        <w:t xml:space="preserve"> health professionals. In the pilot test, the ave</w:t>
      </w:r>
      <w:r w:rsidR="00FD731A" w:rsidRPr="0043446A">
        <w:t xml:space="preserve">rage time to </w:t>
      </w:r>
      <w:r w:rsidR="00682CB3" w:rsidRPr="0043446A">
        <w:t xml:space="preserve">conduct the interview </w:t>
      </w:r>
      <w:r w:rsidRPr="0043446A">
        <w:t>including time for reviewing instructions, gathering needed infor</w:t>
      </w:r>
      <w:r w:rsidR="00FD731A" w:rsidRPr="0043446A">
        <w:t>mation and completing the instrument</w:t>
      </w:r>
      <w:r w:rsidRPr="0043446A">
        <w:t xml:space="preserve">, was approximately </w:t>
      </w:r>
      <w:r w:rsidR="00312281" w:rsidRPr="0043446A">
        <w:t>15</w:t>
      </w:r>
      <w:r w:rsidR="00C768E5" w:rsidRPr="0043446A">
        <w:t xml:space="preserve"> </w:t>
      </w:r>
      <w:r w:rsidRPr="0043446A">
        <w:t xml:space="preserve">minutes. Based on these results, the estimated time range for actual </w:t>
      </w:r>
      <w:r w:rsidR="00C85CBC" w:rsidRPr="0043446A">
        <w:t>participant</w:t>
      </w:r>
      <w:r w:rsidR="00FD731A" w:rsidRPr="0043446A">
        <w:t xml:space="preserve">s to complete the </w:t>
      </w:r>
      <w:r w:rsidR="00682CB3" w:rsidRPr="0043446A">
        <w:t xml:space="preserve">interview guide </w:t>
      </w:r>
      <w:r w:rsidRPr="0043446A">
        <w:t xml:space="preserve">is </w:t>
      </w:r>
      <w:r w:rsidR="00312281" w:rsidRPr="0043446A">
        <w:t>15-20</w:t>
      </w:r>
      <w:r w:rsidRPr="0043446A">
        <w:t xml:space="preserve"> minutes. For the purposes of estimating burden hours, the upper limit of this range (i.e., </w:t>
      </w:r>
      <w:r w:rsidR="00312281" w:rsidRPr="0043446A">
        <w:t>2</w:t>
      </w:r>
      <w:r w:rsidR="008D0B2E" w:rsidRPr="0043446A">
        <w:t>0</w:t>
      </w:r>
      <w:r w:rsidR="00C768E5" w:rsidRPr="0043446A">
        <w:t xml:space="preserve"> </w:t>
      </w:r>
      <w:r w:rsidRPr="0043446A">
        <w:t>minutes) is used.</w:t>
      </w:r>
    </w:p>
    <w:p w14:paraId="10257528" w14:textId="77777777" w:rsidR="00B64BFA" w:rsidRPr="0043446A" w:rsidRDefault="00B64BFA" w:rsidP="000D43D5">
      <w:pPr>
        <w:ind w:left="360"/>
      </w:pPr>
    </w:p>
    <w:p w14:paraId="10257529" w14:textId="77777777" w:rsidR="00B64BFA" w:rsidRPr="0043446A" w:rsidRDefault="00B64BFA" w:rsidP="000D43D5">
      <w:pPr>
        <w:ind w:left="360"/>
      </w:pPr>
      <w:r w:rsidRPr="0043446A">
        <w:t xml:space="preserve">Estimates for the average hourly wage for </w:t>
      </w:r>
      <w:r w:rsidR="00C85CBC" w:rsidRPr="0043446A">
        <w:t>participant</w:t>
      </w:r>
      <w:r w:rsidRPr="0043446A">
        <w:t>s are based on the Department of Labor (DOL) National Compensation Survey estimate for management occupations – medical and health services managers in state government (</w:t>
      </w:r>
      <w:hyperlink r:id="rId14" w:history="1">
        <w:r w:rsidRPr="0043446A">
          <w:rPr>
            <w:rStyle w:val="Hyperlink"/>
          </w:rPr>
          <w:t>http://www.bls.gov/ncs/ocs/sp/nctb1349.pdf</w:t>
        </w:r>
      </w:hyperlink>
      <w:r w:rsidRPr="0043446A">
        <w:t xml:space="preserve">). </w:t>
      </w:r>
      <w:r w:rsidR="00C544A4" w:rsidRPr="0043446A">
        <w:t>Based on DOL data, a</w:t>
      </w:r>
      <w:r w:rsidRPr="0043446A">
        <w:t>n average hourly wage of $</w:t>
      </w:r>
      <w:r w:rsidR="00642508" w:rsidRPr="0043446A">
        <w:t>57.11</w:t>
      </w:r>
      <w:r w:rsidRPr="0043446A">
        <w:t xml:space="preserve"> is estimated for all </w:t>
      </w:r>
      <w:r w:rsidR="00FF4F7E" w:rsidRPr="0043446A">
        <w:t>40</w:t>
      </w:r>
      <w:r w:rsidR="00642508" w:rsidRPr="0043446A">
        <w:t xml:space="preserve"> </w:t>
      </w:r>
      <w:r w:rsidR="00C85CBC" w:rsidRPr="0043446A">
        <w:t>participant</w:t>
      </w:r>
      <w:r w:rsidRPr="0043446A">
        <w:t xml:space="preserve">s. </w:t>
      </w:r>
      <w:r w:rsidR="00A578C2" w:rsidRPr="0043446A">
        <w:t>Table A-12 shows estimated burden and cost information.</w:t>
      </w:r>
    </w:p>
    <w:p w14:paraId="1025752A" w14:textId="77777777" w:rsidR="005A59E5" w:rsidRPr="0043446A" w:rsidRDefault="005A59E5" w:rsidP="005D6F14"/>
    <w:p w14:paraId="1025752B" w14:textId="77777777" w:rsidR="005A59E5" w:rsidRPr="0043446A" w:rsidRDefault="005A59E5" w:rsidP="007D6163">
      <w:pPr>
        <w:pStyle w:val="ListParagraph"/>
      </w:pPr>
      <w:r w:rsidRPr="0043446A">
        <w:rPr>
          <w:b/>
          <w:u w:val="single"/>
        </w:rPr>
        <w:t>Table A-12</w:t>
      </w:r>
      <w:r w:rsidRPr="0043446A">
        <w:rPr>
          <w:b/>
        </w:rPr>
        <w:t>:</w:t>
      </w:r>
      <w:r w:rsidRPr="0043446A">
        <w:t xml:space="preserve"> Estimated Annualized Burden Hours and Costs to </w:t>
      </w:r>
      <w:r w:rsidR="00C85CBC" w:rsidRPr="0043446A">
        <w:t>Participant</w:t>
      </w:r>
      <w:r w:rsidRPr="0043446A">
        <w:t>s</w:t>
      </w: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1651"/>
        <w:gridCol w:w="1369"/>
        <w:gridCol w:w="1386"/>
        <w:gridCol w:w="1306"/>
        <w:gridCol w:w="976"/>
        <w:gridCol w:w="970"/>
        <w:gridCol w:w="1302"/>
      </w:tblGrid>
      <w:tr w:rsidR="0043229B" w:rsidRPr="0043446A" w14:paraId="10257534" w14:textId="77777777" w:rsidTr="000D43D5">
        <w:trPr>
          <w:trHeight w:val="1493"/>
        </w:trPr>
        <w:tc>
          <w:tcPr>
            <w:tcW w:w="0" w:type="auto"/>
            <w:tcBorders>
              <w:bottom w:val="single" w:sz="12" w:space="0" w:color="000000"/>
            </w:tcBorders>
            <w:shd w:val="clear" w:color="auto" w:fill="D9D9D9" w:themeFill="background1" w:themeFillShade="D9"/>
          </w:tcPr>
          <w:p w14:paraId="1025752C" w14:textId="77777777" w:rsidR="003B2200" w:rsidRPr="0043446A" w:rsidRDefault="003B2200" w:rsidP="005D6F14">
            <w:pPr>
              <w:ind w:left="-18"/>
              <w:jc w:val="center"/>
              <w:rPr>
                <w:b/>
                <w:sz w:val="20"/>
                <w:szCs w:val="20"/>
              </w:rPr>
            </w:pPr>
            <w:r w:rsidRPr="0043446A">
              <w:rPr>
                <w:b/>
                <w:sz w:val="20"/>
                <w:szCs w:val="20"/>
              </w:rPr>
              <w:t>Data Collection Instrument: Form Name</w:t>
            </w:r>
          </w:p>
        </w:tc>
        <w:tc>
          <w:tcPr>
            <w:tcW w:w="0" w:type="auto"/>
            <w:tcBorders>
              <w:bottom w:val="single" w:sz="12" w:space="0" w:color="000000"/>
            </w:tcBorders>
            <w:shd w:val="clear" w:color="auto" w:fill="D9D9D9" w:themeFill="background1" w:themeFillShade="D9"/>
            <w:vAlign w:val="center"/>
          </w:tcPr>
          <w:p w14:paraId="1025752D" w14:textId="77777777" w:rsidR="003B2200" w:rsidRPr="0043446A" w:rsidRDefault="003B2200" w:rsidP="005D6F14">
            <w:pPr>
              <w:ind w:left="-18"/>
              <w:jc w:val="center"/>
              <w:rPr>
                <w:b/>
                <w:sz w:val="20"/>
                <w:szCs w:val="20"/>
              </w:rPr>
            </w:pPr>
            <w:r w:rsidRPr="0043446A">
              <w:rPr>
                <w:b/>
                <w:sz w:val="20"/>
                <w:szCs w:val="20"/>
              </w:rPr>
              <w:t xml:space="preserve">Type of </w:t>
            </w:r>
            <w:r w:rsidR="00C85CBC" w:rsidRPr="0043446A">
              <w:rPr>
                <w:b/>
                <w:sz w:val="20"/>
                <w:szCs w:val="20"/>
              </w:rPr>
              <w:t>Participant</w:t>
            </w:r>
          </w:p>
        </w:tc>
        <w:tc>
          <w:tcPr>
            <w:tcW w:w="0" w:type="auto"/>
            <w:tcBorders>
              <w:bottom w:val="single" w:sz="12" w:space="0" w:color="000000"/>
            </w:tcBorders>
            <w:shd w:val="clear" w:color="auto" w:fill="D9D9D9" w:themeFill="background1" w:themeFillShade="D9"/>
            <w:vAlign w:val="center"/>
          </w:tcPr>
          <w:p w14:paraId="1025752E" w14:textId="77777777" w:rsidR="003B2200" w:rsidRPr="0043446A" w:rsidRDefault="003B2200" w:rsidP="005D6F14">
            <w:pPr>
              <w:ind w:left="-18"/>
              <w:jc w:val="center"/>
              <w:rPr>
                <w:b/>
                <w:sz w:val="20"/>
                <w:szCs w:val="20"/>
              </w:rPr>
            </w:pPr>
            <w:r w:rsidRPr="0043446A">
              <w:rPr>
                <w:b/>
                <w:sz w:val="20"/>
                <w:szCs w:val="20"/>
              </w:rPr>
              <w:t xml:space="preserve">No. of </w:t>
            </w:r>
            <w:r w:rsidR="00C85CBC" w:rsidRPr="0043446A">
              <w:rPr>
                <w:b/>
                <w:sz w:val="20"/>
                <w:szCs w:val="20"/>
              </w:rPr>
              <w:t>Participant</w:t>
            </w:r>
            <w:r w:rsidRPr="0043446A">
              <w:rPr>
                <w:b/>
                <w:sz w:val="20"/>
                <w:szCs w:val="20"/>
              </w:rPr>
              <w:t>s</w:t>
            </w:r>
          </w:p>
        </w:tc>
        <w:tc>
          <w:tcPr>
            <w:tcW w:w="0" w:type="auto"/>
            <w:tcBorders>
              <w:bottom w:val="single" w:sz="12" w:space="0" w:color="000000"/>
            </w:tcBorders>
            <w:shd w:val="clear" w:color="auto" w:fill="D9D9D9" w:themeFill="background1" w:themeFillShade="D9"/>
            <w:vAlign w:val="center"/>
          </w:tcPr>
          <w:p w14:paraId="1025752F" w14:textId="77777777" w:rsidR="003B2200" w:rsidRPr="0043446A" w:rsidRDefault="003B2200" w:rsidP="005D6F14">
            <w:pPr>
              <w:ind w:left="-18"/>
              <w:jc w:val="center"/>
              <w:rPr>
                <w:b/>
                <w:sz w:val="20"/>
                <w:szCs w:val="20"/>
              </w:rPr>
            </w:pPr>
            <w:r w:rsidRPr="0043446A">
              <w:rPr>
                <w:b/>
                <w:sz w:val="20"/>
                <w:szCs w:val="20"/>
              </w:rPr>
              <w:t xml:space="preserve">No. of Responses per </w:t>
            </w:r>
            <w:r w:rsidR="00C85CBC" w:rsidRPr="0043446A">
              <w:rPr>
                <w:b/>
                <w:sz w:val="20"/>
                <w:szCs w:val="20"/>
              </w:rPr>
              <w:t>Participant</w:t>
            </w:r>
          </w:p>
        </w:tc>
        <w:tc>
          <w:tcPr>
            <w:tcW w:w="0" w:type="auto"/>
            <w:tcBorders>
              <w:bottom w:val="single" w:sz="12" w:space="0" w:color="000000"/>
            </w:tcBorders>
            <w:shd w:val="clear" w:color="auto" w:fill="D9D9D9" w:themeFill="background1" w:themeFillShade="D9"/>
            <w:vAlign w:val="center"/>
          </w:tcPr>
          <w:p w14:paraId="10257530" w14:textId="77777777" w:rsidR="003B2200" w:rsidRPr="0043446A" w:rsidRDefault="003B2200" w:rsidP="005D6F14">
            <w:pPr>
              <w:ind w:left="-18"/>
              <w:jc w:val="center"/>
              <w:rPr>
                <w:b/>
                <w:sz w:val="20"/>
                <w:szCs w:val="20"/>
              </w:rPr>
            </w:pPr>
            <w:r w:rsidRPr="0043446A">
              <w:rPr>
                <w:b/>
                <w:sz w:val="20"/>
                <w:szCs w:val="20"/>
              </w:rPr>
              <w:t>Average Burden per Response (in hours)</w:t>
            </w:r>
          </w:p>
        </w:tc>
        <w:tc>
          <w:tcPr>
            <w:tcW w:w="0" w:type="auto"/>
            <w:tcBorders>
              <w:bottom w:val="single" w:sz="12" w:space="0" w:color="000000"/>
            </w:tcBorders>
            <w:shd w:val="clear" w:color="auto" w:fill="D9D9D9" w:themeFill="background1" w:themeFillShade="D9"/>
            <w:vAlign w:val="center"/>
          </w:tcPr>
          <w:p w14:paraId="10257531" w14:textId="77777777" w:rsidR="003B2200" w:rsidRPr="0043446A" w:rsidRDefault="003B2200" w:rsidP="005D6F14">
            <w:pPr>
              <w:ind w:left="-18"/>
              <w:jc w:val="center"/>
              <w:rPr>
                <w:b/>
                <w:sz w:val="20"/>
                <w:szCs w:val="20"/>
              </w:rPr>
            </w:pPr>
            <w:r w:rsidRPr="0043446A">
              <w:rPr>
                <w:b/>
                <w:sz w:val="20"/>
                <w:szCs w:val="20"/>
              </w:rPr>
              <w:t>Total Burden Hours</w:t>
            </w:r>
          </w:p>
        </w:tc>
        <w:tc>
          <w:tcPr>
            <w:tcW w:w="970" w:type="dxa"/>
            <w:tcBorders>
              <w:bottom w:val="single" w:sz="12" w:space="0" w:color="000000"/>
            </w:tcBorders>
            <w:shd w:val="clear" w:color="auto" w:fill="D9D9D9" w:themeFill="background1" w:themeFillShade="D9"/>
            <w:vAlign w:val="center"/>
          </w:tcPr>
          <w:p w14:paraId="10257532" w14:textId="77777777" w:rsidR="003B2200" w:rsidRPr="0043446A" w:rsidRDefault="003B2200" w:rsidP="005D6F14">
            <w:pPr>
              <w:ind w:left="-18"/>
              <w:jc w:val="center"/>
              <w:rPr>
                <w:b/>
                <w:sz w:val="20"/>
                <w:szCs w:val="20"/>
              </w:rPr>
            </w:pPr>
            <w:r w:rsidRPr="0043446A">
              <w:rPr>
                <w:b/>
                <w:sz w:val="20"/>
                <w:szCs w:val="20"/>
              </w:rPr>
              <w:t>Hourly Wage Rate</w:t>
            </w:r>
          </w:p>
        </w:tc>
        <w:tc>
          <w:tcPr>
            <w:tcW w:w="1302" w:type="dxa"/>
            <w:tcBorders>
              <w:bottom w:val="single" w:sz="12" w:space="0" w:color="000000"/>
            </w:tcBorders>
            <w:shd w:val="clear" w:color="auto" w:fill="D9D9D9" w:themeFill="background1" w:themeFillShade="D9"/>
            <w:vAlign w:val="center"/>
          </w:tcPr>
          <w:p w14:paraId="10257533" w14:textId="77777777" w:rsidR="003B2200" w:rsidRPr="0043446A" w:rsidRDefault="003B2200" w:rsidP="005D6F14">
            <w:pPr>
              <w:ind w:left="-18"/>
              <w:jc w:val="center"/>
              <w:rPr>
                <w:b/>
                <w:sz w:val="20"/>
                <w:szCs w:val="20"/>
              </w:rPr>
            </w:pPr>
            <w:r w:rsidRPr="0043446A">
              <w:rPr>
                <w:b/>
                <w:sz w:val="20"/>
                <w:szCs w:val="20"/>
              </w:rPr>
              <w:t xml:space="preserve">Total </w:t>
            </w:r>
            <w:r w:rsidR="00C85CBC" w:rsidRPr="0043446A">
              <w:rPr>
                <w:b/>
                <w:sz w:val="20"/>
                <w:szCs w:val="20"/>
              </w:rPr>
              <w:t>Participant</w:t>
            </w:r>
            <w:r w:rsidRPr="0043446A">
              <w:rPr>
                <w:b/>
                <w:sz w:val="20"/>
                <w:szCs w:val="20"/>
              </w:rPr>
              <w:t xml:space="preserve"> Costs</w:t>
            </w:r>
          </w:p>
        </w:tc>
      </w:tr>
      <w:tr w:rsidR="0043229B" w:rsidRPr="0043446A" w14:paraId="1025753E" w14:textId="77777777" w:rsidTr="000D43D5">
        <w:tc>
          <w:tcPr>
            <w:tcW w:w="0" w:type="auto"/>
            <w:tcBorders>
              <w:top w:val="single" w:sz="12" w:space="0" w:color="000000"/>
            </w:tcBorders>
          </w:tcPr>
          <w:p w14:paraId="10257535" w14:textId="77777777" w:rsidR="008D0B2E" w:rsidRPr="0043446A" w:rsidRDefault="008D0B2E" w:rsidP="008D0B2E">
            <w:pPr>
              <w:ind w:left="0"/>
              <w:rPr>
                <w:sz w:val="18"/>
                <w:szCs w:val="18"/>
              </w:rPr>
            </w:pPr>
            <w:r w:rsidRPr="0043446A">
              <w:rPr>
                <w:sz w:val="18"/>
                <w:szCs w:val="18"/>
              </w:rPr>
              <w:t xml:space="preserve">Healthy Homes Assessment </w:t>
            </w:r>
          </w:p>
          <w:p w14:paraId="10257536" w14:textId="77777777" w:rsidR="003B2200" w:rsidRPr="0043446A" w:rsidRDefault="003B2200" w:rsidP="008D0B2E">
            <w:pPr>
              <w:ind w:left="0"/>
              <w:rPr>
                <w:sz w:val="18"/>
                <w:szCs w:val="18"/>
              </w:rPr>
            </w:pPr>
          </w:p>
        </w:tc>
        <w:tc>
          <w:tcPr>
            <w:tcW w:w="0" w:type="auto"/>
            <w:tcBorders>
              <w:top w:val="single" w:sz="12" w:space="0" w:color="000000"/>
            </w:tcBorders>
            <w:vAlign w:val="center"/>
          </w:tcPr>
          <w:p w14:paraId="10257537" w14:textId="77777777" w:rsidR="003B2200" w:rsidRPr="0043446A" w:rsidRDefault="00AF2708" w:rsidP="00C14047">
            <w:pPr>
              <w:ind w:left="0"/>
              <w:rPr>
                <w:sz w:val="18"/>
                <w:szCs w:val="18"/>
              </w:rPr>
            </w:pPr>
            <w:r w:rsidRPr="0043446A">
              <w:rPr>
                <w:sz w:val="18"/>
                <w:szCs w:val="18"/>
              </w:rPr>
              <w:t xml:space="preserve">Program managers of state or local childhood lead poisoning prevention programs </w:t>
            </w:r>
          </w:p>
        </w:tc>
        <w:tc>
          <w:tcPr>
            <w:tcW w:w="0" w:type="auto"/>
            <w:tcBorders>
              <w:top w:val="single" w:sz="12" w:space="0" w:color="000000"/>
            </w:tcBorders>
            <w:vAlign w:val="center"/>
          </w:tcPr>
          <w:p w14:paraId="10257538" w14:textId="77777777" w:rsidR="003B2200" w:rsidRPr="0043446A" w:rsidRDefault="00FF4F7E" w:rsidP="00CA5840">
            <w:pPr>
              <w:ind w:left="0"/>
              <w:jc w:val="center"/>
              <w:rPr>
                <w:sz w:val="18"/>
                <w:szCs w:val="18"/>
              </w:rPr>
            </w:pPr>
            <w:r w:rsidRPr="0043446A">
              <w:rPr>
                <w:sz w:val="18"/>
                <w:szCs w:val="18"/>
              </w:rPr>
              <w:t>40</w:t>
            </w:r>
          </w:p>
        </w:tc>
        <w:tc>
          <w:tcPr>
            <w:tcW w:w="0" w:type="auto"/>
            <w:tcBorders>
              <w:top w:val="single" w:sz="12" w:space="0" w:color="000000"/>
            </w:tcBorders>
            <w:vAlign w:val="center"/>
          </w:tcPr>
          <w:p w14:paraId="10257539" w14:textId="77777777" w:rsidR="003B2200" w:rsidRPr="0043446A" w:rsidRDefault="00F72BE8" w:rsidP="00CA5840">
            <w:pPr>
              <w:ind w:left="0"/>
              <w:jc w:val="center"/>
              <w:rPr>
                <w:sz w:val="18"/>
                <w:szCs w:val="18"/>
              </w:rPr>
            </w:pPr>
            <w:r w:rsidRPr="0043446A">
              <w:rPr>
                <w:sz w:val="18"/>
                <w:szCs w:val="18"/>
              </w:rPr>
              <w:t>1</w:t>
            </w:r>
          </w:p>
        </w:tc>
        <w:tc>
          <w:tcPr>
            <w:tcW w:w="0" w:type="auto"/>
            <w:tcBorders>
              <w:top w:val="single" w:sz="12" w:space="0" w:color="000000"/>
            </w:tcBorders>
            <w:vAlign w:val="center"/>
          </w:tcPr>
          <w:p w14:paraId="1025753A" w14:textId="77777777" w:rsidR="003B2200" w:rsidRPr="0043446A" w:rsidRDefault="00D356D8" w:rsidP="00CA5840">
            <w:pPr>
              <w:ind w:left="0"/>
              <w:jc w:val="center"/>
              <w:rPr>
                <w:sz w:val="18"/>
                <w:szCs w:val="18"/>
              </w:rPr>
            </w:pPr>
            <w:r w:rsidRPr="0043446A">
              <w:rPr>
                <w:sz w:val="18"/>
                <w:szCs w:val="18"/>
              </w:rPr>
              <w:t>20/60</w:t>
            </w:r>
          </w:p>
        </w:tc>
        <w:tc>
          <w:tcPr>
            <w:tcW w:w="0" w:type="auto"/>
            <w:tcBorders>
              <w:top w:val="single" w:sz="12" w:space="0" w:color="000000"/>
            </w:tcBorders>
            <w:vAlign w:val="center"/>
          </w:tcPr>
          <w:p w14:paraId="1025753B" w14:textId="77777777" w:rsidR="003B2200" w:rsidRPr="0043446A" w:rsidRDefault="00FF4F7E" w:rsidP="00FF4F7E">
            <w:pPr>
              <w:ind w:left="0"/>
              <w:jc w:val="center"/>
              <w:rPr>
                <w:sz w:val="18"/>
                <w:szCs w:val="18"/>
              </w:rPr>
            </w:pPr>
            <w:r w:rsidRPr="0043446A">
              <w:rPr>
                <w:sz w:val="18"/>
                <w:szCs w:val="18"/>
              </w:rPr>
              <w:t>13</w:t>
            </w:r>
          </w:p>
        </w:tc>
        <w:tc>
          <w:tcPr>
            <w:tcW w:w="970" w:type="dxa"/>
            <w:tcBorders>
              <w:top w:val="single" w:sz="12" w:space="0" w:color="000000"/>
            </w:tcBorders>
            <w:vAlign w:val="center"/>
          </w:tcPr>
          <w:p w14:paraId="1025753C" w14:textId="77777777" w:rsidR="003B2200" w:rsidRPr="0043446A" w:rsidRDefault="00735EEB" w:rsidP="00CA5840">
            <w:pPr>
              <w:ind w:left="0"/>
              <w:jc w:val="center"/>
              <w:rPr>
                <w:sz w:val="18"/>
                <w:szCs w:val="18"/>
              </w:rPr>
            </w:pPr>
            <w:r w:rsidRPr="0043446A">
              <w:rPr>
                <w:sz w:val="18"/>
                <w:szCs w:val="18"/>
              </w:rPr>
              <w:t>$57.11</w:t>
            </w:r>
          </w:p>
        </w:tc>
        <w:tc>
          <w:tcPr>
            <w:tcW w:w="1302" w:type="dxa"/>
            <w:tcBorders>
              <w:top w:val="single" w:sz="12" w:space="0" w:color="000000"/>
            </w:tcBorders>
            <w:vAlign w:val="center"/>
          </w:tcPr>
          <w:p w14:paraId="1025753D" w14:textId="602D4883" w:rsidR="003B2200" w:rsidRPr="0043446A" w:rsidRDefault="00735EEB" w:rsidP="00BD0FFA">
            <w:pPr>
              <w:ind w:left="0"/>
              <w:jc w:val="center"/>
              <w:rPr>
                <w:sz w:val="18"/>
                <w:szCs w:val="18"/>
              </w:rPr>
            </w:pPr>
            <w:r w:rsidRPr="0043446A">
              <w:rPr>
                <w:sz w:val="18"/>
                <w:szCs w:val="18"/>
              </w:rPr>
              <w:t>$</w:t>
            </w:r>
            <w:r w:rsidR="00BD0FFA" w:rsidRPr="0043446A">
              <w:rPr>
                <w:sz w:val="18"/>
                <w:szCs w:val="18"/>
              </w:rPr>
              <w:t>742.43</w:t>
            </w:r>
          </w:p>
        </w:tc>
      </w:tr>
      <w:tr w:rsidR="0043229B" w:rsidRPr="0043446A" w14:paraId="10257547" w14:textId="77777777" w:rsidTr="000D43D5">
        <w:trPr>
          <w:trHeight w:hRule="exact" w:val="432"/>
        </w:trPr>
        <w:tc>
          <w:tcPr>
            <w:tcW w:w="0" w:type="auto"/>
          </w:tcPr>
          <w:p w14:paraId="1025753F" w14:textId="77777777" w:rsidR="003B2200" w:rsidRPr="0043446A" w:rsidRDefault="003B2200" w:rsidP="00CA5840">
            <w:pPr>
              <w:ind w:left="0"/>
              <w:rPr>
                <w:b/>
                <w:sz w:val="20"/>
                <w:szCs w:val="20"/>
              </w:rPr>
            </w:pPr>
          </w:p>
        </w:tc>
        <w:tc>
          <w:tcPr>
            <w:tcW w:w="0" w:type="auto"/>
            <w:vAlign w:val="center"/>
          </w:tcPr>
          <w:p w14:paraId="10257540" w14:textId="77777777" w:rsidR="003B2200" w:rsidRPr="0043446A" w:rsidRDefault="003B2200" w:rsidP="00CA5840">
            <w:pPr>
              <w:ind w:left="0"/>
              <w:rPr>
                <w:b/>
                <w:sz w:val="20"/>
                <w:szCs w:val="20"/>
              </w:rPr>
            </w:pPr>
            <w:r w:rsidRPr="0043446A">
              <w:rPr>
                <w:b/>
                <w:sz w:val="20"/>
                <w:szCs w:val="20"/>
              </w:rPr>
              <w:t>TOTALS</w:t>
            </w:r>
          </w:p>
        </w:tc>
        <w:tc>
          <w:tcPr>
            <w:tcW w:w="0" w:type="auto"/>
            <w:vAlign w:val="center"/>
          </w:tcPr>
          <w:p w14:paraId="10257541" w14:textId="77777777" w:rsidR="003B2200" w:rsidRPr="0043446A" w:rsidRDefault="00FF4F7E" w:rsidP="00CA5840">
            <w:pPr>
              <w:ind w:left="0"/>
              <w:jc w:val="center"/>
              <w:rPr>
                <w:b/>
                <w:sz w:val="20"/>
                <w:szCs w:val="20"/>
              </w:rPr>
            </w:pPr>
            <w:r w:rsidRPr="0043446A">
              <w:rPr>
                <w:b/>
                <w:sz w:val="20"/>
                <w:szCs w:val="20"/>
              </w:rPr>
              <w:t>40</w:t>
            </w:r>
          </w:p>
        </w:tc>
        <w:tc>
          <w:tcPr>
            <w:tcW w:w="0" w:type="auto"/>
            <w:shd w:val="clear" w:color="auto" w:fill="auto"/>
            <w:vAlign w:val="center"/>
          </w:tcPr>
          <w:p w14:paraId="10257542" w14:textId="77777777" w:rsidR="003B2200" w:rsidRPr="0043446A" w:rsidRDefault="00F72BE8" w:rsidP="00CA5840">
            <w:pPr>
              <w:ind w:left="0"/>
              <w:jc w:val="center"/>
              <w:rPr>
                <w:b/>
                <w:sz w:val="20"/>
                <w:szCs w:val="20"/>
              </w:rPr>
            </w:pPr>
            <w:r w:rsidRPr="0043446A">
              <w:rPr>
                <w:b/>
                <w:sz w:val="20"/>
                <w:szCs w:val="20"/>
              </w:rPr>
              <w:t>1</w:t>
            </w:r>
          </w:p>
        </w:tc>
        <w:tc>
          <w:tcPr>
            <w:tcW w:w="0" w:type="auto"/>
            <w:shd w:val="clear" w:color="auto" w:fill="D9D9D9" w:themeFill="background1" w:themeFillShade="D9"/>
            <w:vAlign w:val="center"/>
          </w:tcPr>
          <w:p w14:paraId="10257543" w14:textId="77777777" w:rsidR="003B2200" w:rsidRPr="0043446A" w:rsidRDefault="003B2200" w:rsidP="00CA5840">
            <w:pPr>
              <w:ind w:left="0"/>
              <w:jc w:val="center"/>
              <w:rPr>
                <w:b/>
                <w:sz w:val="20"/>
                <w:szCs w:val="20"/>
              </w:rPr>
            </w:pPr>
          </w:p>
        </w:tc>
        <w:tc>
          <w:tcPr>
            <w:tcW w:w="0" w:type="auto"/>
            <w:vAlign w:val="center"/>
          </w:tcPr>
          <w:p w14:paraId="10257544" w14:textId="77777777" w:rsidR="003B2200" w:rsidRPr="0043446A" w:rsidRDefault="00FF4F7E" w:rsidP="00FF4F7E">
            <w:pPr>
              <w:ind w:left="0"/>
              <w:jc w:val="center"/>
              <w:rPr>
                <w:b/>
                <w:sz w:val="20"/>
                <w:szCs w:val="20"/>
              </w:rPr>
            </w:pPr>
            <w:r w:rsidRPr="0043446A">
              <w:rPr>
                <w:b/>
                <w:sz w:val="20"/>
                <w:szCs w:val="20"/>
              </w:rPr>
              <w:t>13</w:t>
            </w:r>
          </w:p>
        </w:tc>
        <w:tc>
          <w:tcPr>
            <w:tcW w:w="970" w:type="dxa"/>
            <w:shd w:val="clear" w:color="auto" w:fill="D9D9D9" w:themeFill="background1" w:themeFillShade="D9"/>
            <w:vAlign w:val="center"/>
          </w:tcPr>
          <w:p w14:paraId="10257545" w14:textId="77777777" w:rsidR="003B2200" w:rsidRPr="0043446A" w:rsidRDefault="003B2200" w:rsidP="00CA5840">
            <w:pPr>
              <w:ind w:left="0"/>
              <w:jc w:val="center"/>
              <w:rPr>
                <w:b/>
                <w:sz w:val="20"/>
                <w:szCs w:val="20"/>
              </w:rPr>
            </w:pPr>
          </w:p>
        </w:tc>
        <w:tc>
          <w:tcPr>
            <w:tcW w:w="1302" w:type="dxa"/>
            <w:vAlign w:val="center"/>
          </w:tcPr>
          <w:p w14:paraId="10257546" w14:textId="7342B3E0" w:rsidR="003B2200" w:rsidRPr="0043446A" w:rsidRDefault="00BD0FFA" w:rsidP="00FF4F7E">
            <w:pPr>
              <w:ind w:left="0"/>
              <w:jc w:val="center"/>
              <w:rPr>
                <w:b/>
                <w:sz w:val="20"/>
                <w:szCs w:val="20"/>
              </w:rPr>
            </w:pPr>
            <w:r w:rsidRPr="0043446A">
              <w:rPr>
                <w:b/>
                <w:sz w:val="20"/>
                <w:szCs w:val="20"/>
              </w:rPr>
              <w:t>$742.43</w:t>
            </w:r>
          </w:p>
        </w:tc>
      </w:tr>
    </w:tbl>
    <w:p w14:paraId="10257548" w14:textId="77777777" w:rsidR="003C31C9" w:rsidRPr="0043446A" w:rsidRDefault="003C31C9" w:rsidP="003C31C9">
      <w:pPr>
        <w:pStyle w:val="Default"/>
        <w:ind w:left="720"/>
        <w:rPr>
          <w:rFonts w:asciiTheme="majorHAnsi" w:hAnsiTheme="majorHAnsi" w:cs="Times New Roman"/>
          <w:sz w:val="22"/>
          <w:szCs w:val="22"/>
        </w:rPr>
      </w:pPr>
    </w:p>
    <w:p w14:paraId="10257549" w14:textId="77777777" w:rsidR="002F1502" w:rsidRPr="0043446A" w:rsidRDefault="002F1502" w:rsidP="005D6F14"/>
    <w:p w14:paraId="71CE13EC" w14:textId="77777777" w:rsidR="00CB7E91" w:rsidRPr="0043446A" w:rsidRDefault="00CB7E91">
      <w:pPr>
        <w:tabs>
          <w:tab w:val="clear" w:pos="9360"/>
        </w:tabs>
        <w:spacing w:after="200"/>
        <w:ind w:left="0"/>
        <w:rPr>
          <w:b/>
        </w:rPr>
      </w:pPr>
      <w:r w:rsidRPr="0043446A">
        <w:br w:type="page"/>
      </w:r>
    </w:p>
    <w:p w14:paraId="1025754A" w14:textId="22DF7667" w:rsidR="00B12F51" w:rsidRPr="0043446A" w:rsidRDefault="0088467A" w:rsidP="00CA5840">
      <w:pPr>
        <w:pStyle w:val="Heading4"/>
      </w:pPr>
      <w:r w:rsidRPr="0043446A">
        <w:lastRenderedPageBreak/>
        <w:t xml:space="preserve">Estimates of Other Total Annual Cost Burden to </w:t>
      </w:r>
      <w:r w:rsidR="00C85CBC" w:rsidRPr="0043446A">
        <w:t>Participant</w:t>
      </w:r>
      <w:r w:rsidRPr="0043446A">
        <w:t>s or Record Keepers</w:t>
      </w:r>
    </w:p>
    <w:p w14:paraId="1025754B" w14:textId="77777777" w:rsidR="003C31C9" w:rsidRPr="0043446A" w:rsidRDefault="003C31C9" w:rsidP="00F95046">
      <w:pPr>
        <w:ind w:left="360"/>
      </w:pPr>
      <w:r w:rsidRPr="0043446A">
        <w:t xml:space="preserve">There will be no direct costs to the </w:t>
      </w:r>
      <w:r w:rsidR="00C85CBC" w:rsidRPr="0043446A">
        <w:t>participant</w:t>
      </w:r>
      <w:r w:rsidRPr="0043446A">
        <w:t xml:space="preserve">s other than their time to participate in each </w:t>
      </w:r>
      <w:r w:rsidR="00525E61" w:rsidRPr="0043446A">
        <w:t>data collection</w:t>
      </w:r>
      <w:r w:rsidRPr="0043446A">
        <w:t>.</w:t>
      </w:r>
    </w:p>
    <w:p w14:paraId="1025754C" w14:textId="77777777" w:rsidR="00911486" w:rsidRPr="0043446A" w:rsidRDefault="00911486" w:rsidP="005D6F14"/>
    <w:p w14:paraId="1025754D" w14:textId="77777777" w:rsidR="00B12F51" w:rsidRPr="0043446A" w:rsidRDefault="0088467A" w:rsidP="00CA5840">
      <w:pPr>
        <w:pStyle w:val="Heading4"/>
      </w:pPr>
      <w:r w:rsidRPr="0043446A">
        <w:t>Annualized Cost to the Government</w:t>
      </w:r>
      <w:r w:rsidR="00D75750" w:rsidRPr="0043446A">
        <w:t xml:space="preserve"> </w:t>
      </w:r>
    </w:p>
    <w:p w14:paraId="1025754E" w14:textId="77777777" w:rsidR="008E0683" w:rsidRPr="0043446A" w:rsidRDefault="00F95046" w:rsidP="00F95046">
      <w:pPr>
        <w:tabs>
          <w:tab w:val="clear" w:pos="9360"/>
          <w:tab w:val="left" w:pos="2370"/>
        </w:tabs>
        <w:ind w:left="360"/>
      </w:pPr>
      <w:r w:rsidRPr="0043446A">
        <w:t xml:space="preserve">There are no equipment or overhead costs.  The only cost to the federal government would be the salary of the CDC staff </w:t>
      </w:r>
      <w:r w:rsidR="00B359D1" w:rsidRPr="0043446A">
        <w:t>and</w:t>
      </w:r>
      <w:r w:rsidRPr="0043446A">
        <w:t xml:space="preserve"> contract</w:t>
      </w:r>
      <w:r w:rsidR="002336D4" w:rsidRPr="0043446A">
        <w:t>ed costs</w:t>
      </w:r>
      <w:r w:rsidRPr="0043446A">
        <w:t xml:space="preserve"> during the preparation of the interview guide, data collection and analysis activities.  The estimated cost to the federal government is $</w:t>
      </w:r>
      <w:r w:rsidR="002336D4" w:rsidRPr="0043446A">
        <w:t>3,121.79</w:t>
      </w:r>
      <w:r w:rsidRPr="0043446A">
        <w:t>.  Table A-14 describes how this cost estimate was calculated.</w:t>
      </w:r>
    </w:p>
    <w:p w14:paraId="1025754F" w14:textId="77777777" w:rsidR="00F95046" w:rsidRPr="0043446A" w:rsidRDefault="00F95046" w:rsidP="00F95046">
      <w:pPr>
        <w:tabs>
          <w:tab w:val="clear" w:pos="9360"/>
          <w:tab w:val="left" w:pos="2370"/>
        </w:tabs>
        <w:ind w:left="360"/>
      </w:pPr>
    </w:p>
    <w:p w14:paraId="10257550" w14:textId="77777777" w:rsidR="003C31C9" w:rsidRPr="0043446A" w:rsidRDefault="00321B51" w:rsidP="007D6163">
      <w:pPr>
        <w:pStyle w:val="ListParagraph"/>
      </w:pPr>
      <w:r w:rsidRPr="0043446A">
        <w:rPr>
          <w:color w:val="000000"/>
        </w:rPr>
        <w:t xml:space="preserve"> </w:t>
      </w:r>
      <w:r w:rsidR="008E0683" w:rsidRPr="0043446A">
        <w:rPr>
          <w:b/>
          <w:u w:val="single"/>
        </w:rPr>
        <w:t>Table A-14</w:t>
      </w:r>
      <w:r w:rsidR="008E0683" w:rsidRPr="0043446A">
        <w:rPr>
          <w:b/>
        </w:rPr>
        <w:t>:</w:t>
      </w:r>
      <w:r w:rsidR="008E0683" w:rsidRPr="0043446A">
        <w:t xml:space="preserve"> Estimated Annualized Cost to the Federal Government</w:t>
      </w:r>
    </w:p>
    <w:tbl>
      <w:tblPr>
        <w:tblStyle w:val="TableGrid"/>
        <w:tblW w:w="0" w:type="auto"/>
        <w:tblLook w:val="04A0" w:firstRow="1" w:lastRow="0" w:firstColumn="1" w:lastColumn="0" w:noHBand="0" w:noVBand="1"/>
      </w:tblPr>
      <w:tblGrid>
        <w:gridCol w:w="4195"/>
        <w:gridCol w:w="1969"/>
        <w:gridCol w:w="1234"/>
        <w:gridCol w:w="236"/>
        <w:gridCol w:w="236"/>
        <w:gridCol w:w="1706"/>
      </w:tblGrid>
      <w:tr w:rsidR="004841F1" w:rsidRPr="0043446A" w14:paraId="10257555" w14:textId="77777777" w:rsidTr="00CA5840">
        <w:trPr>
          <w:trHeight w:val="593"/>
        </w:trPr>
        <w:tc>
          <w:tcPr>
            <w:tcW w:w="4195" w:type="dxa"/>
            <w:tcBorders>
              <w:bottom w:val="single" w:sz="12" w:space="0" w:color="auto"/>
            </w:tcBorders>
            <w:shd w:val="clear" w:color="auto" w:fill="D9D9D9" w:themeFill="background1" w:themeFillShade="D9"/>
            <w:vAlign w:val="center"/>
          </w:tcPr>
          <w:p w14:paraId="10257551" w14:textId="77777777" w:rsidR="004841F1" w:rsidRPr="0043446A" w:rsidRDefault="004841F1" w:rsidP="005D6F14">
            <w:pPr>
              <w:ind w:left="0"/>
              <w:jc w:val="center"/>
              <w:rPr>
                <w:b/>
                <w:sz w:val="20"/>
                <w:szCs w:val="20"/>
              </w:rPr>
            </w:pPr>
            <w:r w:rsidRPr="0043446A">
              <w:rPr>
                <w:b/>
                <w:sz w:val="20"/>
                <w:szCs w:val="20"/>
              </w:rPr>
              <w:t>Staff (FTE)</w:t>
            </w:r>
          </w:p>
        </w:tc>
        <w:tc>
          <w:tcPr>
            <w:tcW w:w="1969" w:type="dxa"/>
            <w:tcBorders>
              <w:bottom w:val="single" w:sz="12" w:space="0" w:color="auto"/>
            </w:tcBorders>
            <w:shd w:val="clear" w:color="auto" w:fill="D9D9D9" w:themeFill="background1" w:themeFillShade="D9"/>
            <w:vAlign w:val="center"/>
          </w:tcPr>
          <w:p w14:paraId="10257552" w14:textId="77777777" w:rsidR="004841F1" w:rsidRPr="0043446A" w:rsidRDefault="004841F1" w:rsidP="005D6F14">
            <w:pPr>
              <w:ind w:left="0"/>
              <w:jc w:val="center"/>
              <w:rPr>
                <w:b/>
                <w:sz w:val="20"/>
                <w:szCs w:val="20"/>
              </w:rPr>
            </w:pPr>
            <w:r w:rsidRPr="0043446A">
              <w:rPr>
                <w:b/>
                <w:sz w:val="20"/>
                <w:szCs w:val="20"/>
              </w:rPr>
              <w:t>Average Hours per Collection</w:t>
            </w:r>
          </w:p>
        </w:tc>
        <w:tc>
          <w:tcPr>
            <w:tcW w:w="1706" w:type="dxa"/>
            <w:gridSpan w:val="3"/>
            <w:tcBorders>
              <w:bottom w:val="single" w:sz="12" w:space="0" w:color="auto"/>
            </w:tcBorders>
            <w:shd w:val="clear" w:color="auto" w:fill="D9D9D9" w:themeFill="background1" w:themeFillShade="D9"/>
            <w:vAlign w:val="center"/>
          </w:tcPr>
          <w:p w14:paraId="10257553" w14:textId="77777777" w:rsidR="004841F1" w:rsidRPr="0043446A" w:rsidRDefault="004841F1" w:rsidP="005D6F14">
            <w:pPr>
              <w:ind w:left="0"/>
              <w:jc w:val="center"/>
              <w:rPr>
                <w:b/>
                <w:sz w:val="20"/>
                <w:szCs w:val="20"/>
              </w:rPr>
            </w:pPr>
            <w:r w:rsidRPr="0043446A">
              <w:rPr>
                <w:b/>
                <w:sz w:val="20"/>
                <w:szCs w:val="20"/>
              </w:rPr>
              <w:t>Average Hourly Rate</w:t>
            </w:r>
          </w:p>
        </w:tc>
        <w:tc>
          <w:tcPr>
            <w:tcW w:w="1706" w:type="dxa"/>
            <w:tcBorders>
              <w:bottom w:val="single" w:sz="12" w:space="0" w:color="auto"/>
            </w:tcBorders>
            <w:shd w:val="clear" w:color="auto" w:fill="D9D9D9" w:themeFill="background1" w:themeFillShade="D9"/>
            <w:vAlign w:val="center"/>
          </w:tcPr>
          <w:p w14:paraId="10257554" w14:textId="77777777" w:rsidR="004841F1" w:rsidRPr="0043446A" w:rsidRDefault="004841F1" w:rsidP="005D6F14">
            <w:pPr>
              <w:ind w:left="0"/>
              <w:jc w:val="center"/>
              <w:rPr>
                <w:b/>
                <w:sz w:val="20"/>
                <w:szCs w:val="20"/>
              </w:rPr>
            </w:pPr>
            <w:r w:rsidRPr="0043446A">
              <w:rPr>
                <w:b/>
                <w:sz w:val="20"/>
                <w:szCs w:val="20"/>
              </w:rPr>
              <w:t>Average Cost</w:t>
            </w:r>
          </w:p>
        </w:tc>
      </w:tr>
      <w:tr w:rsidR="004841F1" w:rsidRPr="0043446A" w14:paraId="1025755B" w14:textId="77777777" w:rsidTr="00CA5840">
        <w:tc>
          <w:tcPr>
            <w:tcW w:w="4195" w:type="dxa"/>
          </w:tcPr>
          <w:p w14:paraId="10257556" w14:textId="77777777" w:rsidR="004824FA" w:rsidRPr="0043446A" w:rsidRDefault="007226EE" w:rsidP="00F95046">
            <w:pPr>
              <w:tabs>
                <w:tab w:val="clear" w:pos="9360"/>
                <w:tab w:val="left" w:pos="2505"/>
              </w:tabs>
              <w:ind w:left="0"/>
              <w:jc w:val="both"/>
              <w:rPr>
                <w:sz w:val="20"/>
                <w:szCs w:val="20"/>
              </w:rPr>
            </w:pPr>
            <w:r w:rsidRPr="0043446A">
              <w:rPr>
                <w:sz w:val="20"/>
                <w:szCs w:val="20"/>
              </w:rPr>
              <w:t>Project Officer</w:t>
            </w:r>
            <w:r w:rsidR="005F2795" w:rsidRPr="0043446A">
              <w:rPr>
                <w:sz w:val="20"/>
                <w:szCs w:val="20"/>
              </w:rPr>
              <w:t xml:space="preserve"> </w:t>
            </w:r>
            <w:r w:rsidR="00843FB4" w:rsidRPr="0043446A">
              <w:rPr>
                <w:sz w:val="20"/>
                <w:szCs w:val="20"/>
              </w:rPr>
              <w:t>(</w:t>
            </w:r>
            <w:r w:rsidR="005F2795" w:rsidRPr="0043446A">
              <w:rPr>
                <w:sz w:val="20"/>
                <w:szCs w:val="20"/>
              </w:rPr>
              <w:t>GS</w:t>
            </w:r>
            <w:r w:rsidR="00843FB4" w:rsidRPr="0043446A">
              <w:rPr>
                <w:sz w:val="20"/>
                <w:szCs w:val="20"/>
              </w:rPr>
              <w:t>-</w:t>
            </w:r>
            <w:r w:rsidR="005F2795" w:rsidRPr="0043446A">
              <w:rPr>
                <w:sz w:val="20"/>
                <w:szCs w:val="20"/>
              </w:rPr>
              <w:t>13</w:t>
            </w:r>
            <w:r w:rsidR="00843FB4" w:rsidRPr="0043446A">
              <w:rPr>
                <w:sz w:val="20"/>
                <w:szCs w:val="20"/>
              </w:rPr>
              <w:t>)</w:t>
            </w:r>
          </w:p>
          <w:p w14:paraId="10257557" w14:textId="77777777" w:rsidR="00F95046" w:rsidRPr="0043446A" w:rsidRDefault="00F95046" w:rsidP="00F95046">
            <w:pPr>
              <w:tabs>
                <w:tab w:val="clear" w:pos="9360"/>
                <w:tab w:val="left" w:pos="2505"/>
              </w:tabs>
              <w:ind w:left="0"/>
              <w:jc w:val="both"/>
              <w:rPr>
                <w:sz w:val="20"/>
                <w:szCs w:val="20"/>
              </w:rPr>
            </w:pPr>
            <w:r w:rsidRPr="0043446A">
              <w:rPr>
                <w:sz w:val="20"/>
              </w:rPr>
              <w:t>Support the development of instrument, pilot testing, review and oversee OMB package preparation, data analysis, and report preparation</w:t>
            </w:r>
          </w:p>
        </w:tc>
        <w:tc>
          <w:tcPr>
            <w:tcW w:w="1969" w:type="dxa"/>
          </w:tcPr>
          <w:p w14:paraId="10257558" w14:textId="77777777" w:rsidR="004841F1" w:rsidRPr="0043446A" w:rsidRDefault="00804802" w:rsidP="005D6F14">
            <w:pPr>
              <w:ind w:left="0"/>
              <w:jc w:val="center"/>
              <w:rPr>
                <w:sz w:val="20"/>
                <w:szCs w:val="20"/>
              </w:rPr>
            </w:pPr>
            <w:r w:rsidRPr="0043446A">
              <w:rPr>
                <w:sz w:val="20"/>
                <w:szCs w:val="20"/>
              </w:rPr>
              <w:t>12.5</w:t>
            </w:r>
          </w:p>
        </w:tc>
        <w:tc>
          <w:tcPr>
            <w:tcW w:w="1706" w:type="dxa"/>
            <w:gridSpan w:val="3"/>
          </w:tcPr>
          <w:p w14:paraId="10257559" w14:textId="77777777" w:rsidR="004841F1" w:rsidRPr="0043446A" w:rsidRDefault="00385C4A" w:rsidP="005D6F14">
            <w:pPr>
              <w:ind w:left="0"/>
              <w:jc w:val="center"/>
              <w:rPr>
                <w:sz w:val="20"/>
                <w:szCs w:val="20"/>
              </w:rPr>
            </w:pPr>
            <w:r w:rsidRPr="0043446A">
              <w:rPr>
                <w:sz w:val="20"/>
                <w:szCs w:val="20"/>
              </w:rPr>
              <w:t>47.80</w:t>
            </w:r>
          </w:p>
        </w:tc>
        <w:tc>
          <w:tcPr>
            <w:tcW w:w="1706" w:type="dxa"/>
          </w:tcPr>
          <w:p w14:paraId="1025755A" w14:textId="77777777" w:rsidR="004841F1" w:rsidRPr="0043446A" w:rsidRDefault="000F4B0C" w:rsidP="005D6F14">
            <w:pPr>
              <w:ind w:left="0"/>
              <w:jc w:val="center"/>
              <w:rPr>
                <w:sz w:val="20"/>
                <w:szCs w:val="20"/>
              </w:rPr>
            </w:pPr>
            <w:r w:rsidRPr="0043446A">
              <w:rPr>
                <w:sz w:val="20"/>
                <w:szCs w:val="20"/>
              </w:rPr>
              <w:t>$597.50</w:t>
            </w:r>
          </w:p>
        </w:tc>
      </w:tr>
      <w:tr w:rsidR="004824FA" w:rsidRPr="0043446A" w14:paraId="10257565" w14:textId="77777777" w:rsidTr="005D6F14">
        <w:tc>
          <w:tcPr>
            <w:tcW w:w="4195" w:type="dxa"/>
            <w:tcBorders>
              <w:bottom w:val="single" w:sz="4" w:space="0" w:color="auto"/>
            </w:tcBorders>
          </w:tcPr>
          <w:p w14:paraId="1025755C" w14:textId="77777777" w:rsidR="003278A4" w:rsidRPr="0043446A" w:rsidRDefault="003278A4" w:rsidP="00CA5840">
            <w:pPr>
              <w:ind w:left="0"/>
              <w:jc w:val="both"/>
              <w:rPr>
                <w:sz w:val="20"/>
                <w:szCs w:val="20"/>
              </w:rPr>
            </w:pPr>
            <w:r w:rsidRPr="0043446A">
              <w:rPr>
                <w:sz w:val="20"/>
                <w:szCs w:val="20"/>
              </w:rPr>
              <w:t>Contracto</w:t>
            </w:r>
            <w:r w:rsidR="00D73D46" w:rsidRPr="0043446A">
              <w:rPr>
                <w:sz w:val="20"/>
                <w:szCs w:val="20"/>
              </w:rPr>
              <w:t>r (</w:t>
            </w:r>
            <w:r w:rsidRPr="0043446A">
              <w:rPr>
                <w:sz w:val="20"/>
                <w:szCs w:val="20"/>
              </w:rPr>
              <w:t>Analyst</w:t>
            </w:r>
            <w:r w:rsidR="00D73D46" w:rsidRPr="0043446A">
              <w:rPr>
                <w:sz w:val="20"/>
                <w:szCs w:val="20"/>
              </w:rPr>
              <w:t xml:space="preserve"> &amp;</w:t>
            </w:r>
          </w:p>
          <w:p w14:paraId="1025755D" w14:textId="77777777" w:rsidR="003278A4" w:rsidRPr="0043446A" w:rsidRDefault="003278A4" w:rsidP="00F95046">
            <w:pPr>
              <w:ind w:left="0"/>
              <w:jc w:val="both"/>
              <w:rPr>
                <w:sz w:val="20"/>
                <w:szCs w:val="20"/>
              </w:rPr>
            </w:pPr>
            <w:r w:rsidRPr="0043446A">
              <w:rPr>
                <w:sz w:val="20"/>
                <w:szCs w:val="20"/>
              </w:rPr>
              <w:t>Supervisor</w:t>
            </w:r>
            <w:r w:rsidR="00D73D46" w:rsidRPr="0043446A">
              <w:rPr>
                <w:sz w:val="20"/>
                <w:szCs w:val="20"/>
              </w:rPr>
              <w:t>)</w:t>
            </w:r>
          </w:p>
          <w:p w14:paraId="1025755E" w14:textId="77777777" w:rsidR="00F95046" w:rsidRPr="0043446A" w:rsidRDefault="00843FB4" w:rsidP="00272232">
            <w:pPr>
              <w:ind w:left="0"/>
              <w:jc w:val="both"/>
              <w:rPr>
                <w:sz w:val="20"/>
                <w:szCs w:val="20"/>
              </w:rPr>
            </w:pPr>
            <w:r w:rsidRPr="0043446A">
              <w:rPr>
                <w:sz w:val="20"/>
              </w:rPr>
              <w:t>Instrument development, pilot testing, d</w:t>
            </w:r>
            <w:r w:rsidR="00FF4F7E" w:rsidRPr="0043446A">
              <w:rPr>
                <w:sz w:val="20"/>
              </w:rPr>
              <w:t>ata collection</w:t>
            </w:r>
            <w:r w:rsidR="00EF18F3" w:rsidRPr="0043446A">
              <w:rPr>
                <w:sz w:val="20"/>
              </w:rPr>
              <w:t>,</w:t>
            </w:r>
          </w:p>
        </w:tc>
        <w:tc>
          <w:tcPr>
            <w:tcW w:w="1969" w:type="dxa"/>
            <w:tcBorders>
              <w:bottom w:val="single" w:sz="4" w:space="0" w:color="auto"/>
            </w:tcBorders>
          </w:tcPr>
          <w:p w14:paraId="1025755F" w14:textId="77777777" w:rsidR="004824FA" w:rsidRPr="0043446A" w:rsidRDefault="004824FA" w:rsidP="005D6F14">
            <w:pPr>
              <w:ind w:left="0"/>
              <w:jc w:val="center"/>
              <w:rPr>
                <w:sz w:val="20"/>
                <w:szCs w:val="20"/>
              </w:rPr>
            </w:pPr>
          </w:p>
          <w:p w14:paraId="10257560" w14:textId="77777777" w:rsidR="003278A4" w:rsidRPr="0043446A" w:rsidRDefault="003278A4" w:rsidP="005D6F14">
            <w:pPr>
              <w:ind w:left="0"/>
              <w:jc w:val="center"/>
              <w:rPr>
                <w:sz w:val="20"/>
                <w:szCs w:val="20"/>
              </w:rPr>
            </w:pPr>
          </w:p>
        </w:tc>
        <w:tc>
          <w:tcPr>
            <w:tcW w:w="1706" w:type="dxa"/>
            <w:gridSpan w:val="3"/>
            <w:tcBorders>
              <w:bottom w:val="single" w:sz="4" w:space="0" w:color="auto"/>
            </w:tcBorders>
          </w:tcPr>
          <w:p w14:paraId="10257561" w14:textId="77777777" w:rsidR="003278A4" w:rsidRPr="0043446A" w:rsidRDefault="003278A4" w:rsidP="005D6F14">
            <w:pPr>
              <w:ind w:left="0"/>
              <w:jc w:val="center"/>
              <w:rPr>
                <w:sz w:val="20"/>
                <w:szCs w:val="20"/>
              </w:rPr>
            </w:pPr>
          </w:p>
          <w:p w14:paraId="10257562" w14:textId="77777777" w:rsidR="003278A4" w:rsidRPr="0043446A" w:rsidRDefault="003278A4" w:rsidP="005D6F14">
            <w:pPr>
              <w:ind w:left="0"/>
              <w:jc w:val="center"/>
              <w:rPr>
                <w:sz w:val="20"/>
                <w:szCs w:val="20"/>
              </w:rPr>
            </w:pPr>
          </w:p>
        </w:tc>
        <w:tc>
          <w:tcPr>
            <w:tcW w:w="1706" w:type="dxa"/>
          </w:tcPr>
          <w:p w14:paraId="10257563" w14:textId="77777777" w:rsidR="004824FA" w:rsidRPr="0043446A" w:rsidRDefault="004824FA" w:rsidP="005D6F14">
            <w:pPr>
              <w:ind w:left="0"/>
              <w:jc w:val="center"/>
              <w:rPr>
                <w:sz w:val="20"/>
                <w:szCs w:val="20"/>
              </w:rPr>
            </w:pPr>
          </w:p>
          <w:p w14:paraId="10257564" w14:textId="77777777" w:rsidR="003278A4" w:rsidRPr="0043446A" w:rsidRDefault="00E84F37" w:rsidP="00E84F37">
            <w:pPr>
              <w:ind w:left="0"/>
              <w:jc w:val="center"/>
              <w:rPr>
                <w:sz w:val="20"/>
                <w:szCs w:val="20"/>
              </w:rPr>
            </w:pPr>
            <w:r w:rsidRPr="0043446A">
              <w:rPr>
                <w:sz w:val="20"/>
                <w:szCs w:val="20"/>
              </w:rPr>
              <w:t>$2,524.29</w:t>
            </w:r>
          </w:p>
        </w:tc>
      </w:tr>
      <w:tr w:rsidR="005D6F14" w:rsidRPr="0043446A" w14:paraId="1025756A" w14:textId="77777777" w:rsidTr="005D6F14">
        <w:trPr>
          <w:trHeight w:val="332"/>
        </w:trPr>
        <w:tc>
          <w:tcPr>
            <w:tcW w:w="7398" w:type="dxa"/>
            <w:gridSpan w:val="3"/>
            <w:tcBorders>
              <w:right w:val="nil"/>
            </w:tcBorders>
            <w:vAlign w:val="center"/>
          </w:tcPr>
          <w:p w14:paraId="10257566" w14:textId="77777777" w:rsidR="005D6F14" w:rsidRPr="0043446A" w:rsidRDefault="005D6F14" w:rsidP="005D6F14">
            <w:pPr>
              <w:ind w:left="0"/>
              <w:jc w:val="right"/>
              <w:rPr>
                <w:b/>
                <w:sz w:val="20"/>
                <w:szCs w:val="20"/>
              </w:rPr>
            </w:pPr>
            <w:r w:rsidRPr="0043446A">
              <w:rPr>
                <w:b/>
                <w:sz w:val="20"/>
                <w:szCs w:val="20"/>
              </w:rPr>
              <w:t>Estimated Total Cost of Information Collection</w:t>
            </w:r>
          </w:p>
        </w:tc>
        <w:tc>
          <w:tcPr>
            <w:tcW w:w="236" w:type="dxa"/>
            <w:tcBorders>
              <w:left w:val="nil"/>
              <w:right w:val="nil"/>
            </w:tcBorders>
            <w:vAlign w:val="center"/>
          </w:tcPr>
          <w:p w14:paraId="10257567" w14:textId="77777777" w:rsidR="005D6F14" w:rsidRPr="0043446A" w:rsidRDefault="005D6F14" w:rsidP="00CA5840">
            <w:pPr>
              <w:ind w:left="0"/>
              <w:rPr>
                <w:b/>
                <w:sz w:val="20"/>
                <w:szCs w:val="20"/>
              </w:rPr>
            </w:pPr>
          </w:p>
        </w:tc>
        <w:tc>
          <w:tcPr>
            <w:tcW w:w="236" w:type="dxa"/>
            <w:tcBorders>
              <w:left w:val="nil"/>
            </w:tcBorders>
            <w:vAlign w:val="center"/>
          </w:tcPr>
          <w:p w14:paraId="10257568" w14:textId="77777777" w:rsidR="005D6F14" w:rsidRPr="0043446A" w:rsidRDefault="005D6F14" w:rsidP="00CA5840">
            <w:pPr>
              <w:ind w:left="0"/>
              <w:rPr>
                <w:b/>
                <w:sz w:val="20"/>
                <w:szCs w:val="20"/>
              </w:rPr>
            </w:pPr>
          </w:p>
        </w:tc>
        <w:tc>
          <w:tcPr>
            <w:tcW w:w="1706" w:type="dxa"/>
            <w:vAlign w:val="center"/>
          </w:tcPr>
          <w:p w14:paraId="10257569" w14:textId="77777777" w:rsidR="005D6F14" w:rsidRPr="0043446A" w:rsidRDefault="00B65B9A" w:rsidP="00FF4F7E">
            <w:pPr>
              <w:ind w:left="0"/>
              <w:jc w:val="center"/>
              <w:rPr>
                <w:b/>
                <w:sz w:val="20"/>
                <w:szCs w:val="20"/>
              </w:rPr>
            </w:pPr>
            <w:r w:rsidRPr="0043446A">
              <w:rPr>
                <w:b/>
                <w:sz w:val="20"/>
                <w:szCs w:val="20"/>
              </w:rPr>
              <w:t>$</w:t>
            </w:r>
            <w:r w:rsidR="00FF4F7E" w:rsidRPr="0043446A">
              <w:rPr>
                <w:b/>
                <w:sz w:val="20"/>
                <w:szCs w:val="20"/>
              </w:rPr>
              <w:t>3,121.79</w:t>
            </w:r>
          </w:p>
        </w:tc>
      </w:tr>
    </w:tbl>
    <w:p w14:paraId="1025756B" w14:textId="77777777" w:rsidR="004841F1" w:rsidRPr="0043446A" w:rsidRDefault="004841F1" w:rsidP="005D6F14"/>
    <w:p w14:paraId="1025756C" w14:textId="77777777" w:rsidR="00B12F51" w:rsidRPr="0043446A" w:rsidRDefault="00D75750" w:rsidP="00CA5840">
      <w:pPr>
        <w:pStyle w:val="Heading4"/>
      </w:pPr>
      <w:r w:rsidRPr="0043446A">
        <w:t>Explanation for Program Changes or Adjustments</w:t>
      </w:r>
    </w:p>
    <w:p w14:paraId="1025756D" w14:textId="77777777" w:rsidR="00F52BCC" w:rsidRPr="0043446A" w:rsidRDefault="003C7C5D" w:rsidP="00F95046">
      <w:pPr>
        <w:ind w:left="360"/>
      </w:pPr>
      <w:r w:rsidRPr="0043446A">
        <w:t>This is a new data collection.</w:t>
      </w:r>
    </w:p>
    <w:p w14:paraId="1025756E" w14:textId="77777777" w:rsidR="00F52BCC" w:rsidRPr="0043446A" w:rsidRDefault="00F52BCC" w:rsidP="005D6F14"/>
    <w:p w14:paraId="1025756F" w14:textId="77777777" w:rsidR="00F95046" w:rsidRPr="0043446A" w:rsidRDefault="00616090" w:rsidP="00804802">
      <w:pPr>
        <w:pStyle w:val="Heading4"/>
      </w:pPr>
      <w:r w:rsidRPr="0043446A">
        <w:t>Plan</w:t>
      </w:r>
      <w:r w:rsidR="00D75750" w:rsidRPr="0043446A">
        <w:t>s for Tabulation and Publication and Project Time Schedule</w:t>
      </w:r>
    </w:p>
    <w:p w14:paraId="10257570" w14:textId="77777777" w:rsidR="000F0E56" w:rsidRPr="0043446A" w:rsidRDefault="009F3625" w:rsidP="000F0E56">
      <w:pPr>
        <w:pStyle w:val="ListParagraph"/>
        <w:autoSpaceDE w:val="0"/>
        <w:autoSpaceDN w:val="0"/>
        <w:adjustRightInd w:val="0"/>
        <w:ind w:left="360"/>
      </w:pPr>
      <w:r w:rsidRPr="0043446A">
        <w:rPr>
          <w:rFonts w:cs="Arial"/>
        </w:rPr>
        <w:t>Data analysis will begin upon complet</w:t>
      </w:r>
      <w:r w:rsidR="0036032C" w:rsidRPr="0043446A">
        <w:rPr>
          <w:rFonts w:cs="Arial"/>
        </w:rPr>
        <w:t>ion of data collection. CDC staff</w:t>
      </w:r>
      <w:r w:rsidRPr="0043446A">
        <w:rPr>
          <w:rFonts w:cs="Arial"/>
        </w:rPr>
        <w:t xml:space="preserve"> and contractor</w:t>
      </w:r>
      <w:r w:rsidR="0036032C" w:rsidRPr="0043446A">
        <w:rPr>
          <w:rFonts w:cs="Arial"/>
        </w:rPr>
        <w:t>s</w:t>
      </w:r>
      <w:r w:rsidRPr="0043446A">
        <w:rPr>
          <w:rFonts w:cs="Arial"/>
        </w:rPr>
        <w:t xml:space="preserve"> will perform the analysis using SAS 9.3. The analysis will consist of simple descriptive statistics and qualitative analysis to understand current practices.  </w:t>
      </w:r>
      <w:r w:rsidR="00FC45CD" w:rsidRPr="0043446A">
        <w:rPr>
          <w:rFonts w:cs="Arial"/>
        </w:rPr>
        <w:t xml:space="preserve">The majority of data will be analyzed using basic descriptive analyses. Because the major purpose of this data collection is program improvement, this assessment does not anticipate needing to use complex statistical techniques. </w:t>
      </w:r>
      <w:r w:rsidRPr="0043446A">
        <w:rPr>
          <w:szCs w:val="24"/>
        </w:rPr>
        <w:t xml:space="preserve">Qualitative data </w:t>
      </w:r>
      <w:r w:rsidR="00272232" w:rsidRPr="0043446A">
        <w:rPr>
          <w:szCs w:val="24"/>
        </w:rPr>
        <w:t>provide information about</w:t>
      </w:r>
      <w:r w:rsidRPr="0043446A">
        <w:rPr>
          <w:szCs w:val="24"/>
        </w:rPr>
        <w:t xml:space="preserve"> the “why” and the ‘how”</w:t>
      </w:r>
      <w:r w:rsidR="00272232" w:rsidRPr="0043446A">
        <w:rPr>
          <w:szCs w:val="24"/>
        </w:rPr>
        <w:t xml:space="preserve"> of a program strategy.  </w:t>
      </w:r>
      <w:r w:rsidRPr="0043446A">
        <w:rPr>
          <w:szCs w:val="24"/>
        </w:rPr>
        <w:t xml:space="preserve"> </w:t>
      </w:r>
      <w:r w:rsidR="00272232" w:rsidRPr="0043446A">
        <w:rPr>
          <w:szCs w:val="24"/>
        </w:rPr>
        <w:t xml:space="preserve">Thus it facilitates a more practical understanding of </w:t>
      </w:r>
      <w:r w:rsidR="009F31C2" w:rsidRPr="0043446A">
        <w:t xml:space="preserve">childhood lead poisoning prevention program </w:t>
      </w:r>
      <w:r w:rsidRPr="0043446A">
        <w:rPr>
          <w:szCs w:val="24"/>
        </w:rPr>
        <w:t>decision</w:t>
      </w:r>
      <w:r w:rsidR="00793874" w:rsidRPr="0043446A">
        <w:rPr>
          <w:szCs w:val="24"/>
        </w:rPr>
        <w:t>-</w:t>
      </w:r>
      <w:r w:rsidRPr="0043446A">
        <w:rPr>
          <w:szCs w:val="24"/>
        </w:rPr>
        <w:t xml:space="preserve">making processes. </w:t>
      </w:r>
    </w:p>
    <w:p w14:paraId="10257571" w14:textId="77777777" w:rsidR="00272232" w:rsidRPr="0043446A" w:rsidRDefault="00272232" w:rsidP="000F0E56">
      <w:pPr>
        <w:pStyle w:val="ListParagraph"/>
        <w:autoSpaceDE w:val="0"/>
        <w:autoSpaceDN w:val="0"/>
        <w:adjustRightInd w:val="0"/>
        <w:ind w:left="360"/>
      </w:pPr>
    </w:p>
    <w:p w14:paraId="10257572" w14:textId="77777777" w:rsidR="000F0E56" w:rsidRPr="0043446A" w:rsidRDefault="000F0E56" w:rsidP="000F0E56">
      <w:pPr>
        <w:pStyle w:val="ListParagraph"/>
        <w:autoSpaceDE w:val="0"/>
        <w:autoSpaceDN w:val="0"/>
        <w:adjustRightInd w:val="0"/>
        <w:ind w:left="360"/>
      </w:pPr>
      <w:r w:rsidRPr="0043446A">
        <w:t>HHLPP plans to use the data collected during the needs assessment to develop best practices that federal, state, and local agencies can use as a guide for understanding state prevention and health promotion plans, and also to identify strategies for successfully incorporating environmental health initiatives into state plans.</w:t>
      </w:r>
    </w:p>
    <w:p w14:paraId="10257573" w14:textId="77777777" w:rsidR="000F0E56" w:rsidRPr="0043446A" w:rsidRDefault="000F0E56" w:rsidP="000F0E56">
      <w:pPr>
        <w:ind w:left="360"/>
      </w:pPr>
    </w:p>
    <w:p w14:paraId="54F461E7" w14:textId="77777777" w:rsidR="00CB7E91" w:rsidRPr="0043446A" w:rsidRDefault="00CB7E91">
      <w:pPr>
        <w:tabs>
          <w:tab w:val="clear" w:pos="9360"/>
        </w:tabs>
        <w:spacing w:after="200"/>
        <w:ind w:left="0"/>
        <w:rPr>
          <w:sz w:val="24"/>
          <w:u w:val="single"/>
        </w:rPr>
      </w:pPr>
      <w:r w:rsidRPr="0043446A">
        <w:rPr>
          <w:sz w:val="24"/>
          <w:u w:val="single"/>
        </w:rPr>
        <w:br w:type="page"/>
      </w:r>
    </w:p>
    <w:p w14:paraId="10257574" w14:textId="09DF4205" w:rsidR="002139E7" w:rsidRPr="0043446A" w:rsidRDefault="002139E7" w:rsidP="00843FB4">
      <w:pPr>
        <w:ind w:left="360"/>
        <w:rPr>
          <w:sz w:val="24"/>
          <w:u w:val="single"/>
        </w:rPr>
      </w:pPr>
      <w:r w:rsidRPr="0043446A">
        <w:rPr>
          <w:sz w:val="24"/>
          <w:u w:val="single"/>
        </w:rPr>
        <w:lastRenderedPageBreak/>
        <w:t>Project Time Schedule</w:t>
      </w:r>
    </w:p>
    <w:p w14:paraId="10257575" w14:textId="77777777" w:rsidR="002139E7" w:rsidRPr="0043446A" w:rsidRDefault="002139E7" w:rsidP="00F95046">
      <w:pPr>
        <w:pStyle w:val="ListParagraph"/>
        <w:numPr>
          <w:ilvl w:val="0"/>
          <w:numId w:val="17"/>
        </w:numPr>
        <w:tabs>
          <w:tab w:val="right" w:leader="dot" w:pos="9360"/>
        </w:tabs>
      </w:pPr>
      <w:r w:rsidRPr="0043446A">
        <w:t>Design questionnaire</w:t>
      </w:r>
      <w:r w:rsidRPr="0043446A">
        <w:tab/>
        <w:t>(COMPLETE)</w:t>
      </w:r>
    </w:p>
    <w:p w14:paraId="10257576" w14:textId="77777777" w:rsidR="002139E7" w:rsidRPr="0043446A" w:rsidRDefault="002139E7" w:rsidP="00F95046">
      <w:pPr>
        <w:pStyle w:val="ListParagraph"/>
        <w:numPr>
          <w:ilvl w:val="0"/>
          <w:numId w:val="18"/>
        </w:numPr>
        <w:tabs>
          <w:tab w:val="right" w:leader="dot" w:pos="9360"/>
        </w:tabs>
      </w:pPr>
      <w:r w:rsidRPr="0043446A">
        <w:t>Develop protocol, instructions, and analysis plan</w:t>
      </w:r>
      <w:r w:rsidRPr="0043446A">
        <w:tab/>
        <w:t>(COMPLETE)</w:t>
      </w:r>
    </w:p>
    <w:p w14:paraId="10257577" w14:textId="77777777" w:rsidR="002139E7" w:rsidRPr="0043446A" w:rsidRDefault="002139E7" w:rsidP="00F95046">
      <w:pPr>
        <w:pStyle w:val="ListParagraph"/>
        <w:numPr>
          <w:ilvl w:val="0"/>
          <w:numId w:val="21"/>
        </w:numPr>
        <w:tabs>
          <w:tab w:val="right" w:leader="dot" w:pos="9360"/>
        </w:tabs>
        <w:ind w:left="720"/>
      </w:pPr>
      <w:r w:rsidRPr="0043446A">
        <w:t>Pilot test questionnaire</w:t>
      </w:r>
      <w:r w:rsidRPr="0043446A">
        <w:tab/>
        <w:t>(COMPLETE)</w:t>
      </w:r>
    </w:p>
    <w:p w14:paraId="10257578" w14:textId="77777777" w:rsidR="002139E7" w:rsidRPr="0043446A" w:rsidRDefault="002139E7" w:rsidP="00F95046">
      <w:pPr>
        <w:pStyle w:val="ListParagraph"/>
        <w:numPr>
          <w:ilvl w:val="0"/>
          <w:numId w:val="21"/>
        </w:numPr>
        <w:tabs>
          <w:tab w:val="right" w:leader="dot" w:pos="9360"/>
        </w:tabs>
        <w:ind w:left="720"/>
      </w:pPr>
      <w:r w:rsidRPr="0043446A">
        <w:t>Prepare OMB package</w:t>
      </w:r>
      <w:r w:rsidRPr="0043446A">
        <w:tab/>
        <w:t>(COMPLETE)</w:t>
      </w:r>
    </w:p>
    <w:p w14:paraId="10257579" w14:textId="77777777" w:rsidR="002139E7" w:rsidRPr="0043446A" w:rsidRDefault="002139E7" w:rsidP="00F95046">
      <w:pPr>
        <w:pStyle w:val="ListParagraph"/>
        <w:numPr>
          <w:ilvl w:val="0"/>
          <w:numId w:val="21"/>
        </w:numPr>
        <w:tabs>
          <w:tab w:val="right" w:leader="dot" w:pos="9360"/>
        </w:tabs>
        <w:ind w:left="720"/>
      </w:pPr>
      <w:r w:rsidRPr="0043446A">
        <w:t>Submit OMB package</w:t>
      </w:r>
      <w:r w:rsidRPr="0043446A">
        <w:tab/>
        <w:t>(COMPLETE)</w:t>
      </w:r>
    </w:p>
    <w:p w14:paraId="1025757A" w14:textId="77777777" w:rsidR="002139E7" w:rsidRPr="0043446A" w:rsidRDefault="002139E7" w:rsidP="00F95046">
      <w:pPr>
        <w:pStyle w:val="ListParagraph"/>
        <w:numPr>
          <w:ilvl w:val="0"/>
          <w:numId w:val="16"/>
        </w:numPr>
        <w:tabs>
          <w:tab w:val="right" w:leader="dot" w:pos="9360"/>
        </w:tabs>
      </w:pPr>
      <w:r w:rsidRPr="0043446A">
        <w:t>OMB approval</w:t>
      </w:r>
      <w:r w:rsidRPr="0043446A">
        <w:tab/>
        <w:t>(TBD)</w:t>
      </w:r>
    </w:p>
    <w:p w14:paraId="1025757B" w14:textId="77777777" w:rsidR="002139E7" w:rsidRPr="0043446A" w:rsidRDefault="002139E7" w:rsidP="00F95046">
      <w:pPr>
        <w:pStyle w:val="ListParagraph"/>
        <w:numPr>
          <w:ilvl w:val="0"/>
          <w:numId w:val="16"/>
        </w:numPr>
        <w:tabs>
          <w:tab w:val="right" w:leader="dot" w:pos="9360"/>
        </w:tabs>
      </w:pPr>
      <w:r w:rsidRPr="0043446A">
        <w:t>Gather responses</w:t>
      </w:r>
      <w:r w:rsidRPr="0043446A">
        <w:tab/>
        <w:t>(3 weeks</w:t>
      </w:r>
      <w:r w:rsidR="00272232" w:rsidRPr="0043446A">
        <w:t xml:space="preserve"> from start date</w:t>
      </w:r>
      <w:r w:rsidRPr="0043446A">
        <w:t>)</w:t>
      </w:r>
    </w:p>
    <w:p w14:paraId="1025757C" w14:textId="77777777" w:rsidR="002139E7" w:rsidRPr="0043446A" w:rsidRDefault="002139E7" w:rsidP="00F95046">
      <w:pPr>
        <w:pStyle w:val="ListParagraph"/>
        <w:numPr>
          <w:ilvl w:val="2"/>
          <w:numId w:val="16"/>
        </w:numPr>
        <w:tabs>
          <w:tab w:val="right" w:leader="dot" w:pos="9360"/>
        </w:tabs>
        <w:ind w:left="1440"/>
      </w:pPr>
      <w:r w:rsidRPr="0043446A">
        <w:rPr>
          <w:lang w:eastAsia="ja-JP"/>
        </w:rPr>
        <w:t xml:space="preserve">Reminder email at 3 </w:t>
      </w:r>
      <w:r w:rsidR="000F4B0C" w:rsidRPr="0043446A">
        <w:rPr>
          <w:lang w:eastAsia="ja-JP"/>
        </w:rPr>
        <w:t xml:space="preserve">days </w:t>
      </w:r>
      <w:r w:rsidRPr="0043446A">
        <w:rPr>
          <w:lang w:eastAsia="ja-JP"/>
        </w:rPr>
        <w:t xml:space="preserve">after invitation if no response and 1 day before the interview </w:t>
      </w:r>
    </w:p>
    <w:p w14:paraId="1025757D" w14:textId="77777777" w:rsidR="002139E7" w:rsidRPr="0043446A" w:rsidRDefault="002139E7" w:rsidP="00F95046">
      <w:pPr>
        <w:pStyle w:val="ListParagraph"/>
        <w:numPr>
          <w:ilvl w:val="0"/>
          <w:numId w:val="16"/>
        </w:numPr>
        <w:tabs>
          <w:tab w:val="right" w:leader="dot" w:pos="9360"/>
        </w:tabs>
      </w:pPr>
      <w:r w:rsidRPr="0043446A">
        <w:t>Collect, code, quality control, and analyze data</w:t>
      </w:r>
      <w:r w:rsidRPr="0043446A">
        <w:tab/>
        <w:t>(2 weeks)</w:t>
      </w:r>
    </w:p>
    <w:p w14:paraId="1025757E" w14:textId="77777777" w:rsidR="002139E7" w:rsidRPr="0043446A" w:rsidRDefault="002139E7" w:rsidP="00F95046">
      <w:pPr>
        <w:pStyle w:val="ListParagraph"/>
        <w:numPr>
          <w:ilvl w:val="0"/>
          <w:numId w:val="16"/>
        </w:numPr>
        <w:tabs>
          <w:tab w:val="right" w:leader="dot" w:pos="9360"/>
        </w:tabs>
      </w:pPr>
      <w:r w:rsidRPr="0043446A">
        <w:t>Prepare report</w:t>
      </w:r>
      <w:r w:rsidRPr="0043446A">
        <w:tab/>
        <w:t>(2 weeks)</w:t>
      </w:r>
    </w:p>
    <w:p w14:paraId="1025757F" w14:textId="77777777" w:rsidR="000A71DF" w:rsidRPr="0043446A" w:rsidRDefault="002139E7" w:rsidP="00BA223D">
      <w:pPr>
        <w:pStyle w:val="ListParagraph"/>
        <w:numPr>
          <w:ilvl w:val="0"/>
          <w:numId w:val="16"/>
        </w:numPr>
        <w:tabs>
          <w:tab w:val="right" w:leader="dot" w:pos="9360"/>
        </w:tabs>
      </w:pPr>
      <w:r w:rsidRPr="0043446A">
        <w:t>Disseminate results/publication of findings</w:t>
      </w:r>
      <w:r w:rsidRPr="0043446A">
        <w:tab/>
        <w:t>(4 weeks)</w:t>
      </w:r>
    </w:p>
    <w:p w14:paraId="10257580" w14:textId="77777777" w:rsidR="00804802" w:rsidRPr="0043446A" w:rsidRDefault="00804802" w:rsidP="005D6F14"/>
    <w:p w14:paraId="10257581" w14:textId="77777777" w:rsidR="00B12F51" w:rsidRPr="0043446A" w:rsidRDefault="00D75750" w:rsidP="00CA5840">
      <w:pPr>
        <w:pStyle w:val="Heading4"/>
      </w:pPr>
      <w:r w:rsidRPr="0043446A">
        <w:t>Reason(s) Display of OMB Expiration Date is Inappropriate</w:t>
      </w:r>
    </w:p>
    <w:p w14:paraId="10257582" w14:textId="77777777" w:rsidR="00F52BCC" w:rsidRPr="0043446A" w:rsidRDefault="00180D45" w:rsidP="00843FB4">
      <w:pPr>
        <w:ind w:left="360"/>
      </w:pPr>
      <w:r w:rsidRPr="0043446A">
        <w:t>We are requesting no exemption.</w:t>
      </w:r>
    </w:p>
    <w:p w14:paraId="10257583" w14:textId="77777777" w:rsidR="00F52BCC" w:rsidRPr="0043446A" w:rsidRDefault="00F52BCC" w:rsidP="005D6F14"/>
    <w:p w14:paraId="10257584" w14:textId="77777777" w:rsidR="00B12F51" w:rsidRPr="0043446A" w:rsidRDefault="00B12F51" w:rsidP="00CA5840">
      <w:pPr>
        <w:pStyle w:val="Heading4"/>
      </w:pPr>
      <w:r w:rsidRPr="0043446A">
        <w:t>Exceptions to Certification for Paperwork Reduction Act Submissions</w:t>
      </w:r>
    </w:p>
    <w:p w14:paraId="10257585" w14:textId="77777777" w:rsidR="00F52BCC" w:rsidRPr="0043446A" w:rsidRDefault="0031279F" w:rsidP="00843FB4">
      <w:pPr>
        <w:ind w:left="360"/>
      </w:pPr>
      <w:r w:rsidRPr="0043446A">
        <w:t>There are no exceptions to the certification.</w:t>
      </w:r>
      <w:r w:rsidR="00180D45" w:rsidRPr="0043446A">
        <w:t xml:space="preserve">  These activities comply with the requirements in 5 CFR 1320.9.</w:t>
      </w:r>
    </w:p>
    <w:p w14:paraId="10257586" w14:textId="77777777" w:rsidR="00385BB5" w:rsidRPr="0043446A" w:rsidRDefault="00385BB5" w:rsidP="005D6F14"/>
    <w:p w14:paraId="10257587" w14:textId="77777777" w:rsidR="00A36419" w:rsidRPr="0043446A" w:rsidRDefault="00A36419" w:rsidP="00F95046">
      <w:pPr>
        <w:pStyle w:val="Heading3"/>
        <w:ind w:left="360"/>
      </w:pPr>
      <w:r w:rsidRPr="0043446A">
        <w:t>LIST OF ATTACHMENTS</w:t>
      </w:r>
      <w:r w:rsidR="00A33E90" w:rsidRPr="0043446A">
        <w:t xml:space="preserve"> – Section A</w:t>
      </w:r>
    </w:p>
    <w:p w14:paraId="10257588" w14:textId="77777777" w:rsidR="008F6490" w:rsidRPr="0043446A" w:rsidRDefault="00CD21E0" w:rsidP="00F95046">
      <w:pPr>
        <w:pStyle w:val="ListParagraph"/>
        <w:numPr>
          <w:ilvl w:val="0"/>
          <w:numId w:val="28"/>
        </w:numPr>
        <w:rPr>
          <w:b/>
        </w:rPr>
      </w:pPr>
      <w:r w:rsidRPr="0043446A">
        <w:rPr>
          <w:b/>
        </w:rPr>
        <w:t>Risk</w:t>
      </w:r>
      <w:r w:rsidR="00F95046" w:rsidRPr="0043446A">
        <w:rPr>
          <w:b/>
        </w:rPr>
        <w:t xml:space="preserve"> </w:t>
      </w:r>
      <w:r w:rsidRPr="0043446A">
        <w:rPr>
          <w:b/>
        </w:rPr>
        <w:t>by State Locality</w:t>
      </w:r>
    </w:p>
    <w:p w14:paraId="10257589" w14:textId="77777777" w:rsidR="00CC7188" w:rsidRPr="0043446A" w:rsidRDefault="00C66A01" w:rsidP="00F95046">
      <w:pPr>
        <w:pStyle w:val="ListParagraph"/>
        <w:numPr>
          <w:ilvl w:val="0"/>
          <w:numId w:val="28"/>
        </w:numPr>
        <w:rPr>
          <w:b/>
        </w:rPr>
      </w:pPr>
      <w:r w:rsidRPr="0043446A">
        <w:rPr>
          <w:b/>
        </w:rPr>
        <w:t>Interview</w:t>
      </w:r>
      <w:r w:rsidR="008F6490" w:rsidRPr="0043446A">
        <w:rPr>
          <w:b/>
        </w:rPr>
        <w:t xml:space="preserve"> Script </w:t>
      </w:r>
      <w:r w:rsidR="005852F0" w:rsidRPr="0043446A">
        <w:rPr>
          <w:b/>
        </w:rPr>
        <w:t>and Interview Guide</w:t>
      </w:r>
    </w:p>
    <w:p w14:paraId="1025758A" w14:textId="77777777" w:rsidR="00CC7188" w:rsidRPr="0043446A" w:rsidRDefault="00CC7188" w:rsidP="00F95046">
      <w:pPr>
        <w:ind w:left="360"/>
      </w:pPr>
    </w:p>
    <w:p w14:paraId="1025758B" w14:textId="77777777" w:rsidR="005F2795" w:rsidRPr="0043446A" w:rsidRDefault="00CC7188" w:rsidP="00F95046">
      <w:pPr>
        <w:ind w:left="360"/>
        <w:rPr>
          <w:b/>
          <w:sz w:val="28"/>
          <w:szCs w:val="28"/>
        </w:rPr>
      </w:pPr>
      <w:r w:rsidRPr="0043446A">
        <w:rPr>
          <w:b/>
          <w:sz w:val="28"/>
          <w:szCs w:val="28"/>
        </w:rPr>
        <w:t xml:space="preserve">REFERENCE LIST </w:t>
      </w:r>
    </w:p>
    <w:p w14:paraId="059D1F42" w14:textId="77777777" w:rsidR="00ED4455" w:rsidRPr="0043446A" w:rsidRDefault="00ED4455" w:rsidP="00ED4455">
      <w:pPr>
        <w:pStyle w:val="ListParagraph"/>
        <w:numPr>
          <w:ilvl w:val="0"/>
          <w:numId w:val="30"/>
        </w:numPr>
        <w:tabs>
          <w:tab w:val="clear" w:pos="9360"/>
        </w:tabs>
        <w:spacing w:before="120" w:line="240" w:lineRule="auto"/>
        <w:contextualSpacing w:val="0"/>
        <w:rPr>
          <w:rFonts w:eastAsia="Times New Roman" w:cs="Times New Roman"/>
        </w:rPr>
      </w:pPr>
      <w:r w:rsidRPr="0043446A">
        <w:rPr>
          <w:rStyle w:val="reference-text"/>
          <w:rFonts w:cs="Times New Roman"/>
          <w:lang w:val="en"/>
        </w:rPr>
        <w:t xml:space="preserve">Centers for Disease Control and Prevention (CDC). "National Public Health Performance Standards Program (NPHPSP): 10 Essential Public Health Services." </w:t>
      </w:r>
      <w:r w:rsidRPr="0043446A">
        <w:rPr>
          <w:rFonts w:cs="Times New Roman"/>
          <w:lang w:val="en"/>
        </w:rPr>
        <w:t xml:space="preserve">Available at </w:t>
      </w:r>
      <w:hyperlink r:id="rId15" w:history="1">
        <w:r w:rsidRPr="0043446A">
          <w:rPr>
            <w:rStyle w:val="Hyperlink"/>
            <w:rFonts w:cs="Times New Roman"/>
            <w:lang w:val="en"/>
          </w:rPr>
          <w:t>http://www.cdc.gov/nphpsp/essentialservices.html</w:t>
        </w:r>
      </w:hyperlink>
      <w:r w:rsidRPr="0043446A">
        <w:rPr>
          <w:rStyle w:val="reference-text"/>
          <w:rFonts w:cs="Times New Roman"/>
          <w:lang w:val="en"/>
        </w:rPr>
        <w:t>. Accessed on 8/14/14.</w:t>
      </w:r>
    </w:p>
    <w:p w14:paraId="1025758C" w14:textId="77777777" w:rsidR="00E60EFE" w:rsidRPr="0043446A" w:rsidRDefault="00E60EFE" w:rsidP="00E95FE0">
      <w:pPr>
        <w:pStyle w:val="BodyText"/>
        <w:numPr>
          <w:ilvl w:val="0"/>
          <w:numId w:val="30"/>
        </w:numPr>
        <w:spacing w:before="120"/>
        <w:rPr>
          <w:rFonts w:asciiTheme="majorHAnsi" w:hAnsiTheme="majorHAnsi"/>
          <w:szCs w:val="22"/>
        </w:rPr>
      </w:pPr>
      <w:r w:rsidRPr="0043446A">
        <w:rPr>
          <w:rFonts w:asciiTheme="majorHAnsi" w:hAnsiTheme="majorHAnsi"/>
          <w:szCs w:val="22"/>
        </w:rPr>
        <w:t>Meyer P, Brown MJ, Falk H.</w:t>
      </w:r>
      <w:r w:rsidR="007F3D74" w:rsidRPr="0043446A">
        <w:rPr>
          <w:rFonts w:asciiTheme="majorHAnsi" w:hAnsiTheme="majorHAnsi"/>
          <w:szCs w:val="22"/>
        </w:rPr>
        <w:t>2008</w:t>
      </w:r>
      <w:r w:rsidRPr="0043446A">
        <w:rPr>
          <w:rFonts w:asciiTheme="majorHAnsi" w:hAnsiTheme="majorHAnsi"/>
          <w:szCs w:val="22"/>
        </w:rPr>
        <w:t xml:space="preserve"> Global approaches to reducing lead exposure and poisoning. Mutation Research-Reviews in Mutation Research.  659:166-175.</w:t>
      </w:r>
    </w:p>
    <w:p w14:paraId="1025758E" w14:textId="77777777" w:rsidR="00C01033" w:rsidRPr="0043446A" w:rsidRDefault="00C01033" w:rsidP="00E95FE0">
      <w:pPr>
        <w:pStyle w:val="ListParagraph"/>
        <w:numPr>
          <w:ilvl w:val="0"/>
          <w:numId w:val="30"/>
        </w:numPr>
        <w:tabs>
          <w:tab w:val="clear" w:pos="9360"/>
        </w:tabs>
        <w:spacing w:before="120" w:line="240" w:lineRule="auto"/>
        <w:contextualSpacing w:val="0"/>
        <w:rPr>
          <w:rFonts w:eastAsia="Times New Roman" w:cs="Times New Roman"/>
        </w:rPr>
      </w:pPr>
      <w:r w:rsidRPr="0043446A">
        <w:rPr>
          <w:rFonts w:eastAsia="Times New Roman" w:cs="Times New Roman"/>
        </w:rPr>
        <w:t xml:space="preserve">CDC. 2013. CDC’s Healthy Homes/Lead Poisoning Prevention Program. </w:t>
      </w:r>
      <w:hyperlink r:id="rId16" w:history="1">
        <w:r w:rsidRPr="0043446A">
          <w:rPr>
            <w:rFonts w:eastAsia="Times New Roman" w:cs="Times New Roman"/>
            <w:color w:val="0000FF" w:themeColor="hyperlink"/>
            <w:u w:val="single"/>
          </w:rPr>
          <w:t>http://www.cdc.gov/nceh/information/healthy_homes_lead.htm. Accessed 12/04/2013</w:t>
        </w:r>
      </w:hyperlink>
      <w:r w:rsidRPr="0043446A">
        <w:rPr>
          <w:rFonts w:eastAsia="Times New Roman" w:cs="Times New Roman"/>
        </w:rPr>
        <w:t>.</w:t>
      </w:r>
    </w:p>
    <w:p w14:paraId="10257590" w14:textId="77777777" w:rsidR="00C01033" w:rsidRPr="0043446A" w:rsidRDefault="00C01033" w:rsidP="00E95FE0">
      <w:pPr>
        <w:pStyle w:val="ListParagraph"/>
        <w:numPr>
          <w:ilvl w:val="0"/>
          <w:numId w:val="30"/>
        </w:numPr>
        <w:tabs>
          <w:tab w:val="clear" w:pos="9360"/>
          <w:tab w:val="left" w:pos="360"/>
          <w:tab w:val="left" w:pos="1584"/>
        </w:tabs>
        <w:spacing w:before="120" w:line="240" w:lineRule="auto"/>
        <w:contextualSpacing w:val="0"/>
        <w:rPr>
          <w:rFonts w:cs="Times New Roman"/>
        </w:rPr>
      </w:pPr>
      <w:r w:rsidRPr="0043446A">
        <w:rPr>
          <w:rFonts w:cs="Times New Roman"/>
        </w:rPr>
        <w:t>Wheeler W and Brown  MJ. 2013 Blood lead levels in children aged 1-5 years— United States, 1999-2010. MMWR  April 5, 2013 / 62(13):245-248.</w:t>
      </w:r>
    </w:p>
    <w:p w14:paraId="10257592" w14:textId="77777777" w:rsidR="00C01033" w:rsidRPr="0043446A" w:rsidRDefault="00C01033" w:rsidP="00E95FE0">
      <w:pPr>
        <w:pStyle w:val="ListParagraph"/>
        <w:numPr>
          <w:ilvl w:val="0"/>
          <w:numId w:val="30"/>
        </w:numPr>
        <w:spacing w:before="120" w:line="240" w:lineRule="auto"/>
        <w:contextualSpacing w:val="0"/>
        <w:rPr>
          <w:rFonts w:cs="Times New Roman"/>
          <w:noProof/>
        </w:rPr>
      </w:pPr>
      <w:bookmarkStart w:id="0" w:name="_ENREF_13"/>
      <w:r w:rsidRPr="0043446A">
        <w:rPr>
          <w:rFonts w:cs="Times New Roman"/>
          <w:noProof/>
        </w:rPr>
        <w:t xml:space="preserve">Grosse SD, Matte TD, Schwartz J, Jackson RJ. 2002. Economic gains resulting from the </w:t>
      </w:r>
    </w:p>
    <w:p w14:paraId="10257593" w14:textId="77777777" w:rsidR="00C01033" w:rsidRPr="0043446A" w:rsidRDefault="00C01033" w:rsidP="00E95FE0">
      <w:pPr>
        <w:pStyle w:val="ListParagraph"/>
        <w:spacing w:before="120" w:line="240" w:lineRule="auto"/>
        <w:contextualSpacing w:val="0"/>
        <w:rPr>
          <w:rFonts w:cs="Times New Roman"/>
          <w:noProof/>
        </w:rPr>
      </w:pPr>
      <w:r w:rsidRPr="0043446A">
        <w:rPr>
          <w:rFonts w:cs="Times New Roman"/>
          <w:noProof/>
        </w:rPr>
        <w:t>reduction in children's exposure to lead in the united states. Environ Health Persp 110:563-569.</w:t>
      </w:r>
      <w:bookmarkEnd w:id="0"/>
    </w:p>
    <w:p w14:paraId="10257595" w14:textId="77777777" w:rsidR="00C01033" w:rsidRPr="0043446A" w:rsidRDefault="00C01033" w:rsidP="00E95FE0">
      <w:pPr>
        <w:pStyle w:val="BodyText"/>
        <w:numPr>
          <w:ilvl w:val="0"/>
          <w:numId w:val="30"/>
        </w:numPr>
        <w:tabs>
          <w:tab w:val="left" w:pos="360"/>
        </w:tabs>
        <w:spacing w:before="120"/>
        <w:rPr>
          <w:rFonts w:asciiTheme="majorHAnsi" w:hAnsiTheme="majorHAnsi"/>
          <w:szCs w:val="22"/>
        </w:rPr>
      </w:pPr>
      <w:r w:rsidRPr="0043446A">
        <w:rPr>
          <w:rFonts w:asciiTheme="majorHAnsi" w:hAnsiTheme="majorHAnsi"/>
          <w:szCs w:val="22"/>
        </w:rPr>
        <w:t xml:space="preserve">Brown MJ, Gardner J, Sargent J, Swartz K, Hu H, and </w:t>
      </w:r>
      <w:proofErr w:type="spellStart"/>
      <w:r w:rsidRPr="0043446A">
        <w:rPr>
          <w:rFonts w:asciiTheme="majorHAnsi" w:hAnsiTheme="majorHAnsi"/>
          <w:szCs w:val="22"/>
        </w:rPr>
        <w:t>Timperi</w:t>
      </w:r>
      <w:proofErr w:type="spellEnd"/>
      <w:r w:rsidRPr="0043446A">
        <w:rPr>
          <w:rFonts w:asciiTheme="majorHAnsi" w:hAnsiTheme="majorHAnsi"/>
          <w:szCs w:val="22"/>
        </w:rPr>
        <w:t xml:space="preserve"> R. 2001 Effectiveness of Housing Policies to Reduce Children’s Lead Exposure. AJPH, 91:621-624. </w:t>
      </w:r>
    </w:p>
    <w:p w14:paraId="10257597" w14:textId="77777777" w:rsidR="00C01033" w:rsidRPr="0043446A" w:rsidRDefault="00C01033" w:rsidP="00E95FE0">
      <w:pPr>
        <w:pStyle w:val="BodyText"/>
        <w:numPr>
          <w:ilvl w:val="0"/>
          <w:numId w:val="30"/>
        </w:numPr>
        <w:tabs>
          <w:tab w:val="left" w:pos="360"/>
        </w:tabs>
        <w:spacing w:before="120"/>
        <w:rPr>
          <w:rFonts w:asciiTheme="majorHAnsi" w:hAnsiTheme="majorHAnsi"/>
          <w:szCs w:val="22"/>
        </w:rPr>
      </w:pPr>
      <w:r w:rsidRPr="0043446A">
        <w:rPr>
          <w:rFonts w:asciiTheme="majorHAnsi" w:hAnsiTheme="majorHAnsi"/>
          <w:szCs w:val="22"/>
        </w:rPr>
        <w:lastRenderedPageBreak/>
        <w:t>Brown MJ. 2002 Costs and Benefits of Enforcing Housing Policies to Prevent Childhood Lead Poisoning. Medical Decision Making, 22:482-492</w:t>
      </w:r>
    </w:p>
    <w:p w14:paraId="10257599" w14:textId="77777777" w:rsidR="00486538" w:rsidRPr="0043446A" w:rsidRDefault="00486538" w:rsidP="00E95FE0">
      <w:pPr>
        <w:pStyle w:val="ListParagraph"/>
        <w:numPr>
          <w:ilvl w:val="0"/>
          <w:numId w:val="30"/>
        </w:numPr>
        <w:tabs>
          <w:tab w:val="clear" w:pos="9360"/>
        </w:tabs>
        <w:spacing w:before="120" w:line="240" w:lineRule="auto"/>
        <w:contextualSpacing w:val="0"/>
        <w:rPr>
          <w:rFonts w:eastAsia="Times New Roman" w:cs="Times New Roman"/>
        </w:rPr>
      </w:pPr>
      <w:r w:rsidRPr="0043446A">
        <w:rPr>
          <w:rFonts w:eastAsia="Times New Roman" w:cs="Times New Roman"/>
        </w:rPr>
        <w:t xml:space="preserve">National Prevention, Health Promotion and Public Health Council. 2011. National Prevention Strategy: America’s Plan for Better Health and Wellness. June 16, 2011. </w:t>
      </w:r>
      <w:r w:rsidR="007F3D74" w:rsidRPr="0043446A">
        <w:rPr>
          <w:rFonts w:eastAsia="Times New Roman" w:cs="Times New Roman"/>
        </w:rPr>
        <w:t xml:space="preserve">Available at </w:t>
      </w:r>
      <w:hyperlink r:id="rId17" w:history="1">
        <w:r w:rsidRPr="0043446A">
          <w:rPr>
            <w:rFonts w:eastAsia="Times New Roman" w:cs="Times New Roman"/>
            <w:color w:val="0000FF" w:themeColor="hyperlink"/>
            <w:u w:val="single"/>
          </w:rPr>
          <w:t>http://www.surgeongeneral.gov/initiatives/prevention/strategy/report.pdf</w:t>
        </w:r>
      </w:hyperlink>
      <w:r w:rsidRPr="0043446A">
        <w:rPr>
          <w:rFonts w:eastAsia="Times New Roman" w:cs="Times New Roman"/>
        </w:rPr>
        <w:t>. Accessed: 09/29/2013.</w:t>
      </w:r>
    </w:p>
    <w:p w14:paraId="5BF70282" w14:textId="77777777" w:rsidR="00E95FE0" w:rsidRPr="0043446A" w:rsidRDefault="00C01033" w:rsidP="00E95FE0">
      <w:pPr>
        <w:pStyle w:val="ListParagraph"/>
        <w:numPr>
          <w:ilvl w:val="0"/>
          <w:numId w:val="30"/>
        </w:numPr>
        <w:tabs>
          <w:tab w:val="clear" w:pos="9360"/>
        </w:tabs>
        <w:spacing w:before="120" w:line="240" w:lineRule="auto"/>
        <w:contextualSpacing w:val="0"/>
        <w:rPr>
          <w:rFonts w:eastAsia="Times New Roman" w:cs="Times New Roman"/>
        </w:rPr>
      </w:pPr>
      <w:r w:rsidRPr="0043446A">
        <w:rPr>
          <w:rFonts w:cs="Times New Roman"/>
          <w:lang w:val="en"/>
        </w:rPr>
        <w:t xml:space="preserve">Lead Contamination Control Act of 1988. Available at </w:t>
      </w:r>
      <w:hyperlink r:id="rId18" w:history="1">
        <w:r w:rsidRPr="0043446A">
          <w:rPr>
            <w:rStyle w:val="Hyperlink"/>
            <w:rFonts w:cs="Times New Roman"/>
            <w:lang w:val="en"/>
          </w:rPr>
          <w:t>http://www2.epa.gov/aboutepa/lead-contamination-control-and-asbestos-information-acts-1988</w:t>
        </w:r>
      </w:hyperlink>
      <w:r w:rsidRPr="0043446A">
        <w:rPr>
          <w:rFonts w:cs="Times New Roman"/>
          <w:lang w:val="en"/>
        </w:rPr>
        <w:t>.  Accessed 6/12/2013.</w:t>
      </w:r>
    </w:p>
    <w:p w14:paraId="1025759E" w14:textId="43B5E923" w:rsidR="00CC7188" w:rsidRPr="0043446A" w:rsidRDefault="007E32F9" w:rsidP="00E95FE0">
      <w:pPr>
        <w:pStyle w:val="ListParagraph"/>
        <w:numPr>
          <w:ilvl w:val="0"/>
          <w:numId w:val="30"/>
        </w:numPr>
        <w:tabs>
          <w:tab w:val="clear" w:pos="9360"/>
        </w:tabs>
        <w:spacing w:before="120" w:line="240" w:lineRule="auto"/>
        <w:contextualSpacing w:val="0"/>
        <w:rPr>
          <w:rFonts w:eastAsia="Times New Roman" w:cs="Times New Roman"/>
        </w:rPr>
      </w:pPr>
      <w:r w:rsidRPr="0043446A">
        <w:rPr>
          <w:rFonts w:eastAsia="Times New Roman" w:cs="Times New Roman"/>
        </w:rPr>
        <w:t>The Access Project</w:t>
      </w:r>
      <w:r w:rsidR="007F3D74" w:rsidRPr="0043446A">
        <w:rPr>
          <w:rFonts w:eastAsia="Times New Roman" w:cs="Times New Roman"/>
        </w:rPr>
        <w:t xml:space="preserve"> 1999 Getting the Lay of the Land on Health: A guide for Using Interviews for Gathering Data on Health.  Available at </w:t>
      </w:r>
      <w:hyperlink r:id="rId19" w:history="1">
        <w:r w:rsidR="007F3D74" w:rsidRPr="0043446A">
          <w:rPr>
            <w:rStyle w:val="Hyperlink"/>
            <w:rFonts w:eastAsia="Times New Roman" w:cs="Times New Roman"/>
          </w:rPr>
          <w:t>http://www.accessproject.org/adobe/getting_the_lay_of_the_land_on_health</w:t>
        </w:r>
      </w:hyperlink>
      <w:r w:rsidR="007F3D74" w:rsidRPr="0043446A">
        <w:rPr>
          <w:rFonts w:eastAsia="Times New Roman" w:cs="Times New Roman"/>
        </w:rPr>
        <w:t xml:space="preserve"> Accessed 06-16-2014.</w:t>
      </w:r>
      <w:bookmarkStart w:id="1" w:name="_GoBack"/>
      <w:bookmarkEnd w:id="1"/>
    </w:p>
    <w:sectPr w:rsidR="00CC7188" w:rsidRPr="0043446A" w:rsidSect="00385BB5">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575A3" w14:textId="77777777" w:rsidR="000749CC" w:rsidRDefault="000749CC" w:rsidP="007D6163">
      <w:r>
        <w:separator/>
      </w:r>
    </w:p>
    <w:p w14:paraId="102575A4" w14:textId="77777777" w:rsidR="000749CC" w:rsidRDefault="000749CC" w:rsidP="007D6163"/>
  </w:endnote>
  <w:endnote w:type="continuationSeparator" w:id="0">
    <w:p w14:paraId="102575A5" w14:textId="77777777" w:rsidR="000749CC" w:rsidRDefault="000749CC" w:rsidP="007D6163">
      <w:r>
        <w:continuationSeparator/>
      </w:r>
    </w:p>
    <w:p w14:paraId="102575A6" w14:textId="77777777" w:rsidR="000749CC" w:rsidRDefault="000749CC"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17662"/>
      <w:docPartObj>
        <w:docPartGallery w:val="Page Numbers (Bottom of Page)"/>
        <w:docPartUnique/>
      </w:docPartObj>
    </w:sdtPr>
    <w:sdtEndPr/>
    <w:sdtContent>
      <w:sdt>
        <w:sdtPr>
          <w:id w:val="860082579"/>
          <w:docPartObj>
            <w:docPartGallery w:val="Page Numbers (Top of Page)"/>
            <w:docPartUnique/>
          </w:docPartObj>
        </w:sdtPr>
        <w:sdtEndPr/>
        <w:sdtContent>
          <w:p w14:paraId="102575A7" w14:textId="77777777" w:rsidR="00804802" w:rsidRDefault="008048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3446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446A">
              <w:rPr>
                <w:b/>
                <w:bCs/>
                <w:noProof/>
              </w:rPr>
              <w:t>10</w:t>
            </w:r>
            <w:r>
              <w:rPr>
                <w:b/>
                <w:bCs/>
                <w:sz w:val="24"/>
                <w:szCs w:val="24"/>
              </w:rPr>
              <w:fldChar w:fldCharType="end"/>
            </w:r>
          </w:p>
        </w:sdtContent>
      </w:sdt>
    </w:sdtContent>
  </w:sdt>
  <w:p w14:paraId="102575A8" w14:textId="77777777" w:rsidR="00804802" w:rsidRDefault="00804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5759F" w14:textId="77777777" w:rsidR="000749CC" w:rsidRDefault="000749CC" w:rsidP="007D6163">
      <w:r>
        <w:separator/>
      </w:r>
    </w:p>
    <w:p w14:paraId="102575A0" w14:textId="77777777" w:rsidR="000749CC" w:rsidRDefault="000749CC" w:rsidP="007D6163"/>
  </w:footnote>
  <w:footnote w:type="continuationSeparator" w:id="0">
    <w:p w14:paraId="102575A1" w14:textId="77777777" w:rsidR="000749CC" w:rsidRDefault="000749CC" w:rsidP="007D6163">
      <w:r>
        <w:continuationSeparator/>
      </w:r>
    </w:p>
    <w:p w14:paraId="102575A2" w14:textId="77777777" w:rsidR="000749CC" w:rsidRDefault="000749CC" w:rsidP="007D616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820C89"/>
    <w:multiLevelType w:val="hybridMultilevel"/>
    <w:tmpl w:val="45124F36"/>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26EEB"/>
    <w:multiLevelType w:val="hybridMultilevel"/>
    <w:tmpl w:val="F9D28632"/>
    <w:lvl w:ilvl="0" w:tplc="C01E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C912079"/>
    <w:multiLevelType w:val="hybridMultilevel"/>
    <w:tmpl w:val="98BE3E64"/>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D54F3D"/>
    <w:multiLevelType w:val="hybridMultilevel"/>
    <w:tmpl w:val="4BB0166A"/>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3B31B9"/>
    <w:multiLevelType w:val="hybridMultilevel"/>
    <w:tmpl w:val="9AE248CE"/>
    <w:lvl w:ilvl="0" w:tplc="D9BC9B6C">
      <w:numFmt w:val="bullet"/>
      <w:lvlText w:val="•"/>
      <w:lvlJc w:val="left"/>
      <w:pPr>
        <w:ind w:left="1440" w:hanging="360"/>
      </w:pPr>
      <w:rPr>
        <w:rFonts w:ascii="Arial" w:eastAsia="Calibr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F0FA1"/>
    <w:multiLevelType w:val="hybridMultilevel"/>
    <w:tmpl w:val="CD7EE5DC"/>
    <w:lvl w:ilvl="0" w:tplc="EB4EA1E2">
      <w:start w:val="1"/>
      <w:numFmt w:val="decimal"/>
      <w:pStyle w:val="Heading4"/>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6225D0"/>
    <w:multiLevelType w:val="singleLevel"/>
    <w:tmpl w:val="728E55FC"/>
    <w:lvl w:ilvl="0">
      <w:start w:val="1"/>
      <w:numFmt w:val="decimal"/>
      <w:lvlText w:val="%1."/>
      <w:lvlJc w:val="left"/>
      <w:pPr>
        <w:tabs>
          <w:tab w:val="num" w:pos="360"/>
        </w:tabs>
        <w:ind w:left="360" w:hanging="360"/>
      </w:pPr>
      <w:rPr>
        <w:rFonts w:hint="default"/>
        <w:b w:val="0"/>
        <w:i w:val="0"/>
      </w:rPr>
    </w:lvl>
  </w:abstractNum>
  <w:abstractNum w:abstractNumId="18">
    <w:nsid w:val="4F1B71E2"/>
    <w:multiLevelType w:val="hybridMultilevel"/>
    <w:tmpl w:val="90F0DDCA"/>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3334E4"/>
    <w:multiLevelType w:val="hybridMultilevel"/>
    <w:tmpl w:val="ABF42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085E24"/>
    <w:multiLevelType w:val="hybridMultilevel"/>
    <w:tmpl w:val="696E2350"/>
    <w:lvl w:ilvl="0" w:tplc="0A304726">
      <w:start w:val="21"/>
      <w:numFmt w:val="decimal"/>
      <w:lvlText w:val="%1."/>
      <w:lvlJc w:val="left"/>
      <w:pPr>
        <w:tabs>
          <w:tab w:val="num" w:pos="2880"/>
        </w:tabs>
        <w:ind w:left="288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0"/>
  </w:num>
  <w:num w:numId="4">
    <w:abstractNumId w:val="13"/>
  </w:num>
  <w:num w:numId="5">
    <w:abstractNumId w:val="19"/>
  </w:num>
  <w:num w:numId="6">
    <w:abstractNumId w:val="9"/>
  </w:num>
  <w:num w:numId="7">
    <w:abstractNumId w:val="0"/>
  </w:num>
  <w:num w:numId="8">
    <w:abstractNumId w:val="5"/>
  </w:num>
  <w:num w:numId="9">
    <w:abstractNumId w:val="11"/>
  </w:num>
  <w:num w:numId="10">
    <w:abstractNumId w:val="23"/>
  </w:num>
  <w:num w:numId="11">
    <w:abstractNumId w:val="2"/>
  </w:num>
  <w:num w:numId="12">
    <w:abstractNumId w:val="29"/>
  </w:num>
  <w:num w:numId="13">
    <w:abstractNumId w:val="7"/>
  </w:num>
  <w:num w:numId="14">
    <w:abstractNumId w:val="3"/>
  </w:num>
  <w:num w:numId="15">
    <w:abstractNumId w:val="25"/>
  </w:num>
  <w:num w:numId="16">
    <w:abstractNumId w:val="26"/>
  </w:num>
  <w:num w:numId="17">
    <w:abstractNumId w:val="28"/>
  </w:num>
  <w:num w:numId="18">
    <w:abstractNumId w:val="15"/>
  </w:num>
  <w:num w:numId="19">
    <w:abstractNumId w:val="31"/>
  </w:num>
  <w:num w:numId="20">
    <w:abstractNumId w:val="21"/>
  </w:num>
  <w:num w:numId="21">
    <w:abstractNumId w:val="24"/>
  </w:num>
  <w:num w:numId="22">
    <w:abstractNumId w:val="20"/>
  </w:num>
  <w:num w:numId="23">
    <w:abstractNumId w:val="6"/>
  </w:num>
  <w:num w:numId="24">
    <w:abstractNumId w:val="22"/>
  </w:num>
  <w:num w:numId="25">
    <w:abstractNumId w:val="10"/>
  </w:num>
  <w:num w:numId="26">
    <w:abstractNumId w:val="17"/>
  </w:num>
  <w:num w:numId="27">
    <w:abstractNumId w:val="27"/>
  </w:num>
  <w:num w:numId="28">
    <w:abstractNumId w:val="18"/>
  </w:num>
  <w:num w:numId="29">
    <w:abstractNumId w:val="4"/>
  </w:num>
  <w:num w:numId="30">
    <w:abstractNumId w:val="8"/>
  </w:num>
  <w:num w:numId="31">
    <w:abstractNumId w:val="1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2EFE"/>
    <w:rsid w:val="00011A98"/>
    <w:rsid w:val="00011F8D"/>
    <w:rsid w:val="000130B4"/>
    <w:rsid w:val="00014361"/>
    <w:rsid w:val="000246D5"/>
    <w:rsid w:val="0004074A"/>
    <w:rsid w:val="00044399"/>
    <w:rsid w:val="000474FB"/>
    <w:rsid w:val="00053A92"/>
    <w:rsid w:val="00054839"/>
    <w:rsid w:val="00057F36"/>
    <w:rsid w:val="000659B9"/>
    <w:rsid w:val="000749CC"/>
    <w:rsid w:val="00080C5E"/>
    <w:rsid w:val="00083FD5"/>
    <w:rsid w:val="0008784E"/>
    <w:rsid w:val="0009555F"/>
    <w:rsid w:val="000A1F30"/>
    <w:rsid w:val="000A2D0C"/>
    <w:rsid w:val="000A71DF"/>
    <w:rsid w:val="000B0962"/>
    <w:rsid w:val="000B2CBC"/>
    <w:rsid w:val="000D43D5"/>
    <w:rsid w:val="000E6577"/>
    <w:rsid w:val="000E7A19"/>
    <w:rsid w:val="000F0E56"/>
    <w:rsid w:val="000F4B0C"/>
    <w:rsid w:val="00104A1B"/>
    <w:rsid w:val="00111082"/>
    <w:rsid w:val="001177DD"/>
    <w:rsid w:val="00125A5A"/>
    <w:rsid w:val="00133D2A"/>
    <w:rsid w:val="00135334"/>
    <w:rsid w:val="001412D4"/>
    <w:rsid w:val="00144F64"/>
    <w:rsid w:val="00145D62"/>
    <w:rsid w:val="00151567"/>
    <w:rsid w:val="00163E17"/>
    <w:rsid w:val="00166768"/>
    <w:rsid w:val="00166F9E"/>
    <w:rsid w:val="00167880"/>
    <w:rsid w:val="00180D45"/>
    <w:rsid w:val="00187870"/>
    <w:rsid w:val="00187D5A"/>
    <w:rsid w:val="001953DE"/>
    <w:rsid w:val="001972D7"/>
    <w:rsid w:val="001A28F6"/>
    <w:rsid w:val="001A613E"/>
    <w:rsid w:val="001A6BED"/>
    <w:rsid w:val="001B2831"/>
    <w:rsid w:val="001B4065"/>
    <w:rsid w:val="001C0493"/>
    <w:rsid w:val="001C28AD"/>
    <w:rsid w:val="001D7FCB"/>
    <w:rsid w:val="001E2B99"/>
    <w:rsid w:val="001E69B6"/>
    <w:rsid w:val="001F4DBB"/>
    <w:rsid w:val="00202D07"/>
    <w:rsid w:val="0020312D"/>
    <w:rsid w:val="00203747"/>
    <w:rsid w:val="00206E33"/>
    <w:rsid w:val="00210519"/>
    <w:rsid w:val="002139E7"/>
    <w:rsid w:val="00223595"/>
    <w:rsid w:val="00227259"/>
    <w:rsid w:val="002336D4"/>
    <w:rsid w:val="00233776"/>
    <w:rsid w:val="00241B17"/>
    <w:rsid w:val="00241C81"/>
    <w:rsid w:val="00244557"/>
    <w:rsid w:val="00245640"/>
    <w:rsid w:val="00256F07"/>
    <w:rsid w:val="00257A1C"/>
    <w:rsid w:val="00265A2F"/>
    <w:rsid w:val="00272232"/>
    <w:rsid w:val="0027234C"/>
    <w:rsid w:val="00281795"/>
    <w:rsid w:val="002850E3"/>
    <w:rsid w:val="00287E2F"/>
    <w:rsid w:val="0029157E"/>
    <w:rsid w:val="002946DD"/>
    <w:rsid w:val="002975B1"/>
    <w:rsid w:val="002A1948"/>
    <w:rsid w:val="002A38CF"/>
    <w:rsid w:val="002C0877"/>
    <w:rsid w:val="002C2AE2"/>
    <w:rsid w:val="002D0DCE"/>
    <w:rsid w:val="002D1C7C"/>
    <w:rsid w:val="002D7857"/>
    <w:rsid w:val="002E2B10"/>
    <w:rsid w:val="002E37AD"/>
    <w:rsid w:val="002E51D8"/>
    <w:rsid w:val="002E6DEF"/>
    <w:rsid w:val="002E73B0"/>
    <w:rsid w:val="002F1502"/>
    <w:rsid w:val="002F2069"/>
    <w:rsid w:val="002F71A2"/>
    <w:rsid w:val="003041AD"/>
    <w:rsid w:val="00312281"/>
    <w:rsid w:val="0031279F"/>
    <w:rsid w:val="00316F00"/>
    <w:rsid w:val="00321B51"/>
    <w:rsid w:val="003278A4"/>
    <w:rsid w:val="00336D96"/>
    <w:rsid w:val="003370C8"/>
    <w:rsid w:val="00344F07"/>
    <w:rsid w:val="003469C8"/>
    <w:rsid w:val="00350C8C"/>
    <w:rsid w:val="00355EA4"/>
    <w:rsid w:val="0036032C"/>
    <w:rsid w:val="003635BE"/>
    <w:rsid w:val="00365045"/>
    <w:rsid w:val="003664B9"/>
    <w:rsid w:val="00366B5E"/>
    <w:rsid w:val="00385BB5"/>
    <w:rsid w:val="00385C4A"/>
    <w:rsid w:val="00386BC2"/>
    <w:rsid w:val="003A7D8B"/>
    <w:rsid w:val="003B081D"/>
    <w:rsid w:val="003B125E"/>
    <w:rsid w:val="003B2200"/>
    <w:rsid w:val="003C31C9"/>
    <w:rsid w:val="003C4961"/>
    <w:rsid w:val="003C7C5D"/>
    <w:rsid w:val="003D0AD2"/>
    <w:rsid w:val="003D2B17"/>
    <w:rsid w:val="003D4DF0"/>
    <w:rsid w:val="003F2812"/>
    <w:rsid w:val="003F5913"/>
    <w:rsid w:val="004024F8"/>
    <w:rsid w:val="00405696"/>
    <w:rsid w:val="0041159A"/>
    <w:rsid w:val="00413DF2"/>
    <w:rsid w:val="004305A8"/>
    <w:rsid w:val="00432152"/>
    <w:rsid w:val="0043229B"/>
    <w:rsid w:val="0043446A"/>
    <w:rsid w:val="004353D5"/>
    <w:rsid w:val="00443CA0"/>
    <w:rsid w:val="00450E14"/>
    <w:rsid w:val="00462C65"/>
    <w:rsid w:val="004674E7"/>
    <w:rsid w:val="00467B14"/>
    <w:rsid w:val="00474EDA"/>
    <w:rsid w:val="004824FA"/>
    <w:rsid w:val="00484011"/>
    <w:rsid w:val="004841F1"/>
    <w:rsid w:val="00486538"/>
    <w:rsid w:val="00486B68"/>
    <w:rsid w:val="00493EFB"/>
    <w:rsid w:val="004A1E3A"/>
    <w:rsid w:val="004B46D6"/>
    <w:rsid w:val="004B49E5"/>
    <w:rsid w:val="004B7A9F"/>
    <w:rsid w:val="004C094B"/>
    <w:rsid w:val="004C0B2F"/>
    <w:rsid w:val="004C0BF6"/>
    <w:rsid w:val="004C4464"/>
    <w:rsid w:val="004C4AEA"/>
    <w:rsid w:val="004C76E6"/>
    <w:rsid w:val="004D029F"/>
    <w:rsid w:val="004D0430"/>
    <w:rsid w:val="004D1DAA"/>
    <w:rsid w:val="004D4EB1"/>
    <w:rsid w:val="004E003C"/>
    <w:rsid w:val="004E16EB"/>
    <w:rsid w:val="004E6665"/>
    <w:rsid w:val="004E7E93"/>
    <w:rsid w:val="004F07BF"/>
    <w:rsid w:val="004F634E"/>
    <w:rsid w:val="004F67A8"/>
    <w:rsid w:val="005070F6"/>
    <w:rsid w:val="005115FA"/>
    <w:rsid w:val="0051582C"/>
    <w:rsid w:val="00516141"/>
    <w:rsid w:val="00522A50"/>
    <w:rsid w:val="00525E61"/>
    <w:rsid w:val="00527225"/>
    <w:rsid w:val="0053557D"/>
    <w:rsid w:val="005410E3"/>
    <w:rsid w:val="00542966"/>
    <w:rsid w:val="005463DE"/>
    <w:rsid w:val="00546DC2"/>
    <w:rsid w:val="005506CE"/>
    <w:rsid w:val="0055149D"/>
    <w:rsid w:val="00551DF3"/>
    <w:rsid w:val="005542E8"/>
    <w:rsid w:val="00556275"/>
    <w:rsid w:val="00556630"/>
    <w:rsid w:val="0055686D"/>
    <w:rsid w:val="005578BA"/>
    <w:rsid w:val="005800EE"/>
    <w:rsid w:val="005852F0"/>
    <w:rsid w:val="005869D6"/>
    <w:rsid w:val="0059331E"/>
    <w:rsid w:val="00594619"/>
    <w:rsid w:val="005970A4"/>
    <w:rsid w:val="005A33F6"/>
    <w:rsid w:val="005A59E5"/>
    <w:rsid w:val="005B7440"/>
    <w:rsid w:val="005C0B19"/>
    <w:rsid w:val="005C5A06"/>
    <w:rsid w:val="005D6F14"/>
    <w:rsid w:val="005E2150"/>
    <w:rsid w:val="005E2995"/>
    <w:rsid w:val="005E54CD"/>
    <w:rsid w:val="005F2795"/>
    <w:rsid w:val="005F3FEF"/>
    <w:rsid w:val="00600C4F"/>
    <w:rsid w:val="0060287B"/>
    <w:rsid w:val="00607F7C"/>
    <w:rsid w:val="006102DA"/>
    <w:rsid w:val="00616090"/>
    <w:rsid w:val="00630F51"/>
    <w:rsid w:val="006315A3"/>
    <w:rsid w:val="00633709"/>
    <w:rsid w:val="00642508"/>
    <w:rsid w:val="00650AFA"/>
    <w:rsid w:val="00651543"/>
    <w:rsid w:val="006579A2"/>
    <w:rsid w:val="00667C89"/>
    <w:rsid w:val="006711EE"/>
    <w:rsid w:val="006714F5"/>
    <w:rsid w:val="006809BB"/>
    <w:rsid w:val="006809FD"/>
    <w:rsid w:val="00682CB3"/>
    <w:rsid w:val="00691D1F"/>
    <w:rsid w:val="00697BAE"/>
    <w:rsid w:val="006B4DDC"/>
    <w:rsid w:val="006B5E55"/>
    <w:rsid w:val="006C4DA7"/>
    <w:rsid w:val="006D1EC3"/>
    <w:rsid w:val="006D2523"/>
    <w:rsid w:val="006D25A1"/>
    <w:rsid w:val="006E14E9"/>
    <w:rsid w:val="006E7E80"/>
    <w:rsid w:val="006F09A2"/>
    <w:rsid w:val="006F6856"/>
    <w:rsid w:val="007106CB"/>
    <w:rsid w:val="007145D0"/>
    <w:rsid w:val="00716F94"/>
    <w:rsid w:val="007226EE"/>
    <w:rsid w:val="00725E0B"/>
    <w:rsid w:val="00735EEB"/>
    <w:rsid w:val="00740523"/>
    <w:rsid w:val="00742521"/>
    <w:rsid w:val="00751575"/>
    <w:rsid w:val="0075188E"/>
    <w:rsid w:val="0076001C"/>
    <w:rsid w:val="00760E12"/>
    <w:rsid w:val="00763CF3"/>
    <w:rsid w:val="007658D5"/>
    <w:rsid w:val="00772293"/>
    <w:rsid w:val="00775868"/>
    <w:rsid w:val="00776981"/>
    <w:rsid w:val="00781AE3"/>
    <w:rsid w:val="00783C75"/>
    <w:rsid w:val="00784619"/>
    <w:rsid w:val="00785DD6"/>
    <w:rsid w:val="0078627B"/>
    <w:rsid w:val="00787374"/>
    <w:rsid w:val="0078765B"/>
    <w:rsid w:val="00793874"/>
    <w:rsid w:val="00794E32"/>
    <w:rsid w:val="007A0C05"/>
    <w:rsid w:val="007A0D73"/>
    <w:rsid w:val="007A2860"/>
    <w:rsid w:val="007B305A"/>
    <w:rsid w:val="007D6163"/>
    <w:rsid w:val="007E32F9"/>
    <w:rsid w:val="007E3753"/>
    <w:rsid w:val="007E575D"/>
    <w:rsid w:val="007E57CD"/>
    <w:rsid w:val="007E6AEF"/>
    <w:rsid w:val="007F3A3D"/>
    <w:rsid w:val="007F3D74"/>
    <w:rsid w:val="0080224E"/>
    <w:rsid w:val="008022FF"/>
    <w:rsid w:val="00804802"/>
    <w:rsid w:val="00815C7D"/>
    <w:rsid w:val="00817941"/>
    <w:rsid w:val="008229E4"/>
    <w:rsid w:val="00823547"/>
    <w:rsid w:val="008261AB"/>
    <w:rsid w:val="008269AB"/>
    <w:rsid w:val="00827892"/>
    <w:rsid w:val="00834C91"/>
    <w:rsid w:val="00835CA7"/>
    <w:rsid w:val="008370D4"/>
    <w:rsid w:val="008414AD"/>
    <w:rsid w:val="008428D9"/>
    <w:rsid w:val="00843FB4"/>
    <w:rsid w:val="00844734"/>
    <w:rsid w:val="00856D35"/>
    <w:rsid w:val="00857FDD"/>
    <w:rsid w:val="00882383"/>
    <w:rsid w:val="0088467A"/>
    <w:rsid w:val="00884DB9"/>
    <w:rsid w:val="008935B4"/>
    <w:rsid w:val="008C0AFA"/>
    <w:rsid w:val="008C67D2"/>
    <w:rsid w:val="008D0B2E"/>
    <w:rsid w:val="008E0683"/>
    <w:rsid w:val="008E6A6F"/>
    <w:rsid w:val="008F6490"/>
    <w:rsid w:val="00902DD9"/>
    <w:rsid w:val="00911486"/>
    <w:rsid w:val="009129CA"/>
    <w:rsid w:val="009206B6"/>
    <w:rsid w:val="00921C79"/>
    <w:rsid w:val="009252DC"/>
    <w:rsid w:val="009263C1"/>
    <w:rsid w:val="00941B4F"/>
    <w:rsid w:val="009518C0"/>
    <w:rsid w:val="00963CE3"/>
    <w:rsid w:val="00964F18"/>
    <w:rsid w:val="00974424"/>
    <w:rsid w:val="00987F76"/>
    <w:rsid w:val="00993088"/>
    <w:rsid w:val="0099664F"/>
    <w:rsid w:val="00997D5D"/>
    <w:rsid w:val="009A0447"/>
    <w:rsid w:val="009A2CE5"/>
    <w:rsid w:val="009A4B59"/>
    <w:rsid w:val="009A4D22"/>
    <w:rsid w:val="009B4A51"/>
    <w:rsid w:val="009C28B1"/>
    <w:rsid w:val="009C61AD"/>
    <w:rsid w:val="009C6697"/>
    <w:rsid w:val="009D1795"/>
    <w:rsid w:val="009D373D"/>
    <w:rsid w:val="009D436B"/>
    <w:rsid w:val="009D7B2C"/>
    <w:rsid w:val="009E0801"/>
    <w:rsid w:val="009E1D05"/>
    <w:rsid w:val="009F31C2"/>
    <w:rsid w:val="009F3625"/>
    <w:rsid w:val="009F7DE0"/>
    <w:rsid w:val="00A05973"/>
    <w:rsid w:val="00A06BCB"/>
    <w:rsid w:val="00A11B0C"/>
    <w:rsid w:val="00A12171"/>
    <w:rsid w:val="00A33B35"/>
    <w:rsid w:val="00A33E90"/>
    <w:rsid w:val="00A36419"/>
    <w:rsid w:val="00A44921"/>
    <w:rsid w:val="00A578C2"/>
    <w:rsid w:val="00A60A22"/>
    <w:rsid w:val="00A64A5C"/>
    <w:rsid w:val="00A72652"/>
    <w:rsid w:val="00A75D1C"/>
    <w:rsid w:val="00A809AA"/>
    <w:rsid w:val="00A849B3"/>
    <w:rsid w:val="00A84A0A"/>
    <w:rsid w:val="00A8510D"/>
    <w:rsid w:val="00A86AF3"/>
    <w:rsid w:val="00A87A51"/>
    <w:rsid w:val="00A90AFF"/>
    <w:rsid w:val="00A90BDC"/>
    <w:rsid w:val="00A92964"/>
    <w:rsid w:val="00A95477"/>
    <w:rsid w:val="00A975A9"/>
    <w:rsid w:val="00AA3192"/>
    <w:rsid w:val="00AA5A91"/>
    <w:rsid w:val="00AB0486"/>
    <w:rsid w:val="00AB0BED"/>
    <w:rsid w:val="00AB251E"/>
    <w:rsid w:val="00AB3608"/>
    <w:rsid w:val="00AC5C48"/>
    <w:rsid w:val="00AC63E3"/>
    <w:rsid w:val="00AE28BE"/>
    <w:rsid w:val="00AE5CB0"/>
    <w:rsid w:val="00AF0CF4"/>
    <w:rsid w:val="00AF1726"/>
    <w:rsid w:val="00AF2252"/>
    <w:rsid w:val="00AF2708"/>
    <w:rsid w:val="00B00B12"/>
    <w:rsid w:val="00B1129F"/>
    <w:rsid w:val="00B11D61"/>
    <w:rsid w:val="00B12F51"/>
    <w:rsid w:val="00B23A14"/>
    <w:rsid w:val="00B2751E"/>
    <w:rsid w:val="00B359D1"/>
    <w:rsid w:val="00B3650C"/>
    <w:rsid w:val="00B43184"/>
    <w:rsid w:val="00B47055"/>
    <w:rsid w:val="00B5354A"/>
    <w:rsid w:val="00B554C8"/>
    <w:rsid w:val="00B604B0"/>
    <w:rsid w:val="00B614FF"/>
    <w:rsid w:val="00B64BFA"/>
    <w:rsid w:val="00B65B9A"/>
    <w:rsid w:val="00B71E63"/>
    <w:rsid w:val="00B83212"/>
    <w:rsid w:val="00B85DE4"/>
    <w:rsid w:val="00B87AAD"/>
    <w:rsid w:val="00B913E3"/>
    <w:rsid w:val="00B91A31"/>
    <w:rsid w:val="00BA18DE"/>
    <w:rsid w:val="00BA223D"/>
    <w:rsid w:val="00BA5512"/>
    <w:rsid w:val="00BA6C28"/>
    <w:rsid w:val="00BA6DB4"/>
    <w:rsid w:val="00BC3F3C"/>
    <w:rsid w:val="00BC5BB2"/>
    <w:rsid w:val="00BD0FFA"/>
    <w:rsid w:val="00BE738E"/>
    <w:rsid w:val="00BF11A1"/>
    <w:rsid w:val="00BF3896"/>
    <w:rsid w:val="00BF3F54"/>
    <w:rsid w:val="00C00697"/>
    <w:rsid w:val="00C01033"/>
    <w:rsid w:val="00C023CF"/>
    <w:rsid w:val="00C0376C"/>
    <w:rsid w:val="00C06D77"/>
    <w:rsid w:val="00C14047"/>
    <w:rsid w:val="00C14BA6"/>
    <w:rsid w:val="00C205EC"/>
    <w:rsid w:val="00C21029"/>
    <w:rsid w:val="00C3485C"/>
    <w:rsid w:val="00C544A4"/>
    <w:rsid w:val="00C66A01"/>
    <w:rsid w:val="00C72A09"/>
    <w:rsid w:val="00C768E5"/>
    <w:rsid w:val="00C85CBC"/>
    <w:rsid w:val="00C92FF1"/>
    <w:rsid w:val="00C941AC"/>
    <w:rsid w:val="00CA2004"/>
    <w:rsid w:val="00CA4BFE"/>
    <w:rsid w:val="00CA5840"/>
    <w:rsid w:val="00CA5B99"/>
    <w:rsid w:val="00CB0627"/>
    <w:rsid w:val="00CB0933"/>
    <w:rsid w:val="00CB334D"/>
    <w:rsid w:val="00CB56D5"/>
    <w:rsid w:val="00CB7E91"/>
    <w:rsid w:val="00CC0F41"/>
    <w:rsid w:val="00CC7188"/>
    <w:rsid w:val="00CD16F7"/>
    <w:rsid w:val="00CD1EA8"/>
    <w:rsid w:val="00CD21E0"/>
    <w:rsid w:val="00CD6C2E"/>
    <w:rsid w:val="00CF495F"/>
    <w:rsid w:val="00CF5ABD"/>
    <w:rsid w:val="00CF5CE9"/>
    <w:rsid w:val="00CF63CE"/>
    <w:rsid w:val="00D067C1"/>
    <w:rsid w:val="00D13B13"/>
    <w:rsid w:val="00D15DF8"/>
    <w:rsid w:val="00D16E78"/>
    <w:rsid w:val="00D201D3"/>
    <w:rsid w:val="00D267D5"/>
    <w:rsid w:val="00D26A64"/>
    <w:rsid w:val="00D31720"/>
    <w:rsid w:val="00D356D8"/>
    <w:rsid w:val="00D40EBF"/>
    <w:rsid w:val="00D441CE"/>
    <w:rsid w:val="00D52B9A"/>
    <w:rsid w:val="00D5367E"/>
    <w:rsid w:val="00D53B1E"/>
    <w:rsid w:val="00D61AD2"/>
    <w:rsid w:val="00D662EF"/>
    <w:rsid w:val="00D71C1C"/>
    <w:rsid w:val="00D73D46"/>
    <w:rsid w:val="00D75750"/>
    <w:rsid w:val="00D820E4"/>
    <w:rsid w:val="00D84EF0"/>
    <w:rsid w:val="00D861ED"/>
    <w:rsid w:val="00D873E0"/>
    <w:rsid w:val="00D941E3"/>
    <w:rsid w:val="00D94F8B"/>
    <w:rsid w:val="00D95FBF"/>
    <w:rsid w:val="00DA5988"/>
    <w:rsid w:val="00DB7F78"/>
    <w:rsid w:val="00DC0184"/>
    <w:rsid w:val="00DC317C"/>
    <w:rsid w:val="00DC4FF2"/>
    <w:rsid w:val="00DC79CC"/>
    <w:rsid w:val="00DF79A2"/>
    <w:rsid w:val="00E10D39"/>
    <w:rsid w:val="00E134F4"/>
    <w:rsid w:val="00E15DDF"/>
    <w:rsid w:val="00E162E0"/>
    <w:rsid w:val="00E164D8"/>
    <w:rsid w:val="00E23568"/>
    <w:rsid w:val="00E245B5"/>
    <w:rsid w:val="00E25FF1"/>
    <w:rsid w:val="00E33E1B"/>
    <w:rsid w:val="00E34D3E"/>
    <w:rsid w:val="00E35CC9"/>
    <w:rsid w:val="00E60EFE"/>
    <w:rsid w:val="00E720E9"/>
    <w:rsid w:val="00E81C5E"/>
    <w:rsid w:val="00E83B3C"/>
    <w:rsid w:val="00E84F37"/>
    <w:rsid w:val="00E8736B"/>
    <w:rsid w:val="00E90275"/>
    <w:rsid w:val="00E925D4"/>
    <w:rsid w:val="00E95FE0"/>
    <w:rsid w:val="00E97226"/>
    <w:rsid w:val="00EA2B44"/>
    <w:rsid w:val="00EA33EF"/>
    <w:rsid w:val="00EB4166"/>
    <w:rsid w:val="00EC4FFD"/>
    <w:rsid w:val="00EC58F5"/>
    <w:rsid w:val="00EC5EFC"/>
    <w:rsid w:val="00EC7558"/>
    <w:rsid w:val="00ED4455"/>
    <w:rsid w:val="00ED6DF6"/>
    <w:rsid w:val="00EE5F59"/>
    <w:rsid w:val="00EF18F3"/>
    <w:rsid w:val="00EF33CD"/>
    <w:rsid w:val="00F12924"/>
    <w:rsid w:val="00F20C9B"/>
    <w:rsid w:val="00F300CB"/>
    <w:rsid w:val="00F42C3A"/>
    <w:rsid w:val="00F52BCC"/>
    <w:rsid w:val="00F5313F"/>
    <w:rsid w:val="00F56714"/>
    <w:rsid w:val="00F72BE8"/>
    <w:rsid w:val="00F81135"/>
    <w:rsid w:val="00F81A48"/>
    <w:rsid w:val="00F837E8"/>
    <w:rsid w:val="00F95046"/>
    <w:rsid w:val="00FA641E"/>
    <w:rsid w:val="00FB0342"/>
    <w:rsid w:val="00FB62BC"/>
    <w:rsid w:val="00FC45CD"/>
    <w:rsid w:val="00FC7885"/>
    <w:rsid w:val="00FD17C9"/>
    <w:rsid w:val="00FD2A5B"/>
    <w:rsid w:val="00FD731A"/>
    <w:rsid w:val="00FE6A5C"/>
    <w:rsid w:val="00FE6B06"/>
    <w:rsid w:val="00FF4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CA5840"/>
    <w:pPr>
      <w:numPr>
        <w:numId w:val="2"/>
      </w:numPr>
      <w:ind w:left="7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CA5840"/>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character" w:styleId="FollowedHyperlink">
    <w:name w:val="FollowedHyperlink"/>
    <w:basedOn w:val="DefaultParagraphFont"/>
    <w:uiPriority w:val="99"/>
    <w:semiHidden/>
    <w:unhideWhenUsed/>
    <w:rsid w:val="001A6BED"/>
    <w:rPr>
      <w:color w:val="800080" w:themeColor="followedHyperlink"/>
      <w:u w:val="single"/>
    </w:rPr>
  </w:style>
  <w:style w:type="paragraph" w:styleId="BodyText">
    <w:name w:val="Body Text"/>
    <w:basedOn w:val="Normal"/>
    <w:link w:val="BodyTextChar"/>
    <w:rsid w:val="00E60EFE"/>
    <w:pPr>
      <w:tabs>
        <w:tab w:val="clear" w:pos="9360"/>
      </w:tabs>
      <w:spacing w:line="240" w:lineRule="auto"/>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60EFE"/>
    <w:rPr>
      <w:rFonts w:ascii="Times New Roman" w:eastAsia="Times New Roman" w:hAnsi="Times New Roman" w:cs="Times New Roman"/>
      <w:szCs w:val="20"/>
    </w:rPr>
  </w:style>
  <w:style w:type="character" w:customStyle="1" w:styleId="reference-text">
    <w:name w:val="reference-text"/>
    <w:basedOn w:val="DefaultParagraphFont"/>
    <w:rsid w:val="00E95F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CA5840"/>
    <w:pPr>
      <w:numPr>
        <w:numId w:val="2"/>
      </w:numPr>
      <w:ind w:left="7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CA5840"/>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character" w:styleId="FollowedHyperlink">
    <w:name w:val="FollowedHyperlink"/>
    <w:basedOn w:val="DefaultParagraphFont"/>
    <w:uiPriority w:val="99"/>
    <w:semiHidden/>
    <w:unhideWhenUsed/>
    <w:rsid w:val="001A6BED"/>
    <w:rPr>
      <w:color w:val="800080" w:themeColor="followedHyperlink"/>
      <w:u w:val="single"/>
    </w:rPr>
  </w:style>
  <w:style w:type="paragraph" w:styleId="BodyText">
    <w:name w:val="Body Text"/>
    <w:basedOn w:val="Normal"/>
    <w:link w:val="BodyTextChar"/>
    <w:rsid w:val="00E60EFE"/>
    <w:pPr>
      <w:tabs>
        <w:tab w:val="clear" w:pos="9360"/>
      </w:tabs>
      <w:spacing w:line="240" w:lineRule="auto"/>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60EFE"/>
    <w:rPr>
      <w:rFonts w:ascii="Times New Roman" w:eastAsia="Times New Roman" w:hAnsi="Times New Roman" w:cs="Times New Roman"/>
      <w:szCs w:val="20"/>
    </w:rPr>
  </w:style>
  <w:style w:type="character" w:customStyle="1" w:styleId="reference-text">
    <w:name w:val="reference-text"/>
    <w:basedOn w:val="DefaultParagraphFont"/>
    <w:rsid w:val="00E95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91240">
      <w:bodyDiv w:val="1"/>
      <w:marLeft w:val="0"/>
      <w:marRight w:val="0"/>
      <w:marTop w:val="0"/>
      <w:marBottom w:val="0"/>
      <w:divBdr>
        <w:top w:val="none" w:sz="0" w:space="0" w:color="auto"/>
        <w:left w:val="none" w:sz="0" w:space="0" w:color="auto"/>
        <w:bottom w:val="none" w:sz="0" w:space="0" w:color="auto"/>
        <w:right w:val="none" w:sz="0" w:space="0" w:color="auto"/>
      </w:divBdr>
    </w:div>
    <w:div w:id="116917968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17606147">
      <w:bodyDiv w:val="1"/>
      <w:marLeft w:val="0"/>
      <w:marRight w:val="0"/>
      <w:marTop w:val="0"/>
      <w:marBottom w:val="0"/>
      <w:divBdr>
        <w:top w:val="none" w:sz="0" w:space="0" w:color="auto"/>
        <w:left w:val="none" w:sz="0" w:space="0" w:color="auto"/>
        <w:bottom w:val="none" w:sz="0" w:space="0" w:color="auto"/>
        <w:right w:val="none" w:sz="0" w:space="0" w:color="auto"/>
      </w:divBdr>
    </w:div>
    <w:div w:id="18534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2.epa.gov/aboutepa/lead-contamination-control-and-asbestos-information-acts-198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surgeongeneral.gov/initiatives/prevention/strategy/report.pdf" TargetMode="External"/><Relationship Id="rId2" Type="http://schemas.openxmlformats.org/officeDocument/2006/relationships/customXml" Target="../customXml/item2.xml"/><Relationship Id="rId16" Type="http://schemas.openxmlformats.org/officeDocument/2006/relationships/hyperlink" Target="http://www.cdc.gov/nceh/information/healthy_homes_lead.htm.%20Accessed%2012/04/201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dc.gov/nphpsp/essentialservices.html" TargetMode="External"/><Relationship Id="rId10" Type="http://schemas.openxmlformats.org/officeDocument/2006/relationships/settings" Target="settings.xml"/><Relationship Id="rId19" Type="http://schemas.openxmlformats.org/officeDocument/2006/relationships/hyperlink" Target="http://www.accessproject.org/adobe/getting_the_lay_of_the_land_on_health"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ncs/ocs/sp/nctb1349.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0" ma:contentTypeDescription="Create a new document." ma:contentTypeScope="" ma:versionID="39eeb50b126bef3517319752c09e274a">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38f31a98dd1f5c49377939813b69bcef"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SC_StateA_Background xmlns="bd99c180-279b-44c3-9486-dd050336677e" xsi:nil="true"/>
    <OSC_StateA_14_8Average_Hours_Per_Collection xmlns="bd99c180-279b-44c3-9486-dd050336677e">0</OSC_StateA_14_8Average_Hours_Per_Collection>
    <OSC_StateA_Consequences_Collecting_Less_Frequently xmlns="bd99c180-279b-44c3-9486-dd050336677e" xsi:nil="true"/>
    <GenICPIBranchOROfficeTitle xmlns="bd99c180-279b-44c3-9486-dd050336677e">=&gt;Enter branch or office title&lt;=</GenICPIBranchOROfficeTitle>
    <OSC_StateA_14_6Staff_FTE xmlns="bd99c180-279b-44c3-9486-dd050336677e">=&gt;Enter&lt;=</OSC_StateA_14_6Staff_FTE>
    <OSC_StateA_12_1Hourly_Wage_Rate xmlns="bd99c180-279b-44c3-9486-dd050336677e">0</OSC_StateA_12_1Hourly_Wage_Rate>
    <OSC_StateA_12_9Number_of_Respondents xmlns="bd99c180-279b-44c3-9486-dd050336677e">0</OSC_StateA_12_9Number_of_Respondents>
    <OSC_StateA_12_2Average_Burden_per_Response_in_Hours xmlns="bd99c180-279b-44c3-9486-dd050336677e">=&gt;20/60&lt;=</OSC_StateA_12_2Average_Burden_per_Response_in_Hours>
    <OSC_StateA_14_1Staff_FTE xmlns="bd99c180-279b-44c3-9486-dd050336677e">=&gt;Enter&lt;=</OSC_StateA_14_1Staff_FT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=&gt;Enter&lt;=</OSC_StateA_12_3Type_of_Respondent>
    <OSC_StateA_12_10Total_Respondent_Costs xmlns="bd99c180-279b-44c3-9486-dd050336677e">0</OSC_StateA_12_10Total_Respondent_Costs>
    <GenICTitle xmlns="15b1c282-9287-45cb-9b41-eae3a76919a0">=&gt;Enter short but descriptive title reflecting the purpose of the data collection. &lt;=</GenICTitle>
    <OSC_StateA_14_1Average_Cost xmlns="bd99c180-279b-44c3-9486-dd050336677e">0</OSC_StateA_14_1Average_Cost>
    <_dlc_DocId xmlns="b5c0ca00-073d-4463-9985-b654f14791fe">OSTLTSDOC-726-22</_dlc_DocId>
    <OSC_StateA_12_2Number_of_Respondents xmlns="bd99c180-279b-44c3-9486-dd050336677e">0</OSC_StateA_12_2Number_of_Respondents>
    <OSC_StateA_Websites_Directed_at_Children xmlns="bd99c180-279b-44c3-9486-dd050336677e" xsi:nil="true"/>
    <OSC_StateA_14_2Average_Hours_Per_Collection xmlns="bd99c180-279b-44c3-9486-dd050336677e">0</OSC_StateA_14_2Average_Hours_Per_Collection>
    <OSC_StateA_14_Estimated_Total_Cost_of_Information_Collection xmlns="bd99c180-279b-44c3-9486-dd050336677e">0</OSC_StateA_14_Estimated_Total_Cost_of_Information_Collection>
    <OSC_StateA_12_9Number_of_Responses_per_Respondent xmlns="bd99c180-279b-44c3-9486-dd050336677e">1</OSC_StateA_12_9Number_of_Responses_per_Respondent>
    <GenICNickname xmlns="15b1c282-9287-45cb-9b41-eae3a76919a0" xsi:nil="true"/>
    <OSC_StateA_12_4Average_Burden_per_Response_in_Hours xmlns="bd99c180-279b-44c3-9486-dd050336677e">=&gt;20/60&lt;=</OSC_StateA_12_4Average_Burden_per_Response_in_Hours>
    <OSC_StateA_12_9Average_Burden_per_Response_in_Hours xmlns="bd99c180-279b-44c3-9486-dd050336677e">=&gt;20/60&lt;=</OSC_StateA_12_9Average_Burden_per_Response_in_Hours>
    <OSC_StateA_12_9Hourly_Wage_Rate xmlns="bd99c180-279b-44c3-9486-dd050336677e">0</OSC_StateA_12_9Hourly_Wage_Rate>
    <OSC_StateA_14_9Staff_FTE xmlns="bd99c180-279b-44c3-9486-dd050336677e">=&gt;Enter&lt;=</OSC_StateA_14_9Staff_FTE>
    <OSC_StateA_12_4Number_of_Respondents xmlns="bd99c180-279b-44c3-9486-dd050336677e">0</OSC_StateA_12_4Number_of_Respondents>
    <OSC_StateA_14_4Staff_FTE xmlns="bd99c180-279b-44c3-9486-dd050336677e">=&gt;Enter&lt;=</OSC_StateA_14_4Staff_FTE>
    <OSC_StateA_12_8Number_of_Responses_per_Respondent xmlns="bd99c180-279b-44c3-9486-dd050336677e">1</OSC_StateA_12_8Number_of_Responses_per_Respondent>
    <OSC_StateA_12_4Type_of_Respondent xmlns="bd99c180-279b-44c3-9486-dd050336677e">=&gt;Enter&lt;=</OSC_StateA_12_4Type_of_Respondent>
    <OSC_StateA_12_4Total_Burden_Hours xmlns="bd99c180-279b-44c3-9486-dd050336677e">0</OSC_StateA_12_4Total_Burden_Hours>
    <GenICPITitle xmlns="bd99c180-279b-44c3-9486-dd050336677e">=&gt;Enter official CDC title&lt;=</GenICPITitle>
    <OSC_StateA_14_9Average_Hours_Per_Collection xmlns="bd99c180-279b-44c3-9486-dd050336677e">0</OSC_StateA_14_9Average_Hours_Per_Collection>
    <OSC_StateA_Response_to_the_Federal_Register_Notice_and_Efforts xmlns="bd99c180-279b-44c3-9486-dd050336677e" xsi:nil="true"/>
    <OSC_StateA_Date_Submitted xmlns="bd99c180-279b-44c3-9486-dd050336677e" xsi:nil="true"/>
    <OSC_StateA_12_7Number_of_Responses_per_Respondent xmlns="bd99c180-279b-44c3-9486-dd050336677e">1</OSC_StateA_12_7Number_of_Responses_per_Respondent>
    <OSC_StateA_14_5Average_Cost xmlns="bd99c180-279b-44c3-9486-dd050336677e">0</OSC_StateA_14_5Average_Cost>
    <OSC_StateA_12_9Total_Respondent_Costs xmlns="bd99c180-279b-44c3-9486-dd050336677e">0</OSC_StateA_12_9Total_Respondent_Costs>
    <OSC_StateA_12_6Number_of_Respondents xmlns="bd99c180-279b-44c3-9486-dd050336677e">0</OSC_StateA_12_6Number_of_Respondents>
    <OSC_StateA_Explanation_for_Program_Changes_or_Adjustments xmlns="bd99c180-279b-44c3-9486-dd050336677e" xsi:nil="true"/>
    <OSC_StateA_14_10Average_Cost xmlns="bd99c180-279b-44c3-9486-dd050336677e">0</OSC_StateA_14_10Average_Cost>
    <GenICPIDivisionOROfficeTitle xmlns="bd99c180-279b-44c3-9486-dd050336677e">=&gt;Enter division or office title&lt;=</GenICPIDivisionOROfficeTitle>
    <OSC_StateA_12_6Number_of_Responses_per_Respondent xmlns="bd99c180-279b-44c3-9486-dd050336677e">1</OSC_StateA_12_6Number_of_Responses_per_Respondent>
    <OSC_StateA_Overview_Of_Data_Collection_System xmlns="bd99c180-279b-44c3-9486-dd050336677e" xsi:nil="true"/>
    <OSC_StateA_14_6Average_Hours_Per_Collection xmlns="bd99c180-279b-44c3-9486-dd050336677e">0</OSC_StateA_14_6Average_Hours_Per_Collection>
    <OSC_StateA_12_8Hourly_Wage_Rate xmlns="bd99c180-279b-44c3-9486-dd050336677e">0</OSC_StateA_12_8Hourly_Wage_Rate>
    <OSC_StateA_12_8Total_Respondent_Costs xmlns="bd99c180-279b-44c3-9486-dd050336677e">0</OSC_StateA_12_8Total_Respondent_Costs>
    <GenICPICenterDivisionBranch xmlns="bd99c180-279b-44c3-9486-dd050336677e" xsi:nil="true"/>
    <OSC_StateA_12_Total_Total_Burden_Hours xmlns="bd99c180-279b-44c3-9486-dd050336677e">0</OSC_StateA_12_Total_Total_Burden_Hours>
    <OSC_StateA_12_6Average_Burden_per_Response_in_Hours xmlns="bd99c180-279b-44c3-9486-dd050336677e">=&gt;20/60&lt;=</OSC_StateA_12_6Average_Burden_per_Response_in_Hours>
    <OSC_StateA_14_2Staff_FTE xmlns="bd99c180-279b-44c3-9486-dd050336677e">=&gt;Enter&lt;=</OSC_StateA_14_2Staff_FTE>
    <OSC_StateA_14_9Average_Cost xmlns="bd99c180-279b-44c3-9486-dd050336677e">0</OSC_StateA_14_9Average_Cost>
    <OSC_StateA_12_5Type_of_Respondent xmlns="bd99c180-279b-44c3-9486-dd050336677e">=&gt;Enter&lt;=</OSC_StateA_12_5Type_of_Respondent>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=&gt;Enter&lt;=</OSC_StateA_14_7Staff_FTE>
    <GenICPIPhone xmlns="bd99c180-279b-44c3-9486-dd050336677e">=&gt;###-###-####&lt;=</GenICPIPhone>
    <OSC_StateA_12_1Average_Burden_per_Response_in_Hours xmlns="bd99c180-279b-44c3-9486-dd050336677e">=&gt;20/60&lt;=</OSC_StateA_12_1Average_Burden_per_Response_in_Hours>
    <OSC_StateA_12_8Number_of_Respondents xmlns="bd99c180-279b-44c3-9486-dd050336677e">0</OSC_StateA_12_8Number_of_Respondents>
    <OSC_StateA_Impact_on_Small_Businesses_or_Other_Small_Entities xmlns="bd99c180-279b-44c3-9486-dd050336677e" xsi:nil="true"/>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4Number_of_Responses_per_Respondent xmlns="bd99c180-279b-44c3-9486-dd050336677e">1</OSC_StateA_12_4Number_of_Responses_per_Respondent>
    <OSC_StateA_12_7Hourly_Wage_Rate xmlns="bd99c180-279b-44c3-9486-dd050336677e">0</OSC_StateA_12_7Hourly_Wage_Rate>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2_Total_Total_Respondent_Costs xmlns="bd99c180-279b-44c3-9486-dd050336677e">0</OSC_StateA_12_Total_Total_Respondent_Costs>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GenICPIName xmlns="bd99c180-279b-44c3-9486-dd050336677e">=&gt;Enter full name and credentials&lt;=</GenICPIName>
    <OSC_StateA_12_6Type_of_Respondent xmlns="bd99c180-279b-44c3-9486-dd050336677e">=&gt;Enter&lt;=</OSC_StateA_12_6Type_of_Respondent>
    <OSC_StateA_12_6Total_Burden_Hours xmlns="bd99c180-279b-44c3-9486-dd050336677e">0</OSC_StateA_12_6Total_Burden_Hours>
    <OSC_StateA_12_2Number_of_Responses_per_Respondent xmlns="bd99c180-279b-44c3-9486-dd050336677e">1</OSC_StateA_12_2Number_of_Responses_per_Respondent>
    <OSC_StateA_12_3Average_Burden_per_Response_in_Hours xmlns="bd99c180-279b-44c3-9486-dd050336677e">=&gt;20/60&lt;=</OSC_StateA_12_3Average_Burden_per_Response_in_Hours>
    <GenICPIFax xmlns="bd99c180-279b-44c3-9486-dd050336677e">=&gt;###-###-####&lt;=</GenICPIFax>
    <OSC_StateA_12_10Number_of_Respondents xmlns="bd99c180-279b-44c3-9486-dd050336677e">0</OSC_StateA_12_10Number_of_Respondents>
    <OSC_StateA_Items_to_be_collected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4_8Average_Cost xmlns="bd99c180-279b-44c3-9486-dd050336677e">0</OSC_StateA_14_8Average_Cost>
    <OSC_StateA_12_8Average_Burden_per_Response_in_Hours xmlns="bd99c180-279b-44c3-9486-dd050336677e">=&gt;20/60&lt;=</OSC_StateA_12_8Average_Burden_per_Response_in_Hours>
    <OSC_StateA_List_Of_Attachments xmlns="bd99c180-279b-44c3-9486-dd050336677e" xsi:nil="true"/>
    <OSC_StateA_12_5Hourly_Wage_Rate xmlns="bd99c180-279b-44c3-9486-dd050336677e">0</OSC_StateA_12_5Hourly_Wage_Rate>
    <OSC_StateA_14_5Staff_FTE xmlns="bd99c180-279b-44c3-9486-dd050336677e">=&gt;Enter&lt;=</OSC_StateA_14_5Staff_FT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0</OSC_StateA_12_10Hourly_Wage_Rate>
    <GenICPIWorkMailingAddress xmlns="bd99c180-279b-44c3-9486-dd050336677e">=&gt;Enter work mailing address&lt;=</GenICPIWorkMailingAddress>
    <OSC_StateA_Identify_Duplication_Similar_Information xmlns="bd99c180-279b-44c3-9486-dd050336677e" xsi:nil="true"/>
    <OSC_StateA_12_7Type_of_Respondent xmlns="bd99c180-279b-44c3-9486-dd050336677e">=&gt;Enter&lt;=</OSC_StateA_12_7Type_of_Respondent>
    <OSC_StateA_12_3Total_Respondent_Costs xmlns="bd99c180-279b-44c3-9486-dd050336677e">0</OSC_StateA_12_3Total_Respondent_Costs>
    <OSC_StateA_12_4Hourly_Wage_Rate xmlns="bd99c180-279b-44c3-9486-dd050336677e">0</OSC_StateA_12_4Hourly_Wage_Rate>
    <OSC_StateA_12_7Total_Burden_Hours xmlns="bd99c180-279b-44c3-9486-dd050336677e">0</OSC_StateA_12_7Total_Burden_Hours>
    <GenICPIEmail xmlns="bd99c180-279b-44c3-9486-dd050336677e">=&gt;Enter work email&lt;=</GenICPIEmail>
    <OSC_StateA_12_10Number_of_Responses_per_Respondent xmlns="bd99c180-279b-44c3-9486-dd050336677e">1</OSC_StateA_12_10Number_of_Responses_per_Respondent>
    <OSC_StateA_14_4Average_Hours_Per_Collection xmlns="bd99c180-279b-44c3-9486-dd050336677e">0</OSC_StateA_14_4Average_Hours_Per_Collection>
    <OSC_StateA_Reason_Display_OMB_Expiration_Date_is_Inappropriate xmlns="bd99c180-279b-44c3-9486-dd050336677e" xsi:nil="true"/>
    <OSC_StateA_12_Total_Number_of_Responses_per_Respondent xmlns="bd99c180-279b-44c3-9486-dd050336677e">1</OSC_StateA_12_Total_Number_of_Responses_per_Respondent>
    <OSC_StateA_Exceptions_Certification_Paperwork_Reduction_Act xmlns="bd99c180-279b-44c3-9486-dd050336677e" xsi:nil="true"/>
    <OSC_StateA_12_10Average_Burden_per_Response_in_Hours xmlns="bd99c180-279b-44c3-9486-dd050336677e">=&gt;20/60&lt;=</OSC_StateA_12_10Average_Burden_per_Response_in_Hours>
    <GenICPICDCID xmlns="bd99c180-279b-44c3-9486-dd050336677e" xsi:nil="true"/>
    <OSC_StateA_12_1Total_Burden_Hours xmlns="bd99c180-279b-44c3-9486-dd050336677e">0</OSC_StateA_12_1Total_Burden_Hours>
    <GenICPICIO xmlns="bd99c180-279b-44c3-9486-dd050336677e" xsi:nil="true"/>
    <OSC_StateA_12_2Total_Respondent_Costs xmlns="bd99c180-279b-44c3-9486-dd050336677e">0</OSC_StateA_12_2Total_Respondent_Costs>
    <OSC_StateA_12_1Type_of_Respondent xmlns="bd99c180-279b-44c3-9486-dd050336677e">=&gt;Enter&lt;=</OSC_StateA_12_1Type_of_Respondent>
    <OSC_StateA_12_5Number_of_Respondents xmlns="bd99c180-279b-44c3-9486-dd050336677e">0</OSC_StateA_12_5Number_of_Respondents>
    <OSC_StateA_14_3Staff_FTE xmlns="bd99c180-279b-44c3-9486-dd050336677e">=&gt;Enter&lt;=</OSC_StateA_14_3Staff_FTE>
    <OSC_StateA_12_5Average_Burden_per_Response_in_Hours xmlns="bd99c180-279b-44c3-9486-dd050336677e">=&gt;20/60&lt;=</OSC_StateA_12_5Average_Burden_per_Response_in_Hours>
    <OSC_StateA_14_8Staff_FTE xmlns="bd99c180-279b-44c3-9486-dd050336677e">=&gt;Enter&lt;=</OSC_StateA_14_8Staff_FTE>
    <OSC_StateA_12_3Hourly_Wage_Rate xmlns="bd99c180-279b-44c3-9486-dd050336677e">0</OSC_StateA_12_3Hourly_Wage_Rate>
    <OSC_StateA_14_1Average_Hours_Per_Collection xmlns="bd99c180-279b-44c3-9486-dd050336677e">0</OSC_StateA_14_1Average_Hours_Per_Collection>
    <OSC_StateA_12_1Total_Respondent_Costs xmlns="bd99c180-279b-44c3-9486-dd050336677e">0</OSC_StateA_12_1Total_Respondent_Costs>
    <OSC_StateA_14_7Average_Cost xmlns="bd99c180-279b-44c3-9486-dd050336677e">0</OSC_StateA_14_7Average_Cost>
    <OSC_StateA_Purpose_and_Use xmlns="bd99c180-279b-44c3-9486-dd050336677e" xsi:nil="true"/>
    <OSC_StateA_12_8Type_of_Respondent xmlns="bd99c180-279b-44c3-9486-dd050336677e">=&gt;Enter&lt;=</OSC_StateA_12_8Type_of_Respondent>
    <OSC_StateA_14_10Staff_FTE xmlns="bd99c180-279b-44c3-9486-dd050336677e">=&gt;Enter&lt;=</OSC_StateA_14_10Staff_FTE>
    <OSC_StateA_12_7Number_of_Respondents xmlns="bd99c180-279b-44c3-9486-dd050336677e">0</OSC_StateA_12_7Number_of_Respondents>
    <OSC_StateA_12_8Total_Burden_Hours xmlns="bd99c180-279b-44c3-9486-dd050336677e">0</OSC_StateA_12_8Total_Burden_Hours>
    <_dlc_DocIdUrl xmlns="b5c0ca00-073d-4463-9985-b654f14791fe">
      <Url>http://esp.cdc.gov/sites/ostlts/pip/osc/_layouts/DocIdRedir.aspx?ID=OSTLTSDOC-726-22</Url>
      <Description>OSTLTSDOC-726-22</Description>
    </_dlc_DocIdUrl>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OSC_StateA_12_2Total_Burden_Hours xmlns="bd99c180-279b-44c3-9486-dd050336677e">0</OSC_StateA_12_2Total_Burden_Hours>
    <OSC_StateA_12_2Type_of_Respondent xmlns="bd99c180-279b-44c3-9486-dd050336677e">=&gt;Enter&lt;=</OSC_StateA_12_2Type_of_Respondent>
    <OSC_StateA_Improved_Information_Technology_and_Burden_Reduction xmlns="bd99c180-279b-44c3-9486-dd050336677e" xsi:nil="true"/>
    <OSC_StateA_12_7Average_Burden_per_Response_in_Hours xmlns="bd99c180-279b-44c3-9486-dd050336677e">=&gt;20/60&lt;=</OSC_StateA_12_7Average_Burden_per_Response_in_Hours>
    <OSC_StateA_12_9Type_of_Respondent xmlns="bd99c180-279b-44c3-9486-dd050336677e">=&gt;Enter&lt;=</OSC_StateA_12_9Type_of_Respondent>
    <OSC_StateA_12_10Type_of_Respondent xmlns="bd99c180-279b-44c3-9486-dd050336677e">=&gt;Enter&lt;=</OSC_StateA_12_10Type_of_Respondent>
    <OSC_StateA_14_5Average_Hours_Per_Collection xmlns="bd99c180-279b-44c3-9486-dd050336677e">0</OSC_StateA_14_5Average_Hours_Per_Collection>
    <OSC_StateA_12_10Total_Burden_Hours xmlns="bd99c180-279b-44c3-9486-dd050336677e">0</OSC_StateA_12_10Total_Burden_Hours>
    <OSC_StateA_12_9Total_Burden_Hours xmlns="bd99c180-279b-44c3-9486-dd050336677e">0</OSC_StateA_12_9Total_Burden_Hours>
    <OSC_StateA_14_6Average_Cost xmlns="bd99c180-279b-44c3-9486-dd050336677e">0</OSC_StateA_14_6Average_Cos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952B8-8DF0-4541-8A21-4FCFCBF1EC58}">
  <ds:schemaRefs>
    <ds:schemaRef ds:uri="http://schemas.microsoft.com/sharepoint/events"/>
  </ds:schemaRefs>
</ds:datastoreItem>
</file>

<file path=customXml/itemProps2.xml><?xml version="1.0" encoding="utf-8"?>
<ds:datastoreItem xmlns:ds="http://schemas.openxmlformats.org/officeDocument/2006/customXml" ds:itemID="{D31E2BD3-194E-4505-A5B5-752EDB6AA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39C9E-785A-4940-9306-73606C5A2252}">
  <ds:schemaRefs>
    <ds:schemaRef ds:uri="http://schemas.microsoft.com/office/2006/metadata/properties"/>
    <ds:schemaRef ds:uri="15b1c282-9287-45cb-9b41-eae3a76919a0"/>
    <ds:schemaRef ds:uri="http://purl.org/dc/dcmitype/"/>
    <ds:schemaRef ds:uri="http://schemas.microsoft.com/office/2006/documentManagement/types"/>
    <ds:schemaRef ds:uri="http://purl.org/dc/terms/"/>
    <ds:schemaRef ds:uri="b5c0ca00-073d-4463-9985-b654f14791fe"/>
    <ds:schemaRef ds:uri="bd99c180-279b-44c3-9486-dd050336677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671C91E6-61BF-4340-AD10-5A7912B2DCE6}">
  <ds:schemaRefs>
    <ds:schemaRef ds:uri="http://schemas.microsoft.com/sharepoint/v3/contenttype/forms"/>
  </ds:schemaRefs>
</ds:datastoreItem>
</file>

<file path=customXml/itemProps5.xml><?xml version="1.0" encoding="utf-8"?>
<ds:datastoreItem xmlns:ds="http://schemas.openxmlformats.org/officeDocument/2006/customXml" ds:itemID="{EBFE3F63-B3FA-4880-8E5A-6C20C9ECF127}">
  <ds:schemaRefs>
    <ds:schemaRef ds:uri="http://schemas.microsoft.com/office/2006/metadata/customXsn"/>
  </ds:schemaRefs>
</ds:datastoreItem>
</file>

<file path=customXml/itemProps6.xml><?xml version="1.0" encoding="utf-8"?>
<ds:datastoreItem xmlns:ds="http://schemas.openxmlformats.org/officeDocument/2006/customXml" ds:itemID="{447B67A0-B1FA-424F-A84B-B9D43B43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3470</Words>
  <Characters>19780</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Marsh, Carol E. (CDC/OPHPR/OD)</cp:lastModifiedBy>
  <cp:revision>2</cp:revision>
  <cp:lastPrinted>2014-07-21T14:29:00Z</cp:lastPrinted>
  <dcterms:created xsi:type="dcterms:W3CDTF">2014-08-29T14:32:00Z</dcterms:created>
  <dcterms:modified xsi:type="dcterms:W3CDTF">2014-08-29T14:32:00Z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2fcb61d8-3a6a-422c-90fa-1716d333d6d8</vt:lpwstr>
  </property>
</Properties>
</file>