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D6163"/>
    <w:p w:rsidR="009B4A51" w:rsidRDefault="009B4A51" w:rsidP="007D6163"/>
    <w:p w:rsidR="009B4A51" w:rsidRDefault="009B4A51" w:rsidP="007D6163"/>
    <w:p w:rsidR="009B4A51" w:rsidRDefault="009B4A51" w:rsidP="007D6163"/>
    <w:p w:rsidR="009B4A51" w:rsidRDefault="009B4A51" w:rsidP="007D6163"/>
    <w:p w:rsidR="00667C89" w:rsidRDefault="00667C89" w:rsidP="007D6163"/>
    <w:p w:rsidR="009B4A51" w:rsidRDefault="009B4A51" w:rsidP="007D6163"/>
    <w:p w:rsidR="009B4A51" w:rsidRDefault="009B4A51" w:rsidP="00CA5840">
      <w:pPr>
        <w:ind w:left="0"/>
      </w:pPr>
    </w:p>
    <w:p w:rsidR="00716F94" w:rsidRPr="007D6163" w:rsidRDefault="004A2136" w:rsidP="00996AFE">
      <w:pPr>
        <w:pStyle w:val="Heading1"/>
        <w:tabs>
          <w:tab w:val="left" w:pos="8640"/>
        </w:tabs>
        <w:ind w:left="0"/>
      </w:pPr>
      <w:r>
        <w:t xml:space="preserve">Public Health </w:t>
      </w:r>
      <w:r w:rsidR="00E3555E">
        <w:t xml:space="preserve">Performance </w:t>
      </w:r>
      <w:r>
        <w:t xml:space="preserve">Improvement Professional Association Feasibility </w:t>
      </w:r>
      <w:r w:rsidR="00C01CAC">
        <w:t>Assessment</w:t>
      </w:r>
    </w:p>
    <w:p w:rsidR="00AA3192" w:rsidRDefault="00AA3192" w:rsidP="00CA5840">
      <w:pPr>
        <w:ind w:left="0"/>
      </w:pPr>
    </w:p>
    <w:p w:rsidR="00716F94" w:rsidRPr="00AA3192" w:rsidRDefault="00484011" w:rsidP="00CA5840">
      <w:pPr>
        <w:ind w:left="0"/>
        <w:jc w:val="center"/>
      </w:pPr>
      <w:r w:rsidRPr="00AA3192">
        <w:t>OSTL</w:t>
      </w:r>
      <w:r w:rsidR="00316F00">
        <w:t>TS Generic Information Collection</w:t>
      </w:r>
      <w:r w:rsidRPr="00AA3192">
        <w:t xml:space="preserve"> Request</w:t>
      </w:r>
    </w:p>
    <w:p w:rsidR="00484011" w:rsidRPr="00AA3192" w:rsidRDefault="00484011" w:rsidP="00CA5840">
      <w:pPr>
        <w:ind w:left="0"/>
        <w:jc w:val="center"/>
      </w:pPr>
      <w:r w:rsidRPr="00AA3192">
        <w:t>OMB No. 0920-0879</w:t>
      </w:r>
    </w:p>
    <w:p w:rsidR="009B4A51" w:rsidRDefault="009B4A51" w:rsidP="00CA5840">
      <w:pPr>
        <w:ind w:left="0"/>
      </w:pPr>
    </w:p>
    <w:p w:rsidR="009B4A51" w:rsidRDefault="009B4A51" w:rsidP="00CA5840">
      <w:pPr>
        <w:ind w:left="0"/>
      </w:pPr>
    </w:p>
    <w:p w:rsidR="00AA3192" w:rsidRDefault="00AA3192" w:rsidP="00CA5840">
      <w:pPr>
        <w:ind w:left="0"/>
      </w:pPr>
    </w:p>
    <w:p w:rsidR="00AA3192" w:rsidRDefault="00AA3192" w:rsidP="00CA5840">
      <w:pPr>
        <w:ind w:left="0"/>
      </w:pPr>
    </w:p>
    <w:p w:rsidR="009B4A51" w:rsidRPr="007D6163" w:rsidRDefault="009B4A51" w:rsidP="00CA5840">
      <w:pPr>
        <w:pStyle w:val="Heading2"/>
        <w:ind w:left="0"/>
      </w:pPr>
      <w:r w:rsidRPr="007D6163">
        <w:t>Supporting Statement – Section A</w:t>
      </w:r>
    </w:p>
    <w:p w:rsidR="009B4A51" w:rsidRDefault="009B4A51" w:rsidP="00CA5840">
      <w:pPr>
        <w:ind w:left="0"/>
      </w:pPr>
    </w:p>
    <w:p w:rsidR="00484011" w:rsidRDefault="00484011" w:rsidP="00CA5840">
      <w:pPr>
        <w:ind w:left="0"/>
      </w:pPr>
    </w:p>
    <w:p w:rsidR="00AA3192" w:rsidRDefault="00AA3192" w:rsidP="00CA5840">
      <w:pPr>
        <w:ind w:left="0"/>
      </w:pPr>
    </w:p>
    <w:p w:rsidR="009B4A51" w:rsidRDefault="009B4A51" w:rsidP="00CA5840">
      <w:pPr>
        <w:ind w:left="0"/>
      </w:pPr>
    </w:p>
    <w:p w:rsidR="009B4A51" w:rsidRDefault="009B4A51" w:rsidP="00CA5840">
      <w:pPr>
        <w:ind w:left="0"/>
      </w:pPr>
    </w:p>
    <w:p w:rsidR="00187D5A" w:rsidRDefault="00187D5A" w:rsidP="00CA5840">
      <w:pPr>
        <w:ind w:left="0"/>
      </w:pPr>
    </w:p>
    <w:p w:rsidR="009B4A51" w:rsidRPr="009B4A51" w:rsidRDefault="009B4A51" w:rsidP="00CA5840">
      <w:pPr>
        <w:ind w:left="0"/>
        <w:jc w:val="center"/>
      </w:pPr>
      <w:r w:rsidRPr="00AA3192">
        <w:t xml:space="preserve">Submitted: </w:t>
      </w:r>
      <w:r w:rsidR="001C2B89">
        <w:t>8/1</w:t>
      </w:r>
      <w:r w:rsidR="00AE0731">
        <w:t>5</w:t>
      </w:r>
      <w:r w:rsidR="001C2B89">
        <w:t>/14</w:t>
      </w:r>
    </w:p>
    <w:p w:rsidR="009B4A51" w:rsidRDefault="009B4A51" w:rsidP="007D6163"/>
    <w:p w:rsidR="009B4A51" w:rsidRDefault="009B4A51" w:rsidP="007D6163"/>
    <w:p w:rsidR="00AA3192" w:rsidRDefault="00AA3192" w:rsidP="00037708">
      <w:pPr>
        <w:ind w:left="0"/>
      </w:pPr>
    </w:p>
    <w:p w:rsidR="00AA3192" w:rsidRDefault="00AA3192" w:rsidP="007D6163"/>
    <w:p w:rsidR="009B4A51" w:rsidRDefault="009B4A51" w:rsidP="007D6163"/>
    <w:p w:rsidR="00667C89" w:rsidRDefault="00716F94" w:rsidP="00961F81">
      <w:pPr>
        <w:spacing w:line="240" w:lineRule="auto"/>
        <w:ind w:left="0"/>
        <w:rPr>
          <w:b/>
          <w:u w:val="single"/>
        </w:rPr>
      </w:pPr>
      <w:r w:rsidRPr="00CA5840">
        <w:rPr>
          <w:b/>
          <w:u w:val="single"/>
        </w:rPr>
        <w:t>P</w:t>
      </w:r>
      <w:r w:rsidR="00667C89" w:rsidRPr="00CA5840">
        <w:rPr>
          <w:b/>
          <w:u w:val="single"/>
        </w:rPr>
        <w:t>rogram Official/Project Officer</w:t>
      </w:r>
    </w:p>
    <w:p w:rsidR="004A2136" w:rsidRPr="000A778E" w:rsidRDefault="004A2136" w:rsidP="00961F81">
      <w:pPr>
        <w:spacing w:line="240" w:lineRule="auto"/>
        <w:ind w:left="0"/>
        <w:rPr>
          <w:rFonts w:ascii="Times New Roman" w:hAnsi="Times New Roman" w:cs="Times New Roman"/>
          <w:bCs/>
        </w:rPr>
      </w:pPr>
      <w:r>
        <w:rPr>
          <w:rFonts w:ascii="Times New Roman" w:hAnsi="Times New Roman" w:cs="Times New Roman"/>
          <w:bCs/>
        </w:rPr>
        <w:t>Melody Parker</w:t>
      </w:r>
    </w:p>
    <w:p w:rsidR="004A2136" w:rsidRPr="000A778E" w:rsidRDefault="004A2136" w:rsidP="00961F81">
      <w:pPr>
        <w:spacing w:line="240" w:lineRule="auto"/>
        <w:ind w:left="0"/>
        <w:rPr>
          <w:rFonts w:ascii="Times New Roman" w:hAnsi="Times New Roman" w:cs="Times New Roman"/>
        </w:rPr>
      </w:pPr>
      <w:r>
        <w:rPr>
          <w:rFonts w:ascii="Times New Roman" w:hAnsi="Times New Roman" w:cs="Times New Roman"/>
        </w:rPr>
        <w:t xml:space="preserve">Public Health Advisor </w:t>
      </w:r>
    </w:p>
    <w:p w:rsidR="004A2136" w:rsidRPr="000A778E" w:rsidRDefault="004A2136" w:rsidP="00961F81">
      <w:pPr>
        <w:spacing w:line="240" w:lineRule="auto"/>
        <w:ind w:left="0"/>
        <w:rPr>
          <w:rFonts w:ascii="Times New Roman" w:hAnsi="Times New Roman" w:cs="Times New Roman"/>
        </w:rPr>
      </w:pPr>
      <w:r>
        <w:rPr>
          <w:rFonts w:ascii="Times New Roman" w:hAnsi="Times New Roman" w:cs="Times New Roman"/>
        </w:rPr>
        <w:t>Health Department &amp; Systems Development Branch</w:t>
      </w:r>
    </w:p>
    <w:p w:rsidR="004A2136" w:rsidRPr="000A778E" w:rsidRDefault="004A2136" w:rsidP="00961F81">
      <w:pPr>
        <w:spacing w:line="240" w:lineRule="auto"/>
        <w:ind w:left="0"/>
        <w:rPr>
          <w:rFonts w:ascii="Times New Roman" w:hAnsi="Times New Roman" w:cs="Times New Roman"/>
        </w:rPr>
      </w:pPr>
      <w:r w:rsidRPr="000A778E">
        <w:rPr>
          <w:rFonts w:ascii="Times New Roman" w:hAnsi="Times New Roman" w:cs="Times New Roman"/>
        </w:rPr>
        <w:t>Division of Public Health Performance Improvement</w:t>
      </w:r>
    </w:p>
    <w:p w:rsidR="004A2136" w:rsidRPr="000A778E" w:rsidRDefault="004A2136" w:rsidP="00961F81">
      <w:pPr>
        <w:spacing w:line="240" w:lineRule="auto"/>
        <w:ind w:left="0"/>
        <w:rPr>
          <w:rFonts w:ascii="Times New Roman" w:hAnsi="Times New Roman" w:cs="Times New Roman"/>
        </w:rPr>
      </w:pPr>
      <w:r w:rsidRPr="000A778E">
        <w:rPr>
          <w:rFonts w:ascii="Times New Roman" w:hAnsi="Times New Roman" w:cs="Times New Roman"/>
        </w:rPr>
        <w:t>Office of State, Tribal, Local and Territorial Support</w:t>
      </w:r>
    </w:p>
    <w:p w:rsidR="004A2136" w:rsidRPr="000A778E" w:rsidRDefault="004A2136" w:rsidP="00961F81">
      <w:pPr>
        <w:spacing w:line="240" w:lineRule="auto"/>
        <w:ind w:left="0"/>
        <w:rPr>
          <w:rFonts w:ascii="Times New Roman" w:hAnsi="Times New Roman" w:cs="Times New Roman"/>
        </w:rPr>
      </w:pPr>
      <w:r w:rsidRPr="000A778E">
        <w:rPr>
          <w:rFonts w:ascii="Times New Roman" w:hAnsi="Times New Roman" w:cs="Times New Roman"/>
        </w:rPr>
        <w:t>Centers for Disease Control</w:t>
      </w:r>
    </w:p>
    <w:p w:rsidR="004A2136" w:rsidRPr="000A778E" w:rsidRDefault="004A2136" w:rsidP="00961F81">
      <w:pPr>
        <w:spacing w:line="240" w:lineRule="auto"/>
        <w:ind w:left="0"/>
        <w:rPr>
          <w:rFonts w:ascii="Times New Roman" w:hAnsi="Times New Roman" w:cs="Times New Roman"/>
        </w:rPr>
      </w:pPr>
      <w:r>
        <w:rPr>
          <w:rFonts w:ascii="Times New Roman" w:hAnsi="Times New Roman" w:cs="Times New Roman"/>
        </w:rPr>
        <w:t>1825 Century Center MS E-19</w:t>
      </w:r>
    </w:p>
    <w:p w:rsidR="004A2136" w:rsidRPr="000A778E" w:rsidRDefault="004A2136" w:rsidP="00961F81">
      <w:pPr>
        <w:spacing w:line="240" w:lineRule="auto"/>
        <w:ind w:left="0"/>
        <w:rPr>
          <w:rFonts w:ascii="Times New Roman" w:hAnsi="Times New Roman" w:cs="Times New Roman"/>
        </w:rPr>
      </w:pPr>
      <w:r w:rsidRPr="000A778E">
        <w:rPr>
          <w:rFonts w:ascii="Times New Roman" w:hAnsi="Times New Roman" w:cs="Times New Roman"/>
        </w:rPr>
        <w:t xml:space="preserve">Tel: </w:t>
      </w:r>
      <w:r>
        <w:rPr>
          <w:rFonts w:ascii="Times New Roman" w:hAnsi="Times New Roman" w:cs="Times New Roman"/>
        </w:rPr>
        <w:t>404.498.0362</w:t>
      </w:r>
    </w:p>
    <w:p w:rsidR="004A2136" w:rsidRPr="000A778E" w:rsidRDefault="004A2136" w:rsidP="00961F81">
      <w:pPr>
        <w:spacing w:line="240" w:lineRule="auto"/>
        <w:ind w:left="0"/>
        <w:rPr>
          <w:rFonts w:ascii="Times New Roman" w:hAnsi="Times New Roman" w:cs="Times New Roman"/>
        </w:rPr>
      </w:pPr>
      <w:r w:rsidRPr="000A778E">
        <w:rPr>
          <w:rFonts w:ascii="Times New Roman" w:hAnsi="Times New Roman" w:cs="Times New Roman"/>
        </w:rPr>
        <w:t xml:space="preserve">Email: </w:t>
      </w:r>
      <w:hyperlink r:id="rId14" w:history="1">
        <w:r w:rsidRPr="00810668">
          <w:rPr>
            <w:rStyle w:val="Hyperlink"/>
            <w:rFonts w:ascii="Times New Roman" w:hAnsi="Times New Roman" w:cs="Times New Roman"/>
          </w:rPr>
          <w:t>uwq5@cdc.gov</w:t>
        </w:r>
      </w:hyperlink>
    </w:p>
    <w:p w:rsidR="0010635D" w:rsidRDefault="0010635D">
      <w:pPr>
        <w:tabs>
          <w:tab w:val="clear" w:pos="9360"/>
        </w:tabs>
        <w:spacing w:after="200"/>
        <w:ind w:left="0"/>
        <w:rPr>
          <w:b/>
          <w:sz w:val="28"/>
        </w:rPr>
      </w:pPr>
      <w:r>
        <w:br w:type="page"/>
      </w:r>
    </w:p>
    <w:p w:rsidR="00CD1EA8" w:rsidRPr="007D6163" w:rsidRDefault="00CD1EA8" w:rsidP="00CA5840">
      <w:pPr>
        <w:pStyle w:val="Heading3"/>
        <w:ind w:left="0"/>
      </w:pPr>
      <w:r w:rsidRPr="007D6163">
        <w:lastRenderedPageBreak/>
        <w:t>Section A</w:t>
      </w:r>
      <w:r w:rsidR="00B12F51" w:rsidRPr="007D6163">
        <w:t xml:space="preserve"> – Justification</w:t>
      </w:r>
    </w:p>
    <w:p w:rsidR="00B12F51" w:rsidRDefault="00B12F51" w:rsidP="007D6163"/>
    <w:p w:rsidR="00E33E1B" w:rsidRPr="00C01CAC" w:rsidRDefault="00B12F51" w:rsidP="008F2CF6">
      <w:pPr>
        <w:pStyle w:val="Heading4"/>
        <w:ind w:left="360"/>
      </w:pPr>
      <w:r w:rsidRPr="00C01CAC">
        <w:t>Circumstances Making the Collection of Information Necessary</w:t>
      </w:r>
    </w:p>
    <w:p w:rsidR="00E33E1B" w:rsidRPr="00C01CAC" w:rsidRDefault="00E33E1B" w:rsidP="008F2CF6">
      <w:pPr>
        <w:pStyle w:val="Heading5"/>
        <w:ind w:left="360"/>
      </w:pPr>
      <w:r w:rsidRPr="00C01CAC">
        <w:t>Background</w:t>
      </w:r>
      <w:r w:rsidR="000D37DE" w:rsidRPr="00C01CAC">
        <w:t xml:space="preserve"> </w:t>
      </w:r>
    </w:p>
    <w:p w:rsidR="00996AFE" w:rsidRDefault="004F67A8" w:rsidP="006C5866">
      <w:pPr>
        <w:widowControl w:val="0"/>
        <w:ind w:left="360"/>
      </w:pPr>
      <w:r w:rsidRPr="007409EC">
        <w:t>This data collection</w:t>
      </w:r>
      <w:r w:rsidR="00484011" w:rsidRPr="007409EC">
        <w:t xml:space="preserve"> is being conducted </w:t>
      </w:r>
      <w:r w:rsidR="009252DC" w:rsidRPr="007409EC">
        <w:t>using</w:t>
      </w:r>
      <w:r w:rsidR="00484011" w:rsidRPr="007409EC">
        <w:t xml:space="preserve"> the Generic Information Collection mechanism </w:t>
      </w:r>
      <w:r w:rsidR="009252DC" w:rsidRPr="007409EC">
        <w:t xml:space="preserve">of the OSTLTS </w:t>
      </w:r>
      <w:r w:rsidR="008F2CF6">
        <w:t>OMB Clearance Center (O2C2)</w:t>
      </w:r>
      <w:r w:rsidR="009252DC" w:rsidRPr="007409EC">
        <w:t xml:space="preserve"> </w:t>
      </w:r>
      <w:r w:rsidR="00484011" w:rsidRPr="007409EC">
        <w:t>– OMB No. 0920-0879</w:t>
      </w:r>
      <w:r w:rsidRPr="007409EC">
        <w:t>.</w:t>
      </w:r>
      <w:r w:rsidR="009252DC" w:rsidRPr="007409EC">
        <w:t xml:space="preserve"> Data will be collected from</w:t>
      </w:r>
      <w:r w:rsidR="00C01CAC" w:rsidRPr="007409EC">
        <w:t xml:space="preserve"> staff within state, local, tribal, and territorial health departments that are acting</w:t>
      </w:r>
      <w:r w:rsidR="009252DC" w:rsidRPr="007409EC">
        <w:t xml:space="preserve"> in their official capacities</w:t>
      </w:r>
      <w:r w:rsidR="006C5866">
        <w:t xml:space="preserve"> working on performance improvement within their organization</w:t>
      </w:r>
      <w:r w:rsidR="009252DC" w:rsidRPr="007409EC">
        <w:t>.</w:t>
      </w:r>
      <w:r w:rsidR="008F2CF6">
        <w:t xml:space="preserve"> </w:t>
      </w:r>
      <w:r w:rsidR="00B758A5" w:rsidRPr="00B758A5">
        <w:t>Common titles of respondents include, but are not limited to: program manager, accreditation coordinator, performance improvement manager, Mobilizing for Action through Planning and Partnerships (MAPP) coordinator, director, administrator, QI coordinator.</w:t>
      </w:r>
    </w:p>
    <w:p w:rsidR="00996AFE" w:rsidRDefault="00996AFE" w:rsidP="006C5866">
      <w:pPr>
        <w:widowControl w:val="0"/>
        <w:ind w:left="360"/>
      </w:pPr>
    </w:p>
    <w:p w:rsidR="006C5866" w:rsidRPr="007409EC" w:rsidRDefault="006C5866" w:rsidP="006C5866">
      <w:pPr>
        <w:widowControl w:val="0"/>
        <w:ind w:left="360"/>
      </w:pPr>
      <w:r>
        <w:t>This respondent universe</w:t>
      </w:r>
      <w:r w:rsidRPr="007409EC">
        <w:t xml:space="preserve"> depends on the work functions rather than specific job title to broadly encompass all personnel in health departments engaged in </w:t>
      </w:r>
      <w:r w:rsidR="00961F81">
        <w:t>performance improvement</w:t>
      </w:r>
      <w:r w:rsidRPr="007409EC">
        <w:t xml:space="preserve"> efforts. The functions include: </w:t>
      </w:r>
    </w:p>
    <w:p w:rsidR="006C5866" w:rsidRPr="00961F81" w:rsidRDefault="006C5866" w:rsidP="00996AFE">
      <w:pPr>
        <w:pStyle w:val="ListParagraph"/>
        <w:widowControl w:val="0"/>
        <w:numPr>
          <w:ilvl w:val="0"/>
          <w:numId w:val="35"/>
        </w:numPr>
        <w:tabs>
          <w:tab w:val="clear" w:pos="9360"/>
        </w:tabs>
      </w:pPr>
      <w:r w:rsidRPr="00961F81">
        <w:t>Coordinating efforts to prepare and apply for national voluntary accreditation</w:t>
      </w:r>
    </w:p>
    <w:p w:rsidR="006C5866" w:rsidRPr="00961F81" w:rsidRDefault="006C5866" w:rsidP="00996AFE">
      <w:pPr>
        <w:pStyle w:val="ListParagraph"/>
        <w:widowControl w:val="0"/>
        <w:numPr>
          <w:ilvl w:val="0"/>
          <w:numId w:val="35"/>
        </w:numPr>
        <w:tabs>
          <w:tab w:val="clear" w:pos="9360"/>
        </w:tabs>
      </w:pPr>
      <w:r w:rsidRPr="00961F81">
        <w:t>Leading state or community health assessment and improvement planning processes</w:t>
      </w:r>
    </w:p>
    <w:p w:rsidR="006C5866" w:rsidRPr="00961F81" w:rsidRDefault="006C5866" w:rsidP="00996AFE">
      <w:pPr>
        <w:pStyle w:val="ListParagraph"/>
        <w:widowControl w:val="0"/>
        <w:numPr>
          <w:ilvl w:val="0"/>
          <w:numId w:val="35"/>
        </w:numPr>
        <w:tabs>
          <w:tab w:val="clear" w:pos="9360"/>
        </w:tabs>
      </w:pPr>
      <w:r w:rsidRPr="00961F81">
        <w:t>Developing an agency strategic plan</w:t>
      </w:r>
    </w:p>
    <w:p w:rsidR="006C5866" w:rsidRPr="00961F81" w:rsidRDefault="006C5866" w:rsidP="00996AFE">
      <w:pPr>
        <w:pStyle w:val="ListParagraph"/>
        <w:widowControl w:val="0"/>
        <w:numPr>
          <w:ilvl w:val="0"/>
          <w:numId w:val="35"/>
        </w:numPr>
        <w:tabs>
          <w:tab w:val="clear" w:pos="9360"/>
        </w:tabs>
      </w:pPr>
      <w:r w:rsidRPr="00961F81">
        <w:t>Implementing agency-wide performance management systems</w:t>
      </w:r>
    </w:p>
    <w:p w:rsidR="006C5866" w:rsidRPr="00961F81" w:rsidRDefault="006C5866" w:rsidP="00996AFE">
      <w:pPr>
        <w:pStyle w:val="ListParagraph"/>
        <w:widowControl w:val="0"/>
        <w:numPr>
          <w:ilvl w:val="0"/>
          <w:numId w:val="35"/>
        </w:numPr>
        <w:tabs>
          <w:tab w:val="clear" w:pos="9360"/>
        </w:tabs>
      </w:pPr>
      <w:r w:rsidRPr="00961F81">
        <w:t xml:space="preserve">Engaging in </w:t>
      </w:r>
      <w:r w:rsidR="00961F81">
        <w:t>quality improvement (</w:t>
      </w:r>
      <w:r w:rsidRPr="00961F81">
        <w:t>QI</w:t>
      </w:r>
      <w:r w:rsidR="00961F81">
        <w:t>)</w:t>
      </w:r>
      <w:r w:rsidRPr="00961F81">
        <w:t xml:space="preserve"> to gain process efficiencies or improve health outcomes</w:t>
      </w:r>
    </w:p>
    <w:p w:rsidR="006C5866" w:rsidRPr="00961F81" w:rsidRDefault="006C5866" w:rsidP="00996AFE">
      <w:pPr>
        <w:pStyle w:val="ListParagraph"/>
        <w:widowControl w:val="0"/>
        <w:numPr>
          <w:ilvl w:val="0"/>
          <w:numId w:val="35"/>
        </w:numPr>
        <w:tabs>
          <w:tab w:val="clear" w:pos="9360"/>
        </w:tabs>
      </w:pPr>
      <w:r w:rsidRPr="00961F81">
        <w:t>Selecting and implementing evidence-based public health strategies to address health priorities outlined in a state or community health improvement plan</w:t>
      </w:r>
    </w:p>
    <w:p w:rsidR="006C5866" w:rsidRDefault="006C5866" w:rsidP="008F2CF6">
      <w:pPr>
        <w:ind w:left="360"/>
      </w:pPr>
    </w:p>
    <w:p w:rsidR="00226724" w:rsidRPr="00226724" w:rsidRDefault="00350C8C" w:rsidP="00226724">
      <w:pPr>
        <w:pStyle w:val="ListParagraph"/>
        <w:tabs>
          <w:tab w:val="clear" w:pos="9360"/>
        </w:tabs>
        <w:autoSpaceDE w:val="0"/>
        <w:autoSpaceDN w:val="0"/>
        <w:spacing w:line="240" w:lineRule="auto"/>
        <w:ind w:left="360"/>
        <w:rPr>
          <w:i/>
          <w:iCs/>
          <w:vertAlign w:val="superscript"/>
        </w:rPr>
      </w:pPr>
      <w:r w:rsidRPr="007409EC">
        <w:t>This data collection is authorized by Section 301 of the Public Health Service Act (42 U.S.C. 241).</w:t>
      </w:r>
      <w:r w:rsidR="00226724">
        <w:t xml:space="preserve"> </w:t>
      </w:r>
      <w:r w:rsidR="00226724">
        <w:rPr>
          <w:iCs/>
        </w:rPr>
        <w:t xml:space="preserve">This data collection falls under the essential public health service of assuring </w:t>
      </w:r>
      <w:r w:rsidR="00226724" w:rsidRPr="00226724">
        <w:rPr>
          <w:iCs/>
        </w:rPr>
        <w:t>a competent public health and personal health care workforce.</w:t>
      </w:r>
      <w:r w:rsidR="00226724">
        <w:rPr>
          <w:iCs/>
          <w:vertAlign w:val="superscript"/>
        </w:rPr>
        <w:t>1</w:t>
      </w:r>
    </w:p>
    <w:p w:rsidR="00350C8C" w:rsidRPr="007409EC" w:rsidRDefault="00350C8C" w:rsidP="008F2CF6">
      <w:pPr>
        <w:ind w:left="360"/>
      </w:pPr>
    </w:p>
    <w:p w:rsidR="00DB6369" w:rsidRPr="00DB6369" w:rsidRDefault="00C01CAC" w:rsidP="00996D6F">
      <w:pPr>
        <w:ind w:left="360"/>
        <w:rPr>
          <w:rFonts w:ascii="Verdana" w:hAnsi="Verdana"/>
          <w:sz w:val="18"/>
          <w:szCs w:val="18"/>
          <w:lang w:val="en"/>
        </w:rPr>
      </w:pPr>
      <w:r w:rsidRPr="007409EC">
        <w:t xml:space="preserve">For the past three years (2010-2012), the Center for Disease Control and Prevention’s </w:t>
      </w:r>
      <w:r w:rsidR="00477944" w:rsidRPr="00477944">
        <w:t>National Public Health Improvement Initiative</w:t>
      </w:r>
      <w:r w:rsidRPr="007409EC">
        <w:t xml:space="preserve"> (NPHII) </w:t>
      </w:r>
      <w:r w:rsidR="00477944">
        <w:t>(</w:t>
      </w:r>
      <w:r w:rsidR="00996AFE" w:rsidRPr="00961F81">
        <w:t>see</w:t>
      </w:r>
      <w:r w:rsidR="00996AFE">
        <w:rPr>
          <w:b/>
        </w:rPr>
        <w:t xml:space="preserve"> </w:t>
      </w:r>
      <w:r w:rsidR="00961F81">
        <w:rPr>
          <w:b/>
        </w:rPr>
        <w:t>A</w:t>
      </w:r>
      <w:r w:rsidR="00996AFE">
        <w:rPr>
          <w:b/>
        </w:rPr>
        <w:t>ttachment A</w:t>
      </w:r>
      <w:r w:rsidR="00477944">
        <w:rPr>
          <w:b/>
        </w:rPr>
        <w:t>: NNPHI Fact Sheet</w:t>
      </w:r>
      <w:r w:rsidR="00477944" w:rsidRPr="00C25E66">
        <w:t xml:space="preserve">) </w:t>
      </w:r>
      <w:r w:rsidRPr="007409EC">
        <w:t xml:space="preserve">has supported health departments across the country to engage in efforts to accelerate public health accreditation readiness activities; implement performance and improvement management practices and systems; and implement and share practice-based evidence.  Seventy-three state, territorial, local, and tribal health departments are funded under the initiative.  Each of the 73 funded organizations was required to assign a staff person or hire a new staff person to serve as the Performance Improvement Manager (PIM) for the agency.  The CDC Office of State, Territorial, Local, and Tribal Support (OSTLTS) has facilitated a </w:t>
      </w:r>
      <w:r w:rsidR="00DB6369">
        <w:t xml:space="preserve">community of </w:t>
      </w:r>
      <w:r w:rsidR="00996AFE">
        <w:t>practice</w:t>
      </w:r>
      <w:r w:rsidR="00DB6369">
        <w:t xml:space="preserve">, the </w:t>
      </w:r>
      <w:r w:rsidR="00996AFE">
        <w:t>Performance</w:t>
      </w:r>
      <w:r w:rsidR="00DB6369">
        <w:t xml:space="preserve"> Improvement Managers </w:t>
      </w:r>
      <w:r w:rsidR="00996AFE">
        <w:t xml:space="preserve">(PIM) </w:t>
      </w:r>
      <w:r w:rsidR="00DB6369">
        <w:t>Network</w:t>
      </w:r>
      <w:r w:rsidR="00996AFE">
        <w:t>.</w:t>
      </w:r>
      <w:r w:rsidR="00DB6369">
        <w:t xml:space="preserve"> </w:t>
      </w:r>
    </w:p>
    <w:p w:rsidR="00B758A5" w:rsidRDefault="00B758A5" w:rsidP="00996D6F">
      <w:pPr>
        <w:ind w:left="360"/>
        <w:rPr>
          <w:rFonts w:eastAsia="Times New Roman"/>
          <w:lang w:val="en"/>
        </w:rPr>
      </w:pPr>
    </w:p>
    <w:p w:rsidR="00DB6369" w:rsidRPr="00DB6369" w:rsidRDefault="00DB6369" w:rsidP="00996D6F">
      <w:pPr>
        <w:ind w:left="360"/>
        <w:rPr>
          <w:rFonts w:eastAsia="Times New Roman"/>
          <w:lang w:val="en"/>
        </w:rPr>
      </w:pPr>
      <w:r w:rsidRPr="00DB6369">
        <w:rPr>
          <w:rFonts w:eastAsia="Times New Roman"/>
          <w:lang w:val="en"/>
        </w:rPr>
        <w:t xml:space="preserve">PIM Network </w:t>
      </w:r>
      <w:r w:rsidR="00477944">
        <w:rPr>
          <w:rFonts w:eastAsia="Times New Roman"/>
          <w:lang w:val="en"/>
        </w:rPr>
        <w:t>(</w:t>
      </w:r>
      <w:r w:rsidR="00996AFE" w:rsidRPr="00961F81">
        <w:rPr>
          <w:rFonts w:eastAsia="Times New Roman"/>
          <w:lang w:val="en"/>
        </w:rPr>
        <w:t xml:space="preserve">see </w:t>
      </w:r>
      <w:r w:rsidR="00961F81">
        <w:rPr>
          <w:rFonts w:eastAsia="Times New Roman"/>
          <w:b/>
          <w:lang w:val="en"/>
        </w:rPr>
        <w:t xml:space="preserve">Attachment </w:t>
      </w:r>
      <w:r w:rsidR="00996AFE">
        <w:rPr>
          <w:rFonts w:eastAsia="Times New Roman"/>
          <w:b/>
          <w:lang w:val="en"/>
        </w:rPr>
        <w:t>B</w:t>
      </w:r>
      <w:r w:rsidR="00477944">
        <w:rPr>
          <w:rFonts w:eastAsia="Times New Roman"/>
          <w:b/>
          <w:lang w:val="en"/>
        </w:rPr>
        <w:t>: PIM Network Fact Sheet</w:t>
      </w:r>
      <w:r w:rsidR="00477944" w:rsidRPr="0011706A">
        <w:rPr>
          <w:rFonts w:eastAsia="Times New Roman"/>
          <w:lang w:val="en"/>
        </w:rPr>
        <w:t xml:space="preserve">) </w:t>
      </w:r>
      <w:r w:rsidRPr="00DB6369">
        <w:rPr>
          <w:rFonts w:eastAsia="Times New Roman"/>
          <w:lang w:val="en"/>
        </w:rPr>
        <w:t xml:space="preserve">activities support ongoing communication and network building, facilitate training and professional development, and build the evidence base for performance management and quality improvement efforts. These activities include </w:t>
      </w:r>
    </w:p>
    <w:p w:rsidR="00DB6369" w:rsidRPr="00996D6F" w:rsidRDefault="00DB6369" w:rsidP="00961F81">
      <w:pPr>
        <w:pStyle w:val="ListParagraph"/>
        <w:numPr>
          <w:ilvl w:val="0"/>
          <w:numId w:val="34"/>
        </w:numPr>
        <w:ind w:left="1440"/>
        <w:rPr>
          <w:rFonts w:eastAsia="Times New Roman"/>
          <w:lang w:val="en"/>
        </w:rPr>
      </w:pPr>
      <w:r w:rsidRPr="00996D6F">
        <w:rPr>
          <w:rFonts w:eastAsia="Times New Roman"/>
          <w:lang w:val="en"/>
        </w:rPr>
        <w:lastRenderedPageBreak/>
        <w:t xml:space="preserve">Hosting monthly educational webinars that often highlight the performance management and quality improvement efforts of the PIM Network members </w:t>
      </w:r>
    </w:p>
    <w:p w:rsidR="00996D6F" w:rsidRDefault="00DB6369" w:rsidP="00961F81">
      <w:pPr>
        <w:pStyle w:val="ListParagraph"/>
        <w:numPr>
          <w:ilvl w:val="0"/>
          <w:numId w:val="34"/>
        </w:numPr>
        <w:ind w:left="1440"/>
        <w:rPr>
          <w:rFonts w:eastAsia="Times New Roman"/>
          <w:lang w:val="en"/>
        </w:rPr>
      </w:pPr>
      <w:r w:rsidRPr="00996D6F">
        <w:rPr>
          <w:rFonts w:eastAsia="Times New Roman"/>
          <w:lang w:val="en"/>
        </w:rPr>
        <w:t xml:space="preserve">Promoting active discussion and peer support via a private listserv and an online community of practice </w:t>
      </w:r>
    </w:p>
    <w:p w:rsidR="00996D6F" w:rsidRDefault="00DB6369" w:rsidP="00961F81">
      <w:pPr>
        <w:pStyle w:val="ListParagraph"/>
        <w:numPr>
          <w:ilvl w:val="0"/>
          <w:numId w:val="34"/>
        </w:numPr>
        <w:ind w:left="1440"/>
        <w:rPr>
          <w:rFonts w:eastAsia="Times New Roman"/>
          <w:lang w:val="en"/>
        </w:rPr>
      </w:pPr>
      <w:r w:rsidRPr="00996D6F">
        <w:rPr>
          <w:rFonts w:eastAsia="Times New Roman"/>
          <w:lang w:val="en"/>
        </w:rPr>
        <w:t>Providing training and education opportunities at t</w:t>
      </w:r>
      <w:r w:rsidR="00996D6F" w:rsidRPr="00996D6F">
        <w:rPr>
          <w:rFonts w:eastAsia="Times New Roman"/>
          <w:lang w:val="en"/>
        </w:rPr>
        <w:t>he annual NPHII Awardee Meeting</w:t>
      </w:r>
    </w:p>
    <w:p w:rsidR="00996D6F" w:rsidRPr="00996D6F" w:rsidRDefault="00DB6369" w:rsidP="00961F81">
      <w:pPr>
        <w:pStyle w:val="ListParagraph"/>
        <w:numPr>
          <w:ilvl w:val="0"/>
          <w:numId w:val="34"/>
        </w:numPr>
        <w:ind w:left="1440"/>
        <w:rPr>
          <w:lang w:val="en"/>
        </w:rPr>
      </w:pPr>
      <w:r w:rsidRPr="00996D6F">
        <w:rPr>
          <w:rFonts w:eastAsia="Times New Roman"/>
          <w:lang w:val="en"/>
        </w:rPr>
        <w:t xml:space="preserve">Identifying opportunities for participation in developing, informing, and updating </w:t>
      </w:r>
      <w:r w:rsidR="00C25E66">
        <w:rPr>
          <w:rFonts w:eastAsia="Times New Roman"/>
          <w:lang w:val="en"/>
        </w:rPr>
        <w:t>performance</w:t>
      </w:r>
      <w:r w:rsidR="00961F81">
        <w:rPr>
          <w:rFonts w:eastAsia="Times New Roman"/>
          <w:lang w:val="en"/>
        </w:rPr>
        <w:t xml:space="preserve"> management (</w:t>
      </w:r>
      <w:r w:rsidRPr="00996D6F">
        <w:rPr>
          <w:rFonts w:eastAsia="Times New Roman"/>
          <w:lang w:val="en"/>
        </w:rPr>
        <w:t>PM</w:t>
      </w:r>
      <w:r w:rsidR="00961F81">
        <w:rPr>
          <w:rFonts w:eastAsia="Times New Roman"/>
          <w:lang w:val="en"/>
        </w:rPr>
        <w:t>)</w:t>
      </w:r>
      <w:r w:rsidRPr="00996D6F">
        <w:rPr>
          <w:rFonts w:eastAsia="Times New Roman"/>
          <w:lang w:val="en"/>
        </w:rPr>
        <w:t>/QI policies and practices</w:t>
      </w:r>
    </w:p>
    <w:p w:rsidR="00996AFE" w:rsidRDefault="00996AFE" w:rsidP="00961F81">
      <w:pPr>
        <w:pStyle w:val="Default"/>
        <w:ind w:left="360"/>
        <w:rPr>
          <w:rFonts w:asciiTheme="majorHAnsi" w:hAnsiTheme="majorHAnsi"/>
          <w:sz w:val="22"/>
          <w:szCs w:val="22"/>
          <w:lang w:val="en"/>
        </w:rPr>
      </w:pPr>
    </w:p>
    <w:p w:rsidR="00167E26" w:rsidRDefault="00C01CAC" w:rsidP="00961F81">
      <w:pPr>
        <w:pStyle w:val="Default"/>
        <w:ind w:left="360"/>
        <w:rPr>
          <w:rFonts w:asciiTheme="majorHAnsi" w:hAnsiTheme="majorHAnsi"/>
          <w:sz w:val="22"/>
          <w:szCs w:val="22"/>
          <w:lang w:val="en"/>
        </w:rPr>
      </w:pPr>
      <w:r w:rsidRPr="007409EC">
        <w:rPr>
          <w:rFonts w:asciiTheme="majorHAnsi" w:hAnsiTheme="majorHAnsi"/>
          <w:sz w:val="22"/>
          <w:szCs w:val="22"/>
          <w:lang w:val="en"/>
        </w:rPr>
        <w:t xml:space="preserve">The network of PIMs has also been connected to a broader Public Health Improvement Workforce that have been supported through other CDC initiatives as well as the Robert Wood Johnson Foundation (RWJF)-funded initiatives, such as the Multi-State Learning Collaborative (MLC) and the Community of Practice for Public Health Improvement (COPPHI) – both of which were managed by the National Network of Public Health Institutes (NNPHI).  </w:t>
      </w:r>
      <w:r w:rsidRPr="00167E26">
        <w:rPr>
          <w:rFonts w:asciiTheme="majorHAnsi" w:hAnsiTheme="majorHAnsi"/>
          <w:sz w:val="22"/>
          <w:szCs w:val="22"/>
          <w:lang w:val="en"/>
        </w:rPr>
        <w:t xml:space="preserve"> </w:t>
      </w:r>
    </w:p>
    <w:p w:rsidR="00167E26" w:rsidRDefault="00167E26" w:rsidP="00961F81">
      <w:pPr>
        <w:pStyle w:val="Default"/>
        <w:ind w:left="360"/>
        <w:rPr>
          <w:rFonts w:asciiTheme="majorHAnsi" w:hAnsiTheme="majorHAnsi"/>
          <w:sz w:val="22"/>
          <w:szCs w:val="22"/>
          <w:lang w:val="en"/>
        </w:rPr>
      </w:pPr>
    </w:p>
    <w:p w:rsidR="00167E26" w:rsidRDefault="00167E26" w:rsidP="00961F81">
      <w:pPr>
        <w:pStyle w:val="Default"/>
        <w:ind w:left="360"/>
        <w:rPr>
          <w:rFonts w:asciiTheme="majorHAnsi" w:hAnsiTheme="majorHAnsi"/>
          <w:sz w:val="22"/>
          <w:szCs w:val="22"/>
        </w:rPr>
      </w:pPr>
      <w:r w:rsidRPr="00167E26">
        <w:rPr>
          <w:rFonts w:asciiTheme="majorHAnsi" w:hAnsiTheme="majorHAnsi"/>
          <w:sz w:val="22"/>
          <w:szCs w:val="22"/>
        </w:rPr>
        <w:t xml:space="preserve">The Multi-State Learning Collaborative (MLC) </w:t>
      </w:r>
      <w:r w:rsidR="00477944">
        <w:rPr>
          <w:rFonts w:asciiTheme="majorHAnsi" w:hAnsiTheme="majorHAnsi"/>
          <w:sz w:val="22"/>
          <w:szCs w:val="22"/>
        </w:rPr>
        <w:t>(</w:t>
      </w:r>
      <w:r w:rsidR="00996AFE" w:rsidRPr="00961F81">
        <w:rPr>
          <w:rFonts w:asciiTheme="majorHAnsi" w:hAnsiTheme="majorHAnsi"/>
          <w:sz w:val="22"/>
          <w:szCs w:val="22"/>
        </w:rPr>
        <w:t>see</w:t>
      </w:r>
      <w:r w:rsidR="00996AFE">
        <w:rPr>
          <w:rFonts w:asciiTheme="majorHAnsi" w:hAnsiTheme="majorHAnsi"/>
          <w:b/>
          <w:sz w:val="22"/>
          <w:szCs w:val="22"/>
        </w:rPr>
        <w:t xml:space="preserve"> </w:t>
      </w:r>
      <w:r w:rsidR="00961F81">
        <w:rPr>
          <w:rFonts w:asciiTheme="majorHAnsi" w:hAnsiTheme="majorHAnsi"/>
          <w:b/>
          <w:sz w:val="22"/>
          <w:szCs w:val="22"/>
        </w:rPr>
        <w:t>A</w:t>
      </w:r>
      <w:r w:rsidR="00996AFE">
        <w:rPr>
          <w:rFonts w:asciiTheme="majorHAnsi" w:hAnsiTheme="majorHAnsi"/>
          <w:b/>
          <w:sz w:val="22"/>
          <w:szCs w:val="22"/>
        </w:rPr>
        <w:t>ttachment C</w:t>
      </w:r>
      <w:r w:rsidR="00477944">
        <w:rPr>
          <w:rFonts w:asciiTheme="majorHAnsi" w:hAnsiTheme="majorHAnsi"/>
          <w:b/>
          <w:sz w:val="22"/>
          <w:szCs w:val="22"/>
        </w:rPr>
        <w:t>: Multi-State Learning Collaborative</w:t>
      </w:r>
      <w:r w:rsidR="00477944" w:rsidRPr="00C25E66">
        <w:rPr>
          <w:rFonts w:asciiTheme="majorHAnsi" w:hAnsiTheme="majorHAnsi"/>
          <w:sz w:val="22"/>
          <w:szCs w:val="22"/>
        </w:rPr>
        <w:t xml:space="preserve">) </w:t>
      </w:r>
      <w:r w:rsidRPr="00167E26">
        <w:rPr>
          <w:rFonts w:asciiTheme="majorHAnsi" w:hAnsiTheme="majorHAnsi"/>
          <w:sz w:val="22"/>
          <w:szCs w:val="22"/>
        </w:rPr>
        <w:t>was a six year project managed by NNPHI and supported by the Robert Wood Johnson Foundation that ended in April 2011.The MLC brought together various stakeholders, including state and local health departments, public health institutes, health care providers, and universities, in sixteen states to prepare for public health accreditation and apply quality improvement practices to achieve measurable goals.</w:t>
      </w:r>
    </w:p>
    <w:p w:rsidR="00167E26" w:rsidRDefault="00167E26" w:rsidP="00961F81">
      <w:pPr>
        <w:pStyle w:val="Default"/>
        <w:ind w:left="360"/>
        <w:rPr>
          <w:rFonts w:asciiTheme="majorHAnsi" w:hAnsiTheme="majorHAnsi"/>
          <w:sz w:val="22"/>
          <w:szCs w:val="22"/>
        </w:rPr>
      </w:pPr>
    </w:p>
    <w:p w:rsidR="00167E26" w:rsidRPr="00167E26" w:rsidRDefault="00167E26" w:rsidP="00961F81">
      <w:pPr>
        <w:pStyle w:val="Default"/>
        <w:ind w:left="360"/>
        <w:rPr>
          <w:rFonts w:asciiTheme="majorHAnsi" w:eastAsiaTheme="minorEastAsia" w:hAnsiTheme="majorHAnsi" w:cs="Calibri"/>
          <w:sz w:val="22"/>
          <w:szCs w:val="22"/>
        </w:rPr>
      </w:pPr>
      <w:r w:rsidRPr="00167E26">
        <w:rPr>
          <w:rFonts w:asciiTheme="majorHAnsi" w:hAnsiTheme="majorHAnsi"/>
          <w:sz w:val="22"/>
          <w:szCs w:val="22"/>
          <w:lang w:val="en"/>
        </w:rPr>
        <w:t>The Community of Practice for Public Health Improvement (COPPHI) facilitates the exchange of best practices and builds capacity among the nation’s health departments to become accredited and conduct quality improvement through the provision of grants, technical assistance, and shared learning opportunities.</w:t>
      </w:r>
      <w:r w:rsidRPr="00167E26">
        <w:rPr>
          <w:rFonts w:asciiTheme="majorHAnsi" w:hAnsiTheme="majorHAnsi" w:cs="Calibri"/>
          <w:sz w:val="22"/>
          <w:szCs w:val="22"/>
        </w:rPr>
        <w:t xml:space="preserve">  </w:t>
      </w:r>
      <w:r w:rsidRPr="00167E26">
        <w:rPr>
          <w:rFonts w:asciiTheme="majorHAnsi" w:hAnsiTheme="majorHAnsi"/>
          <w:sz w:val="22"/>
          <w:szCs w:val="22"/>
          <w:lang w:val="en"/>
        </w:rPr>
        <w:t xml:space="preserve">COPPHI reaches a broad range of local, state, and tribal health department representatives; researchers; public health institutes; universities; national public health organizations; funders; policymakers; and government agencies through the Open Forum for Quality Improvement in Public Health, the Kaizen Event Program, the Quality Improvement Award Program, the Gaining Ground Program, and the Public Health Quality Improvement Exchange. </w:t>
      </w:r>
    </w:p>
    <w:p w:rsidR="00167E26" w:rsidRDefault="00167E26" w:rsidP="00961F81">
      <w:pPr>
        <w:tabs>
          <w:tab w:val="clear" w:pos="9360"/>
        </w:tabs>
        <w:autoSpaceDE w:val="0"/>
        <w:autoSpaceDN w:val="0"/>
        <w:adjustRightInd w:val="0"/>
        <w:spacing w:line="240" w:lineRule="auto"/>
        <w:ind w:left="360"/>
        <w:rPr>
          <w:rFonts w:ascii="Calibri" w:hAnsi="Calibri" w:cs="Calibri"/>
          <w:color w:val="000000"/>
          <w:sz w:val="23"/>
          <w:szCs w:val="23"/>
        </w:rPr>
      </w:pPr>
    </w:p>
    <w:p w:rsidR="008F2CF6" w:rsidRDefault="00C01CAC" w:rsidP="00961F81">
      <w:pPr>
        <w:tabs>
          <w:tab w:val="clear" w:pos="9360"/>
        </w:tabs>
        <w:autoSpaceDE w:val="0"/>
        <w:autoSpaceDN w:val="0"/>
        <w:adjustRightInd w:val="0"/>
        <w:spacing w:line="240" w:lineRule="auto"/>
        <w:ind w:left="360"/>
      </w:pPr>
      <w:r w:rsidRPr="007409EC">
        <w:rPr>
          <w:rFonts w:cs="Arial"/>
          <w:lang w:val="en"/>
        </w:rPr>
        <w:t>The creation and support of these networks has been integral to the forward movement of accreditation.</w:t>
      </w:r>
      <w:r w:rsidR="008F2CF6">
        <w:rPr>
          <w:rFonts w:cs="Arial"/>
          <w:lang w:val="en"/>
        </w:rPr>
        <w:t xml:space="preserve"> </w:t>
      </w:r>
      <w:r w:rsidR="006274D7">
        <w:rPr>
          <w:rFonts w:cs="Arial"/>
          <w:lang w:val="en"/>
        </w:rPr>
        <w:t>However, as mentioned above, the MLC concluded in 2011 and NPHII funding will end this year. Therefore, in</w:t>
      </w:r>
      <w:r w:rsidRPr="007409EC">
        <w:rPr>
          <w:rFonts w:cs="Arial"/>
        </w:rPr>
        <w:t xml:space="preserve"> order to explore a model for promoting longevity and sustainability of these efforts in the field, the National Network of Public Health Institutes (NNPHI) will lead an effort to determine the desirability and feasibility for establishing a </w:t>
      </w:r>
      <w:r w:rsidRPr="007409EC">
        <w:rPr>
          <w:rFonts w:cs="Arial"/>
          <w:b/>
        </w:rPr>
        <w:t>professional association</w:t>
      </w:r>
      <w:r w:rsidRPr="007409EC">
        <w:rPr>
          <w:rFonts w:cs="Arial"/>
        </w:rPr>
        <w:t xml:space="preserve"> for the </w:t>
      </w:r>
      <w:r w:rsidR="00C25E66">
        <w:rPr>
          <w:rFonts w:cs="Arial"/>
        </w:rPr>
        <w:t>s</w:t>
      </w:r>
      <w:r w:rsidR="00412258">
        <w:rPr>
          <w:rFonts w:cs="Arial"/>
        </w:rPr>
        <w:t xml:space="preserve">tate, </w:t>
      </w:r>
      <w:r w:rsidR="00C25E66">
        <w:rPr>
          <w:rFonts w:cs="Arial"/>
        </w:rPr>
        <w:t>t</w:t>
      </w:r>
      <w:r w:rsidR="00412258">
        <w:rPr>
          <w:rFonts w:cs="Arial"/>
        </w:rPr>
        <w:t xml:space="preserve">ribal, </w:t>
      </w:r>
      <w:r w:rsidR="00C25E66">
        <w:rPr>
          <w:rFonts w:cs="Arial"/>
        </w:rPr>
        <w:t>local and t</w:t>
      </w:r>
      <w:r w:rsidR="00412258">
        <w:rPr>
          <w:rFonts w:cs="Arial"/>
        </w:rPr>
        <w:t>erritorial</w:t>
      </w:r>
      <w:r w:rsidR="00C25E66">
        <w:rPr>
          <w:rFonts w:cs="Arial"/>
        </w:rPr>
        <w:t xml:space="preserve"> </w:t>
      </w:r>
      <w:r w:rsidRPr="007409EC">
        <w:rPr>
          <w:rFonts w:cs="Arial"/>
        </w:rPr>
        <w:t>public health</w:t>
      </w:r>
      <w:r w:rsidR="00037708" w:rsidRPr="007409EC">
        <w:rPr>
          <w:rFonts w:cs="Arial"/>
        </w:rPr>
        <w:t xml:space="preserve"> </w:t>
      </w:r>
      <w:r w:rsidR="007409EC">
        <w:rPr>
          <w:rFonts w:cs="Arial"/>
        </w:rPr>
        <w:t>per</w:t>
      </w:r>
      <w:r w:rsidR="00037708" w:rsidRPr="007409EC">
        <w:rPr>
          <w:rFonts w:cs="Arial"/>
        </w:rPr>
        <w:t>formance</w:t>
      </w:r>
      <w:r w:rsidRPr="007409EC">
        <w:rPr>
          <w:rFonts w:cs="Arial"/>
        </w:rPr>
        <w:t xml:space="preserve"> improvement workforce</w:t>
      </w:r>
      <w:r w:rsidRPr="007409EC">
        <w:t xml:space="preserve">.  The public health </w:t>
      </w:r>
      <w:r w:rsidR="00037708" w:rsidRPr="007409EC">
        <w:t xml:space="preserve">performance </w:t>
      </w:r>
      <w:r w:rsidRPr="007409EC">
        <w:t xml:space="preserve">improvement workforce includes staff within health departments who hold responsibility for engaging in efforts that advance performance and quality in public health agencies and systems. </w:t>
      </w:r>
    </w:p>
    <w:p w:rsidR="00996D6F" w:rsidRDefault="00996D6F" w:rsidP="00961F81">
      <w:pPr>
        <w:tabs>
          <w:tab w:val="clear" w:pos="9360"/>
        </w:tabs>
        <w:autoSpaceDE w:val="0"/>
        <w:autoSpaceDN w:val="0"/>
        <w:adjustRightInd w:val="0"/>
        <w:spacing w:line="240" w:lineRule="auto"/>
        <w:ind w:left="360"/>
      </w:pPr>
    </w:p>
    <w:p w:rsidR="00C01CAC" w:rsidRPr="007409EC" w:rsidRDefault="00961F81" w:rsidP="00961F81">
      <w:pPr>
        <w:ind w:left="360"/>
        <w:rPr>
          <w:rFonts w:cs="Arial"/>
        </w:rPr>
      </w:pPr>
      <w:r>
        <w:t>To this end, t</w:t>
      </w:r>
      <w:r w:rsidR="00996D6F" w:rsidRPr="002F1D16">
        <w:t>he purpose of this data collection tool is to capture the public health improvement workforce’s perspectives on the creation of public health improvement professional association</w:t>
      </w:r>
      <w:r w:rsidR="000A34F1">
        <w:t xml:space="preserve"> (PHPIPA)</w:t>
      </w:r>
      <w:r w:rsidR="00996D6F">
        <w:t xml:space="preserve">. </w:t>
      </w:r>
      <w:r w:rsidR="00996D6F">
        <w:rPr>
          <w:rFonts w:cs="Arial"/>
        </w:rPr>
        <w:t>This</w:t>
      </w:r>
      <w:r w:rsidR="009A1DBC">
        <w:rPr>
          <w:rFonts w:cs="Arial"/>
        </w:rPr>
        <w:t xml:space="preserve"> data </w:t>
      </w:r>
      <w:r w:rsidR="00996D6F">
        <w:rPr>
          <w:rFonts w:cs="Arial"/>
        </w:rPr>
        <w:t>will</w:t>
      </w:r>
      <w:r w:rsidR="009A1DBC">
        <w:rPr>
          <w:rFonts w:cs="Arial"/>
        </w:rPr>
        <w:t xml:space="preserve"> </w:t>
      </w:r>
      <w:r w:rsidR="00C01CAC" w:rsidRPr="007409EC">
        <w:rPr>
          <w:rFonts w:cs="Arial"/>
        </w:rPr>
        <w:t xml:space="preserve">assist </w:t>
      </w:r>
      <w:r>
        <w:rPr>
          <w:rFonts w:cs="Arial"/>
        </w:rPr>
        <w:t>CDC</w:t>
      </w:r>
      <w:r w:rsidR="00C01CAC" w:rsidRPr="007409EC">
        <w:rPr>
          <w:rFonts w:cs="Arial"/>
        </w:rPr>
        <w:t xml:space="preserve"> </w:t>
      </w:r>
      <w:r w:rsidR="009A1DBC">
        <w:rPr>
          <w:rFonts w:cs="Arial"/>
        </w:rPr>
        <w:t xml:space="preserve">in </w:t>
      </w:r>
      <w:r w:rsidR="00C01CAC" w:rsidRPr="007409EC">
        <w:rPr>
          <w:rFonts w:cs="Arial"/>
        </w:rPr>
        <w:t>determin</w:t>
      </w:r>
      <w:r w:rsidR="009A1DBC">
        <w:rPr>
          <w:rFonts w:cs="Arial"/>
        </w:rPr>
        <w:t>ing</w:t>
      </w:r>
      <w:r w:rsidR="00C01CAC" w:rsidRPr="007409EC">
        <w:rPr>
          <w:rFonts w:cs="Arial"/>
        </w:rPr>
        <w:t xml:space="preserve"> whether the creation of a professional association serving the public health improvement workforce is feasible as a mechanism to support the sustainability of the networks that have been created.    </w:t>
      </w:r>
    </w:p>
    <w:p w:rsidR="00C01CAC" w:rsidRPr="007409EC" w:rsidRDefault="00C01CAC" w:rsidP="008F2CF6">
      <w:pPr>
        <w:ind w:left="360"/>
        <w:rPr>
          <w:rFonts w:cs="Arial"/>
        </w:rPr>
      </w:pPr>
    </w:p>
    <w:p w:rsidR="00B4092D" w:rsidRDefault="00B4092D">
      <w:pPr>
        <w:tabs>
          <w:tab w:val="clear" w:pos="9360"/>
        </w:tabs>
        <w:spacing w:after="200"/>
        <w:ind w:left="0"/>
        <w:rPr>
          <w:b/>
        </w:rPr>
      </w:pPr>
      <w:r>
        <w:lastRenderedPageBreak/>
        <w:br w:type="page"/>
      </w:r>
    </w:p>
    <w:p w:rsidR="006102DA" w:rsidRPr="001A28F6" w:rsidRDefault="006102DA" w:rsidP="008F2CF6">
      <w:pPr>
        <w:pStyle w:val="Heading5"/>
        <w:ind w:left="360"/>
      </w:pPr>
      <w:r w:rsidRPr="001A28F6">
        <w:lastRenderedPageBreak/>
        <w:t>Privacy Impact Assessment</w:t>
      </w:r>
    </w:p>
    <w:p w:rsidR="007409EC" w:rsidRDefault="006102DA" w:rsidP="008F2CF6">
      <w:pPr>
        <w:ind w:left="360"/>
      </w:pPr>
      <w:r w:rsidRPr="005D6F14">
        <w:rPr>
          <w:rStyle w:val="Heading6Char"/>
        </w:rPr>
        <w:t>Overview of the Data Collection System</w:t>
      </w:r>
      <w:r w:rsidR="00151567" w:rsidRPr="001A28F6">
        <w:t xml:space="preserve"> – </w:t>
      </w:r>
    </w:p>
    <w:p w:rsidR="004024F8" w:rsidRPr="00DB39A3" w:rsidRDefault="00B1129F" w:rsidP="008F2CF6">
      <w:pPr>
        <w:ind w:left="360"/>
      </w:pPr>
      <w:r w:rsidRPr="001A28F6">
        <w:t xml:space="preserve">The data collection system consists of </w:t>
      </w:r>
      <w:r w:rsidR="00D5367E" w:rsidRPr="001A28F6">
        <w:t xml:space="preserve">a </w:t>
      </w:r>
      <w:r w:rsidRPr="001A28F6">
        <w:t xml:space="preserve">web-based </w:t>
      </w:r>
      <w:r w:rsidR="00D5367E" w:rsidRPr="001A28F6">
        <w:t>questionnaire</w:t>
      </w:r>
      <w:r w:rsidR="00E23568" w:rsidRPr="001A28F6">
        <w:t xml:space="preserve"> (</w:t>
      </w:r>
      <w:r w:rsidR="00E23568" w:rsidRPr="000A34F1">
        <w:t xml:space="preserve">see </w:t>
      </w:r>
      <w:r w:rsidR="00E23568" w:rsidRPr="008229E4">
        <w:rPr>
          <w:b/>
        </w:rPr>
        <w:t xml:space="preserve">Attachment </w:t>
      </w:r>
      <w:r w:rsidR="00996AFE">
        <w:rPr>
          <w:b/>
        </w:rPr>
        <w:t>C</w:t>
      </w:r>
      <w:r w:rsidR="000A34F1">
        <w:rPr>
          <w:b/>
        </w:rPr>
        <w:t xml:space="preserve">: </w:t>
      </w:r>
      <w:r w:rsidR="00EC1EF3" w:rsidRPr="00EC1EF3">
        <w:rPr>
          <w:b/>
        </w:rPr>
        <w:t>PH</w:t>
      </w:r>
      <w:r w:rsidR="00B15452">
        <w:rPr>
          <w:b/>
        </w:rPr>
        <w:t>P</w:t>
      </w:r>
      <w:r w:rsidR="00EC1EF3" w:rsidRPr="00EC1EF3">
        <w:rPr>
          <w:b/>
        </w:rPr>
        <w:t>IPA Assessment Word Version</w:t>
      </w:r>
      <w:r w:rsidR="00996AFE">
        <w:rPr>
          <w:b/>
        </w:rPr>
        <w:t xml:space="preserve"> </w:t>
      </w:r>
      <w:r w:rsidR="00996AFE" w:rsidRPr="000A34F1">
        <w:t xml:space="preserve">and </w:t>
      </w:r>
      <w:r w:rsidR="00996AFE">
        <w:rPr>
          <w:b/>
        </w:rPr>
        <w:t>Attachment D</w:t>
      </w:r>
      <w:r w:rsidR="00181CA5">
        <w:rPr>
          <w:b/>
        </w:rPr>
        <w:t>: PH</w:t>
      </w:r>
      <w:r w:rsidR="00B15452">
        <w:rPr>
          <w:b/>
        </w:rPr>
        <w:t>P</w:t>
      </w:r>
      <w:r w:rsidR="000A34F1">
        <w:rPr>
          <w:b/>
        </w:rPr>
        <w:t>IPA Assessment Web Version</w:t>
      </w:r>
      <w:r w:rsidR="00EC1EF3" w:rsidRPr="000A34F1">
        <w:t>)</w:t>
      </w:r>
      <w:r w:rsidR="00EC1EF3" w:rsidRPr="00EC1EF3">
        <w:rPr>
          <w:b/>
        </w:rPr>
        <w:t xml:space="preserve"> </w:t>
      </w:r>
      <w:r w:rsidR="00D31720">
        <w:t xml:space="preserve">designed to </w:t>
      </w:r>
      <w:r w:rsidR="00D31720" w:rsidRPr="00EC1EF3">
        <w:t xml:space="preserve">assess </w:t>
      </w:r>
      <w:r w:rsidR="00D5367E" w:rsidRPr="00EC1EF3">
        <w:t xml:space="preserve"> </w:t>
      </w:r>
      <w:r w:rsidR="00C01CAC">
        <w:t xml:space="preserve">the desirability and feasibility of </w:t>
      </w:r>
      <w:r w:rsidR="00C01CAC" w:rsidRPr="0010635D">
        <w:t>a professional association for public health practitioners engaged in public health improvement efforts</w:t>
      </w:r>
      <w:r w:rsidR="000A34F1">
        <w:t>.</w:t>
      </w:r>
      <w:r w:rsidR="004C4464" w:rsidRPr="0010635D">
        <w:t xml:space="preserve"> </w:t>
      </w:r>
      <w:r w:rsidR="000A34F1" w:rsidRPr="007409EC">
        <w:rPr>
          <w:rFonts w:cs="Arial"/>
        </w:rPr>
        <w:t xml:space="preserve">To complete the assessment, NNPHI has contracted with </w:t>
      </w:r>
      <w:r w:rsidR="000A34F1">
        <w:rPr>
          <w:rFonts w:cs="Arial"/>
        </w:rPr>
        <w:t xml:space="preserve">their </w:t>
      </w:r>
      <w:r w:rsidR="000A34F1" w:rsidRPr="007409EC">
        <w:rPr>
          <w:rFonts w:cs="Arial"/>
        </w:rPr>
        <w:t xml:space="preserve">member institute Illinois Public Health Institute to co-design and conduct the assessment, and provide results to the CDC.  </w:t>
      </w:r>
      <w:r w:rsidR="00AB3608" w:rsidRPr="0010635D">
        <w:t>T</w:t>
      </w:r>
      <w:r w:rsidR="004024F8" w:rsidRPr="0010635D">
        <w:t xml:space="preserve">he </w:t>
      </w:r>
      <w:r w:rsidR="00AB3608" w:rsidRPr="0010635D">
        <w:t>data collection</w:t>
      </w:r>
      <w:r w:rsidR="004024F8" w:rsidRPr="0010635D">
        <w:t xml:space="preserve"> instrument </w:t>
      </w:r>
      <w:r w:rsidR="000A34F1">
        <w:t xml:space="preserve">was programmed using </w:t>
      </w:r>
      <w:r w:rsidR="00996AFE">
        <w:t>Survey Monkey</w:t>
      </w:r>
      <w:r w:rsidR="000A34F1">
        <w:t xml:space="preserve"> and </w:t>
      </w:r>
      <w:r w:rsidR="00E8736B" w:rsidRPr="0010635D">
        <w:t>pilot tested</w:t>
      </w:r>
      <w:r w:rsidR="004024F8" w:rsidRPr="0010635D">
        <w:t xml:space="preserve"> </w:t>
      </w:r>
      <w:r w:rsidR="002C0877" w:rsidRPr="0010635D">
        <w:t>by</w:t>
      </w:r>
      <w:r w:rsidR="004024F8" w:rsidRPr="0010635D">
        <w:t xml:space="preserve"> </w:t>
      </w:r>
      <w:r w:rsidR="00C01CAC" w:rsidRPr="0010635D">
        <w:t>five</w:t>
      </w:r>
      <w:r w:rsidR="004024F8" w:rsidRPr="0010635D">
        <w:t xml:space="preserve"> public health pr</w:t>
      </w:r>
      <w:r w:rsidR="002C0877" w:rsidRPr="0010635D">
        <w:t xml:space="preserve">ofessionals. </w:t>
      </w:r>
      <w:r w:rsidR="004024F8" w:rsidRPr="0010635D">
        <w:t xml:space="preserve">Feedback from this group </w:t>
      </w:r>
      <w:r w:rsidR="002C0877" w:rsidRPr="0010635D">
        <w:t>was</w:t>
      </w:r>
      <w:r w:rsidR="004024F8" w:rsidRPr="0010635D">
        <w:t xml:space="preserve"> used to refine questions as needed, ensure accurate programming and skip patterns and establish the estimated time</w:t>
      </w:r>
      <w:r w:rsidR="00365045" w:rsidRPr="0010635D">
        <w:t xml:space="preserve"> required to complete the data collection instrument</w:t>
      </w:r>
      <w:r w:rsidR="004024F8" w:rsidRPr="0010635D">
        <w:t>.</w:t>
      </w:r>
    </w:p>
    <w:p w:rsidR="00A36314" w:rsidRDefault="00A36314" w:rsidP="006274D7">
      <w:pPr>
        <w:ind w:left="360"/>
        <w:rPr>
          <w:rFonts w:cs="Arial"/>
        </w:rPr>
      </w:pPr>
    </w:p>
    <w:p w:rsidR="00DB7F78" w:rsidRDefault="006102DA" w:rsidP="008F2CF6">
      <w:pPr>
        <w:ind w:left="360"/>
      </w:pPr>
      <w:r w:rsidRPr="005D6F14">
        <w:rPr>
          <w:u w:val="single"/>
        </w:rPr>
        <w:t>Items of Information to be Collected</w:t>
      </w:r>
      <w:r w:rsidR="00B1129F" w:rsidRPr="007D6163">
        <w:t xml:space="preserve"> –</w:t>
      </w:r>
      <w:r w:rsidR="000B0962" w:rsidRPr="007D6163">
        <w:t xml:space="preserve">   </w:t>
      </w:r>
      <w:r w:rsidR="009252DC" w:rsidRPr="007D6163">
        <w:t xml:space="preserve"> </w:t>
      </w:r>
    </w:p>
    <w:p w:rsidR="005B2B78" w:rsidRPr="0010635D" w:rsidRDefault="00E04A4A" w:rsidP="008F2CF6">
      <w:pPr>
        <w:ind w:left="360"/>
      </w:pPr>
      <w:r w:rsidRPr="0010635D">
        <w:t xml:space="preserve">The data collection tool consists of </w:t>
      </w:r>
      <w:r w:rsidR="009561DC">
        <w:t>2</w:t>
      </w:r>
      <w:r w:rsidR="0027692A">
        <w:t>3</w:t>
      </w:r>
      <w:r w:rsidR="009561DC" w:rsidRPr="0010635D">
        <w:t xml:space="preserve"> </w:t>
      </w:r>
      <w:r w:rsidRPr="0010635D">
        <w:t xml:space="preserve">questions of various types including dichotomous, multiple response, filter and open-ended questions.  The data collection tool is organized into </w:t>
      </w:r>
      <w:r w:rsidR="007409EC" w:rsidRPr="0010635D">
        <w:t>three</w:t>
      </w:r>
      <w:r w:rsidRPr="0010635D">
        <w:t xml:space="preserve"> sections.  </w:t>
      </w:r>
    </w:p>
    <w:p w:rsidR="007409EC" w:rsidRPr="0010635D" w:rsidRDefault="00181CA5" w:rsidP="008F2CF6">
      <w:pPr>
        <w:numPr>
          <w:ilvl w:val="0"/>
          <w:numId w:val="28"/>
        </w:numPr>
        <w:ind w:left="720"/>
      </w:pPr>
      <w:r>
        <w:rPr>
          <w:i/>
        </w:rPr>
        <w:t>E</w:t>
      </w:r>
      <w:r w:rsidR="007409EC" w:rsidRPr="0010635D">
        <w:rPr>
          <w:i/>
        </w:rPr>
        <w:t>xperience</w:t>
      </w:r>
      <w:r w:rsidR="007409EC" w:rsidRPr="0010635D">
        <w:t xml:space="preserve"> – respondents are asked about their organization type, the number of years they have worked in public health and in performance improvement, and the type of performance improvement activities in which they currently engage.</w:t>
      </w:r>
    </w:p>
    <w:p w:rsidR="007409EC" w:rsidRPr="0010635D" w:rsidRDefault="007409EC" w:rsidP="008F2CF6">
      <w:pPr>
        <w:numPr>
          <w:ilvl w:val="0"/>
          <w:numId w:val="28"/>
        </w:numPr>
        <w:ind w:left="720"/>
      </w:pPr>
      <w:r w:rsidRPr="0010635D">
        <w:rPr>
          <w:i/>
        </w:rPr>
        <w:t>Public Health Performance Improvement (PHPI) Services and Supports</w:t>
      </w:r>
      <w:r w:rsidRPr="0010635D">
        <w:t xml:space="preserve"> – respondents are asked to assess the level of importance of specific services and supports, and which organizations currently provide those services and supports.</w:t>
      </w:r>
    </w:p>
    <w:p w:rsidR="007409EC" w:rsidRPr="0010635D" w:rsidRDefault="007409EC" w:rsidP="008F2CF6">
      <w:pPr>
        <w:numPr>
          <w:ilvl w:val="0"/>
          <w:numId w:val="28"/>
        </w:numPr>
        <w:ind w:left="720"/>
      </w:pPr>
      <w:r w:rsidRPr="0010635D">
        <w:rPr>
          <w:i/>
        </w:rPr>
        <w:t>Professional Association for Public Health Performance Improvement (PHPI)</w:t>
      </w:r>
      <w:r w:rsidRPr="0010635D">
        <w:t xml:space="preserve"> – respondents are asked to assess whether there is a need for a professional association for public health performance improvement, whether they would be interested in joining, which structure might be preferable an association, challenges for establishing an association, and whether they or their employer would be willing/able to pay to be a member of an association. </w:t>
      </w:r>
    </w:p>
    <w:p w:rsidR="00DB7F78" w:rsidRDefault="00DB7F78" w:rsidP="00181CA5">
      <w:pPr>
        <w:ind w:left="0"/>
      </w:pPr>
    </w:p>
    <w:p w:rsidR="006102DA" w:rsidRPr="005869D6" w:rsidRDefault="006102DA" w:rsidP="008F2CF6">
      <w:pPr>
        <w:ind w:left="360"/>
      </w:pPr>
      <w:r w:rsidRPr="00CA5840">
        <w:rPr>
          <w:rStyle w:val="Heading6Char"/>
        </w:rPr>
        <w:t xml:space="preserve">Identification of Website(s) and Website Content </w:t>
      </w:r>
      <w:r w:rsidRPr="0010635D">
        <w:rPr>
          <w:rStyle w:val="Heading6Char"/>
        </w:rPr>
        <w:t>Directed at Children Under 13 Years of Age</w:t>
      </w:r>
      <w:r w:rsidR="00D13B13" w:rsidRPr="0010635D">
        <w:rPr>
          <w:rStyle w:val="Heading6Char"/>
          <w:u w:val="none"/>
        </w:rPr>
        <w:t xml:space="preserve"> </w:t>
      </w:r>
      <w:r w:rsidR="00D13B13" w:rsidRPr="0010635D">
        <w:t xml:space="preserve">– </w:t>
      </w:r>
      <w:r w:rsidR="005869D6" w:rsidRPr="0010635D">
        <w:t>The data collection system involve</w:t>
      </w:r>
      <w:r w:rsidR="00E23568" w:rsidRPr="0010635D">
        <w:t>s</w:t>
      </w:r>
      <w:r w:rsidR="00D267D5" w:rsidRPr="0010635D">
        <w:t xml:space="preserve"> using a web-based data collection instrument</w:t>
      </w:r>
      <w:r w:rsidR="005869D6" w:rsidRPr="0010635D">
        <w:t>. Respondents will be sent a link dir</w:t>
      </w:r>
      <w:r w:rsidR="005070F6" w:rsidRPr="0010635D">
        <w:t>ecting them to the online instrument</w:t>
      </w:r>
      <w:r w:rsidR="005869D6" w:rsidRPr="0010635D">
        <w:t xml:space="preserve"> only (i.e., not a website). No website content will be directed at children.</w:t>
      </w:r>
    </w:p>
    <w:p w:rsidR="00F52BCC" w:rsidRDefault="00F52BCC" w:rsidP="008F2CF6">
      <w:pPr>
        <w:ind w:left="360"/>
      </w:pPr>
    </w:p>
    <w:p w:rsidR="00B12F51" w:rsidRPr="00014361" w:rsidRDefault="00B12F51" w:rsidP="008F2CF6">
      <w:pPr>
        <w:pStyle w:val="Heading4"/>
        <w:ind w:left="360"/>
      </w:pPr>
      <w:r w:rsidRPr="00014361">
        <w:t>Purpose and Use of the Information Collection</w:t>
      </w:r>
      <w:r w:rsidR="000D37DE">
        <w:t xml:space="preserve"> </w:t>
      </w:r>
    </w:p>
    <w:p w:rsidR="003E0764" w:rsidRDefault="003E0764" w:rsidP="008F2CF6">
      <w:pPr>
        <w:pStyle w:val="ListParagraph"/>
        <w:ind w:left="360"/>
      </w:pPr>
      <w:r w:rsidRPr="006D442B">
        <w:t xml:space="preserve">The overall purpose of the data collection is to help CDC understand the desirability of a professional association serving the public health performance improvement workforce and ideas from the workforce about what needs an association might be able to meet.  </w:t>
      </w:r>
      <w:r>
        <w:t xml:space="preserve">The purpose of the </w:t>
      </w:r>
      <w:r w:rsidR="000A34F1">
        <w:t>Feasibility</w:t>
      </w:r>
      <w:r>
        <w:t xml:space="preserve"> Assessment is to hear from STLT employees who work on performance improvement activities about the existing services and supports, needs that an association might fulfill, suggestions about how an association might be structured, and desirability of a professional association to serve the public health performance improvement workforce. </w:t>
      </w:r>
    </w:p>
    <w:p w:rsidR="003E0764" w:rsidRDefault="003E0764" w:rsidP="008F2CF6">
      <w:pPr>
        <w:pStyle w:val="ListParagraph"/>
        <w:ind w:left="360"/>
      </w:pPr>
    </w:p>
    <w:p w:rsidR="008640BD" w:rsidRPr="004F0559" w:rsidRDefault="008640BD" w:rsidP="008F2CF6">
      <w:pPr>
        <w:spacing w:line="240" w:lineRule="auto"/>
        <w:ind w:left="360"/>
        <w:rPr>
          <w:rFonts w:cs="Times New Roman"/>
        </w:rPr>
      </w:pPr>
      <w:r w:rsidRPr="004F0559">
        <w:rPr>
          <w:rFonts w:cs="Times New Roman"/>
        </w:rPr>
        <w:lastRenderedPageBreak/>
        <w:t>The findings will be used for the following purposes:</w:t>
      </w:r>
    </w:p>
    <w:p w:rsidR="008640BD" w:rsidRPr="004F0559" w:rsidRDefault="008640BD" w:rsidP="008F2CF6">
      <w:pPr>
        <w:pStyle w:val="ListParagraph"/>
        <w:numPr>
          <w:ilvl w:val="0"/>
          <w:numId w:val="29"/>
        </w:numPr>
        <w:tabs>
          <w:tab w:val="clear" w:pos="9360"/>
        </w:tabs>
        <w:spacing w:line="240" w:lineRule="auto"/>
        <w:ind w:left="1080"/>
        <w:rPr>
          <w:rFonts w:cs="Times New Roman"/>
        </w:rPr>
      </w:pPr>
      <w:r w:rsidRPr="004F0559">
        <w:rPr>
          <w:rFonts w:cs="Times New Roman"/>
          <w:i/>
        </w:rPr>
        <w:t xml:space="preserve">Understanding the experience of the public health improvement workforce </w:t>
      </w:r>
      <w:r w:rsidRPr="004F0559">
        <w:rPr>
          <w:rFonts w:cs="Times New Roman"/>
        </w:rPr>
        <w:t>- The findings will describe organizations where respondents work, the number of years they have worked in public health and in performance improvement, and the type of performance improvement activities in which they currently engage.</w:t>
      </w:r>
    </w:p>
    <w:p w:rsidR="008640BD" w:rsidRPr="004F0559" w:rsidRDefault="008640BD" w:rsidP="008F2CF6">
      <w:pPr>
        <w:pStyle w:val="ListParagraph"/>
        <w:numPr>
          <w:ilvl w:val="0"/>
          <w:numId w:val="29"/>
        </w:numPr>
        <w:tabs>
          <w:tab w:val="clear" w:pos="9360"/>
        </w:tabs>
        <w:spacing w:line="240" w:lineRule="auto"/>
        <w:ind w:left="1080"/>
        <w:rPr>
          <w:rFonts w:cs="Times New Roman"/>
        </w:rPr>
      </w:pPr>
      <w:r w:rsidRPr="004F0559">
        <w:rPr>
          <w:rFonts w:cs="Times New Roman"/>
          <w:i/>
        </w:rPr>
        <w:t>Importance of</w:t>
      </w:r>
      <w:r w:rsidRPr="004F0559">
        <w:rPr>
          <w:rFonts w:cs="Times New Roman"/>
        </w:rPr>
        <w:t xml:space="preserve"> </w:t>
      </w:r>
      <w:r w:rsidRPr="004F0559">
        <w:rPr>
          <w:rFonts w:cs="Times New Roman"/>
          <w:i/>
        </w:rPr>
        <w:t>Public Health Performance Improvement (PHPI) Services and Supports</w:t>
      </w:r>
      <w:r w:rsidRPr="004F0559">
        <w:rPr>
          <w:rFonts w:cs="Times New Roman"/>
        </w:rPr>
        <w:t xml:space="preserve">- Respondent feedback will inform CDC about which types of activities and services are perceived </w:t>
      </w:r>
      <w:r w:rsidR="000A34F1">
        <w:rPr>
          <w:rFonts w:cs="Times New Roman"/>
        </w:rPr>
        <w:t>as</w:t>
      </w:r>
      <w:r w:rsidRPr="004F0559">
        <w:rPr>
          <w:rFonts w:cs="Times New Roman"/>
        </w:rPr>
        <w:t xml:space="preserve"> important for support</w:t>
      </w:r>
      <w:r w:rsidR="000A34F1">
        <w:rPr>
          <w:rFonts w:cs="Times New Roman"/>
        </w:rPr>
        <w:t>ing</w:t>
      </w:r>
      <w:r w:rsidRPr="004F0559">
        <w:rPr>
          <w:rFonts w:cs="Times New Roman"/>
        </w:rPr>
        <w:t xml:space="preserve"> the public health performance improvement field.  </w:t>
      </w:r>
    </w:p>
    <w:p w:rsidR="008640BD" w:rsidRPr="004F0559" w:rsidRDefault="008640BD" w:rsidP="008F2CF6">
      <w:pPr>
        <w:pStyle w:val="ListParagraph"/>
        <w:numPr>
          <w:ilvl w:val="0"/>
          <w:numId w:val="29"/>
        </w:numPr>
        <w:tabs>
          <w:tab w:val="clear" w:pos="9360"/>
        </w:tabs>
        <w:spacing w:after="200" w:line="240" w:lineRule="auto"/>
        <w:ind w:left="1080"/>
        <w:rPr>
          <w:rFonts w:cs="Times New Roman"/>
        </w:rPr>
      </w:pPr>
      <w:r w:rsidRPr="004F0559">
        <w:rPr>
          <w:rFonts w:cs="Times New Roman"/>
          <w:i/>
        </w:rPr>
        <w:t>Existing Public Health Performance Improvement (PHPI) Services and Supports</w:t>
      </w:r>
      <w:r w:rsidRPr="004F0559">
        <w:rPr>
          <w:rFonts w:cs="Times New Roman"/>
        </w:rPr>
        <w:t xml:space="preserve"> - The findings will describe which organizations currently provide public health performance improvement services and support to respondents.</w:t>
      </w:r>
    </w:p>
    <w:p w:rsidR="008640BD" w:rsidRPr="004F0559" w:rsidRDefault="008640BD" w:rsidP="008F2CF6">
      <w:pPr>
        <w:pStyle w:val="ListParagraph"/>
        <w:numPr>
          <w:ilvl w:val="0"/>
          <w:numId w:val="29"/>
        </w:numPr>
        <w:tabs>
          <w:tab w:val="clear" w:pos="9360"/>
        </w:tabs>
        <w:spacing w:line="240" w:lineRule="auto"/>
        <w:ind w:left="1080"/>
        <w:rPr>
          <w:rFonts w:cs="Times New Roman"/>
        </w:rPr>
      </w:pPr>
      <w:r w:rsidRPr="004F0559">
        <w:rPr>
          <w:rFonts w:cs="Times New Roman"/>
          <w:i/>
        </w:rPr>
        <w:t xml:space="preserve">Desirability of a Professional Association for Public Health Performance </w:t>
      </w:r>
      <w:r w:rsidR="00667B13" w:rsidRPr="004F0559">
        <w:rPr>
          <w:rFonts w:cs="Times New Roman"/>
          <w:i/>
        </w:rPr>
        <w:t xml:space="preserve">Improvement </w:t>
      </w:r>
      <w:r w:rsidR="00667B13" w:rsidRPr="004F0559">
        <w:rPr>
          <w:rFonts w:cs="Times New Roman"/>
          <w:b/>
        </w:rPr>
        <w:t>-</w:t>
      </w:r>
      <w:r w:rsidRPr="004F0559">
        <w:rPr>
          <w:rFonts w:cs="Times New Roman"/>
        </w:rPr>
        <w:t xml:space="preserve"> The findings </w:t>
      </w:r>
      <w:r w:rsidR="00667B13" w:rsidRPr="004F0559">
        <w:rPr>
          <w:rFonts w:cs="Times New Roman"/>
        </w:rPr>
        <w:t>will describe</w:t>
      </w:r>
      <w:r w:rsidRPr="004F0559">
        <w:rPr>
          <w:rFonts w:cs="Times New Roman"/>
        </w:rPr>
        <w:t xml:space="preserve"> whether respondents identify a need for a professional association, whether they would join, and input about how such an association might be structured to be most effective and take advantage of existing assets/resources/expertise.</w:t>
      </w:r>
    </w:p>
    <w:p w:rsidR="008640BD" w:rsidRDefault="008640BD" w:rsidP="008F2CF6">
      <w:pPr>
        <w:pStyle w:val="ListParagraph"/>
        <w:ind w:left="360"/>
      </w:pPr>
    </w:p>
    <w:p w:rsidR="00C01CAC" w:rsidRPr="007409EC" w:rsidRDefault="00C01CAC" w:rsidP="008F2CF6">
      <w:pPr>
        <w:pStyle w:val="ListParagraph"/>
        <w:ind w:left="360"/>
      </w:pPr>
      <w:r w:rsidRPr="007409EC">
        <w:t xml:space="preserve">The information collected will assist </w:t>
      </w:r>
      <w:r w:rsidR="00181CA5">
        <w:t xml:space="preserve">CDC </w:t>
      </w:r>
      <w:r w:rsidRPr="007409EC">
        <w:t xml:space="preserve">to determine whether the creation of a professional association serving the public health </w:t>
      </w:r>
      <w:r w:rsidR="005E73C2">
        <w:t xml:space="preserve">performance </w:t>
      </w:r>
      <w:r w:rsidRPr="007409EC">
        <w:t xml:space="preserve">improvement workforce is feasible as a mechanism to support the sustainability of the networks that have been created.  The </w:t>
      </w:r>
      <w:r w:rsidR="00E522B2">
        <w:t xml:space="preserve">STLT </w:t>
      </w:r>
      <w:r w:rsidRPr="007409EC">
        <w:t xml:space="preserve">public health </w:t>
      </w:r>
      <w:r w:rsidR="005E73C2">
        <w:t xml:space="preserve">performance </w:t>
      </w:r>
      <w:r w:rsidRPr="007409EC">
        <w:t>improvement workforce will be the target audience for an association; therefore understanding their desirability for such as association, as well as their perceptions on feasibility</w:t>
      </w:r>
      <w:r w:rsidR="000A34F1">
        <w:t>,</w:t>
      </w:r>
      <w:r w:rsidRPr="007409EC">
        <w:t xml:space="preserve"> are critical.  </w:t>
      </w:r>
    </w:p>
    <w:p w:rsidR="00C01CAC" w:rsidRPr="007409EC" w:rsidRDefault="00C01CAC" w:rsidP="008F2CF6">
      <w:pPr>
        <w:pStyle w:val="ListParagraph"/>
        <w:ind w:left="360"/>
      </w:pPr>
    </w:p>
    <w:p w:rsidR="006102DA" w:rsidRPr="007409EC" w:rsidRDefault="006102DA" w:rsidP="008F2CF6">
      <w:pPr>
        <w:ind w:left="360"/>
        <w:rPr>
          <w:u w:val="single"/>
        </w:rPr>
      </w:pPr>
      <w:r w:rsidRPr="007409EC">
        <w:rPr>
          <w:u w:val="single"/>
        </w:rPr>
        <w:t>Privacy Impact Assessment</w:t>
      </w:r>
      <w:r w:rsidR="00DB7F78" w:rsidRPr="007409EC">
        <w:rPr>
          <w:u w:val="single"/>
        </w:rPr>
        <w:t xml:space="preserve"> </w:t>
      </w:r>
      <w:r w:rsidR="005916E8" w:rsidRPr="007409EC">
        <w:rPr>
          <w:u w:val="single"/>
        </w:rPr>
        <w:t xml:space="preserve"> </w:t>
      </w:r>
    </w:p>
    <w:p w:rsidR="007409EC" w:rsidRPr="007409EC" w:rsidRDefault="007409EC" w:rsidP="008F2CF6">
      <w:pPr>
        <w:spacing w:line="240" w:lineRule="auto"/>
        <w:ind w:left="360"/>
        <w:rPr>
          <w:rFonts w:cs="Times New Roman"/>
        </w:rPr>
      </w:pPr>
      <w:r w:rsidRPr="007409EC">
        <w:rPr>
          <w:rFonts w:cs="Times New Roman"/>
        </w:rPr>
        <w:t xml:space="preserve">Data collection and use of findings pose minimal risk to the participating STLT employees.  </w:t>
      </w:r>
      <w:r w:rsidR="00181CA5">
        <w:rPr>
          <w:rFonts w:cs="Times New Roman"/>
        </w:rPr>
        <w:t>R</w:t>
      </w:r>
      <w:r w:rsidRPr="007409EC">
        <w:rPr>
          <w:rFonts w:cs="Times New Roman"/>
        </w:rPr>
        <w:t>espondents are participating in their official capacity as employees of state, tribal, local and territorial departments of health that engage in performance improvement activities.</w:t>
      </w:r>
    </w:p>
    <w:p w:rsidR="00F52BCC" w:rsidRDefault="005916E8" w:rsidP="008F2CF6">
      <w:pPr>
        <w:ind w:left="360"/>
      </w:pPr>
      <w:r>
        <w:tab/>
      </w:r>
    </w:p>
    <w:p w:rsidR="00B47055" w:rsidRPr="00B47055" w:rsidRDefault="00B47055" w:rsidP="008F2CF6">
      <w:pPr>
        <w:pStyle w:val="Heading4"/>
        <w:ind w:left="360"/>
      </w:pPr>
      <w:r w:rsidRPr="00B47055">
        <w:t>Use of Improved Information Technology and Burden Reduction</w:t>
      </w:r>
    </w:p>
    <w:p w:rsidR="00F52BCC" w:rsidRDefault="00DC79CC" w:rsidP="008F2CF6">
      <w:pPr>
        <w:ind w:left="360"/>
      </w:pPr>
      <w:r>
        <w:t>Data wil</w:t>
      </w:r>
      <w:r w:rsidRPr="00CA5840">
        <w:t>l</w:t>
      </w:r>
      <w:r>
        <w:t xml:space="preserve"> be collected via a </w:t>
      </w:r>
      <w:r w:rsidR="00A36314">
        <w:t>Survey Monkey</w:t>
      </w:r>
      <w:r w:rsidR="00996D6F">
        <w:t xml:space="preserve"> </w:t>
      </w:r>
      <w:r>
        <w:t>web-based questionnaire</w:t>
      </w:r>
      <w:r w:rsidR="00996D6F">
        <w:t xml:space="preserve"> </w:t>
      </w:r>
      <w:r>
        <w:t xml:space="preserve">allowing respondents to complete and submit their responses electronically. This </w:t>
      </w:r>
      <w:r w:rsidR="000A34F1">
        <w:t xml:space="preserve">online </w:t>
      </w:r>
      <w:r>
        <w:t>method was chosen to reduce the overall b</w:t>
      </w:r>
      <w:r w:rsidR="009C6697">
        <w:t xml:space="preserve">urden on respondents. </w:t>
      </w:r>
      <w:r w:rsidR="009C6697" w:rsidRPr="00667B13">
        <w:t>The data collection instrument</w:t>
      </w:r>
      <w:r w:rsidRPr="00667B13">
        <w:t xml:space="preserve"> </w:t>
      </w:r>
      <w:r>
        <w:t xml:space="preserve">was designed to collect the minimum information necessary for the purposes of this project (i.e., limited to </w:t>
      </w:r>
      <w:r w:rsidR="009561DC">
        <w:t>2</w:t>
      </w:r>
      <w:r w:rsidR="0027692A">
        <w:t xml:space="preserve">3 </w:t>
      </w:r>
      <w:r w:rsidR="008414AD">
        <w:t>questions</w:t>
      </w:r>
      <w:r>
        <w:t>).</w:t>
      </w:r>
      <w:r w:rsidR="00AB251E">
        <w:t xml:space="preserve"> </w:t>
      </w:r>
    </w:p>
    <w:p w:rsidR="00B47055" w:rsidRDefault="00B47055" w:rsidP="008F2CF6">
      <w:pPr>
        <w:ind w:left="0"/>
      </w:pPr>
    </w:p>
    <w:p w:rsidR="00B47055" w:rsidRPr="00B47055" w:rsidRDefault="00B47055" w:rsidP="008F2CF6">
      <w:pPr>
        <w:pStyle w:val="Heading4"/>
        <w:ind w:left="360"/>
      </w:pPr>
      <w:r w:rsidRPr="00B47055">
        <w:t>Efforts to Identify Duplication and Use of Similar Information</w:t>
      </w:r>
    </w:p>
    <w:p w:rsidR="00632CEE" w:rsidRDefault="004A2136" w:rsidP="00127F0F">
      <w:pPr>
        <w:ind w:left="360"/>
      </w:pPr>
      <w:r>
        <w:t xml:space="preserve">This data collection tool is intended to assess the desirability and feasibility for establishing a professional association for the public health improvement workforce. The public health improvement workforce includes staff within state, tribal, local, and territorial health departments who hold responsibility for engaging in efforts that advance performance and quality in public health agencies and systems.  This is exploratory work and no similar data collection tools have been employed in the past to investigate the feasibility of </w:t>
      </w:r>
      <w:r w:rsidR="006B5A59">
        <w:t>a professional association for this segment of the public health workforce.</w:t>
      </w:r>
    </w:p>
    <w:p w:rsidR="00127F0F" w:rsidRDefault="00127F0F" w:rsidP="00127F0F">
      <w:pPr>
        <w:ind w:left="360"/>
      </w:pPr>
    </w:p>
    <w:p w:rsidR="003E47B4" w:rsidRPr="00127F0F" w:rsidRDefault="003E47B4" w:rsidP="00127F0F">
      <w:pPr>
        <w:ind w:left="360"/>
      </w:pPr>
    </w:p>
    <w:p w:rsidR="00B12F51" w:rsidRPr="00B47055" w:rsidRDefault="00B47055" w:rsidP="008F2CF6">
      <w:pPr>
        <w:pStyle w:val="Heading4"/>
        <w:ind w:left="360"/>
      </w:pPr>
      <w:r w:rsidRPr="00B47055">
        <w:lastRenderedPageBreak/>
        <w:t>Impact on Small Businesses or Other Small Entities</w:t>
      </w:r>
    </w:p>
    <w:p w:rsidR="00F52BCC" w:rsidRDefault="00D26A64" w:rsidP="008F2CF6">
      <w:pPr>
        <w:ind w:left="360"/>
      </w:pPr>
      <w:r>
        <w:t>N</w:t>
      </w:r>
      <w:r w:rsidR="00AF2252">
        <w:t>o small businesses will be involved in this data collection</w:t>
      </w:r>
      <w:r>
        <w:t>.</w:t>
      </w:r>
    </w:p>
    <w:p w:rsidR="0053557D" w:rsidRPr="00D95FBF" w:rsidRDefault="0053557D" w:rsidP="008F2CF6">
      <w:pPr>
        <w:ind w:left="360"/>
      </w:pPr>
    </w:p>
    <w:p w:rsidR="00B12F51" w:rsidRPr="00B47055" w:rsidRDefault="00B47055" w:rsidP="008F2CF6">
      <w:pPr>
        <w:pStyle w:val="Heading4"/>
        <w:ind w:left="360"/>
      </w:pPr>
      <w:r w:rsidRPr="00B47055">
        <w:t xml:space="preserve">Consequences of Collecting the Information Less Frequently </w:t>
      </w:r>
      <w:r w:rsidR="00D95FBF" w:rsidRPr="00B47055">
        <w:t xml:space="preserve">   </w:t>
      </w:r>
    </w:p>
    <w:p w:rsidR="00181CA5" w:rsidRDefault="00607F7C" w:rsidP="00181CA5">
      <w:pPr>
        <w:ind w:left="360"/>
      </w:pPr>
      <w:r>
        <w:t xml:space="preserve">This request is for </w:t>
      </w:r>
      <w:r w:rsidR="00667C89">
        <w:t xml:space="preserve">a </w:t>
      </w:r>
      <w:r w:rsidR="00BC5BB2">
        <w:t>one</w:t>
      </w:r>
      <w:r w:rsidR="00632CEE">
        <w:t>-</w:t>
      </w:r>
      <w:r w:rsidR="00BC5BB2">
        <w:t>time data collection.</w:t>
      </w:r>
      <w:r w:rsidR="0053557D">
        <w:t xml:space="preserve">  </w:t>
      </w:r>
      <w:r w:rsidR="00181CA5" w:rsidRPr="0053557D">
        <w:t>There are no legal obstacles to reduce the burden.</w:t>
      </w:r>
    </w:p>
    <w:p w:rsidR="006B5A59" w:rsidRDefault="006B5A59" w:rsidP="00181CA5">
      <w:pPr>
        <w:ind w:left="360"/>
      </w:pPr>
      <w:r>
        <w:t>The consequences to the program of not collecting this information under this mechanism and within these timeframes are as follows:</w:t>
      </w:r>
    </w:p>
    <w:p w:rsidR="006B5A59" w:rsidRDefault="006B5A59" w:rsidP="008F2CF6">
      <w:pPr>
        <w:pStyle w:val="ListParagraph"/>
        <w:numPr>
          <w:ilvl w:val="0"/>
          <w:numId w:val="24"/>
        </w:numPr>
        <w:ind w:left="1080"/>
      </w:pPr>
      <w:r>
        <w:t>Inability to assess the feasibility and desirability of a professional association for the public health improvement workforce</w:t>
      </w:r>
      <w:r w:rsidR="004554CB">
        <w:t xml:space="preserve"> momentum</w:t>
      </w:r>
    </w:p>
    <w:p w:rsidR="006B5A59" w:rsidRDefault="006B5A59" w:rsidP="008F2CF6">
      <w:pPr>
        <w:pStyle w:val="ListParagraph"/>
        <w:numPr>
          <w:ilvl w:val="0"/>
          <w:numId w:val="24"/>
        </w:numPr>
        <w:ind w:left="1080"/>
      </w:pPr>
      <w:r>
        <w:t>Inability to engage Performance Improvement Managers while they are still funded under the National Public Health Improvement Initiative</w:t>
      </w:r>
    </w:p>
    <w:p w:rsidR="00181CA5" w:rsidRDefault="006B5A59" w:rsidP="00A36314">
      <w:pPr>
        <w:pStyle w:val="ListParagraph"/>
        <w:numPr>
          <w:ilvl w:val="0"/>
          <w:numId w:val="24"/>
        </w:numPr>
        <w:ind w:left="1080"/>
      </w:pPr>
      <w:r>
        <w:t>I</w:t>
      </w:r>
      <w:r w:rsidR="004554CB">
        <w:t>nability to sustain the gains made in peer learning and shared experiences</w:t>
      </w:r>
      <w:r>
        <w:t xml:space="preserve"> of the Performance Improvement Managers’ Network</w:t>
      </w:r>
    </w:p>
    <w:p w:rsidR="00181CA5" w:rsidRPr="00C768E5" w:rsidRDefault="00181CA5" w:rsidP="00181CA5"/>
    <w:p w:rsidR="00B12F51" w:rsidRPr="00B47055" w:rsidRDefault="00B47055" w:rsidP="008F2CF6">
      <w:pPr>
        <w:pStyle w:val="Heading4"/>
        <w:ind w:left="360"/>
      </w:pPr>
      <w:r w:rsidRPr="00B47055">
        <w:t>Special Circumstances Relating to the Guidelines of 5 CFR 1320.5</w:t>
      </w:r>
    </w:p>
    <w:p w:rsidR="00F52BCC" w:rsidRDefault="00A809AA" w:rsidP="008F2CF6">
      <w:pPr>
        <w:ind w:left="36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rsidR="00F52BCC" w:rsidRDefault="00F52BCC" w:rsidP="008F2CF6">
      <w:pPr>
        <w:ind w:left="360"/>
      </w:pPr>
    </w:p>
    <w:p w:rsidR="00B12F51" w:rsidRPr="0088467A" w:rsidRDefault="0088467A" w:rsidP="008F2CF6">
      <w:pPr>
        <w:pStyle w:val="Heading4"/>
        <w:ind w:left="360"/>
      </w:pPr>
      <w:r w:rsidRPr="0088467A">
        <w:t>Comments in Response to the Federal Register Notice and Efforts to Consult Outside the Agency</w:t>
      </w:r>
    </w:p>
    <w:p w:rsidR="00A809AA" w:rsidRPr="00A809AA" w:rsidRDefault="00C768E5" w:rsidP="008F2CF6">
      <w:pPr>
        <w:ind w:left="360"/>
      </w:pPr>
      <w:r>
        <w:t xml:space="preserve">This data collection is being conducted using the Generic Information Collection mechanism of the OSTLTS Survey Center (OSC) – OMB No. 0920-0879. </w:t>
      </w:r>
      <w:r w:rsidR="00A809AA" w:rsidRPr="00A809AA">
        <w:t xml:space="preserve">A 60-day Federal Register Notice was published in the Federal Register on </w:t>
      </w:r>
      <w:r w:rsidR="005115FA" w:rsidRPr="005115FA">
        <w:t>October 31, 2013, Vol. 78, No. 211; pp. 653 25-26</w:t>
      </w:r>
      <w:r w:rsidR="00A809AA" w:rsidRPr="00A809AA">
        <w:t xml:space="preserve">.  </w:t>
      </w:r>
      <w:r w:rsidR="005115FA">
        <w:t xml:space="preserve">No </w:t>
      </w:r>
      <w:r w:rsidR="00A809AA" w:rsidRPr="00A809AA">
        <w:t>comments were received</w:t>
      </w:r>
      <w:r w:rsidR="00783C75">
        <w:t>.</w:t>
      </w:r>
    </w:p>
    <w:p w:rsidR="00A809AA" w:rsidRPr="00A809AA" w:rsidRDefault="00A809AA" w:rsidP="008F2CF6">
      <w:pPr>
        <w:ind w:left="360"/>
      </w:pPr>
    </w:p>
    <w:p w:rsidR="00A809AA" w:rsidRPr="00A809AA" w:rsidRDefault="00A809AA" w:rsidP="008F2CF6">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52BCC" w:rsidRPr="00A809AA" w:rsidRDefault="00F52BCC" w:rsidP="008F2CF6">
      <w:pPr>
        <w:ind w:left="360"/>
      </w:pPr>
    </w:p>
    <w:p w:rsidR="00B12F51" w:rsidRPr="0088467A" w:rsidRDefault="0088467A" w:rsidP="008F2CF6">
      <w:pPr>
        <w:pStyle w:val="Heading4"/>
        <w:ind w:left="360"/>
      </w:pPr>
      <w:r w:rsidRPr="0088467A">
        <w:t>Explanation of Any Payment or Gift to Respondents</w:t>
      </w:r>
    </w:p>
    <w:p w:rsidR="00F52BCC" w:rsidRDefault="00A809AA" w:rsidP="008F2CF6">
      <w:pPr>
        <w:ind w:left="360"/>
      </w:pPr>
      <w:r>
        <w:t>CDC will not provide p</w:t>
      </w:r>
      <w:r w:rsidR="00D26A64">
        <w:t>ayments or gifts to respondents.</w:t>
      </w:r>
    </w:p>
    <w:p w:rsidR="00F52BCC" w:rsidRDefault="00F52BCC" w:rsidP="008F2CF6">
      <w:pPr>
        <w:ind w:left="360"/>
      </w:pPr>
    </w:p>
    <w:p w:rsidR="00B12F51" w:rsidRPr="00D16E78" w:rsidRDefault="0088467A" w:rsidP="008F2CF6">
      <w:pPr>
        <w:pStyle w:val="Heading4"/>
        <w:ind w:left="360"/>
      </w:pPr>
      <w:r>
        <w:t xml:space="preserve"> </w:t>
      </w:r>
      <w:r w:rsidRPr="0088467A">
        <w:t>Assurance of Confidentiality Provided to Respondents</w:t>
      </w:r>
    </w:p>
    <w:p w:rsidR="003C31C9" w:rsidRPr="003C31C9" w:rsidRDefault="003C31C9" w:rsidP="00181CA5">
      <w:pPr>
        <w:ind w:left="360"/>
      </w:pPr>
      <w:r w:rsidRPr="003C31C9">
        <w:t>The Privacy Act does not apply to this data collection.  Employees of state</w:t>
      </w:r>
      <w:r w:rsidR="005542E8">
        <w:t xml:space="preserve"> and</w:t>
      </w:r>
      <w:r w:rsidRPr="003C31C9">
        <w:t xml:space="preserve"> local</w:t>
      </w:r>
      <w:r w:rsidR="005542E8">
        <w:t xml:space="preserve"> </w:t>
      </w:r>
      <w:r w:rsidRPr="003C31C9">
        <w:t>public health agencies will be speaking from their official roles and will not be asked, nor will they provide individually identifiable information.  This data collection is not research involving human subjects.</w:t>
      </w:r>
    </w:p>
    <w:p w:rsidR="00F52BCC" w:rsidRPr="003C31C9" w:rsidRDefault="00F52BCC" w:rsidP="008F2CF6">
      <w:pPr>
        <w:ind w:left="360"/>
      </w:pPr>
    </w:p>
    <w:p w:rsidR="00B12F51" w:rsidRPr="0088467A" w:rsidRDefault="0088467A" w:rsidP="008F2CF6">
      <w:pPr>
        <w:pStyle w:val="Heading4"/>
        <w:ind w:left="360"/>
      </w:pPr>
      <w:r w:rsidRPr="0088467A">
        <w:t>Justification for Sensitive Questions</w:t>
      </w:r>
    </w:p>
    <w:p w:rsidR="00F52BCC" w:rsidRDefault="003C31C9" w:rsidP="008F2CF6">
      <w:pPr>
        <w:ind w:left="360"/>
      </w:pPr>
      <w:r>
        <w:t>No information will be collected</w:t>
      </w:r>
      <w:r w:rsidR="00616090">
        <w:t xml:space="preserve"> that are of personal or sensitive nature</w:t>
      </w:r>
      <w:r w:rsidR="00D26A64">
        <w:t>.</w:t>
      </w:r>
    </w:p>
    <w:p w:rsidR="00127F0F" w:rsidRDefault="00127F0F" w:rsidP="008F2CF6">
      <w:pPr>
        <w:ind w:left="360"/>
      </w:pPr>
    </w:p>
    <w:p w:rsidR="00B64BFA" w:rsidRPr="0088467A" w:rsidRDefault="0088467A" w:rsidP="008F2CF6">
      <w:pPr>
        <w:pStyle w:val="Heading4"/>
        <w:ind w:left="360"/>
      </w:pPr>
      <w:r w:rsidRPr="0088467A">
        <w:t>Estimates of Annualized Burden Hours and Costs</w:t>
      </w:r>
    </w:p>
    <w:p w:rsidR="00B64BFA" w:rsidRPr="008F3188" w:rsidRDefault="00B64BFA" w:rsidP="008F2CF6">
      <w:pPr>
        <w:ind w:left="360"/>
      </w:pPr>
      <w:r w:rsidRPr="008F3188">
        <w:t>The estimate for burden hours is bas</w:t>
      </w:r>
      <w:r w:rsidR="00FD731A" w:rsidRPr="008F3188">
        <w:t>ed on a pilot test of the data collection</w:t>
      </w:r>
      <w:r w:rsidRPr="008F3188">
        <w:t xml:space="preserve"> instrument by </w:t>
      </w:r>
      <w:r w:rsidR="00EC1EF3">
        <w:t xml:space="preserve">five </w:t>
      </w:r>
      <w:r w:rsidR="00C768E5" w:rsidRPr="008F3188">
        <w:t>public</w:t>
      </w:r>
      <w:r w:rsidRPr="008F3188">
        <w:t xml:space="preserve"> health professionals. In the pilot test, the ave</w:t>
      </w:r>
      <w:r w:rsidR="00FD731A" w:rsidRPr="008F3188">
        <w:t xml:space="preserve">rage time to complete the </w:t>
      </w:r>
      <w:r w:rsidR="008F3188" w:rsidRPr="008F3188">
        <w:t xml:space="preserve">data collection </w:t>
      </w:r>
      <w:r w:rsidR="00FD731A" w:rsidRPr="008F3188">
        <w:t>instrument</w:t>
      </w:r>
      <w:r w:rsidRPr="008F3188">
        <w:t xml:space="preserve"> including time for reviewing instructions, gathering needed infor</w:t>
      </w:r>
      <w:r w:rsidR="00FD731A" w:rsidRPr="008F3188">
        <w:t xml:space="preserve">mation and completing the </w:t>
      </w:r>
      <w:r w:rsidR="008F3188" w:rsidRPr="008F3188">
        <w:t xml:space="preserve">data collection </w:t>
      </w:r>
      <w:r w:rsidR="00FD731A" w:rsidRPr="008F3188">
        <w:t>instrument</w:t>
      </w:r>
      <w:r w:rsidRPr="008F3188">
        <w:t xml:space="preserve">, was approximately </w:t>
      </w:r>
      <w:r w:rsidR="0027692A">
        <w:t>15</w:t>
      </w:r>
      <w:r w:rsidR="00C768E5" w:rsidRPr="008F3188">
        <w:t xml:space="preserve"> number </w:t>
      </w:r>
      <w:r w:rsidRPr="008F3188">
        <w:t>minutes. Based on these results, the estimated time range for actual re</w:t>
      </w:r>
      <w:r w:rsidR="00FD731A" w:rsidRPr="008F3188">
        <w:t xml:space="preserve">spondents to complete the </w:t>
      </w:r>
      <w:r w:rsidR="008F3188" w:rsidRPr="008F3188">
        <w:t xml:space="preserve">data collection </w:t>
      </w:r>
      <w:r w:rsidR="00FD731A" w:rsidRPr="008F3188">
        <w:t>instrument</w:t>
      </w:r>
      <w:r w:rsidRPr="008F3188">
        <w:t xml:space="preserve"> is </w:t>
      </w:r>
      <w:r w:rsidR="0027692A">
        <w:t>between 7-17</w:t>
      </w:r>
      <w:r w:rsidRPr="008F3188">
        <w:t xml:space="preserve"> minutes. For the purposes of estimating burden hours, the </w:t>
      </w:r>
      <w:r w:rsidR="00632CEE">
        <w:t>average time for completion</w:t>
      </w:r>
      <w:r w:rsidRPr="008F3188">
        <w:t xml:space="preserve"> </w:t>
      </w:r>
      <w:r w:rsidRPr="0027692A">
        <w:t xml:space="preserve">(i.e., </w:t>
      </w:r>
      <w:r w:rsidR="0027692A" w:rsidRPr="0027692A">
        <w:t>1</w:t>
      </w:r>
      <w:r w:rsidR="00632CEE">
        <w:t>5</w:t>
      </w:r>
      <w:r w:rsidR="00C768E5" w:rsidRPr="0027692A">
        <w:t xml:space="preserve"> </w:t>
      </w:r>
      <w:r w:rsidRPr="0027692A">
        <w:t>minutes)</w:t>
      </w:r>
      <w:r w:rsidRPr="008F3188">
        <w:t xml:space="preserve"> is used.</w:t>
      </w:r>
    </w:p>
    <w:p w:rsidR="00B64BFA" w:rsidRDefault="00B64BFA" w:rsidP="008F2CF6">
      <w:pPr>
        <w:ind w:left="360"/>
      </w:pPr>
    </w:p>
    <w:p w:rsidR="00B64BFA" w:rsidRDefault="00B64BFA" w:rsidP="008F2CF6">
      <w:pPr>
        <w:ind w:left="360"/>
      </w:pPr>
      <w:r>
        <w:t xml:space="preserve">Estimates for the average hourly wage for respondents are based on the </w:t>
      </w:r>
      <w:r w:rsidRPr="00A849B3">
        <w:t>Department of Labor (DOL) National Compensation Survey estimate for management occupations – medical and health services managers in state government</w:t>
      </w:r>
      <w:r>
        <w:t xml:space="preserve"> (</w:t>
      </w:r>
      <w:hyperlink r:id="rId15" w:history="1">
        <w:r w:rsidRPr="002A1948">
          <w:rPr>
            <w:rStyle w:val="Hyperlink"/>
          </w:rPr>
          <w:t>http://www.bls.gov/ncs/ocs/sp/nctb1349.pdf</w:t>
        </w:r>
      </w:hyperlink>
      <w:r>
        <w:t xml:space="preserve">). </w:t>
      </w:r>
      <w:r w:rsidR="00C544A4">
        <w:t>Based on DOL data, a</w:t>
      </w:r>
      <w:r w:rsidRPr="002A1948">
        <w:t>n average hourly wage of $</w:t>
      </w:r>
      <w:r w:rsidR="008F3188">
        <w:t>47.77</w:t>
      </w:r>
      <w:r w:rsidRPr="002A1948">
        <w:t xml:space="preserve"> is estimated for all </w:t>
      </w:r>
      <w:r w:rsidR="00C768E5">
        <w:t>x number</w:t>
      </w:r>
      <w:r w:rsidR="00C768E5" w:rsidRPr="002A1948">
        <w:t xml:space="preserve"> </w:t>
      </w:r>
      <w:r w:rsidRPr="002A1948">
        <w:t xml:space="preserve">respondents. </w:t>
      </w:r>
      <w:r w:rsidR="00A578C2">
        <w:t>Table A-12 shows estimated burden and cost information.</w:t>
      </w:r>
    </w:p>
    <w:p w:rsidR="005A59E5" w:rsidRPr="002A1948" w:rsidRDefault="005A59E5" w:rsidP="005D6F14"/>
    <w:p w:rsidR="005A59E5" w:rsidRDefault="005A59E5" w:rsidP="007D6163">
      <w:pPr>
        <w:pStyle w:val="ListParagraph"/>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tbl>
      <w:tblPr>
        <w:tblW w:w="102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1530"/>
        <w:gridCol w:w="1260"/>
        <w:gridCol w:w="1440"/>
        <w:gridCol w:w="1530"/>
        <w:gridCol w:w="900"/>
        <w:gridCol w:w="900"/>
        <w:gridCol w:w="1350"/>
      </w:tblGrid>
      <w:tr w:rsidR="0043229B" w:rsidRPr="006F6856" w:rsidTr="00CE2A82">
        <w:trPr>
          <w:trHeight w:val="1493"/>
        </w:trPr>
        <w:tc>
          <w:tcPr>
            <w:tcW w:w="1350" w:type="dxa"/>
            <w:tcBorders>
              <w:bottom w:val="single" w:sz="12" w:space="0" w:color="000000"/>
            </w:tcBorders>
            <w:shd w:val="clear" w:color="auto" w:fill="D9D9D9" w:themeFill="background1" w:themeFillShade="D9"/>
          </w:tcPr>
          <w:p w:rsidR="003B2200" w:rsidRPr="00CA5840" w:rsidRDefault="003B2200" w:rsidP="005D6F14">
            <w:pPr>
              <w:ind w:left="-18"/>
              <w:jc w:val="center"/>
              <w:rPr>
                <w:b/>
                <w:sz w:val="20"/>
                <w:szCs w:val="20"/>
              </w:rPr>
            </w:pPr>
            <w:r>
              <w:rPr>
                <w:b/>
                <w:sz w:val="20"/>
                <w:szCs w:val="20"/>
              </w:rPr>
              <w:t>Data Collection Instrument: Form Name</w:t>
            </w:r>
          </w:p>
        </w:tc>
        <w:tc>
          <w:tcPr>
            <w:tcW w:w="1530" w:type="dxa"/>
            <w:tcBorders>
              <w:bottom w:val="single" w:sz="12" w:space="0" w:color="000000"/>
            </w:tcBorders>
            <w:shd w:val="clear" w:color="auto" w:fill="D9D9D9" w:themeFill="background1" w:themeFillShade="D9"/>
            <w:vAlign w:val="center"/>
          </w:tcPr>
          <w:p w:rsidR="003B2200" w:rsidRPr="00CA5840" w:rsidRDefault="003B2200" w:rsidP="005D6F14">
            <w:pPr>
              <w:ind w:left="-18"/>
              <w:jc w:val="center"/>
              <w:rPr>
                <w:b/>
                <w:sz w:val="20"/>
                <w:szCs w:val="20"/>
              </w:rPr>
            </w:pPr>
            <w:r w:rsidRPr="00CA5840">
              <w:rPr>
                <w:b/>
                <w:sz w:val="20"/>
                <w:szCs w:val="20"/>
              </w:rPr>
              <w:t>Type of Respondent</w:t>
            </w:r>
          </w:p>
        </w:tc>
        <w:tc>
          <w:tcPr>
            <w:tcW w:w="1260" w:type="dxa"/>
            <w:tcBorders>
              <w:bottom w:val="single" w:sz="12" w:space="0" w:color="000000"/>
            </w:tcBorders>
            <w:shd w:val="clear" w:color="auto" w:fill="D9D9D9" w:themeFill="background1" w:themeFillShade="D9"/>
            <w:vAlign w:val="center"/>
          </w:tcPr>
          <w:p w:rsidR="003B2200" w:rsidRPr="00CA5840" w:rsidRDefault="003B2200" w:rsidP="005D6F14">
            <w:pPr>
              <w:ind w:left="-18"/>
              <w:jc w:val="center"/>
              <w:rPr>
                <w:b/>
                <w:sz w:val="20"/>
                <w:szCs w:val="20"/>
              </w:rPr>
            </w:pPr>
            <w:r w:rsidRPr="00CA5840">
              <w:rPr>
                <w:b/>
                <w:sz w:val="20"/>
                <w:szCs w:val="20"/>
              </w:rPr>
              <w:t>No. of Respondents</w:t>
            </w:r>
          </w:p>
        </w:tc>
        <w:tc>
          <w:tcPr>
            <w:tcW w:w="1440" w:type="dxa"/>
            <w:tcBorders>
              <w:bottom w:val="single" w:sz="12" w:space="0" w:color="000000"/>
            </w:tcBorders>
            <w:shd w:val="clear" w:color="auto" w:fill="D9D9D9" w:themeFill="background1" w:themeFillShade="D9"/>
            <w:vAlign w:val="center"/>
          </w:tcPr>
          <w:p w:rsidR="003B2200" w:rsidRPr="00CA5840" w:rsidRDefault="003B2200" w:rsidP="005D6F14">
            <w:pPr>
              <w:ind w:left="-18"/>
              <w:jc w:val="center"/>
              <w:rPr>
                <w:b/>
                <w:sz w:val="20"/>
                <w:szCs w:val="20"/>
              </w:rPr>
            </w:pPr>
            <w:r w:rsidRPr="00CA5840">
              <w:rPr>
                <w:b/>
                <w:sz w:val="20"/>
                <w:szCs w:val="20"/>
              </w:rPr>
              <w:t>No. of Responses per Respondent</w:t>
            </w:r>
          </w:p>
        </w:tc>
        <w:tc>
          <w:tcPr>
            <w:tcW w:w="1530" w:type="dxa"/>
            <w:tcBorders>
              <w:bottom w:val="single" w:sz="12" w:space="0" w:color="000000"/>
            </w:tcBorders>
            <w:shd w:val="clear" w:color="auto" w:fill="D9D9D9" w:themeFill="background1" w:themeFillShade="D9"/>
            <w:vAlign w:val="center"/>
          </w:tcPr>
          <w:p w:rsidR="003B2200" w:rsidRPr="00CA5840" w:rsidRDefault="003B2200" w:rsidP="005D6F14">
            <w:pPr>
              <w:ind w:left="-18"/>
              <w:jc w:val="center"/>
              <w:rPr>
                <w:b/>
                <w:sz w:val="20"/>
                <w:szCs w:val="20"/>
              </w:rPr>
            </w:pPr>
            <w:r w:rsidRPr="00CA5840">
              <w:rPr>
                <w:b/>
                <w:sz w:val="20"/>
                <w:szCs w:val="20"/>
              </w:rPr>
              <w:t>Average Burden per Response (in hours)</w:t>
            </w:r>
          </w:p>
        </w:tc>
        <w:tc>
          <w:tcPr>
            <w:tcW w:w="900" w:type="dxa"/>
            <w:tcBorders>
              <w:bottom w:val="single" w:sz="12" w:space="0" w:color="000000"/>
            </w:tcBorders>
            <w:shd w:val="clear" w:color="auto" w:fill="D9D9D9" w:themeFill="background1" w:themeFillShade="D9"/>
            <w:vAlign w:val="center"/>
          </w:tcPr>
          <w:p w:rsidR="003B2200" w:rsidRPr="00CA5840" w:rsidRDefault="003B2200" w:rsidP="005D6F14">
            <w:pPr>
              <w:ind w:left="-18"/>
              <w:jc w:val="center"/>
              <w:rPr>
                <w:b/>
                <w:sz w:val="20"/>
                <w:szCs w:val="20"/>
              </w:rPr>
            </w:pPr>
            <w:r w:rsidRPr="00CA5840">
              <w:rPr>
                <w:b/>
                <w:sz w:val="20"/>
                <w:szCs w:val="20"/>
              </w:rPr>
              <w:t>Total Burden Hours</w:t>
            </w:r>
          </w:p>
        </w:tc>
        <w:tc>
          <w:tcPr>
            <w:tcW w:w="900" w:type="dxa"/>
            <w:tcBorders>
              <w:bottom w:val="single" w:sz="12" w:space="0" w:color="000000"/>
            </w:tcBorders>
            <w:shd w:val="clear" w:color="auto" w:fill="D9D9D9" w:themeFill="background1" w:themeFillShade="D9"/>
            <w:vAlign w:val="center"/>
          </w:tcPr>
          <w:p w:rsidR="003B2200" w:rsidRPr="00CA5840" w:rsidRDefault="003B2200" w:rsidP="005D6F14">
            <w:pPr>
              <w:ind w:left="-18"/>
              <w:jc w:val="center"/>
              <w:rPr>
                <w:b/>
                <w:sz w:val="20"/>
                <w:szCs w:val="20"/>
              </w:rPr>
            </w:pPr>
            <w:r w:rsidRPr="00CA5840">
              <w:rPr>
                <w:b/>
                <w:sz w:val="20"/>
                <w:szCs w:val="20"/>
              </w:rPr>
              <w:t>Hourly Wage Rate</w:t>
            </w:r>
          </w:p>
        </w:tc>
        <w:tc>
          <w:tcPr>
            <w:tcW w:w="1350" w:type="dxa"/>
            <w:tcBorders>
              <w:bottom w:val="single" w:sz="12" w:space="0" w:color="000000"/>
            </w:tcBorders>
            <w:shd w:val="clear" w:color="auto" w:fill="D9D9D9" w:themeFill="background1" w:themeFillShade="D9"/>
            <w:vAlign w:val="center"/>
          </w:tcPr>
          <w:p w:rsidR="003B2200" w:rsidRPr="00CA5840" w:rsidRDefault="003B2200" w:rsidP="005D6F14">
            <w:pPr>
              <w:ind w:left="-18"/>
              <w:jc w:val="center"/>
              <w:rPr>
                <w:b/>
                <w:sz w:val="20"/>
                <w:szCs w:val="20"/>
              </w:rPr>
            </w:pPr>
            <w:r w:rsidRPr="00CA5840">
              <w:rPr>
                <w:b/>
                <w:sz w:val="20"/>
                <w:szCs w:val="20"/>
              </w:rPr>
              <w:t>Total Respondent Costs</w:t>
            </w:r>
          </w:p>
        </w:tc>
      </w:tr>
      <w:tr w:rsidR="0043229B" w:rsidRPr="006F6856" w:rsidTr="00CE2A82">
        <w:tc>
          <w:tcPr>
            <w:tcW w:w="1350" w:type="dxa"/>
            <w:tcBorders>
              <w:top w:val="single" w:sz="12" w:space="0" w:color="000000"/>
            </w:tcBorders>
          </w:tcPr>
          <w:p w:rsidR="003B2200" w:rsidRPr="00CA5840" w:rsidRDefault="00CE2A82" w:rsidP="00CA5840">
            <w:pPr>
              <w:ind w:left="0"/>
              <w:rPr>
                <w:sz w:val="20"/>
                <w:szCs w:val="20"/>
              </w:rPr>
            </w:pPr>
            <w:r>
              <w:rPr>
                <w:sz w:val="20"/>
                <w:szCs w:val="20"/>
              </w:rPr>
              <w:t>PH</w:t>
            </w:r>
            <w:r w:rsidR="00B15452">
              <w:rPr>
                <w:sz w:val="20"/>
                <w:szCs w:val="20"/>
              </w:rPr>
              <w:t>P</w:t>
            </w:r>
            <w:r>
              <w:rPr>
                <w:sz w:val="20"/>
                <w:szCs w:val="20"/>
              </w:rPr>
              <w:t xml:space="preserve">IPA </w:t>
            </w:r>
          </w:p>
        </w:tc>
        <w:tc>
          <w:tcPr>
            <w:tcW w:w="1530" w:type="dxa"/>
            <w:tcBorders>
              <w:top w:val="single" w:sz="12" w:space="0" w:color="000000"/>
            </w:tcBorders>
            <w:vAlign w:val="center"/>
          </w:tcPr>
          <w:p w:rsidR="003B2200" w:rsidRPr="00CA5840" w:rsidRDefault="0070589F" w:rsidP="00CA5840">
            <w:pPr>
              <w:ind w:left="0"/>
              <w:rPr>
                <w:sz w:val="20"/>
                <w:szCs w:val="20"/>
              </w:rPr>
            </w:pPr>
            <w:r>
              <w:rPr>
                <w:sz w:val="20"/>
                <w:szCs w:val="20"/>
              </w:rPr>
              <w:t xml:space="preserve">State, local, tribal, territorial health department </w:t>
            </w:r>
            <w:r w:rsidR="00127F0F">
              <w:rPr>
                <w:sz w:val="20"/>
                <w:szCs w:val="20"/>
              </w:rPr>
              <w:t xml:space="preserve"> performance improvement </w:t>
            </w:r>
            <w:r>
              <w:rPr>
                <w:sz w:val="20"/>
                <w:szCs w:val="20"/>
              </w:rPr>
              <w:t>staff</w:t>
            </w:r>
          </w:p>
        </w:tc>
        <w:tc>
          <w:tcPr>
            <w:tcW w:w="1260" w:type="dxa"/>
            <w:tcBorders>
              <w:top w:val="single" w:sz="12" w:space="0" w:color="000000"/>
            </w:tcBorders>
            <w:vAlign w:val="center"/>
          </w:tcPr>
          <w:p w:rsidR="003B2200" w:rsidRPr="00CA5840" w:rsidRDefault="0027692A" w:rsidP="00CA5840">
            <w:pPr>
              <w:ind w:left="0"/>
              <w:jc w:val="center"/>
              <w:rPr>
                <w:sz w:val="20"/>
                <w:szCs w:val="20"/>
              </w:rPr>
            </w:pPr>
            <w:r>
              <w:rPr>
                <w:sz w:val="20"/>
                <w:szCs w:val="20"/>
              </w:rPr>
              <w:t>1744</w:t>
            </w:r>
          </w:p>
        </w:tc>
        <w:tc>
          <w:tcPr>
            <w:tcW w:w="1440" w:type="dxa"/>
            <w:tcBorders>
              <w:top w:val="single" w:sz="12" w:space="0" w:color="000000"/>
            </w:tcBorders>
            <w:vAlign w:val="center"/>
          </w:tcPr>
          <w:p w:rsidR="003B2200" w:rsidRPr="00CA5840" w:rsidRDefault="00CE2A82" w:rsidP="00CA5840">
            <w:pPr>
              <w:ind w:left="0"/>
              <w:jc w:val="center"/>
              <w:rPr>
                <w:sz w:val="20"/>
                <w:szCs w:val="20"/>
              </w:rPr>
            </w:pPr>
            <w:r>
              <w:rPr>
                <w:sz w:val="20"/>
                <w:szCs w:val="20"/>
              </w:rPr>
              <w:t>1</w:t>
            </w:r>
          </w:p>
        </w:tc>
        <w:tc>
          <w:tcPr>
            <w:tcW w:w="1530" w:type="dxa"/>
            <w:tcBorders>
              <w:top w:val="single" w:sz="12" w:space="0" w:color="000000"/>
            </w:tcBorders>
            <w:vAlign w:val="center"/>
          </w:tcPr>
          <w:p w:rsidR="003B2200" w:rsidRPr="00CA5840" w:rsidRDefault="00C41F89" w:rsidP="00632CEE">
            <w:pPr>
              <w:ind w:left="0"/>
              <w:jc w:val="center"/>
              <w:rPr>
                <w:sz w:val="20"/>
                <w:szCs w:val="20"/>
              </w:rPr>
            </w:pPr>
            <w:r>
              <w:rPr>
                <w:sz w:val="20"/>
                <w:szCs w:val="20"/>
              </w:rPr>
              <w:t>1</w:t>
            </w:r>
            <w:r w:rsidR="00632CEE">
              <w:rPr>
                <w:sz w:val="20"/>
                <w:szCs w:val="20"/>
              </w:rPr>
              <w:t>5</w:t>
            </w:r>
            <w:r w:rsidR="003B2200" w:rsidRPr="00CA5840">
              <w:rPr>
                <w:sz w:val="20"/>
                <w:szCs w:val="20"/>
              </w:rPr>
              <w:t>/60</w:t>
            </w:r>
          </w:p>
        </w:tc>
        <w:tc>
          <w:tcPr>
            <w:tcW w:w="900" w:type="dxa"/>
            <w:tcBorders>
              <w:top w:val="single" w:sz="12" w:space="0" w:color="000000"/>
            </w:tcBorders>
            <w:vAlign w:val="center"/>
          </w:tcPr>
          <w:p w:rsidR="003B2200" w:rsidRPr="00CA5840" w:rsidRDefault="00632CEE" w:rsidP="000A34F1">
            <w:pPr>
              <w:ind w:left="0"/>
              <w:jc w:val="center"/>
              <w:rPr>
                <w:sz w:val="20"/>
                <w:szCs w:val="20"/>
              </w:rPr>
            </w:pPr>
            <w:r>
              <w:rPr>
                <w:sz w:val="20"/>
                <w:szCs w:val="20"/>
              </w:rPr>
              <w:t>436</w:t>
            </w:r>
          </w:p>
        </w:tc>
        <w:tc>
          <w:tcPr>
            <w:tcW w:w="900" w:type="dxa"/>
            <w:tcBorders>
              <w:top w:val="single" w:sz="12" w:space="0" w:color="000000"/>
            </w:tcBorders>
            <w:vAlign w:val="center"/>
          </w:tcPr>
          <w:p w:rsidR="003B2200" w:rsidRPr="00CA5840" w:rsidRDefault="00C41F89" w:rsidP="00CA5840">
            <w:pPr>
              <w:ind w:left="0"/>
              <w:jc w:val="center"/>
              <w:rPr>
                <w:sz w:val="20"/>
                <w:szCs w:val="20"/>
              </w:rPr>
            </w:pPr>
            <w:r>
              <w:rPr>
                <w:sz w:val="20"/>
                <w:szCs w:val="20"/>
              </w:rPr>
              <w:t>$47.77</w:t>
            </w:r>
          </w:p>
        </w:tc>
        <w:tc>
          <w:tcPr>
            <w:tcW w:w="1350" w:type="dxa"/>
            <w:tcBorders>
              <w:top w:val="single" w:sz="12" w:space="0" w:color="000000"/>
            </w:tcBorders>
            <w:vAlign w:val="center"/>
          </w:tcPr>
          <w:p w:rsidR="003B2200" w:rsidRPr="00CA5840" w:rsidRDefault="00632CEE" w:rsidP="000A34F1">
            <w:pPr>
              <w:ind w:left="0"/>
              <w:jc w:val="center"/>
              <w:rPr>
                <w:sz w:val="20"/>
                <w:szCs w:val="20"/>
              </w:rPr>
            </w:pPr>
            <w:r>
              <w:rPr>
                <w:sz w:val="20"/>
                <w:szCs w:val="20"/>
              </w:rPr>
              <w:t>$20827.72</w:t>
            </w:r>
          </w:p>
        </w:tc>
      </w:tr>
      <w:tr w:rsidR="0043229B" w:rsidRPr="006F6856" w:rsidTr="00CE2A82">
        <w:trPr>
          <w:trHeight w:hRule="exact" w:val="432"/>
        </w:trPr>
        <w:tc>
          <w:tcPr>
            <w:tcW w:w="1350" w:type="dxa"/>
          </w:tcPr>
          <w:p w:rsidR="003B2200" w:rsidRPr="00CA5840" w:rsidRDefault="003B2200" w:rsidP="00CA5840">
            <w:pPr>
              <w:ind w:left="0"/>
              <w:rPr>
                <w:b/>
                <w:sz w:val="20"/>
                <w:szCs w:val="20"/>
              </w:rPr>
            </w:pPr>
          </w:p>
        </w:tc>
        <w:tc>
          <w:tcPr>
            <w:tcW w:w="1530" w:type="dxa"/>
            <w:vAlign w:val="center"/>
          </w:tcPr>
          <w:p w:rsidR="003B2200" w:rsidRPr="00CA5840" w:rsidRDefault="003B2200" w:rsidP="00CA5840">
            <w:pPr>
              <w:ind w:left="0"/>
              <w:rPr>
                <w:b/>
                <w:sz w:val="20"/>
                <w:szCs w:val="20"/>
              </w:rPr>
            </w:pPr>
            <w:r w:rsidRPr="00CA5840">
              <w:rPr>
                <w:b/>
                <w:sz w:val="20"/>
                <w:szCs w:val="20"/>
              </w:rPr>
              <w:t>TOTALS</w:t>
            </w:r>
          </w:p>
        </w:tc>
        <w:tc>
          <w:tcPr>
            <w:tcW w:w="1260" w:type="dxa"/>
            <w:vAlign w:val="center"/>
          </w:tcPr>
          <w:p w:rsidR="003B2200" w:rsidRPr="00CA5840" w:rsidRDefault="003B2200" w:rsidP="00CA5840">
            <w:pPr>
              <w:ind w:left="0"/>
              <w:jc w:val="center"/>
              <w:rPr>
                <w:b/>
                <w:sz w:val="20"/>
                <w:szCs w:val="20"/>
              </w:rPr>
            </w:pPr>
          </w:p>
        </w:tc>
        <w:tc>
          <w:tcPr>
            <w:tcW w:w="1440" w:type="dxa"/>
            <w:shd w:val="clear" w:color="auto" w:fill="auto"/>
            <w:vAlign w:val="center"/>
          </w:tcPr>
          <w:p w:rsidR="003B2200" w:rsidRPr="00CA5840" w:rsidRDefault="003B2200" w:rsidP="00CA5840">
            <w:pPr>
              <w:ind w:left="0"/>
              <w:jc w:val="center"/>
              <w:rPr>
                <w:b/>
                <w:sz w:val="20"/>
                <w:szCs w:val="20"/>
              </w:rPr>
            </w:pPr>
          </w:p>
        </w:tc>
        <w:tc>
          <w:tcPr>
            <w:tcW w:w="1530" w:type="dxa"/>
            <w:shd w:val="clear" w:color="auto" w:fill="D9D9D9" w:themeFill="background1" w:themeFillShade="D9"/>
            <w:vAlign w:val="center"/>
          </w:tcPr>
          <w:p w:rsidR="003B2200" w:rsidRPr="00CA5840" w:rsidRDefault="003B2200" w:rsidP="00CA5840">
            <w:pPr>
              <w:ind w:left="0"/>
              <w:jc w:val="center"/>
              <w:rPr>
                <w:b/>
                <w:sz w:val="20"/>
                <w:szCs w:val="20"/>
              </w:rPr>
            </w:pPr>
          </w:p>
        </w:tc>
        <w:tc>
          <w:tcPr>
            <w:tcW w:w="900" w:type="dxa"/>
            <w:vAlign w:val="center"/>
          </w:tcPr>
          <w:p w:rsidR="003B2200" w:rsidRPr="00CA5840" w:rsidRDefault="003B2200" w:rsidP="00CA5840">
            <w:pPr>
              <w:ind w:left="0"/>
              <w:jc w:val="center"/>
              <w:rPr>
                <w:b/>
                <w:sz w:val="20"/>
                <w:szCs w:val="20"/>
              </w:rPr>
            </w:pPr>
          </w:p>
        </w:tc>
        <w:tc>
          <w:tcPr>
            <w:tcW w:w="900" w:type="dxa"/>
            <w:shd w:val="clear" w:color="auto" w:fill="D9D9D9" w:themeFill="background1" w:themeFillShade="D9"/>
            <w:vAlign w:val="center"/>
          </w:tcPr>
          <w:p w:rsidR="003B2200" w:rsidRPr="00CA5840" w:rsidRDefault="003B2200" w:rsidP="00CA5840">
            <w:pPr>
              <w:ind w:left="0"/>
              <w:jc w:val="center"/>
              <w:rPr>
                <w:b/>
                <w:sz w:val="20"/>
                <w:szCs w:val="20"/>
              </w:rPr>
            </w:pPr>
          </w:p>
        </w:tc>
        <w:tc>
          <w:tcPr>
            <w:tcW w:w="1350" w:type="dxa"/>
            <w:vAlign w:val="center"/>
          </w:tcPr>
          <w:p w:rsidR="003B2200" w:rsidRPr="00CA5840" w:rsidRDefault="0027692A" w:rsidP="000A34F1">
            <w:pPr>
              <w:ind w:left="0"/>
              <w:jc w:val="center"/>
              <w:rPr>
                <w:b/>
                <w:sz w:val="20"/>
                <w:szCs w:val="20"/>
              </w:rPr>
            </w:pPr>
            <w:r>
              <w:rPr>
                <w:sz w:val="20"/>
                <w:szCs w:val="20"/>
              </w:rPr>
              <w:t>$</w:t>
            </w:r>
            <w:r w:rsidR="00632CEE" w:rsidRPr="00632CEE">
              <w:rPr>
                <w:sz w:val="20"/>
                <w:szCs w:val="20"/>
              </w:rPr>
              <w:t>20827.72</w:t>
            </w:r>
          </w:p>
        </w:tc>
      </w:tr>
    </w:tbl>
    <w:p w:rsidR="003C31C9" w:rsidRDefault="003C31C9" w:rsidP="003C31C9">
      <w:pPr>
        <w:pStyle w:val="Default"/>
        <w:ind w:left="720"/>
        <w:rPr>
          <w:rFonts w:asciiTheme="majorHAnsi" w:hAnsiTheme="majorHAnsi" w:cs="Times New Roman"/>
          <w:sz w:val="22"/>
          <w:szCs w:val="22"/>
        </w:rPr>
      </w:pPr>
    </w:p>
    <w:p w:rsidR="00B12F51" w:rsidRPr="0088467A" w:rsidRDefault="0088467A" w:rsidP="00181CA5">
      <w:pPr>
        <w:pStyle w:val="Heading4"/>
        <w:ind w:left="360"/>
      </w:pPr>
      <w:r w:rsidRPr="0088467A">
        <w:t>Estimates of Other Total Annual Cost Burden to Respondents or Record Keepers</w:t>
      </w:r>
    </w:p>
    <w:p w:rsidR="003C31C9" w:rsidRDefault="003C31C9" w:rsidP="00181CA5">
      <w:pPr>
        <w:ind w:left="360"/>
      </w:pPr>
      <w:r w:rsidRPr="003C31C9">
        <w:t>There will be no direct costs to the respondents other than their time</w:t>
      </w:r>
      <w:r>
        <w:t xml:space="preserve"> to participate in each </w:t>
      </w:r>
      <w:r w:rsidR="00525E61" w:rsidRPr="00667B13">
        <w:t>data collection</w:t>
      </w:r>
      <w:r w:rsidRPr="00667B13">
        <w:t>.</w:t>
      </w:r>
    </w:p>
    <w:p w:rsidR="00911486" w:rsidRDefault="00911486" w:rsidP="00181CA5">
      <w:pPr>
        <w:ind w:left="360"/>
      </w:pPr>
    </w:p>
    <w:p w:rsidR="00B12F51" w:rsidRPr="0088467A" w:rsidRDefault="0088467A" w:rsidP="00181CA5">
      <w:pPr>
        <w:pStyle w:val="Heading4"/>
        <w:ind w:left="360"/>
      </w:pPr>
      <w:r w:rsidRPr="0088467A">
        <w:t>Annualized Cost to the Government</w:t>
      </w:r>
      <w:r w:rsidR="00D75750">
        <w:t xml:space="preserve"> </w:t>
      </w:r>
    </w:p>
    <w:p w:rsidR="00062370" w:rsidRPr="000A34F1" w:rsidRDefault="00062370" w:rsidP="000A34F1">
      <w:pPr>
        <w:ind w:left="360"/>
      </w:pPr>
      <w:r w:rsidRPr="000A34F1">
        <w:t xml:space="preserve">There are no equipment or overhead costs. The only cost to the federal government would be the salary of CDC staff supporting the data collection activities and associated tasks. </w:t>
      </w:r>
    </w:p>
    <w:p w:rsidR="000A34F1" w:rsidRPr="00127F0F" w:rsidRDefault="00062370" w:rsidP="00127F0F">
      <w:pPr>
        <w:ind w:left="360"/>
      </w:pPr>
      <w:r w:rsidRPr="000A34F1">
        <w:t xml:space="preserve">The estimated cost to the federal government is $1692.41. Table A-14.1 describes how this cost estimate was calculated. </w:t>
      </w:r>
    </w:p>
    <w:p w:rsidR="00B4092D" w:rsidRDefault="00B4092D">
      <w:pPr>
        <w:tabs>
          <w:tab w:val="clear" w:pos="9360"/>
        </w:tabs>
        <w:spacing w:after="200"/>
        <w:ind w:left="0"/>
        <w:rPr>
          <w:color w:val="000000"/>
        </w:rPr>
      </w:pPr>
      <w:r>
        <w:rPr>
          <w:color w:val="000000"/>
        </w:rPr>
        <w:br w:type="page"/>
      </w:r>
    </w:p>
    <w:p w:rsidR="003C31C9" w:rsidRPr="00D75750" w:rsidRDefault="00321B51" w:rsidP="007D6163">
      <w:pPr>
        <w:pStyle w:val="ListParagraph"/>
      </w:pPr>
      <w:r>
        <w:rPr>
          <w:color w:val="000000"/>
        </w:rPr>
        <w:lastRenderedPageBreak/>
        <w:t xml:space="preserve"> </w:t>
      </w:r>
      <w:r w:rsidR="008E0683" w:rsidRPr="00241B17">
        <w:rPr>
          <w:b/>
          <w:u w:val="single"/>
        </w:rPr>
        <w:t>Table A-14</w:t>
      </w:r>
      <w:r w:rsidR="008E0683" w:rsidRPr="00241B17">
        <w:rPr>
          <w:b/>
        </w:rPr>
        <w:t>:</w:t>
      </w:r>
      <w:r w:rsidR="008E0683" w:rsidRPr="008E0683">
        <w:t xml:space="preserve"> Estimated Annualized Cost to the Federal Government</w:t>
      </w:r>
    </w:p>
    <w:tbl>
      <w:tblPr>
        <w:tblStyle w:val="TableGrid"/>
        <w:tblW w:w="0" w:type="auto"/>
        <w:tblLook w:val="04A0" w:firstRow="1" w:lastRow="0" w:firstColumn="1" w:lastColumn="0" w:noHBand="0" w:noVBand="1"/>
      </w:tblPr>
      <w:tblGrid>
        <w:gridCol w:w="4195"/>
        <w:gridCol w:w="1969"/>
        <w:gridCol w:w="1234"/>
        <w:gridCol w:w="236"/>
        <w:gridCol w:w="236"/>
        <w:gridCol w:w="1706"/>
      </w:tblGrid>
      <w:tr w:rsidR="004841F1" w:rsidRPr="004841F1" w:rsidTr="00CA5840">
        <w:trPr>
          <w:trHeight w:val="593"/>
        </w:trPr>
        <w:tc>
          <w:tcPr>
            <w:tcW w:w="4195" w:type="dxa"/>
            <w:tcBorders>
              <w:bottom w:val="single" w:sz="12" w:space="0" w:color="auto"/>
            </w:tcBorders>
            <w:shd w:val="clear" w:color="auto" w:fill="D9D9D9" w:themeFill="background1" w:themeFillShade="D9"/>
            <w:vAlign w:val="center"/>
          </w:tcPr>
          <w:p w:rsidR="004841F1" w:rsidRPr="00CA5840" w:rsidRDefault="004841F1" w:rsidP="005D6F14">
            <w:pPr>
              <w:ind w:left="0"/>
              <w:jc w:val="center"/>
              <w:rPr>
                <w:b/>
                <w:sz w:val="20"/>
                <w:szCs w:val="20"/>
              </w:rPr>
            </w:pPr>
            <w:r w:rsidRPr="00CA5840">
              <w:rPr>
                <w:b/>
                <w:sz w:val="20"/>
                <w:szCs w:val="20"/>
              </w:rPr>
              <w:t>Staff (FTE)</w:t>
            </w:r>
          </w:p>
        </w:tc>
        <w:tc>
          <w:tcPr>
            <w:tcW w:w="1969" w:type="dxa"/>
            <w:tcBorders>
              <w:bottom w:val="single" w:sz="12" w:space="0" w:color="auto"/>
            </w:tcBorders>
            <w:shd w:val="clear" w:color="auto" w:fill="D9D9D9" w:themeFill="background1" w:themeFillShade="D9"/>
            <w:vAlign w:val="center"/>
          </w:tcPr>
          <w:p w:rsidR="004841F1" w:rsidRPr="00CA5840" w:rsidRDefault="004841F1" w:rsidP="005D6F14">
            <w:pPr>
              <w:ind w:left="0"/>
              <w:jc w:val="center"/>
              <w:rPr>
                <w:b/>
                <w:sz w:val="20"/>
                <w:szCs w:val="20"/>
              </w:rPr>
            </w:pPr>
            <w:r w:rsidRPr="00CA5840">
              <w:rPr>
                <w:b/>
                <w:sz w:val="20"/>
                <w:szCs w:val="20"/>
              </w:rPr>
              <w:t>Average Hours per Collection</w:t>
            </w:r>
          </w:p>
        </w:tc>
        <w:tc>
          <w:tcPr>
            <w:tcW w:w="1706" w:type="dxa"/>
            <w:gridSpan w:val="3"/>
            <w:tcBorders>
              <w:bottom w:val="single" w:sz="12" w:space="0" w:color="auto"/>
            </w:tcBorders>
            <w:shd w:val="clear" w:color="auto" w:fill="D9D9D9" w:themeFill="background1" w:themeFillShade="D9"/>
            <w:vAlign w:val="center"/>
          </w:tcPr>
          <w:p w:rsidR="004841F1" w:rsidRPr="00CA5840" w:rsidRDefault="004841F1" w:rsidP="005D6F14">
            <w:pPr>
              <w:ind w:left="0"/>
              <w:jc w:val="center"/>
              <w:rPr>
                <w:b/>
                <w:sz w:val="20"/>
                <w:szCs w:val="20"/>
              </w:rPr>
            </w:pPr>
            <w:r w:rsidRPr="00CA5840">
              <w:rPr>
                <w:b/>
                <w:sz w:val="20"/>
                <w:szCs w:val="20"/>
              </w:rPr>
              <w:t>Average Hourly Rate</w:t>
            </w:r>
          </w:p>
        </w:tc>
        <w:tc>
          <w:tcPr>
            <w:tcW w:w="1706" w:type="dxa"/>
            <w:tcBorders>
              <w:bottom w:val="single" w:sz="12" w:space="0" w:color="auto"/>
            </w:tcBorders>
            <w:shd w:val="clear" w:color="auto" w:fill="D9D9D9" w:themeFill="background1" w:themeFillShade="D9"/>
            <w:vAlign w:val="center"/>
          </w:tcPr>
          <w:p w:rsidR="004841F1" w:rsidRPr="00CA5840" w:rsidRDefault="004841F1" w:rsidP="005D6F14">
            <w:pPr>
              <w:ind w:left="0"/>
              <w:jc w:val="center"/>
              <w:rPr>
                <w:b/>
                <w:sz w:val="20"/>
                <w:szCs w:val="20"/>
              </w:rPr>
            </w:pPr>
            <w:r w:rsidRPr="00CA5840">
              <w:rPr>
                <w:b/>
                <w:sz w:val="20"/>
                <w:szCs w:val="20"/>
              </w:rPr>
              <w:t>Average Cost</w:t>
            </w:r>
          </w:p>
        </w:tc>
      </w:tr>
      <w:tr w:rsidR="004841F1" w:rsidRPr="004841F1" w:rsidTr="00CA5840">
        <w:tc>
          <w:tcPr>
            <w:tcW w:w="4195" w:type="dxa"/>
            <w:tcBorders>
              <w:top w:val="single" w:sz="12" w:space="0" w:color="auto"/>
            </w:tcBorders>
          </w:tcPr>
          <w:p w:rsidR="005B1BF6" w:rsidRDefault="005B1BF6" w:rsidP="00CA5840">
            <w:pPr>
              <w:ind w:left="0"/>
              <w:jc w:val="both"/>
              <w:rPr>
                <w:b/>
                <w:sz w:val="20"/>
                <w:szCs w:val="20"/>
              </w:rPr>
            </w:pPr>
            <w:r>
              <w:rPr>
                <w:b/>
                <w:sz w:val="20"/>
                <w:szCs w:val="20"/>
              </w:rPr>
              <w:t>Lead Public Health Advisor (GS-14)</w:t>
            </w:r>
          </w:p>
          <w:p w:rsidR="005B1BF6" w:rsidRPr="005B1BF6" w:rsidRDefault="005B1BF6" w:rsidP="00CA5840">
            <w:pPr>
              <w:ind w:left="0"/>
              <w:jc w:val="both"/>
              <w:rPr>
                <w:b/>
                <w:sz w:val="20"/>
                <w:szCs w:val="20"/>
              </w:rPr>
            </w:pPr>
            <w:r>
              <w:rPr>
                <w:sz w:val="20"/>
                <w:szCs w:val="20"/>
              </w:rPr>
              <w:t>Consultation with staff on OMB package preparation, instrument development,  pilot testing, data collection, report preparation</w:t>
            </w:r>
          </w:p>
        </w:tc>
        <w:tc>
          <w:tcPr>
            <w:tcW w:w="1969" w:type="dxa"/>
            <w:tcBorders>
              <w:top w:val="single" w:sz="12" w:space="0" w:color="auto"/>
            </w:tcBorders>
          </w:tcPr>
          <w:p w:rsidR="004841F1" w:rsidRPr="00CA5840" w:rsidRDefault="001A2A14" w:rsidP="005D6F14">
            <w:pPr>
              <w:ind w:left="0"/>
              <w:jc w:val="center"/>
              <w:rPr>
                <w:sz w:val="20"/>
                <w:szCs w:val="20"/>
              </w:rPr>
            </w:pPr>
            <w:r>
              <w:rPr>
                <w:sz w:val="20"/>
                <w:szCs w:val="20"/>
              </w:rPr>
              <w:t>12</w:t>
            </w:r>
          </w:p>
        </w:tc>
        <w:tc>
          <w:tcPr>
            <w:tcW w:w="1706" w:type="dxa"/>
            <w:gridSpan w:val="3"/>
            <w:tcBorders>
              <w:top w:val="single" w:sz="12" w:space="0" w:color="auto"/>
            </w:tcBorders>
          </w:tcPr>
          <w:p w:rsidR="004841F1" w:rsidRPr="00CA5840" w:rsidRDefault="001A2A14" w:rsidP="00880374">
            <w:pPr>
              <w:ind w:left="0"/>
              <w:jc w:val="center"/>
              <w:rPr>
                <w:sz w:val="20"/>
                <w:szCs w:val="20"/>
              </w:rPr>
            </w:pPr>
            <w:r>
              <w:rPr>
                <w:sz w:val="20"/>
                <w:szCs w:val="20"/>
              </w:rPr>
              <w:t>$</w:t>
            </w:r>
            <w:r w:rsidR="00880374">
              <w:rPr>
                <w:sz w:val="20"/>
                <w:szCs w:val="20"/>
              </w:rPr>
              <w:t>48.90</w:t>
            </w:r>
          </w:p>
        </w:tc>
        <w:tc>
          <w:tcPr>
            <w:tcW w:w="1706" w:type="dxa"/>
            <w:tcBorders>
              <w:top w:val="single" w:sz="12" w:space="0" w:color="auto"/>
            </w:tcBorders>
          </w:tcPr>
          <w:p w:rsidR="004841F1" w:rsidRPr="00CA5840" w:rsidRDefault="00880374" w:rsidP="000A34F1">
            <w:pPr>
              <w:ind w:left="0"/>
              <w:jc w:val="center"/>
              <w:rPr>
                <w:sz w:val="20"/>
                <w:szCs w:val="20"/>
              </w:rPr>
            </w:pPr>
            <w:r>
              <w:rPr>
                <w:sz w:val="20"/>
                <w:szCs w:val="20"/>
              </w:rPr>
              <w:t>$586.</w:t>
            </w:r>
            <w:r w:rsidR="000A34F1">
              <w:rPr>
                <w:sz w:val="20"/>
                <w:szCs w:val="20"/>
              </w:rPr>
              <w:t>80</w:t>
            </w:r>
          </w:p>
        </w:tc>
      </w:tr>
      <w:tr w:rsidR="005B1BF6" w:rsidRPr="00F87004" w:rsidTr="00CA5840">
        <w:tc>
          <w:tcPr>
            <w:tcW w:w="4195" w:type="dxa"/>
          </w:tcPr>
          <w:p w:rsidR="005B1BF6" w:rsidRPr="00F87004" w:rsidRDefault="005B1BF6" w:rsidP="00096AA2">
            <w:pPr>
              <w:ind w:left="0"/>
              <w:jc w:val="both"/>
              <w:rPr>
                <w:b/>
                <w:sz w:val="20"/>
                <w:szCs w:val="20"/>
              </w:rPr>
            </w:pPr>
            <w:r w:rsidRPr="00F87004">
              <w:rPr>
                <w:b/>
                <w:sz w:val="20"/>
                <w:szCs w:val="20"/>
              </w:rPr>
              <w:t>Public Health Advisor (GS-13)</w:t>
            </w:r>
          </w:p>
          <w:p w:rsidR="005B1BF6" w:rsidRPr="00F87004" w:rsidRDefault="005B1BF6" w:rsidP="00096AA2">
            <w:pPr>
              <w:ind w:left="0"/>
              <w:jc w:val="both"/>
              <w:rPr>
                <w:sz w:val="20"/>
                <w:szCs w:val="20"/>
              </w:rPr>
            </w:pPr>
            <w:r w:rsidRPr="00F87004">
              <w:rPr>
                <w:sz w:val="20"/>
                <w:szCs w:val="20"/>
              </w:rPr>
              <w:t>Consultation with staff on OMB package preparation, instrument development,  pilot testing, data collection, report preparation</w:t>
            </w:r>
          </w:p>
        </w:tc>
        <w:tc>
          <w:tcPr>
            <w:tcW w:w="1969" w:type="dxa"/>
          </w:tcPr>
          <w:p w:rsidR="005B1BF6" w:rsidRPr="00F87004" w:rsidRDefault="001A2A14" w:rsidP="005D6F14">
            <w:pPr>
              <w:ind w:left="0"/>
              <w:jc w:val="center"/>
              <w:rPr>
                <w:sz w:val="20"/>
                <w:szCs w:val="20"/>
              </w:rPr>
            </w:pPr>
            <w:r w:rsidRPr="00F87004">
              <w:rPr>
                <w:sz w:val="20"/>
                <w:szCs w:val="20"/>
              </w:rPr>
              <w:t>12</w:t>
            </w:r>
          </w:p>
        </w:tc>
        <w:tc>
          <w:tcPr>
            <w:tcW w:w="1706" w:type="dxa"/>
            <w:gridSpan w:val="3"/>
          </w:tcPr>
          <w:p w:rsidR="005B1BF6" w:rsidRPr="00F87004" w:rsidRDefault="00A935AA" w:rsidP="00880374">
            <w:pPr>
              <w:ind w:left="0"/>
              <w:jc w:val="center"/>
              <w:rPr>
                <w:sz w:val="20"/>
                <w:szCs w:val="20"/>
              </w:rPr>
            </w:pPr>
            <w:r w:rsidRPr="00F87004">
              <w:rPr>
                <w:sz w:val="20"/>
                <w:szCs w:val="20"/>
              </w:rPr>
              <w:t>$</w:t>
            </w:r>
            <w:r w:rsidR="00880374" w:rsidRPr="00F87004">
              <w:rPr>
                <w:sz w:val="20"/>
                <w:szCs w:val="20"/>
              </w:rPr>
              <w:t>41.38</w:t>
            </w:r>
          </w:p>
        </w:tc>
        <w:tc>
          <w:tcPr>
            <w:tcW w:w="1706" w:type="dxa"/>
          </w:tcPr>
          <w:p w:rsidR="005B1BF6" w:rsidRPr="00CA5840" w:rsidRDefault="00880374" w:rsidP="005D6F14">
            <w:pPr>
              <w:ind w:left="0"/>
              <w:jc w:val="center"/>
              <w:rPr>
                <w:sz w:val="20"/>
                <w:szCs w:val="20"/>
              </w:rPr>
            </w:pPr>
            <w:r w:rsidRPr="00F87004">
              <w:rPr>
                <w:sz w:val="20"/>
                <w:szCs w:val="20"/>
              </w:rPr>
              <w:t>$496.56</w:t>
            </w:r>
          </w:p>
        </w:tc>
        <w:bookmarkStart w:id="0" w:name="_GoBack"/>
        <w:bookmarkEnd w:id="0"/>
      </w:tr>
      <w:tr w:rsidR="005B1BF6" w:rsidRPr="007B305A" w:rsidTr="005D6F14">
        <w:tc>
          <w:tcPr>
            <w:tcW w:w="4195" w:type="dxa"/>
            <w:tcBorders>
              <w:bottom w:val="single" w:sz="4" w:space="0" w:color="auto"/>
            </w:tcBorders>
          </w:tcPr>
          <w:p w:rsidR="005B1BF6" w:rsidRPr="005B1BF6" w:rsidRDefault="005B1BF6" w:rsidP="00096AA2">
            <w:pPr>
              <w:ind w:left="0"/>
              <w:jc w:val="both"/>
              <w:rPr>
                <w:b/>
                <w:sz w:val="20"/>
                <w:szCs w:val="20"/>
              </w:rPr>
            </w:pPr>
            <w:r w:rsidRPr="005B1BF6">
              <w:rPr>
                <w:b/>
                <w:sz w:val="20"/>
                <w:szCs w:val="20"/>
              </w:rPr>
              <w:t>Public Health Advisor (GS-</w:t>
            </w:r>
            <w:r>
              <w:rPr>
                <w:b/>
                <w:sz w:val="20"/>
                <w:szCs w:val="20"/>
              </w:rPr>
              <w:t>9</w:t>
            </w:r>
            <w:r w:rsidR="001A2A14">
              <w:rPr>
                <w:b/>
                <w:sz w:val="20"/>
                <w:szCs w:val="20"/>
              </w:rPr>
              <w:t>)</w:t>
            </w:r>
          </w:p>
          <w:p w:rsidR="005B1BF6" w:rsidRPr="00CA5840" w:rsidRDefault="005B1BF6" w:rsidP="001A2A14">
            <w:pPr>
              <w:ind w:left="0"/>
              <w:jc w:val="both"/>
              <w:rPr>
                <w:sz w:val="20"/>
                <w:szCs w:val="20"/>
              </w:rPr>
            </w:pPr>
            <w:r>
              <w:rPr>
                <w:sz w:val="20"/>
                <w:szCs w:val="20"/>
              </w:rPr>
              <w:t>Pilot testing, OMB package preparation</w:t>
            </w:r>
          </w:p>
        </w:tc>
        <w:tc>
          <w:tcPr>
            <w:tcW w:w="1969" w:type="dxa"/>
            <w:tcBorders>
              <w:bottom w:val="single" w:sz="4" w:space="0" w:color="auto"/>
            </w:tcBorders>
          </w:tcPr>
          <w:p w:rsidR="005B1BF6" w:rsidRPr="00CA5840" w:rsidRDefault="001A2A14" w:rsidP="005D6F14">
            <w:pPr>
              <w:ind w:left="0"/>
              <w:jc w:val="center"/>
              <w:rPr>
                <w:sz w:val="20"/>
                <w:szCs w:val="20"/>
              </w:rPr>
            </w:pPr>
            <w:r>
              <w:rPr>
                <w:sz w:val="20"/>
                <w:szCs w:val="20"/>
              </w:rPr>
              <w:t>5</w:t>
            </w:r>
          </w:p>
        </w:tc>
        <w:tc>
          <w:tcPr>
            <w:tcW w:w="1706" w:type="dxa"/>
            <w:gridSpan w:val="3"/>
            <w:tcBorders>
              <w:bottom w:val="single" w:sz="4" w:space="0" w:color="auto"/>
            </w:tcBorders>
          </w:tcPr>
          <w:p w:rsidR="005B1BF6" w:rsidRPr="00CA5840" w:rsidRDefault="00880374" w:rsidP="005D6F14">
            <w:pPr>
              <w:ind w:left="0"/>
              <w:jc w:val="center"/>
              <w:rPr>
                <w:sz w:val="20"/>
                <w:szCs w:val="20"/>
              </w:rPr>
            </w:pPr>
            <w:r>
              <w:rPr>
                <w:sz w:val="20"/>
                <w:szCs w:val="20"/>
              </w:rPr>
              <w:t>$23.99</w:t>
            </w:r>
          </w:p>
        </w:tc>
        <w:tc>
          <w:tcPr>
            <w:tcW w:w="1706" w:type="dxa"/>
          </w:tcPr>
          <w:p w:rsidR="005B1BF6" w:rsidRPr="00CA5840" w:rsidRDefault="00880374" w:rsidP="005D6F14">
            <w:pPr>
              <w:ind w:left="0"/>
              <w:jc w:val="center"/>
              <w:rPr>
                <w:sz w:val="20"/>
                <w:szCs w:val="20"/>
              </w:rPr>
            </w:pPr>
            <w:r>
              <w:rPr>
                <w:sz w:val="20"/>
                <w:szCs w:val="20"/>
              </w:rPr>
              <w:t>$119.95</w:t>
            </w:r>
          </w:p>
        </w:tc>
      </w:tr>
      <w:tr w:rsidR="001A2A14" w:rsidRPr="007B305A" w:rsidTr="005D6F14">
        <w:tc>
          <w:tcPr>
            <w:tcW w:w="4195" w:type="dxa"/>
            <w:tcBorders>
              <w:bottom w:val="single" w:sz="4" w:space="0" w:color="auto"/>
            </w:tcBorders>
          </w:tcPr>
          <w:p w:rsidR="001A2A14" w:rsidRDefault="001A2A14" w:rsidP="001A2A14">
            <w:pPr>
              <w:ind w:left="0"/>
              <w:jc w:val="both"/>
              <w:rPr>
                <w:b/>
                <w:sz w:val="20"/>
                <w:szCs w:val="20"/>
              </w:rPr>
            </w:pPr>
            <w:r>
              <w:rPr>
                <w:b/>
                <w:sz w:val="20"/>
                <w:szCs w:val="20"/>
              </w:rPr>
              <w:t>Health Scientist (GS-14)</w:t>
            </w:r>
          </w:p>
          <w:p w:rsidR="001A2A14" w:rsidRPr="001A2A14" w:rsidRDefault="001A2A14" w:rsidP="001A2A14">
            <w:pPr>
              <w:ind w:left="0"/>
              <w:jc w:val="both"/>
              <w:rPr>
                <w:sz w:val="20"/>
                <w:szCs w:val="20"/>
              </w:rPr>
            </w:pPr>
            <w:r>
              <w:rPr>
                <w:sz w:val="20"/>
                <w:szCs w:val="20"/>
              </w:rPr>
              <w:t>Assisting with instrument development, consultation on data analysis and report preparation</w:t>
            </w:r>
          </w:p>
        </w:tc>
        <w:tc>
          <w:tcPr>
            <w:tcW w:w="1969" w:type="dxa"/>
            <w:tcBorders>
              <w:bottom w:val="single" w:sz="4" w:space="0" w:color="auto"/>
            </w:tcBorders>
          </w:tcPr>
          <w:p w:rsidR="001A2A14" w:rsidRPr="00CA5840" w:rsidRDefault="00880374" w:rsidP="005D6F14">
            <w:pPr>
              <w:ind w:left="0"/>
              <w:jc w:val="center"/>
              <w:rPr>
                <w:sz w:val="20"/>
                <w:szCs w:val="20"/>
              </w:rPr>
            </w:pPr>
            <w:r>
              <w:rPr>
                <w:sz w:val="20"/>
                <w:szCs w:val="20"/>
              </w:rPr>
              <w:t>10</w:t>
            </w:r>
          </w:p>
        </w:tc>
        <w:tc>
          <w:tcPr>
            <w:tcW w:w="1706" w:type="dxa"/>
            <w:gridSpan w:val="3"/>
            <w:tcBorders>
              <w:bottom w:val="single" w:sz="4" w:space="0" w:color="auto"/>
            </w:tcBorders>
          </w:tcPr>
          <w:p w:rsidR="001A2A14" w:rsidRPr="00CA5840" w:rsidRDefault="001A2A14" w:rsidP="00880374">
            <w:pPr>
              <w:ind w:left="0"/>
              <w:jc w:val="center"/>
              <w:rPr>
                <w:sz w:val="20"/>
                <w:szCs w:val="20"/>
              </w:rPr>
            </w:pPr>
            <w:r>
              <w:rPr>
                <w:sz w:val="20"/>
                <w:szCs w:val="20"/>
              </w:rPr>
              <w:t>$</w:t>
            </w:r>
            <w:r w:rsidR="00880374">
              <w:rPr>
                <w:sz w:val="20"/>
                <w:szCs w:val="20"/>
              </w:rPr>
              <w:t>48.90</w:t>
            </w:r>
          </w:p>
        </w:tc>
        <w:tc>
          <w:tcPr>
            <w:tcW w:w="1706" w:type="dxa"/>
          </w:tcPr>
          <w:p w:rsidR="001A2A14" w:rsidRPr="00CA5840" w:rsidRDefault="00880374" w:rsidP="005D6F14">
            <w:pPr>
              <w:ind w:left="0"/>
              <w:jc w:val="center"/>
              <w:rPr>
                <w:sz w:val="20"/>
                <w:szCs w:val="20"/>
              </w:rPr>
            </w:pPr>
            <w:r>
              <w:rPr>
                <w:sz w:val="20"/>
                <w:szCs w:val="20"/>
              </w:rPr>
              <w:t>$489.00</w:t>
            </w:r>
          </w:p>
        </w:tc>
      </w:tr>
      <w:tr w:rsidR="005B1BF6" w:rsidRPr="004841F1" w:rsidTr="005D6F14">
        <w:trPr>
          <w:trHeight w:val="332"/>
        </w:trPr>
        <w:tc>
          <w:tcPr>
            <w:tcW w:w="7398" w:type="dxa"/>
            <w:gridSpan w:val="3"/>
            <w:tcBorders>
              <w:right w:val="nil"/>
            </w:tcBorders>
            <w:vAlign w:val="center"/>
          </w:tcPr>
          <w:p w:rsidR="005B1BF6" w:rsidRPr="005D6F14" w:rsidRDefault="005B1BF6" w:rsidP="005D6F14">
            <w:pPr>
              <w:ind w:left="0"/>
              <w:jc w:val="right"/>
              <w:rPr>
                <w:b/>
                <w:sz w:val="20"/>
                <w:szCs w:val="20"/>
              </w:rPr>
            </w:pPr>
            <w:r w:rsidRPr="005D6F14">
              <w:rPr>
                <w:b/>
                <w:sz w:val="20"/>
                <w:szCs w:val="20"/>
              </w:rPr>
              <w:t>Estimated Total Cost of Information Collection</w:t>
            </w:r>
          </w:p>
        </w:tc>
        <w:tc>
          <w:tcPr>
            <w:tcW w:w="236" w:type="dxa"/>
            <w:tcBorders>
              <w:left w:val="nil"/>
              <w:right w:val="nil"/>
            </w:tcBorders>
            <w:vAlign w:val="center"/>
          </w:tcPr>
          <w:p w:rsidR="005B1BF6" w:rsidRPr="005D6F14" w:rsidRDefault="005B1BF6" w:rsidP="00CA5840">
            <w:pPr>
              <w:ind w:left="0"/>
              <w:rPr>
                <w:b/>
                <w:sz w:val="20"/>
                <w:szCs w:val="20"/>
              </w:rPr>
            </w:pPr>
          </w:p>
        </w:tc>
        <w:tc>
          <w:tcPr>
            <w:tcW w:w="236" w:type="dxa"/>
            <w:tcBorders>
              <w:left w:val="nil"/>
            </w:tcBorders>
            <w:vAlign w:val="center"/>
          </w:tcPr>
          <w:p w:rsidR="005B1BF6" w:rsidRPr="005D6F14" w:rsidRDefault="005B1BF6" w:rsidP="00CA5840">
            <w:pPr>
              <w:ind w:left="0"/>
              <w:rPr>
                <w:b/>
                <w:sz w:val="20"/>
                <w:szCs w:val="20"/>
              </w:rPr>
            </w:pPr>
          </w:p>
        </w:tc>
        <w:tc>
          <w:tcPr>
            <w:tcW w:w="1706" w:type="dxa"/>
            <w:vAlign w:val="center"/>
          </w:tcPr>
          <w:p w:rsidR="005B1BF6" w:rsidRPr="005D6F14" w:rsidRDefault="00880374" w:rsidP="000A34F1">
            <w:pPr>
              <w:ind w:left="0"/>
              <w:jc w:val="center"/>
              <w:rPr>
                <w:b/>
                <w:sz w:val="20"/>
                <w:szCs w:val="20"/>
              </w:rPr>
            </w:pPr>
            <w:r>
              <w:rPr>
                <w:b/>
                <w:sz w:val="20"/>
                <w:szCs w:val="20"/>
              </w:rPr>
              <w:t>$1692.</w:t>
            </w:r>
            <w:r w:rsidR="000A34F1">
              <w:rPr>
                <w:b/>
                <w:sz w:val="20"/>
                <w:szCs w:val="20"/>
              </w:rPr>
              <w:t>3</w:t>
            </w:r>
            <w:r>
              <w:rPr>
                <w:b/>
                <w:sz w:val="20"/>
                <w:szCs w:val="20"/>
              </w:rPr>
              <w:t>1</w:t>
            </w:r>
          </w:p>
        </w:tc>
      </w:tr>
    </w:tbl>
    <w:p w:rsidR="005D6F14" w:rsidRDefault="005D6F14" w:rsidP="0008505E">
      <w:pPr>
        <w:ind w:left="0"/>
      </w:pPr>
    </w:p>
    <w:p w:rsidR="00B12F51" w:rsidRPr="00D75750" w:rsidRDefault="00D75750" w:rsidP="00181CA5">
      <w:pPr>
        <w:pStyle w:val="Heading4"/>
        <w:ind w:left="360"/>
      </w:pPr>
      <w:r w:rsidRPr="00D75750">
        <w:t>Explanation for Program Changes or Adjustments</w:t>
      </w:r>
    </w:p>
    <w:p w:rsidR="00F52BCC" w:rsidRDefault="003C7C5D" w:rsidP="00181CA5">
      <w:pPr>
        <w:ind w:left="360"/>
      </w:pPr>
      <w:r>
        <w:t>This is a new data collection.</w:t>
      </w:r>
    </w:p>
    <w:p w:rsidR="00181CA5" w:rsidRDefault="00181CA5" w:rsidP="00181CA5">
      <w:pPr>
        <w:ind w:left="360"/>
      </w:pPr>
    </w:p>
    <w:p w:rsidR="00B12F51" w:rsidRPr="00EF33CD" w:rsidRDefault="00616090" w:rsidP="00181CA5">
      <w:pPr>
        <w:pStyle w:val="Heading4"/>
        <w:ind w:left="360"/>
      </w:pPr>
      <w:r>
        <w:t>Plan</w:t>
      </w:r>
      <w:r w:rsidR="00D75750">
        <w:t>s</w:t>
      </w:r>
      <w:r w:rsidR="00D75750" w:rsidRPr="00D75750">
        <w:t xml:space="preserve"> for Tabulation and Publication and Project Time Schedule</w:t>
      </w:r>
    </w:p>
    <w:p w:rsidR="005E10F8" w:rsidRPr="00181CA5" w:rsidRDefault="005E10F8" w:rsidP="005E10F8">
      <w:pPr>
        <w:ind w:left="360"/>
      </w:pPr>
      <w:r w:rsidRPr="00181CA5">
        <w:t xml:space="preserve">Both quantitative and qualitative analyses will be performed.  Quantitative analyses will involve using descriptive statistics to determine frequency distributions for responses to each survey question. Qualitative thematic analyses will be conducted on open-ended questions.  </w:t>
      </w:r>
    </w:p>
    <w:p w:rsidR="005E10F8" w:rsidRDefault="005E10F8" w:rsidP="00181CA5">
      <w:pPr>
        <w:ind w:left="360"/>
      </w:pPr>
    </w:p>
    <w:p w:rsidR="0008505E" w:rsidRPr="00181CA5" w:rsidRDefault="0008505E" w:rsidP="00181CA5">
      <w:pPr>
        <w:ind w:left="360"/>
      </w:pPr>
      <w:r w:rsidRPr="00181CA5">
        <w:t>Results of this data collection will contribute to the report and presentation for the broader PHPIPA Assessment that will be used within CDC and NNPHI and also shared with relevant stakeholders.  The report will relay the major findings and recommendations, informed by the Needs/Desirability Assessment and other data that will assist with decision-making around the potential creation of a professional association.</w:t>
      </w:r>
    </w:p>
    <w:p w:rsidR="0008505E" w:rsidRPr="00181CA5" w:rsidRDefault="0008505E" w:rsidP="00181CA5">
      <w:pPr>
        <w:ind w:left="360"/>
      </w:pPr>
    </w:p>
    <w:p w:rsidR="0008505E" w:rsidRPr="0008505E" w:rsidRDefault="0008505E" w:rsidP="00181CA5">
      <w:pPr>
        <w:ind w:left="360"/>
        <w:rPr>
          <w:u w:val="single"/>
        </w:rPr>
      </w:pPr>
      <w:r w:rsidRPr="0008505E">
        <w:rPr>
          <w:u w:val="single"/>
        </w:rPr>
        <w:tab/>
      </w:r>
    </w:p>
    <w:p w:rsidR="0008505E" w:rsidRPr="0008505E" w:rsidRDefault="0008505E" w:rsidP="00181CA5">
      <w:pPr>
        <w:ind w:left="360"/>
        <w:rPr>
          <w:u w:val="single"/>
        </w:rPr>
      </w:pPr>
      <w:r w:rsidRPr="0008505E">
        <w:rPr>
          <w:u w:val="single"/>
        </w:rPr>
        <w:t>Project Time Schedule</w:t>
      </w:r>
    </w:p>
    <w:p w:rsidR="0008505E" w:rsidRPr="000A34F1" w:rsidRDefault="00B4567A" w:rsidP="00181CA5">
      <w:pPr>
        <w:ind w:left="360"/>
      </w:pPr>
      <w:r w:rsidRPr="000A34F1">
        <w:rPr>
          <w:b/>
        </w:rPr>
        <w:t>PH</w:t>
      </w:r>
      <w:r w:rsidR="00B15452" w:rsidRPr="000A34F1">
        <w:rPr>
          <w:b/>
        </w:rPr>
        <w:t>P</w:t>
      </w:r>
      <w:r w:rsidRPr="000A34F1">
        <w:rPr>
          <w:b/>
        </w:rPr>
        <w:t xml:space="preserve">IPA </w:t>
      </w:r>
      <w:r w:rsidR="00ED6DC3" w:rsidRPr="000A34F1">
        <w:rPr>
          <w:b/>
        </w:rPr>
        <w:t>Feasibility</w:t>
      </w:r>
      <w:r w:rsidRPr="000A34F1">
        <w:rPr>
          <w:b/>
        </w:rPr>
        <w:t xml:space="preserve"> Assessment </w:t>
      </w:r>
      <w:r w:rsidR="0008505E" w:rsidRPr="000A34F1">
        <w:t xml:space="preserve"> (02/01/2014 – 10/31/2014)</w:t>
      </w:r>
    </w:p>
    <w:p w:rsidR="0008505E" w:rsidRPr="000A34F1" w:rsidRDefault="0008505E" w:rsidP="00181CA5">
      <w:pPr>
        <w:ind w:left="360"/>
      </w:pPr>
      <w:r w:rsidRPr="000A34F1">
        <w:t>Design survey tool………………………………………………………………………………….COMPLETE</w:t>
      </w:r>
    </w:p>
    <w:p w:rsidR="0008505E" w:rsidRPr="000A34F1" w:rsidRDefault="0008505E" w:rsidP="00181CA5">
      <w:pPr>
        <w:ind w:left="360"/>
      </w:pPr>
      <w:r w:rsidRPr="000A34F1">
        <w:t>Develop protocol, instructions, and analysis plan…………………………………….COMPLETE</w:t>
      </w:r>
    </w:p>
    <w:p w:rsidR="0008505E" w:rsidRPr="000A34F1" w:rsidRDefault="0008505E" w:rsidP="00181CA5">
      <w:pPr>
        <w:ind w:left="360"/>
      </w:pPr>
      <w:r w:rsidRPr="000A34F1">
        <w:t>Pilot test survey questionnaire……………………….………………………………...……..COMPLETE</w:t>
      </w:r>
    </w:p>
    <w:p w:rsidR="0008505E" w:rsidRPr="000A34F1" w:rsidRDefault="0008505E" w:rsidP="00181CA5">
      <w:pPr>
        <w:ind w:left="360"/>
      </w:pPr>
      <w:r w:rsidRPr="000A34F1">
        <w:t>Prepare OMB package…………………………………….…………………………..…………..COMPLETE</w:t>
      </w:r>
    </w:p>
    <w:p w:rsidR="0008505E" w:rsidRPr="000A34F1" w:rsidRDefault="0008505E" w:rsidP="00181CA5">
      <w:pPr>
        <w:ind w:left="360"/>
      </w:pPr>
      <w:r w:rsidRPr="000A34F1">
        <w:t>Submit OMB package………………………………………………………………………...……COMPLETE</w:t>
      </w:r>
    </w:p>
    <w:p w:rsidR="0008505E" w:rsidRPr="000A34F1" w:rsidRDefault="0008505E" w:rsidP="00181CA5">
      <w:pPr>
        <w:ind w:left="360"/>
      </w:pPr>
      <w:r w:rsidRPr="000A34F1">
        <w:t>OMB approval…………………………………..……………………………………………………....Tentative</w:t>
      </w:r>
    </w:p>
    <w:p w:rsidR="0008505E" w:rsidRPr="000A34F1" w:rsidRDefault="0008505E" w:rsidP="00A36314">
      <w:pPr>
        <w:tabs>
          <w:tab w:val="left" w:pos="8550"/>
        </w:tabs>
        <w:ind w:left="360"/>
      </w:pPr>
      <w:r w:rsidRPr="000A34F1">
        <w:t xml:space="preserve">Conduct data collection ………………………………..….............. </w:t>
      </w:r>
      <w:r w:rsidR="000A34F1">
        <w:t xml:space="preserve"> </w:t>
      </w:r>
      <w:r w:rsidR="00E3555E" w:rsidRPr="000A34F1">
        <w:t>Tentative (2 weeks) August 2014</w:t>
      </w:r>
    </w:p>
    <w:p w:rsidR="00E3555E" w:rsidRPr="000A34F1" w:rsidRDefault="0008505E" w:rsidP="00A36314">
      <w:pPr>
        <w:tabs>
          <w:tab w:val="left" w:pos="8730"/>
        </w:tabs>
        <w:ind w:left="360"/>
      </w:pPr>
      <w:r w:rsidRPr="000A34F1">
        <w:t xml:space="preserve">Collect, code, enter, quality control, and analyze data..... </w:t>
      </w:r>
      <w:r w:rsidR="00E3555E" w:rsidRPr="000A34F1">
        <w:t>Tentative (4 weeks) September 2014</w:t>
      </w:r>
    </w:p>
    <w:p w:rsidR="0008505E" w:rsidRPr="000A34F1" w:rsidRDefault="0008505E" w:rsidP="00181CA5">
      <w:pPr>
        <w:ind w:left="360"/>
      </w:pPr>
      <w:r w:rsidRPr="000A34F1">
        <w:t xml:space="preserve">Prepare report……………………………………………..................... </w:t>
      </w:r>
      <w:r w:rsidR="00E3555E" w:rsidRPr="000A34F1">
        <w:t>Tentative (6 weeks) Oct-Nov 2014</w:t>
      </w:r>
    </w:p>
    <w:p w:rsidR="0008505E" w:rsidRPr="000A34F1" w:rsidRDefault="0008505E" w:rsidP="00181CA5">
      <w:pPr>
        <w:ind w:left="360"/>
      </w:pPr>
      <w:r w:rsidRPr="000A34F1">
        <w:t xml:space="preserve">Disseminate results/reports…………………………................... </w:t>
      </w:r>
      <w:r w:rsidR="00E3555E" w:rsidRPr="000A34F1">
        <w:t xml:space="preserve"> Tentative (2 weeks) Nov 2014</w:t>
      </w:r>
    </w:p>
    <w:p w:rsidR="000A71DF" w:rsidRDefault="000A71DF" w:rsidP="00181CA5">
      <w:pPr>
        <w:ind w:left="360"/>
      </w:pPr>
    </w:p>
    <w:p w:rsidR="00B12F51" w:rsidRPr="00D75750" w:rsidRDefault="00D75750" w:rsidP="00181CA5">
      <w:pPr>
        <w:pStyle w:val="Heading4"/>
        <w:ind w:left="360"/>
      </w:pPr>
      <w:r w:rsidRPr="00D75750">
        <w:t xml:space="preserve">Reason(s) Display of OMB Expiration </w:t>
      </w:r>
      <w:r>
        <w:t xml:space="preserve">Date </w:t>
      </w:r>
      <w:r w:rsidRPr="00D75750">
        <w:t>is Inappropriate</w:t>
      </w:r>
    </w:p>
    <w:p w:rsidR="00F52BCC" w:rsidRDefault="00180D45" w:rsidP="00181CA5">
      <w:pPr>
        <w:ind w:left="360"/>
      </w:pPr>
      <w:r>
        <w:t>We are requesting no exemption.</w:t>
      </w:r>
    </w:p>
    <w:p w:rsidR="00F52BCC" w:rsidRDefault="00F52BCC" w:rsidP="00181CA5">
      <w:pPr>
        <w:ind w:left="360"/>
      </w:pPr>
    </w:p>
    <w:p w:rsidR="00B12F51" w:rsidRPr="00D26A64" w:rsidRDefault="00B12F51" w:rsidP="00181CA5">
      <w:pPr>
        <w:pStyle w:val="Heading4"/>
        <w:ind w:left="360"/>
      </w:pPr>
      <w:r w:rsidRPr="00D26A64">
        <w:t>Exceptions to Certification for Paperwork Reduction Act Submissions</w:t>
      </w:r>
    </w:p>
    <w:p w:rsidR="00F52BCC" w:rsidRDefault="0031279F" w:rsidP="00181CA5">
      <w:pPr>
        <w:ind w:left="360"/>
      </w:pPr>
      <w:r>
        <w:t>There are no exceptions to the certification.</w:t>
      </w:r>
      <w:r w:rsidR="00180D45">
        <w:t xml:space="preserve">  These activities comply with the requirements in 5 CFR 1320.9.</w:t>
      </w:r>
    </w:p>
    <w:p w:rsidR="00385BB5" w:rsidRDefault="00385BB5" w:rsidP="000A34F1">
      <w:pPr>
        <w:ind w:left="0"/>
      </w:pPr>
    </w:p>
    <w:p w:rsidR="000A34F1" w:rsidRDefault="000A34F1" w:rsidP="000A34F1">
      <w:pPr>
        <w:ind w:left="0"/>
      </w:pPr>
    </w:p>
    <w:p w:rsidR="00A36419" w:rsidRDefault="00A36419" w:rsidP="00181CA5">
      <w:pPr>
        <w:pStyle w:val="Heading3"/>
        <w:ind w:left="360"/>
      </w:pPr>
      <w:r>
        <w:t>LIST OF ATTACHMENTS</w:t>
      </w:r>
      <w:r w:rsidR="00A33E90">
        <w:t xml:space="preserve"> – Section A</w:t>
      </w:r>
    </w:p>
    <w:p w:rsidR="006B5E55" w:rsidRDefault="006B5E55" w:rsidP="00181CA5">
      <w:pPr>
        <w:ind w:left="360"/>
      </w:pPr>
      <w:r w:rsidRPr="00CD1EA8">
        <w:t>Note:</w:t>
      </w:r>
      <w:r>
        <w:t xml:space="preserve"> Attachments are included as separate files as instructed.</w:t>
      </w:r>
    </w:p>
    <w:p w:rsidR="003E33BA" w:rsidRPr="00CD1EA8" w:rsidRDefault="003E33BA" w:rsidP="00181CA5">
      <w:pPr>
        <w:ind w:left="360"/>
      </w:pPr>
    </w:p>
    <w:p w:rsidR="00996AFE" w:rsidRPr="00996AFE" w:rsidRDefault="00996AFE" w:rsidP="00181CA5">
      <w:pPr>
        <w:pStyle w:val="ListParagraph"/>
        <w:numPr>
          <w:ilvl w:val="0"/>
          <w:numId w:val="25"/>
        </w:numPr>
        <w:tabs>
          <w:tab w:val="clear" w:pos="9360"/>
        </w:tabs>
        <w:spacing w:line="240" w:lineRule="auto"/>
        <w:ind w:left="360"/>
        <w:rPr>
          <w:rFonts w:ascii="Times New Roman" w:hAnsi="Times New Roman" w:cs="Times New Roman"/>
          <w:b/>
        </w:rPr>
      </w:pPr>
      <w:r>
        <w:rPr>
          <w:b/>
        </w:rPr>
        <w:t>NNPHI Fact Sheet</w:t>
      </w:r>
    </w:p>
    <w:p w:rsidR="00996AFE" w:rsidRPr="00996AFE" w:rsidRDefault="00996AFE" w:rsidP="00181CA5">
      <w:pPr>
        <w:pStyle w:val="ListParagraph"/>
        <w:numPr>
          <w:ilvl w:val="0"/>
          <w:numId w:val="25"/>
        </w:numPr>
        <w:tabs>
          <w:tab w:val="clear" w:pos="9360"/>
        </w:tabs>
        <w:spacing w:line="240" w:lineRule="auto"/>
        <w:ind w:left="360"/>
        <w:rPr>
          <w:rFonts w:ascii="Times New Roman" w:hAnsi="Times New Roman" w:cs="Times New Roman"/>
          <w:b/>
        </w:rPr>
      </w:pPr>
      <w:r>
        <w:rPr>
          <w:rFonts w:eastAsia="Times New Roman"/>
          <w:b/>
          <w:lang w:val="en"/>
        </w:rPr>
        <w:t>PIM Network Fact Sheet</w:t>
      </w:r>
    </w:p>
    <w:p w:rsidR="00996AFE" w:rsidRPr="00996AFE" w:rsidRDefault="00996AFE" w:rsidP="00181CA5">
      <w:pPr>
        <w:pStyle w:val="ListParagraph"/>
        <w:numPr>
          <w:ilvl w:val="0"/>
          <w:numId w:val="25"/>
        </w:numPr>
        <w:tabs>
          <w:tab w:val="clear" w:pos="9360"/>
        </w:tabs>
        <w:spacing w:line="240" w:lineRule="auto"/>
        <w:ind w:left="360"/>
        <w:rPr>
          <w:rFonts w:ascii="Times New Roman" w:hAnsi="Times New Roman" w:cs="Times New Roman"/>
          <w:b/>
        </w:rPr>
      </w:pPr>
      <w:r>
        <w:rPr>
          <w:b/>
        </w:rPr>
        <w:t>Multi-State Learning Collaborative</w:t>
      </w:r>
    </w:p>
    <w:p w:rsidR="00996AFE" w:rsidRPr="000A2472" w:rsidRDefault="00996AFE" w:rsidP="00996AFE">
      <w:pPr>
        <w:pStyle w:val="ListParagraph"/>
        <w:numPr>
          <w:ilvl w:val="0"/>
          <w:numId w:val="25"/>
        </w:numPr>
        <w:tabs>
          <w:tab w:val="clear" w:pos="9360"/>
        </w:tabs>
        <w:spacing w:line="240" w:lineRule="auto"/>
        <w:ind w:left="360"/>
        <w:rPr>
          <w:rFonts w:ascii="Times New Roman" w:hAnsi="Times New Roman" w:cs="Times New Roman"/>
          <w:b/>
        </w:rPr>
      </w:pPr>
      <w:r>
        <w:rPr>
          <w:rFonts w:ascii="Times New Roman" w:hAnsi="Times New Roman" w:cs="Times New Roman"/>
          <w:b/>
        </w:rPr>
        <w:t>PHPIPA Assessment</w:t>
      </w:r>
      <w:r w:rsidRPr="000A2472">
        <w:rPr>
          <w:rFonts w:ascii="Times New Roman" w:hAnsi="Times New Roman" w:cs="Times New Roman"/>
          <w:b/>
        </w:rPr>
        <w:t xml:space="preserve"> Word Version</w:t>
      </w:r>
    </w:p>
    <w:p w:rsidR="00996AFE" w:rsidRDefault="00996AFE" w:rsidP="00181CA5">
      <w:pPr>
        <w:pStyle w:val="ListParagraph"/>
        <w:numPr>
          <w:ilvl w:val="0"/>
          <w:numId w:val="25"/>
        </w:numPr>
        <w:tabs>
          <w:tab w:val="clear" w:pos="9360"/>
        </w:tabs>
        <w:spacing w:line="240" w:lineRule="auto"/>
        <w:ind w:left="360"/>
        <w:rPr>
          <w:rFonts w:ascii="Times New Roman" w:hAnsi="Times New Roman" w:cs="Times New Roman"/>
          <w:b/>
        </w:rPr>
      </w:pPr>
      <w:r>
        <w:rPr>
          <w:rFonts w:ascii="Times New Roman" w:hAnsi="Times New Roman" w:cs="Times New Roman"/>
          <w:b/>
        </w:rPr>
        <w:t>PHPIPA Assessment Web Version</w:t>
      </w:r>
    </w:p>
    <w:p w:rsidR="00A36419" w:rsidRPr="00A36419" w:rsidRDefault="00A36419" w:rsidP="00181CA5">
      <w:pPr>
        <w:ind w:left="360"/>
      </w:pPr>
    </w:p>
    <w:p w:rsidR="000E6577" w:rsidRDefault="000E6577" w:rsidP="00181CA5">
      <w:pPr>
        <w:ind w:left="360"/>
      </w:pPr>
    </w:p>
    <w:p w:rsidR="00CC7188" w:rsidRDefault="00CC7188" w:rsidP="00181CA5">
      <w:pPr>
        <w:ind w:left="360"/>
      </w:pPr>
    </w:p>
    <w:p w:rsidR="00CC7188" w:rsidRDefault="00CC7188" w:rsidP="00181CA5">
      <w:pPr>
        <w:ind w:left="0"/>
      </w:pPr>
    </w:p>
    <w:p w:rsidR="00226724" w:rsidRDefault="00931B5B" w:rsidP="00226724">
      <w:pPr>
        <w:pStyle w:val="Heading3"/>
        <w:ind w:left="360"/>
      </w:pPr>
      <w:r>
        <w:t>REFERENCE LIST</w:t>
      </w:r>
    </w:p>
    <w:p w:rsidR="00226724" w:rsidRPr="00E95FE0" w:rsidRDefault="00226724" w:rsidP="00226724">
      <w:pPr>
        <w:pStyle w:val="ListParagraph"/>
        <w:numPr>
          <w:ilvl w:val="0"/>
          <w:numId w:val="38"/>
        </w:numPr>
        <w:tabs>
          <w:tab w:val="clear" w:pos="9360"/>
        </w:tabs>
        <w:spacing w:before="120" w:line="240" w:lineRule="auto"/>
        <w:contextualSpacing w:val="0"/>
        <w:rPr>
          <w:rFonts w:eastAsia="Times New Roman" w:cs="Times New Roman"/>
        </w:rPr>
      </w:pPr>
      <w:r w:rsidRPr="00E95FE0">
        <w:rPr>
          <w:rStyle w:val="reference-text"/>
          <w:rFonts w:cs="Times New Roman"/>
          <w:lang w:val="en"/>
        </w:rPr>
        <w:t xml:space="preserve">Centers for Disease Control and Prevention (CDC). "National Public Health Performance Standards Program (NPHPSP): 10 Essential Public Health Services." </w:t>
      </w:r>
      <w:r w:rsidRPr="00E95FE0">
        <w:rPr>
          <w:rFonts w:cs="Times New Roman"/>
          <w:lang w:val="en"/>
        </w:rPr>
        <w:t xml:space="preserve">Available at </w:t>
      </w:r>
      <w:hyperlink r:id="rId16" w:history="1">
        <w:r w:rsidRPr="00E95FE0">
          <w:rPr>
            <w:rStyle w:val="Hyperlink"/>
            <w:rFonts w:cs="Times New Roman"/>
            <w:lang w:val="en"/>
          </w:rPr>
          <w:t>http://www.cdc.gov/nphpsp/essentialservices.html</w:t>
        </w:r>
      </w:hyperlink>
      <w:r w:rsidRPr="00E95FE0">
        <w:rPr>
          <w:rStyle w:val="reference-text"/>
          <w:rFonts w:cs="Times New Roman"/>
          <w:lang w:val="en"/>
        </w:rPr>
        <w:t>.</w:t>
      </w:r>
      <w:r>
        <w:rPr>
          <w:rStyle w:val="reference-text"/>
          <w:rFonts w:cs="Times New Roman"/>
          <w:lang w:val="en"/>
        </w:rPr>
        <w:t xml:space="preserve"> </w:t>
      </w:r>
      <w:r w:rsidRPr="00E95FE0">
        <w:rPr>
          <w:rStyle w:val="reference-text"/>
          <w:rFonts w:cs="Times New Roman"/>
          <w:lang w:val="en"/>
        </w:rPr>
        <w:t xml:space="preserve">Accessed on </w:t>
      </w:r>
      <w:r>
        <w:rPr>
          <w:rStyle w:val="reference-text"/>
          <w:rFonts w:cs="Times New Roman"/>
          <w:lang w:val="en"/>
        </w:rPr>
        <w:t>8/14/14</w:t>
      </w:r>
      <w:r w:rsidRPr="00E95FE0">
        <w:rPr>
          <w:rStyle w:val="reference-text"/>
          <w:rFonts w:cs="Times New Roman"/>
          <w:lang w:val="en"/>
        </w:rPr>
        <w:t>.</w:t>
      </w:r>
    </w:p>
    <w:p w:rsidR="003E33BA" w:rsidRPr="00CC7188" w:rsidRDefault="003E33BA" w:rsidP="00181CA5">
      <w:pPr>
        <w:ind w:left="360"/>
        <w:rPr>
          <w:b/>
          <w:sz w:val="28"/>
          <w:szCs w:val="28"/>
        </w:rPr>
      </w:pPr>
    </w:p>
    <w:sectPr w:rsidR="003E33BA" w:rsidRPr="00CC7188" w:rsidSect="00385BB5">
      <w:headerReference w:type="default" r:id="rId17"/>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C57" w:rsidRDefault="00571C57" w:rsidP="007D6163">
      <w:r>
        <w:separator/>
      </w:r>
    </w:p>
    <w:p w:rsidR="00571C57" w:rsidRDefault="00571C57" w:rsidP="007D6163"/>
  </w:endnote>
  <w:endnote w:type="continuationSeparator" w:id="0">
    <w:p w:rsidR="00571C57" w:rsidRDefault="00571C57" w:rsidP="007D6163">
      <w:r>
        <w:continuationSeparator/>
      </w:r>
    </w:p>
    <w:p w:rsidR="00571C57" w:rsidRDefault="00571C57"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165413"/>
      <w:docPartObj>
        <w:docPartGallery w:val="Page Numbers (Bottom of Page)"/>
        <w:docPartUnique/>
      </w:docPartObj>
    </w:sdtPr>
    <w:sdtEndPr/>
    <w:sdtContent>
      <w:sdt>
        <w:sdtPr>
          <w:id w:val="860082579"/>
          <w:docPartObj>
            <w:docPartGallery w:val="Page Numbers (Top of Page)"/>
            <w:docPartUnique/>
          </w:docPartObj>
        </w:sdtPr>
        <w:sdtEndPr/>
        <w:sdtContent>
          <w:p w:rsidR="008F2CF6" w:rsidRDefault="008F2CF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87004">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87004">
              <w:rPr>
                <w:b/>
                <w:bCs/>
                <w:noProof/>
              </w:rPr>
              <w:t>10</w:t>
            </w:r>
            <w:r>
              <w:rPr>
                <w:b/>
                <w:bCs/>
                <w:sz w:val="24"/>
                <w:szCs w:val="24"/>
              </w:rPr>
              <w:fldChar w:fldCharType="end"/>
            </w:r>
          </w:p>
        </w:sdtContent>
      </w:sdt>
    </w:sdtContent>
  </w:sdt>
  <w:p w:rsidR="00D71C1C" w:rsidRDefault="00D71C1C"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C57" w:rsidRDefault="00571C57" w:rsidP="007D6163">
      <w:r>
        <w:separator/>
      </w:r>
    </w:p>
    <w:p w:rsidR="00571C57" w:rsidRDefault="00571C57" w:rsidP="007D6163"/>
  </w:footnote>
  <w:footnote w:type="continuationSeparator" w:id="0">
    <w:p w:rsidR="00571C57" w:rsidRDefault="00571C57" w:rsidP="007D6163">
      <w:r>
        <w:continuationSeparator/>
      </w:r>
    </w:p>
    <w:p w:rsidR="00571C57" w:rsidRDefault="00571C57"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184" w:rsidRPr="00716F94" w:rsidRDefault="00DC0184" w:rsidP="007D6163">
    <w:pPr>
      <w:pStyle w:val="Header"/>
      <w:rPr>
        <w:color w:val="0033CC"/>
      </w:rPr>
    </w:pPr>
    <w:r>
      <w:tab/>
    </w:r>
  </w:p>
  <w:p w:rsidR="00D71C1C" w:rsidRDefault="00D71C1C"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10.05pt" o:bullet="t">
        <v:imagedata r:id="rId1" o:title="BD21301_"/>
      </v:shape>
    </w:pict>
  </w:numPicBullet>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030E6"/>
    <w:multiLevelType w:val="hybridMultilevel"/>
    <w:tmpl w:val="491AC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995200"/>
    <w:multiLevelType w:val="hybridMultilevel"/>
    <w:tmpl w:val="88F46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D20880"/>
    <w:multiLevelType w:val="hybridMultilevel"/>
    <w:tmpl w:val="6E784F2A"/>
    <w:lvl w:ilvl="0" w:tplc="560A5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D26EEB"/>
    <w:multiLevelType w:val="hybridMultilevel"/>
    <w:tmpl w:val="F9D28632"/>
    <w:lvl w:ilvl="0" w:tplc="C01E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ED274D"/>
    <w:multiLevelType w:val="hybridMultilevel"/>
    <w:tmpl w:val="D97AC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AF6892"/>
    <w:multiLevelType w:val="multilevel"/>
    <w:tmpl w:val="0C0C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1166242"/>
    <w:multiLevelType w:val="multilevel"/>
    <w:tmpl w:val="B532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0F0FA1"/>
    <w:multiLevelType w:val="hybridMultilevel"/>
    <w:tmpl w:val="CD7EE5DC"/>
    <w:lvl w:ilvl="0" w:tplc="EB4EA1E2">
      <w:start w:val="1"/>
      <w:numFmt w:val="decimal"/>
      <w:pStyle w:val="Heading4"/>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B21077"/>
    <w:multiLevelType w:val="hybridMultilevel"/>
    <w:tmpl w:val="B2F01592"/>
    <w:lvl w:ilvl="0" w:tplc="882A1D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291481"/>
    <w:multiLevelType w:val="hybridMultilevel"/>
    <w:tmpl w:val="B4CEB998"/>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00C10E7"/>
    <w:multiLevelType w:val="hybridMultilevel"/>
    <w:tmpl w:val="58CC23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nsid w:val="510C78B1"/>
    <w:multiLevelType w:val="hybridMultilevel"/>
    <w:tmpl w:val="BDC25B70"/>
    <w:lvl w:ilvl="0" w:tplc="81C263B4">
      <w:start w:val="1"/>
      <w:numFmt w:val="bullet"/>
      <w:lvlText w:val=""/>
      <w:lvlPicBulletId w:val="0"/>
      <w:lvlJc w:val="left"/>
      <w:pPr>
        <w:ind w:left="1080" w:hanging="360"/>
      </w:pPr>
      <w:rPr>
        <w:rFonts w:ascii="Symbol" w:hAnsi="Symbol" w:hint="default"/>
        <w:color w:val="auto"/>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2FC47D2"/>
    <w:multiLevelType w:val="multilevel"/>
    <w:tmpl w:val="15B8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19F5B3D"/>
    <w:multiLevelType w:val="hybridMultilevel"/>
    <w:tmpl w:val="DFFC6798"/>
    <w:lvl w:ilvl="0" w:tplc="BD98FB6C">
      <w:start w:val="1"/>
      <w:numFmt w:val="lowerLetter"/>
      <w:lvlText w:val="%1."/>
      <w:lvlJc w:val="left"/>
      <w:pPr>
        <w:ind w:left="1080" w:hanging="360"/>
      </w:pPr>
      <w:rPr>
        <w:rFonts w:ascii="Times New Roman" w:hAnsi="Times New Roman"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4030319"/>
    <w:multiLevelType w:val="hybridMultilevel"/>
    <w:tmpl w:val="20163B24"/>
    <w:lvl w:ilvl="0" w:tplc="3316617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64320E"/>
    <w:multiLevelType w:val="hybridMultilevel"/>
    <w:tmpl w:val="1AAE0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35"/>
  </w:num>
  <w:num w:numId="4">
    <w:abstractNumId w:val="13"/>
  </w:num>
  <w:num w:numId="5">
    <w:abstractNumId w:val="22"/>
  </w:num>
  <w:num w:numId="6">
    <w:abstractNumId w:val="11"/>
  </w:num>
  <w:num w:numId="7">
    <w:abstractNumId w:val="0"/>
  </w:num>
  <w:num w:numId="8">
    <w:abstractNumId w:val="6"/>
  </w:num>
  <w:num w:numId="9">
    <w:abstractNumId w:val="12"/>
  </w:num>
  <w:num w:numId="10">
    <w:abstractNumId w:val="27"/>
  </w:num>
  <w:num w:numId="11">
    <w:abstractNumId w:val="2"/>
  </w:num>
  <w:num w:numId="12">
    <w:abstractNumId w:val="34"/>
  </w:num>
  <w:num w:numId="13">
    <w:abstractNumId w:val="8"/>
  </w:num>
  <w:num w:numId="14">
    <w:abstractNumId w:val="3"/>
  </w:num>
  <w:num w:numId="15">
    <w:abstractNumId w:val="31"/>
  </w:num>
  <w:num w:numId="16">
    <w:abstractNumId w:val="32"/>
  </w:num>
  <w:num w:numId="17">
    <w:abstractNumId w:val="33"/>
  </w:num>
  <w:num w:numId="18">
    <w:abstractNumId w:val="15"/>
  </w:num>
  <w:num w:numId="19">
    <w:abstractNumId w:val="37"/>
  </w:num>
  <w:num w:numId="20">
    <w:abstractNumId w:val="26"/>
  </w:num>
  <w:num w:numId="21">
    <w:abstractNumId w:val="28"/>
  </w:num>
  <w:num w:numId="22">
    <w:abstractNumId w:val="25"/>
  </w:num>
  <w:num w:numId="23">
    <w:abstractNumId w:val="7"/>
  </w:num>
  <w:num w:numId="24">
    <w:abstractNumId w:val="36"/>
  </w:num>
  <w:num w:numId="25">
    <w:abstractNumId w:val="19"/>
  </w:num>
  <w:num w:numId="26">
    <w:abstractNumId w:val="30"/>
  </w:num>
  <w:num w:numId="27">
    <w:abstractNumId w:val="23"/>
  </w:num>
  <w:num w:numId="28">
    <w:abstractNumId w:val="29"/>
  </w:num>
  <w:num w:numId="29">
    <w:abstractNumId w:val="4"/>
  </w:num>
  <w:num w:numId="30">
    <w:abstractNumId w:val="9"/>
  </w:num>
  <w:num w:numId="31">
    <w:abstractNumId w:val="16"/>
  </w:num>
  <w:num w:numId="32">
    <w:abstractNumId w:val="24"/>
  </w:num>
  <w:num w:numId="33">
    <w:abstractNumId w:val="17"/>
  </w:num>
  <w:num w:numId="34">
    <w:abstractNumId w:val="5"/>
  </w:num>
  <w:num w:numId="35">
    <w:abstractNumId w:val="14"/>
  </w:num>
  <w:num w:numId="36">
    <w:abstractNumId w:val="21"/>
  </w:num>
  <w:num w:numId="37">
    <w:abstractNumId w:val="2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37708"/>
    <w:rsid w:val="000474FB"/>
    <w:rsid w:val="00053A92"/>
    <w:rsid w:val="00054839"/>
    <w:rsid w:val="00057F36"/>
    <w:rsid w:val="00062370"/>
    <w:rsid w:val="0008505E"/>
    <w:rsid w:val="000A1F30"/>
    <w:rsid w:val="000A2D0C"/>
    <w:rsid w:val="000A34F1"/>
    <w:rsid w:val="000A71DF"/>
    <w:rsid w:val="000B0962"/>
    <w:rsid w:val="000B2CBC"/>
    <w:rsid w:val="000D37DE"/>
    <w:rsid w:val="000D6199"/>
    <w:rsid w:val="000E6577"/>
    <w:rsid w:val="000E7A19"/>
    <w:rsid w:val="00104A1B"/>
    <w:rsid w:val="0010635D"/>
    <w:rsid w:val="0011706A"/>
    <w:rsid w:val="001177DD"/>
    <w:rsid w:val="00123862"/>
    <w:rsid w:val="00127F0F"/>
    <w:rsid w:val="00135334"/>
    <w:rsid w:val="001412D4"/>
    <w:rsid w:val="00144F64"/>
    <w:rsid w:val="00145D62"/>
    <w:rsid w:val="00151567"/>
    <w:rsid w:val="00163E17"/>
    <w:rsid w:val="00166F9E"/>
    <w:rsid w:val="00167880"/>
    <w:rsid w:val="00167E26"/>
    <w:rsid w:val="00180D45"/>
    <w:rsid w:val="00181CA5"/>
    <w:rsid w:val="00184FAD"/>
    <w:rsid w:val="00187870"/>
    <w:rsid w:val="00187D5A"/>
    <w:rsid w:val="001972D7"/>
    <w:rsid w:val="001A28F6"/>
    <w:rsid w:val="001A2A14"/>
    <w:rsid w:val="001A7193"/>
    <w:rsid w:val="001B2831"/>
    <w:rsid w:val="001B4065"/>
    <w:rsid w:val="001C0493"/>
    <w:rsid w:val="001C28AD"/>
    <w:rsid w:val="001C2B89"/>
    <w:rsid w:val="001D7FCB"/>
    <w:rsid w:val="001E2B99"/>
    <w:rsid w:val="001E69B6"/>
    <w:rsid w:val="001F4DBB"/>
    <w:rsid w:val="00202D07"/>
    <w:rsid w:val="0020312D"/>
    <w:rsid w:val="00206E33"/>
    <w:rsid w:val="00210519"/>
    <w:rsid w:val="00215D3D"/>
    <w:rsid w:val="00226724"/>
    <w:rsid w:val="00227259"/>
    <w:rsid w:val="00241B17"/>
    <w:rsid w:val="00241C81"/>
    <w:rsid w:val="00244557"/>
    <w:rsid w:val="00257A1C"/>
    <w:rsid w:val="0027234C"/>
    <w:rsid w:val="0027692A"/>
    <w:rsid w:val="00281795"/>
    <w:rsid w:val="002850E3"/>
    <w:rsid w:val="00287E2F"/>
    <w:rsid w:val="002A1948"/>
    <w:rsid w:val="002C0877"/>
    <w:rsid w:val="002C2AE2"/>
    <w:rsid w:val="002D0DCE"/>
    <w:rsid w:val="002E24C8"/>
    <w:rsid w:val="002E2B10"/>
    <w:rsid w:val="002E55FC"/>
    <w:rsid w:val="002E73B0"/>
    <w:rsid w:val="002F1502"/>
    <w:rsid w:val="002F2069"/>
    <w:rsid w:val="002F71A2"/>
    <w:rsid w:val="003041AD"/>
    <w:rsid w:val="0031279F"/>
    <w:rsid w:val="00313668"/>
    <w:rsid w:val="00316F00"/>
    <w:rsid w:val="00321B51"/>
    <w:rsid w:val="00336D96"/>
    <w:rsid w:val="00344F07"/>
    <w:rsid w:val="003469C8"/>
    <w:rsid w:val="00350C8C"/>
    <w:rsid w:val="00355EA4"/>
    <w:rsid w:val="003635BE"/>
    <w:rsid w:val="00365045"/>
    <w:rsid w:val="00366B5E"/>
    <w:rsid w:val="00385BB5"/>
    <w:rsid w:val="00386BC2"/>
    <w:rsid w:val="003B125E"/>
    <w:rsid w:val="003B2200"/>
    <w:rsid w:val="003C0681"/>
    <w:rsid w:val="003C31C9"/>
    <w:rsid w:val="003C4961"/>
    <w:rsid w:val="003C7C5D"/>
    <w:rsid w:val="003D0AD2"/>
    <w:rsid w:val="003D1496"/>
    <w:rsid w:val="003E0764"/>
    <w:rsid w:val="003E33BA"/>
    <w:rsid w:val="003E47B4"/>
    <w:rsid w:val="003F5913"/>
    <w:rsid w:val="004024F8"/>
    <w:rsid w:val="00405696"/>
    <w:rsid w:val="004072FC"/>
    <w:rsid w:val="0041159A"/>
    <w:rsid w:val="00412258"/>
    <w:rsid w:val="004305A8"/>
    <w:rsid w:val="0043229B"/>
    <w:rsid w:val="004353D5"/>
    <w:rsid w:val="00443CA0"/>
    <w:rsid w:val="00450E14"/>
    <w:rsid w:val="004554CB"/>
    <w:rsid w:val="00462C65"/>
    <w:rsid w:val="004674E7"/>
    <w:rsid w:val="00467B14"/>
    <w:rsid w:val="00474EDA"/>
    <w:rsid w:val="00477944"/>
    <w:rsid w:val="00482328"/>
    <w:rsid w:val="004824FA"/>
    <w:rsid w:val="00484011"/>
    <w:rsid w:val="004841F1"/>
    <w:rsid w:val="004969FC"/>
    <w:rsid w:val="004A1E3A"/>
    <w:rsid w:val="004A2136"/>
    <w:rsid w:val="004B46D6"/>
    <w:rsid w:val="004C0BF6"/>
    <w:rsid w:val="004C4464"/>
    <w:rsid w:val="004C4AEA"/>
    <w:rsid w:val="004D0430"/>
    <w:rsid w:val="004D1DAA"/>
    <w:rsid w:val="004D4EB1"/>
    <w:rsid w:val="004E003C"/>
    <w:rsid w:val="004E16EB"/>
    <w:rsid w:val="004E6665"/>
    <w:rsid w:val="004F634E"/>
    <w:rsid w:val="004F67A8"/>
    <w:rsid w:val="00501029"/>
    <w:rsid w:val="005070F6"/>
    <w:rsid w:val="005115FA"/>
    <w:rsid w:val="0051582C"/>
    <w:rsid w:val="00522A50"/>
    <w:rsid w:val="00525E61"/>
    <w:rsid w:val="00527225"/>
    <w:rsid w:val="0053557D"/>
    <w:rsid w:val="005410E3"/>
    <w:rsid w:val="005463DE"/>
    <w:rsid w:val="00546DC2"/>
    <w:rsid w:val="005542E8"/>
    <w:rsid w:val="00556630"/>
    <w:rsid w:val="0055686D"/>
    <w:rsid w:val="00571C57"/>
    <w:rsid w:val="005800EE"/>
    <w:rsid w:val="005869D6"/>
    <w:rsid w:val="005916E8"/>
    <w:rsid w:val="0059331E"/>
    <w:rsid w:val="00594619"/>
    <w:rsid w:val="005A33F6"/>
    <w:rsid w:val="005A59E5"/>
    <w:rsid w:val="005B1BF6"/>
    <w:rsid w:val="005B7440"/>
    <w:rsid w:val="005D0032"/>
    <w:rsid w:val="005D6F14"/>
    <w:rsid w:val="005E10F8"/>
    <w:rsid w:val="005E2150"/>
    <w:rsid w:val="005E2995"/>
    <w:rsid w:val="005E73C2"/>
    <w:rsid w:val="005F3FEF"/>
    <w:rsid w:val="00600C4F"/>
    <w:rsid w:val="0060287B"/>
    <w:rsid w:val="00607F7C"/>
    <w:rsid w:val="006102DA"/>
    <w:rsid w:val="00616090"/>
    <w:rsid w:val="006274D7"/>
    <w:rsid w:val="006315A3"/>
    <w:rsid w:val="00632CEE"/>
    <w:rsid w:val="00646F2C"/>
    <w:rsid w:val="006579A2"/>
    <w:rsid w:val="00667B13"/>
    <w:rsid w:val="00667C89"/>
    <w:rsid w:val="006711EE"/>
    <w:rsid w:val="006809BB"/>
    <w:rsid w:val="006809FD"/>
    <w:rsid w:val="00691D1F"/>
    <w:rsid w:val="00697BAE"/>
    <w:rsid w:val="006B24E5"/>
    <w:rsid w:val="006B350B"/>
    <w:rsid w:val="006B4DDC"/>
    <w:rsid w:val="006B5A59"/>
    <w:rsid w:val="006B5E55"/>
    <w:rsid w:val="006C4DA7"/>
    <w:rsid w:val="006C5866"/>
    <w:rsid w:val="006D25A1"/>
    <w:rsid w:val="006E14E9"/>
    <w:rsid w:val="006F09A2"/>
    <w:rsid w:val="006F6856"/>
    <w:rsid w:val="00703842"/>
    <w:rsid w:val="0070589F"/>
    <w:rsid w:val="007145D0"/>
    <w:rsid w:val="00716F94"/>
    <w:rsid w:val="00721093"/>
    <w:rsid w:val="007409EC"/>
    <w:rsid w:val="0075188E"/>
    <w:rsid w:val="0076001C"/>
    <w:rsid w:val="00760E12"/>
    <w:rsid w:val="00763CF3"/>
    <w:rsid w:val="00772293"/>
    <w:rsid w:val="00776981"/>
    <w:rsid w:val="00781AE3"/>
    <w:rsid w:val="00783C75"/>
    <w:rsid w:val="00784619"/>
    <w:rsid w:val="0078627B"/>
    <w:rsid w:val="0078765B"/>
    <w:rsid w:val="00794E32"/>
    <w:rsid w:val="007A0D73"/>
    <w:rsid w:val="007B305A"/>
    <w:rsid w:val="007D6163"/>
    <w:rsid w:val="007E575D"/>
    <w:rsid w:val="007E57CD"/>
    <w:rsid w:val="007E6AEF"/>
    <w:rsid w:val="007F6960"/>
    <w:rsid w:val="00815C7D"/>
    <w:rsid w:val="00817941"/>
    <w:rsid w:val="008229E4"/>
    <w:rsid w:val="00823547"/>
    <w:rsid w:val="008261AB"/>
    <w:rsid w:val="008269AB"/>
    <w:rsid w:val="00834C91"/>
    <w:rsid w:val="00835CA7"/>
    <w:rsid w:val="008370D4"/>
    <w:rsid w:val="008414AD"/>
    <w:rsid w:val="008428D9"/>
    <w:rsid w:val="008640BD"/>
    <w:rsid w:val="00880374"/>
    <w:rsid w:val="0088467A"/>
    <w:rsid w:val="00884DB9"/>
    <w:rsid w:val="008C67D2"/>
    <w:rsid w:val="008E0683"/>
    <w:rsid w:val="008F2CF6"/>
    <w:rsid w:val="008F3188"/>
    <w:rsid w:val="00902DD9"/>
    <w:rsid w:val="00911486"/>
    <w:rsid w:val="009129CA"/>
    <w:rsid w:val="009206B6"/>
    <w:rsid w:val="009252DC"/>
    <w:rsid w:val="009263C1"/>
    <w:rsid w:val="00931B5B"/>
    <w:rsid w:val="00941B4F"/>
    <w:rsid w:val="009518C0"/>
    <w:rsid w:val="009561DC"/>
    <w:rsid w:val="00960E72"/>
    <w:rsid w:val="00961F81"/>
    <w:rsid w:val="00963CE3"/>
    <w:rsid w:val="00964F18"/>
    <w:rsid w:val="00974424"/>
    <w:rsid w:val="00981CB1"/>
    <w:rsid w:val="00987F76"/>
    <w:rsid w:val="00993088"/>
    <w:rsid w:val="0099664F"/>
    <w:rsid w:val="00996AFE"/>
    <w:rsid w:val="00996D6F"/>
    <w:rsid w:val="00997D5D"/>
    <w:rsid w:val="009A0447"/>
    <w:rsid w:val="009A1DBC"/>
    <w:rsid w:val="009A2CE5"/>
    <w:rsid w:val="009A4B59"/>
    <w:rsid w:val="009B4A51"/>
    <w:rsid w:val="009B749C"/>
    <w:rsid w:val="009C28B1"/>
    <w:rsid w:val="009C61AD"/>
    <w:rsid w:val="009C6697"/>
    <w:rsid w:val="009D373D"/>
    <w:rsid w:val="009D436B"/>
    <w:rsid w:val="009D7B2C"/>
    <w:rsid w:val="009E0801"/>
    <w:rsid w:val="009E1D05"/>
    <w:rsid w:val="009F7DE0"/>
    <w:rsid w:val="00A05973"/>
    <w:rsid w:val="00A06BCB"/>
    <w:rsid w:val="00A11B0C"/>
    <w:rsid w:val="00A33B35"/>
    <w:rsid w:val="00A33E90"/>
    <w:rsid w:val="00A36314"/>
    <w:rsid w:val="00A36419"/>
    <w:rsid w:val="00A44921"/>
    <w:rsid w:val="00A578C2"/>
    <w:rsid w:val="00A72652"/>
    <w:rsid w:val="00A75D1C"/>
    <w:rsid w:val="00A809AA"/>
    <w:rsid w:val="00A849B3"/>
    <w:rsid w:val="00A8510D"/>
    <w:rsid w:val="00A86AF3"/>
    <w:rsid w:val="00A875B0"/>
    <w:rsid w:val="00A90AFF"/>
    <w:rsid w:val="00A90BDC"/>
    <w:rsid w:val="00A935AA"/>
    <w:rsid w:val="00A95477"/>
    <w:rsid w:val="00A975A9"/>
    <w:rsid w:val="00AA3192"/>
    <w:rsid w:val="00AB0486"/>
    <w:rsid w:val="00AB251E"/>
    <w:rsid w:val="00AB3608"/>
    <w:rsid w:val="00AC5C48"/>
    <w:rsid w:val="00AC63E3"/>
    <w:rsid w:val="00AE0731"/>
    <w:rsid w:val="00AF0CF4"/>
    <w:rsid w:val="00AF2252"/>
    <w:rsid w:val="00B00B12"/>
    <w:rsid w:val="00B1129F"/>
    <w:rsid w:val="00B11D61"/>
    <w:rsid w:val="00B12F51"/>
    <w:rsid w:val="00B15452"/>
    <w:rsid w:val="00B2751E"/>
    <w:rsid w:val="00B3650C"/>
    <w:rsid w:val="00B4092D"/>
    <w:rsid w:val="00B4567A"/>
    <w:rsid w:val="00B47055"/>
    <w:rsid w:val="00B64BFA"/>
    <w:rsid w:val="00B71E63"/>
    <w:rsid w:val="00B758A5"/>
    <w:rsid w:val="00B83212"/>
    <w:rsid w:val="00B85DE4"/>
    <w:rsid w:val="00B87AAD"/>
    <w:rsid w:val="00B91A31"/>
    <w:rsid w:val="00BA6C28"/>
    <w:rsid w:val="00BA6DB4"/>
    <w:rsid w:val="00BC3F3C"/>
    <w:rsid w:val="00BC5BB2"/>
    <w:rsid w:val="00BE20F7"/>
    <w:rsid w:val="00BE738E"/>
    <w:rsid w:val="00BF11A1"/>
    <w:rsid w:val="00BF3F54"/>
    <w:rsid w:val="00C00697"/>
    <w:rsid w:val="00C01CAC"/>
    <w:rsid w:val="00C0376C"/>
    <w:rsid w:val="00C06D77"/>
    <w:rsid w:val="00C14BA6"/>
    <w:rsid w:val="00C25E66"/>
    <w:rsid w:val="00C3485C"/>
    <w:rsid w:val="00C41F89"/>
    <w:rsid w:val="00C544A4"/>
    <w:rsid w:val="00C768E5"/>
    <w:rsid w:val="00CA2004"/>
    <w:rsid w:val="00CA5840"/>
    <w:rsid w:val="00CA5B99"/>
    <w:rsid w:val="00CB0933"/>
    <w:rsid w:val="00CB334D"/>
    <w:rsid w:val="00CB56D5"/>
    <w:rsid w:val="00CC7188"/>
    <w:rsid w:val="00CD1EA8"/>
    <w:rsid w:val="00CE2A82"/>
    <w:rsid w:val="00CF5ABD"/>
    <w:rsid w:val="00CF63CE"/>
    <w:rsid w:val="00D040A8"/>
    <w:rsid w:val="00D067C1"/>
    <w:rsid w:val="00D13B13"/>
    <w:rsid w:val="00D16E78"/>
    <w:rsid w:val="00D201D3"/>
    <w:rsid w:val="00D267D5"/>
    <w:rsid w:val="00D26A64"/>
    <w:rsid w:val="00D31720"/>
    <w:rsid w:val="00D52B9A"/>
    <w:rsid w:val="00D5367E"/>
    <w:rsid w:val="00D53B1E"/>
    <w:rsid w:val="00D61AD2"/>
    <w:rsid w:val="00D71C1C"/>
    <w:rsid w:val="00D75750"/>
    <w:rsid w:val="00D84EF0"/>
    <w:rsid w:val="00D861ED"/>
    <w:rsid w:val="00D873E0"/>
    <w:rsid w:val="00D941E3"/>
    <w:rsid w:val="00D94F8B"/>
    <w:rsid w:val="00D95FBF"/>
    <w:rsid w:val="00DA5988"/>
    <w:rsid w:val="00DB6369"/>
    <w:rsid w:val="00DB7F78"/>
    <w:rsid w:val="00DC0184"/>
    <w:rsid w:val="00DC317C"/>
    <w:rsid w:val="00DC4FF2"/>
    <w:rsid w:val="00DC79CC"/>
    <w:rsid w:val="00DF0E98"/>
    <w:rsid w:val="00E04A4A"/>
    <w:rsid w:val="00E10D39"/>
    <w:rsid w:val="00E134F4"/>
    <w:rsid w:val="00E162E0"/>
    <w:rsid w:val="00E23568"/>
    <w:rsid w:val="00E245B5"/>
    <w:rsid w:val="00E33E1B"/>
    <w:rsid w:val="00E34D3E"/>
    <w:rsid w:val="00E3555E"/>
    <w:rsid w:val="00E522B2"/>
    <w:rsid w:val="00E720E9"/>
    <w:rsid w:val="00E81C5E"/>
    <w:rsid w:val="00E83B3C"/>
    <w:rsid w:val="00E8736B"/>
    <w:rsid w:val="00E90275"/>
    <w:rsid w:val="00E925D4"/>
    <w:rsid w:val="00E97226"/>
    <w:rsid w:val="00EA2B44"/>
    <w:rsid w:val="00EA33EF"/>
    <w:rsid w:val="00EC1EF3"/>
    <w:rsid w:val="00EC4FFD"/>
    <w:rsid w:val="00EC58F5"/>
    <w:rsid w:val="00EC5EFC"/>
    <w:rsid w:val="00ED6DC3"/>
    <w:rsid w:val="00ED6DF6"/>
    <w:rsid w:val="00EF33CD"/>
    <w:rsid w:val="00F12924"/>
    <w:rsid w:val="00F20C9B"/>
    <w:rsid w:val="00F20DB8"/>
    <w:rsid w:val="00F300CB"/>
    <w:rsid w:val="00F42C3A"/>
    <w:rsid w:val="00F52BCC"/>
    <w:rsid w:val="00F5313F"/>
    <w:rsid w:val="00F81135"/>
    <w:rsid w:val="00F81A48"/>
    <w:rsid w:val="00F87004"/>
    <w:rsid w:val="00FB62BC"/>
    <w:rsid w:val="00FD17C9"/>
    <w:rsid w:val="00FD2A5B"/>
    <w:rsid w:val="00FD731A"/>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BD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CA5840"/>
    <w:pPr>
      <w:numPr>
        <w:numId w:val="2"/>
      </w:numPr>
      <w:ind w:left="7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CA5840"/>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character" w:styleId="FollowedHyperlink">
    <w:name w:val="FollowedHyperlink"/>
    <w:basedOn w:val="DefaultParagraphFont"/>
    <w:uiPriority w:val="99"/>
    <w:semiHidden/>
    <w:unhideWhenUsed/>
    <w:rsid w:val="008F3188"/>
    <w:rPr>
      <w:color w:val="800080" w:themeColor="followedHyperlink"/>
      <w:u w:val="single"/>
    </w:rPr>
  </w:style>
  <w:style w:type="paragraph" w:styleId="EndnoteText">
    <w:name w:val="endnote text"/>
    <w:basedOn w:val="Normal"/>
    <w:link w:val="EndnoteTextChar"/>
    <w:uiPriority w:val="99"/>
    <w:unhideWhenUsed/>
    <w:rsid w:val="00C01CAC"/>
    <w:pPr>
      <w:tabs>
        <w:tab w:val="clear" w:pos="9360"/>
      </w:tabs>
      <w:spacing w:line="240" w:lineRule="auto"/>
      <w:ind w:left="0"/>
    </w:pPr>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rsid w:val="00C01CAC"/>
    <w:rPr>
      <w:rFonts w:eastAsiaTheme="minorHAnsi"/>
      <w:sz w:val="20"/>
      <w:szCs w:val="20"/>
    </w:rPr>
  </w:style>
  <w:style w:type="character" w:styleId="EndnoteReference">
    <w:name w:val="endnote reference"/>
    <w:basedOn w:val="DefaultParagraphFont"/>
    <w:uiPriority w:val="99"/>
    <w:unhideWhenUsed/>
    <w:rsid w:val="00C01CAC"/>
    <w:rPr>
      <w:vertAlign w:val="superscript"/>
    </w:rPr>
  </w:style>
  <w:style w:type="character" w:customStyle="1" w:styleId="reference-text">
    <w:name w:val="reference-text"/>
    <w:basedOn w:val="DefaultParagraphFont"/>
    <w:rsid w:val="002267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CA5840"/>
    <w:pPr>
      <w:numPr>
        <w:numId w:val="2"/>
      </w:numPr>
      <w:ind w:left="7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CA5840"/>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character" w:styleId="FollowedHyperlink">
    <w:name w:val="FollowedHyperlink"/>
    <w:basedOn w:val="DefaultParagraphFont"/>
    <w:uiPriority w:val="99"/>
    <w:semiHidden/>
    <w:unhideWhenUsed/>
    <w:rsid w:val="008F3188"/>
    <w:rPr>
      <w:color w:val="800080" w:themeColor="followedHyperlink"/>
      <w:u w:val="single"/>
    </w:rPr>
  </w:style>
  <w:style w:type="paragraph" w:styleId="EndnoteText">
    <w:name w:val="endnote text"/>
    <w:basedOn w:val="Normal"/>
    <w:link w:val="EndnoteTextChar"/>
    <w:uiPriority w:val="99"/>
    <w:unhideWhenUsed/>
    <w:rsid w:val="00C01CAC"/>
    <w:pPr>
      <w:tabs>
        <w:tab w:val="clear" w:pos="9360"/>
      </w:tabs>
      <w:spacing w:line="240" w:lineRule="auto"/>
      <w:ind w:left="0"/>
    </w:pPr>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rsid w:val="00C01CAC"/>
    <w:rPr>
      <w:rFonts w:eastAsiaTheme="minorHAnsi"/>
      <w:sz w:val="20"/>
      <w:szCs w:val="20"/>
    </w:rPr>
  </w:style>
  <w:style w:type="character" w:styleId="EndnoteReference">
    <w:name w:val="endnote reference"/>
    <w:basedOn w:val="DefaultParagraphFont"/>
    <w:uiPriority w:val="99"/>
    <w:unhideWhenUsed/>
    <w:rsid w:val="00C01CAC"/>
    <w:rPr>
      <w:vertAlign w:val="superscript"/>
    </w:rPr>
  </w:style>
  <w:style w:type="character" w:customStyle="1" w:styleId="reference-text">
    <w:name w:val="reference-text"/>
    <w:basedOn w:val="DefaultParagraphFont"/>
    <w:rsid w:val="00226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09361">
      <w:bodyDiv w:val="1"/>
      <w:marLeft w:val="0"/>
      <w:marRight w:val="0"/>
      <w:marTop w:val="0"/>
      <w:marBottom w:val="0"/>
      <w:divBdr>
        <w:top w:val="none" w:sz="0" w:space="0" w:color="auto"/>
        <w:left w:val="none" w:sz="0" w:space="0" w:color="auto"/>
        <w:bottom w:val="none" w:sz="0" w:space="0" w:color="auto"/>
        <w:right w:val="none" w:sz="0" w:space="0" w:color="auto"/>
      </w:divBdr>
    </w:div>
    <w:div w:id="564489301">
      <w:bodyDiv w:val="1"/>
      <w:marLeft w:val="0"/>
      <w:marRight w:val="0"/>
      <w:marTop w:val="0"/>
      <w:marBottom w:val="0"/>
      <w:divBdr>
        <w:top w:val="none" w:sz="0" w:space="0" w:color="auto"/>
        <w:left w:val="none" w:sz="0" w:space="0" w:color="auto"/>
        <w:bottom w:val="none" w:sz="0" w:space="0" w:color="auto"/>
        <w:right w:val="none" w:sz="0" w:space="0" w:color="auto"/>
      </w:divBdr>
    </w:div>
    <w:div w:id="667440508">
      <w:bodyDiv w:val="1"/>
      <w:marLeft w:val="0"/>
      <w:marRight w:val="0"/>
      <w:marTop w:val="0"/>
      <w:marBottom w:val="0"/>
      <w:divBdr>
        <w:top w:val="none" w:sz="0" w:space="0" w:color="auto"/>
        <w:left w:val="none" w:sz="0" w:space="0" w:color="auto"/>
        <w:bottom w:val="none" w:sz="0" w:space="0" w:color="auto"/>
        <w:right w:val="none" w:sz="0" w:space="0" w:color="auto"/>
      </w:divBdr>
      <w:divsChild>
        <w:div w:id="919800106">
          <w:marLeft w:val="0"/>
          <w:marRight w:val="0"/>
          <w:marTop w:val="0"/>
          <w:marBottom w:val="0"/>
          <w:divBdr>
            <w:top w:val="none" w:sz="0" w:space="0" w:color="auto"/>
            <w:left w:val="none" w:sz="0" w:space="0" w:color="auto"/>
            <w:bottom w:val="none" w:sz="0" w:space="0" w:color="auto"/>
            <w:right w:val="none" w:sz="0" w:space="0" w:color="auto"/>
          </w:divBdr>
          <w:divsChild>
            <w:div w:id="901253556">
              <w:marLeft w:val="0"/>
              <w:marRight w:val="0"/>
              <w:marTop w:val="0"/>
              <w:marBottom w:val="0"/>
              <w:divBdr>
                <w:top w:val="none" w:sz="0" w:space="0" w:color="auto"/>
                <w:left w:val="none" w:sz="0" w:space="0" w:color="auto"/>
                <w:bottom w:val="none" w:sz="0" w:space="0" w:color="auto"/>
                <w:right w:val="none" w:sz="0" w:space="0" w:color="auto"/>
              </w:divBdr>
              <w:divsChild>
                <w:div w:id="569968372">
                  <w:marLeft w:val="0"/>
                  <w:marRight w:val="0"/>
                  <w:marTop w:val="0"/>
                  <w:marBottom w:val="0"/>
                  <w:divBdr>
                    <w:top w:val="none" w:sz="0" w:space="0" w:color="auto"/>
                    <w:left w:val="none" w:sz="0" w:space="0" w:color="auto"/>
                    <w:bottom w:val="none" w:sz="0" w:space="0" w:color="auto"/>
                    <w:right w:val="none" w:sz="0" w:space="0" w:color="auto"/>
                  </w:divBdr>
                  <w:divsChild>
                    <w:div w:id="1005014039">
                      <w:marLeft w:val="0"/>
                      <w:marRight w:val="0"/>
                      <w:marTop w:val="0"/>
                      <w:marBottom w:val="0"/>
                      <w:divBdr>
                        <w:top w:val="none" w:sz="0" w:space="0" w:color="auto"/>
                        <w:left w:val="none" w:sz="0" w:space="0" w:color="auto"/>
                        <w:bottom w:val="none" w:sz="0" w:space="0" w:color="auto"/>
                        <w:right w:val="none" w:sz="0" w:space="0" w:color="auto"/>
                      </w:divBdr>
                      <w:divsChild>
                        <w:div w:id="557277899">
                          <w:marLeft w:val="0"/>
                          <w:marRight w:val="0"/>
                          <w:marTop w:val="0"/>
                          <w:marBottom w:val="0"/>
                          <w:divBdr>
                            <w:top w:val="none" w:sz="0" w:space="0" w:color="auto"/>
                            <w:left w:val="none" w:sz="0" w:space="0" w:color="auto"/>
                            <w:bottom w:val="none" w:sz="0" w:space="0" w:color="auto"/>
                            <w:right w:val="none" w:sz="0" w:space="0" w:color="auto"/>
                          </w:divBdr>
                          <w:divsChild>
                            <w:div w:id="1949584934">
                              <w:marLeft w:val="0"/>
                              <w:marRight w:val="0"/>
                              <w:marTop w:val="0"/>
                              <w:marBottom w:val="0"/>
                              <w:divBdr>
                                <w:top w:val="none" w:sz="0" w:space="0" w:color="auto"/>
                                <w:left w:val="none" w:sz="0" w:space="0" w:color="auto"/>
                                <w:bottom w:val="none" w:sz="0" w:space="0" w:color="auto"/>
                                <w:right w:val="none" w:sz="0" w:space="0" w:color="auto"/>
                              </w:divBdr>
                              <w:divsChild>
                                <w:div w:id="1156650455">
                                  <w:marLeft w:val="0"/>
                                  <w:marRight w:val="0"/>
                                  <w:marTop w:val="0"/>
                                  <w:marBottom w:val="0"/>
                                  <w:divBdr>
                                    <w:top w:val="none" w:sz="0" w:space="0" w:color="auto"/>
                                    <w:left w:val="none" w:sz="0" w:space="0" w:color="auto"/>
                                    <w:bottom w:val="none" w:sz="0" w:space="0" w:color="auto"/>
                                    <w:right w:val="none" w:sz="0" w:space="0" w:color="auto"/>
                                  </w:divBdr>
                                  <w:divsChild>
                                    <w:div w:id="1044908228">
                                      <w:marLeft w:val="0"/>
                                      <w:marRight w:val="0"/>
                                      <w:marTop w:val="0"/>
                                      <w:marBottom w:val="0"/>
                                      <w:divBdr>
                                        <w:top w:val="none" w:sz="0" w:space="0" w:color="auto"/>
                                        <w:left w:val="none" w:sz="0" w:space="0" w:color="auto"/>
                                        <w:bottom w:val="none" w:sz="0" w:space="0" w:color="auto"/>
                                        <w:right w:val="none" w:sz="0" w:space="0" w:color="auto"/>
                                      </w:divBdr>
                                      <w:divsChild>
                                        <w:div w:id="1326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052273">
      <w:bodyDiv w:val="1"/>
      <w:marLeft w:val="0"/>
      <w:marRight w:val="0"/>
      <w:marTop w:val="0"/>
      <w:marBottom w:val="0"/>
      <w:divBdr>
        <w:top w:val="none" w:sz="0" w:space="0" w:color="auto"/>
        <w:left w:val="none" w:sz="0" w:space="0" w:color="auto"/>
        <w:bottom w:val="none" w:sz="0" w:space="0" w:color="auto"/>
        <w:right w:val="none" w:sz="0" w:space="0" w:color="auto"/>
      </w:divBdr>
      <w:divsChild>
        <w:div w:id="432407206">
          <w:marLeft w:val="0"/>
          <w:marRight w:val="0"/>
          <w:marTop w:val="0"/>
          <w:marBottom w:val="0"/>
          <w:divBdr>
            <w:top w:val="none" w:sz="0" w:space="0" w:color="auto"/>
            <w:left w:val="none" w:sz="0" w:space="0" w:color="auto"/>
            <w:bottom w:val="none" w:sz="0" w:space="0" w:color="auto"/>
            <w:right w:val="none" w:sz="0" w:space="0" w:color="auto"/>
          </w:divBdr>
          <w:divsChild>
            <w:div w:id="630017824">
              <w:marLeft w:val="0"/>
              <w:marRight w:val="0"/>
              <w:marTop w:val="0"/>
              <w:marBottom w:val="0"/>
              <w:divBdr>
                <w:top w:val="none" w:sz="0" w:space="0" w:color="auto"/>
                <w:left w:val="none" w:sz="0" w:space="0" w:color="auto"/>
                <w:bottom w:val="none" w:sz="0" w:space="0" w:color="auto"/>
                <w:right w:val="none" w:sz="0" w:space="0" w:color="auto"/>
              </w:divBdr>
              <w:divsChild>
                <w:div w:id="716323201">
                  <w:marLeft w:val="0"/>
                  <w:marRight w:val="0"/>
                  <w:marTop w:val="0"/>
                  <w:marBottom w:val="0"/>
                  <w:divBdr>
                    <w:top w:val="none" w:sz="0" w:space="0" w:color="auto"/>
                    <w:left w:val="none" w:sz="0" w:space="0" w:color="auto"/>
                    <w:bottom w:val="none" w:sz="0" w:space="0" w:color="auto"/>
                    <w:right w:val="none" w:sz="0" w:space="0" w:color="auto"/>
                  </w:divBdr>
                  <w:divsChild>
                    <w:div w:id="2100367018">
                      <w:marLeft w:val="0"/>
                      <w:marRight w:val="0"/>
                      <w:marTop w:val="0"/>
                      <w:marBottom w:val="0"/>
                      <w:divBdr>
                        <w:top w:val="none" w:sz="0" w:space="0" w:color="auto"/>
                        <w:left w:val="none" w:sz="0" w:space="0" w:color="auto"/>
                        <w:bottom w:val="none" w:sz="0" w:space="0" w:color="auto"/>
                        <w:right w:val="none" w:sz="0" w:space="0" w:color="auto"/>
                      </w:divBdr>
                      <w:divsChild>
                        <w:div w:id="1397822258">
                          <w:marLeft w:val="0"/>
                          <w:marRight w:val="0"/>
                          <w:marTop w:val="0"/>
                          <w:marBottom w:val="0"/>
                          <w:divBdr>
                            <w:top w:val="none" w:sz="0" w:space="0" w:color="auto"/>
                            <w:left w:val="none" w:sz="0" w:space="0" w:color="auto"/>
                            <w:bottom w:val="none" w:sz="0" w:space="0" w:color="auto"/>
                            <w:right w:val="none" w:sz="0" w:space="0" w:color="auto"/>
                          </w:divBdr>
                          <w:divsChild>
                            <w:div w:id="861668524">
                              <w:marLeft w:val="0"/>
                              <w:marRight w:val="0"/>
                              <w:marTop w:val="0"/>
                              <w:marBottom w:val="0"/>
                              <w:divBdr>
                                <w:top w:val="none" w:sz="0" w:space="0" w:color="auto"/>
                                <w:left w:val="none" w:sz="0" w:space="0" w:color="auto"/>
                                <w:bottom w:val="none" w:sz="0" w:space="0" w:color="auto"/>
                                <w:right w:val="none" w:sz="0" w:space="0" w:color="auto"/>
                              </w:divBdr>
                              <w:divsChild>
                                <w:div w:id="2087068262">
                                  <w:marLeft w:val="0"/>
                                  <w:marRight w:val="0"/>
                                  <w:marTop w:val="0"/>
                                  <w:marBottom w:val="0"/>
                                  <w:divBdr>
                                    <w:top w:val="none" w:sz="0" w:space="0" w:color="auto"/>
                                    <w:left w:val="none" w:sz="0" w:space="0" w:color="auto"/>
                                    <w:bottom w:val="none" w:sz="0" w:space="0" w:color="auto"/>
                                    <w:right w:val="none" w:sz="0" w:space="0" w:color="auto"/>
                                  </w:divBdr>
                                  <w:divsChild>
                                    <w:div w:id="2042852290">
                                      <w:marLeft w:val="0"/>
                                      <w:marRight w:val="0"/>
                                      <w:marTop w:val="0"/>
                                      <w:marBottom w:val="0"/>
                                      <w:divBdr>
                                        <w:top w:val="none" w:sz="0" w:space="0" w:color="auto"/>
                                        <w:left w:val="none" w:sz="0" w:space="0" w:color="auto"/>
                                        <w:bottom w:val="none" w:sz="0" w:space="0" w:color="auto"/>
                                        <w:right w:val="none" w:sz="0" w:space="0" w:color="auto"/>
                                      </w:divBdr>
                                      <w:divsChild>
                                        <w:div w:id="51361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82748583">
      <w:bodyDiv w:val="1"/>
      <w:marLeft w:val="0"/>
      <w:marRight w:val="0"/>
      <w:marTop w:val="0"/>
      <w:marBottom w:val="0"/>
      <w:divBdr>
        <w:top w:val="none" w:sz="0" w:space="0" w:color="auto"/>
        <w:left w:val="none" w:sz="0" w:space="0" w:color="auto"/>
        <w:bottom w:val="none" w:sz="0" w:space="0" w:color="auto"/>
        <w:right w:val="none" w:sz="0" w:space="0" w:color="auto"/>
      </w:divBdr>
    </w:div>
    <w:div w:id="1897160206">
      <w:bodyDiv w:val="1"/>
      <w:marLeft w:val="0"/>
      <w:marRight w:val="0"/>
      <w:marTop w:val="0"/>
      <w:marBottom w:val="0"/>
      <w:divBdr>
        <w:top w:val="none" w:sz="0" w:space="0" w:color="auto"/>
        <w:left w:val="none" w:sz="0" w:space="0" w:color="auto"/>
        <w:bottom w:val="none" w:sz="0" w:space="0" w:color="auto"/>
        <w:right w:val="none" w:sz="0" w:space="0" w:color="auto"/>
      </w:divBdr>
      <w:divsChild>
        <w:div w:id="1013533774">
          <w:marLeft w:val="0"/>
          <w:marRight w:val="0"/>
          <w:marTop w:val="0"/>
          <w:marBottom w:val="0"/>
          <w:divBdr>
            <w:top w:val="none" w:sz="0" w:space="0" w:color="auto"/>
            <w:left w:val="none" w:sz="0" w:space="0" w:color="auto"/>
            <w:bottom w:val="none" w:sz="0" w:space="0" w:color="auto"/>
            <w:right w:val="none" w:sz="0" w:space="0" w:color="auto"/>
          </w:divBdr>
          <w:divsChild>
            <w:div w:id="1189611659">
              <w:marLeft w:val="0"/>
              <w:marRight w:val="0"/>
              <w:marTop w:val="0"/>
              <w:marBottom w:val="0"/>
              <w:divBdr>
                <w:top w:val="none" w:sz="0" w:space="0" w:color="auto"/>
                <w:left w:val="none" w:sz="0" w:space="0" w:color="auto"/>
                <w:bottom w:val="none" w:sz="0" w:space="0" w:color="auto"/>
                <w:right w:val="none" w:sz="0" w:space="0" w:color="auto"/>
              </w:divBdr>
              <w:divsChild>
                <w:div w:id="1879126955">
                  <w:marLeft w:val="0"/>
                  <w:marRight w:val="0"/>
                  <w:marTop w:val="0"/>
                  <w:marBottom w:val="0"/>
                  <w:divBdr>
                    <w:top w:val="none" w:sz="0" w:space="0" w:color="auto"/>
                    <w:left w:val="none" w:sz="0" w:space="0" w:color="auto"/>
                    <w:bottom w:val="none" w:sz="0" w:space="0" w:color="auto"/>
                    <w:right w:val="none" w:sz="0" w:space="0" w:color="auto"/>
                  </w:divBdr>
                  <w:divsChild>
                    <w:div w:id="1118185434">
                      <w:marLeft w:val="0"/>
                      <w:marRight w:val="0"/>
                      <w:marTop w:val="0"/>
                      <w:marBottom w:val="0"/>
                      <w:divBdr>
                        <w:top w:val="none" w:sz="0" w:space="0" w:color="auto"/>
                        <w:left w:val="none" w:sz="0" w:space="0" w:color="auto"/>
                        <w:bottom w:val="none" w:sz="0" w:space="0" w:color="auto"/>
                        <w:right w:val="none" w:sz="0" w:space="0" w:color="auto"/>
                      </w:divBdr>
                      <w:divsChild>
                        <w:div w:id="1088649710">
                          <w:marLeft w:val="0"/>
                          <w:marRight w:val="0"/>
                          <w:marTop w:val="150"/>
                          <w:marBottom w:val="0"/>
                          <w:divBdr>
                            <w:top w:val="none" w:sz="0" w:space="0" w:color="auto"/>
                            <w:left w:val="none" w:sz="0" w:space="0" w:color="auto"/>
                            <w:bottom w:val="none" w:sz="0" w:space="0" w:color="auto"/>
                            <w:right w:val="none" w:sz="0" w:space="0" w:color="auto"/>
                          </w:divBdr>
                          <w:divsChild>
                            <w:div w:id="1912302835">
                              <w:marLeft w:val="0"/>
                              <w:marRight w:val="26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dc.gov/nphpsp/essentialservic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cs/ocs/sp/nctb1349.pdf"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uwq5@cdc.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0" ma:contentTypeDescription="Create a new document." ma:contentTypeScope="" ma:versionID="39eeb50b126bef3517319752c09e274a">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38f31a98dd1f5c49377939813b69bcef"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 xmlns="b5c0ca00-073d-4463-9985-b654f14791fe">OSTLTSDOC-726-11</_dlc_DocId>
    <_dlc_DocIdUrl xmlns="b5c0ca00-073d-4463-9985-b654f14791fe">
      <Url>http://esp.cdc.gov/sites/ostlts/pip/osc/_layouts/DocIdRedir.aspx?ID=OSTLTSDOC-726-11</Url>
      <Description>OSTLTSDOC-726-11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E6C64-3908-4FA3-9711-D1F76C6F15B3}">
  <ds:schemaRefs>
    <ds:schemaRef ds:uri="http://schemas.microsoft.com/office/2006/metadata/customXsn"/>
  </ds:schemaRefs>
</ds:datastoreItem>
</file>

<file path=customXml/itemProps2.xml><?xml version="1.0" encoding="utf-8"?>
<ds:datastoreItem xmlns:ds="http://schemas.openxmlformats.org/officeDocument/2006/customXml" ds:itemID="{18D5AFF2-988D-4E73-A7D4-9CCFF703100B}">
  <ds:schemaRefs>
    <ds:schemaRef ds:uri="http://schemas.microsoft.com/sharepoint/events"/>
  </ds:schemaRefs>
</ds:datastoreItem>
</file>

<file path=customXml/itemProps3.xml><?xml version="1.0" encoding="utf-8"?>
<ds:datastoreItem xmlns:ds="http://schemas.openxmlformats.org/officeDocument/2006/customXml" ds:itemID="{96634254-38B6-474C-A5FC-99957A8B3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4DC3CB-587C-4646-B813-862539EB049F}">
  <ds:schemaRefs>
    <ds:schemaRef ds:uri="http://www.w3.org/XML/1998/namespace"/>
    <ds:schemaRef ds:uri="http://schemas.openxmlformats.org/package/2006/metadata/core-properties"/>
    <ds:schemaRef ds:uri="http://purl.org/dc/dcmitype/"/>
    <ds:schemaRef ds:uri="bd99c180-279b-44c3-9486-dd050336677e"/>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15b1c282-9287-45cb-9b41-eae3a76919a0"/>
    <ds:schemaRef ds:uri="b5c0ca00-073d-4463-9985-b654f14791fe"/>
  </ds:schemaRefs>
</ds:datastoreItem>
</file>

<file path=customXml/itemProps5.xml><?xml version="1.0" encoding="utf-8"?>
<ds:datastoreItem xmlns:ds="http://schemas.openxmlformats.org/officeDocument/2006/customXml" ds:itemID="{F3880EAE-5EFC-4E56-B894-82D2A414204A}">
  <ds:schemaRefs>
    <ds:schemaRef ds:uri="http://schemas.microsoft.com/sharepoint/v3/contenttype/forms"/>
  </ds:schemaRefs>
</ds:datastoreItem>
</file>

<file path=customXml/itemProps6.xml><?xml version="1.0" encoding="utf-8"?>
<ds:datastoreItem xmlns:ds="http://schemas.openxmlformats.org/officeDocument/2006/customXml" ds:itemID="{9F7E6301-1DF7-4422-8E0B-76B98F015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3108</Words>
  <Characters>17719</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Marsh, Carol E. (CDC/OPHPR/OD)</cp:lastModifiedBy>
  <cp:revision>2</cp:revision>
  <cp:lastPrinted>2014-05-15T14:57:00Z</cp:lastPrinted>
  <dcterms:created xsi:type="dcterms:W3CDTF">2014-08-29T14:34:00Z</dcterms:created>
  <dcterms:modified xsi:type="dcterms:W3CDTF">2014-08-29T14:34:00Z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c2fd2511-195b-4f93-b50c-ce0c94b6df4b</vt:lpwstr>
  </property>
</Properties>
</file>