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16F94" w:rsidRDefault="00716F94" w:rsidP="00716F94">
      <w:pPr>
        <w:spacing w:after="0"/>
        <w:rPr>
          <w:rFonts w:asciiTheme="majorHAnsi" w:hAnsiTheme="majorHAnsi"/>
          <w:b/>
        </w:rPr>
      </w:pPr>
    </w:p>
    <w:p w:rsidR="009B4A51" w:rsidRDefault="009B4A51" w:rsidP="00716F94">
      <w:pPr>
        <w:spacing w:after="0"/>
        <w:rPr>
          <w:rFonts w:asciiTheme="majorHAnsi" w:hAnsiTheme="majorHAnsi"/>
          <w:b/>
        </w:rPr>
      </w:pPr>
    </w:p>
    <w:p w:rsidR="009B4A51" w:rsidRDefault="009B4A51" w:rsidP="009B4A51">
      <w:pPr>
        <w:spacing w:after="0"/>
        <w:jc w:val="center"/>
        <w:rPr>
          <w:rFonts w:asciiTheme="majorHAnsi" w:hAnsiTheme="majorHAnsi"/>
          <w:b/>
        </w:rPr>
      </w:pPr>
    </w:p>
    <w:p w:rsidR="009B4A51" w:rsidRDefault="009B4A51" w:rsidP="009B4A51">
      <w:pPr>
        <w:spacing w:after="0"/>
        <w:jc w:val="center"/>
        <w:rPr>
          <w:rFonts w:asciiTheme="majorHAnsi" w:hAnsiTheme="majorHAnsi"/>
          <w:b/>
        </w:rPr>
      </w:pPr>
    </w:p>
    <w:p w:rsidR="009B4A51" w:rsidRDefault="009B4A51" w:rsidP="009B4A51">
      <w:pPr>
        <w:spacing w:after="0"/>
        <w:jc w:val="center"/>
        <w:rPr>
          <w:rFonts w:asciiTheme="majorHAnsi" w:hAnsiTheme="majorHAnsi"/>
          <w:color w:val="0033CC"/>
          <w:sz w:val="28"/>
        </w:rPr>
      </w:pPr>
    </w:p>
    <w:p w:rsidR="00667C89" w:rsidRDefault="00667C89" w:rsidP="009B4A51">
      <w:pPr>
        <w:spacing w:after="0"/>
        <w:jc w:val="center"/>
        <w:rPr>
          <w:rFonts w:asciiTheme="majorHAnsi" w:hAnsiTheme="majorHAnsi"/>
          <w:color w:val="0033CC"/>
          <w:sz w:val="28"/>
        </w:rPr>
      </w:pPr>
    </w:p>
    <w:p w:rsidR="009B4A51" w:rsidRDefault="009B4A51" w:rsidP="009B4A51">
      <w:pPr>
        <w:spacing w:after="0"/>
        <w:jc w:val="center"/>
        <w:rPr>
          <w:rFonts w:asciiTheme="majorHAnsi" w:hAnsiTheme="majorHAnsi"/>
          <w:sz w:val="32"/>
        </w:rPr>
      </w:pPr>
    </w:p>
    <w:p w:rsidR="009B4A51" w:rsidRPr="00007CDB" w:rsidRDefault="009B4A51" w:rsidP="009B4A51">
      <w:pPr>
        <w:spacing w:after="0"/>
        <w:jc w:val="center"/>
        <w:rPr>
          <w:rFonts w:asciiTheme="majorHAnsi" w:hAnsiTheme="majorHAnsi"/>
          <w:sz w:val="32"/>
        </w:rPr>
      </w:pPr>
    </w:p>
    <w:p w:rsidR="00AA3192" w:rsidRPr="00965EA4" w:rsidRDefault="00FA6360" w:rsidP="00484011">
      <w:pPr>
        <w:spacing w:after="0"/>
        <w:jc w:val="center"/>
        <w:rPr>
          <w:rFonts w:asciiTheme="majorHAnsi" w:hAnsiTheme="majorHAnsi"/>
          <w:b/>
          <w:sz w:val="40"/>
        </w:rPr>
      </w:pPr>
      <w:r w:rsidRPr="00965EA4">
        <w:rPr>
          <w:rFonts w:asciiTheme="majorHAnsi" w:hAnsiTheme="majorHAnsi"/>
          <w:b/>
          <w:sz w:val="32"/>
        </w:rPr>
        <w:t>Effective Educational Campaigns for Private Well Owners</w:t>
      </w:r>
      <w:r w:rsidRPr="00965EA4">
        <w:rPr>
          <w:rFonts w:asciiTheme="majorHAnsi" w:hAnsiTheme="majorHAnsi"/>
          <w:b/>
          <w:sz w:val="52"/>
        </w:rPr>
        <w:t xml:space="preserve"> </w:t>
      </w:r>
    </w:p>
    <w:p w:rsidR="00FA6360" w:rsidRPr="00007CDB" w:rsidRDefault="00FA6360" w:rsidP="00484011">
      <w:pPr>
        <w:spacing w:after="0"/>
        <w:jc w:val="center"/>
        <w:rPr>
          <w:rFonts w:asciiTheme="majorHAnsi" w:hAnsiTheme="majorHAnsi"/>
          <w:b/>
        </w:rPr>
      </w:pPr>
    </w:p>
    <w:p w:rsidR="00716F94" w:rsidRPr="00007CDB" w:rsidRDefault="00484011" w:rsidP="00484011">
      <w:pPr>
        <w:spacing w:after="0"/>
        <w:jc w:val="center"/>
        <w:rPr>
          <w:rFonts w:asciiTheme="majorHAnsi" w:hAnsiTheme="majorHAnsi"/>
        </w:rPr>
      </w:pPr>
      <w:r w:rsidRPr="00007CDB">
        <w:rPr>
          <w:rFonts w:asciiTheme="majorHAnsi" w:hAnsiTheme="majorHAnsi"/>
        </w:rPr>
        <w:t>OSTL</w:t>
      </w:r>
      <w:r w:rsidR="00316F00" w:rsidRPr="00007CDB">
        <w:rPr>
          <w:rFonts w:asciiTheme="majorHAnsi" w:hAnsiTheme="majorHAnsi"/>
        </w:rPr>
        <w:t>TS Generic Information Collection</w:t>
      </w:r>
      <w:r w:rsidRPr="00007CDB">
        <w:rPr>
          <w:rFonts w:asciiTheme="majorHAnsi" w:hAnsiTheme="majorHAnsi"/>
        </w:rPr>
        <w:t xml:space="preserve"> Request</w:t>
      </w:r>
    </w:p>
    <w:p w:rsidR="00484011" w:rsidRPr="008C1B86" w:rsidRDefault="00484011" w:rsidP="00484011">
      <w:pPr>
        <w:pStyle w:val="Header"/>
        <w:tabs>
          <w:tab w:val="clear" w:pos="4680"/>
        </w:tabs>
        <w:jc w:val="center"/>
        <w:rPr>
          <w:rFonts w:asciiTheme="majorHAnsi" w:hAnsiTheme="majorHAnsi"/>
        </w:rPr>
      </w:pPr>
      <w:r w:rsidRPr="008C1B86">
        <w:rPr>
          <w:rFonts w:asciiTheme="majorHAnsi" w:hAnsiTheme="majorHAnsi"/>
        </w:rPr>
        <w:t>OMB No. 0920-0879</w:t>
      </w:r>
    </w:p>
    <w:p w:rsidR="009B4A51" w:rsidRPr="00007CDB" w:rsidRDefault="009B4A51" w:rsidP="00716F94">
      <w:pPr>
        <w:spacing w:after="0"/>
        <w:rPr>
          <w:rFonts w:asciiTheme="majorHAnsi" w:hAnsiTheme="majorHAnsi"/>
          <w:b/>
        </w:rPr>
      </w:pPr>
    </w:p>
    <w:p w:rsidR="009B4A51" w:rsidRPr="00007CDB" w:rsidRDefault="009B4A51" w:rsidP="00716F94">
      <w:pPr>
        <w:spacing w:after="0"/>
        <w:rPr>
          <w:rFonts w:asciiTheme="majorHAnsi" w:hAnsiTheme="majorHAnsi"/>
          <w:b/>
        </w:rPr>
      </w:pPr>
    </w:p>
    <w:p w:rsidR="00AA3192" w:rsidRPr="00007CDB" w:rsidRDefault="00AA3192" w:rsidP="00716F94">
      <w:pPr>
        <w:spacing w:after="0"/>
        <w:rPr>
          <w:rFonts w:asciiTheme="majorHAnsi" w:hAnsiTheme="majorHAnsi"/>
          <w:b/>
        </w:rPr>
      </w:pPr>
    </w:p>
    <w:p w:rsidR="00AA3192" w:rsidRPr="00007CDB" w:rsidRDefault="00AA3192" w:rsidP="00716F94">
      <w:pPr>
        <w:spacing w:after="0"/>
        <w:rPr>
          <w:rFonts w:asciiTheme="majorHAnsi" w:hAnsiTheme="majorHAnsi"/>
          <w:b/>
        </w:rPr>
      </w:pPr>
    </w:p>
    <w:p w:rsidR="009B4A51" w:rsidRPr="00007CDB" w:rsidRDefault="009B4A51" w:rsidP="009B4A51">
      <w:pPr>
        <w:spacing w:after="0"/>
        <w:jc w:val="center"/>
        <w:rPr>
          <w:rFonts w:asciiTheme="majorHAnsi" w:hAnsiTheme="majorHAnsi"/>
          <w:sz w:val="32"/>
        </w:rPr>
      </w:pPr>
      <w:r w:rsidRPr="00007CDB">
        <w:rPr>
          <w:rFonts w:asciiTheme="majorHAnsi" w:hAnsiTheme="majorHAnsi"/>
          <w:b/>
          <w:sz w:val="32"/>
        </w:rPr>
        <w:t>Supporting Statement – Section A</w:t>
      </w:r>
    </w:p>
    <w:p w:rsidR="009B4A51" w:rsidRPr="00007CDB" w:rsidRDefault="009B4A51" w:rsidP="00716F94">
      <w:pPr>
        <w:spacing w:after="0"/>
        <w:rPr>
          <w:rFonts w:asciiTheme="majorHAnsi" w:hAnsiTheme="majorHAnsi"/>
          <w:b/>
        </w:rPr>
      </w:pPr>
    </w:p>
    <w:p w:rsidR="00484011" w:rsidRPr="00007CDB" w:rsidRDefault="00484011" w:rsidP="00716F94">
      <w:pPr>
        <w:spacing w:after="0"/>
        <w:rPr>
          <w:rFonts w:asciiTheme="majorHAnsi" w:hAnsiTheme="majorHAnsi"/>
          <w:b/>
        </w:rPr>
      </w:pPr>
    </w:p>
    <w:p w:rsidR="00AA3192" w:rsidRPr="00007CDB" w:rsidRDefault="00AA3192" w:rsidP="00716F94">
      <w:pPr>
        <w:spacing w:after="0"/>
        <w:rPr>
          <w:rFonts w:asciiTheme="majorHAnsi" w:hAnsiTheme="majorHAnsi"/>
          <w:b/>
        </w:rPr>
      </w:pPr>
    </w:p>
    <w:p w:rsidR="009B4A51" w:rsidRPr="00007CDB" w:rsidRDefault="009B4A51" w:rsidP="00716F94">
      <w:pPr>
        <w:spacing w:after="0"/>
        <w:rPr>
          <w:rFonts w:asciiTheme="majorHAnsi" w:hAnsiTheme="majorHAnsi"/>
          <w:b/>
        </w:rPr>
      </w:pPr>
    </w:p>
    <w:p w:rsidR="009B4A51" w:rsidRPr="00007CDB" w:rsidRDefault="009B4A51" w:rsidP="00716F94">
      <w:pPr>
        <w:spacing w:after="0"/>
        <w:rPr>
          <w:rFonts w:asciiTheme="majorHAnsi" w:hAnsiTheme="majorHAnsi"/>
          <w:b/>
        </w:rPr>
      </w:pPr>
    </w:p>
    <w:p w:rsidR="00187D5A" w:rsidRPr="00007CDB" w:rsidRDefault="00187D5A" w:rsidP="00716F94">
      <w:pPr>
        <w:spacing w:after="0"/>
        <w:rPr>
          <w:rFonts w:asciiTheme="majorHAnsi" w:hAnsiTheme="majorHAnsi"/>
          <w:b/>
        </w:rPr>
      </w:pPr>
    </w:p>
    <w:p w:rsidR="009B4A51" w:rsidRPr="00007CDB" w:rsidRDefault="009B4A51" w:rsidP="009B4A51">
      <w:pPr>
        <w:spacing w:after="0"/>
        <w:jc w:val="center"/>
        <w:rPr>
          <w:rFonts w:asciiTheme="majorHAnsi" w:hAnsiTheme="majorHAnsi"/>
        </w:rPr>
      </w:pPr>
      <w:r w:rsidRPr="00007CDB">
        <w:rPr>
          <w:rFonts w:asciiTheme="majorHAnsi" w:hAnsiTheme="majorHAnsi"/>
          <w:b/>
        </w:rPr>
        <w:t>Submitted:</w:t>
      </w:r>
      <w:r w:rsidRPr="00007CDB">
        <w:rPr>
          <w:rFonts w:asciiTheme="majorHAnsi" w:hAnsiTheme="majorHAnsi"/>
        </w:rPr>
        <w:t xml:space="preserve"> </w:t>
      </w:r>
      <w:r w:rsidR="00C3652C">
        <w:rPr>
          <w:rFonts w:asciiTheme="majorHAnsi" w:hAnsiTheme="majorHAnsi"/>
        </w:rPr>
        <w:t>May</w:t>
      </w:r>
      <w:r w:rsidR="00D45ED8">
        <w:rPr>
          <w:rFonts w:asciiTheme="majorHAnsi" w:hAnsiTheme="majorHAnsi"/>
        </w:rPr>
        <w:t xml:space="preserve"> </w:t>
      </w:r>
      <w:r w:rsidR="0048121D">
        <w:rPr>
          <w:rFonts w:asciiTheme="majorHAnsi" w:hAnsiTheme="majorHAnsi"/>
        </w:rPr>
        <w:t>12</w:t>
      </w:r>
      <w:r w:rsidR="00DB4040" w:rsidRPr="00007CDB">
        <w:rPr>
          <w:rFonts w:asciiTheme="majorHAnsi" w:hAnsiTheme="majorHAnsi"/>
        </w:rPr>
        <w:t>, 2014</w:t>
      </w:r>
    </w:p>
    <w:p w:rsidR="009B4A51" w:rsidRPr="00007CDB" w:rsidRDefault="009B4A51" w:rsidP="00716F94">
      <w:pPr>
        <w:spacing w:after="0"/>
        <w:rPr>
          <w:rFonts w:asciiTheme="majorHAnsi" w:hAnsiTheme="majorHAnsi"/>
          <w:b/>
        </w:rPr>
      </w:pPr>
    </w:p>
    <w:p w:rsidR="009B4A51" w:rsidRPr="00007CDB" w:rsidRDefault="009B4A51" w:rsidP="00716F94">
      <w:pPr>
        <w:spacing w:after="0"/>
        <w:rPr>
          <w:rFonts w:asciiTheme="majorHAnsi" w:hAnsiTheme="majorHAnsi"/>
          <w:b/>
        </w:rPr>
      </w:pPr>
    </w:p>
    <w:p w:rsidR="009B4A51" w:rsidRPr="00007CDB" w:rsidRDefault="009B4A51" w:rsidP="00716F94">
      <w:pPr>
        <w:spacing w:after="0"/>
        <w:rPr>
          <w:rFonts w:asciiTheme="majorHAnsi" w:hAnsiTheme="majorHAnsi"/>
          <w:b/>
        </w:rPr>
      </w:pPr>
    </w:p>
    <w:p w:rsidR="00AA3192" w:rsidRPr="00007CDB" w:rsidRDefault="00AA3192" w:rsidP="00716F94">
      <w:pPr>
        <w:spacing w:after="0"/>
        <w:rPr>
          <w:rFonts w:asciiTheme="majorHAnsi" w:hAnsiTheme="majorHAnsi"/>
          <w:b/>
        </w:rPr>
      </w:pPr>
    </w:p>
    <w:p w:rsidR="00AA3192" w:rsidRPr="00007CDB" w:rsidRDefault="00AA3192" w:rsidP="00716F94">
      <w:pPr>
        <w:spacing w:after="0"/>
        <w:rPr>
          <w:rFonts w:asciiTheme="majorHAnsi" w:hAnsiTheme="majorHAnsi"/>
          <w:b/>
        </w:rPr>
      </w:pPr>
    </w:p>
    <w:p w:rsidR="009B4A51" w:rsidRPr="00007CDB" w:rsidRDefault="009B4A51" w:rsidP="00716F94">
      <w:pPr>
        <w:spacing w:after="0"/>
        <w:rPr>
          <w:rFonts w:asciiTheme="majorHAnsi" w:hAnsiTheme="majorHAnsi"/>
          <w:b/>
        </w:rPr>
      </w:pPr>
    </w:p>
    <w:p w:rsidR="00321B51" w:rsidRPr="008C1B86" w:rsidRDefault="00716F94" w:rsidP="000B0962">
      <w:pPr>
        <w:spacing w:after="0"/>
        <w:rPr>
          <w:rFonts w:asciiTheme="majorHAnsi" w:hAnsiTheme="majorHAnsi"/>
        </w:rPr>
      </w:pPr>
      <w:r w:rsidRPr="00007CDB">
        <w:rPr>
          <w:rFonts w:asciiTheme="majorHAnsi" w:hAnsiTheme="majorHAnsi"/>
          <w:b/>
          <w:u w:val="single"/>
        </w:rPr>
        <w:t>P</w:t>
      </w:r>
      <w:r w:rsidR="00667C89" w:rsidRPr="00007CDB">
        <w:rPr>
          <w:rFonts w:asciiTheme="majorHAnsi" w:hAnsiTheme="majorHAnsi"/>
          <w:b/>
          <w:u w:val="single"/>
        </w:rPr>
        <w:t>rogram Official/Project Officer</w:t>
      </w:r>
      <w:r w:rsidR="000B0962" w:rsidRPr="008C1B86">
        <w:rPr>
          <w:rFonts w:asciiTheme="majorHAnsi" w:hAnsiTheme="majorHAnsi"/>
        </w:rPr>
        <w:tab/>
      </w:r>
    </w:p>
    <w:p w:rsidR="00321B51" w:rsidRPr="008C1B86" w:rsidRDefault="005962E5" w:rsidP="000B0962">
      <w:pPr>
        <w:spacing w:after="0" w:line="240" w:lineRule="auto"/>
        <w:rPr>
          <w:rFonts w:asciiTheme="majorHAnsi" w:hAnsiTheme="majorHAnsi" w:cs="Times New Roman"/>
          <w:bCs/>
        </w:rPr>
      </w:pPr>
      <w:r w:rsidRPr="008C1B86">
        <w:rPr>
          <w:rFonts w:asciiTheme="majorHAnsi" w:hAnsiTheme="majorHAnsi" w:cs="Times New Roman"/>
          <w:bCs/>
        </w:rPr>
        <w:t>Angela Salazar</w:t>
      </w:r>
    </w:p>
    <w:p w:rsidR="00321B51" w:rsidRPr="008C1B86" w:rsidRDefault="005962E5" w:rsidP="000B0962">
      <w:pPr>
        <w:spacing w:after="0" w:line="240" w:lineRule="auto"/>
        <w:rPr>
          <w:rFonts w:asciiTheme="majorHAnsi" w:hAnsiTheme="majorHAnsi" w:cs="Times New Roman"/>
        </w:rPr>
      </w:pPr>
      <w:r w:rsidRPr="008C1B86">
        <w:rPr>
          <w:rFonts w:asciiTheme="majorHAnsi" w:hAnsiTheme="majorHAnsi" w:cs="Times New Roman"/>
        </w:rPr>
        <w:t>Public Health Advisor</w:t>
      </w:r>
    </w:p>
    <w:p w:rsidR="00321B51" w:rsidRPr="008C1B86" w:rsidRDefault="005962E5" w:rsidP="000B0962">
      <w:pPr>
        <w:spacing w:after="0" w:line="240" w:lineRule="auto"/>
        <w:rPr>
          <w:rFonts w:asciiTheme="majorHAnsi" w:hAnsiTheme="majorHAnsi" w:cs="Times New Roman"/>
        </w:rPr>
      </w:pPr>
      <w:r w:rsidRPr="008C1B86">
        <w:rPr>
          <w:rFonts w:asciiTheme="majorHAnsi" w:hAnsiTheme="majorHAnsi" w:cs="Times New Roman"/>
        </w:rPr>
        <w:t>Health Studies Branch, NCEH, CDC</w:t>
      </w:r>
    </w:p>
    <w:p w:rsidR="00321B51" w:rsidRPr="008C1B86" w:rsidRDefault="00B975F7" w:rsidP="000B0962">
      <w:pPr>
        <w:spacing w:after="0" w:line="240" w:lineRule="auto"/>
        <w:rPr>
          <w:rFonts w:asciiTheme="majorHAnsi" w:hAnsiTheme="majorHAnsi" w:cs="Times New Roman"/>
        </w:rPr>
      </w:pPr>
      <w:r w:rsidRPr="008C1B86">
        <w:rPr>
          <w:rFonts w:asciiTheme="majorHAnsi" w:hAnsiTheme="majorHAnsi" w:cs="Times New Roman"/>
        </w:rPr>
        <w:t>4770 Buford Highway NE, MS-F60</w:t>
      </w:r>
    </w:p>
    <w:p w:rsidR="00321B51" w:rsidRPr="008C1B86" w:rsidRDefault="00533D96" w:rsidP="000B0962">
      <w:pPr>
        <w:spacing w:after="0" w:line="240" w:lineRule="auto"/>
        <w:rPr>
          <w:rFonts w:asciiTheme="majorHAnsi" w:hAnsiTheme="majorHAnsi" w:cs="Times New Roman"/>
        </w:rPr>
      </w:pPr>
      <w:r w:rsidRPr="008C1B86">
        <w:rPr>
          <w:rFonts w:asciiTheme="majorHAnsi" w:hAnsiTheme="majorHAnsi" w:cs="Times New Roman"/>
        </w:rPr>
        <w:t xml:space="preserve">Phone:  </w:t>
      </w:r>
      <w:r w:rsidR="005962E5" w:rsidRPr="008C1B86">
        <w:rPr>
          <w:rFonts w:asciiTheme="majorHAnsi" w:hAnsiTheme="majorHAnsi" w:cs="Times New Roman"/>
        </w:rPr>
        <w:t>770.488.3949</w:t>
      </w:r>
    </w:p>
    <w:p w:rsidR="00321B51" w:rsidRPr="008C1B86" w:rsidRDefault="00533D96" w:rsidP="000B0962">
      <w:pPr>
        <w:spacing w:after="0" w:line="240" w:lineRule="auto"/>
        <w:rPr>
          <w:rFonts w:asciiTheme="majorHAnsi" w:hAnsiTheme="majorHAnsi" w:cs="Times New Roman"/>
        </w:rPr>
      </w:pPr>
      <w:r w:rsidRPr="008C1B86">
        <w:rPr>
          <w:rFonts w:asciiTheme="majorHAnsi" w:hAnsiTheme="majorHAnsi" w:cs="Times New Roman"/>
        </w:rPr>
        <w:t xml:space="preserve">Email:  </w:t>
      </w:r>
      <w:hyperlink r:id="rId9" w:history="1">
        <w:r w:rsidRPr="008C1B86">
          <w:rPr>
            <w:rStyle w:val="Hyperlink"/>
            <w:rFonts w:asciiTheme="majorHAnsi" w:hAnsiTheme="majorHAnsi" w:cs="Times New Roman"/>
          </w:rPr>
          <w:t>Aos9@cdc.gov</w:t>
        </w:r>
      </w:hyperlink>
    </w:p>
    <w:p w:rsidR="00533D96" w:rsidRPr="008C1B86" w:rsidRDefault="00533D96" w:rsidP="000B0962">
      <w:pPr>
        <w:spacing w:after="0" w:line="240" w:lineRule="auto"/>
        <w:rPr>
          <w:rFonts w:asciiTheme="majorHAnsi" w:hAnsiTheme="majorHAnsi" w:cs="Times New Roman"/>
        </w:rPr>
      </w:pPr>
      <w:r w:rsidRPr="008C1B86">
        <w:rPr>
          <w:rFonts w:asciiTheme="majorHAnsi" w:hAnsiTheme="majorHAnsi" w:cs="Times New Roman"/>
        </w:rPr>
        <w:t xml:space="preserve">Fax:  </w:t>
      </w:r>
      <w:r w:rsidR="0061018C" w:rsidRPr="008C1B86">
        <w:rPr>
          <w:rFonts w:asciiTheme="majorHAnsi" w:hAnsiTheme="majorHAnsi" w:cs="Times New Roman"/>
        </w:rPr>
        <w:t xml:space="preserve">   </w:t>
      </w:r>
      <w:r w:rsidRPr="008C1B86">
        <w:rPr>
          <w:rFonts w:asciiTheme="majorHAnsi" w:hAnsiTheme="majorHAnsi" w:cs="Times New Roman"/>
        </w:rPr>
        <w:t>770.488.3450</w:t>
      </w:r>
    </w:p>
    <w:p w:rsidR="000B0962" w:rsidRPr="00B975F7" w:rsidRDefault="000B0962" w:rsidP="00716F94">
      <w:pPr>
        <w:spacing w:after="0"/>
        <w:rPr>
          <w:rFonts w:asciiTheme="majorHAnsi" w:hAnsiTheme="majorHAnsi"/>
        </w:rPr>
      </w:pPr>
    </w:p>
    <w:p w:rsidR="00B975F7" w:rsidRPr="00B975F7" w:rsidRDefault="00B975F7" w:rsidP="00716F94">
      <w:pPr>
        <w:spacing w:after="0"/>
        <w:rPr>
          <w:rFonts w:asciiTheme="majorHAnsi" w:hAnsiTheme="majorHAnsi"/>
        </w:rPr>
      </w:pPr>
    </w:p>
    <w:p w:rsidR="00B12F51" w:rsidRPr="00D45ED8" w:rsidRDefault="00B975F7" w:rsidP="00D45ED8">
      <w:pPr>
        <w:rPr>
          <w:rFonts w:asciiTheme="majorHAnsi" w:hAnsiTheme="majorHAnsi"/>
        </w:rPr>
      </w:pPr>
      <w:r>
        <w:rPr>
          <w:rFonts w:asciiTheme="majorHAnsi" w:hAnsiTheme="majorHAnsi"/>
        </w:rPr>
        <w:br w:type="page"/>
      </w:r>
      <w:r w:rsidR="00CD1EA8" w:rsidRPr="00F52BCC">
        <w:rPr>
          <w:rFonts w:asciiTheme="majorHAnsi" w:hAnsiTheme="majorHAnsi"/>
          <w:b/>
          <w:sz w:val="28"/>
        </w:rPr>
        <w:lastRenderedPageBreak/>
        <w:t xml:space="preserve">Section </w:t>
      </w:r>
      <w:proofErr w:type="gramStart"/>
      <w:r w:rsidR="00CD1EA8" w:rsidRPr="00F52BCC">
        <w:rPr>
          <w:rFonts w:asciiTheme="majorHAnsi" w:hAnsiTheme="majorHAnsi"/>
          <w:b/>
          <w:sz w:val="28"/>
        </w:rPr>
        <w:t>A</w:t>
      </w:r>
      <w:proofErr w:type="gramEnd"/>
      <w:r w:rsidR="00B12F51" w:rsidRPr="00F52BCC">
        <w:rPr>
          <w:rFonts w:asciiTheme="majorHAnsi" w:hAnsiTheme="majorHAnsi"/>
          <w:b/>
          <w:sz w:val="28"/>
        </w:rPr>
        <w:t xml:space="preserve"> – Justification</w:t>
      </w:r>
    </w:p>
    <w:p w:rsidR="00CD1EA8" w:rsidRPr="00D13B13" w:rsidRDefault="00B12F51" w:rsidP="001636E7">
      <w:pPr>
        <w:pStyle w:val="ListParagraph"/>
        <w:numPr>
          <w:ilvl w:val="0"/>
          <w:numId w:val="2"/>
        </w:numPr>
        <w:spacing w:after="0"/>
        <w:ind w:left="360"/>
        <w:rPr>
          <w:rFonts w:asciiTheme="majorHAnsi" w:hAnsiTheme="majorHAnsi"/>
          <w:b/>
        </w:rPr>
      </w:pPr>
      <w:r w:rsidRPr="00D13B13">
        <w:rPr>
          <w:rFonts w:asciiTheme="majorHAnsi" w:hAnsiTheme="majorHAnsi"/>
          <w:b/>
        </w:rPr>
        <w:t>Circumstances Making the Collection of Information Necessary</w:t>
      </w:r>
    </w:p>
    <w:p w:rsidR="00E33E1B" w:rsidRDefault="00E33E1B" w:rsidP="001636E7">
      <w:pPr>
        <w:spacing w:after="0"/>
        <w:ind w:left="270"/>
        <w:rPr>
          <w:rFonts w:asciiTheme="majorHAnsi" w:hAnsiTheme="majorHAnsi"/>
          <w:b/>
        </w:rPr>
      </w:pPr>
    </w:p>
    <w:p w:rsidR="00E33E1B" w:rsidRDefault="00E33E1B" w:rsidP="001636E7">
      <w:pPr>
        <w:spacing w:after="0"/>
        <w:rPr>
          <w:rFonts w:asciiTheme="majorHAnsi" w:hAnsiTheme="majorHAnsi"/>
          <w:b/>
        </w:rPr>
      </w:pPr>
      <w:r>
        <w:rPr>
          <w:rFonts w:asciiTheme="majorHAnsi" w:hAnsiTheme="majorHAnsi"/>
          <w:b/>
        </w:rPr>
        <w:t>Background</w:t>
      </w:r>
    </w:p>
    <w:p w:rsidR="00D03F47" w:rsidRPr="001635C8" w:rsidRDefault="004F67A8" w:rsidP="001636E7">
      <w:pPr>
        <w:pStyle w:val="Header"/>
        <w:tabs>
          <w:tab w:val="clear" w:pos="4680"/>
        </w:tabs>
        <w:spacing w:line="276" w:lineRule="auto"/>
        <w:rPr>
          <w:rFonts w:asciiTheme="majorHAnsi" w:hAnsiTheme="majorHAnsi"/>
        </w:rPr>
      </w:pPr>
      <w:r>
        <w:rPr>
          <w:rFonts w:asciiTheme="majorHAnsi" w:hAnsiTheme="majorHAnsi"/>
        </w:rPr>
        <w:t>This data collection</w:t>
      </w:r>
      <w:r w:rsidR="00484011">
        <w:rPr>
          <w:rFonts w:asciiTheme="majorHAnsi" w:hAnsiTheme="majorHAnsi"/>
        </w:rPr>
        <w:t xml:space="preserve"> is being conducted </w:t>
      </w:r>
      <w:r w:rsidR="009252DC">
        <w:rPr>
          <w:rFonts w:asciiTheme="majorHAnsi" w:hAnsiTheme="majorHAnsi"/>
        </w:rPr>
        <w:t>using</w:t>
      </w:r>
      <w:r w:rsidR="00484011">
        <w:rPr>
          <w:rFonts w:asciiTheme="majorHAnsi" w:hAnsiTheme="majorHAnsi"/>
        </w:rPr>
        <w:t xml:space="preserve"> the Generic Information Collection mechanism </w:t>
      </w:r>
      <w:r w:rsidR="009252DC">
        <w:rPr>
          <w:rFonts w:asciiTheme="majorHAnsi" w:hAnsiTheme="majorHAnsi"/>
        </w:rPr>
        <w:t xml:space="preserve">of the OSTLTS </w:t>
      </w:r>
      <w:r w:rsidR="00C3652C">
        <w:rPr>
          <w:rFonts w:asciiTheme="majorHAnsi" w:hAnsiTheme="majorHAnsi"/>
        </w:rPr>
        <w:t>OMB Clearance</w:t>
      </w:r>
      <w:r w:rsidR="009252DC">
        <w:rPr>
          <w:rFonts w:asciiTheme="majorHAnsi" w:hAnsiTheme="majorHAnsi"/>
        </w:rPr>
        <w:t xml:space="preserve"> Center (O</w:t>
      </w:r>
      <w:r w:rsidR="00C3652C">
        <w:rPr>
          <w:rFonts w:asciiTheme="majorHAnsi" w:hAnsiTheme="majorHAnsi"/>
        </w:rPr>
        <w:t>2</w:t>
      </w:r>
      <w:r w:rsidR="009252DC">
        <w:rPr>
          <w:rFonts w:asciiTheme="majorHAnsi" w:hAnsiTheme="majorHAnsi"/>
        </w:rPr>
        <w:t>C</w:t>
      </w:r>
      <w:r w:rsidR="00C3652C">
        <w:rPr>
          <w:rFonts w:asciiTheme="majorHAnsi" w:hAnsiTheme="majorHAnsi"/>
        </w:rPr>
        <w:t>2</w:t>
      </w:r>
      <w:r w:rsidR="009252DC">
        <w:rPr>
          <w:rFonts w:asciiTheme="majorHAnsi" w:hAnsiTheme="majorHAnsi"/>
        </w:rPr>
        <w:t xml:space="preserve">) </w:t>
      </w:r>
      <w:r w:rsidR="00484011">
        <w:rPr>
          <w:rFonts w:asciiTheme="majorHAnsi" w:hAnsiTheme="majorHAnsi"/>
        </w:rPr>
        <w:t>– OMB No. 0920-0879</w:t>
      </w:r>
      <w:r>
        <w:rPr>
          <w:rFonts w:asciiTheme="majorHAnsi" w:hAnsiTheme="majorHAnsi"/>
        </w:rPr>
        <w:t>.</w:t>
      </w:r>
      <w:r w:rsidR="009252DC">
        <w:rPr>
          <w:rFonts w:asciiTheme="majorHAnsi" w:hAnsiTheme="majorHAnsi"/>
        </w:rPr>
        <w:t xml:space="preserve"> </w:t>
      </w:r>
      <w:r w:rsidR="002B4606">
        <w:rPr>
          <w:rFonts w:asciiTheme="majorHAnsi" w:hAnsiTheme="majorHAnsi"/>
        </w:rPr>
        <w:t xml:space="preserve">The data collection clearance request is for one year.  </w:t>
      </w:r>
      <w:r w:rsidR="009252DC">
        <w:rPr>
          <w:rFonts w:asciiTheme="majorHAnsi" w:hAnsiTheme="majorHAnsi"/>
        </w:rPr>
        <w:t xml:space="preserve">Data will be collected </w:t>
      </w:r>
      <w:r w:rsidR="001343E9">
        <w:rPr>
          <w:rFonts w:asciiTheme="majorHAnsi" w:hAnsiTheme="majorHAnsi"/>
        </w:rPr>
        <w:t xml:space="preserve">across all 50 states </w:t>
      </w:r>
      <w:r w:rsidR="00943562">
        <w:rPr>
          <w:rFonts w:asciiTheme="majorHAnsi" w:hAnsiTheme="majorHAnsi"/>
        </w:rPr>
        <w:t xml:space="preserve">from </w:t>
      </w:r>
      <w:r w:rsidR="005739D6">
        <w:rPr>
          <w:rFonts w:asciiTheme="majorHAnsi" w:hAnsiTheme="majorHAnsi"/>
        </w:rPr>
        <w:t xml:space="preserve">100 </w:t>
      </w:r>
      <w:bookmarkStart w:id="0" w:name="_GoBack"/>
      <w:bookmarkEnd w:id="0"/>
      <w:r w:rsidR="00943562" w:rsidRPr="00943562">
        <w:rPr>
          <w:rFonts w:asciiTheme="majorHAnsi" w:hAnsiTheme="majorHAnsi"/>
        </w:rPr>
        <w:t>environmental health staff at state, local, and tribal environmental health</w:t>
      </w:r>
      <w:r w:rsidR="00537079">
        <w:rPr>
          <w:rFonts w:asciiTheme="majorHAnsi" w:hAnsiTheme="majorHAnsi"/>
        </w:rPr>
        <w:t xml:space="preserve"> </w:t>
      </w:r>
      <w:r w:rsidR="00943562" w:rsidRPr="00943562">
        <w:rPr>
          <w:rFonts w:asciiTheme="majorHAnsi" w:hAnsiTheme="majorHAnsi"/>
        </w:rPr>
        <w:t xml:space="preserve">and agricultural </w:t>
      </w:r>
      <w:r w:rsidR="00B42C1B">
        <w:rPr>
          <w:rFonts w:asciiTheme="majorHAnsi" w:hAnsiTheme="majorHAnsi"/>
        </w:rPr>
        <w:t>departments</w:t>
      </w:r>
      <w:r w:rsidR="00943562" w:rsidRPr="00943562">
        <w:rPr>
          <w:rFonts w:asciiTheme="majorHAnsi" w:hAnsiTheme="majorHAnsi"/>
        </w:rPr>
        <w:t xml:space="preserve"> who are government employees and who conduct </w:t>
      </w:r>
      <w:r w:rsidR="00943562">
        <w:rPr>
          <w:rFonts w:asciiTheme="majorHAnsi" w:hAnsiTheme="majorHAnsi"/>
        </w:rPr>
        <w:t>outreach to private well owners</w:t>
      </w:r>
      <w:r w:rsidR="005C1769">
        <w:rPr>
          <w:rFonts w:asciiTheme="majorHAnsi" w:hAnsiTheme="majorHAnsi"/>
        </w:rPr>
        <w:t>.</w:t>
      </w:r>
      <w:r w:rsidR="00956E28">
        <w:rPr>
          <w:rFonts w:asciiTheme="majorHAnsi" w:hAnsiTheme="majorHAnsi"/>
        </w:rPr>
        <w:t xml:space="preserve"> </w:t>
      </w:r>
      <w:r w:rsidR="001636E7" w:rsidRPr="001635C8">
        <w:rPr>
          <w:rFonts w:asciiTheme="majorHAnsi" w:hAnsiTheme="majorHAnsi"/>
        </w:rPr>
        <w:t>This data collection is authorized by Section 301 of the Public Health Service Act (42 U.S.C. 241).</w:t>
      </w:r>
    </w:p>
    <w:p w:rsidR="00D03F47" w:rsidRPr="001635C8" w:rsidRDefault="00D03F47" w:rsidP="001636E7">
      <w:pPr>
        <w:pStyle w:val="Header"/>
        <w:tabs>
          <w:tab w:val="clear" w:pos="4680"/>
        </w:tabs>
        <w:spacing w:line="276" w:lineRule="auto"/>
        <w:rPr>
          <w:rFonts w:asciiTheme="majorHAnsi" w:hAnsiTheme="majorHAnsi"/>
        </w:rPr>
      </w:pPr>
    </w:p>
    <w:p w:rsidR="00EB03AB" w:rsidRPr="001635C8" w:rsidRDefault="00812256" w:rsidP="001636E7">
      <w:pPr>
        <w:pStyle w:val="Header"/>
        <w:tabs>
          <w:tab w:val="clear" w:pos="4680"/>
        </w:tabs>
        <w:spacing w:line="276" w:lineRule="auto"/>
        <w:rPr>
          <w:rFonts w:asciiTheme="majorHAnsi" w:hAnsiTheme="majorHAnsi"/>
        </w:rPr>
      </w:pPr>
      <w:r w:rsidRPr="001635C8">
        <w:rPr>
          <w:rFonts w:asciiTheme="majorHAnsi" w:hAnsiTheme="majorHAnsi"/>
        </w:rPr>
        <w:t xml:space="preserve">As a drinking water source, groundwater may be generally safe, but there are many instances where groundwater or a </w:t>
      </w:r>
      <w:r w:rsidR="00DF0202">
        <w:rPr>
          <w:rFonts w:asciiTheme="majorHAnsi" w:hAnsiTheme="majorHAnsi"/>
        </w:rPr>
        <w:t xml:space="preserve">drinking water </w:t>
      </w:r>
      <w:r w:rsidRPr="001635C8">
        <w:rPr>
          <w:rFonts w:asciiTheme="majorHAnsi" w:hAnsiTheme="majorHAnsi"/>
        </w:rPr>
        <w:t>well have been contaminated from anthropogenic sources</w:t>
      </w:r>
      <w:r w:rsidR="00636732" w:rsidRPr="00636732">
        <w:rPr>
          <w:rFonts w:asciiTheme="majorHAnsi" w:hAnsiTheme="majorHAnsi"/>
          <w:vertAlign w:val="superscript"/>
        </w:rPr>
        <w:t>1,2,3,4</w:t>
      </w:r>
      <w:r w:rsidR="00636732">
        <w:rPr>
          <w:rFonts w:asciiTheme="majorHAnsi" w:hAnsiTheme="majorHAnsi"/>
        </w:rPr>
        <w:t xml:space="preserve">, </w:t>
      </w:r>
      <w:r w:rsidRPr="001635C8">
        <w:rPr>
          <w:rFonts w:asciiTheme="majorHAnsi" w:hAnsiTheme="majorHAnsi"/>
        </w:rPr>
        <w:t>where contaminants exist naturally in groundwater and can cause adverse health effects</w:t>
      </w:r>
      <w:r w:rsidR="00636732" w:rsidRPr="00636732">
        <w:rPr>
          <w:rFonts w:asciiTheme="majorHAnsi" w:hAnsiTheme="majorHAnsi"/>
          <w:vertAlign w:val="superscript"/>
        </w:rPr>
        <w:t>5,6</w:t>
      </w:r>
      <w:r w:rsidR="001908F4">
        <w:rPr>
          <w:rFonts w:asciiTheme="majorHAnsi" w:hAnsiTheme="majorHAnsi"/>
        </w:rPr>
        <w:t xml:space="preserve">, </w:t>
      </w:r>
      <w:r w:rsidR="00246CAA">
        <w:rPr>
          <w:rFonts w:asciiTheme="majorHAnsi" w:hAnsiTheme="majorHAnsi"/>
        </w:rPr>
        <w:t>or where a well has been compromised allowing contaminants to enter the well</w:t>
      </w:r>
      <w:r w:rsidR="001908F4" w:rsidRPr="001908F4">
        <w:rPr>
          <w:rFonts w:asciiTheme="majorHAnsi" w:hAnsiTheme="majorHAnsi"/>
          <w:vertAlign w:val="superscript"/>
        </w:rPr>
        <w:t>7</w:t>
      </w:r>
      <w:r w:rsidRPr="001635C8">
        <w:rPr>
          <w:rFonts w:asciiTheme="majorHAnsi" w:hAnsiTheme="majorHAnsi"/>
        </w:rPr>
        <w:t xml:space="preserve">. </w:t>
      </w:r>
      <w:r w:rsidR="00D03F47" w:rsidRPr="001635C8">
        <w:rPr>
          <w:rFonts w:asciiTheme="majorHAnsi" w:hAnsiTheme="majorHAnsi"/>
        </w:rPr>
        <w:t>Private well owners have historically assumed that their well water is safe to drink</w:t>
      </w:r>
      <w:r w:rsidR="001908F4" w:rsidRPr="001908F4">
        <w:rPr>
          <w:rFonts w:asciiTheme="majorHAnsi" w:hAnsiTheme="majorHAnsi"/>
          <w:vertAlign w:val="superscript"/>
        </w:rPr>
        <w:t>8,</w:t>
      </w:r>
      <w:r w:rsidR="002B4972">
        <w:rPr>
          <w:rFonts w:asciiTheme="majorHAnsi" w:hAnsiTheme="majorHAnsi"/>
          <w:vertAlign w:val="superscript"/>
        </w:rPr>
        <w:t xml:space="preserve"> </w:t>
      </w:r>
      <w:r w:rsidR="001908F4" w:rsidRPr="001908F4">
        <w:rPr>
          <w:rFonts w:asciiTheme="majorHAnsi" w:hAnsiTheme="majorHAnsi"/>
          <w:vertAlign w:val="superscript"/>
        </w:rPr>
        <w:t>9</w:t>
      </w:r>
      <w:r w:rsidR="00AB66C8">
        <w:rPr>
          <w:rFonts w:asciiTheme="majorHAnsi" w:hAnsiTheme="majorHAnsi"/>
        </w:rPr>
        <w:t xml:space="preserve">. </w:t>
      </w:r>
      <w:r w:rsidR="00D03F47" w:rsidRPr="001635C8">
        <w:rPr>
          <w:rFonts w:asciiTheme="majorHAnsi" w:hAnsiTheme="majorHAnsi"/>
        </w:rPr>
        <w:t xml:space="preserve">This happens for various reasons, including a long history of using the well, the assumption that groundwater is a protected resource, </w:t>
      </w:r>
      <w:r w:rsidRPr="001635C8">
        <w:rPr>
          <w:rFonts w:asciiTheme="majorHAnsi" w:hAnsiTheme="majorHAnsi"/>
        </w:rPr>
        <w:t>or that being in a rural setting protects their drinking water source, to name a few</w:t>
      </w:r>
      <w:r w:rsidR="001908F4" w:rsidRPr="001908F4">
        <w:rPr>
          <w:rFonts w:asciiTheme="majorHAnsi" w:hAnsiTheme="majorHAnsi"/>
          <w:vertAlign w:val="superscript"/>
        </w:rPr>
        <w:t>8</w:t>
      </w:r>
      <w:r w:rsidRPr="001635C8">
        <w:rPr>
          <w:rFonts w:asciiTheme="majorHAnsi" w:hAnsiTheme="majorHAnsi"/>
        </w:rPr>
        <w:t xml:space="preserve">. </w:t>
      </w:r>
      <w:r w:rsidR="00EB03AB" w:rsidRPr="001635C8">
        <w:rPr>
          <w:rFonts w:asciiTheme="majorHAnsi" w:hAnsiTheme="majorHAnsi"/>
        </w:rPr>
        <w:t>Because of these and other reasons</w:t>
      </w:r>
      <w:r w:rsidR="00DB4040">
        <w:rPr>
          <w:rFonts w:asciiTheme="majorHAnsi" w:hAnsiTheme="majorHAnsi"/>
        </w:rPr>
        <w:t xml:space="preserve"> that are not well understood</w:t>
      </w:r>
      <w:r w:rsidR="00EB03AB" w:rsidRPr="001635C8">
        <w:rPr>
          <w:rFonts w:asciiTheme="majorHAnsi" w:hAnsiTheme="majorHAnsi"/>
        </w:rPr>
        <w:t>, well owners don’t typically test their well water, even when efforts to promote testing or</w:t>
      </w:r>
      <w:r w:rsidR="004A26D6">
        <w:rPr>
          <w:rFonts w:asciiTheme="majorHAnsi" w:hAnsiTheme="majorHAnsi"/>
        </w:rPr>
        <w:t xml:space="preserve"> to</w:t>
      </w:r>
      <w:r w:rsidR="00EB03AB" w:rsidRPr="001635C8">
        <w:rPr>
          <w:rFonts w:asciiTheme="majorHAnsi" w:hAnsiTheme="majorHAnsi"/>
        </w:rPr>
        <w:t xml:space="preserve"> provide testing have been undertaken.</w:t>
      </w:r>
    </w:p>
    <w:p w:rsidR="00EB03AB" w:rsidRPr="001635C8" w:rsidRDefault="00EB03AB" w:rsidP="001636E7">
      <w:pPr>
        <w:pStyle w:val="Header"/>
        <w:tabs>
          <w:tab w:val="clear" w:pos="4680"/>
        </w:tabs>
        <w:spacing w:line="276" w:lineRule="auto"/>
        <w:rPr>
          <w:rFonts w:asciiTheme="majorHAnsi" w:hAnsiTheme="majorHAnsi"/>
        </w:rPr>
      </w:pPr>
    </w:p>
    <w:p w:rsidR="00812256" w:rsidRPr="001635C8" w:rsidRDefault="00D03F47" w:rsidP="001636E7">
      <w:pPr>
        <w:pStyle w:val="Header"/>
        <w:tabs>
          <w:tab w:val="clear" w:pos="4680"/>
        </w:tabs>
        <w:spacing w:line="276" w:lineRule="auto"/>
        <w:rPr>
          <w:rFonts w:asciiTheme="majorHAnsi" w:hAnsiTheme="majorHAnsi"/>
        </w:rPr>
      </w:pPr>
      <w:r w:rsidRPr="001635C8">
        <w:rPr>
          <w:rFonts w:asciiTheme="majorHAnsi" w:hAnsiTheme="majorHAnsi"/>
        </w:rPr>
        <w:t xml:space="preserve">There is a great need among </w:t>
      </w:r>
      <w:r w:rsidR="00943562" w:rsidRPr="00943562">
        <w:rPr>
          <w:rFonts w:asciiTheme="majorHAnsi" w:hAnsiTheme="majorHAnsi"/>
        </w:rPr>
        <w:t xml:space="preserve">environmental health staff at state, local, and tribal environmental health and agricultural </w:t>
      </w:r>
      <w:r w:rsidR="00B42C1B">
        <w:rPr>
          <w:rFonts w:asciiTheme="majorHAnsi" w:hAnsiTheme="majorHAnsi"/>
        </w:rPr>
        <w:t>departments</w:t>
      </w:r>
      <w:r w:rsidR="00943562" w:rsidRPr="00943562">
        <w:rPr>
          <w:rFonts w:asciiTheme="majorHAnsi" w:hAnsiTheme="majorHAnsi"/>
        </w:rPr>
        <w:t xml:space="preserve"> who conduct </w:t>
      </w:r>
      <w:r w:rsidR="00943562">
        <w:rPr>
          <w:rFonts w:asciiTheme="majorHAnsi" w:hAnsiTheme="majorHAnsi"/>
        </w:rPr>
        <w:t xml:space="preserve">outreach to private well owners </w:t>
      </w:r>
      <w:r w:rsidRPr="001635C8">
        <w:rPr>
          <w:rFonts w:asciiTheme="majorHAnsi" w:hAnsiTheme="majorHAnsi"/>
        </w:rPr>
        <w:t xml:space="preserve">to </w:t>
      </w:r>
      <w:r w:rsidR="00943562">
        <w:rPr>
          <w:rFonts w:asciiTheme="majorHAnsi" w:hAnsiTheme="majorHAnsi"/>
        </w:rPr>
        <w:t xml:space="preserve">1) </w:t>
      </w:r>
      <w:r w:rsidRPr="001635C8">
        <w:rPr>
          <w:rFonts w:asciiTheme="majorHAnsi" w:hAnsiTheme="majorHAnsi"/>
        </w:rPr>
        <w:t xml:space="preserve">better understand </w:t>
      </w:r>
      <w:r w:rsidR="00812256" w:rsidRPr="001635C8">
        <w:rPr>
          <w:rFonts w:asciiTheme="majorHAnsi" w:hAnsiTheme="majorHAnsi"/>
        </w:rPr>
        <w:t>the motivations</w:t>
      </w:r>
      <w:r w:rsidR="00420FB9" w:rsidRPr="001635C8">
        <w:rPr>
          <w:rFonts w:asciiTheme="majorHAnsi" w:hAnsiTheme="majorHAnsi"/>
        </w:rPr>
        <w:t xml:space="preserve"> </w:t>
      </w:r>
      <w:r w:rsidR="00812256" w:rsidRPr="001635C8">
        <w:rPr>
          <w:rFonts w:asciiTheme="majorHAnsi" w:hAnsiTheme="majorHAnsi"/>
        </w:rPr>
        <w:t xml:space="preserve">for testing private wells and </w:t>
      </w:r>
      <w:r w:rsidR="00943562">
        <w:rPr>
          <w:rFonts w:asciiTheme="majorHAnsi" w:hAnsiTheme="majorHAnsi"/>
        </w:rPr>
        <w:t xml:space="preserve">2) </w:t>
      </w:r>
      <w:r w:rsidR="00812256" w:rsidRPr="001635C8">
        <w:rPr>
          <w:rFonts w:asciiTheme="majorHAnsi" w:hAnsiTheme="majorHAnsi"/>
        </w:rPr>
        <w:t xml:space="preserve">what methods might be most effective at encouraging private well owners to test their well water. </w:t>
      </w:r>
      <w:r w:rsidR="00D57DA8">
        <w:rPr>
          <w:rFonts w:asciiTheme="majorHAnsi" w:hAnsiTheme="majorHAnsi"/>
        </w:rPr>
        <w:t>Well owners tend to be complacent and perceive their well water to be safe, or they lack awareness of the issues associated with private well water quality</w:t>
      </w:r>
      <w:r w:rsidR="00177222" w:rsidRPr="00BD09FE">
        <w:rPr>
          <w:rFonts w:asciiTheme="majorHAnsi" w:hAnsiTheme="majorHAnsi"/>
          <w:vertAlign w:val="superscript"/>
        </w:rPr>
        <w:t>8,</w:t>
      </w:r>
      <w:r w:rsidR="00C54555">
        <w:rPr>
          <w:rFonts w:asciiTheme="majorHAnsi" w:hAnsiTheme="majorHAnsi"/>
          <w:vertAlign w:val="superscript"/>
        </w:rPr>
        <w:t xml:space="preserve"> </w:t>
      </w:r>
      <w:r w:rsidR="00177222" w:rsidRPr="00BD09FE">
        <w:rPr>
          <w:rFonts w:asciiTheme="majorHAnsi" w:hAnsiTheme="majorHAnsi"/>
          <w:vertAlign w:val="superscript"/>
        </w:rPr>
        <w:t>11,</w:t>
      </w:r>
      <w:r w:rsidR="00C54555">
        <w:rPr>
          <w:rFonts w:asciiTheme="majorHAnsi" w:hAnsiTheme="majorHAnsi"/>
          <w:vertAlign w:val="superscript"/>
        </w:rPr>
        <w:t xml:space="preserve"> </w:t>
      </w:r>
      <w:proofErr w:type="gramStart"/>
      <w:r w:rsidR="00177222" w:rsidRPr="00BD09FE">
        <w:rPr>
          <w:rFonts w:asciiTheme="majorHAnsi" w:hAnsiTheme="majorHAnsi"/>
          <w:vertAlign w:val="superscript"/>
        </w:rPr>
        <w:t>12</w:t>
      </w:r>
      <w:proofErr w:type="gramEnd"/>
      <w:r w:rsidR="00D57DA8">
        <w:rPr>
          <w:rFonts w:asciiTheme="majorHAnsi" w:hAnsiTheme="majorHAnsi"/>
        </w:rPr>
        <w:t>.  In other cases, well owners</w:t>
      </w:r>
      <w:r w:rsidR="00812256" w:rsidRPr="001635C8">
        <w:rPr>
          <w:rFonts w:asciiTheme="majorHAnsi" w:hAnsiTheme="majorHAnsi"/>
        </w:rPr>
        <w:t xml:space="preserve"> </w:t>
      </w:r>
      <w:r w:rsidR="00D57DA8">
        <w:rPr>
          <w:rFonts w:asciiTheme="majorHAnsi" w:hAnsiTheme="majorHAnsi"/>
        </w:rPr>
        <w:t>assume they can’t afford to test their well water or procrastinate because of the fear of costs, findings, or they don’t understand a threat actually exists</w:t>
      </w:r>
      <w:r w:rsidR="00D57DA8" w:rsidRPr="00BD09FE">
        <w:rPr>
          <w:rFonts w:asciiTheme="majorHAnsi" w:hAnsiTheme="majorHAnsi"/>
          <w:vertAlign w:val="superscript"/>
        </w:rPr>
        <w:t>8,</w:t>
      </w:r>
      <w:r w:rsidR="00C54555">
        <w:rPr>
          <w:rFonts w:asciiTheme="majorHAnsi" w:hAnsiTheme="majorHAnsi"/>
          <w:vertAlign w:val="superscript"/>
        </w:rPr>
        <w:t xml:space="preserve"> </w:t>
      </w:r>
      <w:r w:rsidR="00BD09FE" w:rsidRPr="00BD09FE">
        <w:rPr>
          <w:rFonts w:asciiTheme="majorHAnsi" w:hAnsiTheme="majorHAnsi"/>
          <w:vertAlign w:val="superscript"/>
        </w:rPr>
        <w:t>12, 13</w:t>
      </w:r>
      <w:r w:rsidR="00D57DA8">
        <w:rPr>
          <w:rFonts w:asciiTheme="majorHAnsi" w:hAnsiTheme="majorHAnsi"/>
        </w:rPr>
        <w:t xml:space="preserve">. </w:t>
      </w:r>
      <w:r w:rsidR="00812256" w:rsidRPr="001635C8">
        <w:rPr>
          <w:rFonts w:asciiTheme="majorHAnsi" w:hAnsiTheme="majorHAnsi"/>
        </w:rPr>
        <w:t xml:space="preserve">There have been many </w:t>
      </w:r>
      <w:proofErr w:type="gramStart"/>
      <w:r w:rsidR="00943562">
        <w:rPr>
          <w:rFonts w:asciiTheme="majorHAnsi" w:hAnsiTheme="majorHAnsi"/>
        </w:rPr>
        <w:t>state</w:t>
      </w:r>
      <w:proofErr w:type="gramEnd"/>
      <w:r w:rsidR="00943562">
        <w:rPr>
          <w:rFonts w:asciiTheme="majorHAnsi" w:hAnsiTheme="majorHAnsi"/>
        </w:rPr>
        <w:t>, local, and tribal</w:t>
      </w:r>
      <w:r w:rsidR="00812256" w:rsidRPr="001635C8">
        <w:rPr>
          <w:rFonts w:asciiTheme="majorHAnsi" w:hAnsiTheme="majorHAnsi"/>
        </w:rPr>
        <w:t xml:space="preserve"> </w:t>
      </w:r>
      <w:r w:rsidR="00943562">
        <w:rPr>
          <w:rFonts w:asciiTheme="majorHAnsi" w:hAnsiTheme="majorHAnsi"/>
        </w:rPr>
        <w:t>outreach programs conducted by environmental health staff</w:t>
      </w:r>
      <w:r w:rsidR="00943562" w:rsidRPr="001635C8">
        <w:rPr>
          <w:rFonts w:asciiTheme="majorHAnsi" w:hAnsiTheme="majorHAnsi"/>
        </w:rPr>
        <w:t xml:space="preserve"> </w:t>
      </w:r>
      <w:r w:rsidR="00812256" w:rsidRPr="001635C8">
        <w:rPr>
          <w:rFonts w:asciiTheme="majorHAnsi" w:hAnsiTheme="majorHAnsi"/>
        </w:rPr>
        <w:t>to educate the owners of private wells about the risks involved with well water</w:t>
      </w:r>
      <w:r w:rsidR="001908F4" w:rsidRPr="001908F4">
        <w:rPr>
          <w:rFonts w:asciiTheme="majorHAnsi" w:hAnsiTheme="majorHAnsi"/>
          <w:vertAlign w:val="superscript"/>
        </w:rPr>
        <w:t>10</w:t>
      </w:r>
      <w:r w:rsidR="00812256" w:rsidRPr="001635C8">
        <w:rPr>
          <w:rFonts w:asciiTheme="majorHAnsi" w:hAnsiTheme="majorHAnsi"/>
        </w:rPr>
        <w:t xml:space="preserve">. </w:t>
      </w:r>
      <w:r w:rsidR="008E03D4">
        <w:rPr>
          <w:rFonts w:asciiTheme="majorHAnsi" w:hAnsiTheme="majorHAnsi"/>
        </w:rPr>
        <w:t>In most</w:t>
      </w:r>
      <w:r w:rsidR="00EB03AB" w:rsidRPr="001635C8">
        <w:rPr>
          <w:rFonts w:asciiTheme="majorHAnsi" w:hAnsiTheme="majorHAnsi"/>
        </w:rPr>
        <w:t xml:space="preserve"> cases</w:t>
      </w:r>
      <w:r w:rsidR="008E03D4">
        <w:rPr>
          <w:rFonts w:asciiTheme="majorHAnsi" w:hAnsiTheme="majorHAnsi"/>
        </w:rPr>
        <w:t>,</w:t>
      </w:r>
      <w:r w:rsidR="00EB03AB" w:rsidRPr="001635C8">
        <w:rPr>
          <w:rFonts w:asciiTheme="majorHAnsi" w:hAnsiTheme="majorHAnsi"/>
        </w:rPr>
        <w:t xml:space="preserve"> information on the success of </w:t>
      </w:r>
      <w:r w:rsidR="008E03D4">
        <w:rPr>
          <w:rFonts w:asciiTheme="majorHAnsi" w:hAnsiTheme="majorHAnsi"/>
        </w:rPr>
        <w:t xml:space="preserve">these </w:t>
      </w:r>
      <w:r w:rsidR="00EB03AB" w:rsidRPr="001635C8">
        <w:rPr>
          <w:rFonts w:asciiTheme="majorHAnsi" w:hAnsiTheme="majorHAnsi"/>
        </w:rPr>
        <w:t>program</w:t>
      </w:r>
      <w:r w:rsidR="008E03D4">
        <w:rPr>
          <w:rFonts w:asciiTheme="majorHAnsi" w:hAnsiTheme="majorHAnsi"/>
        </w:rPr>
        <w:t>s</w:t>
      </w:r>
      <w:r w:rsidR="00EB03AB" w:rsidRPr="001635C8">
        <w:rPr>
          <w:rFonts w:asciiTheme="majorHAnsi" w:hAnsiTheme="majorHAnsi"/>
        </w:rPr>
        <w:t xml:space="preserve"> is not available. </w:t>
      </w:r>
      <w:r w:rsidR="008E03D4">
        <w:rPr>
          <w:rFonts w:asciiTheme="majorHAnsi" w:hAnsiTheme="majorHAnsi"/>
        </w:rPr>
        <w:t xml:space="preserve">They are often </w:t>
      </w:r>
      <w:r w:rsidR="00EB03AB" w:rsidRPr="001635C8">
        <w:rPr>
          <w:rFonts w:asciiTheme="majorHAnsi" w:hAnsiTheme="majorHAnsi"/>
        </w:rPr>
        <w:t xml:space="preserve">local in scope and the results of their efforts are not published. Because of this, the success of many of these programs is unknown, except to the </w:t>
      </w:r>
      <w:r w:rsidR="006D2CA9">
        <w:rPr>
          <w:rFonts w:asciiTheme="majorHAnsi" w:hAnsiTheme="majorHAnsi"/>
        </w:rPr>
        <w:t>environmental health staff at state, local, and tribal environmental health and agricultural departments who are government employees and who conduct outreach to private well owners who</w:t>
      </w:r>
      <w:r w:rsidR="00EB03AB" w:rsidRPr="001635C8">
        <w:rPr>
          <w:rFonts w:asciiTheme="majorHAnsi" w:hAnsiTheme="majorHAnsi"/>
        </w:rPr>
        <w:t xml:space="preserve"> conducted the program.</w:t>
      </w:r>
    </w:p>
    <w:p w:rsidR="00C8648C" w:rsidRPr="001635C8" w:rsidRDefault="00C8648C" w:rsidP="001636E7">
      <w:pPr>
        <w:pStyle w:val="Header"/>
        <w:tabs>
          <w:tab w:val="clear" w:pos="4680"/>
        </w:tabs>
        <w:spacing w:line="276" w:lineRule="auto"/>
        <w:rPr>
          <w:rFonts w:asciiTheme="majorHAnsi" w:hAnsiTheme="majorHAnsi"/>
        </w:rPr>
      </w:pPr>
    </w:p>
    <w:p w:rsidR="002B618F" w:rsidRPr="001635C8" w:rsidRDefault="002B618F" w:rsidP="002B618F">
      <w:pPr>
        <w:pStyle w:val="Header"/>
        <w:tabs>
          <w:tab w:val="clear" w:pos="4680"/>
        </w:tabs>
        <w:spacing w:line="276" w:lineRule="auto"/>
        <w:rPr>
          <w:rFonts w:asciiTheme="majorHAnsi" w:hAnsiTheme="majorHAnsi"/>
        </w:rPr>
      </w:pPr>
      <w:r>
        <w:rPr>
          <w:rFonts w:asciiTheme="majorHAnsi" w:hAnsiTheme="majorHAnsi"/>
        </w:rPr>
        <w:t>To this end, The University of Illinois (UI) was successful in securing a contract from CDC to identify and assess effective educational campaigns for private well owners. The goal of the project is to identify the types</w:t>
      </w:r>
      <w:r w:rsidR="00BF038D">
        <w:rPr>
          <w:rFonts w:ascii="Arial" w:hAnsi="Arial" w:cs="Arial"/>
          <w:color w:val="545454"/>
          <w:shd w:val="clear" w:color="auto" w:fill="FFFFFF"/>
        </w:rPr>
        <w:t>—</w:t>
      </w:r>
      <w:r>
        <w:rPr>
          <w:rFonts w:asciiTheme="majorHAnsi" w:hAnsiTheme="majorHAnsi"/>
        </w:rPr>
        <w:t>and provide examples of</w:t>
      </w:r>
      <w:r w:rsidR="00BF038D">
        <w:rPr>
          <w:rFonts w:ascii="Arial" w:hAnsi="Arial" w:cs="Arial"/>
          <w:color w:val="545454"/>
          <w:shd w:val="clear" w:color="auto" w:fill="FFFFFF"/>
        </w:rPr>
        <w:t>—</w:t>
      </w:r>
      <w:r>
        <w:rPr>
          <w:rFonts w:asciiTheme="majorHAnsi" w:hAnsiTheme="majorHAnsi"/>
        </w:rPr>
        <w:t xml:space="preserve">educational campaigns that are most effective at getting homeowners to regularly test their wells. </w:t>
      </w:r>
      <w:r w:rsidRPr="001635C8">
        <w:rPr>
          <w:rFonts w:asciiTheme="majorHAnsi" w:hAnsiTheme="majorHAnsi"/>
        </w:rPr>
        <w:t xml:space="preserve">The </w:t>
      </w:r>
      <w:r>
        <w:rPr>
          <w:rFonts w:asciiTheme="majorHAnsi" w:hAnsiTheme="majorHAnsi"/>
        </w:rPr>
        <w:t>UI</w:t>
      </w:r>
      <w:r w:rsidRPr="001635C8">
        <w:rPr>
          <w:rFonts w:asciiTheme="majorHAnsi" w:hAnsiTheme="majorHAnsi"/>
        </w:rPr>
        <w:t xml:space="preserve"> has developed a successful online class for well owners, The Private Well Class, to educate well owners about the responsibilities of owning </w:t>
      </w:r>
      <w:r w:rsidRPr="001635C8">
        <w:rPr>
          <w:rFonts w:asciiTheme="majorHAnsi" w:hAnsiTheme="majorHAnsi"/>
        </w:rPr>
        <w:lastRenderedPageBreak/>
        <w:t xml:space="preserve">and using a private well. Through that effort, the UI has developed a database of </w:t>
      </w:r>
      <w:r w:rsidR="00BF038D" w:rsidRPr="00943562">
        <w:rPr>
          <w:rFonts w:asciiTheme="majorHAnsi" w:hAnsiTheme="majorHAnsi"/>
        </w:rPr>
        <w:t xml:space="preserve">state, local, and tribal environmental health and agricultural </w:t>
      </w:r>
      <w:r w:rsidR="00C54555">
        <w:rPr>
          <w:rFonts w:asciiTheme="majorHAnsi" w:hAnsiTheme="majorHAnsi"/>
        </w:rPr>
        <w:t>departments</w:t>
      </w:r>
      <w:r w:rsidR="00BF038D">
        <w:rPr>
          <w:rFonts w:asciiTheme="majorHAnsi" w:hAnsiTheme="majorHAnsi"/>
        </w:rPr>
        <w:t>.</w:t>
      </w:r>
      <w:r w:rsidRPr="001635C8">
        <w:rPr>
          <w:rFonts w:asciiTheme="majorHAnsi" w:hAnsiTheme="majorHAnsi"/>
        </w:rPr>
        <w:t xml:space="preserve"> </w:t>
      </w:r>
      <w:r>
        <w:rPr>
          <w:rFonts w:asciiTheme="majorHAnsi" w:hAnsiTheme="majorHAnsi"/>
        </w:rPr>
        <w:t>T</w:t>
      </w:r>
      <w:r w:rsidRPr="001635C8">
        <w:rPr>
          <w:rFonts w:asciiTheme="majorHAnsi" w:hAnsiTheme="majorHAnsi"/>
        </w:rPr>
        <w:t xml:space="preserve">he UI will solicit input from </w:t>
      </w:r>
      <w:r w:rsidR="00BF038D">
        <w:rPr>
          <w:rFonts w:asciiTheme="majorHAnsi" w:hAnsiTheme="majorHAnsi"/>
        </w:rPr>
        <w:t xml:space="preserve">environmental health staff at these </w:t>
      </w:r>
      <w:r w:rsidR="00C54555">
        <w:rPr>
          <w:rFonts w:asciiTheme="majorHAnsi" w:hAnsiTheme="majorHAnsi"/>
        </w:rPr>
        <w:t>departments</w:t>
      </w:r>
      <w:r w:rsidR="00BF038D">
        <w:rPr>
          <w:rFonts w:asciiTheme="majorHAnsi" w:hAnsiTheme="majorHAnsi"/>
        </w:rPr>
        <w:t xml:space="preserve"> who are </w:t>
      </w:r>
      <w:r>
        <w:rPr>
          <w:rFonts w:asciiTheme="majorHAnsi" w:hAnsiTheme="majorHAnsi"/>
        </w:rPr>
        <w:t>government</w:t>
      </w:r>
      <w:r w:rsidRPr="001635C8">
        <w:rPr>
          <w:rFonts w:asciiTheme="majorHAnsi" w:hAnsiTheme="majorHAnsi"/>
        </w:rPr>
        <w:t xml:space="preserve"> </w:t>
      </w:r>
      <w:r>
        <w:rPr>
          <w:rFonts w:asciiTheme="majorHAnsi" w:hAnsiTheme="majorHAnsi"/>
        </w:rPr>
        <w:t xml:space="preserve">officials </w:t>
      </w:r>
      <w:r w:rsidR="00BF038D">
        <w:rPr>
          <w:rFonts w:asciiTheme="majorHAnsi" w:hAnsiTheme="majorHAnsi"/>
        </w:rPr>
        <w:t>and who conduct outreach to private well owners</w:t>
      </w:r>
      <w:r>
        <w:rPr>
          <w:rFonts w:asciiTheme="majorHAnsi" w:hAnsiTheme="majorHAnsi"/>
        </w:rPr>
        <w:t xml:space="preserve"> via</w:t>
      </w:r>
      <w:r w:rsidRPr="001635C8">
        <w:rPr>
          <w:rFonts w:asciiTheme="majorHAnsi" w:hAnsiTheme="majorHAnsi"/>
        </w:rPr>
        <w:t xml:space="preserve"> an online</w:t>
      </w:r>
      <w:r>
        <w:rPr>
          <w:rFonts w:asciiTheme="majorHAnsi" w:hAnsiTheme="majorHAnsi"/>
        </w:rPr>
        <w:t xml:space="preserve"> information collection. The UI will </w:t>
      </w:r>
      <w:r w:rsidR="00943562">
        <w:rPr>
          <w:rFonts w:asciiTheme="majorHAnsi" w:hAnsiTheme="majorHAnsi"/>
        </w:rPr>
        <w:t>use the data from this information collection t</w:t>
      </w:r>
      <w:r w:rsidRPr="001635C8">
        <w:rPr>
          <w:rFonts w:asciiTheme="majorHAnsi" w:hAnsiTheme="majorHAnsi"/>
        </w:rPr>
        <w:t>o</w:t>
      </w:r>
      <w:r>
        <w:rPr>
          <w:rFonts w:asciiTheme="majorHAnsi" w:hAnsiTheme="majorHAnsi"/>
        </w:rPr>
        <w:t xml:space="preserve"> understand</w:t>
      </w:r>
      <w:r w:rsidRPr="001635C8">
        <w:rPr>
          <w:rFonts w:asciiTheme="majorHAnsi" w:hAnsiTheme="majorHAnsi"/>
        </w:rPr>
        <w:t xml:space="preserve"> what factors influenced success at engaging private well owners. </w:t>
      </w:r>
    </w:p>
    <w:p w:rsidR="002B618F" w:rsidRDefault="002B618F" w:rsidP="001636E7">
      <w:pPr>
        <w:pStyle w:val="Header"/>
        <w:tabs>
          <w:tab w:val="clear" w:pos="4680"/>
        </w:tabs>
        <w:spacing w:line="276" w:lineRule="auto"/>
        <w:rPr>
          <w:rFonts w:asciiTheme="majorHAnsi" w:hAnsiTheme="majorHAnsi"/>
        </w:rPr>
      </w:pPr>
    </w:p>
    <w:p w:rsidR="00C8648C" w:rsidRPr="001635C8" w:rsidRDefault="00C8648C" w:rsidP="001636E7">
      <w:pPr>
        <w:pStyle w:val="Header"/>
        <w:tabs>
          <w:tab w:val="clear" w:pos="4680"/>
        </w:tabs>
        <w:spacing w:line="276" w:lineRule="auto"/>
        <w:rPr>
          <w:rFonts w:asciiTheme="majorHAnsi" w:hAnsiTheme="majorHAnsi"/>
        </w:rPr>
      </w:pPr>
      <w:r w:rsidRPr="001635C8">
        <w:rPr>
          <w:rFonts w:asciiTheme="majorHAnsi" w:hAnsiTheme="majorHAnsi"/>
        </w:rPr>
        <w:t>This information collection is necessary to better understand what methods have been used to encourage well testing and what success has been achieved</w:t>
      </w:r>
      <w:r w:rsidR="006C3E46">
        <w:rPr>
          <w:rFonts w:asciiTheme="majorHAnsi" w:hAnsiTheme="majorHAnsi"/>
        </w:rPr>
        <w:t>. T</w:t>
      </w:r>
      <w:r w:rsidRPr="001635C8">
        <w:rPr>
          <w:rFonts w:asciiTheme="majorHAnsi" w:hAnsiTheme="majorHAnsi"/>
        </w:rPr>
        <w:t xml:space="preserve">he goal </w:t>
      </w:r>
      <w:r w:rsidR="006C3E46">
        <w:rPr>
          <w:rFonts w:asciiTheme="majorHAnsi" w:hAnsiTheme="majorHAnsi"/>
        </w:rPr>
        <w:t>is to</w:t>
      </w:r>
      <w:r w:rsidRPr="001635C8">
        <w:rPr>
          <w:rFonts w:asciiTheme="majorHAnsi" w:hAnsiTheme="majorHAnsi"/>
        </w:rPr>
        <w:t xml:space="preserve"> determine the most effective and successful</w:t>
      </w:r>
      <w:r w:rsidR="00BF038D">
        <w:rPr>
          <w:rFonts w:asciiTheme="majorHAnsi" w:hAnsiTheme="majorHAnsi"/>
        </w:rPr>
        <w:t xml:space="preserve"> </w:t>
      </w:r>
      <w:r w:rsidRPr="001635C8">
        <w:rPr>
          <w:rFonts w:asciiTheme="majorHAnsi" w:hAnsiTheme="majorHAnsi"/>
        </w:rPr>
        <w:t xml:space="preserve">approaches </w:t>
      </w:r>
      <w:r w:rsidR="007930B1">
        <w:rPr>
          <w:rFonts w:asciiTheme="majorHAnsi" w:hAnsiTheme="majorHAnsi"/>
        </w:rPr>
        <w:t>that have been used by environmental health and agricultural</w:t>
      </w:r>
      <w:r w:rsidR="00BF038D">
        <w:rPr>
          <w:rFonts w:asciiTheme="majorHAnsi" w:hAnsiTheme="majorHAnsi"/>
        </w:rPr>
        <w:t xml:space="preserve"> </w:t>
      </w:r>
      <w:r w:rsidR="00C54555">
        <w:rPr>
          <w:rFonts w:asciiTheme="majorHAnsi" w:hAnsiTheme="majorHAnsi"/>
        </w:rPr>
        <w:t>departments</w:t>
      </w:r>
      <w:r w:rsidR="00BF038D">
        <w:rPr>
          <w:rFonts w:asciiTheme="majorHAnsi" w:hAnsiTheme="majorHAnsi"/>
        </w:rPr>
        <w:t xml:space="preserve"> </w:t>
      </w:r>
      <w:r w:rsidRPr="001635C8">
        <w:rPr>
          <w:rFonts w:asciiTheme="majorHAnsi" w:hAnsiTheme="majorHAnsi"/>
        </w:rPr>
        <w:t>to increase well owner testing</w:t>
      </w:r>
      <w:r w:rsidR="009E27FF" w:rsidRPr="001635C8">
        <w:rPr>
          <w:rFonts w:asciiTheme="majorHAnsi" w:hAnsiTheme="majorHAnsi"/>
        </w:rPr>
        <w:t xml:space="preserve">. </w:t>
      </w:r>
      <w:r w:rsidR="00BF038D" w:rsidRPr="001635C8">
        <w:rPr>
          <w:rFonts w:asciiTheme="majorHAnsi" w:hAnsiTheme="majorHAnsi"/>
        </w:rPr>
        <w:t xml:space="preserve">The results </w:t>
      </w:r>
      <w:r w:rsidR="00BF038D">
        <w:rPr>
          <w:rFonts w:asciiTheme="majorHAnsi" w:hAnsiTheme="majorHAnsi"/>
        </w:rPr>
        <w:t>of this information collection will be presented in</w:t>
      </w:r>
      <w:r w:rsidR="00BF038D" w:rsidRPr="001635C8">
        <w:rPr>
          <w:rFonts w:asciiTheme="majorHAnsi" w:hAnsiTheme="majorHAnsi"/>
        </w:rPr>
        <w:t xml:space="preserve"> a written report.</w:t>
      </w:r>
      <w:r w:rsidR="00BF038D">
        <w:rPr>
          <w:rFonts w:asciiTheme="majorHAnsi" w:hAnsiTheme="majorHAnsi"/>
        </w:rPr>
        <w:t xml:space="preserve"> </w:t>
      </w:r>
      <w:r w:rsidR="009E27FF" w:rsidRPr="001635C8">
        <w:rPr>
          <w:rFonts w:asciiTheme="majorHAnsi" w:hAnsiTheme="majorHAnsi"/>
        </w:rPr>
        <w:t xml:space="preserve">These results can then be </w:t>
      </w:r>
      <w:r w:rsidR="00420FB9" w:rsidRPr="001635C8">
        <w:rPr>
          <w:rFonts w:asciiTheme="majorHAnsi" w:hAnsiTheme="majorHAnsi"/>
        </w:rPr>
        <w:t xml:space="preserve">shared among </w:t>
      </w:r>
      <w:r w:rsidR="004A43D7">
        <w:rPr>
          <w:rFonts w:asciiTheme="majorHAnsi" w:hAnsiTheme="majorHAnsi"/>
        </w:rPr>
        <w:t xml:space="preserve">all </w:t>
      </w:r>
      <w:r w:rsidR="00BF038D" w:rsidRPr="00943562">
        <w:rPr>
          <w:rFonts w:asciiTheme="majorHAnsi" w:hAnsiTheme="majorHAnsi"/>
        </w:rPr>
        <w:t xml:space="preserve">environmental health staff at state, local, and tribal environmental health and agricultural </w:t>
      </w:r>
      <w:r w:rsidR="00C54555">
        <w:rPr>
          <w:rFonts w:asciiTheme="majorHAnsi" w:hAnsiTheme="majorHAnsi"/>
        </w:rPr>
        <w:t>departments</w:t>
      </w:r>
      <w:r w:rsidR="00BF038D" w:rsidRPr="00943562">
        <w:rPr>
          <w:rFonts w:asciiTheme="majorHAnsi" w:hAnsiTheme="majorHAnsi"/>
        </w:rPr>
        <w:t xml:space="preserve"> </w:t>
      </w:r>
      <w:r w:rsidR="00420FB9" w:rsidRPr="001635C8">
        <w:rPr>
          <w:rFonts w:asciiTheme="majorHAnsi" w:hAnsiTheme="majorHAnsi"/>
        </w:rPr>
        <w:t xml:space="preserve">and </w:t>
      </w:r>
      <w:r w:rsidR="009E27FF" w:rsidRPr="001635C8">
        <w:rPr>
          <w:rFonts w:asciiTheme="majorHAnsi" w:hAnsiTheme="majorHAnsi"/>
        </w:rPr>
        <w:t xml:space="preserve">used in </w:t>
      </w:r>
      <w:r w:rsidRPr="001635C8">
        <w:rPr>
          <w:rFonts w:asciiTheme="majorHAnsi" w:hAnsiTheme="majorHAnsi"/>
        </w:rPr>
        <w:t xml:space="preserve">future </w:t>
      </w:r>
      <w:r w:rsidR="00BF038D">
        <w:rPr>
          <w:rFonts w:asciiTheme="majorHAnsi" w:hAnsiTheme="majorHAnsi"/>
        </w:rPr>
        <w:t xml:space="preserve">private well owner outreach </w:t>
      </w:r>
      <w:r w:rsidR="00C54555">
        <w:rPr>
          <w:rFonts w:asciiTheme="majorHAnsi" w:hAnsiTheme="majorHAnsi"/>
        </w:rPr>
        <w:t>programs</w:t>
      </w:r>
      <w:r w:rsidR="007930B1" w:rsidRPr="001635C8">
        <w:rPr>
          <w:rFonts w:asciiTheme="majorHAnsi" w:hAnsiTheme="majorHAnsi"/>
        </w:rPr>
        <w:t xml:space="preserve"> </w:t>
      </w:r>
      <w:r w:rsidR="009E27FF" w:rsidRPr="001635C8">
        <w:rPr>
          <w:rFonts w:asciiTheme="majorHAnsi" w:hAnsiTheme="majorHAnsi"/>
        </w:rPr>
        <w:t>to increase well owner participation and awareness of the need for testing their well</w:t>
      </w:r>
      <w:r w:rsidR="00420FB9" w:rsidRPr="001635C8">
        <w:rPr>
          <w:rFonts w:asciiTheme="majorHAnsi" w:hAnsiTheme="majorHAnsi"/>
        </w:rPr>
        <w:t xml:space="preserve"> water</w:t>
      </w:r>
      <w:r w:rsidRPr="001635C8">
        <w:rPr>
          <w:rFonts w:asciiTheme="majorHAnsi" w:hAnsiTheme="majorHAnsi"/>
        </w:rPr>
        <w:t>.</w:t>
      </w:r>
    </w:p>
    <w:p w:rsidR="004F67A8" w:rsidRPr="001A28F6" w:rsidRDefault="004F67A8" w:rsidP="001636E7">
      <w:pPr>
        <w:spacing w:after="0"/>
        <w:rPr>
          <w:rFonts w:asciiTheme="majorHAnsi" w:hAnsiTheme="majorHAnsi"/>
        </w:rPr>
      </w:pPr>
    </w:p>
    <w:p w:rsidR="006102DA" w:rsidRPr="001A28F6" w:rsidRDefault="006102DA" w:rsidP="001636E7">
      <w:pPr>
        <w:spacing w:after="0"/>
        <w:rPr>
          <w:rFonts w:asciiTheme="majorHAnsi" w:hAnsiTheme="majorHAnsi"/>
          <w:b/>
        </w:rPr>
      </w:pPr>
      <w:r w:rsidRPr="001A28F6">
        <w:rPr>
          <w:rFonts w:asciiTheme="majorHAnsi" w:hAnsiTheme="majorHAnsi"/>
          <w:b/>
        </w:rPr>
        <w:t>Privacy Impact Assessment</w:t>
      </w:r>
    </w:p>
    <w:p w:rsidR="004024F8" w:rsidRDefault="006102DA" w:rsidP="001636E7">
      <w:pPr>
        <w:spacing w:after="0"/>
        <w:rPr>
          <w:rFonts w:asciiTheme="majorHAnsi" w:hAnsiTheme="majorHAnsi"/>
        </w:rPr>
      </w:pPr>
      <w:r w:rsidRPr="001A28F6">
        <w:rPr>
          <w:rFonts w:asciiTheme="majorHAnsi" w:hAnsiTheme="majorHAnsi"/>
          <w:u w:val="single"/>
        </w:rPr>
        <w:t>Overview of the Data Collection System</w:t>
      </w:r>
      <w:r w:rsidR="00151567" w:rsidRPr="001A28F6">
        <w:rPr>
          <w:rFonts w:asciiTheme="majorHAnsi" w:hAnsiTheme="majorHAnsi"/>
        </w:rPr>
        <w:t xml:space="preserve"> – </w:t>
      </w:r>
      <w:r w:rsidR="00B1129F" w:rsidRPr="001A28F6">
        <w:rPr>
          <w:rFonts w:asciiTheme="majorHAnsi" w:hAnsiTheme="majorHAnsi"/>
        </w:rPr>
        <w:t xml:space="preserve">The data collection system consists of </w:t>
      </w:r>
      <w:r w:rsidR="00D5367E" w:rsidRPr="001A28F6">
        <w:rPr>
          <w:rFonts w:asciiTheme="majorHAnsi" w:hAnsiTheme="majorHAnsi"/>
        </w:rPr>
        <w:t xml:space="preserve">a </w:t>
      </w:r>
      <w:r w:rsidR="00B1129F" w:rsidRPr="001A28F6">
        <w:rPr>
          <w:rFonts w:asciiTheme="majorHAnsi" w:hAnsiTheme="majorHAnsi"/>
        </w:rPr>
        <w:t xml:space="preserve">web-based </w:t>
      </w:r>
      <w:r w:rsidR="00EB7400">
        <w:rPr>
          <w:rFonts w:asciiTheme="majorHAnsi" w:hAnsiTheme="majorHAnsi"/>
        </w:rPr>
        <w:t>information collection</w:t>
      </w:r>
      <w:r w:rsidR="001635C8">
        <w:rPr>
          <w:rFonts w:asciiTheme="majorHAnsi" w:hAnsiTheme="majorHAnsi"/>
        </w:rPr>
        <w:t xml:space="preserve"> </w:t>
      </w:r>
      <w:r w:rsidR="001635C8" w:rsidRPr="00706113">
        <w:rPr>
          <w:rFonts w:asciiTheme="majorHAnsi" w:hAnsiTheme="majorHAnsi"/>
        </w:rPr>
        <w:t xml:space="preserve">instrument </w:t>
      </w:r>
      <w:r w:rsidR="001635C8" w:rsidRPr="00C54555">
        <w:rPr>
          <w:rFonts w:asciiTheme="majorHAnsi" w:hAnsiTheme="majorHAnsi"/>
          <w:b/>
        </w:rPr>
        <w:t>(</w:t>
      </w:r>
      <w:r w:rsidR="00706113" w:rsidRPr="00C54555">
        <w:rPr>
          <w:rFonts w:asciiTheme="majorHAnsi" w:hAnsiTheme="majorHAnsi"/>
          <w:b/>
        </w:rPr>
        <w:t xml:space="preserve">MS </w:t>
      </w:r>
      <w:r w:rsidR="000449BD" w:rsidRPr="0062760E">
        <w:rPr>
          <w:rFonts w:asciiTheme="majorHAnsi" w:hAnsiTheme="majorHAnsi"/>
          <w:b/>
        </w:rPr>
        <w:t>Word version -</w:t>
      </w:r>
      <w:r w:rsidR="00706113" w:rsidRPr="0062760E">
        <w:rPr>
          <w:rFonts w:asciiTheme="majorHAnsi" w:hAnsiTheme="majorHAnsi"/>
          <w:b/>
        </w:rPr>
        <w:t xml:space="preserve"> </w:t>
      </w:r>
      <w:r w:rsidR="000449BD" w:rsidRPr="0062760E">
        <w:rPr>
          <w:rFonts w:asciiTheme="majorHAnsi" w:hAnsiTheme="majorHAnsi"/>
          <w:b/>
        </w:rPr>
        <w:t>A</w:t>
      </w:r>
      <w:r w:rsidR="001635C8" w:rsidRPr="0062760E">
        <w:rPr>
          <w:rFonts w:asciiTheme="majorHAnsi" w:hAnsiTheme="majorHAnsi"/>
          <w:b/>
        </w:rPr>
        <w:t xml:space="preserve">ttachment </w:t>
      </w:r>
      <w:r w:rsidR="00E84A3B" w:rsidRPr="0062760E">
        <w:rPr>
          <w:rFonts w:asciiTheme="majorHAnsi" w:hAnsiTheme="majorHAnsi"/>
          <w:b/>
        </w:rPr>
        <w:t>A</w:t>
      </w:r>
      <w:r w:rsidR="000449BD" w:rsidRPr="0062760E">
        <w:rPr>
          <w:rFonts w:asciiTheme="majorHAnsi" w:hAnsiTheme="majorHAnsi"/>
          <w:b/>
        </w:rPr>
        <w:t xml:space="preserve">, web version – Attachment </w:t>
      </w:r>
      <w:r w:rsidR="00E84A3B" w:rsidRPr="0062760E">
        <w:rPr>
          <w:rFonts w:asciiTheme="majorHAnsi" w:hAnsiTheme="majorHAnsi"/>
          <w:b/>
        </w:rPr>
        <w:t>B</w:t>
      </w:r>
      <w:r w:rsidR="001635C8" w:rsidRPr="00C54555">
        <w:rPr>
          <w:rFonts w:asciiTheme="majorHAnsi" w:hAnsiTheme="majorHAnsi"/>
          <w:b/>
        </w:rPr>
        <w:t>)</w:t>
      </w:r>
      <w:r w:rsidR="001635C8">
        <w:rPr>
          <w:rFonts w:asciiTheme="majorHAnsi" w:hAnsiTheme="majorHAnsi"/>
        </w:rPr>
        <w:t xml:space="preserve"> designed to elicit information from </w:t>
      </w:r>
      <w:r w:rsidR="00706113" w:rsidRPr="00706113">
        <w:rPr>
          <w:rFonts w:asciiTheme="majorHAnsi" w:hAnsiTheme="majorHAnsi"/>
        </w:rPr>
        <w:t xml:space="preserve">environmental health staff at state, local, and tribal environmental health and agricultural </w:t>
      </w:r>
      <w:r w:rsidR="00C54555">
        <w:rPr>
          <w:rFonts w:asciiTheme="majorHAnsi" w:hAnsiTheme="majorHAnsi"/>
        </w:rPr>
        <w:t>departments</w:t>
      </w:r>
      <w:r w:rsidR="00706113" w:rsidRPr="00706113">
        <w:rPr>
          <w:rFonts w:asciiTheme="majorHAnsi" w:hAnsiTheme="majorHAnsi"/>
        </w:rPr>
        <w:t xml:space="preserve"> who are government employees and who conduct outreach to private well owners.</w:t>
      </w:r>
      <w:r w:rsidR="00706113">
        <w:rPr>
          <w:rFonts w:asciiTheme="majorHAnsi" w:hAnsiTheme="majorHAnsi"/>
        </w:rPr>
        <w:t xml:space="preserve"> </w:t>
      </w:r>
      <w:r w:rsidR="002B4972">
        <w:rPr>
          <w:rFonts w:asciiTheme="majorHAnsi" w:hAnsiTheme="majorHAnsi"/>
        </w:rPr>
        <w:t>T</w:t>
      </w:r>
      <w:r w:rsidR="00510A5F">
        <w:rPr>
          <w:rFonts w:asciiTheme="majorHAnsi" w:hAnsiTheme="majorHAnsi"/>
        </w:rPr>
        <w:t xml:space="preserve">he data will be collected using </w:t>
      </w:r>
      <w:r w:rsidR="003F2739">
        <w:rPr>
          <w:rFonts w:asciiTheme="majorHAnsi" w:hAnsiTheme="majorHAnsi"/>
        </w:rPr>
        <w:t>Survey Monkey</w:t>
      </w:r>
      <w:r w:rsidR="00510A5F">
        <w:rPr>
          <w:rFonts w:asciiTheme="majorHAnsi" w:hAnsiTheme="majorHAnsi"/>
        </w:rPr>
        <w:t xml:space="preserve"> ®.</w:t>
      </w:r>
      <w:r w:rsidR="005D456D">
        <w:rPr>
          <w:rFonts w:asciiTheme="majorHAnsi" w:hAnsiTheme="majorHAnsi"/>
        </w:rPr>
        <w:t xml:space="preserve"> </w:t>
      </w:r>
      <w:r w:rsidR="00271691">
        <w:rPr>
          <w:rFonts w:asciiTheme="majorHAnsi" w:hAnsiTheme="majorHAnsi"/>
        </w:rPr>
        <w:t xml:space="preserve">The </w:t>
      </w:r>
      <w:r w:rsidR="005C42E9">
        <w:rPr>
          <w:rFonts w:asciiTheme="majorHAnsi" w:hAnsiTheme="majorHAnsi"/>
        </w:rPr>
        <w:t>online information collection instrument</w:t>
      </w:r>
      <w:r w:rsidR="00271691">
        <w:rPr>
          <w:rFonts w:asciiTheme="majorHAnsi" w:hAnsiTheme="majorHAnsi"/>
        </w:rPr>
        <w:t xml:space="preserve"> has been pilot tested </w:t>
      </w:r>
      <w:r w:rsidR="006C3E46">
        <w:rPr>
          <w:rFonts w:asciiTheme="majorHAnsi" w:hAnsiTheme="majorHAnsi"/>
        </w:rPr>
        <w:t>by four</w:t>
      </w:r>
      <w:r w:rsidR="00271691">
        <w:rPr>
          <w:rFonts w:asciiTheme="majorHAnsi" w:hAnsiTheme="majorHAnsi"/>
        </w:rPr>
        <w:t xml:space="preserve"> UI staff. The results were used to refine the questions and establish the estimated time for completing the </w:t>
      </w:r>
      <w:r w:rsidR="005C42E9">
        <w:rPr>
          <w:rFonts w:asciiTheme="majorHAnsi" w:hAnsiTheme="majorHAnsi"/>
        </w:rPr>
        <w:t>instrument</w:t>
      </w:r>
      <w:r w:rsidR="00706113">
        <w:rPr>
          <w:rFonts w:asciiTheme="majorHAnsi" w:hAnsiTheme="majorHAnsi"/>
        </w:rPr>
        <w:t xml:space="preserve"> as 18 minutes per response</w:t>
      </w:r>
      <w:r w:rsidR="00271691">
        <w:rPr>
          <w:rFonts w:asciiTheme="majorHAnsi" w:hAnsiTheme="majorHAnsi"/>
        </w:rPr>
        <w:t>.</w:t>
      </w:r>
      <w:r w:rsidR="00510A5F">
        <w:rPr>
          <w:rFonts w:asciiTheme="majorHAnsi" w:hAnsiTheme="majorHAnsi"/>
        </w:rPr>
        <w:t xml:space="preserve"> </w:t>
      </w:r>
    </w:p>
    <w:p w:rsidR="00965938" w:rsidRPr="00DB39A3" w:rsidRDefault="00965938" w:rsidP="001636E7">
      <w:pPr>
        <w:spacing w:after="0"/>
        <w:rPr>
          <w:rFonts w:asciiTheme="majorHAnsi" w:hAnsiTheme="majorHAnsi"/>
        </w:rPr>
      </w:pPr>
    </w:p>
    <w:p w:rsidR="00DB7F78" w:rsidRDefault="006102DA" w:rsidP="001636E7">
      <w:pPr>
        <w:spacing w:after="0"/>
        <w:rPr>
          <w:rFonts w:asciiTheme="majorHAnsi" w:hAnsiTheme="majorHAnsi"/>
        </w:rPr>
      </w:pPr>
      <w:r w:rsidRPr="00D5367E">
        <w:rPr>
          <w:rFonts w:asciiTheme="majorHAnsi" w:hAnsiTheme="majorHAnsi"/>
          <w:u w:val="single"/>
        </w:rPr>
        <w:t xml:space="preserve">Items of Information to be </w:t>
      </w:r>
      <w:proofErr w:type="gramStart"/>
      <w:r w:rsidRPr="00D5367E">
        <w:rPr>
          <w:rFonts w:asciiTheme="majorHAnsi" w:hAnsiTheme="majorHAnsi"/>
          <w:u w:val="single"/>
        </w:rPr>
        <w:t>Collected</w:t>
      </w:r>
      <w:proofErr w:type="gramEnd"/>
      <w:r w:rsidR="00B1129F" w:rsidRPr="00D5367E">
        <w:rPr>
          <w:rFonts w:asciiTheme="majorHAnsi" w:hAnsiTheme="majorHAnsi"/>
        </w:rPr>
        <w:t xml:space="preserve"> </w:t>
      </w:r>
    </w:p>
    <w:p w:rsidR="00DB7F78" w:rsidRDefault="00A225F4" w:rsidP="001636E7">
      <w:pPr>
        <w:spacing w:after="0"/>
        <w:rPr>
          <w:rFonts w:asciiTheme="majorHAnsi" w:hAnsiTheme="majorHAnsi"/>
        </w:rPr>
      </w:pPr>
      <w:r>
        <w:rPr>
          <w:rFonts w:asciiTheme="majorHAnsi" w:hAnsiTheme="majorHAnsi"/>
        </w:rPr>
        <w:t>The</w:t>
      </w:r>
      <w:r w:rsidR="0000355F">
        <w:rPr>
          <w:rFonts w:asciiTheme="majorHAnsi" w:hAnsiTheme="majorHAnsi"/>
        </w:rPr>
        <w:t xml:space="preserve"> data collection</w:t>
      </w:r>
      <w:r>
        <w:rPr>
          <w:rFonts w:asciiTheme="majorHAnsi" w:hAnsiTheme="majorHAnsi"/>
        </w:rPr>
        <w:t xml:space="preserve"> consists of </w:t>
      </w:r>
      <w:r w:rsidR="00A65E4B">
        <w:rPr>
          <w:rFonts w:asciiTheme="majorHAnsi" w:hAnsiTheme="majorHAnsi"/>
        </w:rPr>
        <w:t xml:space="preserve">24 - </w:t>
      </w:r>
      <w:r w:rsidR="004A43D7">
        <w:rPr>
          <w:rFonts w:asciiTheme="majorHAnsi" w:hAnsiTheme="majorHAnsi"/>
        </w:rPr>
        <w:t>2</w:t>
      </w:r>
      <w:r w:rsidR="00A65E4B">
        <w:rPr>
          <w:rFonts w:asciiTheme="majorHAnsi" w:hAnsiTheme="majorHAnsi"/>
        </w:rPr>
        <w:t>8</w:t>
      </w:r>
      <w:r>
        <w:rPr>
          <w:rFonts w:asciiTheme="majorHAnsi" w:hAnsiTheme="majorHAnsi"/>
        </w:rPr>
        <w:t xml:space="preserve"> </w:t>
      </w:r>
      <w:r w:rsidR="00747527">
        <w:rPr>
          <w:rFonts w:asciiTheme="majorHAnsi" w:hAnsiTheme="majorHAnsi"/>
        </w:rPr>
        <w:t>items</w:t>
      </w:r>
      <w:r w:rsidR="006C3E46">
        <w:rPr>
          <w:rFonts w:asciiTheme="majorHAnsi" w:hAnsiTheme="majorHAnsi"/>
        </w:rPr>
        <w:t xml:space="preserve">, </w:t>
      </w:r>
      <w:r w:rsidR="00A65E4B">
        <w:rPr>
          <w:rFonts w:asciiTheme="majorHAnsi" w:hAnsiTheme="majorHAnsi"/>
        </w:rPr>
        <w:t xml:space="preserve">depending on how </w:t>
      </w:r>
      <w:r w:rsidR="00B6746A">
        <w:rPr>
          <w:rFonts w:asciiTheme="majorHAnsi" w:hAnsiTheme="majorHAnsi"/>
        </w:rPr>
        <w:t>answers are chosen</w:t>
      </w:r>
      <w:r w:rsidR="00A65E4B">
        <w:rPr>
          <w:rFonts w:asciiTheme="majorHAnsi" w:hAnsiTheme="majorHAnsi"/>
        </w:rPr>
        <w:t xml:space="preserve">, because some have </w:t>
      </w:r>
      <w:r w:rsidR="006C3E46">
        <w:rPr>
          <w:rFonts w:asciiTheme="majorHAnsi" w:hAnsiTheme="majorHAnsi"/>
        </w:rPr>
        <w:t>multiple parts</w:t>
      </w:r>
      <w:r w:rsidR="00747527">
        <w:rPr>
          <w:rFonts w:asciiTheme="majorHAnsi" w:hAnsiTheme="majorHAnsi"/>
        </w:rPr>
        <w:t>. These items cover information about the responden</w:t>
      </w:r>
      <w:r w:rsidR="00E34A83">
        <w:rPr>
          <w:rFonts w:asciiTheme="majorHAnsi" w:hAnsiTheme="majorHAnsi"/>
        </w:rPr>
        <w:t>t’</w:t>
      </w:r>
      <w:r w:rsidR="00747527">
        <w:rPr>
          <w:rFonts w:asciiTheme="majorHAnsi" w:hAnsiTheme="majorHAnsi"/>
        </w:rPr>
        <w:t xml:space="preserve">s program, including number of </w:t>
      </w:r>
      <w:r w:rsidR="003F2739">
        <w:rPr>
          <w:rFonts w:asciiTheme="majorHAnsi" w:hAnsiTheme="majorHAnsi"/>
        </w:rPr>
        <w:t>well owners who participated</w:t>
      </w:r>
      <w:r w:rsidR="00747527">
        <w:rPr>
          <w:rFonts w:asciiTheme="majorHAnsi" w:hAnsiTheme="majorHAnsi"/>
        </w:rPr>
        <w:t xml:space="preserve">, partners, funding, </w:t>
      </w:r>
      <w:r w:rsidR="000E4367">
        <w:rPr>
          <w:rFonts w:asciiTheme="majorHAnsi" w:hAnsiTheme="majorHAnsi"/>
        </w:rPr>
        <w:t xml:space="preserve">and </w:t>
      </w:r>
      <w:r w:rsidR="00747527">
        <w:rPr>
          <w:rFonts w:asciiTheme="majorHAnsi" w:hAnsiTheme="majorHAnsi"/>
        </w:rPr>
        <w:t>resources involved</w:t>
      </w:r>
      <w:r w:rsidR="000E4367">
        <w:rPr>
          <w:rFonts w:asciiTheme="majorHAnsi" w:hAnsiTheme="majorHAnsi"/>
        </w:rPr>
        <w:t>. They also cover factors that influence how the program was completed, such as advertising methods, program scale, location</w:t>
      </w:r>
      <w:r w:rsidR="00747527">
        <w:rPr>
          <w:rFonts w:asciiTheme="majorHAnsi" w:hAnsiTheme="majorHAnsi"/>
        </w:rPr>
        <w:t xml:space="preserve">, </w:t>
      </w:r>
      <w:r w:rsidR="000E4367">
        <w:rPr>
          <w:rFonts w:asciiTheme="majorHAnsi" w:hAnsiTheme="majorHAnsi"/>
        </w:rPr>
        <w:t xml:space="preserve">type of program, and how material/information were delivered to well owners. </w:t>
      </w:r>
      <w:r w:rsidR="006C3E46">
        <w:rPr>
          <w:rFonts w:asciiTheme="majorHAnsi" w:hAnsiTheme="majorHAnsi"/>
        </w:rPr>
        <w:t>T</w:t>
      </w:r>
      <w:r w:rsidR="001E117A">
        <w:rPr>
          <w:rFonts w:asciiTheme="majorHAnsi" w:hAnsiTheme="majorHAnsi"/>
        </w:rPr>
        <w:t>hirteen</w:t>
      </w:r>
      <w:r w:rsidR="000E4367">
        <w:rPr>
          <w:rFonts w:asciiTheme="majorHAnsi" w:hAnsiTheme="majorHAnsi"/>
        </w:rPr>
        <w:t xml:space="preserve"> questions require the respondent to choose one answer from up to five response options. </w:t>
      </w:r>
      <w:r w:rsidR="001E117A">
        <w:rPr>
          <w:rFonts w:asciiTheme="majorHAnsi" w:hAnsiTheme="majorHAnsi"/>
        </w:rPr>
        <w:t>Five</w:t>
      </w:r>
      <w:r w:rsidR="000E4367">
        <w:rPr>
          <w:rFonts w:asciiTheme="majorHAnsi" w:hAnsiTheme="majorHAnsi"/>
        </w:rPr>
        <w:t xml:space="preserve"> questions require the respondent to choose one or more choices from up to </w:t>
      </w:r>
      <w:r w:rsidR="006C3E46">
        <w:rPr>
          <w:rFonts w:asciiTheme="majorHAnsi" w:hAnsiTheme="majorHAnsi"/>
        </w:rPr>
        <w:t>nine</w:t>
      </w:r>
      <w:r w:rsidR="000E4367">
        <w:rPr>
          <w:rFonts w:asciiTheme="majorHAnsi" w:hAnsiTheme="majorHAnsi"/>
        </w:rPr>
        <w:t xml:space="preserve"> options. There are</w:t>
      </w:r>
      <w:r w:rsidR="000449BD">
        <w:rPr>
          <w:rFonts w:asciiTheme="majorHAnsi" w:hAnsiTheme="majorHAnsi"/>
        </w:rPr>
        <w:t xml:space="preserve"> </w:t>
      </w:r>
      <w:r w:rsidR="001E117A">
        <w:rPr>
          <w:rFonts w:asciiTheme="majorHAnsi" w:hAnsiTheme="majorHAnsi"/>
        </w:rPr>
        <w:t>3</w:t>
      </w:r>
      <w:r w:rsidR="004A43D7">
        <w:rPr>
          <w:rFonts w:asciiTheme="majorHAnsi" w:hAnsiTheme="majorHAnsi"/>
        </w:rPr>
        <w:t xml:space="preserve"> </w:t>
      </w:r>
      <w:r w:rsidR="000E4367">
        <w:rPr>
          <w:rFonts w:asciiTheme="majorHAnsi" w:hAnsiTheme="majorHAnsi"/>
        </w:rPr>
        <w:t>questions requir</w:t>
      </w:r>
      <w:r w:rsidR="00965938">
        <w:rPr>
          <w:rFonts w:asciiTheme="majorHAnsi" w:hAnsiTheme="majorHAnsi"/>
        </w:rPr>
        <w:t>ing</w:t>
      </w:r>
      <w:r w:rsidR="000E4367">
        <w:rPr>
          <w:rFonts w:asciiTheme="majorHAnsi" w:hAnsiTheme="majorHAnsi"/>
        </w:rPr>
        <w:t xml:space="preserve"> a narrative response that allow the respondent to provide an assessment of </w:t>
      </w:r>
      <w:r w:rsidR="00965938">
        <w:rPr>
          <w:rFonts w:asciiTheme="majorHAnsi" w:hAnsiTheme="majorHAnsi"/>
        </w:rPr>
        <w:t xml:space="preserve">specific results from </w:t>
      </w:r>
      <w:r w:rsidR="000E4367">
        <w:rPr>
          <w:rFonts w:asciiTheme="majorHAnsi" w:hAnsiTheme="majorHAnsi"/>
        </w:rPr>
        <w:t>their program</w:t>
      </w:r>
      <w:r w:rsidR="00C66E6A">
        <w:rPr>
          <w:rFonts w:asciiTheme="majorHAnsi" w:hAnsiTheme="majorHAnsi"/>
        </w:rPr>
        <w:t>, and there are 3 questions that require a short, single answer</w:t>
      </w:r>
      <w:r w:rsidR="000E4367">
        <w:rPr>
          <w:rFonts w:asciiTheme="majorHAnsi" w:hAnsiTheme="majorHAnsi"/>
        </w:rPr>
        <w:t xml:space="preserve">. </w:t>
      </w:r>
    </w:p>
    <w:p w:rsidR="00965938" w:rsidRDefault="00965938" w:rsidP="001636E7">
      <w:pPr>
        <w:spacing w:after="0"/>
        <w:rPr>
          <w:rFonts w:asciiTheme="majorHAnsi" w:hAnsiTheme="majorHAnsi"/>
        </w:rPr>
      </w:pPr>
    </w:p>
    <w:p w:rsidR="006C3E46" w:rsidRDefault="006102DA" w:rsidP="001636E7">
      <w:pPr>
        <w:spacing w:after="0"/>
        <w:rPr>
          <w:rFonts w:asciiTheme="majorHAnsi" w:hAnsiTheme="majorHAnsi"/>
        </w:rPr>
      </w:pPr>
      <w:r w:rsidRPr="006102DA">
        <w:rPr>
          <w:rFonts w:asciiTheme="majorHAnsi" w:hAnsiTheme="majorHAnsi"/>
          <w:u w:val="single"/>
        </w:rPr>
        <w:t xml:space="preserve">Identification of Website(s) and Website Content Directed at Children Under 13 Years of </w:t>
      </w:r>
      <w:r w:rsidRPr="005869D6">
        <w:rPr>
          <w:rFonts w:asciiTheme="majorHAnsi" w:hAnsiTheme="majorHAnsi"/>
          <w:u w:val="single"/>
        </w:rPr>
        <w:t>Age</w:t>
      </w:r>
      <w:r w:rsidR="00D13B13" w:rsidRPr="005869D6">
        <w:rPr>
          <w:rFonts w:asciiTheme="majorHAnsi" w:hAnsiTheme="majorHAnsi"/>
        </w:rPr>
        <w:t xml:space="preserve"> </w:t>
      </w:r>
    </w:p>
    <w:p w:rsidR="006102DA" w:rsidRPr="005869D6" w:rsidRDefault="006C3E46" w:rsidP="001636E7">
      <w:pPr>
        <w:spacing w:after="0"/>
        <w:rPr>
          <w:rFonts w:asciiTheme="majorHAnsi" w:hAnsiTheme="majorHAnsi"/>
        </w:rPr>
      </w:pPr>
      <w:r>
        <w:rPr>
          <w:rFonts w:asciiTheme="majorHAnsi" w:hAnsiTheme="majorHAnsi"/>
        </w:rPr>
        <w:t xml:space="preserve">The data collection system involves using a web-based </w:t>
      </w:r>
      <w:r w:rsidR="005C42E9">
        <w:rPr>
          <w:rFonts w:asciiTheme="majorHAnsi" w:hAnsiTheme="majorHAnsi"/>
        </w:rPr>
        <w:t>collection instrument</w:t>
      </w:r>
      <w:r>
        <w:rPr>
          <w:rFonts w:asciiTheme="majorHAnsi" w:hAnsiTheme="majorHAnsi"/>
        </w:rPr>
        <w:t xml:space="preserve">. Respondents will be sent a link directing them to the online </w:t>
      </w:r>
      <w:r w:rsidR="005C42E9">
        <w:rPr>
          <w:rFonts w:asciiTheme="majorHAnsi" w:hAnsiTheme="majorHAnsi"/>
        </w:rPr>
        <w:t>instrument</w:t>
      </w:r>
      <w:r>
        <w:rPr>
          <w:rFonts w:asciiTheme="majorHAnsi" w:hAnsiTheme="majorHAnsi"/>
        </w:rPr>
        <w:t xml:space="preserve"> only (i.e., not a website). </w:t>
      </w:r>
      <w:r w:rsidR="005869D6">
        <w:rPr>
          <w:rFonts w:asciiTheme="majorHAnsi" w:hAnsiTheme="majorHAnsi"/>
        </w:rPr>
        <w:t>No website conte</w:t>
      </w:r>
      <w:r w:rsidR="00E34A83">
        <w:rPr>
          <w:rFonts w:asciiTheme="majorHAnsi" w:hAnsiTheme="majorHAnsi"/>
        </w:rPr>
        <w:t>nt will be directed at children.</w:t>
      </w:r>
    </w:p>
    <w:p w:rsidR="00F52BCC" w:rsidRDefault="00F52BCC" w:rsidP="001636E7">
      <w:pPr>
        <w:spacing w:after="0"/>
        <w:rPr>
          <w:rFonts w:asciiTheme="majorHAnsi" w:hAnsiTheme="majorHAnsi"/>
        </w:rPr>
      </w:pPr>
    </w:p>
    <w:p w:rsidR="00537079" w:rsidRPr="00F52BCC" w:rsidRDefault="00537079" w:rsidP="001636E7">
      <w:pPr>
        <w:spacing w:after="0"/>
        <w:rPr>
          <w:rFonts w:asciiTheme="majorHAnsi" w:hAnsiTheme="majorHAnsi"/>
        </w:rPr>
      </w:pPr>
    </w:p>
    <w:p w:rsidR="00B12F51" w:rsidRPr="00014361" w:rsidRDefault="00B12F51" w:rsidP="001636E7">
      <w:pPr>
        <w:pStyle w:val="ListParagraph"/>
        <w:numPr>
          <w:ilvl w:val="0"/>
          <w:numId w:val="2"/>
        </w:numPr>
        <w:spacing w:after="0"/>
        <w:ind w:left="90"/>
        <w:rPr>
          <w:rFonts w:asciiTheme="majorHAnsi" w:hAnsiTheme="majorHAnsi"/>
          <w:b/>
        </w:rPr>
      </w:pPr>
      <w:r w:rsidRPr="00014361">
        <w:rPr>
          <w:rFonts w:asciiTheme="majorHAnsi" w:hAnsiTheme="majorHAnsi"/>
          <w:b/>
        </w:rPr>
        <w:t>Purpose and Use of the Information Collection</w:t>
      </w:r>
    </w:p>
    <w:p w:rsidR="00394733" w:rsidRDefault="00965938" w:rsidP="001636E7">
      <w:pPr>
        <w:pStyle w:val="ListParagraph"/>
        <w:spacing w:after="0"/>
        <w:ind w:left="0"/>
        <w:rPr>
          <w:rFonts w:asciiTheme="majorHAnsi" w:eastAsia="Calibri" w:hAnsiTheme="majorHAnsi"/>
        </w:rPr>
      </w:pPr>
      <w:r>
        <w:rPr>
          <w:rFonts w:asciiTheme="majorHAnsi" w:eastAsia="Calibri" w:hAnsiTheme="majorHAnsi"/>
        </w:rPr>
        <w:t xml:space="preserve">The primary purpose of this data collection is to </w:t>
      </w:r>
      <w:r w:rsidR="00710202">
        <w:rPr>
          <w:rFonts w:asciiTheme="majorHAnsi" w:eastAsia="Calibri" w:hAnsiTheme="majorHAnsi"/>
        </w:rPr>
        <w:t>assess</w:t>
      </w:r>
      <w:r>
        <w:rPr>
          <w:rFonts w:asciiTheme="majorHAnsi" w:eastAsia="Calibri" w:hAnsiTheme="majorHAnsi"/>
        </w:rPr>
        <w:t xml:space="preserve"> </w:t>
      </w:r>
      <w:r w:rsidR="007D0798">
        <w:rPr>
          <w:rFonts w:asciiTheme="majorHAnsi" w:eastAsia="Calibri" w:hAnsiTheme="majorHAnsi"/>
        </w:rPr>
        <w:t xml:space="preserve">how </w:t>
      </w:r>
      <w:r w:rsidR="00706113" w:rsidRPr="00706113">
        <w:rPr>
          <w:rFonts w:asciiTheme="majorHAnsi" w:eastAsia="Calibri" w:hAnsiTheme="majorHAnsi"/>
        </w:rPr>
        <w:t xml:space="preserve">environmental health staff at state, local, and tribal environmental health and agricultural </w:t>
      </w:r>
      <w:r w:rsidR="00C54555">
        <w:rPr>
          <w:rFonts w:asciiTheme="majorHAnsi" w:eastAsia="Calibri" w:hAnsiTheme="majorHAnsi"/>
        </w:rPr>
        <w:t>departments</w:t>
      </w:r>
      <w:r w:rsidR="00706113" w:rsidRPr="00706113">
        <w:rPr>
          <w:rFonts w:asciiTheme="majorHAnsi" w:eastAsia="Calibri" w:hAnsiTheme="majorHAnsi"/>
        </w:rPr>
        <w:t xml:space="preserve"> who are government employees and who conduct </w:t>
      </w:r>
      <w:r w:rsidR="00706113">
        <w:rPr>
          <w:rFonts w:asciiTheme="majorHAnsi" w:eastAsia="Calibri" w:hAnsiTheme="majorHAnsi"/>
        </w:rPr>
        <w:t xml:space="preserve">outreach to private well owners </w:t>
      </w:r>
      <w:r w:rsidR="00394733">
        <w:rPr>
          <w:rFonts w:asciiTheme="majorHAnsi" w:eastAsia="Calibri" w:hAnsiTheme="majorHAnsi"/>
        </w:rPr>
        <w:t xml:space="preserve">interact with </w:t>
      </w:r>
      <w:r w:rsidR="00920B66">
        <w:rPr>
          <w:rFonts w:asciiTheme="majorHAnsi" w:eastAsia="Calibri" w:hAnsiTheme="majorHAnsi"/>
        </w:rPr>
        <w:t>their potential participants</w:t>
      </w:r>
      <w:r w:rsidR="007D0798">
        <w:rPr>
          <w:rFonts w:asciiTheme="majorHAnsi" w:eastAsia="Calibri" w:hAnsiTheme="majorHAnsi"/>
        </w:rPr>
        <w:t xml:space="preserve"> to </w:t>
      </w:r>
      <w:r w:rsidR="001A0834">
        <w:rPr>
          <w:rFonts w:asciiTheme="majorHAnsi" w:eastAsia="Calibri" w:hAnsiTheme="majorHAnsi"/>
        </w:rPr>
        <w:t xml:space="preserve">understand </w:t>
      </w:r>
      <w:r w:rsidR="007D0798">
        <w:rPr>
          <w:rFonts w:asciiTheme="majorHAnsi" w:eastAsia="Calibri" w:hAnsiTheme="majorHAnsi"/>
        </w:rPr>
        <w:t>what approaches and methods are most successful at encouraging participation</w:t>
      </w:r>
      <w:r w:rsidR="00394733">
        <w:rPr>
          <w:rFonts w:asciiTheme="majorHAnsi" w:eastAsia="Calibri" w:hAnsiTheme="majorHAnsi"/>
        </w:rPr>
        <w:t xml:space="preserve">. </w:t>
      </w:r>
      <w:r w:rsidR="00704F6B">
        <w:rPr>
          <w:rFonts w:asciiTheme="majorHAnsi" w:eastAsia="Calibri" w:hAnsiTheme="majorHAnsi"/>
        </w:rPr>
        <w:t xml:space="preserve">Many </w:t>
      </w:r>
      <w:r w:rsidR="00706113">
        <w:rPr>
          <w:rFonts w:asciiTheme="majorHAnsi" w:eastAsia="Calibri" w:hAnsiTheme="majorHAnsi"/>
        </w:rPr>
        <w:t>state, local, and tribal environmental health and agricultural</w:t>
      </w:r>
      <w:r w:rsidR="00B07E57">
        <w:rPr>
          <w:rFonts w:asciiTheme="majorHAnsi" w:eastAsia="Calibri" w:hAnsiTheme="majorHAnsi"/>
        </w:rPr>
        <w:t xml:space="preserve"> departments</w:t>
      </w:r>
      <w:r w:rsidR="00704F6B">
        <w:rPr>
          <w:rFonts w:asciiTheme="majorHAnsi" w:eastAsia="Calibri" w:hAnsiTheme="majorHAnsi"/>
        </w:rPr>
        <w:t xml:space="preserve"> </w:t>
      </w:r>
      <w:r w:rsidR="007D0798">
        <w:rPr>
          <w:rFonts w:asciiTheme="majorHAnsi" w:eastAsia="Calibri" w:hAnsiTheme="majorHAnsi"/>
        </w:rPr>
        <w:t>around the country</w:t>
      </w:r>
      <w:r w:rsidR="00706113">
        <w:rPr>
          <w:rFonts w:asciiTheme="majorHAnsi" w:eastAsia="Calibri" w:hAnsiTheme="majorHAnsi"/>
        </w:rPr>
        <w:t xml:space="preserve"> </w:t>
      </w:r>
      <w:r w:rsidR="00394733">
        <w:rPr>
          <w:rFonts w:asciiTheme="majorHAnsi" w:eastAsia="Calibri" w:hAnsiTheme="majorHAnsi"/>
        </w:rPr>
        <w:t xml:space="preserve">offer support to private well owners, but most are managed at a local </w:t>
      </w:r>
      <w:r w:rsidR="00F327BF">
        <w:rPr>
          <w:rFonts w:asciiTheme="majorHAnsi" w:eastAsia="Calibri" w:hAnsiTheme="majorHAnsi"/>
        </w:rPr>
        <w:t xml:space="preserve">or state </w:t>
      </w:r>
      <w:r w:rsidR="00394733">
        <w:rPr>
          <w:rFonts w:asciiTheme="majorHAnsi" w:eastAsia="Calibri" w:hAnsiTheme="majorHAnsi"/>
        </w:rPr>
        <w:t xml:space="preserve">scale and there is little </w:t>
      </w:r>
      <w:r w:rsidR="00920B66">
        <w:rPr>
          <w:rFonts w:asciiTheme="majorHAnsi" w:eastAsia="Calibri" w:hAnsiTheme="majorHAnsi"/>
        </w:rPr>
        <w:t>cross-</w:t>
      </w:r>
      <w:r w:rsidR="00B07E57">
        <w:rPr>
          <w:rFonts w:asciiTheme="majorHAnsi" w:eastAsia="Calibri" w:hAnsiTheme="majorHAnsi"/>
        </w:rPr>
        <w:t>department</w:t>
      </w:r>
      <w:r w:rsidR="00920B66">
        <w:rPr>
          <w:rFonts w:asciiTheme="majorHAnsi" w:eastAsia="Calibri" w:hAnsiTheme="majorHAnsi"/>
        </w:rPr>
        <w:t xml:space="preserve"> </w:t>
      </w:r>
      <w:r w:rsidR="00394733">
        <w:rPr>
          <w:rFonts w:asciiTheme="majorHAnsi" w:eastAsia="Calibri" w:hAnsiTheme="majorHAnsi"/>
        </w:rPr>
        <w:t xml:space="preserve">interaction or sharing of </w:t>
      </w:r>
      <w:r w:rsidR="00920B66">
        <w:rPr>
          <w:rFonts w:asciiTheme="majorHAnsi" w:eastAsia="Calibri" w:hAnsiTheme="majorHAnsi"/>
        </w:rPr>
        <w:t xml:space="preserve">approaches </w:t>
      </w:r>
      <w:r w:rsidR="00394733">
        <w:rPr>
          <w:rFonts w:asciiTheme="majorHAnsi" w:eastAsia="Calibri" w:hAnsiTheme="majorHAnsi"/>
        </w:rPr>
        <w:t xml:space="preserve">that would provide </w:t>
      </w:r>
      <w:r w:rsidR="00706113">
        <w:rPr>
          <w:rFonts w:asciiTheme="majorHAnsi" w:eastAsia="Calibri" w:hAnsiTheme="majorHAnsi"/>
        </w:rPr>
        <w:t xml:space="preserve">environmental health staff who are government employees and who conduct outreach to private well owners </w:t>
      </w:r>
      <w:r w:rsidR="00394733">
        <w:rPr>
          <w:rFonts w:asciiTheme="majorHAnsi" w:eastAsia="Calibri" w:hAnsiTheme="majorHAnsi"/>
        </w:rPr>
        <w:t xml:space="preserve">with suggestions on how to </w:t>
      </w:r>
      <w:r w:rsidR="00FA3AA5">
        <w:rPr>
          <w:rFonts w:asciiTheme="majorHAnsi" w:eastAsia="Calibri" w:hAnsiTheme="majorHAnsi"/>
        </w:rPr>
        <w:t>increase</w:t>
      </w:r>
      <w:r w:rsidR="00394733">
        <w:rPr>
          <w:rFonts w:asciiTheme="majorHAnsi" w:eastAsia="Calibri" w:hAnsiTheme="majorHAnsi"/>
        </w:rPr>
        <w:t xml:space="preserve"> well owner participation.</w:t>
      </w:r>
      <w:r w:rsidR="00704F6B">
        <w:rPr>
          <w:rFonts w:asciiTheme="majorHAnsi" w:eastAsia="Calibri" w:hAnsiTheme="majorHAnsi"/>
        </w:rPr>
        <w:t xml:space="preserve"> </w:t>
      </w:r>
      <w:r w:rsidR="005C42E9">
        <w:rPr>
          <w:rFonts w:asciiTheme="majorHAnsi" w:eastAsia="Calibri" w:hAnsiTheme="majorHAnsi"/>
        </w:rPr>
        <w:t xml:space="preserve">By collecting </w:t>
      </w:r>
      <w:r w:rsidR="0000355F">
        <w:rPr>
          <w:rFonts w:asciiTheme="majorHAnsi" w:eastAsia="Calibri" w:hAnsiTheme="majorHAnsi"/>
        </w:rPr>
        <w:t>this data, s</w:t>
      </w:r>
      <w:r w:rsidR="00F327BF">
        <w:rPr>
          <w:rFonts w:asciiTheme="majorHAnsi" w:eastAsia="Calibri" w:hAnsiTheme="majorHAnsi"/>
        </w:rPr>
        <w:t xml:space="preserve">uccessful outreach in the field can be identified and categorized. </w:t>
      </w:r>
      <w:r w:rsidR="00394733">
        <w:rPr>
          <w:rFonts w:asciiTheme="majorHAnsi" w:eastAsia="Calibri" w:hAnsiTheme="majorHAnsi"/>
        </w:rPr>
        <w:t xml:space="preserve">The results of this </w:t>
      </w:r>
      <w:r w:rsidR="005C42E9">
        <w:rPr>
          <w:rFonts w:asciiTheme="majorHAnsi" w:eastAsia="Calibri" w:hAnsiTheme="majorHAnsi"/>
        </w:rPr>
        <w:t>data collection</w:t>
      </w:r>
      <w:r w:rsidR="00394733">
        <w:rPr>
          <w:rFonts w:asciiTheme="majorHAnsi" w:eastAsia="Calibri" w:hAnsiTheme="majorHAnsi"/>
        </w:rPr>
        <w:t xml:space="preserve"> will be used </w:t>
      </w:r>
      <w:r w:rsidR="00706113">
        <w:rPr>
          <w:rFonts w:asciiTheme="majorHAnsi" w:eastAsia="Calibri" w:hAnsiTheme="majorHAnsi"/>
        </w:rPr>
        <w:t xml:space="preserve">by environmental health staff </w:t>
      </w:r>
      <w:r w:rsidR="00394733">
        <w:rPr>
          <w:rFonts w:asciiTheme="majorHAnsi" w:eastAsia="Calibri" w:hAnsiTheme="majorHAnsi"/>
        </w:rPr>
        <w:t>to increase the number of well owners who test their wells.</w:t>
      </w:r>
    </w:p>
    <w:p w:rsidR="00394733" w:rsidRDefault="00394733" w:rsidP="00D45ED8">
      <w:pPr>
        <w:pStyle w:val="ListParagraph"/>
        <w:spacing w:after="0"/>
        <w:ind w:left="450"/>
        <w:rPr>
          <w:rFonts w:asciiTheme="majorHAnsi" w:eastAsia="Calibri" w:hAnsiTheme="majorHAnsi"/>
        </w:rPr>
      </w:pPr>
    </w:p>
    <w:p w:rsidR="00394733" w:rsidRDefault="00394733" w:rsidP="001636E7">
      <w:pPr>
        <w:pStyle w:val="ListParagraph"/>
        <w:spacing w:after="0"/>
        <w:ind w:left="0"/>
        <w:rPr>
          <w:rFonts w:asciiTheme="majorHAnsi" w:eastAsia="Calibri" w:hAnsiTheme="majorHAnsi"/>
        </w:rPr>
      </w:pPr>
      <w:r>
        <w:rPr>
          <w:rFonts w:asciiTheme="majorHAnsi" w:eastAsia="Calibri" w:hAnsiTheme="majorHAnsi"/>
        </w:rPr>
        <w:t xml:space="preserve">This data collection and analysis of the data will have several uses. The first is to provide a set of methods and approaches that </w:t>
      </w:r>
      <w:r w:rsidR="007930B1">
        <w:rPr>
          <w:rFonts w:asciiTheme="majorHAnsi" w:eastAsia="Calibri" w:hAnsiTheme="majorHAnsi"/>
        </w:rPr>
        <w:t xml:space="preserve">environmental health staff who </w:t>
      </w:r>
      <w:proofErr w:type="gramStart"/>
      <w:r w:rsidR="007930B1">
        <w:rPr>
          <w:rFonts w:asciiTheme="majorHAnsi" w:eastAsia="Calibri" w:hAnsiTheme="majorHAnsi"/>
        </w:rPr>
        <w:t>conduct</w:t>
      </w:r>
      <w:proofErr w:type="gramEnd"/>
      <w:r w:rsidR="007930B1">
        <w:rPr>
          <w:rFonts w:asciiTheme="majorHAnsi" w:eastAsia="Calibri" w:hAnsiTheme="majorHAnsi"/>
        </w:rPr>
        <w:t xml:space="preserve"> </w:t>
      </w:r>
      <w:r>
        <w:rPr>
          <w:rFonts w:asciiTheme="majorHAnsi" w:eastAsia="Calibri" w:hAnsiTheme="majorHAnsi"/>
        </w:rPr>
        <w:t xml:space="preserve">future </w:t>
      </w:r>
      <w:r w:rsidR="007930B1">
        <w:rPr>
          <w:rFonts w:asciiTheme="majorHAnsi" w:eastAsia="Calibri" w:hAnsiTheme="majorHAnsi"/>
        </w:rPr>
        <w:t xml:space="preserve">private well owner outreach </w:t>
      </w:r>
      <w:r>
        <w:rPr>
          <w:rFonts w:asciiTheme="majorHAnsi" w:eastAsia="Calibri" w:hAnsiTheme="majorHAnsi"/>
        </w:rPr>
        <w:t xml:space="preserve">can </w:t>
      </w:r>
      <w:r w:rsidR="007930B1">
        <w:rPr>
          <w:rFonts w:asciiTheme="majorHAnsi" w:eastAsia="Calibri" w:hAnsiTheme="majorHAnsi"/>
        </w:rPr>
        <w:t>consider</w:t>
      </w:r>
      <w:r>
        <w:rPr>
          <w:rFonts w:asciiTheme="majorHAnsi" w:eastAsia="Calibri" w:hAnsiTheme="majorHAnsi"/>
        </w:rPr>
        <w:t xml:space="preserve">. The second is to provide an </w:t>
      </w:r>
      <w:r w:rsidR="005C42E9">
        <w:rPr>
          <w:rFonts w:asciiTheme="majorHAnsi" w:eastAsia="Calibri" w:hAnsiTheme="majorHAnsi"/>
        </w:rPr>
        <w:t>assessment</w:t>
      </w:r>
      <w:r>
        <w:rPr>
          <w:rFonts w:asciiTheme="majorHAnsi" w:eastAsia="Calibri" w:hAnsiTheme="majorHAnsi"/>
        </w:rPr>
        <w:t xml:space="preserve"> </w:t>
      </w:r>
      <w:r w:rsidR="007D0798">
        <w:rPr>
          <w:rFonts w:asciiTheme="majorHAnsi" w:eastAsia="Calibri" w:hAnsiTheme="majorHAnsi"/>
        </w:rPr>
        <w:t>of each method</w:t>
      </w:r>
      <w:r w:rsidR="00920B66">
        <w:rPr>
          <w:rFonts w:asciiTheme="majorHAnsi" w:eastAsia="Calibri" w:hAnsiTheme="majorHAnsi"/>
        </w:rPr>
        <w:t xml:space="preserve"> or </w:t>
      </w:r>
      <w:r w:rsidR="007D0798">
        <w:rPr>
          <w:rFonts w:asciiTheme="majorHAnsi" w:eastAsia="Calibri" w:hAnsiTheme="majorHAnsi"/>
        </w:rPr>
        <w:t xml:space="preserve">approach </w:t>
      </w:r>
      <w:r>
        <w:rPr>
          <w:rFonts w:asciiTheme="majorHAnsi" w:eastAsia="Calibri" w:hAnsiTheme="majorHAnsi"/>
        </w:rPr>
        <w:t xml:space="preserve">to </w:t>
      </w:r>
      <w:r w:rsidR="007D0798">
        <w:rPr>
          <w:rFonts w:asciiTheme="majorHAnsi" w:eastAsia="Calibri" w:hAnsiTheme="majorHAnsi"/>
        </w:rPr>
        <w:t>summarize when each has been most successful and in what situations each should be considered.</w:t>
      </w:r>
      <w:r w:rsidR="00957E05">
        <w:rPr>
          <w:rFonts w:asciiTheme="majorHAnsi" w:eastAsia="Calibri" w:hAnsiTheme="majorHAnsi"/>
        </w:rPr>
        <w:t xml:space="preserve"> The third is to provide </w:t>
      </w:r>
      <w:r w:rsidR="00772DB4">
        <w:rPr>
          <w:rFonts w:asciiTheme="majorHAnsi" w:eastAsia="Calibri" w:hAnsiTheme="majorHAnsi"/>
        </w:rPr>
        <w:t xml:space="preserve">CDC staff </w:t>
      </w:r>
      <w:r w:rsidR="00706113">
        <w:rPr>
          <w:rFonts w:asciiTheme="majorHAnsi" w:eastAsia="Calibri" w:hAnsiTheme="majorHAnsi"/>
        </w:rPr>
        <w:t xml:space="preserve">at the National Center for Environmental Health </w:t>
      </w:r>
      <w:r w:rsidR="007930B1">
        <w:rPr>
          <w:rFonts w:asciiTheme="majorHAnsi" w:eastAsia="Calibri" w:hAnsiTheme="majorHAnsi"/>
        </w:rPr>
        <w:t xml:space="preserve">who </w:t>
      </w:r>
      <w:proofErr w:type="gramStart"/>
      <w:r w:rsidR="007930B1">
        <w:rPr>
          <w:rFonts w:asciiTheme="majorHAnsi" w:eastAsia="Calibri" w:hAnsiTheme="majorHAnsi"/>
        </w:rPr>
        <w:t>are</w:t>
      </w:r>
      <w:proofErr w:type="gramEnd"/>
      <w:r w:rsidR="00772DB4">
        <w:rPr>
          <w:rFonts w:asciiTheme="majorHAnsi" w:eastAsia="Calibri" w:hAnsiTheme="majorHAnsi"/>
        </w:rPr>
        <w:t xml:space="preserve"> </w:t>
      </w:r>
      <w:r w:rsidR="005C42E9">
        <w:rPr>
          <w:rFonts w:asciiTheme="majorHAnsi" w:eastAsia="Calibri" w:hAnsiTheme="majorHAnsi"/>
        </w:rPr>
        <w:t>assessing</w:t>
      </w:r>
      <w:r w:rsidR="00957E05">
        <w:rPr>
          <w:rFonts w:asciiTheme="majorHAnsi" w:eastAsia="Calibri" w:hAnsiTheme="majorHAnsi"/>
        </w:rPr>
        <w:t xml:space="preserve"> well owner attitudes</w:t>
      </w:r>
      <w:r w:rsidR="00B07E57">
        <w:rPr>
          <w:rFonts w:asciiTheme="majorHAnsi" w:eastAsia="Calibri" w:hAnsiTheme="majorHAnsi"/>
        </w:rPr>
        <w:t>,</w:t>
      </w:r>
      <w:r w:rsidR="00957E05">
        <w:rPr>
          <w:rFonts w:asciiTheme="majorHAnsi" w:eastAsia="Calibri" w:hAnsiTheme="majorHAnsi"/>
        </w:rPr>
        <w:t xml:space="preserve"> with approaches and methods that can be tested and</w:t>
      </w:r>
      <w:r w:rsidR="005B286F">
        <w:rPr>
          <w:rFonts w:asciiTheme="majorHAnsi" w:eastAsia="Calibri" w:hAnsiTheme="majorHAnsi"/>
        </w:rPr>
        <w:t xml:space="preserve"> compared </w:t>
      </w:r>
      <w:r w:rsidR="00957E05">
        <w:rPr>
          <w:rFonts w:asciiTheme="majorHAnsi" w:eastAsia="Calibri" w:hAnsiTheme="majorHAnsi"/>
        </w:rPr>
        <w:t>to further the science of behavioral outcomes based on environmental health risks</w:t>
      </w:r>
      <w:r w:rsidR="003570E6">
        <w:rPr>
          <w:rFonts w:asciiTheme="majorHAnsi" w:eastAsia="Calibri" w:hAnsiTheme="majorHAnsi"/>
        </w:rPr>
        <w:t>.</w:t>
      </w:r>
      <w:r w:rsidR="00772DB4">
        <w:rPr>
          <w:rFonts w:asciiTheme="majorHAnsi" w:eastAsia="Calibri" w:hAnsiTheme="majorHAnsi"/>
        </w:rPr>
        <w:t xml:space="preserve"> </w:t>
      </w:r>
      <w:r w:rsidR="007930B1">
        <w:rPr>
          <w:rFonts w:asciiTheme="majorHAnsi" w:eastAsia="Calibri" w:hAnsiTheme="majorHAnsi"/>
        </w:rPr>
        <w:t>Additionally, a final report will be disseminated nationally to a broader stakeholder group of those interested in environmental health.</w:t>
      </w:r>
      <w:r w:rsidR="00772DB4">
        <w:rPr>
          <w:rFonts w:asciiTheme="majorHAnsi" w:eastAsia="Calibri" w:hAnsiTheme="majorHAnsi"/>
        </w:rPr>
        <w:t xml:space="preserve"> </w:t>
      </w:r>
    </w:p>
    <w:p w:rsidR="00294398" w:rsidRPr="001636E7" w:rsidRDefault="00294398" w:rsidP="001636E7">
      <w:pPr>
        <w:spacing w:after="0"/>
        <w:rPr>
          <w:rFonts w:asciiTheme="majorHAnsi" w:hAnsiTheme="majorHAnsi"/>
        </w:rPr>
      </w:pPr>
    </w:p>
    <w:p w:rsidR="006102DA" w:rsidRDefault="006102DA" w:rsidP="0014667A">
      <w:pPr>
        <w:spacing w:after="0"/>
        <w:rPr>
          <w:rFonts w:asciiTheme="majorHAnsi" w:hAnsiTheme="majorHAnsi"/>
        </w:rPr>
      </w:pPr>
      <w:r>
        <w:rPr>
          <w:rFonts w:asciiTheme="majorHAnsi" w:hAnsiTheme="majorHAnsi"/>
          <w:u w:val="single"/>
        </w:rPr>
        <w:t>Privacy Impact Assessment</w:t>
      </w:r>
      <w:r w:rsidR="00DB7F78">
        <w:rPr>
          <w:rFonts w:asciiTheme="majorHAnsi" w:hAnsiTheme="majorHAnsi"/>
          <w:u w:val="single"/>
        </w:rPr>
        <w:t xml:space="preserve"> </w:t>
      </w:r>
    </w:p>
    <w:p w:rsidR="00972C2C" w:rsidRDefault="007A0031" w:rsidP="0014667A">
      <w:pPr>
        <w:pStyle w:val="ListParagraph"/>
        <w:spacing w:after="0"/>
        <w:ind w:left="0"/>
        <w:rPr>
          <w:rFonts w:asciiTheme="majorHAnsi" w:hAnsiTheme="majorHAnsi"/>
        </w:rPr>
      </w:pPr>
      <w:r>
        <w:rPr>
          <w:rFonts w:asciiTheme="majorHAnsi" w:hAnsiTheme="majorHAnsi"/>
        </w:rPr>
        <w:t>The data</w:t>
      </w:r>
      <w:r w:rsidR="005F47A1">
        <w:rPr>
          <w:rFonts w:asciiTheme="majorHAnsi" w:hAnsiTheme="majorHAnsi"/>
        </w:rPr>
        <w:t xml:space="preserve"> supplied by the participants, as well as the data identifying participants, will be maintained on secure computers behind the University of Illinois firewall. </w:t>
      </w:r>
      <w:r w:rsidR="00972C2C">
        <w:rPr>
          <w:rFonts w:asciiTheme="majorHAnsi" w:hAnsiTheme="majorHAnsi"/>
        </w:rPr>
        <w:t xml:space="preserve">Data will be password protected so that only authorized users will have access to the data collected. </w:t>
      </w:r>
    </w:p>
    <w:p w:rsidR="00972C2C" w:rsidRDefault="00972C2C" w:rsidP="0014667A">
      <w:pPr>
        <w:pStyle w:val="ListParagraph"/>
        <w:spacing w:after="0"/>
        <w:ind w:left="0"/>
        <w:rPr>
          <w:rFonts w:asciiTheme="majorHAnsi" w:hAnsiTheme="majorHAnsi"/>
        </w:rPr>
      </w:pPr>
    </w:p>
    <w:p w:rsidR="0089236E" w:rsidRDefault="00972C2C" w:rsidP="0014667A">
      <w:pPr>
        <w:pStyle w:val="ListParagraph"/>
        <w:spacing w:after="0"/>
        <w:ind w:left="0"/>
        <w:rPr>
          <w:rFonts w:asciiTheme="majorHAnsi" w:hAnsiTheme="majorHAnsi"/>
        </w:rPr>
      </w:pPr>
      <w:r>
        <w:rPr>
          <w:rFonts w:asciiTheme="majorHAnsi" w:eastAsia="Calibri" w:hAnsiTheme="majorHAnsi"/>
        </w:rPr>
        <w:t xml:space="preserve">The scope of data collection is limited to </w:t>
      </w:r>
      <w:r w:rsidR="00B07E57">
        <w:rPr>
          <w:rFonts w:asciiTheme="majorHAnsi" w:eastAsia="Calibri" w:hAnsiTheme="majorHAnsi"/>
        </w:rPr>
        <w:t xml:space="preserve">outreach </w:t>
      </w:r>
      <w:r w:rsidR="000978DB">
        <w:rPr>
          <w:rFonts w:asciiTheme="majorHAnsi" w:eastAsia="Calibri" w:hAnsiTheme="majorHAnsi"/>
        </w:rPr>
        <w:t xml:space="preserve">program logistics, </w:t>
      </w:r>
      <w:r>
        <w:rPr>
          <w:rFonts w:asciiTheme="majorHAnsi" w:eastAsia="Calibri" w:hAnsiTheme="majorHAnsi"/>
        </w:rPr>
        <w:t xml:space="preserve">results, and opinions of </w:t>
      </w:r>
      <w:r w:rsidR="007930B1" w:rsidRPr="007930B1">
        <w:rPr>
          <w:rFonts w:asciiTheme="majorHAnsi" w:eastAsia="Calibri" w:hAnsiTheme="majorHAnsi"/>
        </w:rPr>
        <w:t xml:space="preserve">environmental health staff at state, local, and tribal environmental health and agricultural </w:t>
      </w:r>
      <w:r w:rsidR="00B07E57">
        <w:rPr>
          <w:rFonts w:asciiTheme="majorHAnsi" w:eastAsia="Calibri" w:hAnsiTheme="majorHAnsi"/>
        </w:rPr>
        <w:t>departments</w:t>
      </w:r>
      <w:r w:rsidR="007930B1" w:rsidRPr="007930B1">
        <w:rPr>
          <w:rFonts w:asciiTheme="majorHAnsi" w:eastAsia="Calibri" w:hAnsiTheme="majorHAnsi"/>
        </w:rPr>
        <w:t xml:space="preserve"> who are government employees and who conduct </w:t>
      </w:r>
      <w:r w:rsidR="007930B1">
        <w:rPr>
          <w:rFonts w:asciiTheme="majorHAnsi" w:eastAsia="Calibri" w:hAnsiTheme="majorHAnsi"/>
        </w:rPr>
        <w:t>outreach to private well owners</w:t>
      </w:r>
      <w:r>
        <w:rPr>
          <w:rFonts w:asciiTheme="majorHAnsi" w:eastAsia="Calibri" w:hAnsiTheme="majorHAnsi"/>
        </w:rPr>
        <w:t>.</w:t>
      </w:r>
      <w:r w:rsidR="00FA63B7">
        <w:rPr>
          <w:rFonts w:asciiTheme="majorHAnsi" w:eastAsia="Calibri" w:hAnsiTheme="majorHAnsi"/>
        </w:rPr>
        <w:t xml:space="preserve"> </w:t>
      </w:r>
      <w:r w:rsidR="00CC52C5">
        <w:rPr>
          <w:rFonts w:asciiTheme="majorHAnsi" w:eastAsia="Calibri" w:hAnsiTheme="majorHAnsi"/>
        </w:rPr>
        <w:t xml:space="preserve">Any </w:t>
      </w:r>
      <w:r w:rsidR="000E25FD">
        <w:rPr>
          <w:rFonts w:asciiTheme="majorHAnsi" w:eastAsia="Calibri" w:hAnsiTheme="majorHAnsi"/>
        </w:rPr>
        <w:t xml:space="preserve">personally identifiable information will be </w:t>
      </w:r>
      <w:r w:rsidR="00CC52C5">
        <w:rPr>
          <w:rFonts w:asciiTheme="majorHAnsi" w:eastAsia="Calibri" w:hAnsiTheme="majorHAnsi"/>
        </w:rPr>
        <w:t>kept secure, and will not be</w:t>
      </w:r>
      <w:r w:rsidR="00057B82">
        <w:rPr>
          <w:rFonts w:asciiTheme="majorHAnsi" w:eastAsia="Calibri" w:hAnsiTheme="majorHAnsi"/>
        </w:rPr>
        <w:t xml:space="preserve"> </w:t>
      </w:r>
      <w:r w:rsidR="000E25FD">
        <w:rPr>
          <w:rFonts w:asciiTheme="majorHAnsi" w:eastAsia="Calibri" w:hAnsiTheme="majorHAnsi"/>
        </w:rPr>
        <w:t>provided in the report.</w:t>
      </w:r>
      <w:r w:rsidR="006B75A4">
        <w:rPr>
          <w:rFonts w:asciiTheme="majorHAnsi" w:eastAsia="Calibri" w:hAnsiTheme="majorHAnsi"/>
        </w:rPr>
        <w:t xml:space="preserve"> Details of the report and other plans to disseminate the final results from this work are described in section 16 of this document.</w:t>
      </w:r>
    </w:p>
    <w:p w:rsidR="00F52BCC" w:rsidRDefault="00F52BCC" w:rsidP="00F52BCC">
      <w:pPr>
        <w:pStyle w:val="ListParagraph"/>
        <w:spacing w:after="0"/>
        <w:rPr>
          <w:rFonts w:asciiTheme="majorHAnsi" w:hAnsiTheme="majorHAnsi"/>
        </w:rPr>
      </w:pPr>
    </w:p>
    <w:p w:rsidR="00B12F51" w:rsidRPr="0014667A" w:rsidRDefault="00B47055" w:rsidP="0014667A">
      <w:pPr>
        <w:pStyle w:val="ListParagraph"/>
        <w:numPr>
          <w:ilvl w:val="0"/>
          <w:numId w:val="2"/>
        </w:numPr>
        <w:spacing w:after="0"/>
        <w:ind w:left="360"/>
        <w:rPr>
          <w:rFonts w:asciiTheme="majorHAnsi" w:hAnsiTheme="majorHAnsi"/>
          <w:b/>
        </w:rPr>
      </w:pPr>
      <w:r w:rsidRPr="00B47055">
        <w:rPr>
          <w:rFonts w:asciiTheme="majorHAnsi" w:hAnsiTheme="majorHAnsi"/>
          <w:b/>
          <w:bCs/>
        </w:rPr>
        <w:t>Use of Improved Information Technology and Burden Reduction</w:t>
      </w:r>
    </w:p>
    <w:p w:rsidR="00F52BCC" w:rsidRDefault="00DC79CC" w:rsidP="0014667A">
      <w:pPr>
        <w:pStyle w:val="ListParagraph"/>
        <w:spacing w:after="0"/>
        <w:ind w:left="0"/>
        <w:rPr>
          <w:rFonts w:asciiTheme="majorHAnsi" w:hAnsiTheme="majorHAnsi"/>
        </w:rPr>
      </w:pPr>
      <w:r>
        <w:rPr>
          <w:rFonts w:asciiTheme="majorHAnsi" w:hAnsiTheme="majorHAnsi"/>
        </w:rPr>
        <w:t xml:space="preserve">Data will be collected via a web-based </w:t>
      </w:r>
      <w:r w:rsidR="000E25FD">
        <w:rPr>
          <w:rFonts w:asciiTheme="majorHAnsi" w:hAnsiTheme="majorHAnsi"/>
        </w:rPr>
        <w:t xml:space="preserve">tool, </w:t>
      </w:r>
      <w:r w:rsidR="00C25C86">
        <w:rPr>
          <w:rFonts w:asciiTheme="majorHAnsi" w:hAnsiTheme="majorHAnsi"/>
        </w:rPr>
        <w:t>Survey Monkey</w:t>
      </w:r>
      <w:r w:rsidR="000E25FD">
        <w:rPr>
          <w:rFonts w:asciiTheme="majorHAnsi" w:hAnsiTheme="majorHAnsi"/>
        </w:rPr>
        <w:t>®. This will</w:t>
      </w:r>
      <w:r>
        <w:rPr>
          <w:rFonts w:asciiTheme="majorHAnsi" w:hAnsiTheme="majorHAnsi"/>
        </w:rPr>
        <w:t xml:space="preserve"> allow respondents to complete and submit their responses electronically. This method was chosen to reduce the overall burden on respondents. </w:t>
      </w:r>
      <w:r w:rsidR="000E25FD">
        <w:rPr>
          <w:rFonts w:asciiTheme="majorHAnsi" w:hAnsiTheme="majorHAnsi"/>
        </w:rPr>
        <w:t xml:space="preserve">The </w:t>
      </w:r>
      <w:r w:rsidR="0000355F">
        <w:rPr>
          <w:rFonts w:asciiTheme="majorHAnsi" w:hAnsiTheme="majorHAnsi"/>
        </w:rPr>
        <w:t>questions</w:t>
      </w:r>
      <w:r w:rsidR="000E25FD">
        <w:rPr>
          <w:rFonts w:asciiTheme="majorHAnsi" w:hAnsiTheme="majorHAnsi"/>
        </w:rPr>
        <w:t xml:space="preserve"> will use easy to read and understand response scales, check boxes, or text boxes. </w:t>
      </w:r>
      <w:r>
        <w:rPr>
          <w:rFonts w:asciiTheme="majorHAnsi" w:hAnsiTheme="majorHAnsi"/>
        </w:rPr>
        <w:t xml:space="preserve">The </w:t>
      </w:r>
      <w:r w:rsidR="0000355F">
        <w:rPr>
          <w:rFonts w:asciiTheme="majorHAnsi" w:hAnsiTheme="majorHAnsi"/>
        </w:rPr>
        <w:t>data collection instrument</w:t>
      </w:r>
      <w:r>
        <w:rPr>
          <w:rFonts w:asciiTheme="majorHAnsi" w:hAnsiTheme="majorHAnsi"/>
        </w:rPr>
        <w:t xml:space="preserve"> was designed to collect the minimum </w:t>
      </w:r>
      <w:r>
        <w:rPr>
          <w:rFonts w:asciiTheme="majorHAnsi" w:hAnsiTheme="majorHAnsi"/>
        </w:rPr>
        <w:lastRenderedPageBreak/>
        <w:t>information necessary for the purposes of this project</w:t>
      </w:r>
      <w:r w:rsidR="00F733DF">
        <w:rPr>
          <w:rFonts w:asciiTheme="majorHAnsi" w:hAnsiTheme="majorHAnsi"/>
        </w:rPr>
        <w:t>.</w:t>
      </w:r>
      <w:r w:rsidR="00AB251E">
        <w:rPr>
          <w:rFonts w:asciiTheme="majorHAnsi" w:hAnsiTheme="majorHAnsi"/>
        </w:rPr>
        <w:t xml:space="preserve"> </w:t>
      </w:r>
      <w:r w:rsidR="00BD667A">
        <w:rPr>
          <w:rFonts w:asciiTheme="majorHAnsi" w:hAnsiTheme="majorHAnsi"/>
        </w:rPr>
        <w:t xml:space="preserve">Participants will be asked to provide details of their programs, as well as their opinions on the </w:t>
      </w:r>
      <w:r w:rsidR="000E25FD">
        <w:rPr>
          <w:rFonts w:asciiTheme="majorHAnsi" w:hAnsiTheme="majorHAnsi"/>
        </w:rPr>
        <w:t xml:space="preserve">several aspects of their program. </w:t>
      </w:r>
    </w:p>
    <w:p w:rsidR="00784ABF" w:rsidRPr="00CA3CC9" w:rsidRDefault="00784ABF" w:rsidP="0014667A">
      <w:pPr>
        <w:pStyle w:val="ListParagraph"/>
        <w:spacing w:after="0"/>
        <w:ind w:left="270"/>
        <w:rPr>
          <w:rFonts w:asciiTheme="majorHAnsi" w:hAnsiTheme="majorHAnsi"/>
        </w:rPr>
      </w:pPr>
    </w:p>
    <w:p w:rsidR="00E8736B" w:rsidRDefault="00CA3CC9" w:rsidP="0014667A">
      <w:pPr>
        <w:pStyle w:val="ListParagraph"/>
        <w:spacing w:after="0"/>
        <w:ind w:left="0"/>
        <w:rPr>
          <w:rFonts w:asciiTheme="majorHAnsi" w:hAnsiTheme="majorHAnsi"/>
        </w:rPr>
      </w:pPr>
      <w:r w:rsidRPr="008F5320">
        <w:rPr>
          <w:rFonts w:asciiTheme="majorHAnsi" w:hAnsiTheme="majorHAnsi" w:cstheme="minorHAnsi"/>
        </w:rPr>
        <w:t>Survey Monkey ® has a data center located in a SAS70 Type II certified facility. The facility is staffed and under surveillance 24/7.  The servers are in a locked cage, with digital surveillance equipment monitoring at the data center.  Secure Sockets Layer (SSL) technology protects user information using both server authentication and data encryption, ensuring that data is safe, secure and available only to authorized persons in a password protected system.  Personally identified information will not be collected.</w:t>
      </w:r>
    </w:p>
    <w:p w:rsidR="00B47055" w:rsidRDefault="00B47055" w:rsidP="00F52BCC">
      <w:pPr>
        <w:pStyle w:val="ListParagraph"/>
        <w:spacing w:after="0"/>
        <w:rPr>
          <w:rFonts w:asciiTheme="majorHAnsi" w:hAnsiTheme="majorHAnsi"/>
        </w:rPr>
      </w:pPr>
    </w:p>
    <w:p w:rsidR="00B47055" w:rsidRPr="00B47055" w:rsidRDefault="00B47055" w:rsidP="0014667A">
      <w:pPr>
        <w:pStyle w:val="ListParagraph"/>
        <w:numPr>
          <w:ilvl w:val="0"/>
          <w:numId w:val="2"/>
        </w:numPr>
        <w:spacing w:after="0"/>
        <w:ind w:left="360"/>
        <w:rPr>
          <w:rFonts w:asciiTheme="majorHAnsi" w:hAnsiTheme="majorHAnsi"/>
          <w:b/>
        </w:rPr>
      </w:pPr>
      <w:r w:rsidRPr="00B47055">
        <w:rPr>
          <w:rFonts w:asciiTheme="majorHAnsi" w:hAnsiTheme="majorHAnsi"/>
          <w:b/>
          <w:bCs/>
        </w:rPr>
        <w:t>Efforts to Identify Duplication and Use of Similar Information</w:t>
      </w:r>
    </w:p>
    <w:p w:rsidR="007E211A" w:rsidRPr="0014667A" w:rsidRDefault="00ED6252" w:rsidP="0087258D">
      <w:pPr>
        <w:pStyle w:val="ListParagraph"/>
        <w:spacing w:after="0"/>
        <w:ind w:left="0"/>
        <w:rPr>
          <w:rFonts w:asciiTheme="majorHAnsi" w:hAnsiTheme="majorHAnsi"/>
        </w:rPr>
      </w:pPr>
      <w:r>
        <w:rPr>
          <w:rFonts w:asciiTheme="majorHAnsi" w:hAnsiTheme="majorHAnsi"/>
        </w:rPr>
        <w:t xml:space="preserve">There has not been a systematic </w:t>
      </w:r>
      <w:r w:rsidR="005E4B28">
        <w:rPr>
          <w:rFonts w:asciiTheme="majorHAnsi" w:hAnsiTheme="majorHAnsi"/>
        </w:rPr>
        <w:t>assessment</w:t>
      </w:r>
      <w:r>
        <w:rPr>
          <w:rFonts w:asciiTheme="majorHAnsi" w:hAnsiTheme="majorHAnsi"/>
        </w:rPr>
        <w:t xml:space="preserve"> of methods and approaches used by </w:t>
      </w:r>
      <w:r w:rsidR="007930B1" w:rsidRPr="007930B1">
        <w:rPr>
          <w:rFonts w:asciiTheme="majorHAnsi" w:hAnsiTheme="majorHAnsi"/>
        </w:rPr>
        <w:t xml:space="preserve">environmental health staff at state, local, and tribal environmental health and agricultural </w:t>
      </w:r>
      <w:r w:rsidR="003C064C">
        <w:rPr>
          <w:rFonts w:asciiTheme="majorHAnsi" w:hAnsiTheme="majorHAnsi"/>
        </w:rPr>
        <w:t>departments</w:t>
      </w:r>
      <w:r w:rsidR="007930B1" w:rsidRPr="007930B1">
        <w:rPr>
          <w:rFonts w:asciiTheme="majorHAnsi" w:hAnsiTheme="majorHAnsi"/>
        </w:rPr>
        <w:t xml:space="preserve"> who are government employees and who conduct </w:t>
      </w:r>
      <w:r w:rsidR="007930B1">
        <w:rPr>
          <w:rFonts w:asciiTheme="majorHAnsi" w:hAnsiTheme="majorHAnsi"/>
        </w:rPr>
        <w:t>outreach to private well owners</w:t>
      </w:r>
      <w:r>
        <w:rPr>
          <w:rFonts w:asciiTheme="majorHAnsi" w:hAnsiTheme="majorHAnsi"/>
        </w:rPr>
        <w:t xml:space="preserve">. </w:t>
      </w:r>
      <w:r w:rsidR="0014667A">
        <w:rPr>
          <w:rFonts w:asciiTheme="majorHAnsi" w:hAnsiTheme="majorHAnsi"/>
        </w:rPr>
        <w:t xml:space="preserve"> A</w:t>
      </w:r>
      <w:r w:rsidR="00057B82" w:rsidRPr="0014667A">
        <w:rPr>
          <w:rFonts w:asciiTheme="majorHAnsi" w:hAnsiTheme="majorHAnsi"/>
        </w:rPr>
        <w:t>vailable</w:t>
      </w:r>
      <w:r w:rsidR="00BD667A" w:rsidRPr="0014667A">
        <w:rPr>
          <w:rFonts w:asciiTheme="majorHAnsi" w:hAnsiTheme="majorHAnsi"/>
        </w:rPr>
        <w:t xml:space="preserve"> </w:t>
      </w:r>
      <w:r w:rsidR="00DC3EE3">
        <w:rPr>
          <w:rFonts w:asciiTheme="majorHAnsi" w:hAnsiTheme="majorHAnsi"/>
        </w:rPr>
        <w:t>data</w:t>
      </w:r>
      <w:r w:rsidR="00DC3EE3" w:rsidRPr="0014667A">
        <w:rPr>
          <w:rFonts w:asciiTheme="majorHAnsi" w:hAnsiTheme="majorHAnsi"/>
        </w:rPr>
        <w:t xml:space="preserve"> </w:t>
      </w:r>
      <w:r w:rsidR="00BD667A" w:rsidRPr="0014667A">
        <w:rPr>
          <w:rFonts w:asciiTheme="majorHAnsi" w:hAnsiTheme="majorHAnsi"/>
        </w:rPr>
        <w:t>ha</w:t>
      </w:r>
      <w:r w:rsidR="00326A05" w:rsidRPr="0014667A">
        <w:rPr>
          <w:rFonts w:asciiTheme="majorHAnsi" w:hAnsiTheme="majorHAnsi"/>
        </w:rPr>
        <w:t>s</w:t>
      </w:r>
      <w:r w:rsidR="00BD667A" w:rsidRPr="0014667A">
        <w:rPr>
          <w:rFonts w:asciiTheme="majorHAnsi" w:hAnsiTheme="majorHAnsi"/>
        </w:rPr>
        <w:t xml:space="preserve"> looked at </w:t>
      </w:r>
      <w:r w:rsidR="00AD2A75" w:rsidRPr="0014667A">
        <w:rPr>
          <w:rFonts w:asciiTheme="majorHAnsi" w:hAnsiTheme="majorHAnsi"/>
        </w:rPr>
        <w:t>o</w:t>
      </w:r>
      <w:r w:rsidR="00BD667A" w:rsidRPr="0014667A">
        <w:rPr>
          <w:rFonts w:asciiTheme="majorHAnsi" w:hAnsiTheme="majorHAnsi"/>
        </w:rPr>
        <w:t>ptions to increase participation of well owners</w:t>
      </w:r>
      <w:r w:rsidR="00057B82" w:rsidRPr="0014667A">
        <w:rPr>
          <w:rFonts w:asciiTheme="majorHAnsi" w:hAnsiTheme="majorHAnsi"/>
        </w:rPr>
        <w:t xml:space="preserve"> in testing</w:t>
      </w:r>
      <w:r w:rsidR="00BD667A" w:rsidRPr="0014667A">
        <w:rPr>
          <w:rFonts w:asciiTheme="majorHAnsi" w:hAnsiTheme="majorHAnsi"/>
        </w:rPr>
        <w:t>, but these have been very limited in scope</w:t>
      </w:r>
      <w:r w:rsidR="007616D8" w:rsidRPr="0014667A">
        <w:rPr>
          <w:rFonts w:asciiTheme="majorHAnsi" w:hAnsiTheme="majorHAnsi"/>
        </w:rPr>
        <w:t xml:space="preserve"> or have focused directly on the well owners themselves. </w:t>
      </w:r>
      <w:r w:rsidR="00326A05" w:rsidRPr="0014667A">
        <w:rPr>
          <w:rFonts w:asciiTheme="majorHAnsi" w:hAnsiTheme="majorHAnsi"/>
        </w:rPr>
        <w:t>U</w:t>
      </w:r>
      <w:r w:rsidR="007616D8" w:rsidRPr="0014667A">
        <w:rPr>
          <w:rFonts w:asciiTheme="majorHAnsi" w:hAnsiTheme="majorHAnsi"/>
        </w:rPr>
        <w:t xml:space="preserve">nless data are collected from many </w:t>
      </w:r>
      <w:r w:rsidR="007930B1">
        <w:rPr>
          <w:rFonts w:asciiTheme="majorHAnsi" w:hAnsiTheme="majorHAnsi"/>
        </w:rPr>
        <w:t xml:space="preserve">environmental health and agricultural </w:t>
      </w:r>
      <w:r w:rsidR="003C064C">
        <w:rPr>
          <w:rFonts w:asciiTheme="majorHAnsi" w:hAnsiTheme="majorHAnsi"/>
        </w:rPr>
        <w:t>departments’ outreach programs</w:t>
      </w:r>
      <w:r w:rsidR="007616D8" w:rsidRPr="0014667A">
        <w:rPr>
          <w:rFonts w:asciiTheme="majorHAnsi" w:hAnsiTheme="majorHAnsi"/>
        </w:rPr>
        <w:t xml:space="preserve"> in multiple areas with differing environmental issues, these </w:t>
      </w:r>
      <w:r w:rsidR="00111AC1" w:rsidRPr="0014667A">
        <w:rPr>
          <w:rFonts w:asciiTheme="majorHAnsi" w:hAnsiTheme="majorHAnsi"/>
        </w:rPr>
        <w:t>data</w:t>
      </w:r>
      <w:r w:rsidR="007616D8" w:rsidRPr="0014667A">
        <w:rPr>
          <w:rFonts w:asciiTheme="majorHAnsi" w:hAnsiTheme="majorHAnsi"/>
        </w:rPr>
        <w:t xml:space="preserve"> will not provide the breadth of possible </w:t>
      </w:r>
      <w:r w:rsidR="00111AC1" w:rsidRPr="0014667A">
        <w:rPr>
          <w:rFonts w:asciiTheme="majorHAnsi" w:hAnsiTheme="majorHAnsi"/>
        </w:rPr>
        <w:t xml:space="preserve">methods </w:t>
      </w:r>
      <w:r w:rsidR="007616D8" w:rsidRPr="0014667A">
        <w:rPr>
          <w:rFonts w:asciiTheme="majorHAnsi" w:hAnsiTheme="majorHAnsi"/>
        </w:rPr>
        <w:t xml:space="preserve">in use to adequately </w:t>
      </w:r>
      <w:r w:rsidR="005E4B28">
        <w:rPr>
          <w:rFonts w:asciiTheme="majorHAnsi" w:hAnsiTheme="majorHAnsi"/>
        </w:rPr>
        <w:t>assess</w:t>
      </w:r>
      <w:r w:rsidR="007616D8" w:rsidRPr="0014667A">
        <w:rPr>
          <w:rFonts w:asciiTheme="majorHAnsi" w:hAnsiTheme="majorHAnsi"/>
        </w:rPr>
        <w:t xml:space="preserve"> how and why specific approaches may increase participation</w:t>
      </w:r>
      <w:r w:rsidR="00BD667A" w:rsidRPr="0014667A">
        <w:rPr>
          <w:rFonts w:asciiTheme="majorHAnsi" w:hAnsiTheme="majorHAnsi"/>
        </w:rPr>
        <w:t xml:space="preserve"> </w:t>
      </w:r>
      <w:r w:rsidR="007616D8" w:rsidRPr="0014667A">
        <w:rPr>
          <w:rFonts w:asciiTheme="majorHAnsi" w:hAnsiTheme="majorHAnsi"/>
        </w:rPr>
        <w:t>in some cases and not in others</w:t>
      </w:r>
      <w:r w:rsidR="00111AC1" w:rsidRPr="0014667A">
        <w:rPr>
          <w:rFonts w:asciiTheme="majorHAnsi" w:hAnsiTheme="majorHAnsi"/>
        </w:rPr>
        <w:t xml:space="preserve">. </w:t>
      </w:r>
      <w:r w:rsidR="007616D8" w:rsidRPr="0014667A">
        <w:rPr>
          <w:rFonts w:asciiTheme="majorHAnsi" w:hAnsiTheme="majorHAnsi"/>
        </w:rPr>
        <w:t xml:space="preserve">Well owners </w:t>
      </w:r>
      <w:r w:rsidR="00326A05" w:rsidRPr="0014667A">
        <w:rPr>
          <w:rFonts w:asciiTheme="majorHAnsi" w:hAnsiTheme="majorHAnsi"/>
        </w:rPr>
        <w:t xml:space="preserve">are likely </w:t>
      </w:r>
      <w:r w:rsidR="00111AC1" w:rsidRPr="0014667A">
        <w:rPr>
          <w:rFonts w:asciiTheme="majorHAnsi" w:hAnsiTheme="majorHAnsi"/>
        </w:rPr>
        <w:t xml:space="preserve">motivated in different ways. This data collection will provide information from many individual programs that </w:t>
      </w:r>
      <w:r w:rsidR="00057B82" w:rsidRPr="0014667A">
        <w:rPr>
          <w:rFonts w:asciiTheme="majorHAnsi" w:hAnsiTheme="majorHAnsi"/>
        </w:rPr>
        <w:t xml:space="preserve">when looked at </w:t>
      </w:r>
      <w:r w:rsidR="00111AC1" w:rsidRPr="0014667A">
        <w:rPr>
          <w:rFonts w:asciiTheme="majorHAnsi" w:hAnsiTheme="majorHAnsi"/>
        </w:rPr>
        <w:t xml:space="preserve">together </w:t>
      </w:r>
      <w:r w:rsidR="00057B82" w:rsidRPr="0014667A">
        <w:rPr>
          <w:rFonts w:asciiTheme="majorHAnsi" w:hAnsiTheme="majorHAnsi"/>
        </w:rPr>
        <w:t xml:space="preserve">may </w:t>
      </w:r>
      <w:r w:rsidR="00111AC1" w:rsidRPr="0014667A">
        <w:rPr>
          <w:rFonts w:asciiTheme="majorHAnsi" w:hAnsiTheme="majorHAnsi"/>
        </w:rPr>
        <w:t xml:space="preserve">explain when and where a specific approach will likely be most effective at increasing participation. It also gives the program </w:t>
      </w:r>
      <w:r w:rsidR="00326A05" w:rsidRPr="0014667A">
        <w:rPr>
          <w:rFonts w:asciiTheme="majorHAnsi" w:hAnsiTheme="majorHAnsi"/>
        </w:rPr>
        <w:t>directors</w:t>
      </w:r>
      <w:r w:rsidR="00111AC1" w:rsidRPr="0014667A">
        <w:rPr>
          <w:rFonts w:asciiTheme="majorHAnsi" w:hAnsiTheme="majorHAnsi"/>
        </w:rPr>
        <w:t xml:space="preserve"> </w:t>
      </w:r>
      <w:r w:rsidR="008F5320" w:rsidRPr="0014667A">
        <w:rPr>
          <w:rFonts w:asciiTheme="majorHAnsi" w:hAnsiTheme="majorHAnsi"/>
        </w:rPr>
        <w:t>the opportunity</w:t>
      </w:r>
      <w:r w:rsidR="00111AC1" w:rsidRPr="0014667A">
        <w:rPr>
          <w:rFonts w:asciiTheme="majorHAnsi" w:hAnsiTheme="majorHAnsi"/>
        </w:rPr>
        <w:t xml:space="preserve"> to provide insight from their own experiences that can supplement </w:t>
      </w:r>
      <w:r w:rsidR="00576371" w:rsidRPr="0014667A">
        <w:rPr>
          <w:rFonts w:asciiTheme="majorHAnsi" w:hAnsiTheme="majorHAnsi"/>
        </w:rPr>
        <w:t xml:space="preserve">the quantitative data. </w:t>
      </w:r>
      <w:r w:rsidR="006D2CA9">
        <w:rPr>
          <w:rFonts w:asciiTheme="majorHAnsi" w:hAnsiTheme="majorHAnsi"/>
        </w:rPr>
        <w:t xml:space="preserve">This is a unique and </w:t>
      </w:r>
      <w:r w:rsidR="007616D8" w:rsidRPr="0014667A">
        <w:rPr>
          <w:rFonts w:asciiTheme="majorHAnsi" w:hAnsiTheme="majorHAnsi"/>
        </w:rPr>
        <w:t>needed data collection</w:t>
      </w:r>
      <w:r w:rsidR="00111AC1" w:rsidRPr="0014667A">
        <w:rPr>
          <w:rFonts w:asciiTheme="majorHAnsi" w:hAnsiTheme="majorHAnsi"/>
        </w:rPr>
        <w:t>, which does not currently exist</w:t>
      </w:r>
      <w:r w:rsidR="008F5320" w:rsidRPr="0014667A">
        <w:rPr>
          <w:rFonts w:asciiTheme="majorHAnsi" w:hAnsiTheme="majorHAnsi"/>
        </w:rPr>
        <w:t>. It</w:t>
      </w:r>
      <w:r w:rsidR="007616D8" w:rsidRPr="0014667A">
        <w:rPr>
          <w:rFonts w:asciiTheme="majorHAnsi" w:hAnsiTheme="majorHAnsi"/>
        </w:rPr>
        <w:t xml:space="preserve"> will provide </w:t>
      </w:r>
      <w:r w:rsidR="006D2CA9">
        <w:rPr>
          <w:rFonts w:asciiTheme="majorHAnsi" w:hAnsiTheme="majorHAnsi"/>
        </w:rPr>
        <w:t xml:space="preserve">environmental health staff at state, local, and tribal environmental health and agricultural departments who are government employees and who conduct outreach to private well owners </w:t>
      </w:r>
      <w:r w:rsidR="007616D8" w:rsidRPr="0014667A">
        <w:rPr>
          <w:rFonts w:asciiTheme="majorHAnsi" w:hAnsiTheme="majorHAnsi"/>
        </w:rPr>
        <w:t>with assistance in increasing well owner participation in their own programs</w:t>
      </w:r>
      <w:r w:rsidR="00111AC1" w:rsidRPr="0014667A">
        <w:rPr>
          <w:rFonts w:asciiTheme="majorHAnsi" w:hAnsiTheme="majorHAnsi"/>
        </w:rPr>
        <w:t>.</w:t>
      </w:r>
    </w:p>
    <w:p w:rsidR="00E33E1B" w:rsidRDefault="00E33E1B" w:rsidP="0014667A">
      <w:pPr>
        <w:pStyle w:val="ListParagraph"/>
        <w:spacing w:after="0"/>
        <w:ind w:left="270"/>
        <w:rPr>
          <w:rFonts w:asciiTheme="majorHAnsi" w:hAnsiTheme="majorHAnsi"/>
        </w:rPr>
      </w:pPr>
    </w:p>
    <w:p w:rsidR="00B12F51" w:rsidRPr="00B47055" w:rsidRDefault="00B47055" w:rsidP="0014667A">
      <w:pPr>
        <w:pStyle w:val="ListParagraph"/>
        <w:numPr>
          <w:ilvl w:val="0"/>
          <w:numId w:val="2"/>
        </w:numPr>
        <w:spacing w:after="0"/>
        <w:ind w:left="360"/>
        <w:rPr>
          <w:rFonts w:asciiTheme="majorHAnsi" w:hAnsiTheme="majorHAnsi"/>
          <w:b/>
        </w:rPr>
      </w:pPr>
      <w:r w:rsidRPr="00B47055">
        <w:rPr>
          <w:rFonts w:asciiTheme="majorHAnsi" w:hAnsiTheme="majorHAnsi"/>
          <w:b/>
          <w:bCs/>
        </w:rPr>
        <w:t>Impact on Small Businesses or Other Small Entities</w:t>
      </w:r>
    </w:p>
    <w:p w:rsidR="0053557D" w:rsidRDefault="00D26A64" w:rsidP="0087258D">
      <w:pPr>
        <w:pStyle w:val="ListParagraph"/>
        <w:spacing w:after="0"/>
        <w:ind w:left="0"/>
        <w:rPr>
          <w:rFonts w:asciiTheme="majorHAnsi" w:hAnsiTheme="majorHAnsi"/>
        </w:rPr>
      </w:pPr>
      <w:r>
        <w:rPr>
          <w:rFonts w:asciiTheme="majorHAnsi" w:hAnsiTheme="majorHAnsi"/>
        </w:rPr>
        <w:t>N</w:t>
      </w:r>
      <w:r w:rsidR="00AF2252">
        <w:rPr>
          <w:rFonts w:asciiTheme="majorHAnsi" w:hAnsiTheme="majorHAnsi"/>
        </w:rPr>
        <w:t>o small businesses will be involved in this dat</w:t>
      </w:r>
      <w:r w:rsidR="009735EE">
        <w:rPr>
          <w:rFonts w:asciiTheme="majorHAnsi" w:hAnsiTheme="majorHAnsi"/>
        </w:rPr>
        <w:t>a</w:t>
      </w:r>
      <w:r w:rsidR="00AF2252">
        <w:rPr>
          <w:rFonts w:asciiTheme="majorHAnsi" w:hAnsiTheme="majorHAnsi"/>
        </w:rPr>
        <w:t xml:space="preserve"> collection</w:t>
      </w:r>
      <w:r>
        <w:rPr>
          <w:rFonts w:asciiTheme="majorHAnsi" w:hAnsiTheme="majorHAnsi"/>
        </w:rPr>
        <w:t>.</w:t>
      </w:r>
    </w:p>
    <w:p w:rsidR="00576371" w:rsidRPr="00D95FBF" w:rsidRDefault="00576371" w:rsidP="0014667A">
      <w:pPr>
        <w:pStyle w:val="ListParagraph"/>
        <w:spacing w:after="0"/>
        <w:ind w:left="270"/>
      </w:pPr>
    </w:p>
    <w:p w:rsidR="00B12F51" w:rsidRPr="00B47055" w:rsidRDefault="00B47055" w:rsidP="0014667A">
      <w:pPr>
        <w:pStyle w:val="ListParagraph"/>
        <w:numPr>
          <w:ilvl w:val="0"/>
          <w:numId w:val="2"/>
        </w:numPr>
        <w:spacing w:after="0"/>
        <w:ind w:left="360"/>
        <w:rPr>
          <w:rFonts w:asciiTheme="majorHAnsi" w:hAnsiTheme="majorHAnsi"/>
          <w:b/>
        </w:rPr>
      </w:pPr>
      <w:r w:rsidRPr="00B47055">
        <w:rPr>
          <w:rFonts w:asciiTheme="majorHAnsi" w:hAnsiTheme="majorHAnsi"/>
          <w:b/>
          <w:bCs/>
        </w:rPr>
        <w:t>Consequences of Collecting the Information Less Frequently</w:t>
      </w:r>
      <w:r w:rsidRPr="00B47055">
        <w:rPr>
          <w:rFonts w:asciiTheme="majorHAnsi" w:hAnsiTheme="majorHAnsi"/>
          <w:b/>
        </w:rPr>
        <w:t xml:space="preserve"> </w:t>
      </w:r>
      <w:r w:rsidR="00D95FBF" w:rsidRPr="00B47055">
        <w:rPr>
          <w:rFonts w:asciiTheme="majorHAnsi" w:hAnsiTheme="majorHAnsi"/>
          <w:b/>
        </w:rPr>
        <w:t xml:space="preserve">   </w:t>
      </w:r>
    </w:p>
    <w:p w:rsidR="00533D96" w:rsidRPr="00D95AE7" w:rsidRDefault="00576371" w:rsidP="0087258D">
      <w:pPr>
        <w:pStyle w:val="CommentText"/>
        <w:spacing w:line="276" w:lineRule="auto"/>
        <w:rPr>
          <w:rFonts w:asciiTheme="majorHAnsi" w:hAnsiTheme="majorHAnsi"/>
        </w:rPr>
      </w:pPr>
      <w:r w:rsidRPr="00D95AE7">
        <w:rPr>
          <w:rFonts w:asciiTheme="majorHAnsi" w:hAnsiTheme="majorHAnsi" w:cstheme="minorHAnsi"/>
          <w:sz w:val="22"/>
          <w:szCs w:val="22"/>
        </w:rPr>
        <w:t xml:space="preserve"> </w:t>
      </w:r>
      <w:r w:rsidR="00533D96" w:rsidRPr="00D95AE7">
        <w:rPr>
          <w:rFonts w:asciiTheme="majorHAnsi" w:hAnsiTheme="majorHAnsi" w:cstheme="minorHAnsi"/>
          <w:sz w:val="22"/>
          <w:szCs w:val="22"/>
        </w:rPr>
        <w:t>Without this data</w:t>
      </w:r>
      <w:r w:rsidRPr="00D95AE7">
        <w:rPr>
          <w:rFonts w:asciiTheme="majorHAnsi" w:hAnsiTheme="majorHAnsi" w:cstheme="minorHAnsi"/>
          <w:sz w:val="22"/>
          <w:szCs w:val="22"/>
        </w:rPr>
        <w:t xml:space="preserve">, an </w:t>
      </w:r>
      <w:r w:rsidR="005E4B28">
        <w:rPr>
          <w:rFonts w:asciiTheme="majorHAnsi" w:hAnsiTheme="majorHAnsi" w:cstheme="minorHAnsi"/>
          <w:sz w:val="22"/>
          <w:szCs w:val="22"/>
        </w:rPr>
        <w:t>assessment o</w:t>
      </w:r>
      <w:r w:rsidRPr="00D95AE7">
        <w:rPr>
          <w:rFonts w:asciiTheme="majorHAnsi" w:hAnsiTheme="majorHAnsi" w:cstheme="minorHAnsi"/>
          <w:sz w:val="22"/>
          <w:szCs w:val="22"/>
        </w:rPr>
        <w:t>f methods</w:t>
      </w:r>
      <w:r w:rsidR="00D95AE7" w:rsidRPr="00D95AE7">
        <w:rPr>
          <w:rFonts w:asciiTheme="majorHAnsi" w:hAnsiTheme="majorHAnsi" w:cstheme="minorHAnsi"/>
          <w:sz w:val="22"/>
          <w:szCs w:val="22"/>
        </w:rPr>
        <w:t xml:space="preserve"> to increase well owner participation and how best to implement those methods would not be possible. The results of this effort will inform</w:t>
      </w:r>
      <w:r w:rsidR="007930B1">
        <w:rPr>
          <w:rFonts w:asciiTheme="majorHAnsi" w:hAnsiTheme="majorHAnsi" w:cstheme="minorHAnsi"/>
          <w:sz w:val="22"/>
          <w:szCs w:val="22"/>
        </w:rPr>
        <w:t xml:space="preserve"> </w:t>
      </w:r>
      <w:r w:rsidR="007930B1" w:rsidRPr="007930B1">
        <w:rPr>
          <w:rFonts w:asciiTheme="majorHAnsi" w:hAnsiTheme="majorHAnsi" w:cstheme="minorHAnsi"/>
          <w:sz w:val="22"/>
          <w:szCs w:val="22"/>
        </w:rPr>
        <w:t xml:space="preserve">environmental health staff at state, local, and tribal environmental health and agricultural </w:t>
      </w:r>
      <w:r w:rsidR="003C064C">
        <w:rPr>
          <w:rFonts w:asciiTheme="majorHAnsi" w:hAnsiTheme="majorHAnsi" w:cstheme="minorHAnsi"/>
          <w:sz w:val="22"/>
          <w:szCs w:val="22"/>
        </w:rPr>
        <w:t>departments</w:t>
      </w:r>
      <w:r w:rsidR="007930B1" w:rsidRPr="007930B1">
        <w:rPr>
          <w:rFonts w:asciiTheme="majorHAnsi" w:hAnsiTheme="majorHAnsi" w:cstheme="minorHAnsi"/>
          <w:sz w:val="22"/>
          <w:szCs w:val="22"/>
        </w:rPr>
        <w:t xml:space="preserve"> who are government employees and who conduct outreach to private well owners</w:t>
      </w:r>
      <w:r w:rsidR="00D95AE7" w:rsidRPr="00D95AE7">
        <w:rPr>
          <w:rFonts w:asciiTheme="majorHAnsi" w:hAnsiTheme="majorHAnsi" w:cstheme="minorHAnsi"/>
          <w:sz w:val="22"/>
          <w:szCs w:val="22"/>
        </w:rPr>
        <w:t xml:space="preserve"> nationally on best practices they can implement to increase the effectiveness of their well owner outreach and testing </w:t>
      </w:r>
      <w:r w:rsidR="00693E55">
        <w:rPr>
          <w:rFonts w:asciiTheme="majorHAnsi" w:hAnsiTheme="majorHAnsi" w:cstheme="minorHAnsi"/>
          <w:sz w:val="22"/>
          <w:szCs w:val="22"/>
        </w:rPr>
        <w:t>activities</w:t>
      </w:r>
      <w:r w:rsidR="00D95AE7" w:rsidRPr="00D95AE7">
        <w:rPr>
          <w:rFonts w:asciiTheme="majorHAnsi" w:hAnsiTheme="majorHAnsi" w:cstheme="minorHAnsi"/>
          <w:sz w:val="22"/>
          <w:szCs w:val="22"/>
        </w:rPr>
        <w:t>.</w:t>
      </w:r>
    </w:p>
    <w:p w:rsidR="00607F7C" w:rsidRPr="0087258D" w:rsidRDefault="00E82571" w:rsidP="0087258D">
      <w:pPr>
        <w:spacing w:after="0"/>
        <w:rPr>
          <w:rFonts w:asciiTheme="majorHAnsi" w:hAnsiTheme="majorHAnsi"/>
        </w:rPr>
      </w:pPr>
      <w:r w:rsidRPr="0087258D">
        <w:rPr>
          <w:rFonts w:asciiTheme="majorHAnsi" w:hAnsiTheme="majorHAnsi"/>
        </w:rPr>
        <w:t xml:space="preserve">This request is for a one time data collection.  </w:t>
      </w:r>
      <w:r w:rsidR="00607F7C" w:rsidRPr="0087258D">
        <w:rPr>
          <w:rFonts w:asciiTheme="majorHAnsi" w:hAnsiTheme="majorHAnsi"/>
        </w:rPr>
        <w:t>There are no legal obstacles to reduce the burden.</w:t>
      </w:r>
    </w:p>
    <w:p w:rsidR="00BF11A1" w:rsidRPr="00C768E5" w:rsidRDefault="00BF11A1" w:rsidP="0014667A">
      <w:pPr>
        <w:spacing w:after="0"/>
        <w:rPr>
          <w:rFonts w:asciiTheme="majorHAnsi" w:hAnsiTheme="majorHAnsi"/>
        </w:rPr>
      </w:pPr>
    </w:p>
    <w:p w:rsidR="00B12F51" w:rsidRPr="00B47055" w:rsidRDefault="00B47055" w:rsidP="0014667A">
      <w:pPr>
        <w:pStyle w:val="ListParagraph"/>
        <w:numPr>
          <w:ilvl w:val="0"/>
          <w:numId w:val="2"/>
        </w:numPr>
        <w:spacing w:after="0"/>
        <w:ind w:left="360"/>
        <w:rPr>
          <w:rFonts w:asciiTheme="majorHAnsi" w:hAnsiTheme="majorHAnsi"/>
          <w:b/>
        </w:rPr>
      </w:pPr>
      <w:r w:rsidRPr="00B47055">
        <w:rPr>
          <w:rFonts w:asciiTheme="majorHAnsi" w:hAnsiTheme="majorHAnsi"/>
          <w:b/>
          <w:bCs/>
        </w:rPr>
        <w:t>Special Circumstances Relating to the Guidelines of 5 CFR 1320.5</w:t>
      </w:r>
    </w:p>
    <w:p w:rsidR="00F52BCC" w:rsidRDefault="00A809AA" w:rsidP="0087258D">
      <w:pPr>
        <w:pStyle w:val="ListParagraph"/>
        <w:spacing w:after="0"/>
        <w:ind w:left="0"/>
        <w:rPr>
          <w:rFonts w:asciiTheme="majorHAnsi" w:hAnsiTheme="majorHAnsi"/>
        </w:rPr>
      </w:pPr>
      <w:r>
        <w:rPr>
          <w:rFonts w:asciiTheme="majorHAnsi" w:hAnsiTheme="majorHAnsi"/>
        </w:rPr>
        <w:lastRenderedPageBreak/>
        <w:t xml:space="preserve">There are no special circumstances with this information collection package. </w:t>
      </w:r>
      <w:r w:rsidR="00835CA7">
        <w:rPr>
          <w:rFonts w:asciiTheme="majorHAnsi" w:hAnsiTheme="majorHAnsi"/>
        </w:rPr>
        <w:t>This request fully complies with the regulation 5 CFR 1320.5</w:t>
      </w:r>
      <w:r w:rsidR="00D95FBF">
        <w:rPr>
          <w:rFonts w:asciiTheme="majorHAnsi" w:hAnsiTheme="majorHAnsi"/>
        </w:rPr>
        <w:t xml:space="preserve"> and will be voluntary</w:t>
      </w:r>
      <w:r w:rsidR="00835CA7">
        <w:rPr>
          <w:rFonts w:asciiTheme="majorHAnsi" w:hAnsiTheme="majorHAnsi"/>
        </w:rPr>
        <w:t>.</w:t>
      </w:r>
    </w:p>
    <w:p w:rsidR="00F52BCC" w:rsidRDefault="00F52BCC" w:rsidP="0014667A">
      <w:pPr>
        <w:pStyle w:val="ListParagraph"/>
        <w:spacing w:after="0"/>
        <w:ind w:left="270"/>
        <w:rPr>
          <w:rFonts w:asciiTheme="majorHAnsi" w:hAnsiTheme="majorHAnsi"/>
        </w:rPr>
      </w:pPr>
    </w:p>
    <w:p w:rsidR="00B12F51" w:rsidRPr="0088467A" w:rsidRDefault="0088467A" w:rsidP="0014667A">
      <w:pPr>
        <w:pStyle w:val="ListParagraph"/>
        <w:numPr>
          <w:ilvl w:val="0"/>
          <w:numId w:val="2"/>
        </w:numPr>
        <w:spacing w:after="0"/>
        <w:ind w:left="360"/>
        <w:rPr>
          <w:rFonts w:asciiTheme="majorHAnsi" w:hAnsiTheme="majorHAnsi"/>
          <w:b/>
          <w:bCs/>
        </w:rPr>
      </w:pPr>
      <w:r w:rsidRPr="0088467A">
        <w:rPr>
          <w:rFonts w:asciiTheme="majorHAnsi" w:hAnsiTheme="majorHAnsi"/>
          <w:b/>
          <w:bCs/>
        </w:rPr>
        <w:t>Comments in Response to the Federal Register Notice and Efforts to Consult Outside the Agency</w:t>
      </w:r>
    </w:p>
    <w:p w:rsidR="00A809AA" w:rsidRPr="00DC3EE3" w:rsidRDefault="00BE738E" w:rsidP="0087258D">
      <w:pPr>
        <w:pStyle w:val="ListParagraph"/>
        <w:autoSpaceDE w:val="0"/>
        <w:autoSpaceDN w:val="0"/>
        <w:adjustRightInd w:val="0"/>
        <w:ind w:left="0" w:right="720"/>
        <w:rPr>
          <w:rFonts w:asciiTheme="majorHAnsi" w:hAnsiTheme="majorHAnsi"/>
        </w:rPr>
      </w:pPr>
      <w:r w:rsidRPr="00DC3EE3">
        <w:rPr>
          <w:rFonts w:asciiTheme="majorHAnsi" w:hAnsiTheme="majorHAnsi"/>
        </w:rPr>
        <w:t>This data collection is being conducted using the Generic Informa</w:t>
      </w:r>
      <w:r w:rsidR="004C2E3C">
        <w:rPr>
          <w:rFonts w:asciiTheme="majorHAnsi" w:hAnsiTheme="majorHAnsi"/>
        </w:rPr>
        <w:t xml:space="preserve">tion Collection </w:t>
      </w:r>
      <w:proofErr w:type="gramStart"/>
      <w:r w:rsidR="004C2E3C">
        <w:rPr>
          <w:rFonts w:asciiTheme="majorHAnsi" w:hAnsiTheme="majorHAnsi"/>
        </w:rPr>
        <w:t xml:space="preserve">mechanism </w:t>
      </w:r>
      <w:r w:rsidR="008F3C6E" w:rsidRPr="00DC3EE3">
        <w:rPr>
          <w:rFonts w:asciiTheme="majorHAnsi" w:hAnsiTheme="majorHAnsi"/>
        </w:rPr>
        <w:t xml:space="preserve"> of</w:t>
      </w:r>
      <w:proofErr w:type="gramEnd"/>
      <w:r w:rsidR="008F3C6E" w:rsidRPr="00DC3EE3">
        <w:rPr>
          <w:rFonts w:asciiTheme="majorHAnsi" w:hAnsiTheme="majorHAnsi"/>
        </w:rPr>
        <w:t xml:space="preserve"> the OSTLTS OMB Clearance Center (O2C2) – OMB No. 0920-0879. A 60-day Federal Register Notice was published in the Federal Register on October 31, 2013, Vol. 78, No. 211; pp. 653 25-26.  No comments were received</w:t>
      </w:r>
      <w:r w:rsidR="00DC3EE3" w:rsidRPr="00DC3EE3">
        <w:rPr>
          <w:rFonts w:asciiTheme="majorHAnsi" w:hAnsiTheme="majorHAnsi"/>
        </w:rPr>
        <w:t>.</w:t>
      </w:r>
    </w:p>
    <w:p w:rsidR="00A809AA" w:rsidRPr="00A809AA" w:rsidRDefault="00A809AA" w:rsidP="0014667A">
      <w:pPr>
        <w:pStyle w:val="ListParagraph"/>
        <w:autoSpaceDE w:val="0"/>
        <w:autoSpaceDN w:val="0"/>
        <w:adjustRightInd w:val="0"/>
        <w:ind w:left="270" w:right="720"/>
        <w:rPr>
          <w:rFonts w:asciiTheme="majorHAnsi" w:hAnsiTheme="majorHAnsi"/>
        </w:rPr>
      </w:pPr>
    </w:p>
    <w:p w:rsidR="00A809AA" w:rsidRPr="00A809AA" w:rsidRDefault="00A809AA" w:rsidP="003A70B4">
      <w:pPr>
        <w:pStyle w:val="ListParagraph"/>
        <w:autoSpaceDE w:val="0"/>
        <w:autoSpaceDN w:val="0"/>
        <w:adjustRightInd w:val="0"/>
        <w:ind w:left="0" w:right="720"/>
        <w:rPr>
          <w:rFonts w:asciiTheme="majorHAnsi" w:hAnsiTheme="majorHAnsi"/>
        </w:rPr>
      </w:pPr>
      <w:r w:rsidRPr="00A809AA">
        <w:rPr>
          <w:rFonts w:asciiTheme="majorHAnsi" w:hAnsiTheme="majorHAnsi"/>
        </w:rPr>
        <w:t xml:space="preserve">CDC partners with professional STLT organizations, such as the Association of State and Territorial Health Officials (ASTHO), the National Association of County and City Health Officials (NACCHO), and the National Association of Local Boards of Health (NALBOH) along with the National Center for Health Statistics (NCHS) to ensure that the collection requests under individual ICs are not in conflict with collections they have or will have in the field within the same timeframe.  </w:t>
      </w:r>
    </w:p>
    <w:p w:rsidR="00F52BCC" w:rsidRPr="00A809AA" w:rsidRDefault="00F52BCC" w:rsidP="00F52BCC">
      <w:pPr>
        <w:pStyle w:val="ListParagraph"/>
        <w:spacing w:after="0"/>
        <w:rPr>
          <w:rFonts w:asciiTheme="majorHAnsi" w:hAnsiTheme="majorHAnsi"/>
        </w:rPr>
      </w:pPr>
    </w:p>
    <w:p w:rsidR="00B12F51" w:rsidRPr="0088467A" w:rsidRDefault="0088467A" w:rsidP="0087258D">
      <w:pPr>
        <w:pStyle w:val="ListParagraph"/>
        <w:numPr>
          <w:ilvl w:val="0"/>
          <w:numId w:val="2"/>
        </w:numPr>
        <w:spacing w:after="0"/>
        <w:ind w:left="360"/>
        <w:rPr>
          <w:rFonts w:asciiTheme="majorHAnsi" w:hAnsiTheme="majorHAnsi"/>
          <w:b/>
        </w:rPr>
      </w:pPr>
      <w:r w:rsidRPr="0088467A">
        <w:rPr>
          <w:rFonts w:asciiTheme="majorHAnsi" w:hAnsiTheme="majorHAnsi"/>
          <w:b/>
          <w:bCs/>
        </w:rPr>
        <w:t>Explanation of Any Payment or Gift to Respondents</w:t>
      </w:r>
    </w:p>
    <w:p w:rsidR="00F52BCC" w:rsidRDefault="00A809AA" w:rsidP="003A70B4">
      <w:pPr>
        <w:pStyle w:val="ListParagraph"/>
        <w:spacing w:after="0"/>
        <w:ind w:left="270" w:hanging="270"/>
        <w:rPr>
          <w:rFonts w:asciiTheme="majorHAnsi" w:hAnsiTheme="majorHAnsi"/>
        </w:rPr>
      </w:pPr>
      <w:r>
        <w:rPr>
          <w:rFonts w:asciiTheme="majorHAnsi" w:hAnsiTheme="majorHAnsi"/>
        </w:rPr>
        <w:t>CDC will not provide p</w:t>
      </w:r>
      <w:r w:rsidR="00D26A64">
        <w:rPr>
          <w:rFonts w:asciiTheme="majorHAnsi" w:hAnsiTheme="majorHAnsi"/>
        </w:rPr>
        <w:t>ayments or gifts to respondents.</w:t>
      </w:r>
    </w:p>
    <w:p w:rsidR="00F52BCC" w:rsidRDefault="00F52BCC" w:rsidP="0087258D">
      <w:pPr>
        <w:pStyle w:val="ListParagraph"/>
        <w:spacing w:after="0"/>
        <w:ind w:left="270"/>
        <w:rPr>
          <w:rFonts w:asciiTheme="majorHAnsi" w:hAnsiTheme="majorHAnsi"/>
        </w:rPr>
      </w:pPr>
    </w:p>
    <w:p w:rsidR="00B12F51" w:rsidRPr="00D16E78" w:rsidRDefault="0088467A" w:rsidP="0087258D">
      <w:pPr>
        <w:pStyle w:val="ListParagraph"/>
        <w:numPr>
          <w:ilvl w:val="0"/>
          <w:numId w:val="2"/>
        </w:numPr>
        <w:spacing w:after="0"/>
        <w:ind w:left="360"/>
        <w:rPr>
          <w:rFonts w:asciiTheme="majorHAnsi" w:hAnsiTheme="majorHAnsi"/>
          <w:b/>
        </w:rPr>
      </w:pPr>
      <w:r>
        <w:rPr>
          <w:rFonts w:asciiTheme="majorHAnsi" w:hAnsiTheme="majorHAnsi"/>
          <w:b/>
        </w:rPr>
        <w:t xml:space="preserve"> </w:t>
      </w:r>
      <w:r w:rsidRPr="0088467A">
        <w:rPr>
          <w:rFonts w:asciiTheme="majorHAnsi" w:hAnsiTheme="majorHAnsi"/>
          <w:b/>
          <w:bCs/>
        </w:rPr>
        <w:t>Assurance of Confidentiality Provided to Respondents</w:t>
      </w:r>
    </w:p>
    <w:p w:rsidR="00616090" w:rsidRDefault="003C31C9" w:rsidP="003A70B4">
      <w:pPr>
        <w:pStyle w:val="ListParagraph"/>
        <w:autoSpaceDE w:val="0"/>
        <w:autoSpaceDN w:val="0"/>
        <w:adjustRightInd w:val="0"/>
        <w:ind w:left="0" w:right="720"/>
        <w:rPr>
          <w:rFonts w:asciiTheme="majorHAnsi" w:hAnsiTheme="majorHAnsi"/>
        </w:rPr>
      </w:pPr>
      <w:r w:rsidRPr="003C31C9">
        <w:rPr>
          <w:rFonts w:asciiTheme="majorHAnsi" w:hAnsiTheme="majorHAnsi"/>
        </w:rPr>
        <w:t>The Privacy Act does not apply to this data collection.  Employees of state</w:t>
      </w:r>
      <w:r w:rsidR="005542E8">
        <w:rPr>
          <w:rFonts w:asciiTheme="majorHAnsi" w:hAnsiTheme="majorHAnsi"/>
        </w:rPr>
        <w:t xml:space="preserve"> and</w:t>
      </w:r>
      <w:r w:rsidRPr="003C31C9">
        <w:rPr>
          <w:rFonts w:asciiTheme="majorHAnsi" w:hAnsiTheme="majorHAnsi"/>
        </w:rPr>
        <w:t xml:space="preserve"> local</w:t>
      </w:r>
      <w:r w:rsidR="005542E8">
        <w:rPr>
          <w:rFonts w:asciiTheme="majorHAnsi" w:hAnsiTheme="majorHAnsi"/>
        </w:rPr>
        <w:t xml:space="preserve"> </w:t>
      </w:r>
      <w:r w:rsidRPr="003C31C9">
        <w:rPr>
          <w:rFonts w:asciiTheme="majorHAnsi" w:hAnsiTheme="majorHAnsi"/>
        </w:rPr>
        <w:t>public health agencies will be speaking from their official roles and will not be asked, nor will they provide individua</w:t>
      </w:r>
      <w:r w:rsidR="0087258D">
        <w:rPr>
          <w:rFonts w:asciiTheme="majorHAnsi" w:hAnsiTheme="majorHAnsi"/>
        </w:rPr>
        <w:t xml:space="preserve">lly identifiable information.  </w:t>
      </w:r>
      <w:r w:rsidRPr="0087258D">
        <w:rPr>
          <w:rFonts w:asciiTheme="majorHAnsi" w:hAnsiTheme="majorHAnsi"/>
        </w:rPr>
        <w:t>This data collection is not research involving human subjects.</w:t>
      </w:r>
    </w:p>
    <w:p w:rsidR="003A70B4" w:rsidRPr="0088467A" w:rsidRDefault="003A70B4" w:rsidP="003A70B4">
      <w:pPr>
        <w:pStyle w:val="ListParagraph"/>
        <w:autoSpaceDE w:val="0"/>
        <w:autoSpaceDN w:val="0"/>
        <w:adjustRightInd w:val="0"/>
        <w:ind w:left="0" w:right="720"/>
        <w:rPr>
          <w:rFonts w:asciiTheme="majorHAnsi" w:hAnsiTheme="majorHAnsi"/>
        </w:rPr>
      </w:pPr>
    </w:p>
    <w:p w:rsidR="00B64BFA" w:rsidRPr="0088467A" w:rsidRDefault="00C30EB8" w:rsidP="0087258D">
      <w:pPr>
        <w:pStyle w:val="ListParagraph"/>
        <w:numPr>
          <w:ilvl w:val="0"/>
          <w:numId w:val="2"/>
        </w:numPr>
        <w:spacing w:after="0"/>
        <w:ind w:left="360"/>
        <w:rPr>
          <w:rFonts w:asciiTheme="majorHAnsi" w:hAnsiTheme="majorHAnsi"/>
          <w:b/>
        </w:rPr>
      </w:pPr>
      <w:r>
        <w:rPr>
          <w:rFonts w:asciiTheme="majorHAnsi" w:hAnsiTheme="majorHAnsi"/>
          <w:b/>
          <w:bCs/>
        </w:rPr>
        <w:t>Justification for Sensitive Questions</w:t>
      </w:r>
    </w:p>
    <w:p w:rsidR="003713F1" w:rsidRDefault="005F67BE" w:rsidP="003713F1">
      <w:pPr>
        <w:pStyle w:val="ListParagraph"/>
        <w:spacing w:after="0"/>
        <w:ind w:left="270"/>
        <w:rPr>
          <w:rFonts w:ascii="Cambria" w:hAnsi="Cambria"/>
          <w:color w:val="000000"/>
        </w:rPr>
      </w:pPr>
      <w:r w:rsidRPr="005F67BE">
        <w:rPr>
          <w:rFonts w:ascii="Cambria" w:hAnsi="Cambria"/>
          <w:color w:val="000000"/>
        </w:rPr>
        <w:t>No information will be collected that are of personal or sensitive nature.</w:t>
      </w:r>
    </w:p>
    <w:p w:rsidR="00DC3EE3" w:rsidRPr="00537079" w:rsidRDefault="00DC3EE3" w:rsidP="00537079">
      <w:pPr>
        <w:spacing w:after="0"/>
        <w:rPr>
          <w:rFonts w:asciiTheme="majorHAnsi" w:hAnsiTheme="majorHAnsi"/>
        </w:rPr>
      </w:pPr>
    </w:p>
    <w:p w:rsidR="003713F1" w:rsidRPr="0088467A" w:rsidRDefault="00C30EB8" w:rsidP="003713F1">
      <w:pPr>
        <w:pStyle w:val="ListParagraph"/>
        <w:numPr>
          <w:ilvl w:val="0"/>
          <w:numId w:val="2"/>
        </w:numPr>
        <w:spacing w:after="0"/>
        <w:ind w:left="360"/>
        <w:rPr>
          <w:rFonts w:asciiTheme="majorHAnsi" w:hAnsiTheme="majorHAnsi"/>
          <w:b/>
        </w:rPr>
      </w:pPr>
      <w:r>
        <w:rPr>
          <w:rFonts w:asciiTheme="majorHAnsi" w:hAnsiTheme="majorHAnsi"/>
          <w:b/>
          <w:bCs/>
        </w:rPr>
        <w:t>Estimates of Annualized Burden Hours and Costs</w:t>
      </w:r>
    </w:p>
    <w:p w:rsidR="003713F1" w:rsidRDefault="005F67BE" w:rsidP="003713F1">
      <w:pPr>
        <w:pStyle w:val="ListParagraph"/>
        <w:spacing w:after="0"/>
        <w:ind w:left="0"/>
        <w:rPr>
          <w:rFonts w:asciiTheme="majorHAnsi" w:hAnsiTheme="majorHAnsi"/>
        </w:rPr>
      </w:pPr>
      <w:r w:rsidRPr="005F67BE">
        <w:rPr>
          <w:rFonts w:asciiTheme="majorHAnsi" w:hAnsiTheme="majorHAnsi"/>
        </w:rPr>
        <w:t>The estimate for burden hours is based on a pilot test of the data collection instrument by four members of the Private Well Class staff. In the pilot test, the average time to complete the questions, including time for reviewing instructions, gathering needed information and completing the data collection, was 15 minutes, with a range of 12-20 minutes. Our estimate for the total burden, including additional time to review the email requesting participation, is 18 minutes.</w:t>
      </w:r>
      <w:r>
        <w:rPr>
          <w:rFonts w:asciiTheme="majorHAnsi" w:hAnsiTheme="majorHAnsi"/>
        </w:rPr>
        <w:t xml:space="preserve"> </w:t>
      </w:r>
    </w:p>
    <w:p w:rsidR="0048447C" w:rsidRDefault="0048447C" w:rsidP="0087258D">
      <w:pPr>
        <w:pStyle w:val="ListParagraph"/>
        <w:autoSpaceDE w:val="0"/>
        <w:autoSpaceDN w:val="0"/>
        <w:adjustRightInd w:val="0"/>
        <w:ind w:left="270"/>
        <w:rPr>
          <w:rFonts w:asciiTheme="majorHAnsi" w:hAnsiTheme="majorHAnsi"/>
          <w:color w:val="000000"/>
        </w:rPr>
      </w:pPr>
    </w:p>
    <w:p w:rsidR="00B64BFA" w:rsidRDefault="00B64BFA" w:rsidP="0087258D">
      <w:pPr>
        <w:pStyle w:val="ListParagraph"/>
        <w:autoSpaceDE w:val="0"/>
        <w:autoSpaceDN w:val="0"/>
        <w:adjustRightInd w:val="0"/>
        <w:ind w:left="0"/>
        <w:rPr>
          <w:rFonts w:asciiTheme="majorHAnsi" w:hAnsiTheme="majorHAnsi"/>
          <w:color w:val="000000"/>
        </w:rPr>
      </w:pPr>
      <w:r>
        <w:rPr>
          <w:rFonts w:asciiTheme="majorHAnsi" w:hAnsiTheme="majorHAnsi"/>
          <w:color w:val="000000"/>
        </w:rPr>
        <w:t xml:space="preserve">Estimates for the average hourly wage for respondents are based on the </w:t>
      </w:r>
      <w:r w:rsidRPr="00A849B3">
        <w:rPr>
          <w:rFonts w:asciiTheme="majorHAnsi" w:hAnsiTheme="majorHAnsi"/>
          <w:color w:val="000000"/>
        </w:rPr>
        <w:t>Department of Labor (DOL) National Compensation Survey estimate for management occupations – medical and health services managers in state government</w:t>
      </w:r>
      <w:r>
        <w:rPr>
          <w:rFonts w:asciiTheme="majorHAnsi" w:hAnsiTheme="majorHAnsi"/>
          <w:color w:val="000000"/>
        </w:rPr>
        <w:t xml:space="preserve"> (</w:t>
      </w:r>
      <w:hyperlink r:id="rId10" w:history="1">
        <w:r w:rsidRPr="002A1948">
          <w:rPr>
            <w:rStyle w:val="Hyperlink"/>
            <w:rFonts w:asciiTheme="majorHAnsi" w:hAnsiTheme="majorHAnsi"/>
          </w:rPr>
          <w:t>http://www.bls.gov/ncs/ocs/sp/nctb1349.pdf</w:t>
        </w:r>
      </w:hyperlink>
      <w:r>
        <w:rPr>
          <w:rFonts w:asciiTheme="majorHAnsi" w:hAnsiTheme="majorHAnsi"/>
          <w:color w:val="000000"/>
        </w:rPr>
        <w:t xml:space="preserve">). </w:t>
      </w:r>
      <w:r w:rsidR="00C544A4">
        <w:rPr>
          <w:rFonts w:asciiTheme="majorHAnsi" w:hAnsiTheme="majorHAnsi"/>
          <w:color w:val="000000"/>
        </w:rPr>
        <w:t>Based on DOL data, a</w:t>
      </w:r>
      <w:r w:rsidRPr="002A1948">
        <w:rPr>
          <w:rFonts w:asciiTheme="majorHAnsi" w:hAnsiTheme="majorHAnsi"/>
          <w:color w:val="000000"/>
        </w:rPr>
        <w:t>n average hourly wage of $</w:t>
      </w:r>
      <w:r w:rsidR="001E3F44">
        <w:rPr>
          <w:rFonts w:asciiTheme="majorHAnsi" w:hAnsiTheme="majorHAnsi"/>
          <w:color w:val="000000"/>
        </w:rPr>
        <w:t>32.62</w:t>
      </w:r>
      <w:r w:rsidRPr="002A1948">
        <w:rPr>
          <w:rFonts w:asciiTheme="majorHAnsi" w:hAnsiTheme="majorHAnsi"/>
          <w:color w:val="000000"/>
        </w:rPr>
        <w:t xml:space="preserve"> is estimated for all </w:t>
      </w:r>
      <w:r w:rsidR="0048447C">
        <w:rPr>
          <w:rFonts w:asciiTheme="majorHAnsi" w:hAnsiTheme="majorHAnsi"/>
          <w:color w:val="000000"/>
        </w:rPr>
        <w:t>100</w:t>
      </w:r>
      <w:r w:rsidR="00C768E5" w:rsidRPr="002A1948">
        <w:rPr>
          <w:rFonts w:asciiTheme="majorHAnsi" w:hAnsiTheme="majorHAnsi"/>
          <w:color w:val="000000"/>
        </w:rPr>
        <w:t xml:space="preserve"> </w:t>
      </w:r>
      <w:r w:rsidRPr="002A1948">
        <w:rPr>
          <w:rFonts w:asciiTheme="majorHAnsi" w:hAnsiTheme="majorHAnsi"/>
          <w:color w:val="000000"/>
        </w:rPr>
        <w:t xml:space="preserve">respondents. </w:t>
      </w:r>
      <w:r w:rsidR="00A578C2">
        <w:rPr>
          <w:rFonts w:asciiTheme="majorHAnsi" w:hAnsiTheme="majorHAnsi"/>
          <w:color w:val="000000"/>
        </w:rPr>
        <w:t>Table A-1</w:t>
      </w:r>
      <w:r w:rsidR="000439A0">
        <w:rPr>
          <w:rFonts w:asciiTheme="majorHAnsi" w:hAnsiTheme="majorHAnsi"/>
          <w:color w:val="000000"/>
        </w:rPr>
        <w:t>2</w:t>
      </w:r>
      <w:r w:rsidR="00A578C2">
        <w:rPr>
          <w:rFonts w:asciiTheme="majorHAnsi" w:hAnsiTheme="majorHAnsi"/>
          <w:color w:val="000000"/>
        </w:rPr>
        <w:t xml:space="preserve"> shows estimated burden and cost information.</w:t>
      </w:r>
    </w:p>
    <w:p w:rsidR="003A70B4" w:rsidRDefault="003A70B4" w:rsidP="005A59E5">
      <w:pPr>
        <w:pStyle w:val="ListParagraph"/>
        <w:autoSpaceDE w:val="0"/>
        <w:autoSpaceDN w:val="0"/>
        <w:adjustRightInd w:val="0"/>
        <w:ind w:left="0" w:right="720"/>
        <w:rPr>
          <w:rFonts w:asciiTheme="majorHAnsi" w:hAnsiTheme="majorHAnsi"/>
          <w:b/>
          <w:u w:val="single"/>
        </w:rPr>
      </w:pPr>
    </w:p>
    <w:p w:rsidR="00537079" w:rsidRDefault="00537079" w:rsidP="005A59E5">
      <w:pPr>
        <w:pStyle w:val="ListParagraph"/>
        <w:autoSpaceDE w:val="0"/>
        <w:autoSpaceDN w:val="0"/>
        <w:adjustRightInd w:val="0"/>
        <w:ind w:left="0" w:right="720"/>
        <w:rPr>
          <w:rFonts w:asciiTheme="majorHAnsi" w:hAnsiTheme="majorHAnsi"/>
          <w:b/>
          <w:u w:val="single"/>
        </w:rPr>
      </w:pPr>
    </w:p>
    <w:p w:rsidR="00537079" w:rsidRDefault="00537079" w:rsidP="005A59E5">
      <w:pPr>
        <w:pStyle w:val="ListParagraph"/>
        <w:autoSpaceDE w:val="0"/>
        <w:autoSpaceDN w:val="0"/>
        <w:adjustRightInd w:val="0"/>
        <w:ind w:left="0" w:right="720"/>
        <w:rPr>
          <w:rFonts w:asciiTheme="majorHAnsi" w:hAnsiTheme="majorHAnsi"/>
          <w:b/>
          <w:u w:val="single"/>
        </w:rPr>
      </w:pPr>
    </w:p>
    <w:p w:rsidR="00537079" w:rsidRDefault="00537079" w:rsidP="005A59E5">
      <w:pPr>
        <w:pStyle w:val="ListParagraph"/>
        <w:autoSpaceDE w:val="0"/>
        <w:autoSpaceDN w:val="0"/>
        <w:adjustRightInd w:val="0"/>
        <w:ind w:left="0" w:right="720"/>
        <w:rPr>
          <w:rFonts w:asciiTheme="majorHAnsi" w:hAnsiTheme="majorHAnsi"/>
          <w:b/>
          <w:u w:val="single"/>
        </w:rPr>
      </w:pPr>
    </w:p>
    <w:p w:rsidR="005A59E5" w:rsidRDefault="005A59E5" w:rsidP="005A59E5">
      <w:pPr>
        <w:pStyle w:val="ListParagraph"/>
        <w:autoSpaceDE w:val="0"/>
        <w:autoSpaceDN w:val="0"/>
        <w:adjustRightInd w:val="0"/>
        <w:ind w:left="0" w:right="720"/>
        <w:rPr>
          <w:rFonts w:asciiTheme="majorHAnsi" w:hAnsiTheme="majorHAnsi"/>
        </w:rPr>
      </w:pPr>
      <w:r w:rsidRPr="008E0683">
        <w:rPr>
          <w:rFonts w:asciiTheme="majorHAnsi" w:hAnsiTheme="majorHAnsi"/>
          <w:b/>
          <w:u w:val="single"/>
        </w:rPr>
        <w:t>Table A-1</w:t>
      </w:r>
      <w:r w:rsidR="000439A0">
        <w:rPr>
          <w:rFonts w:asciiTheme="majorHAnsi" w:hAnsiTheme="majorHAnsi"/>
          <w:b/>
          <w:u w:val="single"/>
        </w:rPr>
        <w:t>2</w:t>
      </w:r>
      <w:r w:rsidRPr="008E0683">
        <w:rPr>
          <w:rFonts w:asciiTheme="majorHAnsi" w:hAnsiTheme="majorHAnsi"/>
          <w:b/>
        </w:rPr>
        <w:t>:</w:t>
      </w:r>
      <w:r w:rsidRPr="003C31C9">
        <w:rPr>
          <w:rFonts w:asciiTheme="majorHAnsi" w:hAnsiTheme="majorHAnsi"/>
        </w:rPr>
        <w:t xml:space="preserve"> </w:t>
      </w:r>
      <w:r>
        <w:rPr>
          <w:rFonts w:asciiTheme="majorHAnsi" w:hAnsiTheme="majorHAnsi"/>
        </w:rPr>
        <w:t>Estimated</w:t>
      </w:r>
      <w:r w:rsidRPr="003C31C9">
        <w:rPr>
          <w:rFonts w:asciiTheme="majorHAnsi" w:hAnsiTheme="majorHAnsi"/>
        </w:rPr>
        <w:t xml:space="preserve"> </w:t>
      </w:r>
      <w:r>
        <w:rPr>
          <w:rFonts w:asciiTheme="majorHAnsi" w:hAnsiTheme="majorHAnsi"/>
        </w:rPr>
        <w:t>A</w:t>
      </w:r>
      <w:r w:rsidRPr="003C31C9">
        <w:rPr>
          <w:rFonts w:asciiTheme="majorHAnsi" w:hAnsiTheme="majorHAnsi"/>
        </w:rPr>
        <w:t xml:space="preserve">nnualized </w:t>
      </w:r>
      <w:r>
        <w:rPr>
          <w:rFonts w:asciiTheme="majorHAnsi" w:hAnsiTheme="majorHAnsi"/>
        </w:rPr>
        <w:t>Burden Hours and Costs to Respondents</w:t>
      </w:r>
    </w:p>
    <w:tbl>
      <w:tblPr>
        <w:tblW w:w="0" w:type="auto"/>
        <w:tblInd w:w="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710"/>
        <w:gridCol w:w="1440"/>
        <w:gridCol w:w="1710"/>
        <w:gridCol w:w="1260"/>
        <w:gridCol w:w="1080"/>
        <w:gridCol w:w="990"/>
        <w:gridCol w:w="1368"/>
      </w:tblGrid>
      <w:tr w:rsidR="000A1F30" w:rsidRPr="006F6856" w:rsidTr="003C064C">
        <w:trPr>
          <w:trHeight w:val="1493"/>
        </w:trPr>
        <w:tc>
          <w:tcPr>
            <w:tcW w:w="1710" w:type="dxa"/>
            <w:tcBorders>
              <w:bottom w:val="single" w:sz="12" w:space="0" w:color="000000"/>
            </w:tcBorders>
            <w:shd w:val="clear" w:color="auto" w:fill="D9D9D9" w:themeFill="background1" w:themeFillShade="D9"/>
            <w:vAlign w:val="center"/>
          </w:tcPr>
          <w:p w:rsidR="000A1F30" w:rsidRPr="006F6856" w:rsidRDefault="000A1F30" w:rsidP="00104A1B">
            <w:pPr>
              <w:jc w:val="center"/>
              <w:rPr>
                <w:rFonts w:asciiTheme="majorHAnsi" w:hAnsiTheme="majorHAnsi"/>
                <w:b/>
                <w:sz w:val="20"/>
              </w:rPr>
            </w:pPr>
            <w:r w:rsidRPr="006F6856">
              <w:rPr>
                <w:rFonts w:asciiTheme="majorHAnsi" w:hAnsiTheme="majorHAnsi"/>
                <w:b/>
                <w:sz w:val="20"/>
              </w:rPr>
              <w:t>Type of Respondent</w:t>
            </w:r>
          </w:p>
        </w:tc>
        <w:tc>
          <w:tcPr>
            <w:tcW w:w="1440" w:type="dxa"/>
            <w:tcBorders>
              <w:bottom w:val="single" w:sz="12" w:space="0" w:color="000000"/>
            </w:tcBorders>
            <w:shd w:val="clear" w:color="auto" w:fill="D9D9D9" w:themeFill="background1" w:themeFillShade="D9"/>
            <w:vAlign w:val="center"/>
          </w:tcPr>
          <w:p w:rsidR="000A1F30" w:rsidRPr="006F6856" w:rsidRDefault="000A1F30" w:rsidP="00104A1B">
            <w:pPr>
              <w:jc w:val="center"/>
              <w:rPr>
                <w:rFonts w:asciiTheme="majorHAnsi" w:hAnsiTheme="majorHAnsi"/>
                <w:b/>
                <w:sz w:val="20"/>
              </w:rPr>
            </w:pPr>
            <w:r w:rsidRPr="006F6856">
              <w:rPr>
                <w:rFonts w:asciiTheme="majorHAnsi" w:hAnsiTheme="majorHAnsi"/>
                <w:b/>
                <w:sz w:val="20"/>
              </w:rPr>
              <w:t>No. of Respondents</w:t>
            </w:r>
          </w:p>
        </w:tc>
        <w:tc>
          <w:tcPr>
            <w:tcW w:w="1710" w:type="dxa"/>
            <w:tcBorders>
              <w:bottom w:val="single" w:sz="12" w:space="0" w:color="000000"/>
            </w:tcBorders>
            <w:shd w:val="clear" w:color="auto" w:fill="D9D9D9" w:themeFill="background1" w:themeFillShade="D9"/>
            <w:vAlign w:val="center"/>
          </w:tcPr>
          <w:p w:rsidR="000A1F30" w:rsidRPr="006F6856" w:rsidRDefault="000A1F30" w:rsidP="00104A1B">
            <w:pPr>
              <w:jc w:val="center"/>
              <w:rPr>
                <w:rFonts w:asciiTheme="majorHAnsi" w:hAnsiTheme="majorHAnsi"/>
                <w:b/>
                <w:sz w:val="20"/>
              </w:rPr>
            </w:pPr>
            <w:r w:rsidRPr="006F6856">
              <w:rPr>
                <w:rFonts w:asciiTheme="majorHAnsi" w:hAnsiTheme="majorHAnsi"/>
                <w:b/>
                <w:sz w:val="20"/>
              </w:rPr>
              <w:t xml:space="preserve">No. of </w:t>
            </w:r>
            <w:r>
              <w:rPr>
                <w:rFonts w:asciiTheme="majorHAnsi" w:hAnsiTheme="majorHAnsi"/>
                <w:b/>
                <w:sz w:val="20"/>
              </w:rPr>
              <w:t xml:space="preserve">Responses </w:t>
            </w:r>
            <w:r w:rsidRPr="006F6856">
              <w:rPr>
                <w:rFonts w:asciiTheme="majorHAnsi" w:hAnsiTheme="majorHAnsi"/>
                <w:b/>
                <w:sz w:val="20"/>
              </w:rPr>
              <w:t>per Respondent</w:t>
            </w:r>
          </w:p>
        </w:tc>
        <w:tc>
          <w:tcPr>
            <w:tcW w:w="1260" w:type="dxa"/>
            <w:tcBorders>
              <w:bottom w:val="single" w:sz="12" w:space="0" w:color="000000"/>
            </w:tcBorders>
            <w:shd w:val="clear" w:color="auto" w:fill="D9D9D9" w:themeFill="background1" w:themeFillShade="D9"/>
            <w:vAlign w:val="center"/>
          </w:tcPr>
          <w:p w:rsidR="000A1F30" w:rsidRPr="00817941" w:rsidRDefault="000A1F30" w:rsidP="00104A1B">
            <w:pPr>
              <w:jc w:val="center"/>
              <w:rPr>
                <w:rFonts w:asciiTheme="majorHAnsi" w:hAnsiTheme="majorHAnsi"/>
                <w:b/>
                <w:sz w:val="20"/>
              </w:rPr>
            </w:pPr>
            <w:r w:rsidRPr="00817941">
              <w:rPr>
                <w:rFonts w:asciiTheme="majorHAnsi" w:hAnsiTheme="majorHAnsi"/>
                <w:b/>
                <w:sz w:val="20"/>
              </w:rPr>
              <w:t>Average Burden per Response (in hours)</w:t>
            </w:r>
          </w:p>
        </w:tc>
        <w:tc>
          <w:tcPr>
            <w:tcW w:w="1080" w:type="dxa"/>
            <w:tcBorders>
              <w:bottom w:val="single" w:sz="12" w:space="0" w:color="000000"/>
            </w:tcBorders>
            <w:shd w:val="clear" w:color="auto" w:fill="D9D9D9" w:themeFill="background1" w:themeFillShade="D9"/>
            <w:vAlign w:val="center"/>
          </w:tcPr>
          <w:p w:rsidR="000A1F30" w:rsidRPr="00817941" w:rsidRDefault="000A1F30" w:rsidP="00104A1B">
            <w:pPr>
              <w:jc w:val="center"/>
              <w:rPr>
                <w:rFonts w:asciiTheme="majorHAnsi" w:hAnsiTheme="majorHAnsi"/>
                <w:b/>
                <w:sz w:val="20"/>
              </w:rPr>
            </w:pPr>
            <w:r w:rsidRPr="00817941">
              <w:rPr>
                <w:rFonts w:asciiTheme="majorHAnsi" w:hAnsiTheme="majorHAnsi"/>
                <w:b/>
                <w:sz w:val="20"/>
              </w:rPr>
              <w:t>Total Burden Hours</w:t>
            </w:r>
          </w:p>
        </w:tc>
        <w:tc>
          <w:tcPr>
            <w:tcW w:w="990" w:type="dxa"/>
            <w:tcBorders>
              <w:bottom w:val="single" w:sz="12" w:space="0" w:color="000000"/>
            </w:tcBorders>
            <w:shd w:val="clear" w:color="auto" w:fill="D9D9D9" w:themeFill="background1" w:themeFillShade="D9"/>
            <w:vAlign w:val="center"/>
          </w:tcPr>
          <w:p w:rsidR="000A1F30" w:rsidRPr="00817941" w:rsidRDefault="000A1F30" w:rsidP="000A1F30">
            <w:pPr>
              <w:jc w:val="center"/>
              <w:rPr>
                <w:rFonts w:asciiTheme="majorHAnsi" w:hAnsiTheme="majorHAnsi"/>
                <w:b/>
                <w:sz w:val="20"/>
              </w:rPr>
            </w:pPr>
            <w:r w:rsidRPr="00817941">
              <w:rPr>
                <w:rFonts w:asciiTheme="majorHAnsi" w:hAnsiTheme="majorHAnsi"/>
                <w:b/>
                <w:sz w:val="20"/>
              </w:rPr>
              <w:t>Hourly Wage Rate</w:t>
            </w:r>
          </w:p>
        </w:tc>
        <w:tc>
          <w:tcPr>
            <w:tcW w:w="1368" w:type="dxa"/>
            <w:tcBorders>
              <w:bottom w:val="single" w:sz="12" w:space="0" w:color="000000"/>
            </w:tcBorders>
            <w:shd w:val="clear" w:color="auto" w:fill="D9D9D9" w:themeFill="background1" w:themeFillShade="D9"/>
            <w:vAlign w:val="center"/>
          </w:tcPr>
          <w:p w:rsidR="000A1F30" w:rsidRPr="00817941" w:rsidRDefault="000A1F30" w:rsidP="000A1F30">
            <w:pPr>
              <w:jc w:val="center"/>
              <w:rPr>
                <w:rFonts w:asciiTheme="majorHAnsi" w:hAnsiTheme="majorHAnsi"/>
                <w:b/>
                <w:sz w:val="20"/>
              </w:rPr>
            </w:pPr>
            <w:r w:rsidRPr="00817941">
              <w:rPr>
                <w:rFonts w:asciiTheme="majorHAnsi" w:hAnsiTheme="majorHAnsi"/>
                <w:b/>
                <w:sz w:val="20"/>
              </w:rPr>
              <w:t>Total Respondent Costs</w:t>
            </w:r>
          </w:p>
        </w:tc>
      </w:tr>
      <w:tr w:rsidR="00DA4E82" w:rsidRPr="006F6856" w:rsidTr="003C064C">
        <w:tc>
          <w:tcPr>
            <w:tcW w:w="1710" w:type="dxa"/>
            <w:tcBorders>
              <w:top w:val="single" w:sz="12" w:space="0" w:color="000000"/>
            </w:tcBorders>
            <w:shd w:val="clear" w:color="auto" w:fill="FFFFFF" w:themeFill="background1"/>
            <w:vAlign w:val="center"/>
          </w:tcPr>
          <w:p w:rsidR="00DA4E82" w:rsidRDefault="00966BC5" w:rsidP="00537079">
            <w:pPr>
              <w:rPr>
                <w:rFonts w:asciiTheme="majorHAnsi" w:hAnsiTheme="majorHAnsi"/>
                <w:sz w:val="20"/>
              </w:rPr>
            </w:pPr>
            <w:r>
              <w:rPr>
                <w:rFonts w:asciiTheme="majorHAnsi" w:hAnsiTheme="majorHAnsi"/>
              </w:rPr>
              <w:t>E</w:t>
            </w:r>
            <w:r w:rsidRPr="00966BC5">
              <w:rPr>
                <w:rFonts w:asciiTheme="majorHAnsi" w:hAnsiTheme="majorHAnsi"/>
              </w:rPr>
              <w:t xml:space="preserve">nvironmental health staff at state, local, and tribal environmental health and agricultural </w:t>
            </w:r>
            <w:r w:rsidR="00537079">
              <w:rPr>
                <w:rFonts w:asciiTheme="majorHAnsi" w:hAnsiTheme="majorHAnsi"/>
              </w:rPr>
              <w:t>departments</w:t>
            </w:r>
          </w:p>
        </w:tc>
        <w:tc>
          <w:tcPr>
            <w:tcW w:w="1440" w:type="dxa"/>
            <w:tcBorders>
              <w:top w:val="single" w:sz="12" w:space="0" w:color="000000"/>
            </w:tcBorders>
            <w:shd w:val="clear" w:color="auto" w:fill="FFFFFF" w:themeFill="background1"/>
            <w:vAlign w:val="center"/>
          </w:tcPr>
          <w:p w:rsidR="00DA4E82" w:rsidRDefault="0048447C" w:rsidP="000130B4">
            <w:pPr>
              <w:jc w:val="center"/>
              <w:rPr>
                <w:rFonts w:asciiTheme="majorHAnsi" w:hAnsiTheme="majorHAnsi"/>
                <w:sz w:val="20"/>
              </w:rPr>
            </w:pPr>
            <w:r>
              <w:rPr>
                <w:rFonts w:asciiTheme="majorHAnsi" w:hAnsiTheme="majorHAnsi"/>
                <w:sz w:val="20"/>
              </w:rPr>
              <w:t>100</w:t>
            </w:r>
          </w:p>
        </w:tc>
        <w:tc>
          <w:tcPr>
            <w:tcW w:w="1710" w:type="dxa"/>
            <w:tcBorders>
              <w:top w:val="single" w:sz="12" w:space="0" w:color="000000"/>
            </w:tcBorders>
            <w:shd w:val="clear" w:color="auto" w:fill="FFFFFF" w:themeFill="background1"/>
            <w:vAlign w:val="center"/>
          </w:tcPr>
          <w:p w:rsidR="00DA4E82" w:rsidRDefault="00943538" w:rsidP="000130B4">
            <w:pPr>
              <w:jc w:val="center"/>
              <w:rPr>
                <w:rFonts w:asciiTheme="majorHAnsi" w:hAnsiTheme="majorHAnsi"/>
                <w:sz w:val="20"/>
              </w:rPr>
            </w:pPr>
            <w:r>
              <w:rPr>
                <w:rFonts w:asciiTheme="majorHAnsi" w:hAnsiTheme="majorHAnsi"/>
                <w:sz w:val="20"/>
              </w:rPr>
              <w:t>1</w:t>
            </w:r>
          </w:p>
        </w:tc>
        <w:tc>
          <w:tcPr>
            <w:tcW w:w="1260" w:type="dxa"/>
            <w:tcBorders>
              <w:top w:val="single" w:sz="12" w:space="0" w:color="000000"/>
            </w:tcBorders>
            <w:shd w:val="clear" w:color="auto" w:fill="FFFFFF" w:themeFill="background1"/>
            <w:vAlign w:val="center"/>
          </w:tcPr>
          <w:p w:rsidR="00DA4E82" w:rsidRDefault="003F5903" w:rsidP="003F5903">
            <w:pPr>
              <w:jc w:val="center"/>
              <w:rPr>
                <w:rFonts w:asciiTheme="majorHAnsi" w:hAnsiTheme="majorHAnsi"/>
                <w:sz w:val="20"/>
              </w:rPr>
            </w:pPr>
            <w:r>
              <w:rPr>
                <w:rFonts w:asciiTheme="majorHAnsi" w:hAnsiTheme="majorHAnsi"/>
                <w:sz w:val="20"/>
              </w:rPr>
              <w:t>18</w:t>
            </w:r>
            <w:r w:rsidR="00943538">
              <w:rPr>
                <w:rFonts w:asciiTheme="majorHAnsi" w:hAnsiTheme="majorHAnsi"/>
                <w:sz w:val="20"/>
              </w:rPr>
              <w:t>/60</w:t>
            </w:r>
          </w:p>
        </w:tc>
        <w:tc>
          <w:tcPr>
            <w:tcW w:w="1080" w:type="dxa"/>
            <w:tcBorders>
              <w:top w:val="single" w:sz="12" w:space="0" w:color="000000"/>
            </w:tcBorders>
            <w:shd w:val="clear" w:color="auto" w:fill="FFFFFF" w:themeFill="background1"/>
            <w:vAlign w:val="center"/>
          </w:tcPr>
          <w:p w:rsidR="00DA4E82" w:rsidRDefault="003F5903" w:rsidP="003F5903">
            <w:pPr>
              <w:jc w:val="center"/>
              <w:rPr>
                <w:rFonts w:asciiTheme="majorHAnsi" w:hAnsiTheme="majorHAnsi"/>
                <w:sz w:val="20"/>
              </w:rPr>
            </w:pPr>
            <w:r>
              <w:rPr>
                <w:rFonts w:asciiTheme="majorHAnsi" w:hAnsiTheme="majorHAnsi"/>
                <w:sz w:val="20"/>
              </w:rPr>
              <w:t>30</w:t>
            </w:r>
          </w:p>
        </w:tc>
        <w:tc>
          <w:tcPr>
            <w:tcW w:w="990" w:type="dxa"/>
            <w:tcBorders>
              <w:top w:val="single" w:sz="12" w:space="0" w:color="000000"/>
            </w:tcBorders>
            <w:shd w:val="clear" w:color="auto" w:fill="FFFFFF" w:themeFill="background1"/>
            <w:vAlign w:val="center"/>
          </w:tcPr>
          <w:p w:rsidR="00DA4E82" w:rsidRDefault="00250A4C" w:rsidP="000130B4">
            <w:pPr>
              <w:jc w:val="center"/>
              <w:rPr>
                <w:rFonts w:asciiTheme="majorHAnsi" w:hAnsiTheme="majorHAnsi"/>
                <w:sz w:val="20"/>
              </w:rPr>
            </w:pPr>
            <w:r>
              <w:rPr>
                <w:rFonts w:asciiTheme="majorHAnsi" w:hAnsiTheme="majorHAnsi"/>
                <w:sz w:val="20"/>
              </w:rPr>
              <w:t>$</w:t>
            </w:r>
            <w:r w:rsidR="00943538">
              <w:rPr>
                <w:rFonts w:asciiTheme="majorHAnsi" w:hAnsiTheme="majorHAnsi"/>
                <w:sz w:val="20"/>
              </w:rPr>
              <w:t>32.62</w:t>
            </w:r>
          </w:p>
        </w:tc>
        <w:tc>
          <w:tcPr>
            <w:tcW w:w="1368" w:type="dxa"/>
            <w:tcBorders>
              <w:top w:val="single" w:sz="12" w:space="0" w:color="000000"/>
            </w:tcBorders>
            <w:shd w:val="clear" w:color="auto" w:fill="FFFFFF" w:themeFill="background1"/>
            <w:vAlign w:val="center"/>
          </w:tcPr>
          <w:p w:rsidR="00DA4E82" w:rsidRDefault="00943538" w:rsidP="00E42AB2">
            <w:pPr>
              <w:jc w:val="right"/>
              <w:rPr>
                <w:rFonts w:asciiTheme="majorHAnsi" w:hAnsiTheme="majorHAnsi"/>
                <w:sz w:val="20"/>
              </w:rPr>
            </w:pPr>
            <w:r>
              <w:rPr>
                <w:rFonts w:asciiTheme="majorHAnsi" w:hAnsiTheme="majorHAnsi"/>
                <w:sz w:val="20"/>
              </w:rPr>
              <w:t>$</w:t>
            </w:r>
            <w:r w:rsidR="00E42AB2">
              <w:rPr>
                <w:rFonts w:asciiTheme="majorHAnsi" w:hAnsiTheme="majorHAnsi"/>
                <w:sz w:val="20"/>
              </w:rPr>
              <w:t>978.6</w:t>
            </w:r>
            <w:r w:rsidR="004B6D62">
              <w:rPr>
                <w:rFonts w:asciiTheme="majorHAnsi" w:hAnsiTheme="majorHAnsi"/>
                <w:sz w:val="20"/>
              </w:rPr>
              <w:t>0</w:t>
            </w:r>
          </w:p>
        </w:tc>
      </w:tr>
      <w:tr w:rsidR="00C0376C" w:rsidRPr="006F6856" w:rsidTr="003C064C">
        <w:trPr>
          <w:trHeight w:hRule="exact" w:val="432"/>
        </w:trPr>
        <w:tc>
          <w:tcPr>
            <w:tcW w:w="1710" w:type="dxa"/>
            <w:vAlign w:val="center"/>
          </w:tcPr>
          <w:p w:rsidR="00C0376C" w:rsidRPr="00C0376C" w:rsidRDefault="00C0376C" w:rsidP="000130B4">
            <w:pPr>
              <w:spacing w:after="0"/>
              <w:jc w:val="right"/>
              <w:rPr>
                <w:rFonts w:asciiTheme="majorHAnsi" w:hAnsiTheme="majorHAnsi"/>
                <w:b/>
                <w:sz w:val="20"/>
              </w:rPr>
            </w:pPr>
            <w:r>
              <w:rPr>
                <w:rFonts w:asciiTheme="majorHAnsi" w:hAnsiTheme="majorHAnsi"/>
                <w:b/>
                <w:sz w:val="20"/>
              </w:rPr>
              <w:t>TOTALS</w:t>
            </w:r>
          </w:p>
        </w:tc>
        <w:tc>
          <w:tcPr>
            <w:tcW w:w="1440" w:type="dxa"/>
            <w:vAlign w:val="center"/>
          </w:tcPr>
          <w:p w:rsidR="00C0376C" w:rsidRPr="00817941" w:rsidRDefault="00CA5B99" w:rsidP="00C0376C">
            <w:pPr>
              <w:spacing w:after="0"/>
              <w:jc w:val="center"/>
              <w:rPr>
                <w:rFonts w:asciiTheme="majorHAnsi" w:hAnsiTheme="majorHAnsi"/>
                <w:b/>
                <w:sz w:val="20"/>
              </w:rPr>
            </w:pPr>
            <w:r>
              <w:rPr>
                <w:rFonts w:asciiTheme="majorHAnsi" w:hAnsiTheme="majorHAnsi"/>
                <w:b/>
                <w:sz w:val="20"/>
              </w:rPr>
              <w:t xml:space="preserve"> </w:t>
            </w:r>
            <w:r w:rsidR="00711B7E">
              <w:rPr>
                <w:rFonts w:asciiTheme="majorHAnsi" w:hAnsiTheme="majorHAnsi"/>
                <w:b/>
                <w:sz w:val="20"/>
              </w:rPr>
              <w:t>100</w:t>
            </w:r>
          </w:p>
        </w:tc>
        <w:tc>
          <w:tcPr>
            <w:tcW w:w="1710" w:type="dxa"/>
            <w:shd w:val="clear" w:color="auto" w:fill="auto"/>
            <w:vAlign w:val="center"/>
          </w:tcPr>
          <w:p w:rsidR="00C0376C" w:rsidRPr="00817941" w:rsidRDefault="00711B7E" w:rsidP="00C0376C">
            <w:pPr>
              <w:spacing w:after="0"/>
              <w:jc w:val="center"/>
              <w:rPr>
                <w:rFonts w:asciiTheme="majorHAnsi" w:hAnsiTheme="majorHAnsi"/>
                <w:b/>
                <w:sz w:val="20"/>
              </w:rPr>
            </w:pPr>
            <w:r>
              <w:rPr>
                <w:rFonts w:asciiTheme="majorHAnsi" w:hAnsiTheme="majorHAnsi"/>
                <w:b/>
                <w:sz w:val="20"/>
              </w:rPr>
              <w:t>1</w:t>
            </w:r>
            <w:r w:rsidR="00CA5B99">
              <w:rPr>
                <w:rFonts w:asciiTheme="majorHAnsi" w:hAnsiTheme="majorHAnsi"/>
                <w:b/>
                <w:sz w:val="20"/>
              </w:rPr>
              <w:t xml:space="preserve"> </w:t>
            </w:r>
          </w:p>
        </w:tc>
        <w:tc>
          <w:tcPr>
            <w:tcW w:w="1260" w:type="dxa"/>
            <w:shd w:val="clear" w:color="auto" w:fill="D9D9D9" w:themeFill="background1" w:themeFillShade="D9"/>
            <w:vAlign w:val="center"/>
          </w:tcPr>
          <w:p w:rsidR="00C0376C" w:rsidRPr="00817941" w:rsidRDefault="00C0376C" w:rsidP="00C0376C">
            <w:pPr>
              <w:spacing w:after="0"/>
              <w:jc w:val="center"/>
              <w:rPr>
                <w:rFonts w:asciiTheme="majorHAnsi" w:hAnsiTheme="majorHAnsi"/>
                <w:b/>
                <w:sz w:val="20"/>
              </w:rPr>
            </w:pPr>
          </w:p>
        </w:tc>
        <w:tc>
          <w:tcPr>
            <w:tcW w:w="1080" w:type="dxa"/>
            <w:vAlign w:val="center"/>
          </w:tcPr>
          <w:p w:rsidR="00C0376C" w:rsidRPr="00817941" w:rsidRDefault="003F5903" w:rsidP="003F5903">
            <w:pPr>
              <w:spacing w:after="0"/>
              <w:jc w:val="center"/>
              <w:rPr>
                <w:rFonts w:asciiTheme="majorHAnsi" w:hAnsiTheme="majorHAnsi"/>
                <w:b/>
                <w:sz w:val="20"/>
              </w:rPr>
            </w:pPr>
            <w:r>
              <w:rPr>
                <w:rFonts w:asciiTheme="majorHAnsi" w:hAnsiTheme="majorHAnsi"/>
                <w:b/>
                <w:sz w:val="20"/>
              </w:rPr>
              <w:t>30</w:t>
            </w:r>
            <w:r w:rsidR="00CA5B99">
              <w:rPr>
                <w:rFonts w:asciiTheme="majorHAnsi" w:hAnsiTheme="majorHAnsi"/>
                <w:b/>
                <w:sz w:val="20"/>
              </w:rPr>
              <w:t xml:space="preserve"> </w:t>
            </w:r>
          </w:p>
        </w:tc>
        <w:tc>
          <w:tcPr>
            <w:tcW w:w="990" w:type="dxa"/>
            <w:shd w:val="clear" w:color="auto" w:fill="D9D9D9" w:themeFill="background1" w:themeFillShade="D9"/>
            <w:vAlign w:val="center"/>
          </w:tcPr>
          <w:p w:rsidR="00C0376C" w:rsidRPr="00817941" w:rsidRDefault="00C0376C" w:rsidP="00C0376C">
            <w:pPr>
              <w:spacing w:after="0"/>
              <w:jc w:val="center"/>
              <w:rPr>
                <w:rFonts w:asciiTheme="majorHAnsi" w:hAnsiTheme="majorHAnsi"/>
                <w:b/>
                <w:sz w:val="20"/>
              </w:rPr>
            </w:pPr>
          </w:p>
        </w:tc>
        <w:tc>
          <w:tcPr>
            <w:tcW w:w="1368" w:type="dxa"/>
            <w:vAlign w:val="center"/>
          </w:tcPr>
          <w:p w:rsidR="00C0376C" w:rsidRPr="00817941" w:rsidRDefault="00943538" w:rsidP="00A65E4B">
            <w:pPr>
              <w:spacing w:after="0"/>
              <w:jc w:val="right"/>
              <w:rPr>
                <w:rFonts w:asciiTheme="majorHAnsi" w:hAnsiTheme="majorHAnsi"/>
                <w:b/>
                <w:sz w:val="20"/>
              </w:rPr>
            </w:pPr>
            <w:r>
              <w:rPr>
                <w:rFonts w:asciiTheme="majorHAnsi" w:hAnsiTheme="majorHAnsi"/>
                <w:b/>
                <w:sz w:val="20"/>
              </w:rPr>
              <w:t>$</w:t>
            </w:r>
            <w:r w:rsidR="00A65E4B">
              <w:rPr>
                <w:rFonts w:asciiTheme="majorHAnsi" w:hAnsiTheme="majorHAnsi"/>
                <w:b/>
                <w:sz w:val="20"/>
              </w:rPr>
              <w:t>978</w:t>
            </w:r>
            <w:r w:rsidR="00711B7E">
              <w:rPr>
                <w:rFonts w:asciiTheme="majorHAnsi" w:hAnsiTheme="majorHAnsi"/>
                <w:b/>
                <w:sz w:val="20"/>
              </w:rPr>
              <w:t>.</w:t>
            </w:r>
            <w:r w:rsidR="00A65E4B">
              <w:rPr>
                <w:rFonts w:asciiTheme="majorHAnsi" w:hAnsiTheme="majorHAnsi"/>
                <w:b/>
                <w:sz w:val="20"/>
              </w:rPr>
              <w:t>6</w:t>
            </w:r>
            <w:r w:rsidR="004B6D62">
              <w:rPr>
                <w:rFonts w:asciiTheme="majorHAnsi" w:hAnsiTheme="majorHAnsi"/>
                <w:b/>
                <w:sz w:val="20"/>
              </w:rPr>
              <w:t>0</w:t>
            </w:r>
          </w:p>
        </w:tc>
      </w:tr>
    </w:tbl>
    <w:p w:rsidR="003C31C9" w:rsidRDefault="003C31C9" w:rsidP="003C31C9">
      <w:pPr>
        <w:pStyle w:val="Default"/>
        <w:ind w:left="720"/>
        <w:rPr>
          <w:rFonts w:asciiTheme="majorHAnsi" w:hAnsiTheme="majorHAnsi" w:cs="Times New Roman"/>
          <w:sz w:val="22"/>
          <w:szCs w:val="22"/>
        </w:rPr>
      </w:pPr>
    </w:p>
    <w:p w:rsidR="002F1502" w:rsidRDefault="002F1502" w:rsidP="008E0683">
      <w:pPr>
        <w:pStyle w:val="ListParagraph"/>
        <w:autoSpaceDE w:val="0"/>
        <w:autoSpaceDN w:val="0"/>
        <w:adjustRightInd w:val="0"/>
        <w:ind w:right="720"/>
        <w:rPr>
          <w:rFonts w:asciiTheme="majorHAnsi" w:hAnsiTheme="majorHAnsi"/>
          <w:u w:val="single"/>
        </w:rPr>
      </w:pPr>
    </w:p>
    <w:p w:rsidR="00B12F51" w:rsidRPr="0088467A" w:rsidRDefault="0088467A" w:rsidP="00697161">
      <w:pPr>
        <w:pStyle w:val="ListParagraph"/>
        <w:numPr>
          <w:ilvl w:val="0"/>
          <w:numId w:val="2"/>
        </w:numPr>
        <w:spacing w:after="0"/>
        <w:ind w:left="360"/>
        <w:rPr>
          <w:rFonts w:asciiTheme="majorHAnsi" w:hAnsiTheme="majorHAnsi"/>
          <w:b/>
          <w:bCs/>
        </w:rPr>
      </w:pPr>
      <w:r w:rsidRPr="0088467A">
        <w:rPr>
          <w:rFonts w:asciiTheme="majorHAnsi" w:hAnsiTheme="majorHAnsi"/>
          <w:b/>
          <w:bCs/>
        </w:rPr>
        <w:t>Estimates of Other Total Annual Cost Burden to Respondents or Record Keepers</w:t>
      </w:r>
    </w:p>
    <w:p w:rsidR="00911486" w:rsidRDefault="003C31C9" w:rsidP="00697161">
      <w:pPr>
        <w:pStyle w:val="Default"/>
      </w:pPr>
      <w:r w:rsidRPr="003C31C9">
        <w:rPr>
          <w:rFonts w:asciiTheme="majorHAnsi" w:hAnsiTheme="majorHAnsi" w:cs="Times New Roman"/>
          <w:sz w:val="22"/>
        </w:rPr>
        <w:t>There will be no direct costs to the respondents other than their time</w:t>
      </w:r>
      <w:r>
        <w:rPr>
          <w:rFonts w:asciiTheme="majorHAnsi" w:hAnsiTheme="majorHAnsi" w:cs="Times New Roman"/>
          <w:sz w:val="22"/>
        </w:rPr>
        <w:t xml:space="preserve"> to participate</w:t>
      </w:r>
      <w:r w:rsidR="00111A03">
        <w:rPr>
          <w:rFonts w:asciiTheme="majorHAnsi" w:hAnsiTheme="majorHAnsi" w:cs="Times New Roman"/>
          <w:sz w:val="22"/>
        </w:rPr>
        <w:t xml:space="preserve">.  </w:t>
      </w:r>
      <w:r w:rsidR="00111A03" w:rsidDel="00111A03">
        <w:rPr>
          <w:rFonts w:asciiTheme="majorHAnsi" w:hAnsiTheme="majorHAnsi" w:cs="Times New Roman"/>
          <w:sz w:val="22"/>
        </w:rPr>
        <w:t xml:space="preserve"> </w:t>
      </w:r>
    </w:p>
    <w:p w:rsidR="00D75750" w:rsidRPr="00911486" w:rsidRDefault="00D75750" w:rsidP="00911486">
      <w:pPr>
        <w:pStyle w:val="Default"/>
        <w:ind w:left="720"/>
      </w:pPr>
    </w:p>
    <w:p w:rsidR="00B12F51" w:rsidRPr="0088467A" w:rsidRDefault="0088467A" w:rsidP="00697161">
      <w:pPr>
        <w:pStyle w:val="ListParagraph"/>
        <w:numPr>
          <w:ilvl w:val="0"/>
          <w:numId w:val="2"/>
        </w:numPr>
        <w:spacing w:after="0"/>
        <w:ind w:left="360"/>
        <w:rPr>
          <w:rFonts w:asciiTheme="majorHAnsi" w:hAnsiTheme="majorHAnsi"/>
          <w:b/>
        </w:rPr>
      </w:pPr>
      <w:r w:rsidRPr="0088467A">
        <w:rPr>
          <w:rFonts w:asciiTheme="majorHAnsi" w:hAnsiTheme="majorHAnsi"/>
          <w:b/>
          <w:bCs/>
        </w:rPr>
        <w:t>Annualized Cost to the Government</w:t>
      </w:r>
      <w:r w:rsidR="00D75750">
        <w:rPr>
          <w:rFonts w:asciiTheme="majorHAnsi" w:hAnsiTheme="majorHAnsi"/>
          <w:b/>
          <w:bCs/>
        </w:rPr>
        <w:t xml:space="preserve"> </w:t>
      </w:r>
    </w:p>
    <w:p w:rsidR="009D3BBE" w:rsidRDefault="00D53473" w:rsidP="00697161">
      <w:pPr>
        <w:pStyle w:val="ListParagraph"/>
        <w:autoSpaceDE w:val="0"/>
        <w:autoSpaceDN w:val="0"/>
        <w:adjustRightInd w:val="0"/>
        <w:ind w:left="0" w:right="720"/>
        <w:rPr>
          <w:rFonts w:asciiTheme="majorHAnsi" w:hAnsiTheme="majorHAnsi"/>
        </w:rPr>
      </w:pPr>
      <w:r w:rsidRPr="00D53473">
        <w:rPr>
          <w:rFonts w:asciiTheme="majorHAnsi" w:hAnsiTheme="majorHAnsi"/>
        </w:rPr>
        <w:t xml:space="preserve">There are no </w:t>
      </w:r>
      <w:r>
        <w:rPr>
          <w:rFonts w:asciiTheme="majorHAnsi" w:hAnsiTheme="majorHAnsi"/>
        </w:rPr>
        <w:t xml:space="preserve">equipment or overhead costs.  A contract with the University of Illinois is in place and will be used to oversee all aspects of the data collection and analysis.  There will be no additional cost </w:t>
      </w:r>
      <w:r w:rsidR="00F733DF">
        <w:rPr>
          <w:rFonts w:asciiTheme="majorHAnsi" w:hAnsiTheme="majorHAnsi"/>
        </w:rPr>
        <w:t>to the government for the contractor beyond or above what is listed in the Statement of Work.</w:t>
      </w:r>
      <w:r w:rsidRPr="00D53473">
        <w:rPr>
          <w:rFonts w:asciiTheme="majorHAnsi" w:hAnsiTheme="majorHAnsi"/>
        </w:rPr>
        <w:t xml:space="preserve"> The web page development, instrument design</w:t>
      </w:r>
      <w:r w:rsidR="009D3BBE">
        <w:rPr>
          <w:rFonts w:asciiTheme="majorHAnsi" w:hAnsiTheme="majorHAnsi"/>
        </w:rPr>
        <w:t>,</w:t>
      </w:r>
      <w:r w:rsidRPr="00D53473">
        <w:rPr>
          <w:rFonts w:asciiTheme="majorHAnsi" w:hAnsiTheme="majorHAnsi"/>
        </w:rPr>
        <w:t xml:space="preserve"> data analysis and reporting will be implemented by the </w:t>
      </w:r>
      <w:r w:rsidR="001766D2">
        <w:rPr>
          <w:rFonts w:asciiTheme="majorHAnsi" w:hAnsiTheme="majorHAnsi"/>
        </w:rPr>
        <w:t xml:space="preserve">University of Illinois and will be overseen by CDC.  </w:t>
      </w:r>
    </w:p>
    <w:p w:rsidR="009D3BBE" w:rsidRDefault="009D3BBE" w:rsidP="00697161">
      <w:pPr>
        <w:pStyle w:val="ListParagraph"/>
        <w:autoSpaceDE w:val="0"/>
        <w:autoSpaceDN w:val="0"/>
        <w:adjustRightInd w:val="0"/>
        <w:ind w:left="0" w:right="720"/>
        <w:rPr>
          <w:rFonts w:asciiTheme="majorHAnsi" w:hAnsiTheme="majorHAnsi"/>
        </w:rPr>
      </w:pPr>
    </w:p>
    <w:p w:rsidR="00D53473" w:rsidRDefault="001766D2" w:rsidP="00697161">
      <w:pPr>
        <w:pStyle w:val="ListParagraph"/>
        <w:autoSpaceDE w:val="0"/>
        <w:autoSpaceDN w:val="0"/>
        <w:adjustRightInd w:val="0"/>
        <w:ind w:left="0" w:right="720"/>
        <w:rPr>
          <w:rFonts w:asciiTheme="majorHAnsi" w:hAnsiTheme="majorHAnsi"/>
        </w:rPr>
      </w:pPr>
      <w:r>
        <w:rPr>
          <w:rFonts w:asciiTheme="majorHAnsi" w:hAnsiTheme="majorHAnsi"/>
        </w:rPr>
        <w:t>The costs to the government include the cost of the contract, the CDC Technical Monitor and the CDC Project Officer</w:t>
      </w:r>
      <w:r w:rsidR="009D3BBE">
        <w:rPr>
          <w:rFonts w:asciiTheme="majorHAnsi" w:hAnsiTheme="majorHAnsi"/>
        </w:rPr>
        <w:t>.  The CDC Technical Monitor and the Project Officer</w:t>
      </w:r>
      <w:r>
        <w:rPr>
          <w:rFonts w:asciiTheme="majorHAnsi" w:hAnsiTheme="majorHAnsi"/>
        </w:rPr>
        <w:t xml:space="preserve"> will oversee the tasks and deliverables of the contract.  </w:t>
      </w:r>
      <w:r w:rsidR="00D53473" w:rsidRPr="00D53473">
        <w:rPr>
          <w:rFonts w:asciiTheme="majorHAnsi" w:hAnsiTheme="majorHAnsi"/>
        </w:rPr>
        <w:t xml:space="preserve">The estimated costs reflect the costs outlined in the Statement of Work and 220 hours of a CDC FTE GS-13 </w:t>
      </w:r>
      <w:r w:rsidR="009D3BBE">
        <w:rPr>
          <w:rFonts w:asciiTheme="majorHAnsi" w:hAnsiTheme="majorHAnsi"/>
        </w:rPr>
        <w:t xml:space="preserve">and a GS-14 </w:t>
      </w:r>
      <w:r w:rsidR="00D53473" w:rsidRPr="00D53473">
        <w:rPr>
          <w:rFonts w:asciiTheme="majorHAnsi" w:hAnsiTheme="majorHAnsi"/>
        </w:rPr>
        <w:t xml:space="preserve">for oversight of the data collection development and analysis.  </w:t>
      </w:r>
      <w:r w:rsidR="009D3BBE">
        <w:rPr>
          <w:rFonts w:asciiTheme="majorHAnsi" w:hAnsiTheme="majorHAnsi"/>
        </w:rPr>
        <w:t>The estimated cost to the federal government is</w:t>
      </w:r>
      <w:r w:rsidR="00F733DF">
        <w:rPr>
          <w:rFonts w:asciiTheme="majorHAnsi" w:hAnsiTheme="majorHAnsi"/>
        </w:rPr>
        <w:t xml:space="preserve"> $192,444</w:t>
      </w:r>
      <w:r w:rsidR="008B47DC">
        <w:rPr>
          <w:rFonts w:asciiTheme="majorHAnsi" w:hAnsiTheme="majorHAnsi"/>
        </w:rPr>
        <w:t>.</w:t>
      </w:r>
      <w:r w:rsidR="00F733DF">
        <w:rPr>
          <w:rFonts w:asciiTheme="majorHAnsi" w:hAnsiTheme="majorHAnsi"/>
        </w:rPr>
        <w:t xml:space="preserve"> </w:t>
      </w:r>
      <w:r w:rsidR="009D3BBE">
        <w:rPr>
          <w:rFonts w:asciiTheme="majorHAnsi" w:hAnsiTheme="majorHAnsi"/>
        </w:rPr>
        <w:t xml:space="preserve"> Table A-14 describes how this cost estimate was calculated.</w:t>
      </w:r>
    </w:p>
    <w:p w:rsidR="001766D2" w:rsidRPr="00D53473" w:rsidRDefault="001766D2" w:rsidP="00D53473">
      <w:pPr>
        <w:pStyle w:val="ListParagraph"/>
        <w:autoSpaceDE w:val="0"/>
        <w:autoSpaceDN w:val="0"/>
        <w:adjustRightInd w:val="0"/>
        <w:ind w:right="720"/>
        <w:rPr>
          <w:rFonts w:asciiTheme="majorHAnsi" w:hAnsiTheme="majorHAnsi"/>
        </w:rPr>
      </w:pPr>
    </w:p>
    <w:p w:rsidR="003C31C9" w:rsidRPr="00637246" w:rsidRDefault="00321B51" w:rsidP="0089725D">
      <w:pPr>
        <w:pStyle w:val="ListParagraph"/>
        <w:autoSpaceDE w:val="0"/>
        <w:autoSpaceDN w:val="0"/>
        <w:adjustRightInd w:val="0"/>
        <w:ind w:right="720" w:hanging="810"/>
        <w:rPr>
          <w:rFonts w:asciiTheme="majorHAnsi" w:hAnsiTheme="majorHAnsi"/>
        </w:rPr>
      </w:pPr>
      <w:r w:rsidRPr="00637246">
        <w:rPr>
          <w:rFonts w:asciiTheme="majorHAnsi" w:hAnsiTheme="majorHAnsi"/>
          <w:color w:val="000000"/>
        </w:rPr>
        <w:t xml:space="preserve"> </w:t>
      </w:r>
      <w:r w:rsidR="008E0683" w:rsidRPr="00637246">
        <w:rPr>
          <w:rFonts w:asciiTheme="majorHAnsi" w:hAnsiTheme="majorHAnsi"/>
          <w:b/>
          <w:u w:val="single"/>
        </w:rPr>
        <w:t>Table A-14</w:t>
      </w:r>
      <w:r w:rsidR="008E0683" w:rsidRPr="00637246">
        <w:rPr>
          <w:rFonts w:asciiTheme="majorHAnsi" w:hAnsiTheme="majorHAnsi"/>
          <w:b/>
        </w:rPr>
        <w:t>:</w:t>
      </w:r>
      <w:r w:rsidR="008E0683" w:rsidRPr="00637246">
        <w:rPr>
          <w:rFonts w:asciiTheme="majorHAnsi" w:hAnsiTheme="majorHAnsi"/>
        </w:rPr>
        <w:t xml:space="preserve"> Estimated Annualized Cost to the Federal Government</w:t>
      </w:r>
    </w:p>
    <w:tbl>
      <w:tblPr>
        <w:tblStyle w:val="TableGrid"/>
        <w:tblW w:w="0" w:type="auto"/>
        <w:tblLook w:val="04A0" w:firstRow="1" w:lastRow="0" w:firstColumn="1" w:lastColumn="0" w:noHBand="0" w:noVBand="1"/>
      </w:tblPr>
      <w:tblGrid>
        <w:gridCol w:w="4518"/>
        <w:gridCol w:w="1980"/>
        <w:gridCol w:w="1620"/>
        <w:gridCol w:w="1458"/>
      </w:tblGrid>
      <w:tr w:rsidR="004841F1" w:rsidRPr="00637246" w:rsidTr="006C4DA7">
        <w:trPr>
          <w:trHeight w:val="593"/>
        </w:trPr>
        <w:tc>
          <w:tcPr>
            <w:tcW w:w="4518" w:type="dxa"/>
            <w:tcBorders>
              <w:bottom w:val="single" w:sz="12" w:space="0" w:color="auto"/>
            </w:tcBorders>
            <w:shd w:val="clear" w:color="auto" w:fill="D9D9D9" w:themeFill="background1" w:themeFillShade="D9"/>
            <w:vAlign w:val="center"/>
          </w:tcPr>
          <w:p w:rsidR="004841F1" w:rsidRPr="00637246" w:rsidRDefault="004841F1" w:rsidP="004824FA">
            <w:pPr>
              <w:jc w:val="center"/>
              <w:rPr>
                <w:rFonts w:asciiTheme="majorHAnsi" w:hAnsiTheme="majorHAnsi"/>
                <w:b/>
              </w:rPr>
            </w:pPr>
            <w:r w:rsidRPr="00637246">
              <w:rPr>
                <w:rFonts w:asciiTheme="majorHAnsi" w:hAnsiTheme="majorHAnsi"/>
                <w:b/>
              </w:rPr>
              <w:t>Staff (FTE)</w:t>
            </w:r>
            <w:r w:rsidR="007A0D73" w:rsidRPr="00637246">
              <w:rPr>
                <w:rFonts w:asciiTheme="majorHAnsi" w:hAnsiTheme="majorHAnsi"/>
                <w:b/>
              </w:rPr>
              <w:t xml:space="preserve"> </w:t>
            </w:r>
          </w:p>
        </w:tc>
        <w:tc>
          <w:tcPr>
            <w:tcW w:w="1980" w:type="dxa"/>
            <w:tcBorders>
              <w:bottom w:val="single" w:sz="12" w:space="0" w:color="auto"/>
            </w:tcBorders>
            <w:shd w:val="clear" w:color="auto" w:fill="D9D9D9" w:themeFill="background1" w:themeFillShade="D9"/>
            <w:vAlign w:val="center"/>
          </w:tcPr>
          <w:p w:rsidR="004841F1" w:rsidRPr="00637246" w:rsidRDefault="004841F1" w:rsidP="004824FA">
            <w:pPr>
              <w:jc w:val="center"/>
              <w:rPr>
                <w:rFonts w:asciiTheme="majorHAnsi" w:hAnsiTheme="majorHAnsi"/>
                <w:b/>
              </w:rPr>
            </w:pPr>
            <w:r w:rsidRPr="00637246">
              <w:rPr>
                <w:rFonts w:asciiTheme="majorHAnsi" w:hAnsiTheme="majorHAnsi"/>
                <w:b/>
              </w:rPr>
              <w:t>Average Hours per Collection</w:t>
            </w:r>
          </w:p>
        </w:tc>
        <w:tc>
          <w:tcPr>
            <w:tcW w:w="1620" w:type="dxa"/>
            <w:tcBorders>
              <w:bottom w:val="single" w:sz="12" w:space="0" w:color="auto"/>
            </w:tcBorders>
            <w:shd w:val="clear" w:color="auto" w:fill="D9D9D9" w:themeFill="background1" w:themeFillShade="D9"/>
            <w:vAlign w:val="center"/>
          </w:tcPr>
          <w:p w:rsidR="004841F1" w:rsidRPr="00637246" w:rsidRDefault="004841F1" w:rsidP="004824FA">
            <w:pPr>
              <w:jc w:val="center"/>
              <w:rPr>
                <w:rFonts w:asciiTheme="majorHAnsi" w:hAnsiTheme="majorHAnsi"/>
                <w:b/>
              </w:rPr>
            </w:pPr>
            <w:r w:rsidRPr="00637246">
              <w:rPr>
                <w:rFonts w:asciiTheme="majorHAnsi" w:hAnsiTheme="majorHAnsi"/>
                <w:b/>
              </w:rPr>
              <w:t>Average Hourly Rate</w:t>
            </w:r>
          </w:p>
        </w:tc>
        <w:tc>
          <w:tcPr>
            <w:tcW w:w="1458" w:type="dxa"/>
            <w:tcBorders>
              <w:bottom w:val="single" w:sz="12" w:space="0" w:color="auto"/>
            </w:tcBorders>
            <w:shd w:val="clear" w:color="auto" w:fill="D9D9D9" w:themeFill="background1" w:themeFillShade="D9"/>
            <w:vAlign w:val="center"/>
          </w:tcPr>
          <w:p w:rsidR="004841F1" w:rsidRPr="00637246" w:rsidRDefault="004841F1" w:rsidP="004824FA">
            <w:pPr>
              <w:jc w:val="center"/>
              <w:rPr>
                <w:rFonts w:asciiTheme="majorHAnsi" w:hAnsiTheme="majorHAnsi"/>
                <w:b/>
              </w:rPr>
            </w:pPr>
            <w:r w:rsidRPr="00637246">
              <w:rPr>
                <w:rFonts w:asciiTheme="majorHAnsi" w:hAnsiTheme="majorHAnsi"/>
                <w:b/>
              </w:rPr>
              <w:t>Average Cost</w:t>
            </w:r>
          </w:p>
        </w:tc>
      </w:tr>
      <w:tr w:rsidR="004841F1" w:rsidRPr="00637246" w:rsidTr="006C4DA7">
        <w:tc>
          <w:tcPr>
            <w:tcW w:w="4518" w:type="dxa"/>
            <w:tcBorders>
              <w:top w:val="single" w:sz="12" w:space="0" w:color="auto"/>
            </w:tcBorders>
          </w:tcPr>
          <w:p w:rsidR="004841F1" w:rsidRPr="00637246" w:rsidRDefault="006A50BF" w:rsidP="00241B17">
            <w:pPr>
              <w:rPr>
                <w:rFonts w:asciiTheme="majorHAnsi" w:hAnsiTheme="majorHAnsi"/>
              </w:rPr>
            </w:pPr>
            <w:r w:rsidRPr="00637246">
              <w:rPr>
                <w:rFonts w:asciiTheme="majorHAnsi" w:hAnsiTheme="majorHAnsi"/>
              </w:rPr>
              <w:t>Technical Monitor-CDC GS-14</w:t>
            </w:r>
          </w:p>
        </w:tc>
        <w:tc>
          <w:tcPr>
            <w:tcW w:w="1980" w:type="dxa"/>
            <w:tcBorders>
              <w:top w:val="single" w:sz="12" w:space="0" w:color="auto"/>
            </w:tcBorders>
          </w:tcPr>
          <w:p w:rsidR="004841F1" w:rsidRPr="00637246" w:rsidRDefault="0067192C" w:rsidP="004824FA">
            <w:pPr>
              <w:jc w:val="center"/>
              <w:rPr>
                <w:rFonts w:asciiTheme="majorHAnsi" w:hAnsiTheme="majorHAnsi"/>
              </w:rPr>
            </w:pPr>
            <w:r w:rsidRPr="00637246">
              <w:rPr>
                <w:rFonts w:asciiTheme="majorHAnsi" w:hAnsiTheme="majorHAnsi"/>
              </w:rPr>
              <w:t>120</w:t>
            </w:r>
            <w:r w:rsidR="00321B51" w:rsidRPr="00637246">
              <w:rPr>
                <w:rFonts w:asciiTheme="majorHAnsi" w:hAnsiTheme="majorHAnsi"/>
              </w:rPr>
              <w:t xml:space="preserve"> </w:t>
            </w:r>
          </w:p>
        </w:tc>
        <w:tc>
          <w:tcPr>
            <w:tcW w:w="1620" w:type="dxa"/>
            <w:tcBorders>
              <w:top w:val="single" w:sz="12" w:space="0" w:color="auto"/>
            </w:tcBorders>
          </w:tcPr>
          <w:p w:rsidR="004841F1" w:rsidRPr="00637246" w:rsidRDefault="006A50BF" w:rsidP="004824FA">
            <w:pPr>
              <w:jc w:val="center"/>
              <w:rPr>
                <w:rFonts w:asciiTheme="majorHAnsi" w:hAnsiTheme="majorHAnsi"/>
              </w:rPr>
            </w:pPr>
            <w:r w:rsidRPr="00637246">
              <w:rPr>
                <w:rFonts w:asciiTheme="majorHAnsi" w:hAnsiTheme="majorHAnsi"/>
              </w:rPr>
              <w:t>$62.00</w:t>
            </w:r>
          </w:p>
        </w:tc>
        <w:tc>
          <w:tcPr>
            <w:tcW w:w="1458" w:type="dxa"/>
            <w:tcBorders>
              <w:top w:val="single" w:sz="12" w:space="0" w:color="auto"/>
            </w:tcBorders>
          </w:tcPr>
          <w:p w:rsidR="004841F1" w:rsidRPr="00637246" w:rsidRDefault="0067192C" w:rsidP="004824FA">
            <w:pPr>
              <w:jc w:val="center"/>
              <w:rPr>
                <w:rFonts w:asciiTheme="majorHAnsi" w:hAnsiTheme="majorHAnsi"/>
              </w:rPr>
            </w:pPr>
            <w:r w:rsidRPr="00637246">
              <w:rPr>
                <w:rFonts w:asciiTheme="majorHAnsi" w:hAnsiTheme="majorHAnsi"/>
              </w:rPr>
              <w:t>$7,440.00</w:t>
            </w:r>
          </w:p>
        </w:tc>
      </w:tr>
      <w:tr w:rsidR="004841F1" w:rsidRPr="00637246" w:rsidTr="006C4DA7">
        <w:tc>
          <w:tcPr>
            <w:tcW w:w="4518" w:type="dxa"/>
          </w:tcPr>
          <w:p w:rsidR="004824FA" w:rsidRPr="00637246" w:rsidRDefault="00321B51" w:rsidP="00241B17">
            <w:pPr>
              <w:rPr>
                <w:rFonts w:asciiTheme="majorHAnsi" w:hAnsiTheme="majorHAnsi"/>
              </w:rPr>
            </w:pPr>
            <w:r w:rsidRPr="00637246">
              <w:rPr>
                <w:rFonts w:asciiTheme="majorHAnsi" w:hAnsiTheme="majorHAnsi"/>
              </w:rPr>
              <w:t xml:space="preserve"> </w:t>
            </w:r>
            <w:r w:rsidR="006A50BF" w:rsidRPr="00637246">
              <w:rPr>
                <w:rFonts w:asciiTheme="majorHAnsi" w:hAnsiTheme="majorHAnsi"/>
              </w:rPr>
              <w:t>Project Officer-CDC GS-13</w:t>
            </w:r>
          </w:p>
        </w:tc>
        <w:tc>
          <w:tcPr>
            <w:tcW w:w="1980" w:type="dxa"/>
          </w:tcPr>
          <w:p w:rsidR="004841F1" w:rsidRPr="00637246" w:rsidRDefault="00321B51" w:rsidP="004824FA">
            <w:pPr>
              <w:jc w:val="center"/>
              <w:rPr>
                <w:rFonts w:asciiTheme="majorHAnsi" w:hAnsiTheme="majorHAnsi"/>
              </w:rPr>
            </w:pPr>
            <w:r w:rsidRPr="00637246">
              <w:rPr>
                <w:rFonts w:asciiTheme="majorHAnsi" w:hAnsiTheme="majorHAnsi"/>
              </w:rPr>
              <w:t xml:space="preserve"> </w:t>
            </w:r>
            <w:r w:rsidR="0067192C" w:rsidRPr="00637246">
              <w:rPr>
                <w:rFonts w:asciiTheme="majorHAnsi" w:hAnsiTheme="majorHAnsi"/>
              </w:rPr>
              <w:t>120</w:t>
            </w:r>
          </w:p>
        </w:tc>
        <w:tc>
          <w:tcPr>
            <w:tcW w:w="1620" w:type="dxa"/>
          </w:tcPr>
          <w:p w:rsidR="004841F1" w:rsidRPr="00637246" w:rsidRDefault="00321B51" w:rsidP="004824FA">
            <w:pPr>
              <w:jc w:val="center"/>
              <w:rPr>
                <w:rFonts w:asciiTheme="majorHAnsi" w:hAnsiTheme="majorHAnsi"/>
              </w:rPr>
            </w:pPr>
            <w:r w:rsidRPr="00637246">
              <w:rPr>
                <w:rFonts w:asciiTheme="majorHAnsi" w:hAnsiTheme="majorHAnsi"/>
              </w:rPr>
              <w:t xml:space="preserve"> </w:t>
            </w:r>
            <w:r w:rsidR="006A50BF" w:rsidRPr="00637246">
              <w:rPr>
                <w:rFonts w:asciiTheme="majorHAnsi" w:hAnsiTheme="majorHAnsi"/>
              </w:rPr>
              <w:t>$52.00</w:t>
            </w:r>
          </w:p>
        </w:tc>
        <w:tc>
          <w:tcPr>
            <w:tcW w:w="1458" w:type="dxa"/>
          </w:tcPr>
          <w:p w:rsidR="004841F1" w:rsidRPr="00637246" w:rsidRDefault="0067192C" w:rsidP="004824FA">
            <w:pPr>
              <w:jc w:val="center"/>
              <w:rPr>
                <w:rFonts w:asciiTheme="majorHAnsi" w:hAnsiTheme="majorHAnsi"/>
              </w:rPr>
            </w:pPr>
            <w:r w:rsidRPr="00637246">
              <w:rPr>
                <w:rFonts w:asciiTheme="majorHAnsi" w:hAnsiTheme="majorHAnsi"/>
              </w:rPr>
              <w:t>$6,240.00</w:t>
            </w:r>
            <w:r w:rsidR="00321B51" w:rsidRPr="00637246">
              <w:rPr>
                <w:rFonts w:asciiTheme="majorHAnsi" w:hAnsiTheme="majorHAnsi"/>
              </w:rPr>
              <w:t xml:space="preserve"> </w:t>
            </w:r>
          </w:p>
        </w:tc>
      </w:tr>
      <w:tr w:rsidR="006C6B8A" w:rsidRPr="00637246" w:rsidTr="006C4DA7">
        <w:tc>
          <w:tcPr>
            <w:tcW w:w="4518" w:type="dxa"/>
          </w:tcPr>
          <w:p w:rsidR="006C6B8A" w:rsidRPr="00637246" w:rsidRDefault="006C6B8A" w:rsidP="00241B17">
            <w:pPr>
              <w:rPr>
                <w:rFonts w:asciiTheme="majorHAnsi" w:hAnsiTheme="majorHAnsi"/>
              </w:rPr>
            </w:pPr>
            <w:r>
              <w:rPr>
                <w:rFonts w:asciiTheme="majorHAnsi" w:hAnsiTheme="majorHAnsi"/>
              </w:rPr>
              <w:lastRenderedPageBreak/>
              <w:t>UI Contract</w:t>
            </w:r>
          </w:p>
        </w:tc>
        <w:tc>
          <w:tcPr>
            <w:tcW w:w="1980" w:type="dxa"/>
          </w:tcPr>
          <w:p w:rsidR="006C6B8A" w:rsidRPr="00637246" w:rsidRDefault="006C6B8A" w:rsidP="004824FA">
            <w:pPr>
              <w:jc w:val="center"/>
              <w:rPr>
                <w:rFonts w:asciiTheme="majorHAnsi" w:hAnsiTheme="majorHAnsi"/>
              </w:rPr>
            </w:pPr>
          </w:p>
        </w:tc>
        <w:tc>
          <w:tcPr>
            <w:tcW w:w="1620" w:type="dxa"/>
          </w:tcPr>
          <w:p w:rsidR="006C6B8A" w:rsidRPr="00637246" w:rsidRDefault="006C6B8A" w:rsidP="004824FA">
            <w:pPr>
              <w:jc w:val="center"/>
              <w:rPr>
                <w:rFonts w:asciiTheme="majorHAnsi" w:hAnsiTheme="majorHAnsi"/>
              </w:rPr>
            </w:pPr>
          </w:p>
        </w:tc>
        <w:tc>
          <w:tcPr>
            <w:tcW w:w="1458" w:type="dxa"/>
          </w:tcPr>
          <w:p w:rsidR="006C6B8A" w:rsidRPr="00637246" w:rsidRDefault="00F733DF" w:rsidP="004824FA">
            <w:pPr>
              <w:jc w:val="center"/>
              <w:rPr>
                <w:rFonts w:asciiTheme="majorHAnsi" w:hAnsiTheme="majorHAnsi"/>
              </w:rPr>
            </w:pPr>
            <w:r>
              <w:rPr>
                <w:rFonts w:asciiTheme="majorHAnsi" w:hAnsiTheme="majorHAnsi"/>
              </w:rPr>
              <w:t>$178,764.00</w:t>
            </w:r>
          </w:p>
        </w:tc>
      </w:tr>
      <w:tr w:rsidR="004824FA" w:rsidRPr="00637246" w:rsidTr="006C4DA7">
        <w:trPr>
          <w:trHeight w:val="332"/>
        </w:trPr>
        <w:tc>
          <w:tcPr>
            <w:tcW w:w="8118" w:type="dxa"/>
            <w:gridSpan w:val="3"/>
            <w:vAlign w:val="center"/>
          </w:tcPr>
          <w:p w:rsidR="004824FA" w:rsidRPr="00637246" w:rsidRDefault="004824FA" w:rsidP="006B4DDC">
            <w:pPr>
              <w:jc w:val="right"/>
              <w:rPr>
                <w:rFonts w:asciiTheme="majorHAnsi" w:hAnsiTheme="majorHAnsi"/>
                <w:b/>
              </w:rPr>
            </w:pPr>
            <w:r w:rsidRPr="00637246">
              <w:rPr>
                <w:rFonts w:asciiTheme="majorHAnsi" w:hAnsiTheme="majorHAnsi"/>
                <w:b/>
              </w:rPr>
              <w:t xml:space="preserve">Estimated Total Cost of </w:t>
            </w:r>
            <w:r w:rsidR="006B4DDC" w:rsidRPr="00637246">
              <w:rPr>
                <w:rFonts w:asciiTheme="majorHAnsi" w:hAnsiTheme="majorHAnsi"/>
                <w:b/>
              </w:rPr>
              <w:t>Information</w:t>
            </w:r>
            <w:r w:rsidRPr="00637246">
              <w:rPr>
                <w:rFonts w:asciiTheme="majorHAnsi" w:hAnsiTheme="majorHAnsi"/>
                <w:b/>
              </w:rPr>
              <w:t xml:space="preserve"> Collection</w:t>
            </w:r>
          </w:p>
        </w:tc>
        <w:tc>
          <w:tcPr>
            <w:tcW w:w="1458" w:type="dxa"/>
            <w:vAlign w:val="center"/>
          </w:tcPr>
          <w:p w:rsidR="004824FA" w:rsidRPr="00637246" w:rsidRDefault="0067192C" w:rsidP="00F733DF">
            <w:pPr>
              <w:jc w:val="center"/>
              <w:rPr>
                <w:rFonts w:asciiTheme="majorHAnsi" w:hAnsiTheme="majorHAnsi"/>
                <w:b/>
              </w:rPr>
            </w:pPr>
            <w:r w:rsidRPr="00637246">
              <w:rPr>
                <w:rFonts w:asciiTheme="majorHAnsi" w:hAnsiTheme="majorHAnsi"/>
                <w:b/>
              </w:rPr>
              <w:t>$1</w:t>
            </w:r>
            <w:r w:rsidR="00F733DF">
              <w:rPr>
                <w:rFonts w:asciiTheme="majorHAnsi" w:hAnsiTheme="majorHAnsi"/>
                <w:b/>
              </w:rPr>
              <w:t>92</w:t>
            </w:r>
            <w:r w:rsidRPr="00637246">
              <w:rPr>
                <w:rFonts w:asciiTheme="majorHAnsi" w:hAnsiTheme="majorHAnsi"/>
                <w:b/>
              </w:rPr>
              <w:t>,</w:t>
            </w:r>
            <w:r w:rsidR="00F733DF">
              <w:rPr>
                <w:rFonts w:asciiTheme="majorHAnsi" w:hAnsiTheme="majorHAnsi"/>
                <w:b/>
              </w:rPr>
              <w:t>444</w:t>
            </w:r>
            <w:r w:rsidR="00321B51" w:rsidRPr="00637246">
              <w:rPr>
                <w:rFonts w:asciiTheme="majorHAnsi" w:hAnsiTheme="majorHAnsi"/>
                <w:b/>
              </w:rPr>
              <w:t xml:space="preserve"> </w:t>
            </w:r>
          </w:p>
        </w:tc>
      </w:tr>
    </w:tbl>
    <w:p w:rsidR="00B12F51" w:rsidRPr="00D75750" w:rsidRDefault="00D75750" w:rsidP="00697161">
      <w:pPr>
        <w:pStyle w:val="ListParagraph"/>
        <w:numPr>
          <w:ilvl w:val="0"/>
          <w:numId w:val="2"/>
        </w:numPr>
        <w:spacing w:after="0"/>
        <w:ind w:left="360"/>
        <w:rPr>
          <w:rFonts w:asciiTheme="majorHAnsi" w:hAnsiTheme="majorHAnsi"/>
          <w:b/>
        </w:rPr>
      </w:pPr>
      <w:r w:rsidRPr="00D75750">
        <w:rPr>
          <w:rFonts w:asciiTheme="majorHAnsi" w:hAnsiTheme="majorHAnsi"/>
          <w:b/>
          <w:bCs/>
        </w:rPr>
        <w:t>Explanation for Program Changes or Adjustments</w:t>
      </w:r>
    </w:p>
    <w:p w:rsidR="00F52BCC" w:rsidRDefault="003C7C5D" w:rsidP="0089725D">
      <w:pPr>
        <w:pStyle w:val="ListParagraph"/>
        <w:spacing w:after="0"/>
        <w:ind w:left="0"/>
        <w:rPr>
          <w:rFonts w:asciiTheme="majorHAnsi" w:hAnsiTheme="majorHAnsi"/>
        </w:rPr>
      </w:pPr>
      <w:r>
        <w:rPr>
          <w:rFonts w:asciiTheme="majorHAnsi" w:hAnsiTheme="majorHAnsi"/>
        </w:rPr>
        <w:t>This is a new data collection.</w:t>
      </w:r>
    </w:p>
    <w:p w:rsidR="00697161" w:rsidRDefault="00697161" w:rsidP="00697161">
      <w:pPr>
        <w:pStyle w:val="ListParagraph"/>
        <w:spacing w:after="0"/>
        <w:ind w:left="270"/>
        <w:rPr>
          <w:rFonts w:asciiTheme="majorHAnsi" w:hAnsiTheme="majorHAnsi"/>
        </w:rPr>
      </w:pPr>
    </w:p>
    <w:p w:rsidR="00B12F51" w:rsidRPr="00EF33CD" w:rsidRDefault="00616090" w:rsidP="00697161">
      <w:pPr>
        <w:pStyle w:val="ListParagraph"/>
        <w:numPr>
          <w:ilvl w:val="0"/>
          <w:numId w:val="2"/>
        </w:numPr>
        <w:spacing w:after="0"/>
        <w:ind w:left="360"/>
        <w:rPr>
          <w:rFonts w:asciiTheme="majorHAnsi" w:hAnsiTheme="majorHAnsi"/>
          <w:b/>
        </w:rPr>
      </w:pPr>
      <w:r>
        <w:rPr>
          <w:rFonts w:asciiTheme="majorHAnsi" w:hAnsiTheme="majorHAnsi"/>
          <w:b/>
        </w:rPr>
        <w:t>Plan</w:t>
      </w:r>
      <w:r w:rsidR="00D75750">
        <w:rPr>
          <w:rFonts w:asciiTheme="majorHAnsi" w:hAnsiTheme="majorHAnsi"/>
          <w:b/>
        </w:rPr>
        <w:t>s</w:t>
      </w:r>
      <w:r w:rsidR="00D75750" w:rsidRPr="00D75750">
        <w:rPr>
          <w:rFonts w:asciiTheme="majorHAnsi" w:hAnsiTheme="majorHAnsi"/>
          <w:b/>
          <w:bCs/>
        </w:rPr>
        <w:t xml:space="preserve"> for Tabulation and Publication and Project Time Schedule</w:t>
      </w:r>
    </w:p>
    <w:p w:rsidR="00E23330" w:rsidRDefault="00811792" w:rsidP="00697161">
      <w:pPr>
        <w:pStyle w:val="ListParagraph"/>
        <w:spacing w:after="0"/>
        <w:ind w:left="0"/>
        <w:rPr>
          <w:rFonts w:asciiTheme="majorHAnsi" w:hAnsiTheme="majorHAnsi"/>
        </w:rPr>
      </w:pPr>
      <w:r>
        <w:rPr>
          <w:rFonts w:asciiTheme="majorHAnsi" w:hAnsiTheme="majorHAnsi"/>
        </w:rPr>
        <w:t xml:space="preserve">Quantitative analyses will involve using descriptive statistics to determine frequency distributions and corresponding variances for responses to the relevant questions. Responses will be cross-tabulated to compare independent variable responses including advertising methods, incentives to participate, number and type of partners/stakeholders, reasons for conducting program, type of program, and program scale. Both factor analysis and coding analysis will be used to </w:t>
      </w:r>
      <w:r w:rsidR="005E4B28">
        <w:rPr>
          <w:rFonts w:asciiTheme="majorHAnsi" w:hAnsiTheme="majorHAnsi"/>
        </w:rPr>
        <w:t>assess</w:t>
      </w:r>
      <w:r>
        <w:rPr>
          <w:rFonts w:asciiTheme="majorHAnsi" w:hAnsiTheme="majorHAnsi"/>
        </w:rPr>
        <w:t xml:space="preserve"> the data. Qualitative thematic analyses will be performed on open-ended, descriptive questions to compile recommendations for improving outreach to well owners and </w:t>
      </w:r>
      <w:r w:rsidR="005E4B28">
        <w:rPr>
          <w:rFonts w:asciiTheme="majorHAnsi" w:hAnsiTheme="majorHAnsi"/>
        </w:rPr>
        <w:t>assessing</w:t>
      </w:r>
      <w:r>
        <w:rPr>
          <w:rFonts w:asciiTheme="majorHAnsi" w:hAnsiTheme="majorHAnsi"/>
        </w:rPr>
        <w:t xml:space="preserve"> the participant</w:t>
      </w:r>
      <w:r w:rsidR="00E23330">
        <w:rPr>
          <w:rFonts w:asciiTheme="majorHAnsi" w:hAnsiTheme="majorHAnsi"/>
        </w:rPr>
        <w:t>’</w:t>
      </w:r>
      <w:r>
        <w:rPr>
          <w:rFonts w:asciiTheme="majorHAnsi" w:hAnsiTheme="majorHAnsi"/>
        </w:rPr>
        <w:t>s experiences with their own program performance. The descriptive questions will increase the utility of the statistical analysis by providing conte</w:t>
      </w:r>
      <w:r w:rsidR="00E23330">
        <w:rPr>
          <w:rFonts w:asciiTheme="majorHAnsi" w:hAnsiTheme="majorHAnsi"/>
        </w:rPr>
        <w:t>x</w:t>
      </w:r>
      <w:r>
        <w:rPr>
          <w:rFonts w:asciiTheme="majorHAnsi" w:hAnsiTheme="majorHAnsi"/>
        </w:rPr>
        <w:t>t</w:t>
      </w:r>
      <w:r w:rsidR="00E23330">
        <w:rPr>
          <w:rFonts w:asciiTheme="majorHAnsi" w:hAnsiTheme="majorHAnsi"/>
        </w:rPr>
        <w:t xml:space="preserve"> about each program that the quantitative data cannot provide (past experiences and how they affected current approaches to outreach, </w:t>
      </w:r>
      <w:proofErr w:type="spellStart"/>
      <w:r w:rsidR="00E23330">
        <w:rPr>
          <w:rFonts w:asciiTheme="majorHAnsi" w:hAnsiTheme="majorHAnsi"/>
        </w:rPr>
        <w:t>etc</w:t>
      </w:r>
      <w:proofErr w:type="spellEnd"/>
      <w:r w:rsidR="004C2E3C">
        <w:rPr>
          <w:rFonts w:asciiTheme="majorHAnsi" w:hAnsiTheme="majorHAnsi"/>
        </w:rPr>
        <w:t>)</w:t>
      </w:r>
      <w:r w:rsidR="00E23330">
        <w:rPr>
          <w:rFonts w:asciiTheme="majorHAnsi" w:hAnsiTheme="majorHAnsi"/>
        </w:rPr>
        <w:t>.</w:t>
      </w:r>
    </w:p>
    <w:p w:rsidR="00E23330" w:rsidRDefault="00E23330" w:rsidP="00697161">
      <w:pPr>
        <w:pStyle w:val="ListParagraph"/>
        <w:spacing w:after="0"/>
        <w:ind w:left="0"/>
        <w:rPr>
          <w:rFonts w:asciiTheme="majorHAnsi" w:hAnsiTheme="majorHAnsi"/>
        </w:rPr>
      </w:pPr>
    </w:p>
    <w:p w:rsidR="002F1502" w:rsidRDefault="00EA1E4F" w:rsidP="00697161">
      <w:pPr>
        <w:pStyle w:val="ListParagraph"/>
        <w:spacing w:after="0"/>
        <w:ind w:left="0"/>
        <w:rPr>
          <w:rFonts w:asciiTheme="majorHAnsi" w:hAnsiTheme="majorHAnsi" w:cs="Times New Roman"/>
        </w:rPr>
      </w:pPr>
      <w:r>
        <w:rPr>
          <w:rFonts w:asciiTheme="majorHAnsi" w:hAnsiTheme="majorHAnsi"/>
        </w:rPr>
        <w:t>A</w:t>
      </w:r>
      <w:r w:rsidR="00590E83" w:rsidRPr="00EA1E4F">
        <w:rPr>
          <w:rFonts w:asciiTheme="majorHAnsi" w:hAnsiTheme="majorHAnsi"/>
        </w:rPr>
        <w:t xml:space="preserve"> final report </w:t>
      </w:r>
      <w:r>
        <w:rPr>
          <w:rFonts w:asciiTheme="majorHAnsi" w:hAnsiTheme="majorHAnsi"/>
        </w:rPr>
        <w:t xml:space="preserve">will be developed and published jointly by the University of Illinois and CDC. </w:t>
      </w:r>
      <w:r w:rsidR="00590E83" w:rsidRPr="00EA1E4F">
        <w:rPr>
          <w:rFonts w:asciiTheme="majorHAnsi" w:hAnsiTheme="majorHAnsi" w:cs="Times New Roman"/>
        </w:rPr>
        <w:t xml:space="preserve">The report will </w:t>
      </w:r>
      <w:r>
        <w:rPr>
          <w:rFonts w:asciiTheme="majorHAnsi" w:hAnsiTheme="majorHAnsi" w:cs="Times New Roman"/>
        </w:rPr>
        <w:t xml:space="preserve">describe the reasons for conducting the program, background on the development of the </w:t>
      </w:r>
      <w:r w:rsidR="0000355F">
        <w:rPr>
          <w:rFonts w:asciiTheme="majorHAnsi" w:hAnsiTheme="majorHAnsi" w:cs="Times New Roman"/>
        </w:rPr>
        <w:t>online data collection</w:t>
      </w:r>
      <w:r>
        <w:rPr>
          <w:rFonts w:asciiTheme="majorHAnsi" w:hAnsiTheme="majorHAnsi" w:cs="Times New Roman"/>
        </w:rPr>
        <w:t xml:space="preserve"> tool, the data collection process, how the responses were analyzed, the narrative responses and appropriate findings from those responses, an analysis of the data, how the findings inform the discussion on outreach to well owners, </w:t>
      </w:r>
      <w:r w:rsidR="007B54A9">
        <w:rPr>
          <w:rFonts w:asciiTheme="majorHAnsi" w:hAnsiTheme="majorHAnsi" w:cs="Times New Roman"/>
        </w:rPr>
        <w:t xml:space="preserve">suggested </w:t>
      </w:r>
      <w:r>
        <w:rPr>
          <w:rFonts w:asciiTheme="majorHAnsi" w:hAnsiTheme="majorHAnsi" w:cs="Times New Roman"/>
        </w:rPr>
        <w:t>approaches for outreach to well owners, and details about when and how those approaches have been shown to be most effective</w:t>
      </w:r>
      <w:r w:rsidR="00590E83" w:rsidRPr="00EA1E4F">
        <w:rPr>
          <w:rFonts w:asciiTheme="majorHAnsi" w:hAnsiTheme="majorHAnsi" w:cs="Times New Roman"/>
        </w:rPr>
        <w:t>.</w:t>
      </w:r>
      <w:r>
        <w:rPr>
          <w:rFonts w:asciiTheme="majorHAnsi" w:hAnsiTheme="majorHAnsi" w:cs="Times New Roman"/>
        </w:rPr>
        <w:t xml:space="preserve"> </w:t>
      </w:r>
      <w:r w:rsidR="00280419">
        <w:rPr>
          <w:rFonts w:asciiTheme="majorHAnsi" w:hAnsiTheme="majorHAnsi" w:cs="Times New Roman"/>
        </w:rPr>
        <w:t xml:space="preserve">The narrative responses will </w:t>
      </w:r>
      <w:r>
        <w:rPr>
          <w:rFonts w:asciiTheme="majorHAnsi" w:hAnsiTheme="majorHAnsi" w:cs="Times New Roman"/>
        </w:rPr>
        <w:t xml:space="preserve">provide details of past experiences of </w:t>
      </w:r>
      <w:r w:rsidR="006D2CA9">
        <w:rPr>
          <w:rFonts w:asciiTheme="majorHAnsi" w:hAnsiTheme="majorHAnsi" w:cs="Times New Roman"/>
        </w:rPr>
        <w:t xml:space="preserve">environmental health staff at state, local, and tribal environmental health and agricultural departments who are government employees and who conduct </w:t>
      </w:r>
      <w:r w:rsidR="00280419">
        <w:rPr>
          <w:rFonts w:asciiTheme="majorHAnsi" w:hAnsiTheme="majorHAnsi" w:cs="Times New Roman"/>
        </w:rPr>
        <w:t>outreach to private well owners</w:t>
      </w:r>
      <w:r>
        <w:rPr>
          <w:rFonts w:asciiTheme="majorHAnsi" w:hAnsiTheme="majorHAnsi" w:cs="Times New Roman"/>
        </w:rPr>
        <w:t xml:space="preserve">, </w:t>
      </w:r>
      <w:r w:rsidR="007B54A9">
        <w:rPr>
          <w:rFonts w:asciiTheme="majorHAnsi" w:hAnsiTheme="majorHAnsi" w:cs="Times New Roman"/>
        </w:rPr>
        <w:t xml:space="preserve">including </w:t>
      </w:r>
      <w:r>
        <w:rPr>
          <w:rFonts w:asciiTheme="majorHAnsi" w:hAnsiTheme="majorHAnsi" w:cs="Times New Roman"/>
        </w:rPr>
        <w:t xml:space="preserve">lessons learned and </w:t>
      </w:r>
      <w:r w:rsidR="007B54A9">
        <w:rPr>
          <w:rFonts w:asciiTheme="majorHAnsi" w:hAnsiTheme="majorHAnsi" w:cs="Times New Roman"/>
        </w:rPr>
        <w:t xml:space="preserve">what they would do differently if they were starting a new program. </w:t>
      </w:r>
      <w:r w:rsidR="00C66E6A">
        <w:rPr>
          <w:rFonts w:asciiTheme="majorHAnsi" w:hAnsiTheme="majorHAnsi" w:cs="Times New Roman"/>
        </w:rPr>
        <w:t xml:space="preserve">The report will </w:t>
      </w:r>
      <w:r w:rsidR="006B75A4">
        <w:rPr>
          <w:rFonts w:asciiTheme="majorHAnsi" w:hAnsiTheme="majorHAnsi" w:cs="Times New Roman"/>
        </w:rPr>
        <w:t xml:space="preserve">also </w:t>
      </w:r>
      <w:r w:rsidR="00C66E6A">
        <w:rPr>
          <w:rFonts w:asciiTheme="majorHAnsi" w:hAnsiTheme="majorHAnsi" w:cs="Times New Roman"/>
        </w:rPr>
        <w:t>include appendices that provide data on the public portions of the programs that took part in the s</w:t>
      </w:r>
      <w:r w:rsidR="0000355F">
        <w:rPr>
          <w:rFonts w:asciiTheme="majorHAnsi" w:hAnsiTheme="majorHAnsi" w:cs="Times New Roman"/>
        </w:rPr>
        <w:t>tudy</w:t>
      </w:r>
      <w:r w:rsidR="006B75A4">
        <w:rPr>
          <w:rFonts w:asciiTheme="majorHAnsi" w:hAnsiTheme="majorHAnsi" w:cs="Times New Roman"/>
        </w:rPr>
        <w:t>.</w:t>
      </w:r>
    </w:p>
    <w:p w:rsidR="00DC3EE3" w:rsidRDefault="00DC3EE3" w:rsidP="00697161">
      <w:pPr>
        <w:pStyle w:val="ListParagraph"/>
        <w:spacing w:after="0"/>
        <w:ind w:left="0"/>
        <w:rPr>
          <w:rFonts w:asciiTheme="majorHAnsi" w:hAnsiTheme="majorHAnsi"/>
        </w:rPr>
      </w:pPr>
    </w:p>
    <w:p w:rsidR="00AB6D1A" w:rsidRDefault="006B75A4" w:rsidP="00697161">
      <w:pPr>
        <w:pStyle w:val="ListParagraph"/>
        <w:spacing w:after="0"/>
        <w:ind w:left="0"/>
        <w:rPr>
          <w:rFonts w:asciiTheme="majorHAnsi" w:hAnsiTheme="majorHAnsi"/>
        </w:rPr>
      </w:pPr>
      <w:r>
        <w:rPr>
          <w:rFonts w:asciiTheme="majorHAnsi" w:hAnsiTheme="majorHAnsi"/>
        </w:rPr>
        <w:t>In addition to the report, a presentation of the results will be given at a national conference that would include</w:t>
      </w:r>
      <w:r w:rsidR="002B4606">
        <w:rPr>
          <w:rFonts w:asciiTheme="majorHAnsi" w:hAnsiTheme="majorHAnsi"/>
        </w:rPr>
        <w:t xml:space="preserve"> the respondent universe</w:t>
      </w:r>
      <w:r>
        <w:rPr>
          <w:rFonts w:asciiTheme="majorHAnsi" w:hAnsiTheme="majorHAnsi"/>
        </w:rPr>
        <w:t xml:space="preserve">, and information developed for the report may be summarized in a paper to be submitted to a relevant </w:t>
      </w:r>
      <w:r w:rsidR="0089725D">
        <w:rPr>
          <w:rFonts w:asciiTheme="majorHAnsi" w:hAnsiTheme="majorHAnsi"/>
        </w:rPr>
        <w:t xml:space="preserve">peer reviewed </w:t>
      </w:r>
      <w:r>
        <w:rPr>
          <w:rFonts w:asciiTheme="majorHAnsi" w:hAnsiTheme="majorHAnsi"/>
        </w:rPr>
        <w:t xml:space="preserve">journal.  The results will also be distributed through the network of </w:t>
      </w:r>
      <w:r w:rsidR="002B4606">
        <w:rPr>
          <w:rFonts w:asciiTheme="majorHAnsi" w:hAnsiTheme="majorHAnsi"/>
        </w:rPr>
        <w:t xml:space="preserve">this respondent universe </w:t>
      </w:r>
      <w:r>
        <w:rPr>
          <w:rFonts w:asciiTheme="majorHAnsi" w:hAnsiTheme="majorHAnsi"/>
        </w:rPr>
        <w:t xml:space="preserve">identified through the PI’s Private Well Class program. CDC will also distribute the report and report findings through their networks, such as the Private Well Initiative. </w:t>
      </w:r>
    </w:p>
    <w:p w:rsidR="00537079" w:rsidRDefault="00537079" w:rsidP="00697161">
      <w:pPr>
        <w:pStyle w:val="ListParagraph"/>
        <w:spacing w:after="0"/>
        <w:ind w:left="0"/>
        <w:rPr>
          <w:rFonts w:asciiTheme="majorHAnsi" w:hAnsiTheme="majorHAnsi"/>
        </w:rPr>
      </w:pPr>
    </w:p>
    <w:p w:rsidR="000A71DF" w:rsidRPr="008B47DC" w:rsidRDefault="000A71DF" w:rsidP="0089725D">
      <w:pPr>
        <w:spacing w:after="0"/>
        <w:ind w:firstLine="90"/>
        <w:rPr>
          <w:rFonts w:asciiTheme="majorHAnsi" w:hAnsiTheme="majorHAnsi"/>
          <w:u w:val="single"/>
        </w:rPr>
      </w:pPr>
      <w:r w:rsidRPr="008B47DC">
        <w:rPr>
          <w:rFonts w:asciiTheme="majorHAnsi" w:hAnsiTheme="majorHAnsi"/>
          <w:u w:val="single"/>
        </w:rPr>
        <w:t>Project Time Schedule</w:t>
      </w:r>
    </w:p>
    <w:tbl>
      <w:tblPr>
        <w:tblStyle w:val="TableGrid"/>
        <w:tblW w:w="0" w:type="auto"/>
        <w:tblInd w:w="198" w:type="dxa"/>
        <w:tblLook w:val="04A0" w:firstRow="1" w:lastRow="0" w:firstColumn="1" w:lastColumn="0" w:noHBand="0" w:noVBand="1"/>
      </w:tblPr>
      <w:tblGrid>
        <w:gridCol w:w="5310"/>
        <w:gridCol w:w="900"/>
        <w:gridCol w:w="900"/>
        <w:gridCol w:w="900"/>
        <w:gridCol w:w="918"/>
      </w:tblGrid>
      <w:tr w:rsidR="00590E83" w:rsidRPr="009D3BBE" w:rsidTr="00697161">
        <w:trPr>
          <w:trHeight w:hRule="exact" w:val="432"/>
        </w:trPr>
        <w:tc>
          <w:tcPr>
            <w:tcW w:w="5310" w:type="dxa"/>
          </w:tcPr>
          <w:p w:rsidR="00590E83" w:rsidRPr="009D3BBE" w:rsidRDefault="00590E83" w:rsidP="00EC3D84">
            <w:pPr>
              <w:spacing w:line="480" w:lineRule="auto"/>
              <w:rPr>
                <w:rFonts w:asciiTheme="majorHAnsi" w:hAnsiTheme="majorHAnsi" w:cs="Times New Roman"/>
              </w:rPr>
            </w:pPr>
            <w:r w:rsidRPr="009D3BBE">
              <w:rPr>
                <w:rFonts w:asciiTheme="majorHAnsi" w:hAnsiTheme="majorHAnsi" w:cs="Times New Roman"/>
              </w:rPr>
              <w:t>Task</w:t>
            </w:r>
          </w:p>
        </w:tc>
        <w:tc>
          <w:tcPr>
            <w:tcW w:w="900" w:type="dxa"/>
          </w:tcPr>
          <w:p w:rsidR="00590E83" w:rsidRPr="009D3BBE" w:rsidRDefault="00590E83" w:rsidP="00EC3D84">
            <w:pPr>
              <w:spacing w:line="480" w:lineRule="auto"/>
              <w:rPr>
                <w:rFonts w:asciiTheme="majorHAnsi" w:hAnsiTheme="majorHAnsi" w:cs="Times New Roman"/>
              </w:rPr>
            </w:pPr>
            <w:r w:rsidRPr="009D3BBE">
              <w:rPr>
                <w:rFonts w:asciiTheme="majorHAnsi" w:hAnsiTheme="majorHAnsi" w:cs="Times New Roman"/>
              </w:rPr>
              <w:t>1</w:t>
            </w:r>
            <w:r w:rsidRPr="009D3BBE">
              <w:rPr>
                <w:rFonts w:asciiTheme="majorHAnsi" w:hAnsiTheme="majorHAnsi" w:cs="Times New Roman"/>
                <w:vertAlign w:val="superscript"/>
              </w:rPr>
              <w:t>st</w:t>
            </w:r>
            <w:r w:rsidRPr="009D3BBE">
              <w:rPr>
                <w:rFonts w:asciiTheme="majorHAnsi" w:hAnsiTheme="majorHAnsi" w:cs="Times New Roman"/>
              </w:rPr>
              <w:t xml:space="preserve"> </w:t>
            </w:r>
            <w:proofErr w:type="spellStart"/>
            <w:r w:rsidRPr="009D3BBE">
              <w:rPr>
                <w:rFonts w:asciiTheme="majorHAnsi" w:hAnsiTheme="majorHAnsi" w:cs="Times New Roman"/>
              </w:rPr>
              <w:t>Qtr</w:t>
            </w:r>
            <w:proofErr w:type="spellEnd"/>
          </w:p>
        </w:tc>
        <w:tc>
          <w:tcPr>
            <w:tcW w:w="900" w:type="dxa"/>
          </w:tcPr>
          <w:p w:rsidR="00590E83" w:rsidRPr="009D3BBE" w:rsidRDefault="00590E83" w:rsidP="00EC3D84">
            <w:pPr>
              <w:spacing w:line="480" w:lineRule="auto"/>
              <w:rPr>
                <w:rFonts w:asciiTheme="majorHAnsi" w:hAnsiTheme="majorHAnsi" w:cs="Times New Roman"/>
              </w:rPr>
            </w:pPr>
            <w:r w:rsidRPr="009D3BBE">
              <w:rPr>
                <w:rFonts w:asciiTheme="majorHAnsi" w:hAnsiTheme="majorHAnsi" w:cs="Times New Roman"/>
              </w:rPr>
              <w:t>2</w:t>
            </w:r>
            <w:r w:rsidRPr="009D3BBE">
              <w:rPr>
                <w:rFonts w:asciiTheme="majorHAnsi" w:hAnsiTheme="majorHAnsi" w:cs="Times New Roman"/>
                <w:vertAlign w:val="superscript"/>
              </w:rPr>
              <w:t>nd</w:t>
            </w:r>
            <w:r w:rsidRPr="009D3BBE">
              <w:rPr>
                <w:rFonts w:asciiTheme="majorHAnsi" w:hAnsiTheme="majorHAnsi" w:cs="Times New Roman"/>
              </w:rPr>
              <w:t xml:space="preserve"> </w:t>
            </w:r>
            <w:proofErr w:type="spellStart"/>
            <w:r w:rsidRPr="009D3BBE">
              <w:rPr>
                <w:rFonts w:asciiTheme="majorHAnsi" w:hAnsiTheme="majorHAnsi" w:cs="Times New Roman"/>
              </w:rPr>
              <w:t>Qtr</w:t>
            </w:r>
            <w:proofErr w:type="spellEnd"/>
          </w:p>
        </w:tc>
        <w:tc>
          <w:tcPr>
            <w:tcW w:w="900" w:type="dxa"/>
          </w:tcPr>
          <w:p w:rsidR="00590E83" w:rsidRPr="009D3BBE" w:rsidRDefault="00590E83" w:rsidP="00EC3D84">
            <w:pPr>
              <w:spacing w:line="480" w:lineRule="auto"/>
              <w:rPr>
                <w:rFonts w:asciiTheme="majorHAnsi" w:hAnsiTheme="majorHAnsi" w:cs="Times New Roman"/>
              </w:rPr>
            </w:pPr>
            <w:r w:rsidRPr="009D3BBE">
              <w:rPr>
                <w:rFonts w:asciiTheme="majorHAnsi" w:hAnsiTheme="majorHAnsi" w:cs="Times New Roman"/>
              </w:rPr>
              <w:t>3</w:t>
            </w:r>
            <w:r w:rsidRPr="009D3BBE">
              <w:rPr>
                <w:rFonts w:asciiTheme="majorHAnsi" w:hAnsiTheme="majorHAnsi" w:cs="Times New Roman"/>
                <w:vertAlign w:val="superscript"/>
              </w:rPr>
              <w:t>rd</w:t>
            </w:r>
            <w:r w:rsidRPr="009D3BBE">
              <w:rPr>
                <w:rFonts w:asciiTheme="majorHAnsi" w:hAnsiTheme="majorHAnsi" w:cs="Times New Roman"/>
              </w:rPr>
              <w:t xml:space="preserve"> </w:t>
            </w:r>
            <w:proofErr w:type="spellStart"/>
            <w:r w:rsidRPr="009D3BBE">
              <w:rPr>
                <w:rFonts w:asciiTheme="majorHAnsi" w:hAnsiTheme="majorHAnsi" w:cs="Times New Roman"/>
              </w:rPr>
              <w:t>Qtr</w:t>
            </w:r>
            <w:proofErr w:type="spellEnd"/>
          </w:p>
        </w:tc>
        <w:tc>
          <w:tcPr>
            <w:tcW w:w="918" w:type="dxa"/>
          </w:tcPr>
          <w:p w:rsidR="00590E83" w:rsidRPr="009D3BBE" w:rsidRDefault="00590E83" w:rsidP="00EC3D84">
            <w:pPr>
              <w:spacing w:line="480" w:lineRule="auto"/>
              <w:rPr>
                <w:rFonts w:asciiTheme="majorHAnsi" w:hAnsiTheme="majorHAnsi" w:cs="Times New Roman"/>
              </w:rPr>
            </w:pPr>
            <w:r w:rsidRPr="009D3BBE">
              <w:rPr>
                <w:rFonts w:asciiTheme="majorHAnsi" w:hAnsiTheme="majorHAnsi" w:cs="Times New Roman"/>
              </w:rPr>
              <w:t>4</w:t>
            </w:r>
            <w:r w:rsidRPr="009D3BBE">
              <w:rPr>
                <w:rFonts w:asciiTheme="majorHAnsi" w:hAnsiTheme="majorHAnsi" w:cs="Times New Roman"/>
                <w:vertAlign w:val="superscript"/>
              </w:rPr>
              <w:t>th</w:t>
            </w:r>
            <w:r w:rsidRPr="009D3BBE">
              <w:rPr>
                <w:rFonts w:asciiTheme="majorHAnsi" w:hAnsiTheme="majorHAnsi" w:cs="Times New Roman"/>
              </w:rPr>
              <w:t xml:space="preserve"> </w:t>
            </w:r>
            <w:proofErr w:type="spellStart"/>
            <w:r w:rsidRPr="009D3BBE">
              <w:rPr>
                <w:rFonts w:asciiTheme="majorHAnsi" w:hAnsiTheme="majorHAnsi" w:cs="Times New Roman"/>
              </w:rPr>
              <w:t>Qtr</w:t>
            </w:r>
            <w:proofErr w:type="spellEnd"/>
          </w:p>
        </w:tc>
      </w:tr>
      <w:tr w:rsidR="00590E83" w:rsidRPr="009D3BBE" w:rsidTr="00697161">
        <w:trPr>
          <w:trHeight w:hRule="exact" w:val="432"/>
        </w:trPr>
        <w:tc>
          <w:tcPr>
            <w:tcW w:w="5310" w:type="dxa"/>
          </w:tcPr>
          <w:p w:rsidR="00590E83" w:rsidRPr="008B47DC" w:rsidRDefault="00590E83" w:rsidP="00EC3D84">
            <w:pPr>
              <w:spacing w:after="200" w:line="480" w:lineRule="auto"/>
              <w:rPr>
                <w:rFonts w:asciiTheme="majorHAnsi" w:hAnsiTheme="majorHAnsi" w:cs="Times New Roman"/>
              </w:rPr>
            </w:pPr>
            <w:r w:rsidRPr="008B47DC">
              <w:rPr>
                <w:rFonts w:asciiTheme="majorHAnsi" w:hAnsiTheme="majorHAnsi" w:cs="Times New Roman"/>
              </w:rPr>
              <w:t>Obtain OMB Clearance for Data Gathering (8 weeks</w:t>
            </w:r>
            <w:r w:rsidR="00F45E7B" w:rsidRPr="008B47DC">
              <w:rPr>
                <w:rFonts w:asciiTheme="majorHAnsi" w:hAnsiTheme="majorHAnsi" w:cs="Times New Roman"/>
              </w:rPr>
              <w:t xml:space="preserve"> est.</w:t>
            </w:r>
            <w:r w:rsidRPr="008B47DC">
              <w:rPr>
                <w:rFonts w:asciiTheme="majorHAnsi" w:hAnsiTheme="majorHAnsi" w:cs="Times New Roman"/>
              </w:rPr>
              <w:t>)</w:t>
            </w:r>
          </w:p>
        </w:tc>
        <w:tc>
          <w:tcPr>
            <w:tcW w:w="900" w:type="dxa"/>
          </w:tcPr>
          <w:p w:rsidR="00590E83" w:rsidRPr="008B47DC" w:rsidRDefault="00590E83" w:rsidP="00EC3D84">
            <w:pPr>
              <w:spacing w:after="200" w:line="480" w:lineRule="auto"/>
              <w:rPr>
                <w:rFonts w:asciiTheme="majorHAnsi" w:hAnsiTheme="majorHAnsi" w:cs="Times New Roman"/>
              </w:rPr>
            </w:pPr>
            <w:r w:rsidRPr="008B47DC">
              <w:rPr>
                <w:rFonts w:asciiTheme="majorHAnsi" w:hAnsiTheme="majorHAnsi" w:cs="Times New Roman"/>
              </w:rPr>
              <w:t>XX</w:t>
            </w:r>
          </w:p>
        </w:tc>
        <w:tc>
          <w:tcPr>
            <w:tcW w:w="900" w:type="dxa"/>
          </w:tcPr>
          <w:p w:rsidR="00590E83" w:rsidRPr="008B47DC" w:rsidRDefault="00590E83" w:rsidP="00EC3D84">
            <w:pPr>
              <w:spacing w:after="200" w:line="480" w:lineRule="auto"/>
              <w:rPr>
                <w:rFonts w:asciiTheme="majorHAnsi" w:hAnsiTheme="majorHAnsi" w:cs="Times New Roman"/>
              </w:rPr>
            </w:pPr>
          </w:p>
        </w:tc>
        <w:tc>
          <w:tcPr>
            <w:tcW w:w="900" w:type="dxa"/>
          </w:tcPr>
          <w:p w:rsidR="00590E83" w:rsidRPr="008B47DC" w:rsidRDefault="00590E83" w:rsidP="00EC3D84">
            <w:pPr>
              <w:spacing w:after="200" w:line="480" w:lineRule="auto"/>
              <w:rPr>
                <w:rFonts w:asciiTheme="majorHAnsi" w:hAnsiTheme="majorHAnsi" w:cs="Times New Roman"/>
              </w:rPr>
            </w:pPr>
          </w:p>
        </w:tc>
        <w:tc>
          <w:tcPr>
            <w:tcW w:w="918" w:type="dxa"/>
          </w:tcPr>
          <w:p w:rsidR="00590E83" w:rsidRPr="008B47DC" w:rsidRDefault="00590E83" w:rsidP="00EC3D84">
            <w:pPr>
              <w:spacing w:after="200" w:line="480" w:lineRule="auto"/>
              <w:rPr>
                <w:rFonts w:asciiTheme="majorHAnsi" w:hAnsiTheme="majorHAnsi" w:cs="Times New Roman"/>
              </w:rPr>
            </w:pPr>
          </w:p>
        </w:tc>
      </w:tr>
      <w:tr w:rsidR="00590E83" w:rsidRPr="009D3BBE" w:rsidTr="00697161">
        <w:trPr>
          <w:trHeight w:hRule="exact" w:val="432"/>
        </w:trPr>
        <w:tc>
          <w:tcPr>
            <w:tcW w:w="5310" w:type="dxa"/>
          </w:tcPr>
          <w:p w:rsidR="00590E83" w:rsidRPr="009D3BBE" w:rsidRDefault="00590E83" w:rsidP="00EC3D84">
            <w:pPr>
              <w:spacing w:line="480" w:lineRule="auto"/>
              <w:rPr>
                <w:rFonts w:asciiTheme="majorHAnsi" w:hAnsiTheme="majorHAnsi" w:cs="Times New Roman"/>
              </w:rPr>
            </w:pPr>
            <w:r w:rsidRPr="009D3BBE">
              <w:rPr>
                <w:rFonts w:asciiTheme="majorHAnsi" w:hAnsiTheme="majorHAnsi" w:cs="Times New Roman"/>
              </w:rPr>
              <w:t>Develop List of Programs to Contact</w:t>
            </w:r>
          </w:p>
        </w:tc>
        <w:tc>
          <w:tcPr>
            <w:tcW w:w="900" w:type="dxa"/>
          </w:tcPr>
          <w:p w:rsidR="00590E83" w:rsidRPr="009D3BBE" w:rsidRDefault="00590E83" w:rsidP="00EC3D84">
            <w:pPr>
              <w:spacing w:line="480" w:lineRule="auto"/>
              <w:rPr>
                <w:rFonts w:asciiTheme="majorHAnsi" w:hAnsiTheme="majorHAnsi" w:cs="Times New Roman"/>
              </w:rPr>
            </w:pPr>
            <w:r w:rsidRPr="009D3BBE">
              <w:rPr>
                <w:rFonts w:asciiTheme="majorHAnsi" w:hAnsiTheme="majorHAnsi" w:cs="Times New Roman"/>
              </w:rPr>
              <w:t>XXX</w:t>
            </w:r>
          </w:p>
        </w:tc>
        <w:tc>
          <w:tcPr>
            <w:tcW w:w="900" w:type="dxa"/>
          </w:tcPr>
          <w:p w:rsidR="00590E83" w:rsidRPr="009D3BBE" w:rsidRDefault="00590E83" w:rsidP="00EC3D84">
            <w:pPr>
              <w:spacing w:line="480" w:lineRule="auto"/>
              <w:rPr>
                <w:rFonts w:asciiTheme="majorHAnsi" w:hAnsiTheme="majorHAnsi" w:cs="Times New Roman"/>
              </w:rPr>
            </w:pPr>
          </w:p>
        </w:tc>
        <w:tc>
          <w:tcPr>
            <w:tcW w:w="900" w:type="dxa"/>
          </w:tcPr>
          <w:p w:rsidR="00590E83" w:rsidRPr="009D3BBE" w:rsidRDefault="00590E83" w:rsidP="00EC3D84">
            <w:pPr>
              <w:spacing w:line="480" w:lineRule="auto"/>
              <w:rPr>
                <w:rFonts w:asciiTheme="majorHAnsi" w:hAnsiTheme="majorHAnsi" w:cs="Times New Roman"/>
              </w:rPr>
            </w:pPr>
          </w:p>
        </w:tc>
        <w:tc>
          <w:tcPr>
            <w:tcW w:w="918" w:type="dxa"/>
          </w:tcPr>
          <w:p w:rsidR="00590E83" w:rsidRPr="009D3BBE" w:rsidRDefault="00590E83" w:rsidP="00EC3D84">
            <w:pPr>
              <w:spacing w:line="480" w:lineRule="auto"/>
              <w:rPr>
                <w:rFonts w:asciiTheme="majorHAnsi" w:hAnsiTheme="majorHAnsi" w:cs="Times New Roman"/>
              </w:rPr>
            </w:pPr>
          </w:p>
        </w:tc>
      </w:tr>
      <w:tr w:rsidR="00590E83" w:rsidRPr="009D3BBE" w:rsidTr="00697161">
        <w:trPr>
          <w:trHeight w:hRule="exact" w:val="432"/>
        </w:trPr>
        <w:tc>
          <w:tcPr>
            <w:tcW w:w="5310" w:type="dxa"/>
          </w:tcPr>
          <w:p w:rsidR="00590E83" w:rsidRPr="009D3BBE" w:rsidRDefault="00590E83" w:rsidP="00EC3D84">
            <w:pPr>
              <w:spacing w:line="480" w:lineRule="auto"/>
              <w:rPr>
                <w:rFonts w:asciiTheme="majorHAnsi" w:hAnsiTheme="majorHAnsi" w:cs="Times New Roman"/>
              </w:rPr>
            </w:pPr>
            <w:r w:rsidRPr="009D3BBE">
              <w:rPr>
                <w:rFonts w:asciiTheme="majorHAnsi" w:hAnsiTheme="majorHAnsi" w:cs="Times New Roman"/>
              </w:rPr>
              <w:lastRenderedPageBreak/>
              <w:t>Call Programs to Gather Information</w:t>
            </w:r>
          </w:p>
        </w:tc>
        <w:tc>
          <w:tcPr>
            <w:tcW w:w="900" w:type="dxa"/>
          </w:tcPr>
          <w:p w:rsidR="00590E83" w:rsidRPr="009D3BBE" w:rsidRDefault="00590E83" w:rsidP="00EC3D84">
            <w:pPr>
              <w:spacing w:line="480" w:lineRule="auto"/>
              <w:rPr>
                <w:rFonts w:asciiTheme="majorHAnsi" w:hAnsiTheme="majorHAnsi" w:cs="Times New Roman"/>
              </w:rPr>
            </w:pPr>
            <w:r w:rsidRPr="009D3BBE">
              <w:rPr>
                <w:rFonts w:asciiTheme="majorHAnsi" w:hAnsiTheme="majorHAnsi" w:cs="Times New Roman"/>
              </w:rPr>
              <w:t xml:space="preserve">      X</w:t>
            </w:r>
          </w:p>
        </w:tc>
        <w:tc>
          <w:tcPr>
            <w:tcW w:w="900" w:type="dxa"/>
          </w:tcPr>
          <w:p w:rsidR="00590E83" w:rsidRPr="009D3BBE" w:rsidRDefault="00590E83" w:rsidP="00EC3D84">
            <w:pPr>
              <w:spacing w:line="480" w:lineRule="auto"/>
              <w:rPr>
                <w:rFonts w:asciiTheme="majorHAnsi" w:hAnsiTheme="majorHAnsi" w:cs="Times New Roman"/>
              </w:rPr>
            </w:pPr>
            <w:r w:rsidRPr="009D3BBE">
              <w:rPr>
                <w:rFonts w:asciiTheme="majorHAnsi" w:hAnsiTheme="majorHAnsi" w:cs="Times New Roman"/>
              </w:rPr>
              <w:t>XX</w:t>
            </w:r>
          </w:p>
        </w:tc>
        <w:tc>
          <w:tcPr>
            <w:tcW w:w="900" w:type="dxa"/>
          </w:tcPr>
          <w:p w:rsidR="00590E83" w:rsidRPr="009D3BBE" w:rsidRDefault="00590E83" w:rsidP="00EC3D84">
            <w:pPr>
              <w:spacing w:line="480" w:lineRule="auto"/>
              <w:rPr>
                <w:rFonts w:asciiTheme="majorHAnsi" w:hAnsiTheme="majorHAnsi" w:cs="Times New Roman"/>
              </w:rPr>
            </w:pPr>
          </w:p>
        </w:tc>
        <w:tc>
          <w:tcPr>
            <w:tcW w:w="918" w:type="dxa"/>
          </w:tcPr>
          <w:p w:rsidR="00590E83" w:rsidRPr="009D3BBE" w:rsidRDefault="00590E83" w:rsidP="00EC3D84">
            <w:pPr>
              <w:spacing w:line="480" w:lineRule="auto"/>
              <w:rPr>
                <w:rFonts w:asciiTheme="majorHAnsi" w:hAnsiTheme="majorHAnsi" w:cs="Times New Roman"/>
              </w:rPr>
            </w:pPr>
          </w:p>
        </w:tc>
      </w:tr>
      <w:tr w:rsidR="00590E83" w:rsidRPr="009D3BBE" w:rsidTr="00697161">
        <w:trPr>
          <w:trHeight w:hRule="exact" w:val="432"/>
        </w:trPr>
        <w:tc>
          <w:tcPr>
            <w:tcW w:w="5310" w:type="dxa"/>
          </w:tcPr>
          <w:p w:rsidR="00590E83" w:rsidRPr="009D3BBE" w:rsidRDefault="00590E83" w:rsidP="00EC3D84">
            <w:pPr>
              <w:spacing w:line="480" w:lineRule="auto"/>
              <w:rPr>
                <w:rFonts w:asciiTheme="majorHAnsi" w:hAnsiTheme="majorHAnsi" w:cs="Times New Roman"/>
              </w:rPr>
            </w:pPr>
            <w:r w:rsidRPr="009D3BBE">
              <w:rPr>
                <w:rFonts w:asciiTheme="majorHAnsi" w:hAnsiTheme="majorHAnsi" w:cs="Times New Roman"/>
              </w:rPr>
              <w:t>Visit Programs to Gather Information (Intern)</w:t>
            </w:r>
          </w:p>
        </w:tc>
        <w:tc>
          <w:tcPr>
            <w:tcW w:w="900" w:type="dxa"/>
          </w:tcPr>
          <w:p w:rsidR="00590E83" w:rsidRPr="009D3BBE" w:rsidRDefault="00590E83" w:rsidP="00EC3D84">
            <w:pPr>
              <w:spacing w:line="480" w:lineRule="auto"/>
              <w:rPr>
                <w:rFonts w:asciiTheme="majorHAnsi" w:hAnsiTheme="majorHAnsi" w:cs="Times New Roman"/>
              </w:rPr>
            </w:pPr>
          </w:p>
        </w:tc>
        <w:tc>
          <w:tcPr>
            <w:tcW w:w="900" w:type="dxa"/>
          </w:tcPr>
          <w:p w:rsidR="00590E83" w:rsidRPr="009D3BBE" w:rsidRDefault="00590E83" w:rsidP="00EC3D84">
            <w:pPr>
              <w:spacing w:line="480" w:lineRule="auto"/>
              <w:rPr>
                <w:rFonts w:asciiTheme="majorHAnsi" w:hAnsiTheme="majorHAnsi" w:cs="Times New Roman"/>
              </w:rPr>
            </w:pPr>
            <w:r w:rsidRPr="009D3BBE">
              <w:rPr>
                <w:rFonts w:asciiTheme="majorHAnsi" w:hAnsiTheme="majorHAnsi" w:cs="Times New Roman"/>
              </w:rPr>
              <w:t>XXX</w:t>
            </w:r>
          </w:p>
        </w:tc>
        <w:tc>
          <w:tcPr>
            <w:tcW w:w="900" w:type="dxa"/>
          </w:tcPr>
          <w:p w:rsidR="00590E83" w:rsidRPr="009D3BBE" w:rsidRDefault="00590E83" w:rsidP="00EC3D84">
            <w:pPr>
              <w:spacing w:line="480" w:lineRule="auto"/>
              <w:rPr>
                <w:rFonts w:asciiTheme="majorHAnsi" w:hAnsiTheme="majorHAnsi" w:cs="Times New Roman"/>
              </w:rPr>
            </w:pPr>
            <w:r w:rsidRPr="009D3BBE">
              <w:rPr>
                <w:rFonts w:asciiTheme="majorHAnsi" w:hAnsiTheme="majorHAnsi" w:cs="Times New Roman"/>
              </w:rPr>
              <w:t>X</w:t>
            </w:r>
          </w:p>
        </w:tc>
        <w:tc>
          <w:tcPr>
            <w:tcW w:w="918" w:type="dxa"/>
          </w:tcPr>
          <w:p w:rsidR="00590E83" w:rsidRPr="009D3BBE" w:rsidRDefault="00590E83" w:rsidP="00EC3D84">
            <w:pPr>
              <w:spacing w:line="480" w:lineRule="auto"/>
              <w:rPr>
                <w:rFonts w:asciiTheme="majorHAnsi" w:hAnsiTheme="majorHAnsi" w:cs="Times New Roman"/>
              </w:rPr>
            </w:pPr>
          </w:p>
        </w:tc>
      </w:tr>
      <w:tr w:rsidR="00590E83" w:rsidRPr="009D3BBE" w:rsidTr="00697161">
        <w:trPr>
          <w:trHeight w:hRule="exact" w:val="432"/>
        </w:trPr>
        <w:tc>
          <w:tcPr>
            <w:tcW w:w="5310" w:type="dxa"/>
          </w:tcPr>
          <w:p w:rsidR="00590E83" w:rsidRPr="009D3BBE" w:rsidRDefault="00590E83" w:rsidP="00EC3D84">
            <w:pPr>
              <w:spacing w:line="480" w:lineRule="auto"/>
              <w:rPr>
                <w:rFonts w:asciiTheme="majorHAnsi" w:hAnsiTheme="majorHAnsi" w:cs="Times New Roman"/>
              </w:rPr>
            </w:pPr>
            <w:r w:rsidRPr="009D3BBE">
              <w:rPr>
                <w:rFonts w:asciiTheme="majorHAnsi" w:hAnsiTheme="majorHAnsi" w:cs="Times New Roman"/>
              </w:rPr>
              <w:t>Input Information into Project Database</w:t>
            </w:r>
          </w:p>
        </w:tc>
        <w:tc>
          <w:tcPr>
            <w:tcW w:w="900" w:type="dxa"/>
          </w:tcPr>
          <w:p w:rsidR="00590E83" w:rsidRPr="009D3BBE" w:rsidRDefault="00590E83" w:rsidP="00EC3D84">
            <w:pPr>
              <w:spacing w:line="480" w:lineRule="auto"/>
              <w:rPr>
                <w:rFonts w:asciiTheme="majorHAnsi" w:hAnsiTheme="majorHAnsi" w:cs="Times New Roman"/>
              </w:rPr>
            </w:pPr>
            <w:r w:rsidRPr="009D3BBE">
              <w:rPr>
                <w:rFonts w:asciiTheme="majorHAnsi" w:hAnsiTheme="majorHAnsi" w:cs="Times New Roman"/>
              </w:rPr>
              <w:t>XXX</w:t>
            </w:r>
          </w:p>
        </w:tc>
        <w:tc>
          <w:tcPr>
            <w:tcW w:w="900" w:type="dxa"/>
          </w:tcPr>
          <w:p w:rsidR="00590E83" w:rsidRPr="009D3BBE" w:rsidRDefault="00590E83" w:rsidP="00EC3D84">
            <w:pPr>
              <w:spacing w:line="480" w:lineRule="auto"/>
              <w:rPr>
                <w:rFonts w:asciiTheme="majorHAnsi" w:hAnsiTheme="majorHAnsi" w:cs="Times New Roman"/>
              </w:rPr>
            </w:pPr>
            <w:r w:rsidRPr="009D3BBE">
              <w:rPr>
                <w:rFonts w:asciiTheme="majorHAnsi" w:hAnsiTheme="majorHAnsi" w:cs="Times New Roman"/>
              </w:rPr>
              <w:t>XXX</w:t>
            </w:r>
          </w:p>
        </w:tc>
        <w:tc>
          <w:tcPr>
            <w:tcW w:w="900" w:type="dxa"/>
          </w:tcPr>
          <w:p w:rsidR="00590E83" w:rsidRPr="009D3BBE" w:rsidRDefault="00590E83" w:rsidP="00EC3D84">
            <w:pPr>
              <w:spacing w:line="480" w:lineRule="auto"/>
              <w:rPr>
                <w:rFonts w:asciiTheme="majorHAnsi" w:hAnsiTheme="majorHAnsi" w:cs="Times New Roman"/>
              </w:rPr>
            </w:pPr>
            <w:r w:rsidRPr="009D3BBE">
              <w:rPr>
                <w:rFonts w:asciiTheme="majorHAnsi" w:hAnsiTheme="majorHAnsi" w:cs="Times New Roman"/>
              </w:rPr>
              <w:t>XX</w:t>
            </w:r>
          </w:p>
        </w:tc>
        <w:tc>
          <w:tcPr>
            <w:tcW w:w="918" w:type="dxa"/>
          </w:tcPr>
          <w:p w:rsidR="00590E83" w:rsidRPr="009D3BBE" w:rsidRDefault="00590E83" w:rsidP="00EC3D84">
            <w:pPr>
              <w:spacing w:line="480" w:lineRule="auto"/>
              <w:rPr>
                <w:rFonts w:asciiTheme="majorHAnsi" w:hAnsiTheme="majorHAnsi" w:cs="Times New Roman"/>
              </w:rPr>
            </w:pPr>
          </w:p>
        </w:tc>
      </w:tr>
      <w:tr w:rsidR="00590E83" w:rsidRPr="009D3BBE" w:rsidTr="00697161">
        <w:trPr>
          <w:trHeight w:hRule="exact" w:val="432"/>
        </w:trPr>
        <w:tc>
          <w:tcPr>
            <w:tcW w:w="5310" w:type="dxa"/>
          </w:tcPr>
          <w:p w:rsidR="00590E83" w:rsidRPr="009D3BBE" w:rsidRDefault="005E4B28" w:rsidP="00EC3D84">
            <w:pPr>
              <w:spacing w:line="480" w:lineRule="auto"/>
              <w:rPr>
                <w:rFonts w:asciiTheme="majorHAnsi" w:hAnsiTheme="majorHAnsi" w:cs="Times New Roman"/>
              </w:rPr>
            </w:pPr>
            <w:r>
              <w:rPr>
                <w:rFonts w:asciiTheme="majorHAnsi" w:hAnsiTheme="majorHAnsi" w:cs="Times New Roman"/>
              </w:rPr>
              <w:t>Assess</w:t>
            </w:r>
            <w:r w:rsidR="00590E83" w:rsidRPr="009D3BBE">
              <w:rPr>
                <w:rFonts w:asciiTheme="majorHAnsi" w:hAnsiTheme="majorHAnsi" w:cs="Times New Roman"/>
              </w:rPr>
              <w:t xml:space="preserve"> Program Information</w:t>
            </w:r>
          </w:p>
        </w:tc>
        <w:tc>
          <w:tcPr>
            <w:tcW w:w="900" w:type="dxa"/>
          </w:tcPr>
          <w:p w:rsidR="00590E83" w:rsidRPr="009D3BBE" w:rsidRDefault="00590E83" w:rsidP="00EC3D84">
            <w:pPr>
              <w:spacing w:line="480" w:lineRule="auto"/>
              <w:rPr>
                <w:rFonts w:asciiTheme="majorHAnsi" w:hAnsiTheme="majorHAnsi" w:cs="Times New Roman"/>
              </w:rPr>
            </w:pPr>
          </w:p>
        </w:tc>
        <w:tc>
          <w:tcPr>
            <w:tcW w:w="900" w:type="dxa"/>
          </w:tcPr>
          <w:p w:rsidR="00590E83" w:rsidRPr="009D3BBE" w:rsidRDefault="00590E83" w:rsidP="00EC3D84">
            <w:pPr>
              <w:spacing w:line="480" w:lineRule="auto"/>
              <w:rPr>
                <w:rFonts w:asciiTheme="majorHAnsi" w:hAnsiTheme="majorHAnsi" w:cs="Times New Roman"/>
              </w:rPr>
            </w:pPr>
            <w:r w:rsidRPr="009D3BBE">
              <w:rPr>
                <w:rFonts w:asciiTheme="majorHAnsi" w:hAnsiTheme="majorHAnsi" w:cs="Times New Roman"/>
              </w:rPr>
              <w:t xml:space="preserve">   XX</w:t>
            </w:r>
          </w:p>
        </w:tc>
        <w:tc>
          <w:tcPr>
            <w:tcW w:w="900" w:type="dxa"/>
          </w:tcPr>
          <w:p w:rsidR="00590E83" w:rsidRPr="009D3BBE" w:rsidRDefault="00590E83" w:rsidP="00EC3D84">
            <w:pPr>
              <w:spacing w:line="480" w:lineRule="auto"/>
              <w:rPr>
                <w:rFonts w:asciiTheme="majorHAnsi" w:hAnsiTheme="majorHAnsi" w:cs="Times New Roman"/>
              </w:rPr>
            </w:pPr>
            <w:r w:rsidRPr="009D3BBE">
              <w:rPr>
                <w:rFonts w:asciiTheme="majorHAnsi" w:hAnsiTheme="majorHAnsi" w:cs="Times New Roman"/>
              </w:rPr>
              <w:t>XXX</w:t>
            </w:r>
          </w:p>
        </w:tc>
        <w:tc>
          <w:tcPr>
            <w:tcW w:w="918" w:type="dxa"/>
          </w:tcPr>
          <w:p w:rsidR="00590E83" w:rsidRPr="009D3BBE" w:rsidRDefault="00590E83" w:rsidP="00EC3D84">
            <w:pPr>
              <w:spacing w:line="480" w:lineRule="auto"/>
              <w:rPr>
                <w:rFonts w:asciiTheme="majorHAnsi" w:hAnsiTheme="majorHAnsi" w:cs="Times New Roman"/>
              </w:rPr>
            </w:pPr>
            <w:r w:rsidRPr="009D3BBE">
              <w:rPr>
                <w:rFonts w:asciiTheme="majorHAnsi" w:hAnsiTheme="majorHAnsi" w:cs="Times New Roman"/>
              </w:rPr>
              <w:t>XX</w:t>
            </w:r>
          </w:p>
        </w:tc>
      </w:tr>
      <w:tr w:rsidR="00590E83" w:rsidRPr="009D3BBE" w:rsidTr="00697161">
        <w:trPr>
          <w:trHeight w:hRule="exact" w:val="432"/>
        </w:trPr>
        <w:tc>
          <w:tcPr>
            <w:tcW w:w="5310" w:type="dxa"/>
          </w:tcPr>
          <w:p w:rsidR="00590E83" w:rsidRPr="009D3BBE" w:rsidRDefault="00590E83" w:rsidP="00EC3D84">
            <w:pPr>
              <w:spacing w:line="480" w:lineRule="auto"/>
              <w:rPr>
                <w:rFonts w:asciiTheme="majorHAnsi" w:hAnsiTheme="majorHAnsi" w:cs="Times New Roman"/>
              </w:rPr>
            </w:pPr>
            <w:r w:rsidRPr="009D3BBE">
              <w:rPr>
                <w:rFonts w:asciiTheme="majorHAnsi" w:hAnsiTheme="majorHAnsi" w:cs="Times New Roman"/>
              </w:rPr>
              <w:t>Progress Reports to Sponsor</w:t>
            </w:r>
          </w:p>
        </w:tc>
        <w:tc>
          <w:tcPr>
            <w:tcW w:w="900" w:type="dxa"/>
          </w:tcPr>
          <w:p w:rsidR="00590E83" w:rsidRPr="009D3BBE" w:rsidRDefault="00590E83" w:rsidP="00EC3D84">
            <w:pPr>
              <w:spacing w:line="480" w:lineRule="auto"/>
              <w:rPr>
                <w:rFonts w:asciiTheme="majorHAnsi" w:hAnsiTheme="majorHAnsi" w:cs="Times New Roman"/>
              </w:rPr>
            </w:pPr>
          </w:p>
        </w:tc>
        <w:tc>
          <w:tcPr>
            <w:tcW w:w="900" w:type="dxa"/>
          </w:tcPr>
          <w:p w:rsidR="00590E83" w:rsidRPr="009D3BBE" w:rsidRDefault="00590E83" w:rsidP="00EC3D84">
            <w:pPr>
              <w:spacing w:line="480" w:lineRule="auto"/>
              <w:rPr>
                <w:rFonts w:asciiTheme="majorHAnsi" w:hAnsiTheme="majorHAnsi" w:cs="Times New Roman"/>
              </w:rPr>
            </w:pPr>
            <w:r w:rsidRPr="009D3BBE">
              <w:rPr>
                <w:rFonts w:asciiTheme="majorHAnsi" w:hAnsiTheme="majorHAnsi" w:cs="Times New Roman"/>
              </w:rPr>
              <w:t xml:space="preserve">      X</w:t>
            </w:r>
          </w:p>
        </w:tc>
        <w:tc>
          <w:tcPr>
            <w:tcW w:w="900" w:type="dxa"/>
          </w:tcPr>
          <w:p w:rsidR="00590E83" w:rsidRPr="009D3BBE" w:rsidRDefault="00590E83" w:rsidP="00EC3D84">
            <w:pPr>
              <w:spacing w:line="480" w:lineRule="auto"/>
              <w:rPr>
                <w:rFonts w:asciiTheme="majorHAnsi" w:hAnsiTheme="majorHAnsi" w:cs="Times New Roman"/>
              </w:rPr>
            </w:pPr>
          </w:p>
        </w:tc>
        <w:tc>
          <w:tcPr>
            <w:tcW w:w="918" w:type="dxa"/>
          </w:tcPr>
          <w:p w:rsidR="00590E83" w:rsidRPr="009D3BBE" w:rsidRDefault="00590E83" w:rsidP="00EC3D84">
            <w:pPr>
              <w:spacing w:line="480" w:lineRule="auto"/>
              <w:rPr>
                <w:rFonts w:asciiTheme="majorHAnsi" w:hAnsiTheme="majorHAnsi" w:cs="Times New Roman"/>
              </w:rPr>
            </w:pPr>
            <w:r w:rsidRPr="009D3BBE">
              <w:rPr>
                <w:rFonts w:asciiTheme="majorHAnsi" w:hAnsiTheme="majorHAnsi" w:cs="Times New Roman"/>
              </w:rPr>
              <w:t xml:space="preserve">      X</w:t>
            </w:r>
          </w:p>
        </w:tc>
      </w:tr>
      <w:tr w:rsidR="00590E83" w:rsidRPr="009D3BBE" w:rsidTr="00697161">
        <w:trPr>
          <w:trHeight w:hRule="exact" w:val="432"/>
        </w:trPr>
        <w:tc>
          <w:tcPr>
            <w:tcW w:w="5310" w:type="dxa"/>
          </w:tcPr>
          <w:p w:rsidR="00590E83" w:rsidRPr="009D3BBE" w:rsidRDefault="00590E83" w:rsidP="00EC3D84">
            <w:pPr>
              <w:spacing w:line="480" w:lineRule="auto"/>
              <w:rPr>
                <w:rFonts w:asciiTheme="majorHAnsi" w:hAnsiTheme="majorHAnsi" w:cs="Times New Roman"/>
              </w:rPr>
            </w:pPr>
            <w:r w:rsidRPr="009D3BBE">
              <w:rPr>
                <w:rFonts w:asciiTheme="majorHAnsi" w:hAnsiTheme="majorHAnsi" w:cs="Times New Roman"/>
              </w:rPr>
              <w:t>Apply Approaches to Private Well Class Program</w:t>
            </w:r>
          </w:p>
        </w:tc>
        <w:tc>
          <w:tcPr>
            <w:tcW w:w="900" w:type="dxa"/>
          </w:tcPr>
          <w:p w:rsidR="00590E83" w:rsidRPr="009D3BBE" w:rsidRDefault="00590E83" w:rsidP="00EC3D84">
            <w:pPr>
              <w:spacing w:line="480" w:lineRule="auto"/>
              <w:rPr>
                <w:rFonts w:asciiTheme="majorHAnsi" w:hAnsiTheme="majorHAnsi" w:cs="Times New Roman"/>
              </w:rPr>
            </w:pPr>
          </w:p>
        </w:tc>
        <w:tc>
          <w:tcPr>
            <w:tcW w:w="900" w:type="dxa"/>
          </w:tcPr>
          <w:p w:rsidR="00590E83" w:rsidRPr="009D3BBE" w:rsidRDefault="00590E83" w:rsidP="00EC3D84">
            <w:pPr>
              <w:spacing w:line="480" w:lineRule="auto"/>
              <w:rPr>
                <w:rFonts w:asciiTheme="majorHAnsi" w:hAnsiTheme="majorHAnsi" w:cs="Times New Roman"/>
              </w:rPr>
            </w:pPr>
          </w:p>
        </w:tc>
        <w:tc>
          <w:tcPr>
            <w:tcW w:w="900" w:type="dxa"/>
          </w:tcPr>
          <w:p w:rsidR="00590E83" w:rsidRPr="009D3BBE" w:rsidRDefault="00590E83" w:rsidP="00EC3D84">
            <w:pPr>
              <w:spacing w:line="480" w:lineRule="auto"/>
              <w:rPr>
                <w:rFonts w:asciiTheme="majorHAnsi" w:hAnsiTheme="majorHAnsi" w:cs="Times New Roman"/>
              </w:rPr>
            </w:pPr>
            <w:r w:rsidRPr="009D3BBE">
              <w:rPr>
                <w:rFonts w:asciiTheme="majorHAnsi" w:hAnsiTheme="majorHAnsi" w:cs="Times New Roman"/>
              </w:rPr>
              <w:t>XXX</w:t>
            </w:r>
          </w:p>
        </w:tc>
        <w:tc>
          <w:tcPr>
            <w:tcW w:w="918" w:type="dxa"/>
          </w:tcPr>
          <w:p w:rsidR="00590E83" w:rsidRPr="009D3BBE" w:rsidRDefault="00590E83" w:rsidP="00EC3D84">
            <w:pPr>
              <w:spacing w:line="480" w:lineRule="auto"/>
              <w:rPr>
                <w:rFonts w:asciiTheme="majorHAnsi" w:hAnsiTheme="majorHAnsi" w:cs="Times New Roman"/>
              </w:rPr>
            </w:pPr>
            <w:r w:rsidRPr="009D3BBE">
              <w:rPr>
                <w:rFonts w:asciiTheme="majorHAnsi" w:hAnsiTheme="majorHAnsi" w:cs="Times New Roman"/>
              </w:rPr>
              <w:t>X</w:t>
            </w:r>
          </w:p>
        </w:tc>
      </w:tr>
      <w:tr w:rsidR="00590E83" w:rsidRPr="009D3BBE" w:rsidTr="00697161">
        <w:trPr>
          <w:trHeight w:hRule="exact" w:val="432"/>
        </w:trPr>
        <w:tc>
          <w:tcPr>
            <w:tcW w:w="5310" w:type="dxa"/>
          </w:tcPr>
          <w:p w:rsidR="00590E83" w:rsidRPr="009D3BBE" w:rsidRDefault="005E4B28" w:rsidP="00EC3D84">
            <w:pPr>
              <w:spacing w:line="480" w:lineRule="auto"/>
              <w:rPr>
                <w:rFonts w:asciiTheme="majorHAnsi" w:hAnsiTheme="majorHAnsi" w:cs="Times New Roman"/>
              </w:rPr>
            </w:pPr>
            <w:r>
              <w:rPr>
                <w:rFonts w:asciiTheme="majorHAnsi" w:hAnsiTheme="majorHAnsi" w:cs="Times New Roman"/>
              </w:rPr>
              <w:t>Assess</w:t>
            </w:r>
            <w:r w:rsidR="00590E83" w:rsidRPr="009D3BBE">
              <w:rPr>
                <w:rFonts w:asciiTheme="majorHAnsi" w:hAnsiTheme="majorHAnsi" w:cs="Times New Roman"/>
              </w:rPr>
              <w:t xml:space="preserve"> Success of Approaches Used with PWC</w:t>
            </w:r>
          </w:p>
        </w:tc>
        <w:tc>
          <w:tcPr>
            <w:tcW w:w="900" w:type="dxa"/>
          </w:tcPr>
          <w:p w:rsidR="00590E83" w:rsidRPr="009D3BBE" w:rsidRDefault="00590E83" w:rsidP="00EC3D84">
            <w:pPr>
              <w:spacing w:line="480" w:lineRule="auto"/>
              <w:rPr>
                <w:rFonts w:asciiTheme="majorHAnsi" w:hAnsiTheme="majorHAnsi" w:cs="Times New Roman"/>
              </w:rPr>
            </w:pPr>
          </w:p>
        </w:tc>
        <w:tc>
          <w:tcPr>
            <w:tcW w:w="900" w:type="dxa"/>
          </w:tcPr>
          <w:p w:rsidR="00590E83" w:rsidRPr="009D3BBE" w:rsidRDefault="00590E83" w:rsidP="00EC3D84">
            <w:pPr>
              <w:spacing w:line="480" w:lineRule="auto"/>
              <w:rPr>
                <w:rFonts w:asciiTheme="majorHAnsi" w:hAnsiTheme="majorHAnsi" w:cs="Times New Roman"/>
              </w:rPr>
            </w:pPr>
          </w:p>
        </w:tc>
        <w:tc>
          <w:tcPr>
            <w:tcW w:w="900" w:type="dxa"/>
          </w:tcPr>
          <w:p w:rsidR="00590E83" w:rsidRPr="009D3BBE" w:rsidRDefault="00590E83" w:rsidP="00EC3D84">
            <w:pPr>
              <w:spacing w:line="480" w:lineRule="auto"/>
              <w:rPr>
                <w:rFonts w:asciiTheme="majorHAnsi" w:hAnsiTheme="majorHAnsi" w:cs="Times New Roman"/>
              </w:rPr>
            </w:pPr>
          </w:p>
        </w:tc>
        <w:tc>
          <w:tcPr>
            <w:tcW w:w="918" w:type="dxa"/>
          </w:tcPr>
          <w:p w:rsidR="00590E83" w:rsidRPr="009D3BBE" w:rsidRDefault="00590E83" w:rsidP="00EC3D84">
            <w:pPr>
              <w:spacing w:line="480" w:lineRule="auto"/>
              <w:rPr>
                <w:rFonts w:asciiTheme="majorHAnsi" w:hAnsiTheme="majorHAnsi" w:cs="Times New Roman"/>
              </w:rPr>
            </w:pPr>
            <w:r w:rsidRPr="009D3BBE">
              <w:rPr>
                <w:rFonts w:asciiTheme="majorHAnsi" w:hAnsiTheme="majorHAnsi" w:cs="Times New Roman"/>
              </w:rPr>
              <w:t>XX</w:t>
            </w:r>
          </w:p>
        </w:tc>
      </w:tr>
      <w:tr w:rsidR="00590E83" w:rsidRPr="009D3BBE" w:rsidTr="00697161">
        <w:trPr>
          <w:trHeight w:hRule="exact" w:val="432"/>
        </w:trPr>
        <w:tc>
          <w:tcPr>
            <w:tcW w:w="5310" w:type="dxa"/>
          </w:tcPr>
          <w:p w:rsidR="00590E83" w:rsidRPr="009D3BBE" w:rsidRDefault="00590E83" w:rsidP="00EC3D84">
            <w:pPr>
              <w:spacing w:line="480" w:lineRule="auto"/>
              <w:rPr>
                <w:rFonts w:asciiTheme="majorHAnsi" w:hAnsiTheme="majorHAnsi" w:cs="Times New Roman"/>
              </w:rPr>
            </w:pPr>
            <w:r w:rsidRPr="009D3BBE">
              <w:rPr>
                <w:rFonts w:asciiTheme="majorHAnsi" w:hAnsiTheme="majorHAnsi" w:cs="Times New Roman"/>
              </w:rPr>
              <w:t>Attend Conference to Present Project and Results</w:t>
            </w:r>
          </w:p>
        </w:tc>
        <w:tc>
          <w:tcPr>
            <w:tcW w:w="900" w:type="dxa"/>
          </w:tcPr>
          <w:p w:rsidR="00590E83" w:rsidRPr="009D3BBE" w:rsidRDefault="00590E83" w:rsidP="00EC3D84">
            <w:pPr>
              <w:spacing w:line="480" w:lineRule="auto"/>
              <w:rPr>
                <w:rFonts w:asciiTheme="majorHAnsi" w:hAnsiTheme="majorHAnsi" w:cs="Times New Roman"/>
              </w:rPr>
            </w:pPr>
          </w:p>
        </w:tc>
        <w:tc>
          <w:tcPr>
            <w:tcW w:w="900" w:type="dxa"/>
          </w:tcPr>
          <w:p w:rsidR="00590E83" w:rsidRPr="009D3BBE" w:rsidRDefault="00590E83" w:rsidP="00EC3D84">
            <w:pPr>
              <w:spacing w:line="480" w:lineRule="auto"/>
              <w:rPr>
                <w:rFonts w:asciiTheme="majorHAnsi" w:hAnsiTheme="majorHAnsi" w:cs="Times New Roman"/>
              </w:rPr>
            </w:pPr>
          </w:p>
        </w:tc>
        <w:tc>
          <w:tcPr>
            <w:tcW w:w="900" w:type="dxa"/>
          </w:tcPr>
          <w:p w:rsidR="00590E83" w:rsidRPr="009D3BBE" w:rsidRDefault="00590E83" w:rsidP="00EC3D84">
            <w:pPr>
              <w:spacing w:line="480" w:lineRule="auto"/>
              <w:rPr>
                <w:rFonts w:asciiTheme="majorHAnsi" w:hAnsiTheme="majorHAnsi" w:cs="Times New Roman"/>
              </w:rPr>
            </w:pPr>
          </w:p>
        </w:tc>
        <w:tc>
          <w:tcPr>
            <w:tcW w:w="918" w:type="dxa"/>
          </w:tcPr>
          <w:p w:rsidR="00590E83" w:rsidRPr="009D3BBE" w:rsidRDefault="00590E83" w:rsidP="00EC3D84">
            <w:pPr>
              <w:spacing w:line="480" w:lineRule="auto"/>
              <w:rPr>
                <w:rFonts w:asciiTheme="majorHAnsi" w:hAnsiTheme="majorHAnsi" w:cs="Times New Roman"/>
              </w:rPr>
            </w:pPr>
            <w:r w:rsidRPr="009D3BBE">
              <w:rPr>
                <w:rFonts w:asciiTheme="majorHAnsi" w:hAnsiTheme="majorHAnsi" w:cs="Times New Roman"/>
              </w:rPr>
              <w:t xml:space="preserve">      X</w:t>
            </w:r>
          </w:p>
        </w:tc>
      </w:tr>
      <w:tr w:rsidR="00590E83" w:rsidRPr="009D3BBE" w:rsidTr="00697161">
        <w:trPr>
          <w:trHeight w:hRule="exact" w:val="432"/>
        </w:trPr>
        <w:tc>
          <w:tcPr>
            <w:tcW w:w="5310" w:type="dxa"/>
          </w:tcPr>
          <w:p w:rsidR="00590E83" w:rsidRPr="009D3BBE" w:rsidRDefault="00590E83" w:rsidP="00EC3D84">
            <w:pPr>
              <w:spacing w:line="480" w:lineRule="auto"/>
              <w:rPr>
                <w:rFonts w:asciiTheme="majorHAnsi" w:hAnsiTheme="majorHAnsi" w:cs="Times New Roman"/>
              </w:rPr>
            </w:pPr>
            <w:r w:rsidRPr="009D3BBE">
              <w:rPr>
                <w:rFonts w:asciiTheme="majorHAnsi" w:hAnsiTheme="majorHAnsi" w:cs="Times New Roman"/>
              </w:rPr>
              <w:t>Write Final Report</w:t>
            </w:r>
          </w:p>
        </w:tc>
        <w:tc>
          <w:tcPr>
            <w:tcW w:w="900" w:type="dxa"/>
          </w:tcPr>
          <w:p w:rsidR="00590E83" w:rsidRPr="009D3BBE" w:rsidRDefault="00590E83" w:rsidP="00EC3D84">
            <w:pPr>
              <w:spacing w:line="480" w:lineRule="auto"/>
              <w:rPr>
                <w:rFonts w:asciiTheme="majorHAnsi" w:hAnsiTheme="majorHAnsi" w:cs="Times New Roman"/>
              </w:rPr>
            </w:pPr>
          </w:p>
        </w:tc>
        <w:tc>
          <w:tcPr>
            <w:tcW w:w="900" w:type="dxa"/>
          </w:tcPr>
          <w:p w:rsidR="00590E83" w:rsidRPr="009D3BBE" w:rsidRDefault="00590E83" w:rsidP="00EC3D84">
            <w:pPr>
              <w:spacing w:line="480" w:lineRule="auto"/>
              <w:rPr>
                <w:rFonts w:asciiTheme="majorHAnsi" w:hAnsiTheme="majorHAnsi" w:cs="Times New Roman"/>
              </w:rPr>
            </w:pPr>
          </w:p>
        </w:tc>
        <w:tc>
          <w:tcPr>
            <w:tcW w:w="900" w:type="dxa"/>
          </w:tcPr>
          <w:p w:rsidR="00590E83" w:rsidRPr="009D3BBE" w:rsidRDefault="00590E83" w:rsidP="00EC3D84">
            <w:pPr>
              <w:spacing w:line="480" w:lineRule="auto"/>
              <w:rPr>
                <w:rFonts w:asciiTheme="majorHAnsi" w:hAnsiTheme="majorHAnsi" w:cs="Times New Roman"/>
              </w:rPr>
            </w:pPr>
          </w:p>
        </w:tc>
        <w:tc>
          <w:tcPr>
            <w:tcW w:w="918" w:type="dxa"/>
          </w:tcPr>
          <w:p w:rsidR="00590E83" w:rsidRPr="009D3BBE" w:rsidRDefault="00590E83" w:rsidP="00EC3D84">
            <w:pPr>
              <w:spacing w:line="480" w:lineRule="auto"/>
              <w:rPr>
                <w:rFonts w:asciiTheme="majorHAnsi" w:hAnsiTheme="majorHAnsi" w:cs="Times New Roman"/>
              </w:rPr>
            </w:pPr>
            <w:r w:rsidRPr="009D3BBE">
              <w:rPr>
                <w:rFonts w:asciiTheme="majorHAnsi" w:hAnsiTheme="majorHAnsi" w:cs="Times New Roman"/>
              </w:rPr>
              <w:t>XXX</w:t>
            </w:r>
          </w:p>
        </w:tc>
      </w:tr>
    </w:tbl>
    <w:p w:rsidR="000A71DF" w:rsidRDefault="00F733DF" w:rsidP="00697161">
      <w:pPr>
        <w:pStyle w:val="ListParagraph"/>
        <w:spacing w:after="0"/>
        <w:ind w:left="270"/>
        <w:rPr>
          <w:rFonts w:asciiTheme="majorHAnsi" w:hAnsiTheme="majorHAnsi"/>
        </w:rPr>
      </w:pPr>
      <w:r>
        <w:rPr>
          <w:rFonts w:asciiTheme="majorHAnsi" w:hAnsiTheme="majorHAnsi"/>
        </w:rPr>
        <w:t>X = 1 month</w:t>
      </w:r>
    </w:p>
    <w:p w:rsidR="00F733DF" w:rsidRDefault="00F733DF" w:rsidP="00697161">
      <w:pPr>
        <w:pStyle w:val="ListParagraph"/>
        <w:spacing w:after="0"/>
        <w:ind w:left="270"/>
        <w:rPr>
          <w:rFonts w:asciiTheme="majorHAnsi" w:hAnsiTheme="majorHAnsi"/>
        </w:rPr>
      </w:pPr>
    </w:p>
    <w:p w:rsidR="00B12F51" w:rsidRPr="00D75750" w:rsidRDefault="00D75750" w:rsidP="00697161">
      <w:pPr>
        <w:pStyle w:val="ListParagraph"/>
        <w:numPr>
          <w:ilvl w:val="0"/>
          <w:numId w:val="2"/>
        </w:numPr>
        <w:spacing w:after="0"/>
        <w:ind w:left="360"/>
        <w:rPr>
          <w:rFonts w:asciiTheme="majorHAnsi" w:hAnsiTheme="majorHAnsi"/>
          <w:b/>
        </w:rPr>
      </w:pPr>
      <w:r w:rsidRPr="00D75750">
        <w:rPr>
          <w:rFonts w:asciiTheme="majorHAnsi" w:hAnsiTheme="majorHAnsi"/>
          <w:b/>
          <w:bCs/>
        </w:rPr>
        <w:t xml:space="preserve">Reason(s) Display of OMB Expiration </w:t>
      </w:r>
      <w:r>
        <w:rPr>
          <w:rFonts w:asciiTheme="majorHAnsi" w:hAnsiTheme="majorHAnsi"/>
          <w:b/>
        </w:rPr>
        <w:t xml:space="preserve">Date </w:t>
      </w:r>
      <w:r w:rsidRPr="00D75750">
        <w:rPr>
          <w:rFonts w:asciiTheme="majorHAnsi" w:hAnsiTheme="majorHAnsi"/>
          <w:b/>
          <w:bCs/>
        </w:rPr>
        <w:t>is Inappropriate</w:t>
      </w:r>
    </w:p>
    <w:p w:rsidR="00F52BCC" w:rsidRDefault="00180D45" w:rsidP="0089725D">
      <w:pPr>
        <w:pStyle w:val="ListParagraph"/>
        <w:spacing w:after="0"/>
        <w:ind w:left="270" w:hanging="180"/>
        <w:rPr>
          <w:rFonts w:asciiTheme="majorHAnsi" w:hAnsiTheme="majorHAnsi"/>
        </w:rPr>
      </w:pPr>
      <w:r>
        <w:rPr>
          <w:rFonts w:asciiTheme="majorHAnsi" w:hAnsiTheme="majorHAnsi"/>
        </w:rPr>
        <w:t>We are requesting no exemption.</w:t>
      </w:r>
    </w:p>
    <w:p w:rsidR="00F52BCC" w:rsidRDefault="00F52BCC" w:rsidP="00697161">
      <w:pPr>
        <w:pStyle w:val="ListParagraph"/>
        <w:spacing w:after="0"/>
        <w:ind w:left="270"/>
        <w:rPr>
          <w:rFonts w:asciiTheme="majorHAnsi" w:hAnsiTheme="majorHAnsi"/>
        </w:rPr>
      </w:pPr>
    </w:p>
    <w:p w:rsidR="00B12F51" w:rsidRPr="00D26A64" w:rsidRDefault="00B12F51" w:rsidP="00697161">
      <w:pPr>
        <w:pStyle w:val="ListParagraph"/>
        <w:numPr>
          <w:ilvl w:val="0"/>
          <w:numId w:val="2"/>
        </w:numPr>
        <w:spacing w:after="0"/>
        <w:ind w:left="360"/>
        <w:rPr>
          <w:rFonts w:asciiTheme="majorHAnsi" w:hAnsiTheme="majorHAnsi"/>
          <w:b/>
        </w:rPr>
      </w:pPr>
      <w:r w:rsidRPr="00D26A64">
        <w:rPr>
          <w:rFonts w:asciiTheme="majorHAnsi" w:hAnsiTheme="majorHAnsi"/>
          <w:b/>
        </w:rPr>
        <w:t>Exceptions to Certification for Paperwork Reduction Act Submissions</w:t>
      </w:r>
    </w:p>
    <w:p w:rsidR="00F52BCC" w:rsidRDefault="0031279F" w:rsidP="0089725D">
      <w:pPr>
        <w:pStyle w:val="ListParagraph"/>
        <w:spacing w:after="0"/>
        <w:ind w:left="0"/>
        <w:rPr>
          <w:rFonts w:asciiTheme="majorHAnsi" w:hAnsiTheme="majorHAnsi"/>
        </w:rPr>
      </w:pPr>
      <w:r>
        <w:rPr>
          <w:rFonts w:asciiTheme="majorHAnsi" w:hAnsiTheme="majorHAnsi"/>
        </w:rPr>
        <w:t>There are no exceptions to the certification.</w:t>
      </w:r>
      <w:r w:rsidR="00180D45">
        <w:rPr>
          <w:rFonts w:asciiTheme="majorHAnsi" w:hAnsiTheme="majorHAnsi"/>
        </w:rPr>
        <w:t xml:space="preserve">  These activities comply with the requirements in 5 CFR 1320.9.</w:t>
      </w:r>
    </w:p>
    <w:p w:rsidR="00DB4040" w:rsidRDefault="00DB4040" w:rsidP="00F52BCC">
      <w:pPr>
        <w:pStyle w:val="ListParagraph"/>
        <w:spacing w:after="0"/>
        <w:rPr>
          <w:rFonts w:asciiTheme="majorHAnsi" w:hAnsiTheme="majorHAnsi"/>
        </w:rPr>
      </w:pPr>
    </w:p>
    <w:p w:rsidR="00DB4040" w:rsidRDefault="00DB4040" w:rsidP="00455F2C">
      <w:pPr>
        <w:rPr>
          <w:rFonts w:asciiTheme="majorHAnsi" w:hAnsiTheme="majorHAnsi"/>
          <w:b/>
          <w:sz w:val="28"/>
        </w:rPr>
      </w:pPr>
      <w:r>
        <w:rPr>
          <w:rFonts w:asciiTheme="majorHAnsi" w:hAnsiTheme="majorHAnsi"/>
          <w:b/>
          <w:sz w:val="28"/>
        </w:rPr>
        <w:t>REFERENCES</w:t>
      </w:r>
    </w:p>
    <w:p w:rsidR="00636732" w:rsidRDefault="00636732" w:rsidP="00B75D93">
      <w:pPr>
        <w:numPr>
          <w:ilvl w:val="0"/>
          <w:numId w:val="24"/>
        </w:numPr>
        <w:shd w:val="clear" w:color="auto" w:fill="FFFFFF"/>
        <w:spacing w:after="150" w:line="270" w:lineRule="atLeast"/>
        <w:contextualSpacing/>
        <w:rPr>
          <w:rFonts w:asciiTheme="majorHAnsi" w:hAnsiTheme="majorHAnsi"/>
        </w:rPr>
      </w:pPr>
      <w:r w:rsidRPr="00B75D93">
        <w:rPr>
          <w:rFonts w:asciiTheme="majorHAnsi" w:hAnsiTheme="majorHAnsi"/>
        </w:rPr>
        <w:t xml:space="preserve">Kelly, W. R and S. D. Wilson 2008. </w:t>
      </w:r>
      <w:r w:rsidRPr="00CE3324">
        <w:rPr>
          <w:rFonts w:asciiTheme="majorHAnsi" w:hAnsiTheme="majorHAnsi"/>
          <w:i/>
        </w:rPr>
        <w:t>An evaluation of Temporal Changes in Shallow Groundwater Quality in Northeastern Illinois Using Historical Data</w:t>
      </w:r>
      <w:r w:rsidRPr="00B75D93">
        <w:rPr>
          <w:rFonts w:asciiTheme="majorHAnsi" w:hAnsiTheme="majorHAnsi"/>
        </w:rPr>
        <w:t>. Illinois State Water Survey, Champaign, IL, ISWS SR 2008-01.</w:t>
      </w:r>
    </w:p>
    <w:p w:rsidR="00636732" w:rsidRPr="00B75D93" w:rsidRDefault="00636732" w:rsidP="00636732">
      <w:pPr>
        <w:pStyle w:val="ListParagraph"/>
        <w:numPr>
          <w:ilvl w:val="0"/>
          <w:numId w:val="24"/>
        </w:numPr>
        <w:tabs>
          <w:tab w:val="left" w:pos="900"/>
        </w:tabs>
        <w:spacing w:after="0" w:line="270" w:lineRule="atLeast"/>
        <w:rPr>
          <w:rFonts w:asciiTheme="majorHAnsi" w:hAnsiTheme="majorHAnsi"/>
        </w:rPr>
      </w:pPr>
      <w:proofErr w:type="spellStart"/>
      <w:r w:rsidRPr="00B75D93">
        <w:rPr>
          <w:rFonts w:asciiTheme="majorHAnsi" w:hAnsiTheme="majorHAnsi"/>
        </w:rPr>
        <w:t>Schock</w:t>
      </w:r>
      <w:proofErr w:type="spellEnd"/>
      <w:r w:rsidRPr="00B75D93">
        <w:rPr>
          <w:rFonts w:asciiTheme="majorHAnsi" w:hAnsiTheme="majorHAnsi"/>
        </w:rPr>
        <w:t xml:space="preserve">, S.C., E. </w:t>
      </w:r>
      <w:proofErr w:type="spellStart"/>
      <w:r w:rsidRPr="00B75D93">
        <w:rPr>
          <w:rFonts w:asciiTheme="majorHAnsi" w:hAnsiTheme="majorHAnsi"/>
        </w:rPr>
        <w:t>Mehnert</w:t>
      </w:r>
      <w:proofErr w:type="spellEnd"/>
      <w:r w:rsidRPr="00B75D93">
        <w:rPr>
          <w:rFonts w:asciiTheme="majorHAnsi" w:hAnsiTheme="majorHAnsi"/>
        </w:rPr>
        <w:t xml:space="preserve">, M.E. </w:t>
      </w:r>
      <w:proofErr w:type="spellStart"/>
      <w:r w:rsidRPr="00B75D93">
        <w:rPr>
          <w:rFonts w:asciiTheme="majorHAnsi" w:hAnsiTheme="majorHAnsi"/>
        </w:rPr>
        <w:t>Caughey</w:t>
      </w:r>
      <w:proofErr w:type="spellEnd"/>
      <w:r w:rsidRPr="00B75D93">
        <w:rPr>
          <w:rFonts w:asciiTheme="majorHAnsi" w:hAnsiTheme="majorHAnsi"/>
        </w:rPr>
        <w:t xml:space="preserve">, G.B. </w:t>
      </w:r>
      <w:proofErr w:type="spellStart"/>
      <w:r w:rsidRPr="00B75D93">
        <w:rPr>
          <w:rFonts w:asciiTheme="majorHAnsi" w:hAnsiTheme="majorHAnsi"/>
        </w:rPr>
        <w:t>Dreher</w:t>
      </w:r>
      <w:proofErr w:type="spellEnd"/>
      <w:r w:rsidRPr="00B75D93">
        <w:rPr>
          <w:rFonts w:asciiTheme="majorHAnsi" w:hAnsiTheme="majorHAnsi"/>
        </w:rPr>
        <w:t xml:space="preserve">, W.S. </w:t>
      </w:r>
      <w:proofErr w:type="spellStart"/>
      <w:r w:rsidRPr="00B75D93">
        <w:rPr>
          <w:rFonts w:asciiTheme="majorHAnsi" w:hAnsiTheme="majorHAnsi"/>
        </w:rPr>
        <w:t>Dey</w:t>
      </w:r>
      <w:proofErr w:type="spellEnd"/>
      <w:r w:rsidRPr="00B75D93">
        <w:rPr>
          <w:rFonts w:asciiTheme="majorHAnsi" w:hAnsiTheme="majorHAnsi"/>
        </w:rPr>
        <w:t xml:space="preserve">, S.D. Wilson, C. Ray, S.J. Chou, J. </w:t>
      </w:r>
      <w:proofErr w:type="spellStart"/>
      <w:r w:rsidRPr="00B75D93">
        <w:rPr>
          <w:rFonts w:asciiTheme="majorHAnsi" w:hAnsiTheme="majorHAnsi"/>
        </w:rPr>
        <w:t>Valkenburg</w:t>
      </w:r>
      <w:proofErr w:type="spellEnd"/>
      <w:r w:rsidRPr="00B75D93">
        <w:rPr>
          <w:rFonts w:asciiTheme="majorHAnsi" w:hAnsiTheme="majorHAnsi"/>
        </w:rPr>
        <w:t xml:space="preserve">, J.M. </w:t>
      </w:r>
      <w:proofErr w:type="spellStart"/>
      <w:r w:rsidRPr="00B75D93">
        <w:rPr>
          <w:rFonts w:asciiTheme="majorHAnsi" w:hAnsiTheme="majorHAnsi"/>
        </w:rPr>
        <w:t>Gosar</w:t>
      </w:r>
      <w:proofErr w:type="spellEnd"/>
      <w:r w:rsidRPr="00B75D93">
        <w:rPr>
          <w:rFonts w:asciiTheme="majorHAnsi" w:hAnsiTheme="majorHAnsi"/>
        </w:rPr>
        <w:t xml:space="preserve">, J.R. </w:t>
      </w:r>
      <w:proofErr w:type="spellStart"/>
      <w:r w:rsidRPr="00B75D93">
        <w:rPr>
          <w:rFonts w:asciiTheme="majorHAnsi" w:hAnsiTheme="majorHAnsi"/>
        </w:rPr>
        <w:t>Karny</w:t>
      </w:r>
      <w:proofErr w:type="spellEnd"/>
      <w:r w:rsidRPr="00B75D93">
        <w:rPr>
          <w:rFonts w:asciiTheme="majorHAnsi" w:hAnsiTheme="majorHAnsi"/>
        </w:rPr>
        <w:t xml:space="preserve">, M.L. Barnhart, W.F. Black, M.R. Brown, and V.J. Garcia, 1992, </w:t>
      </w:r>
      <w:r w:rsidRPr="00CE3324">
        <w:rPr>
          <w:rFonts w:asciiTheme="majorHAnsi" w:hAnsiTheme="majorHAnsi"/>
          <w:i/>
        </w:rPr>
        <w:t>Pilot Study: Agricultural Chemicals in Rural, Private Wells in Illinois</w:t>
      </w:r>
      <w:r w:rsidRPr="00B75D93">
        <w:rPr>
          <w:rFonts w:asciiTheme="majorHAnsi" w:hAnsiTheme="majorHAnsi"/>
        </w:rPr>
        <w:t>, Illinois State Water Survey and Illinois State Geological Survey, Champaign, IL, Cooperative Groundwater Report 14</w:t>
      </w:r>
    </w:p>
    <w:p w:rsidR="00636732" w:rsidRPr="00B75D93" w:rsidRDefault="00636732" w:rsidP="00636732">
      <w:pPr>
        <w:pStyle w:val="ListParagraph"/>
        <w:numPr>
          <w:ilvl w:val="0"/>
          <w:numId w:val="24"/>
        </w:numPr>
        <w:tabs>
          <w:tab w:val="left" w:pos="900"/>
        </w:tabs>
        <w:spacing w:after="150" w:line="270" w:lineRule="atLeast"/>
        <w:ind w:right="600"/>
        <w:rPr>
          <w:rFonts w:asciiTheme="majorHAnsi" w:hAnsiTheme="majorHAnsi"/>
        </w:rPr>
      </w:pPr>
      <w:r w:rsidRPr="00B75D93">
        <w:rPr>
          <w:rFonts w:asciiTheme="majorHAnsi" w:hAnsiTheme="majorHAnsi"/>
        </w:rPr>
        <w:t xml:space="preserve">Wilson, S.D., K.J. </w:t>
      </w:r>
      <w:proofErr w:type="spellStart"/>
      <w:r w:rsidRPr="00B75D93">
        <w:rPr>
          <w:rFonts w:asciiTheme="majorHAnsi" w:hAnsiTheme="majorHAnsi"/>
        </w:rPr>
        <w:t>Hlinka</w:t>
      </w:r>
      <w:proofErr w:type="spellEnd"/>
      <w:r w:rsidRPr="00B75D93">
        <w:rPr>
          <w:rFonts w:asciiTheme="majorHAnsi" w:hAnsiTheme="majorHAnsi"/>
        </w:rPr>
        <w:t xml:space="preserve">, J.M. Shafer, J.R. </w:t>
      </w:r>
      <w:proofErr w:type="spellStart"/>
      <w:r w:rsidRPr="00B75D93">
        <w:rPr>
          <w:rFonts w:asciiTheme="majorHAnsi" w:hAnsiTheme="majorHAnsi"/>
        </w:rPr>
        <w:t>Karny</w:t>
      </w:r>
      <w:proofErr w:type="spellEnd"/>
      <w:r w:rsidRPr="00B75D93">
        <w:rPr>
          <w:rFonts w:asciiTheme="majorHAnsi" w:hAnsiTheme="majorHAnsi"/>
        </w:rPr>
        <w:t xml:space="preserve">, and K.A. </w:t>
      </w:r>
      <w:proofErr w:type="spellStart"/>
      <w:r w:rsidRPr="00B75D93">
        <w:rPr>
          <w:rFonts w:asciiTheme="majorHAnsi" w:hAnsiTheme="majorHAnsi"/>
        </w:rPr>
        <w:t>Panczak</w:t>
      </w:r>
      <w:proofErr w:type="spellEnd"/>
      <w:r w:rsidRPr="00B75D93">
        <w:rPr>
          <w:rFonts w:asciiTheme="majorHAnsi" w:hAnsiTheme="majorHAnsi"/>
        </w:rPr>
        <w:t xml:space="preserve">, </w:t>
      </w:r>
      <w:r w:rsidRPr="00CE3324">
        <w:rPr>
          <w:rFonts w:asciiTheme="majorHAnsi" w:hAnsiTheme="majorHAnsi"/>
          <w:u w:val="single"/>
        </w:rPr>
        <w:t>Agricultural Chemical Contamination of Shallow-Bored and Dug Wells</w:t>
      </w:r>
      <w:r w:rsidRPr="00B75D93">
        <w:rPr>
          <w:rFonts w:asciiTheme="majorHAnsi" w:hAnsiTheme="majorHAnsi"/>
        </w:rPr>
        <w:t xml:space="preserve">. </w:t>
      </w:r>
      <w:r w:rsidRPr="00CE3324">
        <w:rPr>
          <w:rFonts w:asciiTheme="majorHAnsi" w:hAnsiTheme="majorHAnsi"/>
          <w:i/>
        </w:rPr>
        <w:t>Proceedings of the 2nd Annual Research on Agricultural Chemicals in Illinois Groundwater Conference</w:t>
      </w:r>
      <w:r w:rsidRPr="00B75D93">
        <w:rPr>
          <w:rFonts w:asciiTheme="majorHAnsi" w:hAnsiTheme="majorHAnsi"/>
        </w:rPr>
        <w:t>, Springfield, IL, April 27-28, 1992, pp. 140-148.</w:t>
      </w:r>
    </w:p>
    <w:p w:rsidR="00636732" w:rsidRPr="00B75D93" w:rsidRDefault="00636732" w:rsidP="00636732">
      <w:pPr>
        <w:pStyle w:val="ListParagraph"/>
        <w:numPr>
          <w:ilvl w:val="0"/>
          <w:numId w:val="24"/>
        </w:numPr>
        <w:tabs>
          <w:tab w:val="left" w:pos="900"/>
        </w:tabs>
        <w:spacing w:after="150" w:line="270" w:lineRule="atLeast"/>
        <w:rPr>
          <w:rFonts w:asciiTheme="majorHAnsi" w:hAnsiTheme="majorHAnsi"/>
        </w:rPr>
      </w:pPr>
      <w:r w:rsidRPr="00B75D93">
        <w:rPr>
          <w:rFonts w:asciiTheme="majorHAnsi" w:hAnsiTheme="majorHAnsi"/>
        </w:rPr>
        <w:t>Wilson, S.</w:t>
      </w:r>
      <w:r>
        <w:rPr>
          <w:rFonts w:asciiTheme="majorHAnsi" w:hAnsiTheme="majorHAnsi"/>
        </w:rPr>
        <w:t xml:space="preserve"> </w:t>
      </w:r>
      <w:r w:rsidRPr="00B75D93">
        <w:rPr>
          <w:rFonts w:asciiTheme="majorHAnsi" w:hAnsiTheme="majorHAnsi"/>
        </w:rPr>
        <w:t>D., J.</w:t>
      </w:r>
      <w:r>
        <w:rPr>
          <w:rFonts w:asciiTheme="majorHAnsi" w:hAnsiTheme="majorHAnsi"/>
        </w:rPr>
        <w:t xml:space="preserve"> </w:t>
      </w:r>
      <w:r w:rsidRPr="00B75D93">
        <w:rPr>
          <w:rFonts w:asciiTheme="majorHAnsi" w:hAnsiTheme="majorHAnsi"/>
        </w:rPr>
        <w:t xml:space="preserve">R. </w:t>
      </w:r>
      <w:proofErr w:type="spellStart"/>
      <w:r w:rsidRPr="00B75D93">
        <w:rPr>
          <w:rFonts w:asciiTheme="majorHAnsi" w:hAnsiTheme="majorHAnsi"/>
        </w:rPr>
        <w:t>Karny</w:t>
      </w:r>
      <w:proofErr w:type="spellEnd"/>
      <w:r w:rsidRPr="00B75D93">
        <w:rPr>
          <w:rFonts w:asciiTheme="majorHAnsi" w:hAnsiTheme="majorHAnsi"/>
        </w:rPr>
        <w:t>, and K.</w:t>
      </w:r>
      <w:r>
        <w:rPr>
          <w:rFonts w:asciiTheme="majorHAnsi" w:hAnsiTheme="majorHAnsi"/>
        </w:rPr>
        <w:t xml:space="preserve"> </w:t>
      </w:r>
      <w:r w:rsidRPr="00B75D93">
        <w:rPr>
          <w:rFonts w:asciiTheme="majorHAnsi" w:hAnsiTheme="majorHAnsi"/>
        </w:rPr>
        <w:t xml:space="preserve">J. Hlinka, </w:t>
      </w:r>
      <w:r w:rsidRPr="00CE3324">
        <w:rPr>
          <w:rFonts w:asciiTheme="majorHAnsi" w:hAnsiTheme="majorHAnsi"/>
          <w:u w:val="single"/>
        </w:rPr>
        <w:t>Agricultural Chemical Contamination of Shallow, Large-Diameter Wells in Illinois.</w:t>
      </w:r>
      <w:r w:rsidRPr="00B75D93">
        <w:rPr>
          <w:rFonts w:asciiTheme="majorHAnsi" w:hAnsiTheme="majorHAnsi"/>
        </w:rPr>
        <w:t xml:space="preserve"> </w:t>
      </w:r>
      <w:r w:rsidRPr="00CE3324">
        <w:rPr>
          <w:rFonts w:asciiTheme="majorHAnsi" w:hAnsiTheme="majorHAnsi"/>
          <w:i/>
        </w:rPr>
        <w:t>Proceedings of the ASCE Water Resources Engineering Conference</w:t>
      </w:r>
      <w:r w:rsidRPr="00B75D93">
        <w:rPr>
          <w:rFonts w:asciiTheme="majorHAnsi" w:hAnsiTheme="majorHAnsi"/>
        </w:rPr>
        <w:t xml:space="preserve">, San Antonio, </w:t>
      </w:r>
      <w:proofErr w:type="gramStart"/>
      <w:r w:rsidRPr="00B75D93">
        <w:rPr>
          <w:rFonts w:asciiTheme="majorHAnsi" w:hAnsiTheme="majorHAnsi"/>
        </w:rPr>
        <w:t>TX.,</w:t>
      </w:r>
      <w:proofErr w:type="gramEnd"/>
      <w:r w:rsidRPr="00B75D93">
        <w:rPr>
          <w:rFonts w:asciiTheme="majorHAnsi" w:hAnsiTheme="majorHAnsi"/>
        </w:rPr>
        <w:t xml:space="preserve"> August 14-18, 1995, pp. 169-173.</w:t>
      </w:r>
    </w:p>
    <w:p w:rsidR="001908F4" w:rsidRPr="00636732" w:rsidRDefault="001908F4" w:rsidP="001908F4">
      <w:pPr>
        <w:pStyle w:val="ListParagraph"/>
        <w:numPr>
          <w:ilvl w:val="0"/>
          <w:numId w:val="24"/>
        </w:numPr>
        <w:spacing w:after="150" w:line="270" w:lineRule="atLeast"/>
        <w:rPr>
          <w:rFonts w:asciiTheme="majorHAnsi" w:hAnsiTheme="majorHAnsi"/>
        </w:rPr>
      </w:pPr>
      <w:r w:rsidRPr="00B75D93">
        <w:rPr>
          <w:rFonts w:asciiTheme="majorHAnsi" w:hAnsiTheme="majorHAnsi"/>
        </w:rPr>
        <w:t xml:space="preserve">Kelly, W. R., T. R. Holm, S. D. Wilson, and G. S. Roadcap, 2005. </w:t>
      </w:r>
      <w:r w:rsidRPr="00B75D93">
        <w:rPr>
          <w:rFonts w:asciiTheme="majorHAnsi" w:hAnsiTheme="majorHAnsi"/>
          <w:i/>
        </w:rPr>
        <w:t>Arsenic in Glacial Aquifers: Sources and Geochemical Controls</w:t>
      </w:r>
      <w:r w:rsidRPr="00B75D93">
        <w:rPr>
          <w:rFonts w:asciiTheme="majorHAnsi" w:hAnsiTheme="majorHAnsi"/>
        </w:rPr>
        <w:t xml:space="preserve">, </w:t>
      </w:r>
      <w:r w:rsidRPr="00B75D93">
        <w:rPr>
          <w:rFonts w:asciiTheme="majorHAnsi" w:hAnsiTheme="majorHAnsi"/>
          <w:u w:val="single"/>
        </w:rPr>
        <w:t xml:space="preserve">Groundwater, </w:t>
      </w:r>
      <w:r w:rsidRPr="003C064C">
        <w:rPr>
          <w:rFonts w:asciiTheme="majorHAnsi" w:hAnsiTheme="majorHAnsi"/>
          <w:u w:val="single"/>
        </w:rPr>
        <w:t>Vol. 43</w:t>
      </w:r>
      <w:r w:rsidRPr="001D48E3">
        <w:rPr>
          <w:rFonts w:asciiTheme="majorHAnsi" w:hAnsiTheme="majorHAnsi"/>
          <w:u w:val="single"/>
        </w:rPr>
        <w:t>,</w:t>
      </w:r>
      <w:r w:rsidRPr="00B75D93">
        <w:rPr>
          <w:rFonts w:asciiTheme="majorHAnsi" w:hAnsiTheme="majorHAnsi"/>
          <w:u w:val="single"/>
        </w:rPr>
        <w:t xml:space="preserve"> No. 4</w:t>
      </w:r>
      <w:r w:rsidRPr="00B75D93">
        <w:rPr>
          <w:rFonts w:asciiTheme="majorHAnsi" w:hAnsiTheme="majorHAnsi"/>
        </w:rPr>
        <w:t xml:space="preserve">, pp. 500-510. </w:t>
      </w:r>
    </w:p>
    <w:p w:rsidR="001908F4" w:rsidRPr="00B75D93" w:rsidRDefault="001908F4" w:rsidP="001908F4">
      <w:pPr>
        <w:pStyle w:val="ListParagraph"/>
        <w:numPr>
          <w:ilvl w:val="0"/>
          <w:numId w:val="24"/>
        </w:numPr>
        <w:tabs>
          <w:tab w:val="left" w:pos="900"/>
        </w:tabs>
        <w:spacing w:after="150" w:line="270" w:lineRule="atLeast"/>
        <w:rPr>
          <w:rFonts w:asciiTheme="majorHAnsi" w:hAnsiTheme="majorHAnsi"/>
        </w:rPr>
      </w:pPr>
      <w:r w:rsidRPr="00B75D93">
        <w:rPr>
          <w:rFonts w:asciiTheme="majorHAnsi" w:hAnsiTheme="majorHAnsi"/>
        </w:rPr>
        <w:t xml:space="preserve">Wilson, S. D., R. C. Cobb, and K. </w:t>
      </w:r>
      <w:proofErr w:type="spellStart"/>
      <w:r w:rsidRPr="00B75D93">
        <w:rPr>
          <w:rFonts w:asciiTheme="majorHAnsi" w:hAnsiTheme="majorHAnsi"/>
        </w:rPr>
        <w:t>Runkle</w:t>
      </w:r>
      <w:proofErr w:type="spellEnd"/>
      <w:r w:rsidRPr="00B75D93">
        <w:rPr>
          <w:rFonts w:asciiTheme="majorHAnsi" w:hAnsiTheme="majorHAnsi"/>
        </w:rPr>
        <w:t xml:space="preserve">, 2001. </w:t>
      </w:r>
      <w:r w:rsidRPr="00CE3324">
        <w:rPr>
          <w:rFonts w:asciiTheme="majorHAnsi" w:hAnsiTheme="majorHAnsi"/>
          <w:i/>
        </w:rPr>
        <w:t>Arsenic in Illinois Groundwater</w:t>
      </w:r>
      <w:r w:rsidRPr="00B75D93">
        <w:rPr>
          <w:rFonts w:asciiTheme="majorHAnsi" w:hAnsiTheme="majorHAnsi"/>
        </w:rPr>
        <w:t>. Interagency White Paper, Illinois State Water Survey, Illinois Department of Public Health, Illinois Environmental Protection Agency. November, 2001.</w:t>
      </w:r>
    </w:p>
    <w:p w:rsidR="001908F4" w:rsidRPr="00B75D93" w:rsidRDefault="001908F4" w:rsidP="001908F4">
      <w:pPr>
        <w:pStyle w:val="ListParagraph"/>
        <w:numPr>
          <w:ilvl w:val="0"/>
          <w:numId w:val="24"/>
        </w:numPr>
        <w:tabs>
          <w:tab w:val="left" w:pos="900"/>
        </w:tabs>
        <w:spacing w:after="150" w:line="270" w:lineRule="atLeast"/>
        <w:rPr>
          <w:rFonts w:asciiTheme="majorHAnsi" w:hAnsiTheme="majorHAnsi"/>
        </w:rPr>
      </w:pPr>
      <w:r w:rsidRPr="00B75D93">
        <w:rPr>
          <w:rFonts w:asciiTheme="majorHAnsi" w:hAnsiTheme="majorHAnsi"/>
        </w:rPr>
        <w:lastRenderedPageBreak/>
        <w:t xml:space="preserve">Wilson, S. D, and J. R. </w:t>
      </w:r>
      <w:proofErr w:type="spellStart"/>
      <w:r w:rsidRPr="00B75D93">
        <w:rPr>
          <w:rFonts w:asciiTheme="majorHAnsi" w:hAnsiTheme="majorHAnsi"/>
        </w:rPr>
        <w:t>Karny</w:t>
      </w:r>
      <w:proofErr w:type="spellEnd"/>
      <w:r w:rsidRPr="00B75D93">
        <w:rPr>
          <w:rFonts w:asciiTheme="majorHAnsi" w:hAnsiTheme="majorHAnsi"/>
        </w:rPr>
        <w:t xml:space="preserve">, 2000. </w:t>
      </w:r>
      <w:r w:rsidRPr="00CE3324">
        <w:rPr>
          <w:rFonts w:asciiTheme="majorHAnsi" w:hAnsiTheme="majorHAnsi"/>
          <w:u w:val="single"/>
        </w:rPr>
        <w:t>A Community-Based Sampling Program for Evaluating Long-Term Flood Impacts on Rural Well-Water Quality</w:t>
      </w:r>
      <w:r w:rsidRPr="00B75D93">
        <w:rPr>
          <w:rFonts w:asciiTheme="majorHAnsi" w:hAnsiTheme="majorHAnsi"/>
          <w:u w:val="single"/>
        </w:rPr>
        <w:t xml:space="preserve">. </w:t>
      </w:r>
      <w:r w:rsidRPr="00B75D93">
        <w:rPr>
          <w:rFonts w:asciiTheme="majorHAnsi" w:hAnsiTheme="majorHAnsi"/>
        </w:rPr>
        <w:t>In</w:t>
      </w:r>
      <w:r w:rsidRPr="00B75D93">
        <w:rPr>
          <w:rFonts w:asciiTheme="majorHAnsi" w:hAnsiTheme="majorHAnsi"/>
          <w:i/>
        </w:rPr>
        <w:t xml:space="preserve"> </w:t>
      </w:r>
      <w:r w:rsidRPr="00CE3324">
        <w:rPr>
          <w:rFonts w:asciiTheme="majorHAnsi" w:hAnsiTheme="majorHAnsi"/>
          <w:i/>
        </w:rPr>
        <w:t>Research on Agricultural Chemicals in Illinois Groundwater: Status and Future Directions X, Proceedings of the Tenth Annual Conference</w:t>
      </w:r>
      <w:r w:rsidRPr="00B75D93">
        <w:rPr>
          <w:rFonts w:asciiTheme="majorHAnsi" w:hAnsiTheme="majorHAnsi"/>
        </w:rPr>
        <w:t xml:space="preserve">, </w:t>
      </w:r>
      <w:proofErr w:type="spellStart"/>
      <w:r w:rsidRPr="00B75D93">
        <w:rPr>
          <w:rFonts w:asciiTheme="majorHAnsi" w:hAnsiTheme="majorHAnsi"/>
        </w:rPr>
        <w:t>Makanda</w:t>
      </w:r>
      <w:proofErr w:type="spellEnd"/>
      <w:r w:rsidRPr="00B75D93">
        <w:rPr>
          <w:rFonts w:asciiTheme="majorHAnsi" w:hAnsiTheme="majorHAnsi"/>
        </w:rPr>
        <w:t>, IL, April 13, 2000, pp. 125- 139.</w:t>
      </w:r>
    </w:p>
    <w:p w:rsidR="001908F4" w:rsidRPr="00B75D93" w:rsidRDefault="001908F4" w:rsidP="001908F4">
      <w:pPr>
        <w:numPr>
          <w:ilvl w:val="0"/>
          <w:numId w:val="24"/>
        </w:numPr>
        <w:shd w:val="clear" w:color="auto" w:fill="FFFFFF"/>
        <w:spacing w:after="150" w:line="270" w:lineRule="atLeast"/>
        <w:contextualSpacing/>
        <w:rPr>
          <w:rFonts w:asciiTheme="majorHAnsi" w:hAnsiTheme="majorHAnsi"/>
        </w:rPr>
      </w:pPr>
      <w:proofErr w:type="spellStart"/>
      <w:r w:rsidRPr="00B75D93">
        <w:rPr>
          <w:rFonts w:asciiTheme="majorHAnsi" w:hAnsiTheme="majorHAnsi" w:cs="Tahoma"/>
        </w:rPr>
        <w:t>Liukkonen</w:t>
      </w:r>
      <w:proofErr w:type="spellEnd"/>
      <w:r w:rsidRPr="00B75D93">
        <w:rPr>
          <w:rFonts w:asciiTheme="majorHAnsi" w:hAnsiTheme="majorHAnsi" w:cs="Tahoma"/>
        </w:rPr>
        <w:t xml:space="preserve">, B., L. </w:t>
      </w:r>
      <w:proofErr w:type="spellStart"/>
      <w:r w:rsidRPr="00B75D93">
        <w:rPr>
          <w:rFonts w:asciiTheme="majorHAnsi" w:hAnsiTheme="majorHAnsi" w:cs="Tahoma"/>
        </w:rPr>
        <w:t>Severtson</w:t>
      </w:r>
      <w:proofErr w:type="spellEnd"/>
      <w:r w:rsidRPr="00B75D93">
        <w:rPr>
          <w:rFonts w:asciiTheme="majorHAnsi" w:hAnsiTheme="majorHAnsi" w:cs="Tahoma"/>
        </w:rPr>
        <w:t>, and R. Kline-</w:t>
      </w:r>
      <w:proofErr w:type="spellStart"/>
      <w:r w:rsidRPr="00B75D93">
        <w:rPr>
          <w:rFonts w:asciiTheme="majorHAnsi" w:hAnsiTheme="majorHAnsi" w:cs="Tahoma"/>
        </w:rPr>
        <w:t>Robach</w:t>
      </w:r>
      <w:proofErr w:type="spellEnd"/>
      <w:r w:rsidRPr="00B75D93">
        <w:rPr>
          <w:rFonts w:asciiTheme="majorHAnsi" w:hAnsiTheme="majorHAnsi" w:cs="Tahoma"/>
        </w:rPr>
        <w:t xml:space="preserve">. </w:t>
      </w:r>
      <w:hyperlink r:id="rId11" w:history="1">
        <w:r w:rsidRPr="00B75D93">
          <w:rPr>
            <w:rStyle w:val="Hyperlink"/>
            <w:rFonts w:asciiTheme="majorHAnsi" w:hAnsiTheme="majorHAnsi" w:cs="Tahoma"/>
            <w:color w:val="auto"/>
          </w:rPr>
          <w:t>Social Dimensions of Private Well Testing: Why Don’t People Test Their Water?</w:t>
        </w:r>
      </w:hyperlink>
      <w:r w:rsidRPr="00B75D93">
        <w:rPr>
          <w:rFonts w:asciiTheme="majorHAnsi" w:hAnsiTheme="majorHAnsi" w:cs="Tahoma"/>
        </w:rPr>
        <w:t xml:space="preserve"> Fall 2009</w:t>
      </w:r>
      <w:r>
        <w:rPr>
          <w:rFonts w:asciiTheme="majorHAnsi" w:hAnsiTheme="majorHAnsi" w:cs="Tahoma"/>
        </w:rPr>
        <w:t>.</w:t>
      </w:r>
      <w:r w:rsidRPr="00B75D93">
        <w:rPr>
          <w:rFonts w:asciiTheme="majorHAnsi" w:hAnsiTheme="majorHAnsi" w:cs="Tahoma"/>
        </w:rPr>
        <w:t xml:space="preserve"> </w:t>
      </w:r>
      <w:r w:rsidRPr="00CE3324">
        <w:rPr>
          <w:rFonts w:asciiTheme="majorHAnsi" w:hAnsiTheme="majorHAnsi" w:cs="Tahoma"/>
          <w:i/>
        </w:rPr>
        <w:t>Extension Fall Conference Posters 2009</w:t>
      </w:r>
      <w:r w:rsidRPr="00B75D93">
        <w:rPr>
          <w:rFonts w:asciiTheme="majorHAnsi" w:hAnsiTheme="majorHAnsi" w:cs="Tahoma"/>
        </w:rPr>
        <w:t>, Extension Great Lakes Regional Water Program.</w:t>
      </w:r>
    </w:p>
    <w:p w:rsidR="005C51AD" w:rsidRPr="005C51AD" w:rsidRDefault="001908F4" w:rsidP="001908F4">
      <w:pPr>
        <w:numPr>
          <w:ilvl w:val="0"/>
          <w:numId w:val="24"/>
        </w:numPr>
        <w:shd w:val="clear" w:color="auto" w:fill="FFFFFF"/>
        <w:tabs>
          <w:tab w:val="left" w:pos="900"/>
        </w:tabs>
        <w:autoSpaceDE w:val="0"/>
        <w:autoSpaceDN w:val="0"/>
        <w:adjustRightInd w:val="0"/>
        <w:spacing w:after="150" w:line="270" w:lineRule="atLeast"/>
        <w:contextualSpacing/>
        <w:rPr>
          <w:rFonts w:asciiTheme="majorHAnsi" w:hAnsiTheme="majorHAnsi"/>
        </w:rPr>
      </w:pPr>
      <w:r w:rsidRPr="0089725D">
        <w:rPr>
          <w:rFonts w:asciiTheme="majorHAnsi" w:hAnsiTheme="majorHAnsi"/>
        </w:rPr>
        <w:t xml:space="preserve">Jones, A., C. Dewey, K. Dore, S. </w:t>
      </w:r>
      <w:proofErr w:type="spellStart"/>
      <w:r w:rsidRPr="0089725D">
        <w:rPr>
          <w:rFonts w:asciiTheme="majorHAnsi" w:hAnsiTheme="majorHAnsi"/>
        </w:rPr>
        <w:t>Majowicz</w:t>
      </w:r>
      <w:proofErr w:type="spellEnd"/>
      <w:r w:rsidRPr="0089725D">
        <w:rPr>
          <w:rFonts w:asciiTheme="majorHAnsi" w:hAnsiTheme="majorHAnsi"/>
        </w:rPr>
        <w:t xml:space="preserve">, S. McEwen, D. </w:t>
      </w:r>
      <w:proofErr w:type="spellStart"/>
      <w:r w:rsidRPr="0089725D">
        <w:rPr>
          <w:rFonts w:asciiTheme="majorHAnsi" w:hAnsiTheme="majorHAnsi"/>
        </w:rPr>
        <w:t>Waltner-Toews</w:t>
      </w:r>
      <w:proofErr w:type="spellEnd"/>
      <w:r w:rsidRPr="0089725D">
        <w:rPr>
          <w:rFonts w:asciiTheme="majorHAnsi" w:hAnsiTheme="majorHAnsi"/>
        </w:rPr>
        <w:t xml:space="preserve">, S. Henson, and E. Mathews. </w:t>
      </w:r>
      <w:r w:rsidRPr="0089725D">
        <w:rPr>
          <w:rFonts w:asciiTheme="majorHAnsi" w:hAnsiTheme="majorHAnsi" w:cs="Times New Roman"/>
          <w:u w:val="single"/>
        </w:rPr>
        <w:t>Public perception of drinking water from private water supplies: focus group analyses.</w:t>
      </w:r>
      <w:r w:rsidRPr="0089725D">
        <w:rPr>
          <w:rFonts w:asciiTheme="majorHAnsi" w:hAnsiTheme="majorHAnsi" w:cs="Times New Roman"/>
        </w:rPr>
        <w:t xml:space="preserve"> 2005. </w:t>
      </w:r>
      <w:r w:rsidRPr="0089725D">
        <w:rPr>
          <w:rFonts w:asciiTheme="majorHAnsi" w:hAnsiTheme="majorHAnsi" w:cs="Times New Roman"/>
          <w:i/>
          <w:iCs/>
        </w:rPr>
        <w:t xml:space="preserve">BMC Public Health </w:t>
      </w:r>
      <w:r w:rsidRPr="0089725D">
        <w:rPr>
          <w:rFonts w:asciiTheme="majorHAnsi" w:hAnsiTheme="majorHAnsi" w:cs="Times New Roman"/>
          <w:b/>
          <w:i/>
        </w:rPr>
        <w:t>5</w:t>
      </w:r>
      <w:r w:rsidRPr="0089725D">
        <w:rPr>
          <w:rFonts w:asciiTheme="majorHAnsi" w:hAnsiTheme="majorHAnsi" w:cs="Times New Roman"/>
          <w:i/>
        </w:rPr>
        <w:t>:129</w:t>
      </w:r>
      <w:r w:rsidRPr="0089725D">
        <w:rPr>
          <w:rFonts w:asciiTheme="majorHAnsi" w:hAnsiTheme="majorHAnsi" w:cs="Times New Roman"/>
        </w:rPr>
        <w:t>.</w:t>
      </w:r>
    </w:p>
    <w:p w:rsidR="00090422" w:rsidRPr="00090422" w:rsidRDefault="001908F4" w:rsidP="00090422">
      <w:pPr>
        <w:numPr>
          <w:ilvl w:val="0"/>
          <w:numId w:val="24"/>
        </w:numPr>
        <w:shd w:val="clear" w:color="auto" w:fill="FFFFFF"/>
        <w:tabs>
          <w:tab w:val="left" w:pos="900"/>
        </w:tabs>
        <w:autoSpaceDE w:val="0"/>
        <w:autoSpaceDN w:val="0"/>
        <w:adjustRightInd w:val="0"/>
        <w:spacing w:after="150" w:line="270" w:lineRule="atLeast"/>
        <w:contextualSpacing/>
        <w:rPr>
          <w:rFonts w:asciiTheme="majorHAnsi" w:hAnsiTheme="majorHAnsi"/>
        </w:rPr>
      </w:pPr>
      <w:r w:rsidRPr="0089725D">
        <w:rPr>
          <w:rFonts w:asciiTheme="majorHAnsi" w:hAnsiTheme="majorHAnsi"/>
        </w:rPr>
        <w:t xml:space="preserve">The Private Well Class Resources Page. 2013.  </w:t>
      </w:r>
      <w:hyperlink r:id="rId12" w:history="1">
        <w:r w:rsidRPr="0089725D">
          <w:rPr>
            <w:rStyle w:val="Hyperlink"/>
            <w:rFonts w:asciiTheme="majorHAnsi" w:hAnsiTheme="majorHAnsi"/>
            <w:color w:val="auto"/>
          </w:rPr>
          <w:t>http://privatewellclass.org/Resources/tabid/124/Default.aspx</w:t>
        </w:r>
      </w:hyperlink>
    </w:p>
    <w:p w:rsidR="00090422" w:rsidRPr="00B75D93" w:rsidRDefault="00090422" w:rsidP="00090422">
      <w:pPr>
        <w:numPr>
          <w:ilvl w:val="0"/>
          <w:numId w:val="24"/>
        </w:numPr>
        <w:shd w:val="clear" w:color="auto" w:fill="FFFFFF"/>
        <w:spacing w:after="150" w:line="270" w:lineRule="atLeast"/>
        <w:contextualSpacing/>
        <w:rPr>
          <w:rFonts w:asciiTheme="majorHAnsi" w:hAnsiTheme="majorHAnsi"/>
        </w:rPr>
      </w:pPr>
      <w:proofErr w:type="spellStart"/>
      <w:r>
        <w:rPr>
          <w:rFonts w:asciiTheme="majorHAnsi" w:hAnsiTheme="majorHAnsi" w:cs="Tahoma"/>
        </w:rPr>
        <w:t>Balamurugan</w:t>
      </w:r>
      <w:proofErr w:type="spellEnd"/>
      <w:r>
        <w:rPr>
          <w:rFonts w:asciiTheme="majorHAnsi" w:hAnsiTheme="majorHAnsi" w:cs="Tahoma"/>
        </w:rPr>
        <w:t xml:space="preserve">, A., M. Rivera, K. </w:t>
      </w:r>
      <w:proofErr w:type="spellStart"/>
      <w:r>
        <w:rPr>
          <w:rFonts w:asciiTheme="majorHAnsi" w:hAnsiTheme="majorHAnsi" w:cs="Tahoma"/>
        </w:rPr>
        <w:t>Sutphin</w:t>
      </w:r>
      <w:proofErr w:type="spellEnd"/>
      <w:r>
        <w:rPr>
          <w:rFonts w:asciiTheme="majorHAnsi" w:hAnsiTheme="majorHAnsi" w:cs="Tahoma"/>
        </w:rPr>
        <w:t xml:space="preserve">, and D. Campbell. </w:t>
      </w:r>
      <w:r w:rsidRPr="003C064C">
        <w:rPr>
          <w:rFonts w:asciiTheme="majorHAnsi" w:hAnsiTheme="majorHAnsi" w:cs="Tahoma"/>
          <w:u w:val="single"/>
        </w:rPr>
        <w:t>Health Communications in Rural America: Lessons Learned from an Arthritis Campaign in Rural Arkansas</w:t>
      </w:r>
      <w:r>
        <w:rPr>
          <w:rFonts w:asciiTheme="majorHAnsi" w:hAnsiTheme="majorHAnsi" w:cs="Tahoma"/>
        </w:rPr>
        <w:t xml:space="preserve">. Summer 2007. </w:t>
      </w:r>
      <w:r>
        <w:rPr>
          <w:rFonts w:asciiTheme="majorHAnsi" w:hAnsiTheme="majorHAnsi" w:cs="Tahoma"/>
          <w:i/>
        </w:rPr>
        <w:t>Journal of Public Health</w:t>
      </w:r>
      <w:r w:rsidRPr="00CE3324">
        <w:rPr>
          <w:rFonts w:asciiTheme="majorHAnsi" w:hAnsiTheme="majorHAnsi" w:cs="Tahoma"/>
          <w:i/>
        </w:rPr>
        <w:t xml:space="preserve"> </w:t>
      </w:r>
      <w:r>
        <w:rPr>
          <w:rFonts w:asciiTheme="majorHAnsi" w:hAnsiTheme="majorHAnsi" w:cs="Tahoma"/>
          <w:i/>
        </w:rPr>
        <w:t>23(3): 270-5.</w:t>
      </w:r>
    </w:p>
    <w:p w:rsidR="00090422" w:rsidRPr="005C51AD" w:rsidRDefault="00090422" w:rsidP="00090422">
      <w:pPr>
        <w:numPr>
          <w:ilvl w:val="0"/>
          <w:numId w:val="24"/>
        </w:numPr>
        <w:shd w:val="clear" w:color="auto" w:fill="FFFFFF"/>
        <w:tabs>
          <w:tab w:val="left" w:pos="900"/>
        </w:tabs>
        <w:autoSpaceDE w:val="0"/>
        <w:autoSpaceDN w:val="0"/>
        <w:adjustRightInd w:val="0"/>
        <w:spacing w:after="150" w:line="270" w:lineRule="atLeast"/>
        <w:contextualSpacing/>
        <w:rPr>
          <w:rFonts w:asciiTheme="majorHAnsi" w:hAnsiTheme="majorHAnsi"/>
        </w:rPr>
      </w:pPr>
      <w:r>
        <w:rPr>
          <w:rFonts w:asciiTheme="majorHAnsi" w:hAnsiTheme="majorHAnsi"/>
        </w:rPr>
        <w:t>Gordon, J. C.</w:t>
      </w:r>
      <w:r w:rsidR="001D48E3">
        <w:rPr>
          <w:rFonts w:asciiTheme="majorHAnsi" w:hAnsiTheme="majorHAnsi"/>
        </w:rPr>
        <w:t xml:space="preserve"> </w:t>
      </w:r>
      <w:r w:rsidR="001D48E3" w:rsidRPr="003C064C">
        <w:rPr>
          <w:rFonts w:asciiTheme="majorHAnsi" w:hAnsiTheme="majorHAnsi"/>
          <w:u w:val="single"/>
        </w:rPr>
        <w:t>Beyond Knowledge: Guidelines for Effective Health Promotion Messages</w:t>
      </w:r>
      <w:r w:rsidR="001D48E3">
        <w:rPr>
          <w:rFonts w:asciiTheme="majorHAnsi" w:hAnsiTheme="majorHAnsi"/>
        </w:rPr>
        <w:t>.</w:t>
      </w:r>
      <w:r w:rsidR="001D48E3" w:rsidRPr="001D48E3">
        <w:rPr>
          <w:rFonts w:asciiTheme="majorHAnsi" w:hAnsiTheme="majorHAnsi"/>
        </w:rPr>
        <w:t xml:space="preserve"> </w:t>
      </w:r>
      <w:r w:rsidR="001D48E3">
        <w:rPr>
          <w:rFonts w:asciiTheme="majorHAnsi" w:hAnsiTheme="majorHAnsi"/>
        </w:rPr>
        <w:t xml:space="preserve">December 2002. </w:t>
      </w:r>
      <w:r w:rsidR="001D48E3" w:rsidRPr="003C064C">
        <w:rPr>
          <w:rFonts w:asciiTheme="majorHAnsi" w:hAnsiTheme="majorHAnsi"/>
          <w:i/>
        </w:rPr>
        <w:t>Journal of Extension, Vol. 40, No. 6</w:t>
      </w:r>
      <w:r w:rsidRPr="0089725D">
        <w:rPr>
          <w:rFonts w:asciiTheme="majorHAnsi" w:hAnsiTheme="majorHAnsi" w:cs="Times New Roman"/>
        </w:rPr>
        <w:t>.</w:t>
      </w:r>
    </w:p>
    <w:p w:rsidR="00090422" w:rsidRPr="00090422" w:rsidRDefault="001D48E3" w:rsidP="00090422">
      <w:pPr>
        <w:numPr>
          <w:ilvl w:val="0"/>
          <w:numId w:val="24"/>
        </w:numPr>
        <w:shd w:val="clear" w:color="auto" w:fill="FFFFFF"/>
        <w:tabs>
          <w:tab w:val="left" w:pos="900"/>
        </w:tabs>
        <w:autoSpaceDE w:val="0"/>
        <w:autoSpaceDN w:val="0"/>
        <w:adjustRightInd w:val="0"/>
        <w:spacing w:after="150" w:line="270" w:lineRule="atLeast"/>
        <w:contextualSpacing/>
        <w:rPr>
          <w:rFonts w:asciiTheme="majorHAnsi" w:hAnsiTheme="majorHAnsi"/>
        </w:rPr>
      </w:pPr>
      <w:proofErr w:type="spellStart"/>
      <w:r>
        <w:rPr>
          <w:rFonts w:asciiTheme="majorHAnsi" w:hAnsiTheme="majorHAnsi"/>
        </w:rPr>
        <w:t>Charrois</w:t>
      </w:r>
      <w:proofErr w:type="spellEnd"/>
      <w:r>
        <w:rPr>
          <w:rFonts w:asciiTheme="majorHAnsi" w:hAnsiTheme="majorHAnsi"/>
        </w:rPr>
        <w:t xml:space="preserve">, J. W. A. </w:t>
      </w:r>
      <w:r w:rsidRPr="003C064C">
        <w:rPr>
          <w:rFonts w:asciiTheme="majorHAnsi" w:hAnsiTheme="majorHAnsi"/>
          <w:u w:val="single"/>
        </w:rPr>
        <w:t>Private Drinking Water Supplies: Challenges for Public Health</w:t>
      </w:r>
      <w:r>
        <w:rPr>
          <w:rFonts w:asciiTheme="majorHAnsi" w:hAnsiTheme="majorHAnsi"/>
        </w:rPr>
        <w:t>.</w:t>
      </w:r>
      <w:r w:rsidR="00177222">
        <w:rPr>
          <w:rFonts w:asciiTheme="majorHAnsi" w:hAnsiTheme="majorHAnsi"/>
        </w:rPr>
        <w:t xml:space="preserve"> July 2010. </w:t>
      </w:r>
      <w:r w:rsidR="00177222" w:rsidRPr="003C064C">
        <w:rPr>
          <w:rFonts w:asciiTheme="majorHAnsi" w:hAnsiTheme="majorHAnsi"/>
          <w:i/>
        </w:rPr>
        <w:t>The Canadian Medical Association Journal, 182(10): 1061-1064</w:t>
      </w:r>
      <w:r w:rsidR="00177222">
        <w:rPr>
          <w:rFonts w:asciiTheme="majorHAnsi" w:hAnsiTheme="majorHAnsi"/>
        </w:rPr>
        <w:t xml:space="preserve">. </w:t>
      </w:r>
    </w:p>
    <w:p w:rsidR="005C51AD" w:rsidRDefault="005C51AD" w:rsidP="00697161">
      <w:pPr>
        <w:rPr>
          <w:rFonts w:asciiTheme="majorHAnsi" w:hAnsiTheme="majorHAnsi"/>
          <w:b/>
          <w:sz w:val="28"/>
        </w:rPr>
      </w:pPr>
    </w:p>
    <w:p w:rsidR="00A36419" w:rsidRDefault="00A36419" w:rsidP="00697161">
      <w:pPr>
        <w:rPr>
          <w:rFonts w:asciiTheme="majorHAnsi" w:hAnsiTheme="majorHAnsi"/>
          <w:b/>
          <w:sz w:val="28"/>
        </w:rPr>
      </w:pPr>
      <w:r>
        <w:rPr>
          <w:rFonts w:asciiTheme="majorHAnsi" w:hAnsiTheme="majorHAnsi"/>
          <w:b/>
          <w:sz w:val="28"/>
        </w:rPr>
        <w:t>LIST OF ATTACHMENTS</w:t>
      </w:r>
      <w:r w:rsidR="00A33E90">
        <w:rPr>
          <w:rFonts w:asciiTheme="majorHAnsi" w:hAnsiTheme="majorHAnsi"/>
          <w:b/>
          <w:sz w:val="28"/>
        </w:rPr>
        <w:t xml:space="preserve"> – Section A</w:t>
      </w:r>
    </w:p>
    <w:p w:rsidR="00637246" w:rsidRDefault="00637246" w:rsidP="00697161">
      <w:pPr>
        <w:spacing w:line="360" w:lineRule="auto"/>
        <w:rPr>
          <w:rFonts w:asciiTheme="majorHAnsi" w:hAnsiTheme="majorHAnsi"/>
          <w:b/>
        </w:rPr>
      </w:pPr>
      <w:r>
        <w:rPr>
          <w:rFonts w:asciiTheme="majorHAnsi" w:hAnsiTheme="majorHAnsi"/>
          <w:b/>
        </w:rPr>
        <w:t xml:space="preserve">ATTACHMENT </w:t>
      </w:r>
      <w:r w:rsidR="00575FD7">
        <w:rPr>
          <w:rFonts w:asciiTheme="majorHAnsi" w:hAnsiTheme="majorHAnsi"/>
          <w:b/>
        </w:rPr>
        <w:t>A</w:t>
      </w:r>
      <w:r>
        <w:rPr>
          <w:rFonts w:asciiTheme="majorHAnsi" w:hAnsiTheme="majorHAnsi"/>
          <w:b/>
        </w:rPr>
        <w:t>:</w:t>
      </w:r>
      <w:r w:rsidR="00F45E7B">
        <w:rPr>
          <w:rFonts w:asciiTheme="majorHAnsi" w:hAnsiTheme="majorHAnsi"/>
          <w:b/>
        </w:rPr>
        <w:t xml:space="preserve"> MS Word Version of the </w:t>
      </w:r>
      <w:r w:rsidR="0000355F">
        <w:rPr>
          <w:rFonts w:asciiTheme="majorHAnsi" w:hAnsiTheme="majorHAnsi"/>
          <w:b/>
        </w:rPr>
        <w:t>Data Collection</w:t>
      </w:r>
      <w:r w:rsidR="00F45E7B">
        <w:rPr>
          <w:rFonts w:asciiTheme="majorHAnsi" w:hAnsiTheme="majorHAnsi"/>
          <w:b/>
        </w:rPr>
        <w:t xml:space="preserve"> Instrument</w:t>
      </w:r>
    </w:p>
    <w:p w:rsidR="00F45E7B" w:rsidRDefault="00F45E7B" w:rsidP="00697161">
      <w:pPr>
        <w:spacing w:line="360" w:lineRule="auto"/>
        <w:rPr>
          <w:rFonts w:asciiTheme="majorHAnsi" w:hAnsiTheme="majorHAnsi"/>
          <w:b/>
        </w:rPr>
      </w:pPr>
      <w:r>
        <w:rPr>
          <w:rFonts w:asciiTheme="majorHAnsi" w:hAnsiTheme="majorHAnsi"/>
          <w:b/>
        </w:rPr>
        <w:t xml:space="preserve">ATTACHMENT </w:t>
      </w:r>
      <w:r w:rsidR="00575FD7">
        <w:rPr>
          <w:rFonts w:asciiTheme="majorHAnsi" w:hAnsiTheme="majorHAnsi"/>
          <w:b/>
        </w:rPr>
        <w:t>B</w:t>
      </w:r>
      <w:r>
        <w:rPr>
          <w:rFonts w:asciiTheme="majorHAnsi" w:hAnsiTheme="majorHAnsi"/>
          <w:b/>
        </w:rPr>
        <w:t xml:space="preserve">: Web Version of the </w:t>
      </w:r>
      <w:r w:rsidR="0000355F">
        <w:rPr>
          <w:rFonts w:asciiTheme="majorHAnsi" w:hAnsiTheme="majorHAnsi"/>
          <w:b/>
        </w:rPr>
        <w:t>Data Collection</w:t>
      </w:r>
      <w:r>
        <w:rPr>
          <w:rFonts w:asciiTheme="majorHAnsi" w:hAnsiTheme="majorHAnsi"/>
          <w:b/>
        </w:rPr>
        <w:t xml:space="preserve"> Instrument</w:t>
      </w:r>
    </w:p>
    <w:sectPr w:rsidR="00F45E7B" w:rsidSect="00385BB5">
      <w:headerReference w:type="default" r:id="rId13"/>
      <w:footerReference w:type="default" r:id="rId14"/>
      <w:pgSz w:w="12240" w:h="15840"/>
      <w:pgMar w:top="1440" w:right="1440" w:bottom="1440" w:left="1440" w:header="720" w:footer="720"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B746D" w:rsidRDefault="004B746D" w:rsidP="00716F94">
      <w:pPr>
        <w:spacing w:after="0" w:line="240" w:lineRule="auto"/>
      </w:pPr>
      <w:r>
        <w:separator/>
      </w:r>
    </w:p>
  </w:endnote>
  <w:endnote w:type="continuationSeparator" w:id="0">
    <w:p w:rsidR="004B746D" w:rsidRDefault="004B746D" w:rsidP="00716F9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Myriad Pro">
    <w:altName w:val="Arial"/>
    <w:panose1 w:val="00000000000000000000"/>
    <w:charset w:val="00"/>
    <w:family w:val="swiss"/>
    <w:notTrueType/>
    <w:pitch w:val="variable"/>
    <w:sig w:usb0="20000287" w:usb1="00000001"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82104727"/>
      <w:docPartObj>
        <w:docPartGallery w:val="Page Numbers (Bottom of Page)"/>
        <w:docPartUnique/>
      </w:docPartObj>
    </w:sdtPr>
    <w:sdtEndPr/>
    <w:sdtContent>
      <w:sdt>
        <w:sdtPr>
          <w:id w:val="565050523"/>
          <w:docPartObj>
            <w:docPartGallery w:val="Page Numbers (Top of Page)"/>
            <w:docPartUnique/>
          </w:docPartObj>
        </w:sdtPr>
        <w:sdtEndPr/>
        <w:sdtContent>
          <w:p w:rsidR="00964583" w:rsidRDefault="00964583">
            <w:pPr>
              <w:pStyle w:val="Footer"/>
              <w:jc w:val="right"/>
            </w:pPr>
            <w:r>
              <w:t xml:space="preserve">Page </w:t>
            </w:r>
            <w:r>
              <w:rPr>
                <w:b/>
                <w:sz w:val="24"/>
                <w:szCs w:val="24"/>
              </w:rPr>
              <w:fldChar w:fldCharType="begin"/>
            </w:r>
            <w:r>
              <w:rPr>
                <w:b/>
              </w:rPr>
              <w:instrText xml:space="preserve"> PAGE </w:instrText>
            </w:r>
            <w:r>
              <w:rPr>
                <w:b/>
                <w:sz w:val="24"/>
                <w:szCs w:val="24"/>
              </w:rPr>
              <w:fldChar w:fldCharType="separate"/>
            </w:r>
            <w:r w:rsidR="005739D6">
              <w:rPr>
                <w:b/>
                <w:noProof/>
              </w:rPr>
              <w:t>2</w:t>
            </w:r>
            <w:r>
              <w:rPr>
                <w:b/>
                <w:sz w:val="24"/>
                <w:szCs w:val="24"/>
              </w:rPr>
              <w:fldChar w:fldCharType="end"/>
            </w:r>
            <w:r>
              <w:t xml:space="preserve"> of </w:t>
            </w:r>
            <w:r w:rsidRPr="004B6D62">
              <w:rPr>
                <w:b/>
              </w:rPr>
              <w:t>1</w:t>
            </w:r>
            <w:r w:rsidR="00F03CB5">
              <w:rPr>
                <w:b/>
              </w:rPr>
              <w:t>0</w:t>
            </w:r>
          </w:p>
        </w:sdtContent>
      </w:sdt>
    </w:sdtContent>
  </w:sdt>
  <w:p w:rsidR="00964583" w:rsidRDefault="0096458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B746D" w:rsidRDefault="004B746D" w:rsidP="00716F94">
      <w:pPr>
        <w:spacing w:after="0" w:line="240" w:lineRule="auto"/>
      </w:pPr>
      <w:r>
        <w:separator/>
      </w:r>
    </w:p>
  </w:footnote>
  <w:footnote w:type="continuationSeparator" w:id="0">
    <w:p w:rsidR="004B746D" w:rsidRDefault="004B746D" w:rsidP="00716F9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64583" w:rsidRPr="00716F94" w:rsidRDefault="00964583" w:rsidP="00484011">
    <w:pPr>
      <w:pStyle w:val="Header"/>
      <w:tabs>
        <w:tab w:val="clear" w:pos="4680"/>
      </w:tabs>
      <w:rPr>
        <w:color w:val="0033CC"/>
      </w:rPr>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C7CD4"/>
    <w:multiLevelType w:val="hybridMultilevel"/>
    <w:tmpl w:val="D72EAD62"/>
    <w:lvl w:ilvl="0" w:tplc="D960EF5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02B92BAD"/>
    <w:multiLevelType w:val="hybridMultilevel"/>
    <w:tmpl w:val="16645FF8"/>
    <w:lvl w:ilvl="0" w:tplc="512C5E40">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3A038DA"/>
    <w:multiLevelType w:val="hybridMultilevel"/>
    <w:tmpl w:val="A440950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nsid w:val="05C87901"/>
    <w:multiLevelType w:val="hybridMultilevel"/>
    <w:tmpl w:val="E16699A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E202237"/>
    <w:multiLevelType w:val="hybridMultilevel"/>
    <w:tmpl w:val="6E8EB8BC"/>
    <w:lvl w:ilvl="0" w:tplc="750EFF3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126B406E"/>
    <w:multiLevelType w:val="hybridMultilevel"/>
    <w:tmpl w:val="7772D530"/>
    <w:lvl w:ilvl="0" w:tplc="FFB216BC">
      <w:start w:val="1"/>
      <w:numFmt w:val="decimal"/>
      <w:lvlText w:val="%1."/>
      <w:lvlJc w:val="left"/>
      <w:pPr>
        <w:ind w:left="81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42A31AB"/>
    <w:multiLevelType w:val="hybridMultilevel"/>
    <w:tmpl w:val="4538C066"/>
    <w:lvl w:ilvl="0" w:tplc="E1C03912">
      <w:start w:val="1"/>
      <w:numFmt w:val="bullet"/>
      <w:lvlText w:val=""/>
      <w:lvlJc w:val="left"/>
      <w:pPr>
        <w:ind w:left="720" w:hanging="360"/>
      </w:pPr>
      <w:rPr>
        <w:rFonts w:ascii="Wingdings" w:hAnsi="Wingdings" w:hint="default"/>
        <w:sz w:val="22"/>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A4334D2"/>
    <w:multiLevelType w:val="hybridMultilevel"/>
    <w:tmpl w:val="197E5CE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nsid w:val="227C2A67"/>
    <w:multiLevelType w:val="hybridMultilevel"/>
    <w:tmpl w:val="B696488A"/>
    <w:lvl w:ilvl="0" w:tplc="04090019">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26FC57D3"/>
    <w:multiLevelType w:val="hybridMultilevel"/>
    <w:tmpl w:val="F856A7AA"/>
    <w:lvl w:ilvl="0" w:tplc="33B618F0">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2FC97E8D"/>
    <w:multiLevelType w:val="hybridMultilevel"/>
    <w:tmpl w:val="7D40639A"/>
    <w:lvl w:ilvl="0" w:tplc="0409000D">
      <w:start w:val="1"/>
      <w:numFmt w:val="bullet"/>
      <w:lvlText w:val=""/>
      <w:lvlJc w:val="left"/>
      <w:pPr>
        <w:ind w:left="720" w:hanging="360"/>
      </w:pPr>
      <w:rPr>
        <w:rFonts w:ascii="Wingdings" w:hAnsi="Wingdings"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330F0FA1"/>
    <w:multiLevelType w:val="hybridMultilevel"/>
    <w:tmpl w:val="EB6298B8"/>
    <w:lvl w:ilvl="0" w:tplc="7C18286A">
      <w:start w:val="1"/>
      <w:numFmt w:val="decimal"/>
      <w:lvlText w:val="%1."/>
      <w:lvlJc w:val="left"/>
      <w:pPr>
        <w:ind w:left="81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3A476D81"/>
    <w:multiLevelType w:val="multilevel"/>
    <w:tmpl w:val="8E3032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nsid w:val="50B333BB"/>
    <w:multiLevelType w:val="hybridMultilevel"/>
    <w:tmpl w:val="6F9ADEAC"/>
    <w:lvl w:ilvl="0" w:tplc="04090001">
      <w:start w:val="1"/>
      <w:numFmt w:val="bullet"/>
      <w:lvlText w:val=""/>
      <w:lvlJc w:val="left"/>
      <w:pPr>
        <w:ind w:left="1470" w:hanging="360"/>
      </w:pPr>
      <w:rPr>
        <w:rFonts w:ascii="Symbol" w:hAnsi="Symbol" w:hint="default"/>
      </w:rPr>
    </w:lvl>
    <w:lvl w:ilvl="1" w:tplc="04090003" w:tentative="1">
      <w:start w:val="1"/>
      <w:numFmt w:val="bullet"/>
      <w:lvlText w:val="o"/>
      <w:lvlJc w:val="left"/>
      <w:pPr>
        <w:ind w:left="2190" w:hanging="360"/>
      </w:pPr>
      <w:rPr>
        <w:rFonts w:ascii="Courier New" w:hAnsi="Courier New" w:cs="Courier New" w:hint="default"/>
      </w:rPr>
    </w:lvl>
    <w:lvl w:ilvl="2" w:tplc="04090005" w:tentative="1">
      <w:start w:val="1"/>
      <w:numFmt w:val="bullet"/>
      <w:lvlText w:val=""/>
      <w:lvlJc w:val="left"/>
      <w:pPr>
        <w:ind w:left="2910" w:hanging="360"/>
      </w:pPr>
      <w:rPr>
        <w:rFonts w:ascii="Wingdings" w:hAnsi="Wingdings" w:hint="default"/>
      </w:rPr>
    </w:lvl>
    <w:lvl w:ilvl="3" w:tplc="04090001" w:tentative="1">
      <w:start w:val="1"/>
      <w:numFmt w:val="bullet"/>
      <w:lvlText w:val=""/>
      <w:lvlJc w:val="left"/>
      <w:pPr>
        <w:ind w:left="3630" w:hanging="360"/>
      </w:pPr>
      <w:rPr>
        <w:rFonts w:ascii="Symbol" w:hAnsi="Symbol" w:hint="default"/>
      </w:rPr>
    </w:lvl>
    <w:lvl w:ilvl="4" w:tplc="04090003" w:tentative="1">
      <w:start w:val="1"/>
      <w:numFmt w:val="bullet"/>
      <w:lvlText w:val="o"/>
      <w:lvlJc w:val="left"/>
      <w:pPr>
        <w:ind w:left="4350" w:hanging="360"/>
      </w:pPr>
      <w:rPr>
        <w:rFonts w:ascii="Courier New" w:hAnsi="Courier New" w:cs="Courier New" w:hint="default"/>
      </w:rPr>
    </w:lvl>
    <w:lvl w:ilvl="5" w:tplc="04090005" w:tentative="1">
      <w:start w:val="1"/>
      <w:numFmt w:val="bullet"/>
      <w:lvlText w:val=""/>
      <w:lvlJc w:val="left"/>
      <w:pPr>
        <w:ind w:left="5070" w:hanging="360"/>
      </w:pPr>
      <w:rPr>
        <w:rFonts w:ascii="Wingdings" w:hAnsi="Wingdings" w:hint="default"/>
      </w:rPr>
    </w:lvl>
    <w:lvl w:ilvl="6" w:tplc="04090001" w:tentative="1">
      <w:start w:val="1"/>
      <w:numFmt w:val="bullet"/>
      <w:lvlText w:val=""/>
      <w:lvlJc w:val="left"/>
      <w:pPr>
        <w:ind w:left="5790" w:hanging="360"/>
      </w:pPr>
      <w:rPr>
        <w:rFonts w:ascii="Symbol" w:hAnsi="Symbol" w:hint="default"/>
      </w:rPr>
    </w:lvl>
    <w:lvl w:ilvl="7" w:tplc="04090003" w:tentative="1">
      <w:start w:val="1"/>
      <w:numFmt w:val="bullet"/>
      <w:lvlText w:val="o"/>
      <w:lvlJc w:val="left"/>
      <w:pPr>
        <w:ind w:left="6510" w:hanging="360"/>
      </w:pPr>
      <w:rPr>
        <w:rFonts w:ascii="Courier New" w:hAnsi="Courier New" w:cs="Courier New" w:hint="default"/>
      </w:rPr>
    </w:lvl>
    <w:lvl w:ilvl="8" w:tplc="04090005" w:tentative="1">
      <w:start w:val="1"/>
      <w:numFmt w:val="bullet"/>
      <w:lvlText w:val=""/>
      <w:lvlJc w:val="left"/>
      <w:pPr>
        <w:ind w:left="7230" w:hanging="360"/>
      </w:pPr>
      <w:rPr>
        <w:rFonts w:ascii="Wingdings" w:hAnsi="Wingdings" w:hint="default"/>
      </w:rPr>
    </w:lvl>
  </w:abstractNum>
  <w:abstractNum w:abstractNumId="14">
    <w:nsid w:val="536E5D34"/>
    <w:multiLevelType w:val="hybridMultilevel"/>
    <w:tmpl w:val="84063B5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55EA3171"/>
    <w:multiLevelType w:val="hybridMultilevel"/>
    <w:tmpl w:val="E7240F3C"/>
    <w:lvl w:ilvl="0" w:tplc="0409000B">
      <w:start w:val="1"/>
      <w:numFmt w:val="bullet"/>
      <w:lvlText w:val=""/>
      <w:lvlJc w:val="left"/>
      <w:pPr>
        <w:ind w:left="720" w:hanging="360"/>
      </w:pPr>
      <w:rPr>
        <w:rFonts w:ascii="Wingdings" w:hAnsi="Wingdings"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5A1E6E94"/>
    <w:multiLevelType w:val="hybridMultilevel"/>
    <w:tmpl w:val="F468FF24"/>
    <w:lvl w:ilvl="0" w:tplc="04090019">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nsid w:val="5FAA364A"/>
    <w:multiLevelType w:val="hybridMultilevel"/>
    <w:tmpl w:val="C8BC5744"/>
    <w:lvl w:ilvl="0" w:tplc="0409000D">
      <w:start w:val="1"/>
      <w:numFmt w:val="bullet"/>
      <w:lvlText w:val=""/>
      <w:lvlJc w:val="left"/>
      <w:pPr>
        <w:ind w:left="1800" w:hanging="360"/>
      </w:pPr>
      <w:rPr>
        <w:rFonts w:ascii="Wingdings" w:hAnsi="Wingdings" w:hint="default"/>
        <w:sz w:val="22"/>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8">
    <w:nsid w:val="643348AA"/>
    <w:multiLevelType w:val="hybridMultilevel"/>
    <w:tmpl w:val="8214C1C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69605014"/>
    <w:multiLevelType w:val="hybridMultilevel"/>
    <w:tmpl w:val="860A917E"/>
    <w:lvl w:ilvl="0" w:tplc="E1C03912">
      <w:start w:val="1"/>
      <w:numFmt w:val="bullet"/>
      <w:lvlText w:val=""/>
      <w:lvlJc w:val="left"/>
      <w:pPr>
        <w:ind w:left="720" w:hanging="360"/>
      </w:pPr>
      <w:rPr>
        <w:rFonts w:ascii="Wingdings" w:hAnsi="Wingdings"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715B73B6"/>
    <w:multiLevelType w:val="hybridMultilevel"/>
    <w:tmpl w:val="DA906682"/>
    <w:lvl w:ilvl="0" w:tplc="0409000D">
      <w:start w:val="1"/>
      <w:numFmt w:val="bullet"/>
      <w:lvlText w:val=""/>
      <w:lvlJc w:val="left"/>
      <w:pPr>
        <w:ind w:left="720" w:hanging="360"/>
      </w:pPr>
      <w:rPr>
        <w:rFonts w:ascii="Wingdings" w:hAnsi="Wingdings"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772E7E23"/>
    <w:multiLevelType w:val="hybridMultilevel"/>
    <w:tmpl w:val="17AC84D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7A0C6AF8"/>
    <w:multiLevelType w:val="hybridMultilevel"/>
    <w:tmpl w:val="BBEAB9D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7D9A57F0"/>
    <w:multiLevelType w:val="multilevel"/>
    <w:tmpl w:val="B8261B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7EA676D7"/>
    <w:multiLevelType w:val="hybridMultilevel"/>
    <w:tmpl w:val="C2CC848C"/>
    <w:lvl w:ilvl="0" w:tplc="0409000B">
      <w:start w:val="1"/>
      <w:numFmt w:val="bullet"/>
      <w:lvlText w:val=""/>
      <w:lvlJc w:val="left"/>
      <w:pPr>
        <w:ind w:left="720" w:hanging="360"/>
      </w:pPr>
      <w:rPr>
        <w:rFonts w:ascii="Wingdings" w:hAnsi="Wingdings"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11"/>
  </w:num>
  <w:num w:numId="3">
    <w:abstractNumId w:val="22"/>
  </w:num>
  <w:num w:numId="4">
    <w:abstractNumId w:val="9"/>
  </w:num>
  <w:num w:numId="5">
    <w:abstractNumId w:val="13"/>
  </w:num>
  <w:num w:numId="6">
    <w:abstractNumId w:val="7"/>
  </w:num>
  <w:num w:numId="7">
    <w:abstractNumId w:val="0"/>
  </w:num>
  <w:num w:numId="8">
    <w:abstractNumId w:val="4"/>
  </w:num>
  <w:num w:numId="9">
    <w:abstractNumId w:val="8"/>
  </w:num>
  <w:num w:numId="10">
    <w:abstractNumId w:val="16"/>
  </w:num>
  <w:num w:numId="11">
    <w:abstractNumId w:val="2"/>
  </w:num>
  <w:num w:numId="12">
    <w:abstractNumId w:val="21"/>
  </w:num>
  <w:num w:numId="13">
    <w:abstractNumId w:val="6"/>
  </w:num>
  <w:num w:numId="14">
    <w:abstractNumId w:val="3"/>
  </w:num>
  <w:num w:numId="15">
    <w:abstractNumId w:val="18"/>
  </w:num>
  <w:num w:numId="16">
    <w:abstractNumId w:val="19"/>
  </w:num>
  <w:num w:numId="17">
    <w:abstractNumId w:val="20"/>
  </w:num>
  <w:num w:numId="18">
    <w:abstractNumId w:val="10"/>
  </w:num>
  <w:num w:numId="19">
    <w:abstractNumId w:val="24"/>
  </w:num>
  <w:num w:numId="20">
    <w:abstractNumId w:val="15"/>
  </w:num>
  <w:num w:numId="21">
    <w:abstractNumId w:val="17"/>
  </w:num>
  <w:num w:numId="22">
    <w:abstractNumId w:val="14"/>
  </w:num>
  <w:num w:numId="23">
    <w:abstractNumId w:val="5"/>
  </w:num>
  <w:num w:numId="24">
    <w:abstractNumId w:val="23"/>
    <w:lvlOverride w:ilvl="0">
      <w:lvl w:ilvl="0">
        <w:start w:val="1"/>
        <w:numFmt w:val="decimal"/>
        <w:lvlText w:val="%1."/>
        <w:lvlJc w:val="left"/>
        <w:pPr>
          <w:ind w:left="720" w:hanging="360"/>
        </w:pPr>
        <w:rPr>
          <w:rFonts w:hint="default"/>
        </w:rPr>
      </w:lvl>
    </w:lvlOverride>
    <w:lvlOverride w:ilvl="1">
      <w:lvl w:ilvl="1" w:tentative="1">
        <w:start w:val="1"/>
        <w:numFmt w:val="lowerLetter"/>
        <w:lvlText w:val="%2."/>
        <w:lvlJc w:val="left"/>
        <w:pPr>
          <w:ind w:left="1440" w:hanging="360"/>
        </w:pPr>
      </w:lvl>
    </w:lvlOverride>
    <w:lvlOverride w:ilvl="2">
      <w:lvl w:ilvl="2" w:tentative="1">
        <w:start w:val="1"/>
        <w:numFmt w:val="lowerRoman"/>
        <w:lvlText w:val="%3."/>
        <w:lvlJc w:val="right"/>
        <w:pPr>
          <w:ind w:left="2160" w:hanging="180"/>
        </w:pPr>
      </w:lvl>
    </w:lvlOverride>
    <w:lvlOverride w:ilvl="3">
      <w:lvl w:ilvl="3" w:tentative="1">
        <w:start w:val="1"/>
        <w:numFmt w:val="decimal"/>
        <w:lvlText w:val="%4."/>
        <w:lvlJc w:val="left"/>
        <w:pPr>
          <w:ind w:left="2880" w:hanging="360"/>
        </w:pPr>
      </w:lvl>
    </w:lvlOverride>
    <w:lvlOverride w:ilvl="4">
      <w:lvl w:ilvl="4" w:tentative="1">
        <w:start w:val="1"/>
        <w:numFmt w:val="lowerLetter"/>
        <w:lvlText w:val="%5."/>
        <w:lvlJc w:val="left"/>
        <w:pPr>
          <w:ind w:left="3600" w:hanging="360"/>
        </w:pPr>
      </w:lvl>
    </w:lvlOverride>
    <w:lvlOverride w:ilvl="5">
      <w:lvl w:ilvl="5" w:tentative="1">
        <w:start w:val="1"/>
        <w:numFmt w:val="lowerRoman"/>
        <w:lvlText w:val="%6."/>
        <w:lvlJc w:val="right"/>
        <w:pPr>
          <w:ind w:left="4320" w:hanging="180"/>
        </w:pPr>
      </w:lvl>
    </w:lvlOverride>
    <w:lvlOverride w:ilvl="6">
      <w:lvl w:ilvl="6" w:tentative="1">
        <w:start w:val="1"/>
        <w:numFmt w:val="decimal"/>
        <w:lvlText w:val="%7."/>
        <w:lvlJc w:val="left"/>
        <w:pPr>
          <w:ind w:left="5040" w:hanging="360"/>
        </w:pPr>
      </w:lvl>
    </w:lvlOverride>
    <w:lvlOverride w:ilvl="7">
      <w:lvl w:ilvl="7" w:tentative="1">
        <w:start w:val="1"/>
        <w:numFmt w:val="lowerLetter"/>
        <w:lvlText w:val="%8."/>
        <w:lvlJc w:val="left"/>
        <w:pPr>
          <w:ind w:left="5760" w:hanging="360"/>
        </w:pPr>
      </w:lvl>
    </w:lvlOverride>
    <w:lvlOverride w:ilvl="8">
      <w:lvl w:ilvl="8" w:tentative="1">
        <w:start w:val="1"/>
        <w:numFmt w:val="lowerRoman"/>
        <w:lvlText w:val="%9."/>
        <w:lvlJc w:val="right"/>
        <w:pPr>
          <w:ind w:left="6480" w:hanging="180"/>
        </w:pPr>
      </w:lvl>
    </w:lvlOverride>
  </w:num>
  <w:num w:numId="2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16F94"/>
    <w:rsid w:val="0000355F"/>
    <w:rsid w:val="00007CDB"/>
    <w:rsid w:val="00011A98"/>
    <w:rsid w:val="00011F8D"/>
    <w:rsid w:val="00012135"/>
    <w:rsid w:val="000130B4"/>
    <w:rsid w:val="00014361"/>
    <w:rsid w:val="00023C0B"/>
    <w:rsid w:val="00025ADF"/>
    <w:rsid w:val="000321C3"/>
    <w:rsid w:val="0003652B"/>
    <w:rsid w:val="0004271D"/>
    <w:rsid w:val="000439A0"/>
    <w:rsid w:val="000449BD"/>
    <w:rsid w:val="000474FB"/>
    <w:rsid w:val="00051507"/>
    <w:rsid w:val="00053A92"/>
    <w:rsid w:val="00054839"/>
    <w:rsid w:val="00057B82"/>
    <w:rsid w:val="00057F36"/>
    <w:rsid w:val="0006140F"/>
    <w:rsid w:val="0008444C"/>
    <w:rsid w:val="00090422"/>
    <w:rsid w:val="000978DB"/>
    <w:rsid w:val="000A1F30"/>
    <w:rsid w:val="000A6112"/>
    <w:rsid w:val="000A71DF"/>
    <w:rsid w:val="000B0962"/>
    <w:rsid w:val="000B2CBC"/>
    <w:rsid w:val="000B772A"/>
    <w:rsid w:val="000C4601"/>
    <w:rsid w:val="000E25FD"/>
    <w:rsid w:val="000E265D"/>
    <w:rsid w:val="000E4367"/>
    <w:rsid w:val="000E6577"/>
    <w:rsid w:val="000E7A19"/>
    <w:rsid w:val="000F3018"/>
    <w:rsid w:val="000F3F13"/>
    <w:rsid w:val="00104A1B"/>
    <w:rsid w:val="00111A03"/>
    <w:rsid w:val="00111AC1"/>
    <w:rsid w:val="001177DD"/>
    <w:rsid w:val="001343E9"/>
    <w:rsid w:val="00135334"/>
    <w:rsid w:val="00135ABC"/>
    <w:rsid w:val="001412D4"/>
    <w:rsid w:val="00142C44"/>
    <w:rsid w:val="00144F64"/>
    <w:rsid w:val="00145D62"/>
    <w:rsid w:val="0014667A"/>
    <w:rsid w:val="00151567"/>
    <w:rsid w:val="001635C8"/>
    <w:rsid w:val="001636E7"/>
    <w:rsid w:val="00163E17"/>
    <w:rsid w:val="00166F9E"/>
    <w:rsid w:val="00167880"/>
    <w:rsid w:val="0017248D"/>
    <w:rsid w:val="00175AA1"/>
    <w:rsid w:val="001766D2"/>
    <w:rsid w:val="00177222"/>
    <w:rsid w:val="00180D45"/>
    <w:rsid w:val="00187870"/>
    <w:rsid w:val="00187D5A"/>
    <w:rsid w:val="001908F4"/>
    <w:rsid w:val="00196285"/>
    <w:rsid w:val="001972D7"/>
    <w:rsid w:val="001A0834"/>
    <w:rsid w:val="001A28F6"/>
    <w:rsid w:val="001B2831"/>
    <w:rsid w:val="001B4065"/>
    <w:rsid w:val="001C0493"/>
    <w:rsid w:val="001C28AD"/>
    <w:rsid w:val="001D1D63"/>
    <w:rsid w:val="001D41C6"/>
    <w:rsid w:val="001D48E3"/>
    <w:rsid w:val="001D786F"/>
    <w:rsid w:val="001D7B3D"/>
    <w:rsid w:val="001D7FCB"/>
    <w:rsid w:val="001E117A"/>
    <w:rsid w:val="001E2B99"/>
    <w:rsid w:val="001E3F44"/>
    <w:rsid w:val="001E69B6"/>
    <w:rsid w:val="001E7136"/>
    <w:rsid w:val="001F2F08"/>
    <w:rsid w:val="001F4DBB"/>
    <w:rsid w:val="00202D07"/>
    <w:rsid w:val="0020312D"/>
    <w:rsid w:val="00206E33"/>
    <w:rsid w:val="00210519"/>
    <w:rsid w:val="00227259"/>
    <w:rsid w:val="002277AF"/>
    <w:rsid w:val="002278C6"/>
    <w:rsid w:val="00241B17"/>
    <w:rsid w:val="00241C81"/>
    <w:rsid w:val="00246CAA"/>
    <w:rsid w:val="00250A4C"/>
    <w:rsid w:val="00257A1C"/>
    <w:rsid w:val="00271691"/>
    <w:rsid w:val="0027234C"/>
    <w:rsid w:val="00280419"/>
    <w:rsid w:val="00281795"/>
    <w:rsid w:val="002850E3"/>
    <w:rsid w:val="00285EDB"/>
    <w:rsid w:val="00287E2F"/>
    <w:rsid w:val="00294398"/>
    <w:rsid w:val="002A1948"/>
    <w:rsid w:val="002B4606"/>
    <w:rsid w:val="002B4972"/>
    <w:rsid w:val="002B618F"/>
    <w:rsid w:val="002C0877"/>
    <w:rsid w:val="002C2AE2"/>
    <w:rsid w:val="002C53AB"/>
    <w:rsid w:val="002D0DCE"/>
    <w:rsid w:val="002E2B10"/>
    <w:rsid w:val="002E73B0"/>
    <w:rsid w:val="002F0CC8"/>
    <w:rsid w:val="002F1502"/>
    <w:rsid w:val="002F2069"/>
    <w:rsid w:val="002F5BFE"/>
    <w:rsid w:val="002F71A2"/>
    <w:rsid w:val="003041AD"/>
    <w:rsid w:val="00310776"/>
    <w:rsid w:val="0031167C"/>
    <w:rsid w:val="0031279F"/>
    <w:rsid w:val="0031337B"/>
    <w:rsid w:val="00316F00"/>
    <w:rsid w:val="00321B51"/>
    <w:rsid w:val="00326A05"/>
    <w:rsid w:val="00335C67"/>
    <w:rsid w:val="00336D96"/>
    <w:rsid w:val="00344F07"/>
    <w:rsid w:val="003469C8"/>
    <w:rsid w:val="00350C8C"/>
    <w:rsid w:val="00355EA4"/>
    <w:rsid w:val="003570E6"/>
    <w:rsid w:val="003635BE"/>
    <w:rsid w:val="00366B5E"/>
    <w:rsid w:val="003708D8"/>
    <w:rsid w:val="003713F1"/>
    <w:rsid w:val="00385BB5"/>
    <w:rsid w:val="00386BC2"/>
    <w:rsid w:val="00394733"/>
    <w:rsid w:val="003A70B4"/>
    <w:rsid w:val="003B125E"/>
    <w:rsid w:val="003C064C"/>
    <w:rsid w:val="003C31C9"/>
    <w:rsid w:val="003C4961"/>
    <w:rsid w:val="003C7C5D"/>
    <w:rsid w:val="003D0AD2"/>
    <w:rsid w:val="003E5EBA"/>
    <w:rsid w:val="003F2739"/>
    <w:rsid w:val="003F5903"/>
    <w:rsid w:val="003F5913"/>
    <w:rsid w:val="003F694F"/>
    <w:rsid w:val="004024F8"/>
    <w:rsid w:val="00405696"/>
    <w:rsid w:val="0041159A"/>
    <w:rsid w:val="00420FB9"/>
    <w:rsid w:val="004305A8"/>
    <w:rsid w:val="004353D5"/>
    <w:rsid w:val="00443CA0"/>
    <w:rsid w:val="00450E14"/>
    <w:rsid w:val="004535DF"/>
    <w:rsid w:val="00455F2C"/>
    <w:rsid w:val="00462C65"/>
    <w:rsid w:val="004674E7"/>
    <w:rsid w:val="00467B14"/>
    <w:rsid w:val="00474EDA"/>
    <w:rsid w:val="004760F0"/>
    <w:rsid w:val="00480C39"/>
    <w:rsid w:val="0048121D"/>
    <w:rsid w:val="004824FA"/>
    <w:rsid w:val="00484011"/>
    <w:rsid w:val="004841F1"/>
    <w:rsid w:val="0048447C"/>
    <w:rsid w:val="004A1E3A"/>
    <w:rsid w:val="004A26D6"/>
    <w:rsid w:val="004A43D7"/>
    <w:rsid w:val="004B46D6"/>
    <w:rsid w:val="004B6D62"/>
    <w:rsid w:val="004B746D"/>
    <w:rsid w:val="004C0BF6"/>
    <w:rsid w:val="004C2E3C"/>
    <w:rsid w:val="004C4464"/>
    <w:rsid w:val="004C4AEA"/>
    <w:rsid w:val="004D0430"/>
    <w:rsid w:val="004D1DAA"/>
    <w:rsid w:val="004D4EB1"/>
    <w:rsid w:val="004E003C"/>
    <w:rsid w:val="004E16EB"/>
    <w:rsid w:val="004E6665"/>
    <w:rsid w:val="004F634E"/>
    <w:rsid w:val="004F67A8"/>
    <w:rsid w:val="00503354"/>
    <w:rsid w:val="0050558F"/>
    <w:rsid w:val="005109BE"/>
    <w:rsid w:val="00510A5F"/>
    <w:rsid w:val="0051582C"/>
    <w:rsid w:val="00522997"/>
    <w:rsid w:val="00522A50"/>
    <w:rsid w:val="00527225"/>
    <w:rsid w:val="00533D96"/>
    <w:rsid w:val="0053557D"/>
    <w:rsid w:val="00537079"/>
    <w:rsid w:val="005410E3"/>
    <w:rsid w:val="005463DE"/>
    <w:rsid w:val="00546DC2"/>
    <w:rsid w:val="00552E25"/>
    <w:rsid w:val="005542E8"/>
    <w:rsid w:val="00556630"/>
    <w:rsid w:val="0055686D"/>
    <w:rsid w:val="00560B12"/>
    <w:rsid w:val="00564D15"/>
    <w:rsid w:val="00566157"/>
    <w:rsid w:val="005665FF"/>
    <w:rsid w:val="0057035F"/>
    <w:rsid w:val="00572CF2"/>
    <w:rsid w:val="005739D6"/>
    <w:rsid w:val="00575FD7"/>
    <w:rsid w:val="00576371"/>
    <w:rsid w:val="005800EE"/>
    <w:rsid w:val="005857DB"/>
    <w:rsid w:val="005869D6"/>
    <w:rsid w:val="00590E83"/>
    <w:rsid w:val="0059331E"/>
    <w:rsid w:val="005962E5"/>
    <w:rsid w:val="005A33F6"/>
    <w:rsid w:val="005A59E5"/>
    <w:rsid w:val="005A601D"/>
    <w:rsid w:val="005B286F"/>
    <w:rsid w:val="005B7440"/>
    <w:rsid w:val="005B7679"/>
    <w:rsid w:val="005C1769"/>
    <w:rsid w:val="005C33D6"/>
    <w:rsid w:val="005C42E9"/>
    <w:rsid w:val="005C51AD"/>
    <w:rsid w:val="005C7241"/>
    <w:rsid w:val="005C7327"/>
    <w:rsid w:val="005D456D"/>
    <w:rsid w:val="005E2150"/>
    <w:rsid w:val="005E2995"/>
    <w:rsid w:val="005E3F6C"/>
    <w:rsid w:val="005E4B28"/>
    <w:rsid w:val="005E6CAB"/>
    <w:rsid w:val="005E75E0"/>
    <w:rsid w:val="005F3FEF"/>
    <w:rsid w:val="005F47A1"/>
    <w:rsid w:val="005F67BE"/>
    <w:rsid w:val="005F68B8"/>
    <w:rsid w:val="00600C4F"/>
    <w:rsid w:val="00607F7C"/>
    <w:rsid w:val="0061018C"/>
    <w:rsid w:val="006102DA"/>
    <w:rsid w:val="00616090"/>
    <w:rsid w:val="0062760E"/>
    <w:rsid w:val="006315A3"/>
    <w:rsid w:val="00634AFF"/>
    <w:rsid w:val="00636732"/>
    <w:rsid w:val="00637246"/>
    <w:rsid w:val="00642303"/>
    <w:rsid w:val="006514E9"/>
    <w:rsid w:val="0065553A"/>
    <w:rsid w:val="006579A2"/>
    <w:rsid w:val="00661A38"/>
    <w:rsid w:val="00665F7D"/>
    <w:rsid w:val="00667C89"/>
    <w:rsid w:val="006711EE"/>
    <w:rsid w:val="0067192C"/>
    <w:rsid w:val="006809BB"/>
    <w:rsid w:val="006809FD"/>
    <w:rsid w:val="006843AC"/>
    <w:rsid w:val="00691D1F"/>
    <w:rsid w:val="00693E55"/>
    <w:rsid w:val="00695B87"/>
    <w:rsid w:val="00697161"/>
    <w:rsid w:val="00697BAE"/>
    <w:rsid w:val="006A22E0"/>
    <w:rsid w:val="006A50BF"/>
    <w:rsid w:val="006B4DDC"/>
    <w:rsid w:val="006B5E55"/>
    <w:rsid w:val="006B75A4"/>
    <w:rsid w:val="006C3E46"/>
    <w:rsid w:val="006C40F8"/>
    <w:rsid w:val="006C4DA7"/>
    <w:rsid w:val="006C6B8A"/>
    <w:rsid w:val="006D25A1"/>
    <w:rsid w:val="006D2CA9"/>
    <w:rsid w:val="006D63C2"/>
    <w:rsid w:val="006E14E9"/>
    <w:rsid w:val="006F09A2"/>
    <w:rsid w:val="006F17FC"/>
    <w:rsid w:val="006F6856"/>
    <w:rsid w:val="006F7B18"/>
    <w:rsid w:val="00704F6B"/>
    <w:rsid w:val="00706113"/>
    <w:rsid w:val="00710202"/>
    <w:rsid w:val="00711B7E"/>
    <w:rsid w:val="007145D0"/>
    <w:rsid w:val="00716F94"/>
    <w:rsid w:val="00747527"/>
    <w:rsid w:val="0075436C"/>
    <w:rsid w:val="00760E12"/>
    <w:rsid w:val="007616D8"/>
    <w:rsid w:val="007627EF"/>
    <w:rsid w:val="00763CF3"/>
    <w:rsid w:val="0076436F"/>
    <w:rsid w:val="00772293"/>
    <w:rsid w:val="00772DB4"/>
    <w:rsid w:val="00776981"/>
    <w:rsid w:val="00781AE3"/>
    <w:rsid w:val="00783C75"/>
    <w:rsid w:val="00784619"/>
    <w:rsid w:val="00784ABF"/>
    <w:rsid w:val="0078627B"/>
    <w:rsid w:val="0078765B"/>
    <w:rsid w:val="007930B1"/>
    <w:rsid w:val="00794E32"/>
    <w:rsid w:val="007A0031"/>
    <w:rsid w:val="007A0D73"/>
    <w:rsid w:val="007B305A"/>
    <w:rsid w:val="007B54A9"/>
    <w:rsid w:val="007C6D5C"/>
    <w:rsid w:val="007D0798"/>
    <w:rsid w:val="007E211A"/>
    <w:rsid w:val="007E575D"/>
    <w:rsid w:val="007E66F3"/>
    <w:rsid w:val="007E6AEF"/>
    <w:rsid w:val="00803577"/>
    <w:rsid w:val="008101DC"/>
    <w:rsid w:val="00811792"/>
    <w:rsid w:val="00812256"/>
    <w:rsid w:val="00815C7D"/>
    <w:rsid w:val="00817941"/>
    <w:rsid w:val="00817986"/>
    <w:rsid w:val="008229E4"/>
    <w:rsid w:val="00823547"/>
    <w:rsid w:val="008261AB"/>
    <w:rsid w:val="008269AB"/>
    <w:rsid w:val="00832A28"/>
    <w:rsid w:val="00834C91"/>
    <w:rsid w:val="00835CA7"/>
    <w:rsid w:val="008370D4"/>
    <w:rsid w:val="00837264"/>
    <w:rsid w:val="008414AD"/>
    <w:rsid w:val="008428D9"/>
    <w:rsid w:val="0085007A"/>
    <w:rsid w:val="008505F3"/>
    <w:rsid w:val="0085446A"/>
    <w:rsid w:val="0087258D"/>
    <w:rsid w:val="00877F51"/>
    <w:rsid w:val="0088467A"/>
    <w:rsid w:val="00884DB9"/>
    <w:rsid w:val="0089236E"/>
    <w:rsid w:val="0089292A"/>
    <w:rsid w:val="0089725D"/>
    <w:rsid w:val="008A131C"/>
    <w:rsid w:val="008B47DC"/>
    <w:rsid w:val="008C1B86"/>
    <w:rsid w:val="008C67D2"/>
    <w:rsid w:val="008D7D28"/>
    <w:rsid w:val="008E03D4"/>
    <w:rsid w:val="008E0683"/>
    <w:rsid w:val="008E4F9E"/>
    <w:rsid w:val="008F3C6E"/>
    <w:rsid w:val="008F5320"/>
    <w:rsid w:val="00902DD9"/>
    <w:rsid w:val="00904121"/>
    <w:rsid w:val="00911486"/>
    <w:rsid w:val="009129CA"/>
    <w:rsid w:val="009206B6"/>
    <w:rsid w:val="00920B66"/>
    <w:rsid w:val="009252DC"/>
    <w:rsid w:val="009263C1"/>
    <w:rsid w:val="00941B4F"/>
    <w:rsid w:val="00943538"/>
    <w:rsid w:val="00943562"/>
    <w:rsid w:val="0094717A"/>
    <w:rsid w:val="009518C0"/>
    <w:rsid w:val="00956E28"/>
    <w:rsid w:val="00957E05"/>
    <w:rsid w:val="009624D6"/>
    <w:rsid w:val="00963CE3"/>
    <w:rsid w:val="00964583"/>
    <w:rsid w:val="00964F18"/>
    <w:rsid w:val="00965938"/>
    <w:rsid w:val="00965EA4"/>
    <w:rsid w:val="00966BC5"/>
    <w:rsid w:val="00972C2C"/>
    <w:rsid w:val="009735EE"/>
    <w:rsid w:val="00974424"/>
    <w:rsid w:val="00987F76"/>
    <w:rsid w:val="00993088"/>
    <w:rsid w:val="00995F84"/>
    <w:rsid w:val="0099664F"/>
    <w:rsid w:val="00997D5D"/>
    <w:rsid w:val="009A0447"/>
    <w:rsid w:val="009A1045"/>
    <w:rsid w:val="009A2CE5"/>
    <w:rsid w:val="009A5AAB"/>
    <w:rsid w:val="009B21FE"/>
    <w:rsid w:val="009B4A51"/>
    <w:rsid w:val="009C28B1"/>
    <w:rsid w:val="009C40A2"/>
    <w:rsid w:val="009C61AD"/>
    <w:rsid w:val="009D373D"/>
    <w:rsid w:val="009D3BBE"/>
    <w:rsid w:val="009D7B2C"/>
    <w:rsid w:val="009E0801"/>
    <w:rsid w:val="009E1D05"/>
    <w:rsid w:val="009E27FF"/>
    <w:rsid w:val="009E3C25"/>
    <w:rsid w:val="009F023D"/>
    <w:rsid w:val="009F7DE0"/>
    <w:rsid w:val="00A048C5"/>
    <w:rsid w:val="00A11B0C"/>
    <w:rsid w:val="00A13D55"/>
    <w:rsid w:val="00A225F4"/>
    <w:rsid w:val="00A33B35"/>
    <w:rsid w:val="00A33E90"/>
    <w:rsid w:val="00A350F5"/>
    <w:rsid w:val="00A36419"/>
    <w:rsid w:val="00A36AF8"/>
    <w:rsid w:val="00A44921"/>
    <w:rsid w:val="00A50DE0"/>
    <w:rsid w:val="00A56745"/>
    <w:rsid w:val="00A578C2"/>
    <w:rsid w:val="00A6145C"/>
    <w:rsid w:val="00A640BB"/>
    <w:rsid w:val="00A65E4B"/>
    <w:rsid w:val="00A72652"/>
    <w:rsid w:val="00A75D1C"/>
    <w:rsid w:val="00A809AA"/>
    <w:rsid w:val="00A849B3"/>
    <w:rsid w:val="00A8510D"/>
    <w:rsid w:val="00A86AF3"/>
    <w:rsid w:val="00A87F2C"/>
    <w:rsid w:val="00A90AFF"/>
    <w:rsid w:val="00A90BDC"/>
    <w:rsid w:val="00A95477"/>
    <w:rsid w:val="00A975A9"/>
    <w:rsid w:val="00A97EA3"/>
    <w:rsid w:val="00AA03B5"/>
    <w:rsid w:val="00AA3192"/>
    <w:rsid w:val="00AA68A8"/>
    <w:rsid w:val="00AB0486"/>
    <w:rsid w:val="00AB251E"/>
    <w:rsid w:val="00AB3608"/>
    <w:rsid w:val="00AB66C8"/>
    <w:rsid w:val="00AB6D1A"/>
    <w:rsid w:val="00AB7195"/>
    <w:rsid w:val="00AC5C48"/>
    <w:rsid w:val="00AC63E3"/>
    <w:rsid w:val="00AC710D"/>
    <w:rsid w:val="00AD2A75"/>
    <w:rsid w:val="00AD5388"/>
    <w:rsid w:val="00AF0376"/>
    <w:rsid w:val="00AF0CF4"/>
    <w:rsid w:val="00AF2252"/>
    <w:rsid w:val="00B00B12"/>
    <w:rsid w:val="00B02148"/>
    <w:rsid w:val="00B07E57"/>
    <w:rsid w:val="00B1129F"/>
    <w:rsid w:val="00B11D61"/>
    <w:rsid w:val="00B12F51"/>
    <w:rsid w:val="00B2751E"/>
    <w:rsid w:val="00B3650C"/>
    <w:rsid w:val="00B42C1B"/>
    <w:rsid w:val="00B47055"/>
    <w:rsid w:val="00B561CA"/>
    <w:rsid w:val="00B64BFA"/>
    <w:rsid w:val="00B65D93"/>
    <w:rsid w:val="00B6746A"/>
    <w:rsid w:val="00B71E63"/>
    <w:rsid w:val="00B75D93"/>
    <w:rsid w:val="00B85DE4"/>
    <w:rsid w:val="00B87AAD"/>
    <w:rsid w:val="00B91A31"/>
    <w:rsid w:val="00B975F7"/>
    <w:rsid w:val="00BA6C28"/>
    <w:rsid w:val="00BA6DB4"/>
    <w:rsid w:val="00BC3F3C"/>
    <w:rsid w:val="00BC5BB2"/>
    <w:rsid w:val="00BD09FE"/>
    <w:rsid w:val="00BD667A"/>
    <w:rsid w:val="00BE738E"/>
    <w:rsid w:val="00BF038D"/>
    <w:rsid w:val="00BF11A1"/>
    <w:rsid w:val="00BF218B"/>
    <w:rsid w:val="00BF3F54"/>
    <w:rsid w:val="00C00697"/>
    <w:rsid w:val="00C0376C"/>
    <w:rsid w:val="00C06D77"/>
    <w:rsid w:val="00C13232"/>
    <w:rsid w:val="00C14BA6"/>
    <w:rsid w:val="00C179EE"/>
    <w:rsid w:val="00C17BB4"/>
    <w:rsid w:val="00C238F3"/>
    <w:rsid w:val="00C25C86"/>
    <w:rsid w:val="00C30EB8"/>
    <w:rsid w:val="00C3485C"/>
    <w:rsid w:val="00C3614E"/>
    <w:rsid w:val="00C3652C"/>
    <w:rsid w:val="00C544A4"/>
    <w:rsid w:val="00C54555"/>
    <w:rsid w:val="00C65525"/>
    <w:rsid w:val="00C66E6A"/>
    <w:rsid w:val="00C768E5"/>
    <w:rsid w:val="00C7703B"/>
    <w:rsid w:val="00C8648C"/>
    <w:rsid w:val="00CA2004"/>
    <w:rsid w:val="00CA2A40"/>
    <w:rsid w:val="00CA3CC9"/>
    <w:rsid w:val="00CA5B99"/>
    <w:rsid w:val="00CB334D"/>
    <w:rsid w:val="00CB56D5"/>
    <w:rsid w:val="00CC498B"/>
    <w:rsid w:val="00CC4DA8"/>
    <w:rsid w:val="00CC52C5"/>
    <w:rsid w:val="00CD1EA8"/>
    <w:rsid w:val="00CE0FDA"/>
    <w:rsid w:val="00CE141F"/>
    <w:rsid w:val="00CE3324"/>
    <w:rsid w:val="00CE5304"/>
    <w:rsid w:val="00CE6020"/>
    <w:rsid w:val="00CF5ABD"/>
    <w:rsid w:val="00CF63CE"/>
    <w:rsid w:val="00CF727B"/>
    <w:rsid w:val="00D03F47"/>
    <w:rsid w:val="00D067C1"/>
    <w:rsid w:val="00D13B13"/>
    <w:rsid w:val="00D150A4"/>
    <w:rsid w:val="00D16E78"/>
    <w:rsid w:val="00D201D3"/>
    <w:rsid w:val="00D20CD6"/>
    <w:rsid w:val="00D26A64"/>
    <w:rsid w:val="00D32DB2"/>
    <w:rsid w:val="00D408E1"/>
    <w:rsid w:val="00D40FC1"/>
    <w:rsid w:val="00D43AB1"/>
    <w:rsid w:val="00D45ED8"/>
    <w:rsid w:val="00D50998"/>
    <w:rsid w:val="00D52B9A"/>
    <w:rsid w:val="00D53473"/>
    <w:rsid w:val="00D5367E"/>
    <w:rsid w:val="00D53B1E"/>
    <w:rsid w:val="00D57DA8"/>
    <w:rsid w:val="00D7116E"/>
    <w:rsid w:val="00D75750"/>
    <w:rsid w:val="00D83EF7"/>
    <w:rsid w:val="00D84EF0"/>
    <w:rsid w:val="00D861ED"/>
    <w:rsid w:val="00D873E0"/>
    <w:rsid w:val="00D90C65"/>
    <w:rsid w:val="00D94F8B"/>
    <w:rsid w:val="00D95AE7"/>
    <w:rsid w:val="00D95FBF"/>
    <w:rsid w:val="00D96C8F"/>
    <w:rsid w:val="00DA156C"/>
    <w:rsid w:val="00DA4E82"/>
    <w:rsid w:val="00DA5988"/>
    <w:rsid w:val="00DB4040"/>
    <w:rsid w:val="00DB7F78"/>
    <w:rsid w:val="00DC317C"/>
    <w:rsid w:val="00DC3EE3"/>
    <w:rsid w:val="00DC4FF2"/>
    <w:rsid w:val="00DC79CC"/>
    <w:rsid w:val="00DF0202"/>
    <w:rsid w:val="00E007DC"/>
    <w:rsid w:val="00E041EA"/>
    <w:rsid w:val="00E10D39"/>
    <w:rsid w:val="00E134F4"/>
    <w:rsid w:val="00E162E0"/>
    <w:rsid w:val="00E23330"/>
    <w:rsid w:val="00E23568"/>
    <w:rsid w:val="00E242FB"/>
    <w:rsid w:val="00E245B5"/>
    <w:rsid w:val="00E33256"/>
    <w:rsid w:val="00E33E1B"/>
    <w:rsid w:val="00E34A83"/>
    <w:rsid w:val="00E34D3E"/>
    <w:rsid w:val="00E42AB2"/>
    <w:rsid w:val="00E42C41"/>
    <w:rsid w:val="00E55BD3"/>
    <w:rsid w:val="00E67131"/>
    <w:rsid w:val="00E720E9"/>
    <w:rsid w:val="00E75F6F"/>
    <w:rsid w:val="00E770DE"/>
    <w:rsid w:val="00E81C5E"/>
    <w:rsid w:val="00E82571"/>
    <w:rsid w:val="00E83B3C"/>
    <w:rsid w:val="00E84634"/>
    <w:rsid w:val="00E84A3B"/>
    <w:rsid w:val="00E86DFF"/>
    <w:rsid w:val="00E8736B"/>
    <w:rsid w:val="00E90275"/>
    <w:rsid w:val="00E925D4"/>
    <w:rsid w:val="00E97226"/>
    <w:rsid w:val="00E975CF"/>
    <w:rsid w:val="00E97CDA"/>
    <w:rsid w:val="00EA1E4F"/>
    <w:rsid w:val="00EA2B44"/>
    <w:rsid w:val="00EA2F81"/>
    <w:rsid w:val="00EA33EF"/>
    <w:rsid w:val="00EA40B6"/>
    <w:rsid w:val="00EB03AB"/>
    <w:rsid w:val="00EB7400"/>
    <w:rsid w:val="00EC3D84"/>
    <w:rsid w:val="00EC4FFD"/>
    <w:rsid w:val="00EC5EFC"/>
    <w:rsid w:val="00EC63C7"/>
    <w:rsid w:val="00ED6252"/>
    <w:rsid w:val="00ED7612"/>
    <w:rsid w:val="00EE0FE6"/>
    <w:rsid w:val="00EE1E18"/>
    <w:rsid w:val="00EF33CD"/>
    <w:rsid w:val="00F00155"/>
    <w:rsid w:val="00F03CB5"/>
    <w:rsid w:val="00F12924"/>
    <w:rsid w:val="00F20C9B"/>
    <w:rsid w:val="00F300CB"/>
    <w:rsid w:val="00F327BF"/>
    <w:rsid w:val="00F3483C"/>
    <w:rsid w:val="00F42C3A"/>
    <w:rsid w:val="00F43ACE"/>
    <w:rsid w:val="00F45E7B"/>
    <w:rsid w:val="00F52BCC"/>
    <w:rsid w:val="00F5313F"/>
    <w:rsid w:val="00F6052B"/>
    <w:rsid w:val="00F733DF"/>
    <w:rsid w:val="00F7360E"/>
    <w:rsid w:val="00F75B1C"/>
    <w:rsid w:val="00F81A48"/>
    <w:rsid w:val="00FA3AA5"/>
    <w:rsid w:val="00FA6360"/>
    <w:rsid w:val="00FA63B7"/>
    <w:rsid w:val="00FA70B8"/>
    <w:rsid w:val="00FB62BC"/>
    <w:rsid w:val="00FB7A0A"/>
    <w:rsid w:val="00FC393B"/>
    <w:rsid w:val="00FD0B11"/>
    <w:rsid w:val="00FD17C9"/>
    <w:rsid w:val="00FD2A5B"/>
    <w:rsid w:val="00FE6A5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89292A"/>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link w:val="Heading2Char"/>
    <w:uiPriority w:val="9"/>
    <w:qFormat/>
    <w:rsid w:val="003C31C9"/>
    <w:pPr>
      <w:spacing w:before="225" w:after="150" w:line="240" w:lineRule="auto"/>
      <w:outlineLvl w:val="1"/>
    </w:pPr>
    <w:rPr>
      <w:rFonts w:ascii="Times New Roman" w:eastAsia="Times New Roman" w:hAnsi="Times New Roman" w:cs="Times New Roman"/>
      <w:b/>
      <w:bCs/>
      <w:color w:val="660000"/>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16F94"/>
    <w:pPr>
      <w:tabs>
        <w:tab w:val="center" w:pos="4680"/>
        <w:tab w:val="right" w:pos="9360"/>
      </w:tabs>
      <w:spacing w:after="0" w:line="240" w:lineRule="auto"/>
    </w:pPr>
  </w:style>
  <w:style w:type="character" w:customStyle="1" w:styleId="HeaderChar">
    <w:name w:val="Header Char"/>
    <w:basedOn w:val="DefaultParagraphFont"/>
    <w:link w:val="Header"/>
    <w:uiPriority w:val="99"/>
    <w:rsid w:val="00716F94"/>
  </w:style>
  <w:style w:type="paragraph" w:styleId="Footer">
    <w:name w:val="footer"/>
    <w:basedOn w:val="Normal"/>
    <w:link w:val="FooterChar"/>
    <w:uiPriority w:val="99"/>
    <w:unhideWhenUsed/>
    <w:rsid w:val="00716F94"/>
    <w:pPr>
      <w:tabs>
        <w:tab w:val="center" w:pos="4680"/>
        <w:tab w:val="right" w:pos="9360"/>
      </w:tabs>
      <w:spacing w:after="0" w:line="240" w:lineRule="auto"/>
    </w:pPr>
  </w:style>
  <w:style w:type="character" w:customStyle="1" w:styleId="FooterChar">
    <w:name w:val="Footer Char"/>
    <w:basedOn w:val="DefaultParagraphFont"/>
    <w:link w:val="Footer"/>
    <w:uiPriority w:val="99"/>
    <w:rsid w:val="00716F94"/>
  </w:style>
  <w:style w:type="character" w:styleId="Hyperlink">
    <w:name w:val="Hyperlink"/>
    <w:basedOn w:val="DefaultParagraphFont"/>
    <w:uiPriority w:val="99"/>
    <w:unhideWhenUsed/>
    <w:rsid w:val="00716F94"/>
    <w:rPr>
      <w:color w:val="0000FF" w:themeColor="hyperlink"/>
      <w:u w:val="single"/>
    </w:rPr>
  </w:style>
  <w:style w:type="paragraph" w:styleId="BalloonText">
    <w:name w:val="Balloon Text"/>
    <w:basedOn w:val="Normal"/>
    <w:link w:val="BalloonTextChar"/>
    <w:uiPriority w:val="99"/>
    <w:semiHidden/>
    <w:unhideWhenUsed/>
    <w:rsid w:val="00CD1EA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D1EA8"/>
    <w:rPr>
      <w:rFonts w:ascii="Tahoma" w:hAnsi="Tahoma" w:cs="Tahoma"/>
      <w:sz w:val="16"/>
      <w:szCs w:val="16"/>
    </w:rPr>
  </w:style>
  <w:style w:type="paragraph" w:styleId="ListParagraph">
    <w:name w:val="List Paragraph"/>
    <w:basedOn w:val="Normal"/>
    <w:uiPriority w:val="34"/>
    <w:qFormat/>
    <w:rsid w:val="00B12F51"/>
    <w:pPr>
      <w:ind w:left="720"/>
      <w:contextualSpacing/>
    </w:pPr>
  </w:style>
  <w:style w:type="table" w:styleId="TableGrid">
    <w:name w:val="Table Grid"/>
    <w:basedOn w:val="TableNormal"/>
    <w:uiPriority w:val="59"/>
    <w:rsid w:val="00BC5BB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3C31C9"/>
    <w:pPr>
      <w:autoSpaceDE w:val="0"/>
      <w:autoSpaceDN w:val="0"/>
      <w:adjustRightInd w:val="0"/>
      <w:spacing w:after="0" w:line="240" w:lineRule="auto"/>
    </w:pPr>
    <w:rPr>
      <w:rFonts w:ascii="Arial" w:eastAsia="Times New Roman" w:hAnsi="Arial" w:cs="Arial"/>
      <w:color w:val="000000"/>
      <w:sz w:val="24"/>
      <w:szCs w:val="24"/>
    </w:rPr>
  </w:style>
  <w:style w:type="paragraph" w:customStyle="1" w:styleId="CM89">
    <w:name w:val="CM89"/>
    <w:basedOn w:val="Default"/>
    <w:next w:val="Default"/>
    <w:uiPriority w:val="99"/>
    <w:rsid w:val="003C31C9"/>
    <w:rPr>
      <w:color w:val="auto"/>
    </w:rPr>
  </w:style>
  <w:style w:type="character" w:customStyle="1" w:styleId="Heading2Char">
    <w:name w:val="Heading 2 Char"/>
    <w:basedOn w:val="DefaultParagraphFont"/>
    <w:link w:val="Heading2"/>
    <w:uiPriority w:val="9"/>
    <w:rsid w:val="003C31C9"/>
    <w:rPr>
      <w:rFonts w:ascii="Times New Roman" w:eastAsia="Times New Roman" w:hAnsi="Times New Roman" w:cs="Times New Roman"/>
      <w:b/>
      <w:bCs/>
      <w:color w:val="660000"/>
      <w:sz w:val="32"/>
      <w:szCs w:val="32"/>
    </w:rPr>
  </w:style>
  <w:style w:type="paragraph" w:customStyle="1" w:styleId="B1BodyCopy">
    <w:name w:val="B1 Body Copy"/>
    <w:basedOn w:val="Normal"/>
    <w:qFormat/>
    <w:rsid w:val="009C61AD"/>
    <w:pPr>
      <w:spacing w:after="0"/>
    </w:pPr>
    <w:rPr>
      <w:rFonts w:ascii="Myriad Pro" w:eastAsia="Calibri" w:hAnsi="Myriad Pro" w:cs="Times New Roman"/>
      <w:color w:val="1F497D"/>
    </w:rPr>
  </w:style>
  <w:style w:type="paragraph" w:styleId="NormalWeb">
    <w:name w:val="Normal (Web)"/>
    <w:basedOn w:val="Normal"/>
    <w:uiPriority w:val="99"/>
    <w:semiHidden/>
    <w:unhideWhenUsed/>
    <w:rsid w:val="00166F9E"/>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166F9E"/>
    <w:rPr>
      <w:b/>
      <w:bCs/>
    </w:rPr>
  </w:style>
  <w:style w:type="character" w:styleId="CommentReference">
    <w:name w:val="annotation reference"/>
    <w:basedOn w:val="DefaultParagraphFont"/>
    <w:uiPriority w:val="99"/>
    <w:semiHidden/>
    <w:unhideWhenUsed/>
    <w:rsid w:val="000B0962"/>
    <w:rPr>
      <w:sz w:val="16"/>
      <w:szCs w:val="16"/>
    </w:rPr>
  </w:style>
  <w:style w:type="paragraph" w:styleId="CommentText">
    <w:name w:val="annotation text"/>
    <w:basedOn w:val="Normal"/>
    <w:link w:val="CommentTextChar"/>
    <w:unhideWhenUsed/>
    <w:rsid w:val="000B0962"/>
    <w:pPr>
      <w:spacing w:line="240" w:lineRule="auto"/>
    </w:pPr>
    <w:rPr>
      <w:sz w:val="20"/>
      <w:szCs w:val="20"/>
    </w:rPr>
  </w:style>
  <w:style w:type="character" w:customStyle="1" w:styleId="CommentTextChar">
    <w:name w:val="Comment Text Char"/>
    <w:basedOn w:val="DefaultParagraphFont"/>
    <w:link w:val="CommentText"/>
    <w:rsid w:val="000B0962"/>
    <w:rPr>
      <w:sz w:val="20"/>
      <w:szCs w:val="20"/>
    </w:rPr>
  </w:style>
  <w:style w:type="paragraph" w:styleId="CommentSubject">
    <w:name w:val="annotation subject"/>
    <w:basedOn w:val="CommentText"/>
    <w:next w:val="CommentText"/>
    <w:link w:val="CommentSubjectChar"/>
    <w:uiPriority w:val="99"/>
    <w:semiHidden/>
    <w:unhideWhenUsed/>
    <w:rsid w:val="000B0962"/>
    <w:rPr>
      <w:b/>
      <w:bCs/>
    </w:rPr>
  </w:style>
  <w:style w:type="character" w:customStyle="1" w:styleId="CommentSubjectChar">
    <w:name w:val="Comment Subject Char"/>
    <w:basedOn w:val="CommentTextChar"/>
    <w:link w:val="CommentSubject"/>
    <w:uiPriority w:val="99"/>
    <w:semiHidden/>
    <w:rsid w:val="000B0962"/>
    <w:rPr>
      <w:b/>
      <w:bCs/>
      <w:sz w:val="20"/>
      <w:szCs w:val="20"/>
    </w:rPr>
  </w:style>
  <w:style w:type="character" w:styleId="FollowedHyperlink">
    <w:name w:val="FollowedHyperlink"/>
    <w:basedOn w:val="DefaultParagraphFont"/>
    <w:uiPriority w:val="99"/>
    <w:semiHidden/>
    <w:unhideWhenUsed/>
    <w:rsid w:val="001E3F44"/>
    <w:rPr>
      <w:color w:val="800080" w:themeColor="followedHyperlink"/>
      <w:u w:val="single"/>
    </w:rPr>
  </w:style>
  <w:style w:type="character" w:customStyle="1" w:styleId="apple-converted-space">
    <w:name w:val="apple-converted-space"/>
    <w:basedOn w:val="DefaultParagraphFont"/>
    <w:rsid w:val="00DB4040"/>
  </w:style>
  <w:style w:type="character" w:customStyle="1" w:styleId="tp-label">
    <w:name w:val="tp-label"/>
    <w:basedOn w:val="DefaultParagraphFont"/>
    <w:rsid w:val="00503354"/>
  </w:style>
  <w:style w:type="character" w:customStyle="1" w:styleId="plugins">
    <w:name w:val="plugins"/>
    <w:basedOn w:val="DefaultParagraphFont"/>
    <w:rsid w:val="00503354"/>
  </w:style>
  <w:style w:type="character" w:customStyle="1" w:styleId="Heading1Char">
    <w:name w:val="Heading 1 Char"/>
    <w:basedOn w:val="DefaultParagraphFont"/>
    <w:link w:val="Heading1"/>
    <w:uiPriority w:val="9"/>
    <w:rsid w:val="0089292A"/>
    <w:rPr>
      <w:rFonts w:asciiTheme="majorHAnsi" w:eastAsiaTheme="majorEastAsia" w:hAnsiTheme="majorHAnsi" w:cstheme="majorBidi"/>
      <w:b/>
      <w:bCs/>
      <w:color w:val="365F91" w:themeColor="accent1" w:themeShade="BF"/>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89292A"/>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link w:val="Heading2Char"/>
    <w:uiPriority w:val="9"/>
    <w:qFormat/>
    <w:rsid w:val="003C31C9"/>
    <w:pPr>
      <w:spacing w:before="225" w:after="150" w:line="240" w:lineRule="auto"/>
      <w:outlineLvl w:val="1"/>
    </w:pPr>
    <w:rPr>
      <w:rFonts w:ascii="Times New Roman" w:eastAsia="Times New Roman" w:hAnsi="Times New Roman" w:cs="Times New Roman"/>
      <w:b/>
      <w:bCs/>
      <w:color w:val="660000"/>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16F94"/>
    <w:pPr>
      <w:tabs>
        <w:tab w:val="center" w:pos="4680"/>
        <w:tab w:val="right" w:pos="9360"/>
      </w:tabs>
      <w:spacing w:after="0" w:line="240" w:lineRule="auto"/>
    </w:pPr>
  </w:style>
  <w:style w:type="character" w:customStyle="1" w:styleId="HeaderChar">
    <w:name w:val="Header Char"/>
    <w:basedOn w:val="DefaultParagraphFont"/>
    <w:link w:val="Header"/>
    <w:uiPriority w:val="99"/>
    <w:rsid w:val="00716F94"/>
  </w:style>
  <w:style w:type="paragraph" w:styleId="Footer">
    <w:name w:val="footer"/>
    <w:basedOn w:val="Normal"/>
    <w:link w:val="FooterChar"/>
    <w:uiPriority w:val="99"/>
    <w:unhideWhenUsed/>
    <w:rsid w:val="00716F94"/>
    <w:pPr>
      <w:tabs>
        <w:tab w:val="center" w:pos="4680"/>
        <w:tab w:val="right" w:pos="9360"/>
      </w:tabs>
      <w:spacing w:after="0" w:line="240" w:lineRule="auto"/>
    </w:pPr>
  </w:style>
  <w:style w:type="character" w:customStyle="1" w:styleId="FooterChar">
    <w:name w:val="Footer Char"/>
    <w:basedOn w:val="DefaultParagraphFont"/>
    <w:link w:val="Footer"/>
    <w:uiPriority w:val="99"/>
    <w:rsid w:val="00716F94"/>
  </w:style>
  <w:style w:type="character" w:styleId="Hyperlink">
    <w:name w:val="Hyperlink"/>
    <w:basedOn w:val="DefaultParagraphFont"/>
    <w:uiPriority w:val="99"/>
    <w:unhideWhenUsed/>
    <w:rsid w:val="00716F94"/>
    <w:rPr>
      <w:color w:val="0000FF" w:themeColor="hyperlink"/>
      <w:u w:val="single"/>
    </w:rPr>
  </w:style>
  <w:style w:type="paragraph" w:styleId="BalloonText">
    <w:name w:val="Balloon Text"/>
    <w:basedOn w:val="Normal"/>
    <w:link w:val="BalloonTextChar"/>
    <w:uiPriority w:val="99"/>
    <w:semiHidden/>
    <w:unhideWhenUsed/>
    <w:rsid w:val="00CD1EA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D1EA8"/>
    <w:rPr>
      <w:rFonts w:ascii="Tahoma" w:hAnsi="Tahoma" w:cs="Tahoma"/>
      <w:sz w:val="16"/>
      <w:szCs w:val="16"/>
    </w:rPr>
  </w:style>
  <w:style w:type="paragraph" w:styleId="ListParagraph">
    <w:name w:val="List Paragraph"/>
    <w:basedOn w:val="Normal"/>
    <w:uiPriority w:val="34"/>
    <w:qFormat/>
    <w:rsid w:val="00B12F51"/>
    <w:pPr>
      <w:ind w:left="720"/>
      <w:contextualSpacing/>
    </w:pPr>
  </w:style>
  <w:style w:type="table" w:styleId="TableGrid">
    <w:name w:val="Table Grid"/>
    <w:basedOn w:val="TableNormal"/>
    <w:uiPriority w:val="59"/>
    <w:rsid w:val="00BC5BB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3C31C9"/>
    <w:pPr>
      <w:autoSpaceDE w:val="0"/>
      <w:autoSpaceDN w:val="0"/>
      <w:adjustRightInd w:val="0"/>
      <w:spacing w:after="0" w:line="240" w:lineRule="auto"/>
    </w:pPr>
    <w:rPr>
      <w:rFonts w:ascii="Arial" w:eastAsia="Times New Roman" w:hAnsi="Arial" w:cs="Arial"/>
      <w:color w:val="000000"/>
      <w:sz w:val="24"/>
      <w:szCs w:val="24"/>
    </w:rPr>
  </w:style>
  <w:style w:type="paragraph" w:customStyle="1" w:styleId="CM89">
    <w:name w:val="CM89"/>
    <w:basedOn w:val="Default"/>
    <w:next w:val="Default"/>
    <w:uiPriority w:val="99"/>
    <w:rsid w:val="003C31C9"/>
    <w:rPr>
      <w:color w:val="auto"/>
    </w:rPr>
  </w:style>
  <w:style w:type="character" w:customStyle="1" w:styleId="Heading2Char">
    <w:name w:val="Heading 2 Char"/>
    <w:basedOn w:val="DefaultParagraphFont"/>
    <w:link w:val="Heading2"/>
    <w:uiPriority w:val="9"/>
    <w:rsid w:val="003C31C9"/>
    <w:rPr>
      <w:rFonts w:ascii="Times New Roman" w:eastAsia="Times New Roman" w:hAnsi="Times New Roman" w:cs="Times New Roman"/>
      <w:b/>
      <w:bCs/>
      <w:color w:val="660000"/>
      <w:sz w:val="32"/>
      <w:szCs w:val="32"/>
    </w:rPr>
  </w:style>
  <w:style w:type="paragraph" w:customStyle="1" w:styleId="B1BodyCopy">
    <w:name w:val="B1 Body Copy"/>
    <w:basedOn w:val="Normal"/>
    <w:qFormat/>
    <w:rsid w:val="009C61AD"/>
    <w:pPr>
      <w:spacing w:after="0"/>
    </w:pPr>
    <w:rPr>
      <w:rFonts w:ascii="Myriad Pro" w:eastAsia="Calibri" w:hAnsi="Myriad Pro" w:cs="Times New Roman"/>
      <w:color w:val="1F497D"/>
    </w:rPr>
  </w:style>
  <w:style w:type="paragraph" w:styleId="NormalWeb">
    <w:name w:val="Normal (Web)"/>
    <w:basedOn w:val="Normal"/>
    <w:uiPriority w:val="99"/>
    <w:semiHidden/>
    <w:unhideWhenUsed/>
    <w:rsid w:val="00166F9E"/>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166F9E"/>
    <w:rPr>
      <w:b/>
      <w:bCs/>
    </w:rPr>
  </w:style>
  <w:style w:type="character" w:styleId="CommentReference">
    <w:name w:val="annotation reference"/>
    <w:basedOn w:val="DefaultParagraphFont"/>
    <w:uiPriority w:val="99"/>
    <w:semiHidden/>
    <w:unhideWhenUsed/>
    <w:rsid w:val="000B0962"/>
    <w:rPr>
      <w:sz w:val="16"/>
      <w:szCs w:val="16"/>
    </w:rPr>
  </w:style>
  <w:style w:type="paragraph" w:styleId="CommentText">
    <w:name w:val="annotation text"/>
    <w:basedOn w:val="Normal"/>
    <w:link w:val="CommentTextChar"/>
    <w:unhideWhenUsed/>
    <w:rsid w:val="000B0962"/>
    <w:pPr>
      <w:spacing w:line="240" w:lineRule="auto"/>
    </w:pPr>
    <w:rPr>
      <w:sz w:val="20"/>
      <w:szCs w:val="20"/>
    </w:rPr>
  </w:style>
  <w:style w:type="character" w:customStyle="1" w:styleId="CommentTextChar">
    <w:name w:val="Comment Text Char"/>
    <w:basedOn w:val="DefaultParagraphFont"/>
    <w:link w:val="CommentText"/>
    <w:rsid w:val="000B0962"/>
    <w:rPr>
      <w:sz w:val="20"/>
      <w:szCs w:val="20"/>
    </w:rPr>
  </w:style>
  <w:style w:type="paragraph" w:styleId="CommentSubject">
    <w:name w:val="annotation subject"/>
    <w:basedOn w:val="CommentText"/>
    <w:next w:val="CommentText"/>
    <w:link w:val="CommentSubjectChar"/>
    <w:uiPriority w:val="99"/>
    <w:semiHidden/>
    <w:unhideWhenUsed/>
    <w:rsid w:val="000B0962"/>
    <w:rPr>
      <w:b/>
      <w:bCs/>
    </w:rPr>
  </w:style>
  <w:style w:type="character" w:customStyle="1" w:styleId="CommentSubjectChar">
    <w:name w:val="Comment Subject Char"/>
    <w:basedOn w:val="CommentTextChar"/>
    <w:link w:val="CommentSubject"/>
    <w:uiPriority w:val="99"/>
    <w:semiHidden/>
    <w:rsid w:val="000B0962"/>
    <w:rPr>
      <w:b/>
      <w:bCs/>
      <w:sz w:val="20"/>
      <w:szCs w:val="20"/>
    </w:rPr>
  </w:style>
  <w:style w:type="character" w:styleId="FollowedHyperlink">
    <w:name w:val="FollowedHyperlink"/>
    <w:basedOn w:val="DefaultParagraphFont"/>
    <w:uiPriority w:val="99"/>
    <w:semiHidden/>
    <w:unhideWhenUsed/>
    <w:rsid w:val="001E3F44"/>
    <w:rPr>
      <w:color w:val="800080" w:themeColor="followedHyperlink"/>
      <w:u w:val="single"/>
    </w:rPr>
  </w:style>
  <w:style w:type="character" w:customStyle="1" w:styleId="apple-converted-space">
    <w:name w:val="apple-converted-space"/>
    <w:basedOn w:val="DefaultParagraphFont"/>
    <w:rsid w:val="00DB4040"/>
  </w:style>
  <w:style w:type="character" w:customStyle="1" w:styleId="tp-label">
    <w:name w:val="tp-label"/>
    <w:basedOn w:val="DefaultParagraphFont"/>
    <w:rsid w:val="00503354"/>
  </w:style>
  <w:style w:type="character" w:customStyle="1" w:styleId="plugins">
    <w:name w:val="plugins"/>
    <w:basedOn w:val="DefaultParagraphFont"/>
    <w:rsid w:val="00503354"/>
  </w:style>
  <w:style w:type="character" w:customStyle="1" w:styleId="Heading1Char">
    <w:name w:val="Heading 1 Char"/>
    <w:basedOn w:val="DefaultParagraphFont"/>
    <w:link w:val="Heading1"/>
    <w:uiPriority w:val="9"/>
    <w:rsid w:val="0089292A"/>
    <w:rPr>
      <w:rFonts w:asciiTheme="majorHAnsi" w:eastAsiaTheme="majorEastAsia" w:hAnsiTheme="majorHAnsi" w:cstheme="majorBidi"/>
      <w:b/>
      <w:bCs/>
      <w:color w:val="365F91" w:themeColor="accent1" w:themeShade="BF"/>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5322774">
      <w:bodyDiv w:val="1"/>
      <w:marLeft w:val="0"/>
      <w:marRight w:val="0"/>
      <w:marTop w:val="0"/>
      <w:marBottom w:val="0"/>
      <w:divBdr>
        <w:top w:val="none" w:sz="0" w:space="0" w:color="auto"/>
        <w:left w:val="none" w:sz="0" w:space="0" w:color="auto"/>
        <w:bottom w:val="none" w:sz="0" w:space="0" w:color="auto"/>
        <w:right w:val="none" w:sz="0" w:space="0" w:color="auto"/>
      </w:divBdr>
    </w:div>
    <w:div w:id="417025503">
      <w:bodyDiv w:val="1"/>
      <w:marLeft w:val="0"/>
      <w:marRight w:val="0"/>
      <w:marTop w:val="0"/>
      <w:marBottom w:val="0"/>
      <w:divBdr>
        <w:top w:val="none" w:sz="0" w:space="0" w:color="auto"/>
        <w:left w:val="none" w:sz="0" w:space="0" w:color="auto"/>
        <w:bottom w:val="none" w:sz="0" w:space="0" w:color="auto"/>
        <w:right w:val="none" w:sz="0" w:space="0" w:color="auto"/>
      </w:divBdr>
    </w:div>
    <w:div w:id="964241416">
      <w:bodyDiv w:val="1"/>
      <w:marLeft w:val="0"/>
      <w:marRight w:val="0"/>
      <w:marTop w:val="0"/>
      <w:marBottom w:val="0"/>
      <w:divBdr>
        <w:top w:val="none" w:sz="0" w:space="0" w:color="auto"/>
        <w:left w:val="none" w:sz="0" w:space="0" w:color="auto"/>
        <w:bottom w:val="none" w:sz="0" w:space="0" w:color="auto"/>
        <w:right w:val="none" w:sz="0" w:space="0" w:color="auto"/>
      </w:divBdr>
    </w:div>
    <w:div w:id="1245215135">
      <w:bodyDiv w:val="1"/>
      <w:marLeft w:val="0"/>
      <w:marRight w:val="0"/>
      <w:marTop w:val="0"/>
      <w:marBottom w:val="0"/>
      <w:divBdr>
        <w:top w:val="none" w:sz="0" w:space="0" w:color="auto"/>
        <w:left w:val="none" w:sz="0" w:space="0" w:color="auto"/>
        <w:bottom w:val="none" w:sz="0" w:space="0" w:color="auto"/>
        <w:right w:val="none" w:sz="0" w:space="0" w:color="auto"/>
      </w:divBdr>
    </w:div>
    <w:div w:id="1556232561">
      <w:bodyDiv w:val="1"/>
      <w:marLeft w:val="0"/>
      <w:marRight w:val="0"/>
      <w:marTop w:val="0"/>
      <w:marBottom w:val="0"/>
      <w:divBdr>
        <w:top w:val="none" w:sz="0" w:space="0" w:color="auto"/>
        <w:left w:val="none" w:sz="0" w:space="0" w:color="auto"/>
        <w:bottom w:val="none" w:sz="0" w:space="0" w:color="auto"/>
        <w:right w:val="none" w:sz="0" w:space="0" w:color="auto"/>
      </w:divBdr>
    </w:div>
    <w:div w:id="1721633455">
      <w:bodyDiv w:val="1"/>
      <w:marLeft w:val="0"/>
      <w:marRight w:val="0"/>
      <w:marTop w:val="0"/>
      <w:marBottom w:val="0"/>
      <w:divBdr>
        <w:top w:val="none" w:sz="0" w:space="0" w:color="auto"/>
        <w:left w:val="none" w:sz="0" w:space="0" w:color="auto"/>
        <w:bottom w:val="none" w:sz="0" w:space="0" w:color="auto"/>
        <w:right w:val="none" w:sz="0" w:space="0" w:color="auto"/>
      </w:divBdr>
    </w:div>
    <w:div w:id="1742173681">
      <w:bodyDiv w:val="1"/>
      <w:marLeft w:val="0"/>
      <w:marRight w:val="0"/>
      <w:marTop w:val="0"/>
      <w:marBottom w:val="0"/>
      <w:divBdr>
        <w:top w:val="none" w:sz="0" w:space="0" w:color="auto"/>
        <w:left w:val="none" w:sz="0" w:space="0" w:color="auto"/>
        <w:bottom w:val="none" w:sz="0" w:space="0" w:color="auto"/>
        <w:right w:val="none" w:sz="0" w:space="0" w:color="auto"/>
      </w:divBdr>
    </w:div>
    <w:div w:id="1743135191">
      <w:bodyDiv w:val="1"/>
      <w:marLeft w:val="0"/>
      <w:marRight w:val="0"/>
      <w:marTop w:val="0"/>
      <w:marBottom w:val="0"/>
      <w:divBdr>
        <w:top w:val="none" w:sz="0" w:space="0" w:color="auto"/>
        <w:left w:val="none" w:sz="0" w:space="0" w:color="auto"/>
        <w:bottom w:val="none" w:sz="0" w:space="0" w:color="auto"/>
        <w:right w:val="none" w:sz="0" w:space="0" w:color="auto"/>
      </w:divBdr>
    </w:div>
    <w:div w:id="1758012979">
      <w:bodyDiv w:val="1"/>
      <w:marLeft w:val="0"/>
      <w:marRight w:val="0"/>
      <w:marTop w:val="0"/>
      <w:marBottom w:val="0"/>
      <w:divBdr>
        <w:top w:val="none" w:sz="0" w:space="0" w:color="auto"/>
        <w:left w:val="none" w:sz="0" w:space="0" w:color="auto"/>
        <w:bottom w:val="none" w:sz="0" w:space="0" w:color="auto"/>
        <w:right w:val="none" w:sz="0" w:space="0" w:color="auto"/>
      </w:divBdr>
    </w:div>
    <w:div w:id="19704297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privatewellclass.org/Resources/tabid/124/Default.aspx"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conservancy.umn.edu/bitstream/58540/1/poster.pdf"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http://www.bls.gov/ncs/ocs/sp/nctb1349.pdf" TargetMode="External"/><Relationship Id="rId4" Type="http://schemas.microsoft.com/office/2007/relationships/stylesWithEffects" Target="stylesWithEffects.xml"/><Relationship Id="rId9" Type="http://schemas.openxmlformats.org/officeDocument/2006/relationships/hyperlink" Target="mailto:Aos9@cdc.gov"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DF0C3F2-F224-424F-95DB-53F91CCA7C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60</TotalTime>
  <Pages>10</Pages>
  <Words>3668</Words>
  <Characters>20911</Characters>
  <Application>Microsoft Office Word</Application>
  <DocSecurity>0</DocSecurity>
  <Lines>174</Lines>
  <Paragraphs>49</Paragraphs>
  <ScaleCrop>false</ScaleCrop>
  <HeadingPairs>
    <vt:vector size="2" baseType="variant">
      <vt:variant>
        <vt:lpstr>Title</vt:lpstr>
      </vt:variant>
      <vt:variant>
        <vt:i4>1</vt:i4>
      </vt:variant>
    </vt:vector>
  </HeadingPairs>
  <TitlesOfParts>
    <vt:vector size="1" baseType="lpstr">
      <vt:lpstr/>
    </vt:vector>
  </TitlesOfParts>
  <Company>CDC</Company>
  <LinksUpToDate>false</LinksUpToDate>
  <CharactersWithSpaces>24530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gel2</dc:creator>
  <cp:lastModifiedBy>CDC User</cp:lastModifiedBy>
  <cp:revision>8</cp:revision>
  <cp:lastPrinted>2014-02-04T20:11:00Z</cp:lastPrinted>
  <dcterms:created xsi:type="dcterms:W3CDTF">2014-05-12T15:50:00Z</dcterms:created>
  <dcterms:modified xsi:type="dcterms:W3CDTF">2014-05-12T20:57:00Z</dcterms:modified>
</cp:coreProperties>
</file>