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59" w:rsidRDefault="00EA5259" w:rsidP="00AB4B8D">
      <w:pPr>
        <w:spacing w:after="0"/>
        <w:jc w:val="center"/>
        <w:rPr>
          <w:rFonts w:asciiTheme="majorHAnsi" w:hAnsiTheme="majorHAnsi"/>
          <w:b/>
          <w:sz w:val="40"/>
        </w:rPr>
      </w:pPr>
      <w:bookmarkStart w:id="0" w:name="_GoBack"/>
      <w:bookmarkEnd w:id="0"/>
    </w:p>
    <w:p w:rsidR="00EA5259" w:rsidRDefault="00EA5259" w:rsidP="00AB4B8D">
      <w:pPr>
        <w:spacing w:after="0"/>
        <w:jc w:val="center"/>
        <w:rPr>
          <w:rFonts w:asciiTheme="majorHAnsi" w:hAnsiTheme="majorHAnsi"/>
          <w:b/>
          <w:sz w:val="40"/>
        </w:rPr>
      </w:pPr>
    </w:p>
    <w:p w:rsidR="006F4A19" w:rsidRDefault="006F4A19" w:rsidP="00AB4B8D">
      <w:pPr>
        <w:spacing w:after="0"/>
        <w:jc w:val="center"/>
        <w:rPr>
          <w:rFonts w:asciiTheme="majorHAnsi" w:hAnsiTheme="majorHAnsi"/>
          <w:b/>
          <w:sz w:val="40"/>
        </w:rPr>
      </w:pPr>
    </w:p>
    <w:p w:rsidR="006F4A19" w:rsidRDefault="006F4A19" w:rsidP="00AB4B8D">
      <w:pPr>
        <w:spacing w:after="0"/>
        <w:jc w:val="center"/>
        <w:rPr>
          <w:rFonts w:asciiTheme="majorHAnsi" w:hAnsiTheme="majorHAnsi"/>
          <w:b/>
          <w:sz w:val="40"/>
        </w:rPr>
      </w:pPr>
    </w:p>
    <w:p w:rsidR="004C7905" w:rsidRPr="00114B64" w:rsidRDefault="004C7905" w:rsidP="00AB4B8D">
      <w:pPr>
        <w:spacing w:after="0"/>
        <w:jc w:val="center"/>
        <w:rPr>
          <w:rFonts w:asciiTheme="majorHAnsi" w:hAnsiTheme="majorHAnsi"/>
          <w:b/>
          <w:sz w:val="40"/>
        </w:rPr>
      </w:pPr>
      <w:r>
        <w:rPr>
          <w:rFonts w:asciiTheme="majorHAnsi" w:hAnsiTheme="majorHAnsi"/>
          <w:b/>
          <w:sz w:val="40"/>
        </w:rPr>
        <w:t>Access to Electronic Health Record Data</w:t>
      </w:r>
      <w:r w:rsidR="00E92DFA">
        <w:rPr>
          <w:rFonts w:asciiTheme="majorHAnsi" w:hAnsiTheme="majorHAnsi"/>
          <w:b/>
          <w:sz w:val="40"/>
        </w:rPr>
        <w:t xml:space="preserve"> </w:t>
      </w:r>
      <w:r w:rsidR="00DB77E1">
        <w:rPr>
          <w:rFonts w:asciiTheme="majorHAnsi" w:hAnsiTheme="majorHAnsi"/>
          <w:b/>
          <w:sz w:val="40"/>
        </w:rPr>
        <w:t>during</w:t>
      </w:r>
      <w:r w:rsidR="00DF7761">
        <w:rPr>
          <w:rFonts w:asciiTheme="majorHAnsi" w:hAnsiTheme="majorHAnsi"/>
          <w:b/>
          <w:sz w:val="40"/>
        </w:rPr>
        <w:t xml:space="preserve"> an Outbreak</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280766" w:rsidRDefault="00280766"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280766">
        <w:rPr>
          <w:rFonts w:asciiTheme="majorHAnsi" w:hAnsiTheme="majorHAnsi"/>
        </w:rPr>
        <w:t>April 15</w:t>
      </w:r>
      <w:r w:rsidR="005B4641">
        <w:rPr>
          <w:rFonts w:asciiTheme="majorHAnsi" w:hAnsiTheme="majorHAnsi"/>
        </w:rPr>
        <w:t>, 2014</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280766" w:rsidRDefault="00280766" w:rsidP="00716F94">
      <w:pPr>
        <w:spacing w:after="0"/>
        <w:rPr>
          <w:rFonts w:asciiTheme="majorHAnsi" w:hAnsiTheme="majorHAnsi"/>
          <w:b/>
          <w:u w:val="single"/>
        </w:rPr>
      </w:pPr>
    </w:p>
    <w:p w:rsidR="00280766" w:rsidRDefault="00280766" w:rsidP="00716F94">
      <w:pPr>
        <w:spacing w:after="0"/>
        <w:rPr>
          <w:rFonts w:asciiTheme="majorHAnsi" w:hAnsiTheme="majorHAnsi"/>
          <w:b/>
          <w:u w:val="single"/>
        </w:rPr>
      </w:pPr>
    </w:p>
    <w:p w:rsidR="00280766" w:rsidRDefault="00280766" w:rsidP="00716F94">
      <w:pPr>
        <w:spacing w:after="0"/>
        <w:rPr>
          <w:rFonts w:asciiTheme="majorHAnsi" w:hAnsiTheme="majorHAnsi"/>
          <w:b/>
          <w:u w:val="single"/>
        </w:rPr>
      </w:pPr>
    </w:p>
    <w:p w:rsidR="00280766" w:rsidRDefault="00280766" w:rsidP="00716F94">
      <w:pPr>
        <w:spacing w:after="0"/>
        <w:rPr>
          <w:rFonts w:asciiTheme="majorHAnsi" w:hAnsiTheme="majorHAnsi"/>
          <w:b/>
          <w:u w:val="single"/>
        </w:rPr>
      </w:pPr>
    </w:p>
    <w:p w:rsidR="00280766" w:rsidRDefault="00280766" w:rsidP="00716F94">
      <w:pPr>
        <w:spacing w:after="0"/>
        <w:rPr>
          <w:rFonts w:asciiTheme="majorHAnsi" w:hAnsiTheme="majorHAnsi"/>
          <w:b/>
          <w:u w:val="single"/>
        </w:rPr>
      </w:pPr>
    </w:p>
    <w:p w:rsidR="00280766" w:rsidRDefault="00280766" w:rsidP="00716F94">
      <w:pPr>
        <w:spacing w:after="0"/>
        <w:rPr>
          <w:rFonts w:asciiTheme="majorHAnsi" w:hAnsiTheme="majorHAnsi"/>
          <w:b/>
          <w:u w:val="single"/>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343624" w:rsidRPr="00114B64" w:rsidRDefault="00343624" w:rsidP="00343624">
      <w:pPr>
        <w:spacing w:after="0" w:line="240" w:lineRule="auto"/>
        <w:rPr>
          <w:rFonts w:asciiTheme="majorHAnsi" w:hAnsiTheme="majorHAnsi" w:cs="Times New Roman"/>
          <w:bCs/>
        </w:rPr>
      </w:pPr>
      <w:r w:rsidRPr="00114B64">
        <w:rPr>
          <w:rFonts w:asciiTheme="majorHAnsi" w:hAnsiTheme="majorHAnsi"/>
        </w:rPr>
        <w:t>Elizabeth Mothershed, Deputy Director for Policy</w:t>
      </w:r>
      <w:r w:rsidR="005229FF">
        <w:rPr>
          <w:rFonts w:asciiTheme="majorHAnsi" w:hAnsiTheme="majorHAnsi"/>
        </w:rPr>
        <w:t xml:space="preserve"> (Acting)</w:t>
      </w:r>
      <w:r w:rsidRPr="00114B64">
        <w:rPr>
          <w:rFonts w:asciiTheme="majorHAnsi" w:hAnsiTheme="majorHAnsi"/>
        </w:rPr>
        <w:t xml:space="preserve"> </w:t>
      </w:r>
    </w:p>
    <w:p w:rsidR="00343624" w:rsidRPr="00114B64" w:rsidRDefault="00343624" w:rsidP="00343624">
      <w:pPr>
        <w:spacing w:after="0" w:line="240" w:lineRule="auto"/>
        <w:rPr>
          <w:rFonts w:asciiTheme="majorHAnsi" w:hAnsiTheme="majorHAnsi" w:cs="Times New Roman"/>
        </w:rPr>
      </w:pPr>
      <w:r w:rsidRPr="00114B64">
        <w:rPr>
          <w:rFonts w:asciiTheme="majorHAnsi" w:hAnsiTheme="majorHAnsi" w:cs="Times New Roman"/>
        </w:rPr>
        <w:t>Centers for Disease Control and Prevention</w:t>
      </w:r>
    </w:p>
    <w:p w:rsidR="00343624" w:rsidRPr="00114B64" w:rsidRDefault="00343624" w:rsidP="00343624">
      <w:pPr>
        <w:spacing w:after="0" w:line="240" w:lineRule="auto"/>
        <w:rPr>
          <w:rFonts w:asciiTheme="majorHAnsi" w:hAnsiTheme="majorHAnsi" w:cs="Times New Roman"/>
        </w:rPr>
      </w:pPr>
      <w:r w:rsidRPr="00114B64">
        <w:rPr>
          <w:rFonts w:asciiTheme="majorHAnsi" w:hAnsiTheme="majorHAnsi" w:cs="Times New Roman"/>
        </w:rPr>
        <w:t xml:space="preserve">Division of Healthcare Quality and Promotion </w:t>
      </w:r>
    </w:p>
    <w:p w:rsidR="00343624" w:rsidRPr="00114B64" w:rsidRDefault="00343624" w:rsidP="00343624">
      <w:pPr>
        <w:spacing w:after="0" w:line="240" w:lineRule="auto"/>
        <w:rPr>
          <w:rFonts w:asciiTheme="majorHAnsi" w:hAnsiTheme="majorHAnsi" w:cs="Times New Roman"/>
        </w:rPr>
      </w:pPr>
      <w:r w:rsidRPr="00114B64">
        <w:rPr>
          <w:rFonts w:asciiTheme="majorHAnsi" w:hAnsiTheme="majorHAnsi" w:cs="Times New Roman"/>
        </w:rPr>
        <w:t>1600 Clifton Rd, Mailstop A07, Atlanta, GA 30333</w:t>
      </w:r>
    </w:p>
    <w:p w:rsidR="00343624" w:rsidRPr="00114B64" w:rsidRDefault="00343624" w:rsidP="00343624">
      <w:pPr>
        <w:spacing w:after="0" w:line="240" w:lineRule="auto"/>
        <w:rPr>
          <w:rFonts w:asciiTheme="majorHAnsi" w:hAnsiTheme="majorHAnsi" w:cs="Times New Roman"/>
        </w:rPr>
      </w:pPr>
      <w:r w:rsidRPr="00114B64">
        <w:rPr>
          <w:rFonts w:asciiTheme="majorHAnsi" w:hAnsiTheme="majorHAnsi" w:cs="Times New Roman"/>
        </w:rPr>
        <w:t>Phone: 404-639-4780</w:t>
      </w:r>
    </w:p>
    <w:p w:rsidR="00343624" w:rsidRPr="00114B64" w:rsidRDefault="00343624" w:rsidP="00343624">
      <w:pPr>
        <w:spacing w:after="0" w:line="240" w:lineRule="auto"/>
        <w:rPr>
          <w:rFonts w:asciiTheme="majorHAnsi" w:hAnsiTheme="majorHAnsi" w:cs="Times New Roman"/>
        </w:rPr>
      </w:pPr>
      <w:r w:rsidRPr="00114B64">
        <w:rPr>
          <w:rFonts w:asciiTheme="majorHAnsi" w:hAnsiTheme="majorHAnsi" w:cs="Times New Roman"/>
        </w:rPr>
        <w:t xml:space="preserve">Email: </w:t>
      </w:r>
      <w:hyperlink r:id="rId9" w:history="1">
        <w:r w:rsidRPr="00114B64">
          <w:rPr>
            <w:rStyle w:val="Hyperlink"/>
            <w:rFonts w:asciiTheme="majorHAnsi" w:hAnsiTheme="majorHAnsi" w:cs="Times New Roman"/>
          </w:rPr>
          <w:t>emothershed@cdc.gov</w:t>
        </w:r>
      </w:hyperlink>
    </w:p>
    <w:p w:rsidR="005B4641" w:rsidRPr="00DF7761" w:rsidRDefault="00343624" w:rsidP="00DF7761">
      <w:pPr>
        <w:spacing w:after="0" w:line="240" w:lineRule="auto"/>
        <w:rPr>
          <w:rFonts w:asciiTheme="majorHAnsi" w:hAnsiTheme="majorHAnsi" w:cs="Times New Roman"/>
        </w:rPr>
      </w:pPr>
      <w:r w:rsidRPr="00114B64">
        <w:rPr>
          <w:rFonts w:asciiTheme="majorHAnsi" w:hAnsiTheme="majorHAnsi" w:cs="Times New Roman"/>
        </w:rPr>
        <w:t>Fax: 404-639-4043</w:t>
      </w:r>
    </w:p>
    <w:p w:rsidR="005B4641" w:rsidRDefault="005B4641" w:rsidP="00B12F51">
      <w:pPr>
        <w:spacing w:after="0"/>
        <w:rPr>
          <w:rFonts w:asciiTheme="majorHAnsi" w:hAnsiTheme="majorHAnsi"/>
        </w:rPr>
      </w:pPr>
    </w:p>
    <w:p w:rsidR="00280766" w:rsidRDefault="00280766" w:rsidP="00B12F51">
      <w:pPr>
        <w:spacing w:after="0"/>
        <w:rPr>
          <w:rFonts w:asciiTheme="majorHAnsi" w:hAnsiTheme="majorHAnsi"/>
        </w:rPr>
      </w:pPr>
    </w:p>
    <w:p w:rsidR="00280766" w:rsidRDefault="00280766" w:rsidP="00B12F51">
      <w:pPr>
        <w:spacing w:after="0"/>
        <w:rPr>
          <w:rFonts w:asciiTheme="majorHAnsi" w:hAnsiTheme="majorHAnsi"/>
        </w:rPr>
      </w:pPr>
    </w:p>
    <w:p w:rsidR="00280766" w:rsidRDefault="00280766" w:rsidP="00B12F51">
      <w:pPr>
        <w:spacing w:after="0"/>
        <w:rPr>
          <w:rFonts w:asciiTheme="majorHAnsi" w:hAnsiTheme="majorHAnsi"/>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D81D9E">
      <w:pPr>
        <w:pStyle w:val="ListParagraph"/>
        <w:numPr>
          <w:ilvl w:val="0"/>
          <w:numId w:val="3"/>
        </w:numPr>
        <w:spacing w:after="0"/>
        <w:ind w:left="36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BF76E6" w:rsidRPr="0074660E" w:rsidRDefault="005B4641" w:rsidP="0074660E">
      <w:pPr>
        <w:pStyle w:val="ListParagraph"/>
        <w:spacing w:after="0"/>
        <w:ind w:left="360"/>
        <w:rPr>
          <w:rFonts w:asciiTheme="majorHAnsi" w:hAnsiTheme="majorHAnsi"/>
        </w:rPr>
      </w:pPr>
      <w:r w:rsidRPr="00303E59">
        <w:rPr>
          <w:rFonts w:asciiTheme="majorHAnsi" w:hAnsiTheme="majorHAnsi"/>
        </w:rPr>
        <w:t xml:space="preserve">We will be requesting participation from the following </w:t>
      </w:r>
      <w:r w:rsidR="00035CB2">
        <w:rPr>
          <w:rFonts w:asciiTheme="majorHAnsi" w:hAnsiTheme="majorHAnsi"/>
        </w:rPr>
        <w:t>75</w:t>
      </w:r>
      <w:r w:rsidR="006F3285">
        <w:rPr>
          <w:rFonts w:asciiTheme="majorHAnsi" w:hAnsiTheme="majorHAnsi"/>
        </w:rPr>
        <w:t xml:space="preserve"> key stakeholders in state</w:t>
      </w:r>
      <w:r w:rsidR="00E065F8">
        <w:rPr>
          <w:rFonts w:asciiTheme="majorHAnsi" w:hAnsiTheme="majorHAnsi"/>
        </w:rPr>
        <w:t>s</w:t>
      </w:r>
      <w:r w:rsidR="006F3285">
        <w:rPr>
          <w:rFonts w:asciiTheme="majorHAnsi" w:hAnsiTheme="majorHAnsi"/>
        </w:rPr>
        <w:t xml:space="preserve"> </w:t>
      </w:r>
      <w:r w:rsidRPr="00303E59">
        <w:rPr>
          <w:rFonts w:asciiTheme="majorHAnsi" w:hAnsiTheme="majorHAnsi"/>
        </w:rPr>
        <w:t>in their official capacities</w:t>
      </w:r>
      <w:r>
        <w:rPr>
          <w:rFonts w:asciiTheme="majorHAnsi" w:hAnsiTheme="majorHAnsi"/>
        </w:rPr>
        <w:t xml:space="preserve">: </w:t>
      </w:r>
      <w:r w:rsidR="006F3285">
        <w:rPr>
          <w:rFonts w:asciiTheme="majorHAnsi" w:hAnsiTheme="majorHAnsi"/>
        </w:rPr>
        <w:t xml:space="preserve">two </w:t>
      </w:r>
      <w:r w:rsidRPr="00BD4FA7">
        <w:rPr>
          <w:rFonts w:asciiTheme="majorHAnsi" w:hAnsiTheme="majorHAnsi"/>
        </w:rPr>
        <w:t xml:space="preserve">healthcare associated infection (HAI) coordinators, </w:t>
      </w:r>
      <w:r w:rsidR="006F3285">
        <w:rPr>
          <w:rFonts w:asciiTheme="majorHAnsi" w:hAnsiTheme="majorHAnsi"/>
        </w:rPr>
        <w:t xml:space="preserve">one </w:t>
      </w:r>
      <w:r w:rsidR="00E065F8">
        <w:rPr>
          <w:rFonts w:asciiTheme="majorHAnsi" w:hAnsiTheme="majorHAnsi"/>
        </w:rPr>
        <w:t>epidemiologist</w:t>
      </w:r>
      <w:r w:rsidRPr="00F049D3">
        <w:rPr>
          <w:rFonts w:asciiTheme="majorHAnsi" w:hAnsiTheme="majorHAnsi"/>
        </w:rPr>
        <w:t xml:space="preserve">, </w:t>
      </w:r>
      <w:r w:rsidR="006F3285">
        <w:rPr>
          <w:rFonts w:asciiTheme="majorHAnsi" w:hAnsiTheme="majorHAnsi"/>
        </w:rPr>
        <w:t xml:space="preserve">one </w:t>
      </w:r>
      <w:r w:rsidRPr="006858C4">
        <w:rPr>
          <w:rFonts w:asciiTheme="majorHAnsi" w:hAnsiTheme="majorHAnsi"/>
        </w:rPr>
        <w:t xml:space="preserve">legal counsel, </w:t>
      </w:r>
      <w:r w:rsidRPr="00F049D3">
        <w:rPr>
          <w:rFonts w:asciiTheme="majorHAnsi" w:hAnsiTheme="majorHAnsi"/>
        </w:rPr>
        <w:t xml:space="preserve">and </w:t>
      </w:r>
      <w:r w:rsidR="006F3285">
        <w:rPr>
          <w:rFonts w:asciiTheme="majorHAnsi" w:hAnsiTheme="majorHAnsi"/>
        </w:rPr>
        <w:t xml:space="preserve">one </w:t>
      </w:r>
      <w:r>
        <w:rPr>
          <w:rFonts w:asciiTheme="majorHAnsi" w:hAnsiTheme="majorHAnsi"/>
        </w:rPr>
        <w:t>informatics director</w:t>
      </w:r>
      <w:r w:rsidR="00CA127B">
        <w:rPr>
          <w:rFonts w:asciiTheme="majorHAnsi" w:hAnsiTheme="majorHAnsi"/>
        </w:rPr>
        <w:t xml:space="preserve">. Two HAI coordinators were chosen to </w:t>
      </w:r>
      <w:r w:rsidR="00E065F8">
        <w:rPr>
          <w:rFonts w:asciiTheme="majorHAnsi" w:hAnsiTheme="majorHAnsi"/>
        </w:rPr>
        <w:t>gain</w:t>
      </w:r>
      <w:r w:rsidR="00CA127B">
        <w:rPr>
          <w:rFonts w:asciiTheme="majorHAnsi" w:hAnsiTheme="majorHAnsi"/>
        </w:rPr>
        <w:t xml:space="preserve"> multiple perspectives since there were likely multiple HAI coordinators identifying cases during the HAI fungal meningitis outbreak. </w:t>
      </w:r>
      <w:r w:rsidR="00CA127B" w:rsidRPr="00CA127B">
        <w:rPr>
          <w:rFonts w:asciiTheme="majorHAnsi" w:hAnsiTheme="majorHAnsi"/>
        </w:rPr>
        <w:t xml:space="preserve">Data will be collected </w:t>
      </w:r>
      <w:r w:rsidR="00CA127B">
        <w:rPr>
          <w:rFonts w:asciiTheme="majorHAnsi" w:hAnsiTheme="majorHAnsi"/>
        </w:rPr>
        <w:t>from</w:t>
      </w:r>
      <w:r w:rsidR="00E065F8">
        <w:rPr>
          <w:rFonts w:asciiTheme="majorHAnsi" w:hAnsiTheme="majorHAnsi"/>
        </w:rPr>
        <w:t>15</w:t>
      </w:r>
      <w:r w:rsidRPr="00CA127B">
        <w:rPr>
          <w:rFonts w:asciiTheme="majorHAnsi" w:hAnsiTheme="majorHAnsi"/>
        </w:rPr>
        <w:t xml:space="preserve"> state health departments: </w:t>
      </w:r>
      <w:r w:rsidR="00486ECD" w:rsidRPr="00CA127B">
        <w:rPr>
          <w:rFonts w:asciiTheme="majorHAnsi" w:hAnsiTheme="majorHAnsi"/>
        </w:rPr>
        <w:t xml:space="preserve">Florida, Indiana, Kansas, Maryland, Michigan, Minnesota, New Hampshire, New Jersey,  New York, North Carolina, Ohio,  Oregon, Tennessee, Texas, and Virginia. </w:t>
      </w:r>
      <w:r w:rsidR="00BF76E6" w:rsidRPr="00CA127B">
        <w:rPr>
          <w:rFonts w:asciiTheme="majorHAnsi" w:hAnsiTheme="majorHAnsi"/>
        </w:rPr>
        <w:t>S</w:t>
      </w:r>
      <w:r w:rsidR="00343624" w:rsidRPr="00CA127B">
        <w:rPr>
          <w:rFonts w:asciiTheme="majorHAnsi" w:hAnsiTheme="majorHAnsi"/>
        </w:rPr>
        <w:t>ta</w:t>
      </w:r>
      <w:r w:rsidRPr="00CA127B">
        <w:rPr>
          <w:rFonts w:asciiTheme="majorHAnsi" w:hAnsiTheme="majorHAnsi"/>
        </w:rPr>
        <w:t xml:space="preserve">te health departments </w:t>
      </w:r>
      <w:r w:rsidR="00343624" w:rsidRPr="00CA127B">
        <w:rPr>
          <w:rFonts w:asciiTheme="majorHAnsi" w:hAnsiTheme="majorHAnsi"/>
        </w:rPr>
        <w:t xml:space="preserve">were chosen </w:t>
      </w:r>
      <w:r w:rsidR="00F54FE8" w:rsidRPr="00CA127B">
        <w:rPr>
          <w:rFonts w:asciiTheme="majorHAnsi" w:hAnsiTheme="majorHAnsi"/>
        </w:rPr>
        <w:t xml:space="preserve">based on the five following criteria: </w:t>
      </w:r>
      <w:r w:rsidR="00343624" w:rsidRPr="00CA127B">
        <w:rPr>
          <w:rFonts w:asciiTheme="majorHAnsi" w:hAnsiTheme="majorHAnsi"/>
        </w:rPr>
        <w:t xml:space="preserve">experience with the fungal meningitis outbreak, experience with other outbreaks, leadership in electronic health record (EHR) law, leadership in EHR and Health Information Exchange (HIE), and CDC and ASTHOs relationship with the state. </w:t>
      </w:r>
    </w:p>
    <w:p w:rsidR="00C359BC" w:rsidRDefault="00C359BC" w:rsidP="00F52BCC">
      <w:pPr>
        <w:pStyle w:val="ListParagraph"/>
        <w:spacing w:after="0"/>
        <w:rPr>
          <w:rFonts w:asciiTheme="majorHAnsi" w:hAnsiTheme="majorHAnsi"/>
        </w:rPr>
      </w:pPr>
    </w:p>
    <w:p w:rsidR="00DF0B18" w:rsidRPr="00BF76E6" w:rsidRDefault="00287E2F" w:rsidP="00944227">
      <w:pPr>
        <w:pStyle w:val="ListParagraph"/>
        <w:numPr>
          <w:ilvl w:val="0"/>
          <w:numId w:val="3"/>
        </w:numPr>
        <w:spacing w:after="0"/>
        <w:rPr>
          <w:rFonts w:asciiTheme="majorHAnsi" w:hAnsiTheme="majorHAnsi"/>
          <w:b/>
        </w:rPr>
      </w:pPr>
      <w:r w:rsidRPr="009759F3">
        <w:rPr>
          <w:rFonts w:asciiTheme="majorHAnsi" w:hAnsiTheme="majorHAnsi"/>
          <w:b/>
        </w:rPr>
        <w:t xml:space="preserve">Procedures for </w:t>
      </w:r>
      <w:r w:rsidR="009759F3" w:rsidRPr="009759F3">
        <w:rPr>
          <w:rFonts w:asciiTheme="majorHAnsi" w:hAnsiTheme="majorHAnsi"/>
          <w:b/>
        </w:rPr>
        <w:t xml:space="preserve">the </w:t>
      </w:r>
      <w:r w:rsidRPr="009759F3">
        <w:rPr>
          <w:rFonts w:asciiTheme="majorHAnsi" w:hAnsiTheme="majorHAnsi"/>
          <w:b/>
        </w:rPr>
        <w:t>Collecti</w:t>
      </w:r>
      <w:r w:rsidR="009759F3" w:rsidRPr="009759F3">
        <w:rPr>
          <w:rFonts w:asciiTheme="majorHAnsi" w:hAnsiTheme="majorHAnsi"/>
          <w:b/>
        </w:rPr>
        <w:t>on</w:t>
      </w:r>
      <w:r w:rsidRPr="009759F3">
        <w:rPr>
          <w:rFonts w:asciiTheme="majorHAnsi" w:hAnsiTheme="majorHAnsi"/>
          <w:b/>
        </w:rPr>
        <w:t xml:space="preserve"> of Information</w:t>
      </w:r>
      <w:r w:rsidR="00F725B5" w:rsidRPr="009759F3">
        <w:rPr>
          <w:rFonts w:asciiTheme="majorHAnsi" w:hAnsiTheme="majorHAnsi"/>
          <w:b/>
        </w:rPr>
        <w:t xml:space="preserve"> </w:t>
      </w:r>
      <w:r w:rsidR="009759F3" w:rsidRPr="009759F3">
        <w:rPr>
          <w:rFonts w:asciiTheme="majorHAnsi" w:hAnsiTheme="majorHAnsi"/>
          <w:b/>
        </w:rPr>
        <w:t xml:space="preserve">  </w:t>
      </w:r>
    </w:p>
    <w:p w:rsidR="00C04B0A" w:rsidRPr="00D70488" w:rsidRDefault="00DF0B18" w:rsidP="00D70488">
      <w:pPr>
        <w:spacing w:after="0"/>
        <w:ind w:left="360"/>
        <w:rPr>
          <w:rFonts w:asciiTheme="majorHAnsi" w:hAnsiTheme="majorHAnsi"/>
          <w:b/>
        </w:rPr>
      </w:pPr>
      <w:r>
        <w:rPr>
          <w:rFonts w:asciiTheme="majorHAnsi" w:hAnsiTheme="majorHAnsi"/>
        </w:rPr>
        <w:t xml:space="preserve">Data will be collected from </w:t>
      </w:r>
      <w:r w:rsidR="00BB2D7E">
        <w:rPr>
          <w:rFonts w:asciiTheme="majorHAnsi" w:hAnsiTheme="majorHAnsi"/>
        </w:rPr>
        <w:t>key stakeholders in the state</w:t>
      </w:r>
      <w:r>
        <w:rPr>
          <w:rFonts w:asciiTheme="majorHAnsi" w:hAnsiTheme="majorHAnsi"/>
        </w:rPr>
        <w:t xml:space="preserve"> </w:t>
      </w:r>
      <w:r w:rsidR="00ED08A4">
        <w:rPr>
          <w:rFonts w:asciiTheme="majorHAnsi" w:hAnsiTheme="majorHAnsi"/>
        </w:rPr>
        <w:t>in their official capacities (N=</w:t>
      </w:r>
      <w:r w:rsidR="00035CB2">
        <w:rPr>
          <w:rFonts w:asciiTheme="majorHAnsi" w:hAnsiTheme="majorHAnsi"/>
        </w:rPr>
        <w:t>75</w:t>
      </w:r>
      <w:r w:rsidR="00ED08A4">
        <w:rPr>
          <w:rFonts w:asciiTheme="majorHAnsi" w:hAnsiTheme="majorHAnsi"/>
        </w:rPr>
        <w:t xml:space="preserve">) </w:t>
      </w:r>
      <w:r w:rsidR="002049D1">
        <w:rPr>
          <w:rFonts w:asciiTheme="majorHAnsi" w:hAnsiTheme="majorHAnsi"/>
        </w:rPr>
        <w:t xml:space="preserve">using </w:t>
      </w:r>
      <w:r w:rsidR="009D66CF">
        <w:rPr>
          <w:rFonts w:asciiTheme="majorHAnsi" w:hAnsiTheme="majorHAnsi"/>
        </w:rPr>
        <w:t>tele</w:t>
      </w:r>
      <w:r>
        <w:rPr>
          <w:rFonts w:asciiTheme="majorHAnsi" w:hAnsiTheme="majorHAnsi"/>
        </w:rPr>
        <w:t>phone interviews</w:t>
      </w:r>
      <w:r w:rsidR="00AA41FB">
        <w:rPr>
          <w:rFonts w:asciiTheme="majorHAnsi" w:hAnsiTheme="majorHAnsi"/>
        </w:rPr>
        <w:t>.</w:t>
      </w:r>
      <w:r w:rsidR="002049D1">
        <w:rPr>
          <w:rFonts w:asciiTheme="majorHAnsi" w:hAnsiTheme="majorHAnsi"/>
        </w:rPr>
        <w:t xml:space="preserve"> </w:t>
      </w:r>
      <w:r w:rsidR="00ED08A4" w:rsidRPr="00ED08A4">
        <w:rPr>
          <w:rFonts w:asciiTheme="majorHAnsi" w:hAnsiTheme="majorHAnsi"/>
        </w:rPr>
        <w:t>One week followin</w:t>
      </w:r>
      <w:r w:rsidR="002049D1">
        <w:rPr>
          <w:rFonts w:asciiTheme="majorHAnsi" w:hAnsiTheme="majorHAnsi"/>
        </w:rPr>
        <w:t xml:space="preserve">g OMB approval </w:t>
      </w:r>
      <w:r w:rsidR="00B40D9E">
        <w:rPr>
          <w:rFonts w:asciiTheme="majorHAnsi" w:hAnsiTheme="majorHAnsi"/>
        </w:rPr>
        <w:t>healthcare associated infection (HAI) coordinators and epidemiologists in</w:t>
      </w:r>
      <w:r w:rsidR="00ED08A4" w:rsidRPr="00ED08A4">
        <w:rPr>
          <w:rFonts w:asciiTheme="majorHAnsi" w:hAnsiTheme="majorHAnsi"/>
        </w:rPr>
        <w:t xml:space="preserve"> the </w:t>
      </w:r>
      <w:r w:rsidR="00B40D9E">
        <w:rPr>
          <w:rFonts w:asciiTheme="majorHAnsi" w:hAnsiTheme="majorHAnsi"/>
        </w:rPr>
        <w:t>1</w:t>
      </w:r>
      <w:r w:rsidR="00BC5264">
        <w:rPr>
          <w:rFonts w:asciiTheme="majorHAnsi" w:hAnsiTheme="majorHAnsi"/>
        </w:rPr>
        <w:t>5</w:t>
      </w:r>
      <w:r w:rsidR="006F3285">
        <w:rPr>
          <w:rFonts w:asciiTheme="majorHAnsi" w:hAnsiTheme="majorHAnsi"/>
        </w:rPr>
        <w:t xml:space="preserve"> </w:t>
      </w:r>
      <w:r w:rsidR="00ED08A4" w:rsidRPr="00ED08A4">
        <w:rPr>
          <w:rFonts w:asciiTheme="majorHAnsi" w:hAnsiTheme="majorHAnsi"/>
        </w:rPr>
        <w:t>states will be sent an email announcing the project (</w:t>
      </w:r>
      <w:r w:rsidR="00E065F8">
        <w:rPr>
          <w:rFonts w:asciiTheme="majorHAnsi" w:hAnsiTheme="majorHAnsi"/>
          <w:b/>
        </w:rPr>
        <w:t>s</w:t>
      </w:r>
      <w:r w:rsidR="00AA41FB">
        <w:rPr>
          <w:rFonts w:asciiTheme="majorHAnsi" w:hAnsiTheme="majorHAnsi"/>
          <w:b/>
        </w:rPr>
        <w:t>ee A</w:t>
      </w:r>
      <w:r w:rsidR="009D66CF">
        <w:rPr>
          <w:rFonts w:asciiTheme="majorHAnsi" w:hAnsiTheme="majorHAnsi"/>
          <w:b/>
        </w:rPr>
        <w:t>ttachment D</w:t>
      </w:r>
      <w:r w:rsidR="00AA41FB">
        <w:rPr>
          <w:rFonts w:asciiTheme="majorHAnsi" w:hAnsiTheme="majorHAnsi"/>
          <w:b/>
        </w:rPr>
        <w:t>—P</w:t>
      </w:r>
      <w:r w:rsidR="00ED08A4" w:rsidRPr="009D66CF">
        <w:rPr>
          <w:rFonts w:asciiTheme="majorHAnsi" w:hAnsiTheme="majorHAnsi"/>
          <w:b/>
        </w:rPr>
        <w:t xml:space="preserve">roject introduction email </w:t>
      </w:r>
      <w:r w:rsidR="00E065F8">
        <w:rPr>
          <w:rFonts w:asciiTheme="majorHAnsi" w:hAnsiTheme="majorHAnsi"/>
          <w:b/>
        </w:rPr>
        <w:t xml:space="preserve">to </w:t>
      </w:r>
      <w:r w:rsidR="00A840FD">
        <w:rPr>
          <w:rFonts w:asciiTheme="majorHAnsi" w:hAnsiTheme="majorHAnsi"/>
          <w:b/>
        </w:rPr>
        <w:t>S</w:t>
      </w:r>
      <w:r w:rsidR="00E065F8">
        <w:rPr>
          <w:rFonts w:asciiTheme="majorHAnsi" w:hAnsiTheme="majorHAnsi"/>
          <w:b/>
        </w:rPr>
        <w:t xml:space="preserve">tate </w:t>
      </w:r>
      <w:r w:rsidR="00A840FD">
        <w:rPr>
          <w:rFonts w:asciiTheme="majorHAnsi" w:hAnsiTheme="majorHAnsi"/>
          <w:b/>
        </w:rPr>
        <w:t>Health Department HAI Coordinators and E</w:t>
      </w:r>
      <w:r w:rsidR="00E065F8">
        <w:rPr>
          <w:rFonts w:asciiTheme="majorHAnsi" w:hAnsiTheme="majorHAnsi"/>
          <w:b/>
        </w:rPr>
        <w:t>pidemiologists</w:t>
      </w:r>
      <w:r w:rsidR="00AA41FB">
        <w:rPr>
          <w:rFonts w:asciiTheme="majorHAnsi" w:hAnsiTheme="majorHAnsi"/>
        </w:rPr>
        <w:t xml:space="preserve">). </w:t>
      </w:r>
      <w:r w:rsidR="002049D1">
        <w:rPr>
          <w:rFonts w:asciiTheme="majorHAnsi" w:hAnsiTheme="majorHAnsi"/>
        </w:rPr>
        <w:t>During the next t</w:t>
      </w:r>
      <w:r w:rsidR="00ED08A4" w:rsidRPr="00ED08A4">
        <w:rPr>
          <w:rFonts w:asciiTheme="majorHAnsi" w:hAnsiTheme="majorHAnsi"/>
        </w:rPr>
        <w:t xml:space="preserve">wo to three weeks following OMB approval, an email will be sent to </w:t>
      </w:r>
      <w:r w:rsidR="00E065F8">
        <w:rPr>
          <w:rFonts w:asciiTheme="majorHAnsi" w:hAnsiTheme="majorHAnsi"/>
        </w:rPr>
        <w:t>HAI coordinators to ask</w:t>
      </w:r>
      <w:r w:rsidR="00B40D9E">
        <w:rPr>
          <w:rFonts w:asciiTheme="majorHAnsi" w:hAnsiTheme="majorHAnsi"/>
        </w:rPr>
        <w:t xml:space="preserve"> for their participation in the assessment, and help identify other key stakeholders in the state we want to include in the assessment</w:t>
      </w:r>
      <w:r w:rsidR="00ED08A4" w:rsidRPr="00ED08A4">
        <w:rPr>
          <w:rFonts w:asciiTheme="majorHAnsi" w:hAnsiTheme="majorHAnsi"/>
        </w:rPr>
        <w:t xml:space="preserve"> </w:t>
      </w:r>
      <w:r w:rsidR="009D66CF">
        <w:rPr>
          <w:rFonts w:asciiTheme="majorHAnsi" w:hAnsiTheme="majorHAnsi"/>
          <w:b/>
        </w:rPr>
        <w:t>(</w:t>
      </w:r>
      <w:r w:rsidR="00AA41FB">
        <w:rPr>
          <w:rFonts w:asciiTheme="majorHAnsi" w:hAnsiTheme="majorHAnsi"/>
          <w:b/>
        </w:rPr>
        <w:t>see A</w:t>
      </w:r>
      <w:r w:rsidR="00E065F8">
        <w:rPr>
          <w:rFonts w:asciiTheme="majorHAnsi" w:hAnsiTheme="majorHAnsi"/>
          <w:b/>
        </w:rPr>
        <w:t>ttachment E-</w:t>
      </w:r>
      <w:r w:rsidR="00944227">
        <w:rPr>
          <w:rFonts w:asciiTheme="majorHAnsi" w:hAnsiTheme="majorHAnsi"/>
          <w:b/>
        </w:rPr>
        <w:t xml:space="preserve"> </w:t>
      </w:r>
      <w:r w:rsidR="00944227" w:rsidRPr="005B4641">
        <w:rPr>
          <w:rFonts w:asciiTheme="majorHAnsi" w:hAnsiTheme="majorHAnsi"/>
          <w:b/>
        </w:rPr>
        <w:t xml:space="preserve">Individual Email to </w:t>
      </w:r>
      <w:r w:rsidR="00944227">
        <w:rPr>
          <w:rFonts w:asciiTheme="majorHAnsi" w:hAnsiTheme="majorHAnsi"/>
          <w:b/>
        </w:rPr>
        <w:t xml:space="preserve">HAI </w:t>
      </w:r>
      <w:r w:rsidR="00E065F8">
        <w:rPr>
          <w:rFonts w:asciiTheme="majorHAnsi" w:hAnsiTheme="majorHAnsi"/>
          <w:b/>
        </w:rPr>
        <w:t>Coordinators</w:t>
      </w:r>
      <w:r w:rsidR="00483E45">
        <w:rPr>
          <w:rFonts w:asciiTheme="majorHAnsi" w:hAnsiTheme="majorHAnsi"/>
          <w:b/>
        </w:rPr>
        <w:t>/Epidemiologists</w:t>
      </w:r>
      <w:r w:rsidR="00B40D9E">
        <w:rPr>
          <w:rFonts w:asciiTheme="majorHAnsi" w:hAnsiTheme="majorHAnsi"/>
          <w:b/>
        </w:rPr>
        <w:t xml:space="preserve">) </w:t>
      </w:r>
      <w:r w:rsidR="00B40D9E">
        <w:rPr>
          <w:rFonts w:asciiTheme="majorHAnsi" w:hAnsiTheme="majorHAnsi"/>
        </w:rPr>
        <w:t xml:space="preserve">Once the HAI coordinator has identified the </w:t>
      </w:r>
      <w:r w:rsidR="00E065F8">
        <w:rPr>
          <w:rFonts w:asciiTheme="majorHAnsi" w:hAnsiTheme="majorHAnsi"/>
        </w:rPr>
        <w:t>names and contact information for the legal counsel and informatics director in their</w:t>
      </w:r>
      <w:r w:rsidR="00B40D9E">
        <w:rPr>
          <w:rFonts w:asciiTheme="majorHAnsi" w:hAnsiTheme="majorHAnsi"/>
        </w:rPr>
        <w:t xml:space="preserve"> state we want to include in the assessment, we will send an email </w:t>
      </w:r>
      <w:r w:rsidR="00E065F8">
        <w:rPr>
          <w:rFonts w:asciiTheme="majorHAnsi" w:hAnsiTheme="majorHAnsi"/>
        </w:rPr>
        <w:t xml:space="preserve">to those key stakeholders </w:t>
      </w:r>
      <w:r w:rsidR="00B40D9E">
        <w:rPr>
          <w:rFonts w:asciiTheme="majorHAnsi" w:hAnsiTheme="majorHAnsi"/>
        </w:rPr>
        <w:t xml:space="preserve">asking for their </w:t>
      </w:r>
      <w:r w:rsidR="00314986">
        <w:rPr>
          <w:rFonts w:asciiTheme="majorHAnsi" w:hAnsiTheme="majorHAnsi"/>
        </w:rPr>
        <w:t>participation in the assessment</w:t>
      </w:r>
      <w:r w:rsidR="00B40D9E">
        <w:rPr>
          <w:rFonts w:asciiTheme="majorHAnsi" w:hAnsiTheme="majorHAnsi"/>
        </w:rPr>
        <w:t xml:space="preserve"> (</w:t>
      </w:r>
      <w:r w:rsidR="00E065F8">
        <w:rPr>
          <w:rFonts w:asciiTheme="majorHAnsi" w:hAnsiTheme="majorHAnsi"/>
          <w:b/>
        </w:rPr>
        <w:t>s</w:t>
      </w:r>
      <w:r w:rsidR="00E065F8" w:rsidRPr="00E065F8">
        <w:rPr>
          <w:rFonts w:asciiTheme="majorHAnsi" w:hAnsiTheme="majorHAnsi"/>
          <w:b/>
        </w:rPr>
        <w:t>ee</w:t>
      </w:r>
      <w:r w:rsidR="00E065F8">
        <w:rPr>
          <w:rFonts w:asciiTheme="majorHAnsi" w:hAnsiTheme="majorHAnsi"/>
        </w:rPr>
        <w:t xml:space="preserve"> </w:t>
      </w:r>
      <w:r w:rsidR="00AB23AE">
        <w:rPr>
          <w:rFonts w:asciiTheme="majorHAnsi" w:hAnsiTheme="majorHAnsi"/>
          <w:b/>
        </w:rPr>
        <w:t>A</w:t>
      </w:r>
      <w:r w:rsidR="001D690C">
        <w:rPr>
          <w:rFonts w:asciiTheme="majorHAnsi" w:hAnsiTheme="majorHAnsi"/>
          <w:b/>
        </w:rPr>
        <w:t>ttachment F</w:t>
      </w:r>
      <w:r w:rsidR="00E065F8">
        <w:rPr>
          <w:rFonts w:asciiTheme="majorHAnsi" w:hAnsiTheme="majorHAnsi"/>
          <w:b/>
        </w:rPr>
        <w:t>-</w:t>
      </w:r>
      <w:r w:rsidR="00944227">
        <w:rPr>
          <w:rFonts w:asciiTheme="majorHAnsi" w:hAnsiTheme="majorHAnsi"/>
          <w:b/>
        </w:rPr>
        <w:t xml:space="preserve"> Indi</w:t>
      </w:r>
      <w:r w:rsidR="00AB23AE">
        <w:rPr>
          <w:rFonts w:asciiTheme="majorHAnsi" w:hAnsiTheme="majorHAnsi"/>
          <w:b/>
        </w:rPr>
        <w:t>vidual Email to Legal Counsel; A</w:t>
      </w:r>
      <w:r w:rsidR="00944227">
        <w:rPr>
          <w:rFonts w:asciiTheme="majorHAnsi" w:hAnsiTheme="majorHAnsi"/>
          <w:b/>
        </w:rPr>
        <w:t xml:space="preserve">ttachment </w:t>
      </w:r>
      <w:r w:rsidR="001D690C">
        <w:rPr>
          <w:rFonts w:asciiTheme="majorHAnsi" w:hAnsiTheme="majorHAnsi"/>
          <w:b/>
        </w:rPr>
        <w:t>G</w:t>
      </w:r>
      <w:r w:rsidR="00E065F8">
        <w:rPr>
          <w:rFonts w:asciiTheme="majorHAnsi" w:hAnsiTheme="majorHAnsi"/>
          <w:b/>
        </w:rPr>
        <w:t>-</w:t>
      </w:r>
      <w:r w:rsidR="00944227">
        <w:rPr>
          <w:rFonts w:asciiTheme="majorHAnsi" w:hAnsiTheme="majorHAnsi"/>
          <w:b/>
        </w:rPr>
        <w:t xml:space="preserve"> Individual Email to Informatics Directors)</w:t>
      </w:r>
      <w:r w:rsidR="00ED08A4" w:rsidRPr="00944227">
        <w:rPr>
          <w:rFonts w:asciiTheme="majorHAnsi" w:hAnsiTheme="majorHAnsi"/>
        </w:rPr>
        <w:t xml:space="preserve">  As participants reply to the email, phone interviews will be scheduled. Those who do no</w:t>
      </w:r>
      <w:r w:rsidR="002049D1" w:rsidRPr="00944227">
        <w:rPr>
          <w:rFonts w:asciiTheme="majorHAnsi" w:hAnsiTheme="majorHAnsi"/>
        </w:rPr>
        <w:t>t</w:t>
      </w:r>
      <w:r w:rsidR="00ED08A4" w:rsidRPr="00944227">
        <w:rPr>
          <w:rFonts w:asciiTheme="majorHAnsi" w:hAnsiTheme="majorHAnsi"/>
        </w:rPr>
        <w:t xml:space="preserve"> respond to the email within five days will be sent a follow-up email</w:t>
      </w:r>
      <w:r w:rsidR="00314986">
        <w:rPr>
          <w:rFonts w:asciiTheme="majorHAnsi" w:hAnsiTheme="majorHAnsi"/>
        </w:rPr>
        <w:t>. Th</w:t>
      </w:r>
      <w:r w:rsidR="006D27A0">
        <w:rPr>
          <w:rFonts w:asciiTheme="majorHAnsi" w:hAnsiTheme="majorHAnsi"/>
        </w:rPr>
        <w:t>ree days before the interview a</w:t>
      </w:r>
      <w:r w:rsidR="00314986">
        <w:rPr>
          <w:rFonts w:asciiTheme="majorHAnsi" w:hAnsiTheme="majorHAnsi"/>
        </w:rPr>
        <w:t xml:space="preserve"> reminder email will be sent to all participants</w:t>
      </w:r>
      <w:r w:rsidR="00ED08A4" w:rsidRPr="00944227">
        <w:rPr>
          <w:rFonts w:asciiTheme="majorHAnsi" w:hAnsiTheme="majorHAnsi"/>
        </w:rPr>
        <w:t xml:space="preserve"> </w:t>
      </w:r>
      <w:r w:rsidR="006D27A0">
        <w:rPr>
          <w:rFonts w:asciiTheme="majorHAnsi" w:hAnsiTheme="majorHAnsi"/>
          <w:b/>
        </w:rPr>
        <w:t>(see A</w:t>
      </w:r>
      <w:r w:rsidR="00944227">
        <w:rPr>
          <w:rFonts w:asciiTheme="majorHAnsi" w:hAnsiTheme="majorHAnsi"/>
          <w:b/>
        </w:rPr>
        <w:t xml:space="preserve">ttachment </w:t>
      </w:r>
      <w:r w:rsidR="00C04B0A">
        <w:rPr>
          <w:rFonts w:asciiTheme="majorHAnsi" w:hAnsiTheme="majorHAnsi"/>
          <w:b/>
        </w:rPr>
        <w:t>H</w:t>
      </w:r>
      <w:r w:rsidR="00E065F8">
        <w:rPr>
          <w:rFonts w:asciiTheme="majorHAnsi" w:hAnsiTheme="majorHAnsi"/>
          <w:b/>
        </w:rPr>
        <w:t>-Individual Email Reminder</w:t>
      </w:r>
      <w:r w:rsidR="00944227" w:rsidRPr="005B4641">
        <w:rPr>
          <w:rFonts w:asciiTheme="majorHAnsi" w:hAnsiTheme="majorHAnsi"/>
          <w:b/>
        </w:rPr>
        <w:t xml:space="preserve"> to </w:t>
      </w:r>
      <w:r w:rsidR="00E065F8">
        <w:rPr>
          <w:rFonts w:asciiTheme="majorHAnsi" w:hAnsiTheme="majorHAnsi"/>
          <w:b/>
        </w:rPr>
        <w:t xml:space="preserve">HAI </w:t>
      </w:r>
      <w:r w:rsidR="00944227">
        <w:rPr>
          <w:rFonts w:asciiTheme="majorHAnsi" w:hAnsiTheme="majorHAnsi"/>
          <w:b/>
        </w:rPr>
        <w:t>Coordinators</w:t>
      </w:r>
      <w:r w:rsidR="006D27A0">
        <w:rPr>
          <w:rFonts w:asciiTheme="majorHAnsi" w:hAnsiTheme="majorHAnsi"/>
          <w:b/>
        </w:rPr>
        <w:t>/Epidemiologist; A</w:t>
      </w:r>
      <w:r w:rsidR="00314986">
        <w:rPr>
          <w:rFonts w:asciiTheme="majorHAnsi" w:hAnsiTheme="majorHAnsi"/>
          <w:b/>
        </w:rPr>
        <w:t>ttachment</w:t>
      </w:r>
      <w:r w:rsidR="006D27A0">
        <w:rPr>
          <w:rFonts w:asciiTheme="majorHAnsi" w:hAnsiTheme="majorHAnsi"/>
          <w:b/>
        </w:rPr>
        <w:t xml:space="preserve"> I</w:t>
      </w:r>
      <w:r w:rsidR="00E065F8">
        <w:rPr>
          <w:rFonts w:asciiTheme="majorHAnsi" w:hAnsiTheme="majorHAnsi"/>
          <w:b/>
        </w:rPr>
        <w:t>-Individual Email Reminder to</w:t>
      </w:r>
      <w:r w:rsidR="00944227">
        <w:rPr>
          <w:rFonts w:asciiTheme="majorHAnsi" w:hAnsiTheme="majorHAnsi"/>
          <w:b/>
        </w:rPr>
        <w:t xml:space="preserve"> </w:t>
      </w:r>
      <w:r w:rsidR="00314986">
        <w:rPr>
          <w:rFonts w:asciiTheme="majorHAnsi" w:hAnsiTheme="majorHAnsi"/>
          <w:b/>
        </w:rPr>
        <w:t>Legal Counsel</w:t>
      </w:r>
      <w:r w:rsidR="00944227">
        <w:rPr>
          <w:rFonts w:asciiTheme="majorHAnsi" w:hAnsiTheme="majorHAnsi"/>
          <w:b/>
        </w:rPr>
        <w:t xml:space="preserve">; attachment </w:t>
      </w:r>
      <w:r w:rsidR="00C04B0A">
        <w:rPr>
          <w:rFonts w:asciiTheme="majorHAnsi" w:hAnsiTheme="majorHAnsi"/>
          <w:b/>
        </w:rPr>
        <w:t>J</w:t>
      </w:r>
      <w:r w:rsidR="00E065F8">
        <w:rPr>
          <w:rFonts w:asciiTheme="majorHAnsi" w:hAnsiTheme="majorHAnsi"/>
          <w:b/>
        </w:rPr>
        <w:t>-</w:t>
      </w:r>
      <w:r w:rsidR="00944227">
        <w:rPr>
          <w:rFonts w:asciiTheme="majorHAnsi" w:hAnsiTheme="majorHAnsi"/>
          <w:b/>
        </w:rPr>
        <w:t xml:space="preserve"> </w:t>
      </w:r>
      <w:r w:rsidR="00E065F8">
        <w:rPr>
          <w:rFonts w:asciiTheme="majorHAnsi" w:hAnsiTheme="majorHAnsi"/>
          <w:b/>
        </w:rPr>
        <w:t xml:space="preserve">Individual Email Reminder to </w:t>
      </w:r>
      <w:r w:rsidR="00314986">
        <w:rPr>
          <w:rFonts w:asciiTheme="majorHAnsi" w:hAnsiTheme="majorHAnsi"/>
          <w:b/>
        </w:rPr>
        <w:t xml:space="preserve">Informatics Directors). </w:t>
      </w:r>
      <w:r w:rsidR="009E1B0A" w:rsidRPr="00944227">
        <w:rPr>
          <w:rFonts w:asciiTheme="majorHAnsi" w:hAnsiTheme="majorHAnsi"/>
        </w:rPr>
        <w:t xml:space="preserve">Additionally, practice interviews with the contractor, who will be hired in March, will be conducted to help ensure quality. </w:t>
      </w:r>
      <w:r w:rsidR="00ED08A4" w:rsidRPr="00944227">
        <w:rPr>
          <w:rFonts w:asciiTheme="majorHAnsi" w:hAnsiTheme="majorHAnsi"/>
        </w:rPr>
        <w:t xml:space="preserve">Phone interviews will begin </w:t>
      </w:r>
      <w:r w:rsidR="002049D1" w:rsidRPr="00944227">
        <w:rPr>
          <w:rFonts w:asciiTheme="majorHAnsi" w:hAnsiTheme="majorHAnsi"/>
        </w:rPr>
        <w:t>three</w:t>
      </w:r>
      <w:r w:rsidR="00ED08A4" w:rsidRPr="00944227">
        <w:rPr>
          <w:rFonts w:asciiTheme="majorHAnsi" w:hAnsiTheme="majorHAnsi"/>
        </w:rPr>
        <w:t xml:space="preserve"> weeks after OMB approval and will continue for the next four weeks.</w:t>
      </w:r>
      <w:r w:rsidR="00D70488">
        <w:rPr>
          <w:rFonts w:asciiTheme="majorHAnsi" w:hAnsiTheme="majorHAnsi"/>
          <w:b/>
        </w:rPr>
        <w:t xml:space="preserve">  </w:t>
      </w:r>
      <w:r w:rsidR="00ED08A4" w:rsidRPr="00944227">
        <w:rPr>
          <w:rFonts w:asciiTheme="majorHAnsi" w:hAnsiTheme="majorHAnsi"/>
        </w:rPr>
        <w:t>Seven weeks after OMB approval data analysis will b</w:t>
      </w:r>
      <w:r w:rsidR="002049D1" w:rsidRPr="00944227">
        <w:rPr>
          <w:rFonts w:asciiTheme="majorHAnsi" w:hAnsiTheme="majorHAnsi"/>
        </w:rPr>
        <w:t>egin</w:t>
      </w:r>
      <w:r w:rsidR="00ED08A4" w:rsidRPr="00944227">
        <w:rPr>
          <w:rFonts w:asciiTheme="majorHAnsi" w:hAnsiTheme="majorHAnsi"/>
        </w:rPr>
        <w:t xml:space="preserve"> and will continue for the next three weeks. Eleven weeks after OMB approval report writing will begin and the final report will be completed seventeen weeks after OMB approval.</w:t>
      </w:r>
    </w:p>
    <w:p w:rsidR="005B2E8A" w:rsidRPr="009759F3" w:rsidRDefault="005B2E8A" w:rsidP="00BF76E6">
      <w:pPr>
        <w:pStyle w:val="ListParagraph"/>
        <w:spacing w:after="0"/>
        <w:ind w:left="360"/>
        <w:rPr>
          <w:rFonts w:asciiTheme="majorHAnsi" w:hAnsiTheme="majorHAnsi"/>
        </w:rPr>
      </w:pPr>
    </w:p>
    <w:p w:rsidR="00F52BCC" w:rsidRPr="00F54FE8" w:rsidRDefault="00287E2F" w:rsidP="00BF76E6">
      <w:pPr>
        <w:pStyle w:val="ListParagraph"/>
        <w:numPr>
          <w:ilvl w:val="0"/>
          <w:numId w:val="3"/>
        </w:numPr>
        <w:spacing w:after="0"/>
        <w:ind w:left="36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r w:rsidR="00F54FE8">
        <w:rPr>
          <w:rFonts w:asciiTheme="majorHAnsi" w:hAnsiTheme="majorHAnsi"/>
          <w:b/>
          <w:bCs/>
        </w:rPr>
        <w:tab/>
      </w:r>
    </w:p>
    <w:p w:rsidR="000D55D6" w:rsidRPr="00314986" w:rsidRDefault="000D55D6" w:rsidP="00314986">
      <w:pPr>
        <w:pStyle w:val="ListParagraph"/>
        <w:spacing w:after="0"/>
        <w:ind w:left="360"/>
        <w:rPr>
          <w:rFonts w:asciiTheme="majorHAnsi" w:hAnsiTheme="majorHAnsi"/>
        </w:rPr>
      </w:pPr>
      <w:r>
        <w:rPr>
          <w:rFonts w:asciiTheme="majorHAnsi" w:hAnsiTheme="majorHAnsi"/>
        </w:rPr>
        <w:t>Advance</w:t>
      </w:r>
      <w:r w:rsidR="009F512A">
        <w:rPr>
          <w:rFonts w:asciiTheme="majorHAnsi" w:hAnsiTheme="majorHAnsi"/>
        </w:rPr>
        <w:t xml:space="preserve">d </w:t>
      </w:r>
      <w:r w:rsidR="00314986">
        <w:rPr>
          <w:rFonts w:asciiTheme="majorHAnsi" w:hAnsiTheme="majorHAnsi"/>
        </w:rPr>
        <w:t xml:space="preserve">notifications </w:t>
      </w:r>
      <w:r w:rsidR="00314986">
        <w:rPr>
          <w:rFonts w:asciiTheme="majorHAnsi" w:hAnsiTheme="majorHAnsi"/>
          <w:b/>
        </w:rPr>
        <w:t>(</w:t>
      </w:r>
      <w:r w:rsidR="00314986" w:rsidRPr="00314986">
        <w:rPr>
          <w:rFonts w:asciiTheme="majorHAnsi" w:hAnsiTheme="majorHAnsi"/>
          <w:b/>
        </w:rPr>
        <w:t>see</w:t>
      </w:r>
      <w:r w:rsidR="00E065F8">
        <w:rPr>
          <w:rFonts w:asciiTheme="majorHAnsi" w:hAnsiTheme="majorHAnsi"/>
          <w:b/>
        </w:rPr>
        <w:t xml:space="preserve"> attachment</w:t>
      </w:r>
      <w:r w:rsidR="00315FC4">
        <w:rPr>
          <w:rFonts w:asciiTheme="majorHAnsi" w:hAnsiTheme="majorHAnsi"/>
          <w:b/>
        </w:rPr>
        <w:t xml:space="preserve"> D</w:t>
      </w:r>
      <w:r>
        <w:rPr>
          <w:rFonts w:asciiTheme="majorHAnsi" w:hAnsiTheme="majorHAnsi"/>
        </w:rPr>
        <w:t xml:space="preserve">) and </w:t>
      </w:r>
      <w:r w:rsidR="002049D1">
        <w:rPr>
          <w:rFonts w:asciiTheme="majorHAnsi" w:hAnsiTheme="majorHAnsi"/>
        </w:rPr>
        <w:t>email reminder</w:t>
      </w:r>
      <w:r w:rsidR="00E065F8">
        <w:rPr>
          <w:rFonts w:asciiTheme="majorHAnsi" w:hAnsiTheme="majorHAnsi"/>
        </w:rPr>
        <w:t>s</w:t>
      </w:r>
      <w:r>
        <w:rPr>
          <w:rFonts w:asciiTheme="majorHAnsi" w:hAnsiTheme="majorHAnsi"/>
        </w:rPr>
        <w:t xml:space="preserve"> </w:t>
      </w:r>
      <w:r w:rsidR="00C04B0A">
        <w:rPr>
          <w:rFonts w:asciiTheme="majorHAnsi" w:hAnsiTheme="majorHAnsi"/>
          <w:b/>
        </w:rPr>
        <w:t>(see attachments H-J</w:t>
      </w:r>
      <w:r w:rsidR="00314986">
        <w:rPr>
          <w:rFonts w:asciiTheme="majorHAnsi" w:hAnsiTheme="majorHAnsi"/>
          <w:b/>
        </w:rPr>
        <w:t xml:space="preserve">) </w:t>
      </w:r>
      <w:r w:rsidRPr="00314986">
        <w:rPr>
          <w:rFonts w:asciiTheme="majorHAnsi" w:hAnsiTheme="majorHAnsi"/>
        </w:rPr>
        <w:t xml:space="preserve">will be utilized to maximize response rates. </w:t>
      </w:r>
    </w:p>
    <w:p w:rsidR="00F54FE8" w:rsidRPr="009759F3" w:rsidRDefault="00F54FE8" w:rsidP="00BF76E6">
      <w:pPr>
        <w:spacing w:after="0"/>
        <w:rPr>
          <w:rFonts w:asciiTheme="majorHAnsi" w:hAnsiTheme="majorHAnsi"/>
        </w:rPr>
      </w:pPr>
    </w:p>
    <w:p w:rsidR="00F52BCC" w:rsidRPr="009759F3" w:rsidRDefault="00287E2F" w:rsidP="00BF76E6">
      <w:pPr>
        <w:pStyle w:val="ListParagraph"/>
        <w:numPr>
          <w:ilvl w:val="0"/>
          <w:numId w:val="3"/>
        </w:numPr>
        <w:spacing w:after="0"/>
        <w:ind w:left="360"/>
        <w:rPr>
          <w:rFonts w:asciiTheme="majorHAnsi" w:hAnsiTheme="majorHAnsi"/>
          <w:b/>
        </w:rPr>
      </w:pPr>
      <w:r w:rsidRPr="005F3FEF">
        <w:rPr>
          <w:rFonts w:asciiTheme="majorHAnsi" w:hAnsiTheme="majorHAnsi"/>
          <w:b/>
        </w:rPr>
        <w:t xml:space="preserve">Test of Procedures </w:t>
      </w:r>
      <w:r w:rsidR="009759F3" w:rsidRPr="009759F3">
        <w:rPr>
          <w:rFonts w:asciiTheme="majorHAnsi" w:hAnsiTheme="majorHAnsi"/>
          <w:b/>
          <w:bCs/>
        </w:rPr>
        <w:t>or Methods to be Undertaken</w:t>
      </w:r>
    </w:p>
    <w:p w:rsidR="00AB10B2" w:rsidRPr="005C5619" w:rsidRDefault="008C45B3" w:rsidP="005C5619">
      <w:pPr>
        <w:pStyle w:val="ListParagraph"/>
        <w:autoSpaceDE w:val="0"/>
        <w:autoSpaceDN w:val="0"/>
        <w:adjustRightInd w:val="0"/>
        <w:ind w:left="270"/>
        <w:rPr>
          <w:rFonts w:asciiTheme="majorHAnsi" w:hAnsiTheme="majorHAnsi"/>
        </w:rPr>
      </w:pPr>
      <w:r w:rsidRPr="00B113D9">
        <w:rPr>
          <w:rFonts w:asciiTheme="majorHAnsi" w:hAnsiTheme="majorHAnsi"/>
        </w:rPr>
        <w:t>The</w:t>
      </w:r>
      <w:r w:rsidR="001F23AE">
        <w:rPr>
          <w:rFonts w:asciiTheme="majorHAnsi" w:hAnsiTheme="majorHAnsi"/>
        </w:rPr>
        <w:t xml:space="preserve"> </w:t>
      </w:r>
      <w:r w:rsidR="00AB10B2">
        <w:rPr>
          <w:rFonts w:asciiTheme="majorHAnsi" w:hAnsiTheme="majorHAnsi"/>
        </w:rPr>
        <w:t>design, methodology</w:t>
      </w:r>
      <w:r w:rsidR="00A85AEB">
        <w:rPr>
          <w:rFonts w:asciiTheme="majorHAnsi" w:hAnsiTheme="majorHAnsi"/>
        </w:rPr>
        <w:t>,</w:t>
      </w:r>
      <w:r w:rsidR="001F23AE">
        <w:rPr>
          <w:rFonts w:asciiTheme="majorHAnsi" w:hAnsiTheme="majorHAnsi"/>
        </w:rPr>
        <w:t xml:space="preserve"> and sample</w:t>
      </w:r>
      <w:r w:rsidR="00AB10B2">
        <w:rPr>
          <w:rFonts w:asciiTheme="majorHAnsi" w:hAnsiTheme="majorHAnsi"/>
        </w:rPr>
        <w:t xml:space="preserve"> for this project</w:t>
      </w:r>
      <w:r w:rsidR="001F23AE">
        <w:rPr>
          <w:rFonts w:asciiTheme="majorHAnsi" w:hAnsiTheme="majorHAnsi"/>
        </w:rPr>
        <w:t xml:space="preserve"> </w:t>
      </w:r>
      <w:r w:rsidR="00A85AEB">
        <w:rPr>
          <w:rFonts w:asciiTheme="majorHAnsi" w:hAnsiTheme="majorHAnsi"/>
        </w:rPr>
        <w:t>were</w:t>
      </w:r>
      <w:r w:rsidR="001F23AE">
        <w:rPr>
          <w:rFonts w:asciiTheme="majorHAnsi" w:hAnsiTheme="majorHAnsi"/>
        </w:rPr>
        <w:t xml:space="preserve"> discussed with a gr</w:t>
      </w:r>
      <w:r w:rsidR="00AB10B2">
        <w:rPr>
          <w:rFonts w:asciiTheme="majorHAnsi" w:hAnsiTheme="majorHAnsi"/>
        </w:rPr>
        <w:t xml:space="preserve">oup of expert external stakeholders during an hour long conference call. </w:t>
      </w:r>
      <w:r w:rsidR="00B91C8D">
        <w:rPr>
          <w:rFonts w:asciiTheme="majorHAnsi" w:hAnsiTheme="majorHAnsi"/>
        </w:rPr>
        <w:t xml:space="preserve">Experts included </w:t>
      </w:r>
      <w:r w:rsidR="009A7ECA">
        <w:rPr>
          <w:rFonts w:asciiTheme="majorHAnsi" w:hAnsiTheme="majorHAnsi"/>
        </w:rPr>
        <w:t>two epidemiologists</w:t>
      </w:r>
      <w:r w:rsidR="00B91C8D">
        <w:rPr>
          <w:rFonts w:asciiTheme="majorHAnsi" w:hAnsiTheme="majorHAnsi"/>
        </w:rPr>
        <w:t xml:space="preserve">, </w:t>
      </w:r>
      <w:r w:rsidR="009A7ECA">
        <w:rPr>
          <w:rFonts w:asciiTheme="majorHAnsi" w:hAnsiTheme="majorHAnsi"/>
        </w:rPr>
        <w:t xml:space="preserve">one </w:t>
      </w:r>
      <w:r w:rsidR="00DE4810">
        <w:rPr>
          <w:rFonts w:asciiTheme="majorHAnsi" w:hAnsiTheme="majorHAnsi"/>
        </w:rPr>
        <w:t>HAI</w:t>
      </w:r>
      <w:r w:rsidR="00B91C8D">
        <w:rPr>
          <w:rFonts w:asciiTheme="majorHAnsi" w:hAnsiTheme="majorHAnsi"/>
        </w:rPr>
        <w:t xml:space="preserve"> Coordinators, </w:t>
      </w:r>
      <w:r w:rsidR="009A7ECA">
        <w:rPr>
          <w:rFonts w:asciiTheme="majorHAnsi" w:hAnsiTheme="majorHAnsi"/>
        </w:rPr>
        <w:t xml:space="preserve">one </w:t>
      </w:r>
      <w:r w:rsidR="00DE4810">
        <w:rPr>
          <w:rFonts w:asciiTheme="majorHAnsi" w:hAnsiTheme="majorHAnsi"/>
        </w:rPr>
        <w:t>lawyer</w:t>
      </w:r>
      <w:r w:rsidR="00B91C8D">
        <w:rPr>
          <w:rFonts w:asciiTheme="majorHAnsi" w:hAnsiTheme="majorHAnsi"/>
        </w:rPr>
        <w:t>, and</w:t>
      </w:r>
      <w:r w:rsidR="009A7ECA">
        <w:rPr>
          <w:rFonts w:asciiTheme="majorHAnsi" w:hAnsiTheme="majorHAnsi"/>
        </w:rPr>
        <w:t xml:space="preserve"> one</w:t>
      </w:r>
      <w:r w:rsidR="00B91C8D">
        <w:rPr>
          <w:rFonts w:asciiTheme="majorHAnsi" w:hAnsiTheme="majorHAnsi"/>
        </w:rPr>
        <w:t xml:space="preserve"> Informatics Specialist. </w:t>
      </w:r>
      <w:r w:rsidR="00AB10B2">
        <w:rPr>
          <w:rFonts w:asciiTheme="majorHAnsi" w:hAnsiTheme="majorHAnsi"/>
        </w:rPr>
        <w:t>Feedback from these expert stakeholder</w:t>
      </w:r>
      <w:r w:rsidR="00A85AEB">
        <w:rPr>
          <w:rFonts w:asciiTheme="majorHAnsi" w:hAnsiTheme="majorHAnsi"/>
        </w:rPr>
        <w:t>s was used to refine the sample,</w:t>
      </w:r>
      <w:r w:rsidR="00AB10B2">
        <w:rPr>
          <w:rFonts w:asciiTheme="majorHAnsi" w:hAnsiTheme="majorHAnsi"/>
        </w:rPr>
        <w:t xml:space="preserve"> interview </w:t>
      </w:r>
      <w:r w:rsidR="00A85AEB">
        <w:rPr>
          <w:rFonts w:asciiTheme="majorHAnsi" w:hAnsiTheme="majorHAnsi"/>
        </w:rPr>
        <w:t>guide questions, and probes for HAI Coordinators/Epidemiologist, Legal Counsel and Informatics Directors</w:t>
      </w:r>
      <w:r w:rsidR="005C5619">
        <w:rPr>
          <w:rFonts w:asciiTheme="majorHAnsi" w:hAnsiTheme="majorHAnsi"/>
        </w:rPr>
        <w:t>. Each</w:t>
      </w:r>
      <w:r w:rsidR="005C5619" w:rsidRPr="00B113D9">
        <w:rPr>
          <w:rFonts w:asciiTheme="majorHAnsi" w:hAnsiTheme="majorHAnsi"/>
        </w:rPr>
        <w:t xml:space="preserve"> interview </w:t>
      </w:r>
      <w:r w:rsidR="005C5619">
        <w:rPr>
          <w:rFonts w:asciiTheme="majorHAnsi" w:hAnsiTheme="majorHAnsi"/>
        </w:rPr>
        <w:t>guide was tested</w:t>
      </w:r>
      <w:r w:rsidR="005C5619" w:rsidRPr="00B113D9">
        <w:rPr>
          <w:rFonts w:asciiTheme="majorHAnsi" w:hAnsiTheme="majorHAnsi"/>
        </w:rPr>
        <w:t xml:space="preserve"> by </w:t>
      </w:r>
      <w:r w:rsidR="005C5619">
        <w:rPr>
          <w:rFonts w:asciiTheme="majorHAnsi" w:hAnsiTheme="majorHAnsi"/>
        </w:rPr>
        <w:t>two</w:t>
      </w:r>
      <w:r w:rsidR="005C5619" w:rsidRPr="00B113D9">
        <w:rPr>
          <w:rFonts w:asciiTheme="majorHAnsi" w:hAnsiTheme="majorHAnsi"/>
        </w:rPr>
        <w:t xml:space="preserve"> CDC </w:t>
      </w:r>
      <w:r w:rsidR="005C5619">
        <w:rPr>
          <w:rFonts w:asciiTheme="majorHAnsi" w:hAnsiTheme="majorHAnsi"/>
        </w:rPr>
        <w:t>employees with state health department employees with expertise in the area of the interview guide. Feedback</w:t>
      </w:r>
      <w:r w:rsidR="005C5619" w:rsidRPr="00114B64">
        <w:rPr>
          <w:rFonts w:asciiTheme="majorHAnsi" w:hAnsiTheme="majorHAnsi"/>
        </w:rPr>
        <w:t xml:space="preserve"> was used to refine </w:t>
      </w:r>
      <w:r w:rsidR="005C5619">
        <w:rPr>
          <w:rFonts w:asciiTheme="majorHAnsi" w:hAnsiTheme="majorHAnsi"/>
        </w:rPr>
        <w:t xml:space="preserve">questions and probes, and estimate burden hours. </w:t>
      </w:r>
      <w:r w:rsidR="00A85AEB" w:rsidRPr="005C5619">
        <w:rPr>
          <w:rFonts w:asciiTheme="majorHAnsi" w:hAnsiTheme="majorHAnsi"/>
        </w:rPr>
        <w:t xml:space="preserve">In the pilot test </w:t>
      </w:r>
      <w:r w:rsidR="005C5619">
        <w:rPr>
          <w:rFonts w:asciiTheme="majorHAnsi" w:hAnsiTheme="majorHAnsi"/>
        </w:rPr>
        <w:t>of</w:t>
      </w:r>
      <w:r w:rsidR="00A85AEB" w:rsidRPr="005C5619">
        <w:rPr>
          <w:rFonts w:asciiTheme="majorHAnsi" w:hAnsiTheme="majorHAnsi"/>
        </w:rPr>
        <w:t xml:space="preserve"> the</w:t>
      </w:r>
      <w:r w:rsidR="00DE4810" w:rsidRPr="005C5619">
        <w:rPr>
          <w:rFonts w:asciiTheme="majorHAnsi" w:hAnsiTheme="majorHAnsi"/>
        </w:rPr>
        <w:t xml:space="preserve"> two</w:t>
      </w:r>
      <w:r w:rsidR="00A85AEB" w:rsidRPr="005C5619">
        <w:rPr>
          <w:rFonts w:asciiTheme="majorHAnsi" w:hAnsiTheme="majorHAnsi"/>
        </w:rPr>
        <w:t xml:space="preserve"> HAI Coordinator</w:t>
      </w:r>
      <w:r w:rsidR="004F16FE" w:rsidRPr="005C5619">
        <w:rPr>
          <w:rFonts w:asciiTheme="majorHAnsi" w:hAnsiTheme="majorHAnsi"/>
        </w:rPr>
        <w:t>s</w:t>
      </w:r>
      <w:r w:rsidR="005C5619">
        <w:rPr>
          <w:rFonts w:asciiTheme="majorHAnsi" w:hAnsiTheme="majorHAnsi"/>
        </w:rPr>
        <w:t xml:space="preserve">/Epidemiologists </w:t>
      </w:r>
      <w:r w:rsidR="00A85AEB" w:rsidRPr="005C5619">
        <w:rPr>
          <w:rFonts w:asciiTheme="majorHAnsi" w:hAnsiTheme="majorHAnsi"/>
        </w:rPr>
        <w:t xml:space="preserve">the average time to complete interview, including time for reviewing instructions, was approximately </w:t>
      </w:r>
      <w:r w:rsidR="00DE4810" w:rsidRPr="005C5619">
        <w:rPr>
          <w:rFonts w:asciiTheme="majorHAnsi" w:hAnsiTheme="majorHAnsi"/>
        </w:rPr>
        <w:t xml:space="preserve">27 and </w:t>
      </w:r>
      <w:r w:rsidR="00D70488">
        <w:rPr>
          <w:rFonts w:asciiTheme="majorHAnsi" w:hAnsiTheme="majorHAnsi"/>
        </w:rPr>
        <w:t>30</w:t>
      </w:r>
      <w:r w:rsidR="00A85AEB" w:rsidRPr="005C5619">
        <w:rPr>
          <w:rFonts w:asciiTheme="majorHAnsi" w:hAnsiTheme="majorHAnsi"/>
        </w:rPr>
        <w:t xml:space="preserve"> minutes. For the purposes of estimating burden hours, the upper limit of this range (i.e., 30 minutes) is used. In the pilot test of the Legal Counsel, the average time to complete the interview, including time for reviewing instructions, was approximately 37</w:t>
      </w:r>
      <w:r w:rsidR="00D70488">
        <w:rPr>
          <w:rFonts w:asciiTheme="majorHAnsi" w:hAnsiTheme="majorHAnsi"/>
        </w:rPr>
        <w:t>-40</w:t>
      </w:r>
      <w:r w:rsidR="00A85AEB" w:rsidRPr="005C5619">
        <w:rPr>
          <w:rFonts w:asciiTheme="majorHAnsi" w:hAnsiTheme="majorHAnsi"/>
        </w:rPr>
        <w:t xml:space="preserve"> minutes. For the purposes of estimating burden hours, the upper limit of this range (i.e. 40 minutes) is used. In the pilot test of the Informatics Directors, the average time to complete the interview, including time for reviewing instructions</w:t>
      </w:r>
      <w:r w:rsidR="00DE4810" w:rsidRPr="005C5619">
        <w:rPr>
          <w:rFonts w:asciiTheme="majorHAnsi" w:hAnsiTheme="majorHAnsi"/>
        </w:rPr>
        <w:t>, was approximately 20</w:t>
      </w:r>
      <w:r w:rsidR="00D70488">
        <w:rPr>
          <w:rFonts w:asciiTheme="majorHAnsi" w:hAnsiTheme="majorHAnsi"/>
        </w:rPr>
        <w:t>-30</w:t>
      </w:r>
      <w:r w:rsidR="00A85AEB" w:rsidRPr="005C5619">
        <w:rPr>
          <w:rFonts w:asciiTheme="majorHAnsi" w:hAnsiTheme="majorHAnsi"/>
        </w:rPr>
        <w:t xml:space="preserve"> minutes. For the purposes of estimating burden hours, the upper limit of this range (i.e. 30 minutes) is used.</w:t>
      </w:r>
    </w:p>
    <w:p w:rsidR="00F54FE8" w:rsidRDefault="00F54FE8" w:rsidP="00BF76E6">
      <w:pPr>
        <w:pStyle w:val="ListParagraph"/>
        <w:spacing w:after="0"/>
        <w:ind w:left="360"/>
        <w:rPr>
          <w:rFonts w:asciiTheme="majorHAnsi" w:hAnsiTheme="majorHAnsi"/>
        </w:rPr>
      </w:pPr>
    </w:p>
    <w:p w:rsidR="009759F3" w:rsidRPr="009759F3" w:rsidRDefault="009759F3" w:rsidP="00BF76E6">
      <w:pPr>
        <w:pStyle w:val="ListParagraph"/>
        <w:numPr>
          <w:ilvl w:val="0"/>
          <w:numId w:val="3"/>
        </w:numPr>
        <w:spacing w:after="0"/>
        <w:ind w:left="360"/>
        <w:rPr>
          <w:rFonts w:asciiTheme="majorHAnsi" w:hAnsiTheme="majorHAnsi"/>
          <w:b/>
        </w:rPr>
      </w:pPr>
      <w:r w:rsidRPr="009759F3">
        <w:rPr>
          <w:rFonts w:asciiTheme="majorHAnsi" w:hAnsiTheme="majorHAnsi"/>
          <w:b/>
          <w:bCs/>
        </w:rPr>
        <w:t>Individuals Consulted on Statistical Aspects and Individuals Collecting and/or Analyzing Data</w:t>
      </w:r>
    </w:p>
    <w:p w:rsidR="00287E2F" w:rsidRDefault="00287E2F" w:rsidP="00BF76E6">
      <w:pPr>
        <w:pStyle w:val="ListParagraph"/>
        <w:spacing w:after="0"/>
        <w:ind w:left="360"/>
        <w:rPr>
          <w:rFonts w:asciiTheme="majorHAnsi" w:hAnsiTheme="majorHAnsi"/>
          <w:b/>
        </w:rPr>
      </w:pPr>
    </w:p>
    <w:p w:rsidR="00B56B4A" w:rsidRDefault="00B56B4A" w:rsidP="00BF76E6">
      <w:pPr>
        <w:pStyle w:val="ListParagraph"/>
        <w:spacing w:after="0"/>
        <w:ind w:left="360"/>
        <w:rPr>
          <w:rFonts w:asciiTheme="majorHAnsi" w:hAnsiTheme="majorHAnsi"/>
        </w:rPr>
      </w:pPr>
      <w:r>
        <w:rPr>
          <w:rFonts w:asciiTheme="majorHAnsi" w:hAnsiTheme="majorHAnsi"/>
        </w:rPr>
        <w:t xml:space="preserve">The following individuals were consulted to provide advice about the design of these collection activities: </w:t>
      </w:r>
    </w:p>
    <w:p w:rsidR="00B56B4A" w:rsidRDefault="00B56B4A" w:rsidP="00BF76E6">
      <w:pPr>
        <w:pStyle w:val="ListParagraph"/>
        <w:spacing w:after="0"/>
        <w:ind w:left="360"/>
        <w:rPr>
          <w:rFonts w:asciiTheme="majorHAnsi" w:hAnsiTheme="majorHAnsi"/>
        </w:rPr>
      </w:pPr>
    </w:p>
    <w:p w:rsidR="00B56B4A" w:rsidRDefault="00B56B4A" w:rsidP="00BF76E6">
      <w:pPr>
        <w:pStyle w:val="ListParagraph"/>
        <w:spacing w:after="0"/>
        <w:ind w:left="360"/>
        <w:rPr>
          <w:rFonts w:asciiTheme="majorHAnsi" w:hAnsiTheme="majorHAnsi"/>
        </w:rPr>
      </w:pPr>
      <w:r>
        <w:rPr>
          <w:rFonts w:asciiTheme="majorHAnsi" w:hAnsiTheme="majorHAnsi"/>
        </w:rPr>
        <w:t>Christine Prue, PhD</w:t>
      </w:r>
    </w:p>
    <w:p w:rsidR="00B56B4A" w:rsidRDefault="00392A94" w:rsidP="00BF76E6">
      <w:pPr>
        <w:pStyle w:val="ListParagraph"/>
        <w:spacing w:after="0"/>
        <w:ind w:left="360"/>
        <w:rPr>
          <w:rFonts w:asciiTheme="majorHAnsi" w:hAnsiTheme="majorHAnsi"/>
        </w:rPr>
      </w:pPr>
      <w:r>
        <w:rPr>
          <w:rFonts w:asciiTheme="majorHAnsi" w:hAnsiTheme="majorHAnsi"/>
        </w:rPr>
        <w:t>Associate Director for Behavioral Science in NCEZID</w:t>
      </w:r>
    </w:p>
    <w:p w:rsidR="00CC7397" w:rsidRDefault="00CC7397" w:rsidP="00BF76E6">
      <w:pPr>
        <w:pStyle w:val="ListParagraph"/>
        <w:spacing w:after="0"/>
        <w:ind w:left="360"/>
        <w:rPr>
          <w:rFonts w:asciiTheme="majorHAnsi" w:hAnsiTheme="majorHAnsi"/>
        </w:rPr>
      </w:pPr>
      <w:r>
        <w:rPr>
          <w:rFonts w:asciiTheme="majorHAnsi" w:hAnsiTheme="majorHAnsi"/>
        </w:rPr>
        <w:t>Centers for Disease Control and Prevention</w:t>
      </w:r>
    </w:p>
    <w:p w:rsidR="00CC7397" w:rsidRDefault="00CC7397" w:rsidP="00BF76E6">
      <w:pPr>
        <w:pStyle w:val="ListParagraph"/>
        <w:spacing w:after="0"/>
        <w:ind w:left="360"/>
        <w:rPr>
          <w:rFonts w:asciiTheme="majorHAnsi" w:hAnsiTheme="majorHAnsi"/>
        </w:rPr>
      </w:pPr>
      <w:r>
        <w:rPr>
          <w:rFonts w:asciiTheme="majorHAnsi" w:hAnsiTheme="majorHAnsi"/>
        </w:rPr>
        <w:t>1600 Clifton Road NE, MS C-12</w:t>
      </w:r>
    </w:p>
    <w:p w:rsidR="00CC7397" w:rsidRDefault="00CC7397" w:rsidP="00BF76E6">
      <w:pPr>
        <w:pStyle w:val="ListParagraph"/>
        <w:spacing w:after="0"/>
        <w:ind w:left="360"/>
        <w:rPr>
          <w:rFonts w:asciiTheme="majorHAnsi" w:hAnsiTheme="majorHAnsi"/>
        </w:rPr>
      </w:pPr>
      <w:r>
        <w:rPr>
          <w:rFonts w:asciiTheme="majorHAnsi" w:hAnsiTheme="majorHAnsi"/>
        </w:rPr>
        <w:t>Atlanta, GA 30333</w:t>
      </w:r>
    </w:p>
    <w:p w:rsidR="00280766" w:rsidRDefault="00D70488" w:rsidP="00280766">
      <w:pPr>
        <w:pStyle w:val="ListParagraph"/>
        <w:spacing w:after="0"/>
        <w:ind w:left="360"/>
        <w:rPr>
          <w:rFonts w:asciiTheme="majorHAnsi" w:hAnsiTheme="majorHAnsi"/>
        </w:rPr>
      </w:pPr>
      <w:r>
        <w:rPr>
          <w:rFonts w:asciiTheme="majorHAnsi" w:hAnsiTheme="majorHAnsi"/>
        </w:rPr>
        <w:t>(O) 404-639-2273</w:t>
      </w:r>
    </w:p>
    <w:p w:rsidR="00315FC4" w:rsidRPr="00A85AEB" w:rsidRDefault="00315FC4" w:rsidP="00A85AEB">
      <w:pPr>
        <w:spacing w:after="0"/>
        <w:rPr>
          <w:rFonts w:asciiTheme="majorHAnsi" w:hAnsiTheme="majorHAnsi"/>
        </w:rPr>
      </w:pPr>
    </w:p>
    <w:p w:rsidR="00B56B4A" w:rsidRDefault="00B56B4A" w:rsidP="00BF76E6">
      <w:pPr>
        <w:pStyle w:val="ListParagraph"/>
        <w:spacing w:after="0"/>
        <w:ind w:left="360"/>
        <w:rPr>
          <w:rFonts w:asciiTheme="majorHAnsi" w:hAnsiTheme="majorHAnsi"/>
        </w:rPr>
      </w:pPr>
      <w:r>
        <w:rPr>
          <w:rFonts w:asciiTheme="majorHAnsi" w:hAnsiTheme="majorHAnsi"/>
        </w:rPr>
        <w:t>The team of individuals working on this information, including instrument development, supporting data collection and analysis will consist</w:t>
      </w:r>
      <w:r w:rsidR="004C7905">
        <w:rPr>
          <w:rFonts w:asciiTheme="majorHAnsi" w:hAnsiTheme="majorHAnsi"/>
        </w:rPr>
        <w:t xml:space="preserve"> of members from </w:t>
      </w:r>
      <w:r w:rsidR="00CC7397">
        <w:rPr>
          <w:rFonts w:asciiTheme="majorHAnsi" w:hAnsiTheme="majorHAnsi"/>
        </w:rPr>
        <w:t xml:space="preserve">NCEZID, OSTLTS, CSELS, and ASTHO. </w:t>
      </w:r>
    </w:p>
    <w:p w:rsidR="00CC7397" w:rsidRPr="00260D46" w:rsidRDefault="00CC7397" w:rsidP="00260D46">
      <w:pPr>
        <w:spacing w:after="0"/>
        <w:rPr>
          <w:rFonts w:asciiTheme="majorHAnsi" w:hAnsiTheme="majorHAnsi"/>
        </w:rPr>
      </w:pPr>
    </w:p>
    <w:tbl>
      <w:tblPr>
        <w:tblStyle w:val="TableGrid"/>
        <w:tblW w:w="0" w:type="auto"/>
        <w:tblInd w:w="-162" w:type="dxa"/>
        <w:tblLayout w:type="fixed"/>
        <w:tblLook w:val="04A0" w:firstRow="1" w:lastRow="0" w:firstColumn="1" w:lastColumn="0" w:noHBand="0" w:noVBand="1"/>
      </w:tblPr>
      <w:tblGrid>
        <w:gridCol w:w="1350"/>
        <w:gridCol w:w="1260"/>
        <w:gridCol w:w="1305"/>
        <w:gridCol w:w="22"/>
        <w:gridCol w:w="1361"/>
        <w:gridCol w:w="22"/>
        <w:gridCol w:w="2150"/>
        <w:gridCol w:w="1710"/>
      </w:tblGrid>
      <w:tr w:rsidR="008C2FFB" w:rsidTr="00BF76E6">
        <w:tc>
          <w:tcPr>
            <w:tcW w:w="1350" w:type="dxa"/>
            <w:shd w:val="clear" w:color="auto" w:fill="D9D9D9" w:themeFill="background1" w:themeFillShade="D9"/>
            <w:vAlign w:val="center"/>
          </w:tcPr>
          <w:p w:rsidR="008C2FFB" w:rsidRPr="00CC7397" w:rsidRDefault="008C2FFB" w:rsidP="00CC7397">
            <w:pPr>
              <w:jc w:val="center"/>
              <w:rPr>
                <w:b/>
              </w:rPr>
            </w:pPr>
            <w:r w:rsidRPr="00CC7397">
              <w:rPr>
                <w:b/>
              </w:rPr>
              <w:t>Name</w:t>
            </w:r>
          </w:p>
        </w:tc>
        <w:tc>
          <w:tcPr>
            <w:tcW w:w="1260" w:type="dxa"/>
            <w:shd w:val="clear" w:color="auto" w:fill="D9D9D9" w:themeFill="background1" w:themeFillShade="D9"/>
            <w:vAlign w:val="center"/>
          </w:tcPr>
          <w:p w:rsidR="008C2FFB" w:rsidRPr="00CC7397" w:rsidRDefault="008C2FFB" w:rsidP="00CC7397">
            <w:pPr>
              <w:jc w:val="center"/>
              <w:rPr>
                <w:b/>
              </w:rPr>
            </w:pPr>
            <w:r w:rsidRPr="00CC7397">
              <w:rPr>
                <w:b/>
              </w:rPr>
              <w:t>Organization</w:t>
            </w:r>
          </w:p>
        </w:tc>
        <w:tc>
          <w:tcPr>
            <w:tcW w:w="1305" w:type="dxa"/>
            <w:shd w:val="clear" w:color="auto" w:fill="D9D9D9" w:themeFill="background1" w:themeFillShade="D9"/>
            <w:vAlign w:val="center"/>
          </w:tcPr>
          <w:p w:rsidR="008C2FFB" w:rsidRPr="00CC7397" w:rsidRDefault="008C2FFB" w:rsidP="00CC7397">
            <w:pPr>
              <w:jc w:val="center"/>
              <w:rPr>
                <w:b/>
              </w:rPr>
            </w:pPr>
            <w:r w:rsidRPr="00CC7397">
              <w:rPr>
                <w:b/>
              </w:rPr>
              <w:t>Division</w:t>
            </w:r>
          </w:p>
        </w:tc>
        <w:tc>
          <w:tcPr>
            <w:tcW w:w="1383" w:type="dxa"/>
            <w:gridSpan w:val="2"/>
            <w:shd w:val="clear" w:color="auto" w:fill="D9D9D9" w:themeFill="background1" w:themeFillShade="D9"/>
            <w:vAlign w:val="center"/>
          </w:tcPr>
          <w:p w:rsidR="008C2FFB" w:rsidRPr="00CC7397" w:rsidRDefault="008C2FFB" w:rsidP="001761F8">
            <w:pPr>
              <w:jc w:val="center"/>
              <w:rPr>
                <w:b/>
              </w:rPr>
            </w:pPr>
            <w:r>
              <w:rPr>
                <w:b/>
              </w:rPr>
              <w:t>Title</w:t>
            </w:r>
          </w:p>
        </w:tc>
        <w:tc>
          <w:tcPr>
            <w:tcW w:w="2172" w:type="dxa"/>
            <w:gridSpan w:val="2"/>
            <w:shd w:val="clear" w:color="auto" w:fill="D9D9D9" w:themeFill="background1" w:themeFillShade="D9"/>
            <w:vAlign w:val="center"/>
          </w:tcPr>
          <w:p w:rsidR="008C2FFB" w:rsidRPr="00CC7397" w:rsidRDefault="008C2FFB" w:rsidP="00CC7397">
            <w:pPr>
              <w:jc w:val="center"/>
              <w:rPr>
                <w:b/>
              </w:rPr>
            </w:pPr>
            <w:r w:rsidRPr="00CC7397">
              <w:rPr>
                <w:b/>
              </w:rPr>
              <w:t>Email</w:t>
            </w:r>
          </w:p>
        </w:tc>
        <w:tc>
          <w:tcPr>
            <w:tcW w:w="1710" w:type="dxa"/>
            <w:shd w:val="clear" w:color="auto" w:fill="D9D9D9" w:themeFill="background1" w:themeFillShade="D9"/>
            <w:vAlign w:val="center"/>
          </w:tcPr>
          <w:p w:rsidR="008C2FFB" w:rsidRPr="00CC7397" w:rsidRDefault="008C2FFB" w:rsidP="00CC7397">
            <w:pPr>
              <w:jc w:val="center"/>
              <w:rPr>
                <w:b/>
              </w:rPr>
            </w:pPr>
            <w:r w:rsidRPr="00CC7397">
              <w:rPr>
                <w:b/>
              </w:rPr>
              <w:t>Phone Number</w:t>
            </w:r>
          </w:p>
        </w:tc>
      </w:tr>
      <w:tr w:rsidR="008C2FFB" w:rsidTr="00BF76E6">
        <w:tc>
          <w:tcPr>
            <w:tcW w:w="1350" w:type="dxa"/>
            <w:vAlign w:val="center"/>
          </w:tcPr>
          <w:p w:rsidR="008C2FFB" w:rsidRDefault="008C2FFB" w:rsidP="00CC7397">
            <w:pPr>
              <w:tabs>
                <w:tab w:val="left" w:pos="960"/>
              </w:tabs>
            </w:pPr>
            <w:r>
              <w:t>Cairns, Catherine</w:t>
            </w:r>
          </w:p>
        </w:tc>
        <w:tc>
          <w:tcPr>
            <w:tcW w:w="1260" w:type="dxa"/>
            <w:vAlign w:val="center"/>
          </w:tcPr>
          <w:p w:rsidR="008C2FFB" w:rsidRDefault="008C2FFB" w:rsidP="00CC7397">
            <w:pPr>
              <w:jc w:val="center"/>
            </w:pPr>
            <w:r>
              <w:t>ASTHO</w:t>
            </w:r>
          </w:p>
        </w:tc>
        <w:tc>
          <w:tcPr>
            <w:tcW w:w="1327" w:type="dxa"/>
            <w:gridSpan w:val="2"/>
            <w:vAlign w:val="center"/>
          </w:tcPr>
          <w:p w:rsidR="008C2FFB" w:rsidRDefault="008C2FFB" w:rsidP="00CC7397">
            <w:r>
              <w:t>Infectious Diseases</w:t>
            </w:r>
          </w:p>
        </w:tc>
        <w:tc>
          <w:tcPr>
            <w:tcW w:w="1383" w:type="dxa"/>
            <w:gridSpan w:val="2"/>
            <w:vAlign w:val="center"/>
          </w:tcPr>
          <w:p w:rsidR="008C2FFB" w:rsidRPr="00956EBE" w:rsidRDefault="008C2FFB" w:rsidP="001761F8">
            <w:pPr>
              <w:jc w:val="center"/>
            </w:pPr>
            <w:r>
              <w:t>Director, Infectious Disease</w:t>
            </w:r>
          </w:p>
        </w:tc>
        <w:tc>
          <w:tcPr>
            <w:tcW w:w="2150" w:type="dxa"/>
            <w:vAlign w:val="center"/>
          </w:tcPr>
          <w:p w:rsidR="008C2FFB" w:rsidRDefault="008C2FFB" w:rsidP="00CC7397">
            <w:r w:rsidRPr="00956EBE">
              <w:t>ccairns@astho.org</w:t>
            </w:r>
          </w:p>
        </w:tc>
        <w:tc>
          <w:tcPr>
            <w:tcW w:w="1710" w:type="dxa"/>
            <w:vAlign w:val="center"/>
          </w:tcPr>
          <w:p w:rsidR="008C2FFB" w:rsidRDefault="008C2FFB" w:rsidP="00CC7397">
            <w:r>
              <w:t>571-527-3150</w:t>
            </w:r>
          </w:p>
        </w:tc>
      </w:tr>
      <w:tr w:rsidR="008C2FFB" w:rsidTr="00BF76E6">
        <w:tc>
          <w:tcPr>
            <w:tcW w:w="1350" w:type="dxa"/>
            <w:vAlign w:val="center"/>
          </w:tcPr>
          <w:p w:rsidR="008C2FFB" w:rsidRDefault="008C2FFB" w:rsidP="00CC7397">
            <w:r>
              <w:t>Conn, Laura</w:t>
            </w:r>
          </w:p>
        </w:tc>
        <w:tc>
          <w:tcPr>
            <w:tcW w:w="1260" w:type="dxa"/>
            <w:vAlign w:val="center"/>
          </w:tcPr>
          <w:p w:rsidR="008C2FFB" w:rsidRDefault="008C2FFB" w:rsidP="00CC7397">
            <w:pPr>
              <w:jc w:val="center"/>
            </w:pPr>
            <w:r>
              <w:t>CDC</w:t>
            </w:r>
          </w:p>
        </w:tc>
        <w:tc>
          <w:tcPr>
            <w:tcW w:w="1327" w:type="dxa"/>
            <w:gridSpan w:val="2"/>
            <w:vAlign w:val="center"/>
          </w:tcPr>
          <w:p w:rsidR="008C2FFB" w:rsidRDefault="008C2FFB" w:rsidP="00CC7397">
            <w:r>
              <w:t xml:space="preserve">OPHSS/Health Information </w:t>
            </w:r>
            <w:r>
              <w:lastRenderedPageBreak/>
              <w:t>Technology and Surveillance Strategy</w:t>
            </w:r>
          </w:p>
        </w:tc>
        <w:tc>
          <w:tcPr>
            <w:tcW w:w="1383" w:type="dxa"/>
            <w:gridSpan w:val="2"/>
            <w:vAlign w:val="center"/>
          </w:tcPr>
          <w:p w:rsidR="008C2FFB" w:rsidRDefault="008C2FFB" w:rsidP="001761F8">
            <w:pPr>
              <w:jc w:val="center"/>
            </w:pPr>
            <w:r>
              <w:lastRenderedPageBreak/>
              <w:t>Health Scientist</w:t>
            </w:r>
          </w:p>
        </w:tc>
        <w:tc>
          <w:tcPr>
            <w:tcW w:w="2150" w:type="dxa"/>
            <w:vAlign w:val="center"/>
          </w:tcPr>
          <w:p w:rsidR="008C2FFB" w:rsidRDefault="008C2FFB" w:rsidP="00CC7397">
            <w:r>
              <w:t>lconn@cdc.gov</w:t>
            </w:r>
          </w:p>
        </w:tc>
        <w:tc>
          <w:tcPr>
            <w:tcW w:w="1710" w:type="dxa"/>
            <w:vAlign w:val="center"/>
          </w:tcPr>
          <w:p w:rsidR="008C2FFB" w:rsidRDefault="008C2FFB" w:rsidP="00CC7397">
            <w:r>
              <w:t>404-498-0971</w:t>
            </w:r>
          </w:p>
        </w:tc>
      </w:tr>
      <w:tr w:rsidR="008C2FFB" w:rsidTr="00BF76E6">
        <w:tc>
          <w:tcPr>
            <w:tcW w:w="1350" w:type="dxa"/>
            <w:vAlign w:val="center"/>
          </w:tcPr>
          <w:p w:rsidR="008C2FFB" w:rsidRDefault="008C2FFB" w:rsidP="00CC7397">
            <w:proofErr w:type="spellStart"/>
            <w:r>
              <w:lastRenderedPageBreak/>
              <w:t>Dolen</w:t>
            </w:r>
            <w:proofErr w:type="spellEnd"/>
            <w:r>
              <w:t xml:space="preserve">, </w:t>
            </w:r>
            <w:proofErr w:type="spellStart"/>
            <w:r>
              <w:t>Virgina</w:t>
            </w:r>
            <w:proofErr w:type="spellEnd"/>
          </w:p>
        </w:tc>
        <w:tc>
          <w:tcPr>
            <w:tcW w:w="1260" w:type="dxa"/>
            <w:vAlign w:val="center"/>
          </w:tcPr>
          <w:p w:rsidR="008C2FFB" w:rsidRDefault="008C2FFB" w:rsidP="00CC7397">
            <w:pPr>
              <w:jc w:val="center"/>
            </w:pPr>
            <w:r>
              <w:t>ASTHO</w:t>
            </w:r>
          </w:p>
        </w:tc>
        <w:tc>
          <w:tcPr>
            <w:tcW w:w="1327" w:type="dxa"/>
            <w:gridSpan w:val="2"/>
            <w:vAlign w:val="center"/>
          </w:tcPr>
          <w:p w:rsidR="008C2FFB" w:rsidRDefault="008C2FFB" w:rsidP="00CC7397">
            <w:r>
              <w:t>Immunization and Infectious Disease</w:t>
            </w:r>
          </w:p>
        </w:tc>
        <w:tc>
          <w:tcPr>
            <w:tcW w:w="1383" w:type="dxa"/>
            <w:gridSpan w:val="2"/>
            <w:vAlign w:val="center"/>
          </w:tcPr>
          <w:p w:rsidR="008C2FFB" w:rsidRDefault="008C2FFB" w:rsidP="001761F8">
            <w:pPr>
              <w:jc w:val="center"/>
            </w:pPr>
            <w:r>
              <w:t>Senior Analyst, Immunizations and Infectious Diseases</w:t>
            </w:r>
          </w:p>
        </w:tc>
        <w:tc>
          <w:tcPr>
            <w:tcW w:w="2150" w:type="dxa"/>
            <w:vAlign w:val="center"/>
          </w:tcPr>
          <w:p w:rsidR="008C2FFB" w:rsidRDefault="008C2FFB" w:rsidP="00CC7397">
            <w:r>
              <w:t>vdolen@astho.org</w:t>
            </w:r>
          </w:p>
        </w:tc>
        <w:tc>
          <w:tcPr>
            <w:tcW w:w="1710" w:type="dxa"/>
            <w:vAlign w:val="center"/>
          </w:tcPr>
          <w:p w:rsidR="008C2FFB" w:rsidRDefault="008C2FFB" w:rsidP="00CC7397">
            <w:r>
              <w:t>571-527-3161</w:t>
            </w:r>
          </w:p>
        </w:tc>
      </w:tr>
      <w:tr w:rsidR="008C2FFB" w:rsidTr="00BF76E6">
        <w:tc>
          <w:tcPr>
            <w:tcW w:w="1350" w:type="dxa"/>
            <w:vAlign w:val="center"/>
          </w:tcPr>
          <w:p w:rsidR="008C2FFB" w:rsidRDefault="008C2FFB" w:rsidP="00CC7397">
            <w:r>
              <w:t>Joshi, Cecilia</w:t>
            </w:r>
          </w:p>
        </w:tc>
        <w:tc>
          <w:tcPr>
            <w:tcW w:w="1260" w:type="dxa"/>
            <w:vAlign w:val="center"/>
          </w:tcPr>
          <w:p w:rsidR="008C2FFB" w:rsidRDefault="008C2FFB" w:rsidP="00CC7397">
            <w:pPr>
              <w:jc w:val="center"/>
            </w:pPr>
            <w:r>
              <w:t>CDC</w:t>
            </w:r>
          </w:p>
        </w:tc>
        <w:tc>
          <w:tcPr>
            <w:tcW w:w="1327" w:type="dxa"/>
            <w:gridSpan w:val="2"/>
            <w:vAlign w:val="center"/>
          </w:tcPr>
          <w:p w:rsidR="008C2FFB" w:rsidRDefault="008C2FFB" w:rsidP="00CC7397">
            <w:r>
              <w:t xml:space="preserve">NCEZID/Office of Infectious Diseases </w:t>
            </w:r>
          </w:p>
        </w:tc>
        <w:tc>
          <w:tcPr>
            <w:tcW w:w="1383" w:type="dxa"/>
            <w:gridSpan w:val="2"/>
            <w:vAlign w:val="center"/>
          </w:tcPr>
          <w:p w:rsidR="008C2FFB" w:rsidRDefault="008C2FFB" w:rsidP="001761F8">
            <w:pPr>
              <w:jc w:val="center"/>
            </w:pPr>
            <w:r>
              <w:t>Associate Director for Policy</w:t>
            </w:r>
          </w:p>
        </w:tc>
        <w:tc>
          <w:tcPr>
            <w:tcW w:w="2150" w:type="dxa"/>
            <w:vAlign w:val="center"/>
          </w:tcPr>
          <w:p w:rsidR="008C2FFB" w:rsidRDefault="008C2FFB" w:rsidP="00CC7397">
            <w:r>
              <w:t>cjoshi@cdc.gov</w:t>
            </w:r>
          </w:p>
        </w:tc>
        <w:tc>
          <w:tcPr>
            <w:tcW w:w="1710" w:type="dxa"/>
            <w:vAlign w:val="center"/>
          </w:tcPr>
          <w:p w:rsidR="008C2FFB" w:rsidRDefault="008C2FFB" w:rsidP="00CC7397">
            <w:r>
              <w:t>404-639-7303</w:t>
            </w:r>
          </w:p>
        </w:tc>
      </w:tr>
      <w:tr w:rsidR="008C2FFB" w:rsidTr="00BF76E6">
        <w:tc>
          <w:tcPr>
            <w:tcW w:w="1350" w:type="dxa"/>
            <w:vAlign w:val="center"/>
          </w:tcPr>
          <w:p w:rsidR="008C2FFB" w:rsidRDefault="008C2FFB" w:rsidP="00CC7397">
            <w:r>
              <w:t>Mothershed, Elizabeth</w:t>
            </w:r>
          </w:p>
        </w:tc>
        <w:tc>
          <w:tcPr>
            <w:tcW w:w="1260" w:type="dxa"/>
            <w:vAlign w:val="center"/>
          </w:tcPr>
          <w:p w:rsidR="008C2FFB" w:rsidRDefault="008C2FFB" w:rsidP="00CC7397">
            <w:pPr>
              <w:jc w:val="center"/>
            </w:pPr>
            <w:r>
              <w:t>CDC</w:t>
            </w:r>
          </w:p>
        </w:tc>
        <w:tc>
          <w:tcPr>
            <w:tcW w:w="1327" w:type="dxa"/>
            <w:gridSpan w:val="2"/>
            <w:vAlign w:val="center"/>
          </w:tcPr>
          <w:p w:rsidR="008C2FFB" w:rsidRDefault="008C2FFB" w:rsidP="00CC7397">
            <w:r>
              <w:t>NCEZID/</w:t>
            </w:r>
            <w:r w:rsidRPr="00391ECC">
              <w:t xml:space="preserve">Division of Healthcare Quality Promotion </w:t>
            </w:r>
          </w:p>
        </w:tc>
        <w:tc>
          <w:tcPr>
            <w:tcW w:w="1383" w:type="dxa"/>
            <w:gridSpan w:val="2"/>
            <w:vAlign w:val="center"/>
          </w:tcPr>
          <w:p w:rsidR="008C2FFB" w:rsidRDefault="008C2FFB" w:rsidP="001761F8">
            <w:pPr>
              <w:jc w:val="center"/>
            </w:pPr>
            <w:r>
              <w:t>Associate Director for Policy (Acting)</w:t>
            </w:r>
          </w:p>
        </w:tc>
        <w:tc>
          <w:tcPr>
            <w:tcW w:w="2150" w:type="dxa"/>
            <w:vAlign w:val="center"/>
          </w:tcPr>
          <w:p w:rsidR="008C2FFB" w:rsidRDefault="008C2FFB" w:rsidP="00CC7397">
            <w:r>
              <w:t>emothershed@cdc.gov</w:t>
            </w:r>
          </w:p>
        </w:tc>
        <w:tc>
          <w:tcPr>
            <w:tcW w:w="1710" w:type="dxa"/>
            <w:vAlign w:val="center"/>
          </w:tcPr>
          <w:p w:rsidR="008C2FFB" w:rsidRDefault="008C2FFB" w:rsidP="00CC7397">
            <w:r>
              <w:t>404-639-4780</w:t>
            </w:r>
          </w:p>
        </w:tc>
      </w:tr>
      <w:tr w:rsidR="008C2FFB" w:rsidTr="00BF76E6">
        <w:tc>
          <w:tcPr>
            <w:tcW w:w="1350" w:type="dxa"/>
            <w:vAlign w:val="center"/>
          </w:tcPr>
          <w:p w:rsidR="008C2FFB" w:rsidRDefault="008C2FFB" w:rsidP="00CC7397">
            <w:r>
              <w:t>Penn, Matthew</w:t>
            </w:r>
          </w:p>
        </w:tc>
        <w:tc>
          <w:tcPr>
            <w:tcW w:w="1260" w:type="dxa"/>
            <w:vAlign w:val="center"/>
          </w:tcPr>
          <w:p w:rsidR="008C2FFB" w:rsidRDefault="008C2FFB" w:rsidP="00CC7397">
            <w:pPr>
              <w:jc w:val="center"/>
            </w:pPr>
            <w:r>
              <w:t>CDC</w:t>
            </w:r>
          </w:p>
        </w:tc>
        <w:tc>
          <w:tcPr>
            <w:tcW w:w="1327" w:type="dxa"/>
            <w:gridSpan w:val="2"/>
            <w:vAlign w:val="center"/>
          </w:tcPr>
          <w:p w:rsidR="008C2FFB" w:rsidRDefault="008C2FFB" w:rsidP="00CC7397">
            <w:r>
              <w:t xml:space="preserve">OSTLTS/Public Health Law Program </w:t>
            </w:r>
          </w:p>
        </w:tc>
        <w:tc>
          <w:tcPr>
            <w:tcW w:w="1383" w:type="dxa"/>
            <w:gridSpan w:val="2"/>
            <w:vAlign w:val="center"/>
          </w:tcPr>
          <w:p w:rsidR="008C2FFB" w:rsidRDefault="008C2FFB" w:rsidP="001761F8">
            <w:pPr>
              <w:jc w:val="center"/>
            </w:pPr>
            <w:r>
              <w:t>Director for Public Health Law</w:t>
            </w:r>
          </w:p>
        </w:tc>
        <w:tc>
          <w:tcPr>
            <w:tcW w:w="2150" w:type="dxa"/>
            <w:vAlign w:val="center"/>
          </w:tcPr>
          <w:p w:rsidR="008C2FFB" w:rsidRDefault="008C2FFB" w:rsidP="00CC7397">
            <w:r>
              <w:t>mpenn@cdc.gov</w:t>
            </w:r>
          </w:p>
        </w:tc>
        <w:tc>
          <w:tcPr>
            <w:tcW w:w="1710" w:type="dxa"/>
            <w:vAlign w:val="center"/>
          </w:tcPr>
          <w:p w:rsidR="008C2FFB" w:rsidRDefault="008C2FFB" w:rsidP="00CC7397">
            <w:r>
              <w:t>404-498-0452</w:t>
            </w:r>
          </w:p>
        </w:tc>
      </w:tr>
      <w:tr w:rsidR="008C2FFB" w:rsidTr="00BF76E6">
        <w:tc>
          <w:tcPr>
            <w:tcW w:w="1350" w:type="dxa"/>
            <w:vAlign w:val="center"/>
          </w:tcPr>
          <w:p w:rsidR="008C2FFB" w:rsidRDefault="008C2FFB" w:rsidP="00CC7397">
            <w:r>
              <w:t>Prue, Christine</w:t>
            </w:r>
          </w:p>
        </w:tc>
        <w:tc>
          <w:tcPr>
            <w:tcW w:w="1260" w:type="dxa"/>
            <w:vAlign w:val="center"/>
          </w:tcPr>
          <w:p w:rsidR="008C2FFB" w:rsidRDefault="008C2FFB" w:rsidP="00CC7397">
            <w:pPr>
              <w:jc w:val="center"/>
            </w:pPr>
            <w:r>
              <w:t>CDC</w:t>
            </w:r>
          </w:p>
        </w:tc>
        <w:tc>
          <w:tcPr>
            <w:tcW w:w="1327" w:type="dxa"/>
            <w:gridSpan w:val="2"/>
            <w:vAlign w:val="center"/>
          </w:tcPr>
          <w:p w:rsidR="008C2FFB" w:rsidRDefault="008C2FFB" w:rsidP="00CC7397">
            <w:r>
              <w:t xml:space="preserve">NCEZID/Office of Infectious Diseases </w:t>
            </w:r>
          </w:p>
        </w:tc>
        <w:tc>
          <w:tcPr>
            <w:tcW w:w="1383" w:type="dxa"/>
            <w:gridSpan w:val="2"/>
            <w:vAlign w:val="center"/>
          </w:tcPr>
          <w:p w:rsidR="008C2FFB" w:rsidRDefault="008C2FFB" w:rsidP="001761F8">
            <w:pPr>
              <w:jc w:val="center"/>
            </w:pPr>
            <w:r>
              <w:t>Health Communication Officer</w:t>
            </w:r>
          </w:p>
        </w:tc>
        <w:tc>
          <w:tcPr>
            <w:tcW w:w="2150" w:type="dxa"/>
            <w:vAlign w:val="center"/>
          </w:tcPr>
          <w:p w:rsidR="008C2FFB" w:rsidRDefault="008C2FFB" w:rsidP="00CC7397">
            <w:r>
              <w:t>cprue@cdc.gov</w:t>
            </w:r>
          </w:p>
        </w:tc>
        <w:tc>
          <w:tcPr>
            <w:tcW w:w="1710" w:type="dxa"/>
            <w:vAlign w:val="center"/>
          </w:tcPr>
          <w:p w:rsidR="008C2FFB" w:rsidRDefault="008C2FFB" w:rsidP="00CC7397">
            <w:r>
              <w:t>404-639-2273</w:t>
            </w:r>
          </w:p>
        </w:tc>
      </w:tr>
      <w:tr w:rsidR="00A85AEB" w:rsidTr="00BF76E6">
        <w:tc>
          <w:tcPr>
            <w:tcW w:w="1350" w:type="dxa"/>
            <w:vAlign w:val="center"/>
          </w:tcPr>
          <w:p w:rsidR="00A85AEB" w:rsidRDefault="00A85AEB" w:rsidP="00CC7397">
            <w:r>
              <w:t>Raber,</w:t>
            </w:r>
          </w:p>
          <w:p w:rsidR="00A85AEB" w:rsidRDefault="00A85AEB" w:rsidP="00CC7397">
            <w:r>
              <w:t>Anjanette</w:t>
            </w:r>
          </w:p>
        </w:tc>
        <w:tc>
          <w:tcPr>
            <w:tcW w:w="1260" w:type="dxa"/>
            <w:vAlign w:val="center"/>
          </w:tcPr>
          <w:p w:rsidR="00A85AEB" w:rsidRDefault="00A85AEB" w:rsidP="00CC7397">
            <w:pPr>
              <w:jc w:val="center"/>
            </w:pPr>
            <w:r>
              <w:t>CDC</w:t>
            </w:r>
          </w:p>
        </w:tc>
        <w:tc>
          <w:tcPr>
            <w:tcW w:w="1327" w:type="dxa"/>
            <w:gridSpan w:val="2"/>
            <w:vAlign w:val="center"/>
          </w:tcPr>
          <w:p w:rsidR="00A85AEB" w:rsidRDefault="00A85AEB" w:rsidP="00CC7397">
            <w:r>
              <w:t>NCEZID/Division of Healthcare Quality Promotion</w:t>
            </w:r>
          </w:p>
        </w:tc>
        <w:tc>
          <w:tcPr>
            <w:tcW w:w="1383" w:type="dxa"/>
            <w:gridSpan w:val="2"/>
            <w:vAlign w:val="center"/>
          </w:tcPr>
          <w:p w:rsidR="00A85AEB" w:rsidRDefault="00A85AEB" w:rsidP="001761F8">
            <w:pPr>
              <w:jc w:val="center"/>
            </w:pPr>
            <w:r>
              <w:t>Evaluation Fellow</w:t>
            </w:r>
          </w:p>
        </w:tc>
        <w:tc>
          <w:tcPr>
            <w:tcW w:w="2150" w:type="dxa"/>
            <w:vAlign w:val="center"/>
          </w:tcPr>
          <w:p w:rsidR="00A85AEB" w:rsidRDefault="00A85AEB" w:rsidP="00CC7397">
            <w:r w:rsidRPr="00A85AEB">
              <w:t>arbaber@cdc.gov</w:t>
            </w:r>
          </w:p>
        </w:tc>
        <w:tc>
          <w:tcPr>
            <w:tcW w:w="1710" w:type="dxa"/>
            <w:vAlign w:val="center"/>
          </w:tcPr>
          <w:p w:rsidR="00A85AEB" w:rsidRDefault="00A85AEB" w:rsidP="00CC7397">
            <w:r>
              <w:t>404-639-4662</w:t>
            </w:r>
          </w:p>
        </w:tc>
      </w:tr>
      <w:tr w:rsidR="008C2FFB" w:rsidTr="00BF76E6">
        <w:tc>
          <w:tcPr>
            <w:tcW w:w="1350" w:type="dxa"/>
            <w:vAlign w:val="center"/>
          </w:tcPr>
          <w:p w:rsidR="008C2FFB" w:rsidRDefault="008C2FFB" w:rsidP="00CC7397">
            <w:r>
              <w:t>Ramanathan, Tara</w:t>
            </w:r>
          </w:p>
        </w:tc>
        <w:tc>
          <w:tcPr>
            <w:tcW w:w="1260" w:type="dxa"/>
            <w:vAlign w:val="center"/>
          </w:tcPr>
          <w:p w:rsidR="008C2FFB" w:rsidRDefault="008C2FFB" w:rsidP="00CC7397">
            <w:pPr>
              <w:jc w:val="center"/>
            </w:pPr>
            <w:r>
              <w:t>CDC</w:t>
            </w:r>
          </w:p>
        </w:tc>
        <w:tc>
          <w:tcPr>
            <w:tcW w:w="1327" w:type="dxa"/>
            <w:gridSpan w:val="2"/>
            <w:vAlign w:val="center"/>
          </w:tcPr>
          <w:p w:rsidR="008C2FFB" w:rsidRDefault="008C2FFB" w:rsidP="00CC7397">
            <w:r>
              <w:t>OSTILTS/Public Health Law Program</w:t>
            </w:r>
          </w:p>
        </w:tc>
        <w:tc>
          <w:tcPr>
            <w:tcW w:w="1383" w:type="dxa"/>
            <w:gridSpan w:val="2"/>
            <w:vAlign w:val="center"/>
          </w:tcPr>
          <w:p w:rsidR="008C2FFB" w:rsidRDefault="008C2FFB" w:rsidP="001761F8">
            <w:pPr>
              <w:jc w:val="center"/>
            </w:pPr>
            <w:r>
              <w:t>Public Health Analyst</w:t>
            </w:r>
          </w:p>
        </w:tc>
        <w:tc>
          <w:tcPr>
            <w:tcW w:w="2150" w:type="dxa"/>
            <w:vAlign w:val="center"/>
          </w:tcPr>
          <w:p w:rsidR="008C2FFB" w:rsidRDefault="008C2FFB" w:rsidP="00CC7397">
            <w:r>
              <w:t>tramanathan@cdc.gov</w:t>
            </w:r>
          </w:p>
        </w:tc>
        <w:tc>
          <w:tcPr>
            <w:tcW w:w="1710" w:type="dxa"/>
            <w:vAlign w:val="center"/>
          </w:tcPr>
          <w:p w:rsidR="008C2FFB" w:rsidRDefault="008C2FFB" w:rsidP="00CC7397">
            <w:r>
              <w:t>404-498-0455</w:t>
            </w:r>
          </w:p>
        </w:tc>
      </w:tr>
      <w:tr w:rsidR="008C2FFB" w:rsidTr="00BF76E6">
        <w:tc>
          <w:tcPr>
            <w:tcW w:w="1350" w:type="dxa"/>
            <w:vAlign w:val="center"/>
          </w:tcPr>
          <w:p w:rsidR="008C2FFB" w:rsidRDefault="008C2FFB" w:rsidP="00CC7397">
            <w:r>
              <w:t>Ruebush, Elizabeth</w:t>
            </w:r>
          </w:p>
        </w:tc>
        <w:tc>
          <w:tcPr>
            <w:tcW w:w="1260" w:type="dxa"/>
            <w:vAlign w:val="center"/>
          </w:tcPr>
          <w:p w:rsidR="008C2FFB" w:rsidRDefault="008C2FFB" w:rsidP="00CC7397">
            <w:pPr>
              <w:jc w:val="center"/>
            </w:pPr>
            <w:r>
              <w:t>ASTHO</w:t>
            </w:r>
          </w:p>
        </w:tc>
        <w:tc>
          <w:tcPr>
            <w:tcW w:w="1327" w:type="dxa"/>
            <w:gridSpan w:val="2"/>
            <w:vAlign w:val="center"/>
          </w:tcPr>
          <w:p w:rsidR="008C2FFB" w:rsidRDefault="008C2FFB" w:rsidP="00CC7397">
            <w:r>
              <w:t>Immunization and Infectious Disease</w:t>
            </w:r>
          </w:p>
        </w:tc>
        <w:tc>
          <w:tcPr>
            <w:tcW w:w="1383" w:type="dxa"/>
            <w:gridSpan w:val="2"/>
            <w:vAlign w:val="center"/>
          </w:tcPr>
          <w:p w:rsidR="008C2FFB" w:rsidRDefault="008C2FFB" w:rsidP="001761F8">
            <w:pPr>
              <w:jc w:val="center"/>
            </w:pPr>
            <w:r>
              <w:t>Analyst, Infectious Disease and Immunization Policy</w:t>
            </w:r>
          </w:p>
        </w:tc>
        <w:tc>
          <w:tcPr>
            <w:tcW w:w="2150" w:type="dxa"/>
            <w:vAlign w:val="center"/>
          </w:tcPr>
          <w:p w:rsidR="008C2FFB" w:rsidRDefault="008C2FFB" w:rsidP="00CC7397">
            <w:r>
              <w:t>eruebush@astho.org</w:t>
            </w:r>
          </w:p>
        </w:tc>
        <w:tc>
          <w:tcPr>
            <w:tcW w:w="1710" w:type="dxa"/>
            <w:vAlign w:val="center"/>
          </w:tcPr>
          <w:p w:rsidR="008C2FFB" w:rsidRDefault="008C2FFB" w:rsidP="00CC7397">
            <w:r>
              <w:t>571-527-3139</w:t>
            </w:r>
          </w:p>
        </w:tc>
      </w:tr>
      <w:tr w:rsidR="008C2FFB" w:rsidTr="00BF76E6">
        <w:tc>
          <w:tcPr>
            <w:tcW w:w="1350" w:type="dxa"/>
            <w:vAlign w:val="center"/>
          </w:tcPr>
          <w:p w:rsidR="008C2FFB" w:rsidRDefault="008C2FFB" w:rsidP="00CC7397">
            <w:r>
              <w:t>Samuel, Anita</w:t>
            </w:r>
          </w:p>
        </w:tc>
        <w:tc>
          <w:tcPr>
            <w:tcW w:w="1260" w:type="dxa"/>
            <w:vAlign w:val="center"/>
          </w:tcPr>
          <w:p w:rsidR="008C2FFB" w:rsidRDefault="008C2FFB" w:rsidP="00CC7397">
            <w:pPr>
              <w:jc w:val="center"/>
            </w:pPr>
            <w:r>
              <w:t>ASTHO</w:t>
            </w:r>
          </w:p>
        </w:tc>
        <w:tc>
          <w:tcPr>
            <w:tcW w:w="1327" w:type="dxa"/>
            <w:gridSpan w:val="2"/>
            <w:vAlign w:val="center"/>
          </w:tcPr>
          <w:p w:rsidR="008C2FFB" w:rsidRDefault="008C2FFB" w:rsidP="00CC7397">
            <w:r>
              <w:t>e-Health</w:t>
            </w:r>
          </w:p>
        </w:tc>
        <w:tc>
          <w:tcPr>
            <w:tcW w:w="1383" w:type="dxa"/>
            <w:gridSpan w:val="2"/>
            <w:vAlign w:val="center"/>
          </w:tcPr>
          <w:p w:rsidR="008C2FFB" w:rsidRPr="00956EBE" w:rsidRDefault="008C2FFB" w:rsidP="001761F8">
            <w:pPr>
              <w:jc w:val="center"/>
            </w:pPr>
            <w:r>
              <w:t>Director, Informatics</w:t>
            </w:r>
          </w:p>
        </w:tc>
        <w:tc>
          <w:tcPr>
            <w:tcW w:w="2150" w:type="dxa"/>
            <w:vAlign w:val="center"/>
          </w:tcPr>
          <w:p w:rsidR="008C2FFB" w:rsidRDefault="008C2FFB" w:rsidP="00CC7397">
            <w:r w:rsidRPr="00956EBE">
              <w:t>asamuel@astho.org</w:t>
            </w:r>
          </w:p>
        </w:tc>
        <w:tc>
          <w:tcPr>
            <w:tcW w:w="1710" w:type="dxa"/>
            <w:vAlign w:val="center"/>
          </w:tcPr>
          <w:p w:rsidR="008C2FFB" w:rsidRDefault="008C2FFB" w:rsidP="00CC7397">
            <w:r>
              <w:t>571-527-3174</w:t>
            </w:r>
          </w:p>
        </w:tc>
      </w:tr>
      <w:tr w:rsidR="008C2FFB" w:rsidTr="00BF76E6">
        <w:tc>
          <w:tcPr>
            <w:tcW w:w="1350" w:type="dxa"/>
            <w:vAlign w:val="center"/>
          </w:tcPr>
          <w:p w:rsidR="008C2FFB" w:rsidRDefault="008C2FFB" w:rsidP="00CC7397">
            <w:r>
              <w:t>Soper, Paula</w:t>
            </w:r>
          </w:p>
        </w:tc>
        <w:tc>
          <w:tcPr>
            <w:tcW w:w="1260" w:type="dxa"/>
            <w:vAlign w:val="center"/>
          </w:tcPr>
          <w:p w:rsidR="008C2FFB" w:rsidRDefault="008C2FFB" w:rsidP="00CC7397">
            <w:pPr>
              <w:jc w:val="center"/>
            </w:pPr>
            <w:r>
              <w:t>ASTHO</w:t>
            </w:r>
          </w:p>
        </w:tc>
        <w:tc>
          <w:tcPr>
            <w:tcW w:w="1327" w:type="dxa"/>
            <w:gridSpan w:val="2"/>
            <w:vAlign w:val="center"/>
          </w:tcPr>
          <w:p w:rsidR="008C2FFB" w:rsidRDefault="008C2FFB" w:rsidP="00CC7397">
            <w:r>
              <w:t xml:space="preserve">e-Health </w:t>
            </w:r>
          </w:p>
        </w:tc>
        <w:tc>
          <w:tcPr>
            <w:tcW w:w="1383" w:type="dxa"/>
            <w:gridSpan w:val="2"/>
            <w:vAlign w:val="center"/>
          </w:tcPr>
          <w:p w:rsidR="008C2FFB" w:rsidRPr="00956EBE" w:rsidRDefault="008C2FFB" w:rsidP="001761F8">
            <w:pPr>
              <w:jc w:val="center"/>
            </w:pPr>
            <w:r>
              <w:t xml:space="preserve">Senior Director, </w:t>
            </w:r>
            <w:proofErr w:type="spellStart"/>
            <w:r>
              <w:t>eHealth</w:t>
            </w:r>
            <w:proofErr w:type="spellEnd"/>
          </w:p>
        </w:tc>
        <w:tc>
          <w:tcPr>
            <w:tcW w:w="2150" w:type="dxa"/>
            <w:vAlign w:val="center"/>
          </w:tcPr>
          <w:p w:rsidR="008C2FFB" w:rsidRDefault="008C2FFB" w:rsidP="00CC7397">
            <w:r w:rsidRPr="00956EBE">
              <w:t>psoper@astho.org</w:t>
            </w:r>
          </w:p>
        </w:tc>
        <w:tc>
          <w:tcPr>
            <w:tcW w:w="1710" w:type="dxa"/>
            <w:vAlign w:val="center"/>
          </w:tcPr>
          <w:p w:rsidR="008C2FFB" w:rsidRDefault="008C2FFB" w:rsidP="00CC7397">
            <w:r>
              <w:t>571-318-5412</w:t>
            </w:r>
          </w:p>
        </w:tc>
      </w:tr>
      <w:tr w:rsidR="008C2FFB" w:rsidTr="00BF76E6">
        <w:tc>
          <w:tcPr>
            <w:tcW w:w="1350" w:type="dxa"/>
            <w:vAlign w:val="center"/>
          </w:tcPr>
          <w:p w:rsidR="008C2FFB" w:rsidRDefault="008C2FFB" w:rsidP="00CC7397">
            <w:r>
              <w:t xml:space="preserve">Watkins, </w:t>
            </w:r>
            <w:r>
              <w:lastRenderedPageBreak/>
              <w:t>Jaqueline</w:t>
            </w:r>
          </w:p>
        </w:tc>
        <w:tc>
          <w:tcPr>
            <w:tcW w:w="1260" w:type="dxa"/>
            <w:vAlign w:val="center"/>
          </w:tcPr>
          <w:p w:rsidR="008C2FFB" w:rsidRDefault="008C2FFB" w:rsidP="00CC7397">
            <w:pPr>
              <w:jc w:val="center"/>
            </w:pPr>
            <w:r>
              <w:lastRenderedPageBreak/>
              <w:t>CDC</w:t>
            </w:r>
          </w:p>
        </w:tc>
        <w:tc>
          <w:tcPr>
            <w:tcW w:w="1327" w:type="dxa"/>
            <w:gridSpan w:val="2"/>
            <w:vAlign w:val="center"/>
          </w:tcPr>
          <w:p w:rsidR="008C2FFB" w:rsidRDefault="008C2FFB" w:rsidP="00CC7397">
            <w:r>
              <w:t>NCEZID/Offi</w:t>
            </w:r>
            <w:r>
              <w:lastRenderedPageBreak/>
              <w:t>ce of Infectious Diseases</w:t>
            </w:r>
          </w:p>
        </w:tc>
        <w:tc>
          <w:tcPr>
            <w:tcW w:w="1383" w:type="dxa"/>
            <w:gridSpan w:val="2"/>
            <w:vAlign w:val="center"/>
          </w:tcPr>
          <w:p w:rsidR="008C2FFB" w:rsidRDefault="008C2FFB" w:rsidP="001761F8">
            <w:pPr>
              <w:jc w:val="center"/>
            </w:pPr>
            <w:r>
              <w:lastRenderedPageBreak/>
              <w:t xml:space="preserve">Health </w:t>
            </w:r>
            <w:r>
              <w:lastRenderedPageBreak/>
              <w:t>Scientist</w:t>
            </w:r>
          </w:p>
        </w:tc>
        <w:tc>
          <w:tcPr>
            <w:tcW w:w="2150" w:type="dxa"/>
            <w:vAlign w:val="center"/>
          </w:tcPr>
          <w:p w:rsidR="008C2FFB" w:rsidRDefault="008C2FFB" w:rsidP="00CC7397">
            <w:r>
              <w:lastRenderedPageBreak/>
              <w:t>jwatkins@cdc.gov</w:t>
            </w:r>
          </w:p>
        </w:tc>
        <w:tc>
          <w:tcPr>
            <w:tcW w:w="1710" w:type="dxa"/>
            <w:vAlign w:val="center"/>
          </w:tcPr>
          <w:p w:rsidR="008C2FFB" w:rsidRDefault="008C2FFB" w:rsidP="00CC7397">
            <w:r>
              <w:t>404-639-7404</w:t>
            </w:r>
          </w:p>
        </w:tc>
      </w:tr>
    </w:tbl>
    <w:p w:rsidR="00CC7397" w:rsidRDefault="00CC7397" w:rsidP="00BF76E6">
      <w:pPr>
        <w:pStyle w:val="ListParagraph"/>
        <w:spacing w:after="0"/>
        <w:ind w:left="360"/>
        <w:rPr>
          <w:rFonts w:asciiTheme="majorHAnsi" w:hAnsiTheme="majorHAnsi"/>
        </w:rPr>
      </w:pPr>
    </w:p>
    <w:p w:rsidR="00CC7397" w:rsidRDefault="00CC7397" w:rsidP="00BF76E6">
      <w:pPr>
        <w:pStyle w:val="ListParagraph"/>
        <w:spacing w:after="0"/>
        <w:ind w:left="360"/>
        <w:rPr>
          <w:rFonts w:asciiTheme="majorHAnsi" w:hAnsiTheme="majorHAnsi"/>
        </w:rPr>
      </w:pPr>
    </w:p>
    <w:p w:rsidR="00CC7397" w:rsidRPr="00445056" w:rsidRDefault="00885649" w:rsidP="00BF76E6">
      <w:pPr>
        <w:spacing w:after="0"/>
        <w:rPr>
          <w:rFonts w:asciiTheme="majorHAnsi" w:hAnsiTheme="majorHAnsi"/>
        </w:rPr>
      </w:pPr>
      <w:r w:rsidRPr="00445056">
        <w:rPr>
          <w:rFonts w:asciiTheme="majorHAnsi" w:hAnsiTheme="majorHAnsi"/>
        </w:rPr>
        <w:t xml:space="preserve">The open-ended questions from the phone interview will be analyzed using thematic analysis. </w:t>
      </w:r>
    </w:p>
    <w:p w:rsidR="00CC7397" w:rsidRDefault="00CC7397" w:rsidP="00BF76E6">
      <w:pPr>
        <w:pStyle w:val="ListParagraph"/>
        <w:spacing w:after="0"/>
        <w:ind w:left="360"/>
        <w:rPr>
          <w:rFonts w:asciiTheme="majorHAnsi" w:hAnsiTheme="majorHAnsi"/>
        </w:rPr>
      </w:pPr>
    </w:p>
    <w:p w:rsidR="00A36419" w:rsidRDefault="00A36419" w:rsidP="00BF76E6">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885649" w:rsidRPr="00114B64" w:rsidRDefault="00885649" w:rsidP="00BF76E6">
      <w:pPr>
        <w:spacing w:after="0"/>
        <w:rPr>
          <w:rFonts w:asciiTheme="majorHAnsi" w:hAnsiTheme="majorHAnsi"/>
          <w:sz w:val="20"/>
        </w:rPr>
      </w:pPr>
    </w:p>
    <w:p w:rsidR="005B4641" w:rsidRDefault="005B4641" w:rsidP="005B4641">
      <w:pPr>
        <w:spacing w:after="0" w:line="360" w:lineRule="auto"/>
        <w:rPr>
          <w:rFonts w:asciiTheme="majorHAnsi" w:hAnsiTheme="majorHAnsi"/>
          <w:b/>
        </w:rPr>
      </w:pPr>
      <w:r>
        <w:rPr>
          <w:rFonts w:asciiTheme="majorHAnsi" w:hAnsiTheme="majorHAnsi"/>
          <w:b/>
        </w:rPr>
        <w:t xml:space="preserve">D. </w:t>
      </w:r>
      <w:r w:rsidR="00885649" w:rsidRPr="005B4641">
        <w:rPr>
          <w:rFonts w:asciiTheme="majorHAnsi" w:hAnsiTheme="majorHAnsi"/>
          <w:b/>
        </w:rPr>
        <w:t xml:space="preserve">Introduction Email to </w:t>
      </w:r>
      <w:r w:rsidR="005C5619">
        <w:rPr>
          <w:rFonts w:asciiTheme="majorHAnsi" w:hAnsiTheme="majorHAnsi"/>
          <w:b/>
        </w:rPr>
        <w:t xml:space="preserve">State </w:t>
      </w:r>
      <w:r w:rsidR="001D690C">
        <w:rPr>
          <w:rFonts w:asciiTheme="majorHAnsi" w:hAnsiTheme="majorHAnsi"/>
          <w:b/>
        </w:rPr>
        <w:t>HAI Coordinators/</w:t>
      </w:r>
      <w:r w:rsidR="005C5619">
        <w:rPr>
          <w:rFonts w:asciiTheme="majorHAnsi" w:hAnsiTheme="majorHAnsi"/>
          <w:b/>
        </w:rPr>
        <w:t xml:space="preserve"> Epidemiologists</w:t>
      </w:r>
    </w:p>
    <w:p w:rsidR="00885649" w:rsidRDefault="005B4641" w:rsidP="005B4641">
      <w:pPr>
        <w:spacing w:after="0" w:line="360" w:lineRule="auto"/>
        <w:rPr>
          <w:rFonts w:asciiTheme="majorHAnsi" w:hAnsiTheme="majorHAnsi"/>
          <w:b/>
        </w:rPr>
      </w:pPr>
      <w:r>
        <w:rPr>
          <w:rFonts w:asciiTheme="majorHAnsi" w:hAnsiTheme="majorHAnsi"/>
          <w:b/>
        </w:rPr>
        <w:t xml:space="preserve">E. </w:t>
      </w:r>
      <w:r w:rsidR="00885649" w:rsidRPr="005B4641">
        <w:rPr>
          <w:rFonts w:asciiTheme="majorHAnsi" w:hAnsiTheme="majorHAnsi"/>
          <w:b/>
        </w:rPr>
        <w:t xml:space="preserve">Individual Email to </w:t>
      </w:r>
      <w:r w:rsidR="001D690C">
        <w:rPr>
          <w:rFonts w:asciiTheme="majorHAnsi" w:hAnsiTheme="majorHAnsi"/>
          <w:b/>
        </w:rPr>
        <w:t xml:space="preserve">State </w:t>
      </w:r>
      <w:r w:rsidR="005C5619">
        <w:rPr>
          <w:rFonts w:asciiTheme="majorHAnsi" w:hAnsiTheme="majorHAnsi"/>
          <w:b/>
        </w:rPr>
        <w:t>HAI Coordinators</w:t>
      </w:r>
      <w:r w:rsidR="00483E45">
        <w:rPr>
          <w:rFonts w:asciiTheme="majorHAnsi" w:hAnsiTheme="majorHAnsi"/>
          <w:b/>
        </w:rPr>
        <w:t>/Epidemiologists</w:t>
      </w:r>
      <w:r w:rsidR="005C5619">
        <w:rPr>
          <w:rFonts w:asciiTheme="majorHAnsi" w:hAnsiTheme="majorHAnsi"/>
          <w:b/>
        </w:rPr>
        <w:t xml:space="preserve"> </w:t>
      </w:r>
    </w:p>
    <w:p w:rsidR="005C5619" w:rsidRDefault="00483E45" w:rsidP="005B4641">
      <w:pPr>
        <w:spacing w:after="0" w:line="360" w:lineRule="auto"/>
        <w:rPr>
          <w:rFonts w:asciiTheme="majorHAnsi" w:hAnsiTheme="majorHAnsi"/>
          <w:b/>
        </w:rPr>
      </w:pPr>
      <w:r>
        <w:rPr>
          <w:rFonts w:asciiTheme="majorHAnsi" w:hAnsiTheme="majorHAnsi"/>
          <w:b/>
        </w:rPr>
        <w:t>F</w:t>
      </w:r>
      <w:r w:rsidR="00944227">
        <w:rPr>
          <w:rFonts w:asciiTheme="majorHAnsi" w:hAnsiTheme="majorHAnsi"/>
          <w:b/>
        </w:rPr>
        <w:t xml:space="preserve">. Individual Email to </w:t>
      </w:r>
      <w:r w:rsidR="001D690C">
        <w:rPr>
          <w:rFonts w:asciiTheme="majorHAnsi" w:hAnsiTheme="majorHAnsi"/>
          <w:b/>
        </w:rPr>
        <w:t xml:space="preserve">State </w:t>
      </w:r>
      <w:r w:rsidR="005C5619">
        <w:rPr>
          <w:rFonts w:asciiTheme="majorHAnsi" w:hAnsiTheme="majorHAnsi"/>
          <w:b/>
        </w:rPr>
        <w:t>Legal Counsel</w:t>
      </w:r>
    </w:p>
    <w:p w:rsidR="001D690C" w:rsidRPr="005B4641" w:rsidRDefault="001D690C" w:rsidP="005B4641">
      <w:pPr>
        <w:spacing w:after="0" w:line="360" w:lineRule="auto"/>
        <w:rPr>
          <w:rFonts w:asciiTheme="majorHAnsi" w:hAnsiTheme="majorHAnsi"/>
          <w:b/>
        </w:rPr>
      </w:pPr>
      <w:r>
        <w:rPr>
          <w:rFonts w:asciiTheme="majorHAnsi" w:hAnsiTheme="majorHAnsi"/>
          <w:b/>
        </w:rPr>
        <w:t>G</w:t>
      </w:r>
      <w:r w:rsidR="005C5619">
        <w:rPr>
          <w:rFonts w:asciiTheme="majorHAnsi" w:hAnsiTheme="majorHAnsi"/>
          <w:b/>
        </w:rPr>
        <w:t xml:space="preserve">. Individual Email to </w:t>
      </w:r>
      <w:r>
        <w:rPr>
          <w:rFonts w:asciiTheme="majorHAnsi" w:hAnsiTheme="majorHAnsi"/>
          <w:b/>
        </w:rPr>
        <w:t xml:space="preserve">State </w:t>
      </w:r>
      <w:r w:rsidR="00125588">
        <w:rPr>
          <w:rFonts w:asciiTheme="majorHAnsi" w:hAnsiTheme="majorHAnsi"/>
          <w:b/>
        </w:rPr>
        <w:t>Informatics Directors</w:t>
      </w:r>
    </w:p>
    <w:p w:rsidR="00944227" w:rsidRDefault="00C04B0A" w:rsidP="005B4641">
      <w:pPr>
        <w:spacing w:after="0" w:line="360" w:lineRule="auto"/>
        <w:rPr>
          <w:rFonts w:asciiTheme="majorHAnsi" w:hAnsiTheme="majorHAnsi"/>
          <w:b/>
        </w:rPr>
      </w:pPr>
      <w:r>
        <w:rPr>
          <w:rFonts w:asciiTheme="majorHAnsi" w:hAnsiTheme="majorHAnsi"/>
          <w:b/>
        </w:rPr>
        <w:t>H</w:t>
      </w:r>
      <w:r w:rsidR="00944227">
        <w:rPr>
          <w:rFonts w:asciiTheme="majorHAnsi" w:hAnsiTheme="majorHAnsi"/>
          <w:b/>
        </w:rPr>
        <w:t xml:space="preserve">. </w:t>
      </w:r>
      <w:r w:rsidR="005C5619">
        <w:rPr>
          <w:rFonts w:asciiTheme="majorHAnsi" w:hAnsiTheme="majorHAnsi"/>
          <w:b/>
        </w:rPr>
        <w:t>Individual Email Reminder to HAI Coordinators</w:t>
      </w:r>
      <w:r w:rsidR="001D690C">
        <w:rPr>
          <w:rFonts w:asciiTheme="majorHAnsi" w:hAnsiTheme="majorHAnsi"/>
          <w:b/>
        </w:rPr>
        <w:t>/</w:t>
      </w:r>
      <w:r w:rsidR="00314986">
        <w:rPr>
          <w:rFonts w:asciiTheme="majorHAnsi" w:hAnsiTheme="majorHAnsi"/>
          <w:b/>
        </w:rPr>
        <w:t xml:space="preserve"> Epidemiologists</w:t>
      </w:r>
    </w:p>
    <w:p w:rsidR="005C5619" w:rsidRDefault="00C04B0A" w:rsidP="005B4641">
      <w:pPr>
        <w:spacing w:after="0" w:line="360" w:lineRule="auto"/>
        <w:rPr>
          <w:rFonts w:asciiTheme="majorHAnsi" w:hAnsiTheme="majorHAnsi"/>
          <w:b/>
        </w:rPr>
      </w:pPr>
      <w:r>
        <w:rPr>
          <w:rFonts w:asciiTheme="majorHAnsi" w:hAnsiTheme="majorHAnsi"/>
          <w:b/>
        </w:rPr>
        <w:t>I</w:t>
      </w:r>
      <w:r w:rsidR="00944227">
        <w:rPr>
          <w:rFonts w:asciiTheme="majorHAnsi" w:hAnsiTheme="majorHAnsi"/>
          <w:b/>
        </w:rPr>
        <w:t xml:space="preserve">. </w:t>
      </w:r>
      <w:r w:rsidR="005C5619">
        <w:rPr>
          <w:rFonts w:asciiTheme="majorHAnsi" w:hAnsiTheme="majorHAnsi"/>
          <w:b/>
        </w:rPr>
        <w:t>Individual Email Reminder to Legal Counsel</w:t>
      </w:r>
    </w:p>
    <w:p w:rsidR="005C5619" w:rsidRDefault="00C04B0A" w:rsidP="005B4641">
      <w:pPr>
        <w:spacing w:after="0" w:line="360" w:lineRule="auto"/>
        <w:rPr>
          <w:rFonts w:asciiTheme="majorHAnsi" w:hAnsiTheme="majorHAnsi"/>
          <w:b/>
        </w:rPr>
      </w:pPr>
      <w:r>
        <w:rPr>
          <w:rFonts w:asciiTheme="majorHAnsi" w:hAnsiTheme="majorHAnsi"/>
          <w:b/>
        </w:rPr>
        <w:t>J</w:t>
      </w:r>
      <w:r w:rsidR="005C5619">
        <w:rPr>
          <w:rFonts w:asciiTheme="majorHAnsi" w:hAnsiTheme="majorHAnsi"/>
          <w:b/>
        </w:rPr>
        <w:t>. Individual Email Reminder to Informatics Directors</w:t>
      </w:r>
    </w:p>
    <w:p w:rsidR="00D67BC7" w:rsidRDefault="00D67BC7" w:rsidP="005B4641">
      <w:pPr>
        <w:spacing w:after="0" w:line="360" w:lineRule="auto"/>
        <w:rPr>
          <w:rFonts w:asciiTheme="majorHAnsi" w:hAnsiTheme="majorHAnsi"/>
          <w:b/>
        </w:rPr>
      </w:pPr>
    </w:p>
    <w:p w:rsidR="000E6577" w:rsidRPr="005B4641" w:rsidRDefault="000E6577" w:rsidP="005B4641">
      <w:pPr>
        <w:spacing w:after="0" w:line="360" w:lineRule="auto"/>
        <w:rPr>
          <w:rFonts w:asciiTheme="majorHAnsi" w:hAnsiTheme="majorHAnsi"/>
          <w:b/>
        </w:rPr>
      </w:pPr>
    </w:p>
    <w:sectPr w:rsidR="000E6577" w:rsidRPr="005B4641" w:rsidSect="003E5D57">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488" w:rsidRDefault="00D70488" w:rsidP="00716F94">
      <w:pPr>
        <w:spacing w:after="0" w:line="240" w:lineRule="auto"/>
      </w:pPr>
      <w:r>
        <w:separator/>
      </w:r>
    </w:p>
  </w:endnote>
  <w:endnote w:type="continuationSeparator" w:id="0">
    <w:p w:rsidR="00D70488" w:rsidRDefault="00D7048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45180"/>
      <w:docPartObj>
        <w:docPartGallery w:val="Page Numbers (Bottom of Page)"/>
        <w:docPartUnique/>
      </w:docPartObj>
    </w:sdtPr>
    <w:sdtEndPr/>
    <w:sdtContent>
      <w:sdt>
        <w:sdtPr>
          <w:id w:val="860082579"/>
          <w:docPartObj>
            <w:docPartGallery w:val="Page Numbers (Top of Page)"/>
            <w:docPartUnique/>
          </w:docPartObj>
        </w:sdtPr>
        <w:sdtEndPr/>
        <w:sdtContent>
          <w:p w:rsidR="00D70488" w:rsidRDefault="00D704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71BD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1BDB">
              <w:rPr>
                <w:b/>
                <w:bCs/>
                <w:noProof/>
              </w:rPr>
              <w:t>5</w:t>
            </w:r>
            <w:r>
              <w:rPr>
                <w:b/>
                <w:bCs/>
                <w:sz w:val="24"/>
                <w:szCs w:val="24"/>
              </w:rPr>
              <w:fldChar w:fldCharType="end"/>
            </w:r>
          </w:p>
        </w:sdtContent>
      </w:sdt>
    </w:sdtContent>
  </w:sdt>
  <w:p w:rsidR="00D70488" w:rsidRDefault="00D70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488" w:rsidRDefault="00D70488" w:rsidP="00716F94">
      <w:pPr>
        <w:spacing w:after="0" w:line="240" w:lineRule="auto"/>
      </w:pPr>
      <w:r>
        <w:separator/>
      </w:r>
    </w:p>
  </w:footnote>
  <w:footnote w:type="continuationSeparator" w:id="0">
    <w:p w:rsidR="00D70488" w:rsidRDefault="00D70488"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488" w:rsidRPr="00716F94" w:rsidRDefault="00D70488"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D030A8"/>
    <w:multiLevelType w:val="hybridMultilevel"/>
    <w:tmpl w:val="9C0C070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23CD9"/>
    <w:multiLevelType w:val="hybridMultilevel"/>
    <w:tmpl w:val="BD98E7E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D266A9"/>
    <w:multiLevelType w:val="hybridMultilevel"/>
    <w:tmpl w:val="42DA1A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30461B"/>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30D2C"/>
    <w:multiLevelType w:val="hybridMultilevel"/>
    <w:tmpl w:val="4B461AD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A26D63"/>
    <w:multiLevelType w:val="hybridMultilevel"/>
    <w:tmpl w:val="D43CB5E0"/>
    <w:lvl w:ilvl="0" w:tplc="F51E1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E7302F"/>
    <w:multiLevelType w:val="hybridMultilevel"/>
    <w:tmpl w:val="C996FE14"/>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086634"/>
    <w:multiLevelType w:val="hybridMultilevel"/>
    <w:tmpl w:val="B914CD6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067496"/>
    <w:multiLevelType w:val="hybridMultilevel"/>
    <w:tmpl w:val="0242F37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47DB1"/>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362AC1"/>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85427B4"/>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8C76CDA"/>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EE35316"/>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5A333EA"/>
    <w:multiLevelType w:val="hybridMultilevel"/>
    <w:tmpl w:val="23004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1C0758"/>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BB81FA8"/>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CF16D6F"/>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3">
    <w:nsid w:val="561D5300"/>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356FCB"/>
    <w:multiLevelType w:val="hybridMultilevel"/>
    <w:tmpl w:val="F946A2B6"/>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FA010A"/>
    <w:multiLevelType w:val="hybridMultilevel"/>
    <w:tmpl w:val="912E377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8F43AB"/>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2982BD1"/>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931923"/>
    <w:multiLevelType w:val="hybridMultilevel"/>
    <w:tmpl w:val="C4162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C776FF4"/>
    <w:multiLevelType w:val="hybridMultilevel"/>
    <w:tmpl w:val="C8028A6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36E45"/>
    <w:multiLevelType w:val="hybridMultilevel"/>
    <w:tmpl w:val="B67C35E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C6AF8"/>
    <w:multiLevelType w:val="hybridMultilevel"/>
    <w:tmpl w:val="8CAAC424"/>
    <w:lvl w:ilvl="0" w:tplc="BED0E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3"/>
  </w:num>
  <w:num w:numId="3">
    <w:abstractNumId w:val="44"/>
  </w:num>
  <w:num w:numId="4">
    <w:abstractNumId w:val="17"/>
  </w:num>
  <w:num w:numId="5">
    <w:abstractNumId w:val="32"/>
  </w:num>
  <w:num w:numId="6">
    <w:abstractNumId w:val="12"/>
  </w:num>
  <w:num w:numId="7">
    <w:abstractNumId w:val="0"/>
  </w:num>
  <w:num w:numId="8">
    <w:abstractNumId w:val="8"/>
  </w:num>
  <w:num w:numId="9">
    <w:abstractNumId w:val="15"/>
  </w:num>
  <w:num w:numId="10">
    <w:abstractNumId w:val="34"/>
  </w:num>
  <w:num w:numId="11">
    <w:abstractNumId w:val="4"/>
  </w:num>
  <w:num w:numId="12">
    <w:abstractNumId w:val="42"/>
  </w:num>
  <w:num w:numId="13">
    <w:abstractNumId w:val="10"/>
  </w:num>
  <w:num w:numId="14">
    <w:abstractNumId w:val="5"/>
  </w:num>
  <w:num w:numId="15">
    <w:abstractNumId w:val="39"/>
  </w:num>
  <w:num w:numId="16">
    <w:abstractNumId w:val="46"/>
  </w:num>
  <w:num w:numId="17">
    <w:abstractNumId w:val="14"/>
  </w:num>
  <w:num w:numId="18">
    <w:abstractNumId w:val="21"/>
  </w:num>
  <w:num w:numId="19">
    <w:abstractNumId w:val="7"/>
  </w:num>
  <w:num w:numId="20">
    <w:abstractNumId w:val="22"/>
  </w:num>
  <w:num w:numId="21">
    <w:abstractNumId w:val="45"/>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5"/>
  </w:num>
  <w:num w:numId="25">
    <w:abstractNumId w:val="29"/>
  </w:num>
  <w:num w:numId="26">
    <w:abstractNumId w:val="31"/>
  </w:num>
  <w:num w:numId="27">
    <w:abstractNumId w:val="24"/>
  </w:num>
  <w:num w:numId="28">
    <w:abstractNumId w:val="27"/>
  </w:num>
  <w:num w:numId="29">
    <w:abstractNumId w:val="9"/>
  </w:num>
  <w:num w:numId="30">
    <w:abstractNumId w:val="26"/>
  </w:num>
  <w:num w:numId="31">
    <w:abstractNumId w:val="20"/>
  </w:num>
  <w:num w:numId="32">
    <w:abstractNumId w:val="33"/>
  </w:num>
  <w:num w:numId="33">
    <w:abstractNumId w:val="30"/>
  </w:num>
  <w:num w:numId="34">
    <w:abstractNumId w:val="13"/>
  </w:num>
  <w:num w:numId="35">
    <w:abstractNumId w:val="40"/>
  </w:num>
  <w:num w:numId="36">
    <w:abstractNumId w:val="28"/>
  </w:num>
  <w:num w:numId="37">
    <w:abstractNumId w:val="6"/>
  </w:num>
  <w:num w:numId="38">
    <w:abstractNumId w:val="3"/>
  </w:num>
  <w:num w:numId="39">
    <w:abstractNumId w:val="41"/>
  </w:num>
  <w:num w:numId="40">
    <w:abstractNumId w:val="16"/>
  </w:num>
  <w:num w:numId="41">
    <w:abstractNumId w:val="11"/>
  </w:num>
  <w:num w:numId="42">
    <w:abstractNumId w:val="43"/>
  </w:num>
  <w:num w:numId="43">
    <w:abstractNumId w:val="1"/>
  </w:num>
  <w:num w:numId="44">
    <w:abstractNumId w:val="18"/>
  </w:num>
  <w:num w:numId="45">
    <w:abstractNumId w:val="19"/>
  </w:num>
  <w:num w:numId="46">
    <w:abstractNumId w:val="3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AEB"/>
    <w:rsid w:val="00010420"/>
    <w:rsid w:val="00011A98"/>
    <w:rsid w:val="00011F8D"/>
    <w:rsid w:val="000130B4"/>
    <w:rsid w:val="00014361"/>
    <w:rsid w:val="00035CB2"/>
    <w:rsid w:val="000474FB"/>
    <w:rsid w:val="00053A92"/>
    <w:rsid w:val="0005605E"/>
    <w:rsid w:val="00057F36"/>
    <w:rsid w:val="00072D85"/>
    <w:rsid w:val="00092EE2"/>
    <w:rsid w:val="000A1F30"/>
    <w:rsid w:val="000A386B"/>
    <w:rsid w:val="000A6C4D"/>
    <w:rsid w:val="000D55D6"/>
    <w:rsid w:val="000E6577"/>
    <w:rsid w:val="000E7A19"/>
    <w:rsid w:val="00104A1B"/>
    <w:rsid w:val="00116B47"/>
    <w:rsid w:val="001177DD"/>
    <w:rsid w:val="00125588"/>
    <w:rsid w:val="001308EB"/>
    <w:rsid w:val="001412C0"/>
    <w:rsid w:val="001412D4"/>
    <w:rsid w:val="00144F64"/>
    <w:rsid w:val="00151567"/>
    <w:rsid w:val="00163E17"/>
    <w:rsid w:val="00166F9E"/>
    <w:rsid w:val="001761F8"/>
    <w:rsid w:val="00187D5A"/>
    <w:rsid w:val="001972D7"/>
    <w:rsid w:val="001A28F6"/>
    <w:rsid w:val="001A34AE"/>
    <w:rsid w:val="001B2831"/>
    <w:rsid w:val="001C0493"/>
    <w:rsid w:val="001C28AD"/>
    <w:rsid w:val="001D690C"/>
    <w:rsid w:val="001D7FCB"/>
    <w:rsid w:val="001E2B99"/>
    <w:rsid w:val="001E640A"/>
    <w:rsid w:val="001E69B6"/>
    <w:rsid w:val="001F23AE"/>
    <w:rsid w:val="001F4DBB"/>
    <w:rsid w:val="001F7C89"/>
    <w:rsid w:val="0020312D"/>
    <w:rsid w:val="0020495F"/>
    <w:rsid w:val="002049D1"/>
    <w:rsid w:val="00205D07"/>
    <w:rsid w:val="00206E33"/>
    <w:rsid w:val="00210519"/>
    <w:rsid w:val="00230CEF"/>
    <w:rsid w:val="0024004C"/>
    <w:rsid w:val="00241B17"/>
    <w:rsid w:val="00241C81"/>
    <w:rsid w:val="00257A1C"/>
    <w:rsid w:val="00260D46"/>
    <w:rsid w:val="0027234C"/>
    <w:rsid w:val="00272E03"/>
    <w:rsid w:val="00280766"/>
    <w:rsid w:val="00281795"/>
    <w:rsid w:val="002850E3"/>
    <w:rsid w:val="00287E2F"/>
    <w:rsid w:val="002A1948"/>
    <w:rsid w:val="002C0877"/>
    <w:rsid w:val="002C2AE2"/>
    <w:rsid w:val="002D0DCE"/>
    <w:rsid w:val="002D548A"/>
    <w:rsid w:val="002E2B10"/>
    <w:rsid w:val="002F1502"/>
    <w:rsid w:val="002F169D"/>
    <w:rsid w:val="002F2069"/>
    <w:rsid w:val="002F2DD3"/>
    <w:rsid w:val="002F5A81"/>
    <w:rsid w:val="002F6F92"/>
    <w:rsid w:val="003041AD"/>
    <w:rsid w:val="0031279F"/>
    <w:rsid w:val="00314986"/>
    <w:rsid w:val="00315FC4"/>
    <w:rsid w:val="00336D96"/>
    <w:rsid w:val="00343624"/>
    <w:rsid w:val="00344F07"/>
    <w:rsid w:val="003469C8"/>
    <w:rsid w:val="00355EA4"/>
    <w:rsid w:val="003635BE"/>
    <w:rsid w:val="00366B5E"/>
    <w:rsid w:val="00372844"/>
    <w:rsid w:val="003775D9"/>
    <w:rsid w:val="00392A94"/>
    <w:rsid w:val="003C31C9"/>
    <w:rsid w:val="003C4961"/>
    <w:rsid w:val="003C7C5D"/>
    <w:rsid w:val="003D0AD2"/>
    <w:rsid w:val="003E4E7D"/>
    <w:rsid w:val="003E5D57"/>
    <w:rsid w:val="003E79AA"/>
    <w:rsid w:val="003F5913"/>
    <w:rsid w:val="004024F8"/>
    <w:rsid w:val="0041159A"/>
    <w:rsid w:val="004305A8"/>
    <w:rsid w:val="00442DF2"/>
    <w:rsid w:val="00443CA0"/>
    <w:rsid w:val="00445056"/>
    <w:rsid w:val="00446290"/>
    <w:rsid w:val="00450E14"/>
    <w:rsid w:val="004511C6"/>
    <w:rsid w:val="00454BD3"/>
    <w:rsid w:val="00462C65"/>
    <w:rsid w:val="00467B14"/>
    <w:rsid w:val="00474EDA"/>
    <w:rsid w:val="0047536D"/>
    <w:rsid w:val="004824FA"/>
    <w:rsid w:val="00483E45"/>
    <w:rsid w:val="00484011"/>
    <w:rsid w:val="004841F1"/>
    <w:rsid w:val="004848A9"/>
    <w:rsid w:val="00486ECD"/>
    <w:rsid w:val="004A1E3A"/>
    <w:rsid w:val="004C4AEA"/>
    <w:rsid w:val="004C7905"/>
    <w:rsid w:val="004D279A"/>
    <w:rsid w:val="004E003C"/>
    <w:rsid w:val="004E16EB"/>
    <w:rsid w:val="004E454D"/>
    <w:rsid w:val="004E6665"/>
    <w:rsid w:val="004F16FE"/>
    <w:rsid w:val="004F634E"/>
    <w:rsid w:val="004F67A8"/>
    <w:rsid w:val="005229FF"/>
    <w:rsid w:val="00522A50"/>
    <w:rsid w:val="00527225"/>
    <w:rsid w:val="0053557D"/>
    <w:rsid w:val="005463DE"/>
    <w:rsid w:val="00546DC2"/>
    <w:rsid w:val="005542E8"/>
    <w:rsid w:val="00556630"/>
    <w:rsid w:val="0055686D"/>
    <w:rsid w:val="005800EE"/>
    <w:rsid w:val="005869D6"/>
    <w:rsid w:val="005A33F6"/>
    <w:rsid w:val="005A59E5"/>
    <w:rsid w:val="005B2E8A"/>
    <w:rsid w:val="005B4641"/>
    <w:rsid w:val="005B7440"/>
    <w:rsid w:val="005C050C"/>
    <w:rsid w:val="005C5619"/>
    <w:rsid w:val="005C6E9D"/>
    <w:rsid w:val="005E2150"/>
    <w:rsid w:val="005E2995"/>
    <w:rsid w:val="005E7684"/>
    <w:rsid w:val="005F3FEF"/>
    <w:rsid w:val="00601392"/>
    <w:rsid w:val="00604EB5"/>
    <w:rsid w:val="00607F7C"/>
    <w:rsid w:val="006102DA"/>
    <w:rsid w:val="006168F4"/>
    <w:rsid w:val="00621F93"/>
    <w:rsid w:val="006315A3"/>
    <w:rsid w:val="00637CC1"/>
    <w:rsid w:val="006579A2"/>
    <w:rsid w:val="00667C89"/>
    <w:rsid w:val="006711EE"/>
    <w:rsid w:val="006809BB"/>
    <w:rsid w:val="006809FD"/>
    <w:rsid w:val="006871B5"/>
    <w:rsid w:val="006909FB"/>
    <w:rsid w:val="00691D1F"/>
    <w:rsid w:val="00697BAE"/>
    <w:rsid w:val="006A6174"/>
    <w:rsid w:val="006B051A"/>
    <w:rsid w:val="006B4DDC"/>
    <w:rsid w:val="006B5E55"/>
    <w:rsid w:val="006D25A1"/>
    <w:rsid w:val="006D27A0"/>
    <w:rsid w:val="006F3285"/>
    <w:rsid w:val="006F4A19"/>
    <w:rsid w:val="006F6856"/>
    <w:rsid w:val="007145D0"/>
    <w:rsid w:val="00716F94"/>
    <w:rsid w:val="0074660E"/>
    <w:rsid w:val="00760E12"/>
    <w:rsid w:val="00763CF3"/>
    <w:rsid w:val="0077190B"/>
    <w:rsid w:val="00772293"/>
    <w:rsid w:val="00783C75"/>
    <w:rsid w:val="00784619"/>
    <w:rsid w:val="0078627B"/>
    <w:rsid w:val="00794E32"/>
    <w:rsid w:val="007B305A"/>
    <w:rsid w:val="007E2D03"/>
    <w:rsid w:val="00800993"/>
    <w:rsid w:val="00815C7D"/>
    <w:rsid w:val="00817941"/>
    <w:rsid w:val="00825474"/>
    <w:rsid w:val="008261AB"/>
    <w:rsid w:val="00835CA7"/>
    <w:rsid w:val="008370D4"/>
    <w:rsid w:val="0084122A"/>
    <w:rsid w:val="008414AD"/>
    <w:rsid w:val="008428D9"/>
    <w:rsid w:val="00846870"/>
    <w:rsid w:val="00851048"/>
    <w:rsid w:val="00884DB9"/>
    <w:rsid w:val="00885649"/>
    <w:rsid w:val="0089676F"/>
    <w:rsid w:val="008C03CA"/>
    <w:rsid w:val="008C2FFB"/>
    <w:rsid w:val="008C45B3"/>
    <w:rsid w:val="008C67D2"/>
    <w:rsid w:val="008D73C7"/>
    <w:rsid w:val="008E0683"/>
    <w:rsid w:val="008F054C"/>
    <w:rsid w:val="00902DD9"/>
    <w:rsid w:val="00911486"/>
    <w:rsid w:val="009129CA"/>
    <w:rsid w:val="009206B6"/>
    <w:rsid w:val="00923FFE"/>
    <w:rsid w:val="009263C1"/>
    <w:rsid w:val="009301D8"/>
    <w:rsid w:val="00931C02"/>
    <w:rsid w:val="00941B4F"/>
    <w:rsid w:val="00944227"/>
    <w:rsid w:val="00963CE3"/>
    <w:rsid w:val="00964F18"/>
    <w:rsid w:val="00974424"/>
    <w:rsid w:val="009759F3"/>
    <w:rsid w:val="00987F76"/>
    <w:rsid w:val="00993088"/>
    <w:rsid w:val="0099664F"/>
    <w:rsid w:val="00997D5D"/>
    <w:rsid w:val="009A0447"/>
    <w:rsid w:val="009A45C3"/>
    <w:rsid w:val="009A7ECA"/>
    <w:rsid w:val="009B034F"/>
    <w:rsid w:val="009B0583"/>
    <w:rsid w:val="009B4A51"/>
    <w:rsid w:val="009C28B1"/>
    <w:rsid w:val="009C61AD"/>
    <w:rsid w:val="009D373D"/>
    <w:rsid w:val="009D66CF"/>
    <w:rsid w:val="009E1B0A"/>
    <w:rsid w:val="009E1D05"/>
    <w:rsid w:val="009F512A"/>
    <w:rsid w:val="00A048D2"/>
    <w:rsid w:val="00A11B0C"/>
    <w:rsid w:val="00A305CE"/>
    <w:rsid w:val="00A33B35"/>
    <w:rsid w:val="00A36419"/>
    <w:rsid w:val="00A578C2"/>
    <w:rsid w:val="00A606FE"/>
    <w:rsid w:val="00A71BDB"/>
    <w:rsid w:val="00A72652"/>
    <w:rsid w:val="00A7501D"/>
    <w:rsid w:val="00A75D1C"/>
    <w:rsid w:val="00A809AA"/>
    <w:rsid w:val="00A840FD"/>
    <w:rsid w:val="00A849B3"/>
    <w:rsid w:val="00A8510D"/>
    <w:rsid w:val="00A85AEB"/>
    <w:rsid w:val="00A86AF3"/>
    <w:rsid w:val="00A90BDC"/>
    <w:rsid w:val="00A95477"/>
    <w:rsid w:val="00A975A9"/>
    <w:rsid w:val="00AA19F3"/>
    <w:rsid w:val="00AA3192"/>
    <w:rsid w:val="00AA41FB"/>
    <w:rsid w:val="00AA5CDB"/>
    <w:rsid w:val="00AA7EBD"/>
    <w:rsid w:val="00AB10B2"/>
    <w:rsid w:val="00AB23AE"/>
    <w:rsid w:val="00AB3608"/>
    <w:rsid w:val="00AB4B8D"/>
    <w:rsid w:val="00AC5C48"/>
    <w:rsid w:val="00AD3523"/>
    <w:rsid w:val="00AF0CF4"/>
    <w:rsid w:val="00AF2252"/>
    <w:rsid w:val="00AF397A"/>
    <w:rsid w:val="00AF47F3"/>
    <w:rsid w:val="00B1129F"/>
    <w:rsid w:val="00B11D61"/>
    <w:rsid w:val="00B12F51"/>
    <w:rsid w:val="00B2751E"/>
    <w:rsid w:val="00B3650C"/>
    <w:rsid w:val="00B40D9E"/>
    <w:rsid w:val="00B4485C"/>
    <w:rsid w:val="00B56B4A"/>
    <w:rsid w:val="00B64BFA"/>
    <w:rsid w:val="00B85DE4"/>
    <w:rsid w:val="00B91A31"/>
    <w:rsid w:val="00B91C8D"/>
    <w:rsid w:val="00BA6DB4"/>
    <w:rsid w:val="00BB2D7E"/>
    <w:rsid w:val="00BC3F3C"/>
    <w:rsid w:val="00BC5264"/>
    <w:rsid w:val="00BC5BB2"/>
    <w:rsid w:val="00BE0C48"/>
    <w:rsid w:val="00BF3F54"/>
    <w:rsid w:val="00BF76E6"/>
    <w:rsid w:val="00C00697"/>
    <w:rsid w:val="00C0376C"/>
    <w:rsid w:val="00C04B0A"/>
    <w:rsid w:val="00C06D77"/>
    <w:rsid w:val="00C14BA6"/>
    <w:rsid w:val="00C347E7"/>
    <w:rsid w:val="00C3485C"/>
    <w:rsid w:val="00C359BC"/>
    <w:rsid w:val="00C3726A"/>
    <w:rsid w:val="00C470C8"/>
    <w:rsid w:val="00C833B1"/>
    <w:rsid w:val="00CA127B"/>
    <w:rsid w:val="00CA2004"/>
    <w:rsid w:val="00CB334D"/>
    <w:rsid w:val="00CB5422"/>
    <w:rsid w:val="00CB56D5"/>
    <w:rsid w:val="00CC7397"/>
    <w:rsid w:val="00CC78DC"/>
    <w:rsid w:val="00CD0771"/>
    <w:rsid w:val="00CD1EA8"/>
    <w:rsid w:val="00CD5413"/>
    <w:rsid w:val="00CF5228"/>
    <w:rsid w:val="00CF5ABD"/>
    <w:rsid w:val="00CF63CE"/>
    <w:rsid w:val="00D067C1"/>
    <w:rsid w:val="00D13B13"/>
    <w:rsid w:val="00D16E78"/>
    <w:rsid w:val="00D201D3"/>
    <w:rsid w:val="00D26A64"/>
    <w:rsid w:val="00D4221A"/>
    <w:rsid w:val="00D43515"/>
    <w:rsid w:val="00D51BC7"/>
    <w:rsid w:val="00D52B9A"/>
    <w:rsid w:val="00D5367E"/>
    <w:rsid w:val="00D67BC7"/>
    <w:rsid w:val="00D70488"/>
    <w:rsid w:val="00D7285C"/>
    <w:rsid w:val="00D73A79"/>
    <w:rsid w:val="00D81D9E"/>
    <w:rsid w:val="00D861ED"/>
    <w:rsid w:val="00D873E0"/>
    <w:rsid w:val="00D94F8B"/>
    <w:rsid w:val="00DA4EA9"/>
    <w:rsid w:val="00DA5988"/>
    <w:rsid w:val="00DB4CB1"/>
    <w:rsid w:val="00DB77E1"/>
    <w:rsid w:val="00DC317C"/>
    <w:rsid w:val="00DC4FF2"/>
    <w:rsid w:val="00DC79CC"/>
    <w:rsid w:val="00DE4810"/>
    <w:rsid w:val="00DF0B18"/>
    <w:rsid w:val="00DF7761"/>
    <w:rsid w:val="00E05DA2"/>
    <w:rsid w:val="00E065F8"/>
    <w:rsid w:val="00E109E5"/>
    <w:rsid w:val="00E134F4"/>
    <w:rsid w:val="00E23568"/>
    <w:rsid w:val="00E245B5"/>
    <w:rsid w:val="00E24C20"/>
    <w:rsid w:val="00E33E1B"/>
    <w:rsid w:val="00E34D3E"/>
    <w:rsid w:val="00E55D40"/>
    <w:rsid w:val="00E7129C"/>
    <w:rsid w:val="00E81C5E"/>
    <w:rsid w:val="00E83B3C"/>
    <w:rsid w:val="00E8736B"/>
    <w:rsid w:val="00E90275"/>
    <w:rsid w:val="00E925D4"/>
    <w:rsid w:val="00E92DFA"/>
    <w:rsid w:val="00E97226"/>
    <w:rsid w:val="00EA5259"/>
    <w:rsid w:val="00EB63B3"/>
    <w:rsid w:val="00ED08A4"/>
    <w:rsid w:val="00ED42A1"/>
    <w:rsid w:val="00ED6878"/>
    <w:rsid w:val="00EE4B51"/>
    <w:rsid w:val="00EF0EC8"/>
    <w:rsid w:val="00EF33CD"/>
    <w:rsid w:val="00F10E57"/>
    <w:rsid w:val="00F300CB"/>
    <w:rsid w:val="00F370B9"/>
    <w:rsid w:val="00F371D2"/>
    <w:rsid w:val="00F42C3A"/>
    <w:rsid w:val="00F52BCC"/>
    <w:rsid w:val="00F5313F"/>
    <w:rsid w:val="00F54FE8"/>
    <w:rsid w:val="00F57581"/>
    <w:rsid w:val="00F725B5"/>
    <w:rsid w:val="00F81A48"/>
    <w:rsid w:val="00FC1765"/>
    <w:rsid w:val="00FD17C9"/>
    <w:rsid w:val="00FD1EF0"/>
    <w:rsid w:val="00FD2A5B"/>
    <w:rsid w:val="00FE134E"/>
    <w:rsid w:val="00FE69F9"/>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table" w:customStyle="1" w:styleId="TableGrid1">
    <w:name w:val="Table Grid1"/>
    <w:basedOn w:val="TableNormal"/>
    <w:next w:val="TableGrid"/>
    <w:uiPriority w:val="59"/>
    <w:rsid w:val="001F2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table" w:customStyle="1" w:styleId="TableGrid1">
    <w:name w:val="Table Grid1"/>
    <w:basedOn w:val="TableNormal"/>
    <w:next w:val="TableGrid"/>
    <w:uiPriority w:val="59"/>
    <w:rsid w:val="001F2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613">
      <w:bodyDiv w:val="1"/>
      <w:marLeft w:val="0"/>
      <w:marRight w:val="0"/>
      <w:marTop w:val="0"/>
      <w:marBottom w:val="0"/>
      <w:divBdr>
        <w:top w:val="none" w:sz="0" w:space="0" w:color="auto"/>
        <w:left w:val="none" w:sz="0" w:space="0" w:color="auto"/>
        <w:bottom w:val="none" w:sz="0" w:space="0" w:color="auto"/>
        <w:right w:val="none" w:sz="0" w:space="0" w:color="auto"/>
      </w:divBdr>
    </w:div>
    <w:div w:id="208491361">
      <w:bodyDiv w:val="1"/>
      <w:marLeft w:val="0"/>
      <w:marRight w:val="0"/>
      <w:marTop w:val="0"/>
      <w:marBottom w:val="0"/>
      <w:divBdr>
        <w:top w:val="none" w:sz="0" w:space="0" w:color="auto"/>
        <w:left w:val="none" w:sz="0" w:space="0" w:color="auto"/>
        <w:bottom w:val="none" w:sz="0" w:space="0" w:color="auto"/>
        <w:right w:val="none" w:sz="0" w:space="0" w:color="auto"/>
      </w:divBdr>
    </w:div>
    <w:div w:id="247005640">
      <w:bodyDiv w:val="1"/>
      <w:marLeft w:val="0"/>
      <w:marRight w:val="0"/>
      <w:marTop w:val="0"/>
      <w:marBottom w:val="0"/>
      <w:divBdr>
        <w:top w:val="none" w:sz="0" w:space="0" w:color="auto"/>
        <w:left w:val="none" w:sz="0" w:space="0" w:color="auto"/>
        <w:bottom w:val="none" w:sz="0" w:space="0" w:color="auto"/>
        <w:right w:val="none" w:sz="0" w:space="0" w:color="auto"/>
      </w:divBdr>
    </w:div>
    <w:div w:id="453795511">
      <w:bodyDiv w:val="1"/>
      <w:marLeft w:val="0"/>
      <w:marRight w:val="0"/>
      <w:marTop w:val="0"/>
      <w:marBottom w:val="0"/>
      <w:divBdr>
        <w:top w:val="none" w:sz="0" w:space="0" w:color="auto"/>
        <w:left w:val="none" w:sz="0" w:space="0" w:color="auto"/>
        <w:bottom w:val="none" w:sz="0" w:space="0" w:color="auto"/>
        <w:right w:val="none" w:sz="0" w:space="0" w:color="auto"/>
      </w:divBdr>
    </w:div>
    <w:div w:id="601491499">
      <w:bodyDiv w:val="1"/>
      <w:marLeft w:val="0"/>
      <w:marRight w:val="0"/>
      <w:marTop w:val="0"/>
      <w:marBottom w:val="0"/>
      <w:divBdr>
        <w:top w:val="none" w:sz="0" w:space="0" w:color="auto"/>
        <w:left w:val="none" w:sz="0" w:space="0" w:color="auto"/>
        <w:bottom w:val="none" w:sz="0" w:space="0" w:color="auto"/>
        <w:right w:val="none" w:sz="0" w:space="0" w:color="auto"/>
      </w:divBdr>
    </w:div>
    <w:div w:id="869562548">
      <w:bodyDiv w:val="1"/>
      <w:marLeft w:val="0"/>
      <w:marRight w:val="0"/>
      <w:marTop w:val="0"/>
      <w:marBottom w:val="0"/>
      <w:divBdr>
        <w:top w:val="none" w:sz="0" w:space="0" w:color="auto"/>
        <w:left w:val="none" w:sz="0" w:space="0" w:color="auto"/>
        <w:bottom w:val="none" w:sz="0" w:space="0" w:color="auto"/>
        <w:right w:val="none" w:sz="0" w:space="0" w:color="auto"/>
      </w:divBdr>
    </w:div>
    <w:div w:id="978219735">
      <w:bodyDiv w:val="1"/>
      <w:marLeft w:val="0"/>
      <w:marRight w:val="0"/>
      <w:marTop w:val="0"/>
      <w:marBottom w:val="0"/>
      <w:divBdr>
        <w:top w:val="none" w:sz="0" w:space="0" w:color="auto"/>
        <w:left w:val="none" w:sz="0" w:space="0" w:color="auto"/>
        <w:bottom w:val="none" w:sz="0" w:space="0" w:color="auto"/>
        <w:right w:val="none" w:sz="0" w:space="0" w:color="auto"/>
      </w:divBdr>
    </w:div>
    <w:div w:id="103129844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87575609">
      <w:bodyDiv w:val="1"/>
      <w:marLeft w:val="0"/>
      <w:marRight w:val="0"/>
      <w:marTop w:val="0"/>
      <w:marBottom w:val="0"/>
      <w:divBdr>
        <w:top w:val="none" w:sz="0" w:space="0" w:color="auto"/>
        <w:left w:val="none" w:sz="0" w:space="0" w:color="auto"/>
        <w:bottom w:val="none" w:sz="0" w:space="0" w:color="auto"/>
        <w:right w:val="none" w:sz="0" w:space="0" w:color="auto"/>
      </w:divBdr>
    </w:div>
    <w:div w:id="1593129022">
      <w:bodyDiv w:val="1"/>
      <w:marLeft w:val="0"/>
      <w:marRight w:val="0"/>
      <w:marTop w:val="0"/>
      <w:marBottom w:val="0"/>
      <w:divBdr>
        <w:top w:val="none" w:sz="0" w:space="0" w:color="auto"/>
        <w:left w:val="none" w:sz="0" w:space="0" w:color="auto"/>
        <w:bottom w:val="none" w:sz="0" w:space="0" w:color="auto"/>
        <w:right w:val="none" w:sz="0" w:space="0" w:color="auto"/>
      </w:divBdr>
    </w:div>
    <w:div w:id="173580872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88251465">
      <w:bodyDiv w:val="1"/>
      <w:marLeft w:val="0"/>
      <w:marRight w:val="0"/>
      <w:marTop w:val="0"/>
      <w:marBottom w:val="0"/>
      <w:divBdr>
        <w:top w:val="none" w:sz="0" w:space="0" w:color="auto"/>
        <w:left w:val="none" w:sz="0" w:space="0" w:color="auto"/>
        <w:bottom w:val="none" w:sz="0" w:space="0" w:color="auto"/>
        <w:right w:val="none" w:sz="0" w:space="0" w:color="auto"/>
      </w:divBdr>
    </w:div>
    <w:div w:id="19347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othershe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FB82-36A2-455F-8C68-55CA965E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2014-04-17T17:23:00Z</cp:lastPrinted>
  <dcterms:created xsi:type="dcterms:W3CDTF">2014-04-17T17:25:00Z</dcterms:created>
  <dcterms:modified xsi:type="dcterms:W3CDTF">2014-04-17T17:25:00Z</dcterms:modified>
</cp:coreProperties>
</file>