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3B6214" w:rsidRDefault="00704BCC" w:rsidP="00A9792C">
      <w:pPr>
        <w:jc w:val="center"/>
      </w:pPr>
      <w:r>
        <w:t>SURVEY</w:t>
      </w:r>
      <w:r w:rsidR="008C1FF8">
        <w:t>S</w:t>
      </w:r>
      <w:r w:rsidR="00FF1627" w:rsidRPr="00A9792C">
        <w:t xml:space="preserve"> OF STATE, TRIBAL, LOCAL, and TERRITORIAL (STLT) </w:t>
      </w:r>
    </w:p>
    <w:p w:rsidR="00FF1627" w:rsidRPr="00A9792C" w:rsidRDefault="00FF1627" w:rsidP="00A9792C">
      <w:pPr>
        <w:jc w:val="center"/>
      </w:pPr>
      <w:r w:rsidRPr="00A9792C">
        <w:t xml:space="preserve">GOVERNMENTAL AGENCIES </w:t>
      </w:r>
    </w:p>
    <w:p w:rsidR="00FF1627" w:rsidRPr="00A9792C" w:rsidRDefault="00FF1627" w:rsidP="00A9792C">
      <w:pPr>
        <w:jc w:val="center"/>
        <w:outlineLvl w:val="0"/>
      </w:pPr>
      <w:r w:rsidRPr="00A9792C">
        <w:t>CENTERS FOR DISEASE CONTROL AND PREVENTION (CDC)</w:t>
      </w:r>
    </w:p>
    <w:p w:rsidR="00FF1627" w:rsidRPr="00A9792C" w:rsidRDefault="00FF1627" w:rsidP="00A9792C">
      <w:pPr>
        <w:jc w:val="center"/>
      </w:pPr>
    </w:p>
    <w:p w:rsidR="00FF1627" w:rsidRPr="00A9792C" w:rsidRDefault="00FF1627" w:rsidP="00A9792C">
      <w:pPr>
        <w:jc w:val="center"/>
        <w:outlineLvl w:val="0"/>
      </w:pPr>
      <w:r w:rsidRPr="00A9792C">
        <w:t>SUPPORTING STATEMENT</w:t>
      </w:r>
      <w:r w:rsidR="00A9792C">
        <w:t xml:space="preserve"> </w:t>
      </w:r>
      <w:r w:rsidR="003561BF" w:rsidRPr="00A9792C">
        <w:t>B</w:t>
      </w:r>
    </w:p>
    <w:p w:rsidR="00FF1627" w:rsidRPr="00A9792C" w:rsidRDefault="00FF1627" w:rsidP="00A9792C">
      <w:pPr>
        <w:jc w:val="center"/>
        <w:outlineLvl w:val="0"/>
      </w:pPr>
    </w:p>
    <w:p w:rsidR="00FF1627" w:rsidRPr="00A9792C" w:rsidRDefault="00FF1627" w:rsidP="00A9792C">
      <w:pPr>
        <w:jc w:val="center"/>
        <w:outlineLvl w:val="0"/>
      </w:pPr>
    </w:p>
    <w:p w:rsidR="00FF1627" w:rsidRPr="00A9792C" w:rsidRDefault="00FF1627" w:rsidP="00A9792C">
      <w:pPr>
        <w:jc w:val="center"/>
        <w:outlineLvl w:val="0"/>
      </w:pPr>
    </w:p>
    <w:p w:rsidR="00FF1627" w:rsidRPr="00A9792C" w:rsidRDefault="00FF1627" w:rsidP="00A9792C">
      <w:pPr>
        <w:jc w:val="center"/>
        <w:outlineLvl w:val="0"/>
      </w:pPr>
    </w:p>
    <w:p w:rsidR="00FF1627" w:rsidRPr="00A9792C" w:rsidRDefault="009429A4" w:rsidP="00A9792C">
      <w:pPr>
        <w:jc w:val="center"/>
        <w:outlineLvl w:val="0"/>
      </w:pPr>
      <w:r>
        <w:t xml:space="preserve">January </w:t>
      </w:r>
      <w:r w:rsidR="00704BCC" w:rsidRPr="00704BCC">
        <w:t>22</w:t>
      </w:r>
      <w:r>
        <w:t>, 2014</w:t>
      </w:r>
      <w:r w:rsidR="00AC18B7">
        <w:t xml:space="preserve"> </w:t>
      </w:r>
    </w:p>
    <w:p w:rsidR="00FF1627" w:rsidRPr="00A9792C" w:rsidRDefault="00FF1627" w:rsidP="00A9792C">
      <w:pPr>
        <w:jc w:val="center"/>
        <w:outlineLvl w:val="0"/>
      </w:pPr>
    </w:p>
    <w:p w:rsidR="00FF1627" w:rsidRPr="00A9792C" w:rsidRDefault="00FF1627" w:rsidP="00A9792C">
      <w:pPr>
        <w:jc w:val="center"/>
        <w:outlineLvl w:val="0"/>
      </w:pPr>
    </w:p>
    <w:p w:rsidR="00FF1627" w:rsidRPr="00A9792C" w:rsidRDefault="00FF1627" w:rsidP="00A9792C">
      <w:pPr>
        <w:outlineLvl w:val="0"/>
      </w:pPr>
      <w:r w:rsidRPr="00A9792C">
        <w:t xml:space="preserve">             </w:t>
      </w:r>
    </w:p>
    <w:p w:rsidR="00FF1627" w:rsidRPr="00A9792C" w:rsidRDefault="00FF1627" w:rsidP="00A9792C">
      <w:pPr>
        <w:outlineLvl w:val="0"/>
      </w:pPr>
    </w:p>
    <w:p w:rsidR="00791AA8" w:rsidRPr="00A9792C" w:rsidRDefault="00791AA8" w:rsidP="00A9792C">
      <w:pPr>
        <w:outlineLvl w:val="0"/>
      </w:pPr>
    </w:p>
    <w:p w:rsidR="00791AA8" w:rsidRPr="00A9792C" w:rsidRDefault="00791AA8" w:rsidP="00A9792C">
      <w:pPr>
        <w:outlineLvl w:val="0"/>
      </w:pPr>
    </w:p>
    <w:p w:rsidR="00791AA8" w:rsidRPr="00A9792C" w:rsidRDefault="00791AA8" w:rsidP="00A9792C">
      <w:pPr>
        <w:outlineLvl w:val="0"/>
      </w:pPr>
    </w:p>
    <w:p w:rsidR="00791AA8" w:rsidRPr="00A9792C" w:rsidRDefault="00AC18B7" w:rsidP="00AC18B7">
      <w:pPr>
        <w:tabs>
          <w:tab w:val="left" w:pos="4152"/>
        </w:tabs>
        <w:outlineLvl w:val="0"/>
      </w:pPr>
      <w:r>
        <w:tab/>
      </w:r>
    </w:p>
    <w:p w:rsidR="00FF1627" w:rsidRPr="00A9792C" w:rsidRDefault="00FF1627" w:rsidP="00A9792C">
      <w:pPr>
        <w:outlineLvl w:val="0"/>
      </w:pPr>
    </w:p>
    <w:p w:rsidR="00FF1627" w:rsidRPr="00A9792C" w:rsidRDefault="00FF1627" w:rsidP="00A9792C">
      <w:pPr>
        <w:outlineLvl w:val="0"/>
      </w:pPr>
    </w:p>
    <w:p w:rsidR="00A9792C" w:rsidRDefault="00A9792C" w:rsidP="00A9792C">
      <w:pPr>
        <w:outlineLvl w:val="0"/>
      </w:pPr>
    </w:p>
    <w:p w:rsidR="00A9792C" w:rsidRDefault="00A9792C" w:rsidP="00A9792C">
      <w:pPr>
        <w:outlineLvl w:val="0"/>
      </w:pPr>
    </w:p>
    <w:p w:rsidR="00A9792C" w:rsidRDefault="00A9792C" w:rsidP="00A9792C">
      <w:pPr>
        <w:outlineLvl w:val="0"/>
      </w:pPr>
    </w:p>
    <w:p w:rsidR="002F2688" w:rsidRDefault="002F2688" w:rsidP="002F2688">
      <w:pPr>
        <w:outlineLvl w:val="0"/>
      </w:pPr>
    </w:p>
    <w:p w:rsidR="00FF1627" w:rsidRPr="002F2688" w:rsidRDefault="002F2688" w:rsidP="002F2688">
      <w:pPr>
        <w:outlineLvl w:val="0"/>
        <w:rPr>
          <w:b/>
        </w:rPr>
      </w:pPr>
      <w:r w:rsidRPr="002F2688">
        <w:rPr>
          <w:b/>
        </w:rPr>
        <w:t>Program Official/Project Officer</w:t>
      </w:r>
    </w:p>
    <w:p w:rsidR="00FF1627" w:rsidRPr="00A9792C" w:rsidRDefault="00791AA8" w:rsidP="00A9792C">
      <w:pPr>
        <w:rPr>
          <w:bCs/>
        </w:rPr>
      </w:pPr>
      <w:r w:rsidRPr="00A9792C">
        <w:rPr>
          <w:bCs/>
        </w:rPr>
        <w:t>Bobby Rasulnia, PhD, MPA, MPH, CHES</w:t>
      </w:r>
    </w:p>
    <w:p w:rsidR="00FF1627" w:rsidRPr="00A9792C" w:rsidRDefault="00791AA8" w:rsidP="00A9792C">
      <w:r w:rsidRPr="00A9792C">
        <w:t>Applied Systems Research and Evaluation Branch</w:t>
      </w:r>
    </w:p>
    <w:p w:rsidR="00FF1627" w:rsidRPr="00A9792C" w:rsidRDefault="00FF1627" w:rsidP="00A9792C">
      <w:r w:rsidRPr="00A9792C">
        <w:t>Office for State, Tribal, Local, and Territorial Support</w:t>
      </w:r>
    </w:p>
    <w:p w:rsidR="00FF1627" w:rsidRPr="00A9792C" w:rsidRDefault="00FF1627" w:rsidP="00A9792C">
      <w:r w:rsidRPr="00A9792C">
        <w:t>Centers for Disease Control &amp; Prevention</w:t>
      </w:r>
    </w:p>
    <w:p w:rsidR="00FF1627" w:rsidRPr="00A9792C" w:rsidRDefault="00FF1627" w:rsidP="00A9792C">
      <w:r w:rsidRPr="00A9792C">
        <w:t>1825 Century Cen</w:t>
      </w:r>
      <w:r w:rsidR="00A9792C">
        <w:t>ter,</w:t>
      </w:r>
      <w:r w:rsidRPr="00A9792C">
        <w:t xml:space="preserve"> MS-70</w:t>
      </w:r>
    </w:p>
    <w:p w:rsidR="00FF1627" w:rsidRPr="00A9792C" w:rsidRDefault="00FF1627" w:rsidP="00A9792C">
      <w:r w:rsidRPr="00A9792C">
        <w:t>Atlanta, Georgia  30345</w:t>
      </w:r>
    </w:p>
    <w:p w:rsidR="00FF1627" w:rsidRPr="00A9792C" w:rsidRDefault="00A9792C" w:rsidP="00A9792C">
      <w:r>
        <w:t xml:space="preserve">Office - </w:t>
      </w:r>
      <w:r w:rsidR="00FF1627" w:rsidRPr="00A9792C">
        <w:t>404-498-</w:t>
      </w:r>
      <w:r w:rsidR="00791AA8" w:rsidRPr="00A9792C">
        <w:t>0374</w:t>
      </w:r>
    </w:p>
    <w:p w:rsidR="00FF1627" w:rsidRPr="00A9792C" w:rsidRDefault="00FF1627" w:rsidP="00A9792C">
      <w:r w:rsidRPr="00A9792C">
        <w:t>Fax - 404-498-6882</w:t>
      </w:r>
    </w:p>
    <w:p w:rsidR="00FF1627" w:rsidRPr="00A9792C" w:rsidRDefault="00FF1627" w:rsidP="00A9792C">
      <w:pPr>
        <w:jc w:val="center"/>
        <w:outlineLvl w:val="0"/>
      </w:pPr>
    </w:p>
    <w:p w:rsidR="00FF1627" w:rsidRDefault="00FF1627" w:rsidP="00A9792C">
      <w:pPr>
        <w:jc w:val="center"/>
        <w:outlineLvl w:val="0"/>
      </w:pPr>
    </w:p>
    <w:p w:rsidR="001705E5" w:rsidRPr="00A9792C" w:rsidRDefault="001705E5" w:rsidP="00A9792C">
      <w:pPr>
        <w:jc w:val="center"/>
        <w:outlineLvl w:val="0"/>
      </w:pPr>
    </w:p>
    <w:p w:rsidR="00BC0B90" w:rsidRPr="002F2688" w:rsidRDefault="00FF1627" w:rsidP="00A9792C">
      <w:pPr>
        <w:rPr>
          <w:b/>
          <w:sz w:val="28"/>
          <w:szCs w:val="28"/>
        </w:rPr>
      </w:pPr>
      <w:bookmarkStart w:id="0" w:name="_GoBack"/>
      <w:bookmarkEnd w:id="0"/>
      <w:r w:rsidRPr="002F2688">
        <w:rPr>
          <w:b/>
          <w:sz w:val="28"/>
          <w:szCs w:val="28"/>
        </w:rPr>
        <w:lastRenderedPageBreak/>
        <w:t xml:space="preserve">Part </w:t>
      </w:r>
      <w:r w:rsidR="00BC0B90" w:rsidRPr="002F2688">
        <w:rPr>
          <w:b/>
          <w:sz w:val="28"/>
          <w:szCs w:val="28"/>
        </w:rPr>
        <w:t xml:space="preserve">B.  </w:t>
      </w:r>
      <w:r w:rsidR="002F2688" w:rsidRPr="002F2688">
        <w:rPr>
          <w:b/>
          <w:sz w:val="28"/>
          <w:szCs w:val="28"/>
        </w:rPr>
        <w:t>Data Collection Procedures</w:t>
      </w:r>
    </w:p>
    <w:p w:rsidR="00BC0B90" w:rsidRPr="00A9792C" w:rsidRDefault="00BC0B90" w:rsidP="003D2863">
      <w:pPr>
        <w:pStyle w:val="TOC2"/>
        <w:spacing w:line="240" w:lineRule="auto"/>
        <w:rPr>
          <w:noProof/>
        </w:rPr>
      </w:pPr>
      <w:r w:rsidRPr="00A9792C">
        <w:rPr>
          <w:noProof/>
        </w:rPr>
        <w:t>1</w:t>
      </w:r>
      <w:r w:rsidR="002F2688">
        <w:rPr>
          <w:noProof/>
        </w:rPr>
        <w:t xml:space="preserve">. </w:t>
      </w:r>
      <w:r w:rsidRPr="00A9792C">
        <w:rPr>
          <w:noProof/>
        </w:rPr>
        <w:tab/>
        <w:t>Respondent Universe and Sampling Methods</w:t>
      </w:r>
    </w:p>
    <w:p w:rsidR="003D1753" w:rsidRDefault="003D1753" w:rsidP="003D2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Respondent universe is comprised of state, tribal, local and territo</w:t>
      </w:r>
      <w:r w:rsidR="00017B19">
        <w:t>rial (STLT) governmental staff or delegate</w:t>
      </w:r>
      <w:r w:rsidRPr="003D1753">
        <w:rPr>
          <w:vertAlign w:val="superscript"/>
        </w:rPr>
        <w:t>1</w:t>
      </w:r>
      <w:r>
        <w:t>acting on behalf of a STLT agency involved in the provision</w:t>
      </w:r>
      <w:r w:rsidRPr="003D1753">
        <w:rPr>
          <w:vertAlign w:val="superscript"/>
        </w:rPr>
        <w:t>2</w:t>
      </w:r>
      <w:r>
        <w:t xml:space="preserve"> of essential</w:t>
      </w:r>
      <w:r w:rsidRPr="003D1753">
        <w:rPr>
          <w:vertAlign w:val="superscript"/>
        </w:rPr>
        <w:t xml:space="preserve">3 </w:t>
      </w:r>
      <w:r>
        <w:t>public health services in the United States. The STLT agency is represented by a local, state, tribal or territorial governmental entity</w:t>
      </w:r>
      <w:r w:rsidR="00017B19">
        <w:t xml:space="preserve"> or delegate</w:t>
      </w:r>
      <w:r>
        <w:t xml:space="preserve"> with a task</w:t>
      </w:r>
      <w:r w:rsidRPr="003D1753">
        <w:rPr>
          <w:vertAlign w:val="superscript"/>
        </w:rPr>
        <w:t>4</w:t>
      </w:r>
      <w:r>
        <w:t xml:space="preserve"> to</w:t>
      </w:r>
      <w:r w:rsidR="000E23BC">
        <w:t xml:space="preserve"> protect and/or</w:t>
      </w:r>
      <w:r>
        <w:t xml:space="preserve"> improve the public’s health</w:t>
      </w:r>
      <w:r w:rsidRPr="003D1753">
        <w:rPr>
          <w:vertAlign w:val="superscript"/>
        </w:rPr>
        <w:t>5</w:t>
      </w:r>
      <w:r>
        <w:t xml:space="preserve">.  </w:t>
      </w:r>
    </w:p>
    <w:p w:rsidR="003D1753"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10C9F" w:rsidRDefault="003D1753"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r>
        <w:t>The scope of data collection is limited to responsibilities and dutie</w:t>
      </w:r>
      <w:r w:rsidR="00017B19">
        <w:t>s of governmental staff or delegate.</w:t>
      </w:r>
      <w:r w:rsidR="000B1B91">
        <w:t xml:space="preserve"> </w:t>
      </w:r>
      <w:r w:rsidR="004E72E1">
        <w:t>There are many types of potential respondents</w:t>
      </w:r>
      <w:r w:rsidR="00BC0B90" w:rsidRPr="00A9792C">
        <w:t xml:space="preserve"> due to the diversity in </w:t>
      </w:r>
      <w:r w:rsidR="000B1B91">
        <w:t>organizational structure</w:t>
      </w:r>
      <w:r w:rsidR="00BC0B90" w:rsidRPr="00A9792C">
        <w:t xml:space="preserve"> and management</w:t>
      </w:r>
      <w:r w:rsidR="000B1B91">
        <w:t xml:space="preserve"> approaches</w:t>
      </w:r>
      <w:r w:rsidR="00BC0B90" w:rsidRPr="00A9792C">
        <w:t xml:space="preserve"> in different jurisdictions</w:t>
      </w:r>
      <w:r w:rsidR="000B1B91">
        <w:t xml:space="preserve">. </w:t>
      </w:r>
      <w:r w:rsidR="00910C9F" w:rsidRPr="00910C9F">
        <w:t xml:space="preserve">The potential respondents include 800 </w:t>
      </w:r>
      <w:r w:rsidR="00910C9F" w:rsidRPr="00C51848">
        <w:rPr>
          <w:rFonts w:eastAsiaTheme="minorEastAsia"/>
        </w:rPr>
        <w:t>State, Territorial, or Tribal government staff or delegate</w:t>
      </w:r>
      <w:r w:rsidR="00C77EDD">
        <w:rPr>
          <w:rFonts w:eastAsiaTheme="minorEastAsia"/>
        </w:rPr>
        <w:t>s</w:t>
      </w:r>
      <w:r w:rsidR="00910C9F" w:rsidRPr="00C51848">
        <w:rPr>
          <w:rFonts w:eastAsiaTheme="minorEastAsia"/>
        </w:rPr>
        <w:t xml:space="preserve"> involved in the provision of essential public health services, and 3000  Local/County/City government staff or delegates involved in the provision of essential public health services</w:t>
      </w:r>
      <w:r w:rsidR="00C77EDD">
        <w:rPr>
          <w:rFonts w:eastAsiaTheme="minorEastAsia"/>
        </w:rPr>
        <w:t>.  Although there is great diversity in health o</w:t>
      </w:r>
      <w:r w:rsidR="002525A7">
        <w:rPr>
          <w:rFonts w:eastAsiaTheme="minorEastAsia"/>
        </w:rPr>
        <w:t>rganization and management in di</w:t>
      </w:r>
      <w:r w:rsidR="00C77EDD">
        <w:rPr>
          <w:rFonts w:eastAsiaTheme="minorEastAsia"/>
        </w:rPr>
        <w:t>fferent jurisdictions, b</w:t>
      </w:r>
      <w:r w:rsidR="00C77EDD" w:rsidRPr="00C77EDD">
        <w:rPr>
          <w:rFonts w:eastAsiaTheme="minorEastAsia"/>
        </w:rPr>
        <w:t xml:space="preserve">elow are descriptions of the professions and organizations </w:t>
      </w:r>
      <w:r w:rsidR="008E3E60" w:rsidRPr="00C77EDD">
        <w:rPr>
          <w:rFonts w:eastAsiaTheme="minorEastAsia"/>
        </w:rPr>
        <w:t>that</w:t>
      </w:r>
      <w:r w:rsidR="00C77EDD" w:rsidRPr="00C77EDD">
        <w:rPr>
          <w:rFonts w:eastAsiaTheme="minorEastAsia"/>
        </w:rPr>
        <w:t xml:space="preserve"> have and could represent respondent universe in this generic submission:</w:t>
      </w:r>
    </w:p>
    <w:p w:rsidR="00C77EDD" w:rsidRDefault="00C77EDD"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p>
    <w:p w:rsidR="00C77EDD" w:rsidRPr="00FC2E4D" w:rsidRDefault="00C77EDD" w:rsidP="00704BC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C2E4D">
        <w:t xml:space="preserve">State, </w:t>
      </w:r>
      <w:r w:rsidR="008E3E60">
        <w:t>T</w:t>
      </w:r>
      <w:r w:rsidRPr="00FC2E4D">
        <w:t>erritorial</w:t>
      </w:r>
      <w:r w:rsidR="00FC2E4D" w:rsidRPr="00FC2E4D">
        <w:t xml:space="preserve">, or </w:t>
      </w:r>
      <w:r w:rsidR="008E3E60">
        <w:t>T</w:t>
      </w:r>
      <w:r w:rsidR="00FC2E4D" w:rsidRPr="00FC2E4D">
        <w:t xml:space="preserve">ribal </w:t>
      </w:r>
      <w:r w:rsidRPr="00FC2E4D">
        <w:t>government staff or delegate acting on behalf of a STLT agency (state health officer, chief state epidemiologist, head of state chronic disease prevention program, health communication specialist, state school commissioner, state emergency preparedness coordinator, etc.)</w:t>
      </w:r>
    </w:p>
    <w:p w:rsidR="00C77EDD" w:rsidRPr="00FC2E4D" w:rsidRDefault="00C77EDD" w:rsidP="00C77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7EDD" w:rsidRPr="00FC2E4D" w:rsidRDefault="00413332" w:rsidP="00C77EDD">
      <w:pPr>
        <w:numPr>
          <w:ilvl w:val="0"/>
          <w:numId w:val="2"/>
        </w:numPr>
        <w:autoSpaceDE w:val="0"/>
        <w:autoSpaceDN w:val="0"/>
        <w:adjustRightInd w:val="0"/>
        <w:outlineLvl w:val="0"/>
      </w:pPr>
      <w:r w:rsidRPr="00FC2E4D">
        <w:t xml:space="preserve">Local/ County/ City </w:t>
      </w:r>
      <w:r w:rsidR="00FC2E4D" w:rsidRPr="00FC2E4D">
        <w:t xml:space="preserve">government staff </w:t>
      </w:r>
      <w:r w:rsidRPr="00FC2E4D">
        <w:t>or delegate</w:t>
      </w:r>
      <w:r w:rsidR="00C77EDD" w:rsidRPr="00FC2E4D">
        <w:t xml:space="preserve"> (head of city health agency, chief of emergency services, police, fire, members of local board of health, physician etc.). </w:t>
      </w:r>
    </w:p>
    <w:p w:rsidR="00A3038F" w:rsidRDefault="00A3038F" w:rsidP="00DF2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38F" w:rsidRDefault="00A3038F" w:rsidP="00DF2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2688" w:rsidRPr="002F2688" w:rsidRDefault="002F2688" w:rsidP="002F2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F2688">
        <w:rPr>
          <w:b/>
        </w:rPr>
        <w:t xml:space="preserve">2. </w:t>
      </w:r>
      <w:r w:rsidRPr="002F2688">
        <w:rPr>
          <w:b/>
        </w:rPr>
        <w:tab/>
        <w:t xml:space="preserve"> PROCEDURES FOR THE COLLECTION OF INFORMATION</w:t>
      </w:r>
    </w:p>
    <w:p w:rsidR="002F2688" w:rsidRDefault="002F2688" w:rsidP="002F2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 state, tribal, local, and territorial government staff or delegate, efforts will be made to conduct a census, i.e. include all jurisdiction representatives in the assessment. This is feasible due to limited number of state, territorial and tribal jurisdictions.  For data collections involving several counties/cities, a random sample of respondents may be drawn from a population of county/city jurisdictions. For all categories of respondents, self-selection is an acceptable sample selection method for focus groups, customer satisfaction, routine communications etc.</w:t>
      </w:r>
    </w:p>
    <w:p w:rsidR="00A3038F" w:rsidRDefault="00A3038F" w:rsidP="00DF2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1753"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____________________________________________________________________________</w:t>
      </w:r>
    </w:p>
    <w:p w:rsidR="003D1753" w:rsidRPr="00CB1EED"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CB1EED">
        <w:rPr>
          <w:sz w:val="20"/>
          <w:szCs w:val="20"/>
          <w:vertAlign w:val="superscript"/>
        </w:rPr>
        <w:t>1</w:t>
      </w:r>
      <w:r w:rsidR="002F2688">
        <w:rPr>
          <w:sz w:val="20"/>
          <w:szCs w:val="20"/>
        </w:rPr>
        <w:t>D</w:t>
      </w:r>
      <w:r w:rsidR="00A3038F">
        <w:rPr>
          <w:sz w:val="20"/>
          <w:szCs w:val="20"/>
        </w:rPr>
        <w:t>elegate</w:t>
      </w:r>
      <w:r w:rsidR="00507C84">
        <w:rPr>
          <w:sz w:val="20"/>
          <w:szCs w:val="20"/>
        </w:rPr>
        <w:t>- a government</w:t>
      </w:r>
      <w:r w:rsidR="00EF34D7">
        <w:rPr>
          <w:sz w:val="20"/>
          <w:szCs w:val="20"/>
        </w:rPr>
        <w:t>al</w:t>
      </w:r>
      <w:r w:rsidR="00507C84">
        <w:rPr>
          <w:sz w:val="20"/>
          <w:szCs w:val="20"/>
        </w:rPr>
        <w:t xml:space="preserve"> or non-governmental </w:t>
      </w:r>
      <w:r w:rsidRPr="00CB1EED">
        <w:rPr>
          <w:sz w:val="20"/>
          <w:szCs w:val="20"/>
        </w:rPr>
        <w:t>agent (agency, function, office or individual) acting for a principal or submitted by another to represent or act on their behalf.</w:t>
      </w:r>
    </w:p>
    <w:p w:rsidR="003D1753" w:rsidRPr="00CB1EED"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CB1EED">
        <w:rPr>
          <w:sz w:val="20"/>
          <w:szCs w:val="20"/>
          <w:vertAlign w:val="superscript"/>
        </w:rPr>
        <w:t>2</w:t>
      </w:r>
      <w:r w:rsidRPr="00CB1EED">
        <w:rPr>
          <w:sz w:val="20"/>
          <w:szCs w:val="20"/>
        </w:rPr>
        <w:t>Provision- the act of (directly or indirectly) planning, providing, or assessing services.</w:t>
      </w:r>
    </w:p>
    <w:p w:rsidR="003D1753" w:rsidRPr="00CB1EED"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CB1EED">
        <w:rPr>
          <w:sz w:val="20"/>
          <w:szCs w:val="20"/>
          <w:vertAlign w:val="superscript"/>
        </w:rPr>
        <w:t>3</w:t>
      </w:r>
      <w:r w:rsidRPr="00CB1EED">
        <w:rPr>
          <w:sz w:val="20"/>
          <w:szCs w:val="20"/>
        </w:rPr>
        <w:t>Essential public health services- 10 services identified in 1988 IOM report.</w:t>
      </w:r>
    </w:p>
    <w:p w:rsidR="003D1753" w:rsidRPr="00CB1EED"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CB1EED">
        <w:rPr>
          <w:sz w:val="20"/>
          <w:szCs w:val="20"/>
          <w:vertAlign w:val="superscript"/>
        </w:rPr>
        <w:t>4</w:t>
      </w:r>
      <w:r w:rsidRPr="00CB1EED">
        <w:rPr>
          <w:sz w:val="20"/>
          <w:szCs w:val="20"/>
        </w:rPr>
        <w:t>Task- actions, mission, services, functions or duties that benefit the public's health and not tied to the organization delivering the public health service.</w:t>
      </w:r>
    </w:p>
    <w:p w:rsidR="002F2688" w:rsidRDefault="003D1753"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B1EED">
        <w:rPr>
          <w:sz w:val="20"/>
          <w:szCs w:val="20"/>
          <w:vertAlign w:val="superscript"/>
        </w:rPr>
        <w:t>5</w:t>
      </w:r>
      <w:r w:rsidRPr="00CB1EED">
        <w:rPr>
          <w:sz w:val="20"/>
          <w:szCs w:val="20"/>
        </w:rPr>
        <w:t>Public health- the science and art of preventing disease, prolonging life and promoting health through the organized efforts and informed choices of society, organizations, public and private, communities and individuals.</w:t>
      </w:r>
    </w:p>
    <w:p w:rsidR="00704BCC" w:rsidRDefault="00704BCC"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0B90" w:rsidRPr="00A9792C" w:rsidRDefault="00F47A0F"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The</w:t>
      </w:r>
      <w:r w:rsidR="00BC0B90" w:rsidRPr="00A9792C">
        <w:t xml:space="preserve"> information collection</w:t>
      </w:r>
      <w:r w:rsidR="00FE4A34">
        <w:t>s will utilize standard modes of administration. These include:</w:t>
      </w:r>
      <w:r w:rsidR="00BC0B90" w:rsidRPr="00A9792C">
        <w:t xml:space="preserve"> </w:t>
      </w:r>
    </w:p>
    <w:p w:rsidR="00084FDA" w:rsidRPr="00084FDA" w:rsidRDefault="00BC0B90" w:rsidP="003D286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u w:val="single"/>
        </w:rPr>
      </w:pPr>
      <w:r w:rsidRPr="00084FDA">
        <w:rPr>
          <w:u w:val="single"/>
        </w:rPr>
        <w:t>Online</w:t>
      </w:r>
      <w:r w:rsidRPr="00A9792C">
        <w:t xml:space="preserve"> </w:t>
      </w:r>
      <w:r w:rsidR="00084FDA">
        <w:t>data collections</w:t>
      </w:r>
      <w:r w:rsidRPr="00A9792C">
        <w:t xml:space="preserve"> will be the principal method of data collection </w:t>
      </w:r>
    </w:p>
    <w:p w:rsidR="00BC0B90" w:rsidRPr="00084FDA" w:rsidRDefault="00084FDA" w:rsidP="003D286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u w:val="single"/>
        </w:rPr>
      </w:pPr>
      <w:r>
        <w:rPr>
          <w:u w:val="single"/>
        </w:rPr>
        <w:t>Telephone</w:t>
      </w:r>
      <w:r w:rsidR="00F75FCE" w:rsidRPr="00507C84">
        <w:t xml:space="preserve"> data collections</w:t>
      </w:r>
      <w:r w:rsidR="00BC0B90" w:rsidRPr="00507C84">
        <w:t xml:space="preserve"> </w:t>
      </w:r>
      <w:r w:rsidR="00BC0B90" w:rsidRPr="00A9792C">
        <w:t>are particularly useful for maintaining high response rates and will be used to contact non-respondents.  A list of non-respondents will be deducted f</w:t>
      </w:r>
      <w:r>
        <w:t>rom the initial data collection</w:t>
      </w:r>
      <w:r w:rsidR="00BC0B90" w:rsidRPr="00A9792C">
        <w:t xml:space="preserve"> respondent list and trained interviewers contact them to administer a questionnaire over the phone.</w:t>
      </w:r>
      <w:r w:rsidR="00BC0B90" w:rsidRPr="00084FDA">
        <w:rPr>
          <w:u w:val="single"/>
        </w:rPr>
        <w:t xml:space="preserve"> </w:t>
      </w:r>
    </w:p>
    <w:p w:rsidR="003D2863" w:rsidRDefault="00084FDA" w:rsidP="003D286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Pr>
          <w:u w:val="single"/>
        </w:rPr>
        <w:t>In-person</w:t>
      </w:r>
      <w:r w:rsidR="00825B54">
        <w:rPr>
          <w:u w:val="single"/>
        </w:rPr>
        <w:t xml:space="preserve"> </w:t>
      </w:r>
      <w:r w:rsidR="00825B54" w:rsidRPr="00825B54">
        <w:t>data collections will be</w:t>
      </w:r>
      <w:r w:rsidR="00BC0B90" w:rsidRPr="00A9792C">
        <w:t xml:space="preserve"> implemented in a central location or sometimes door-to-door by interviewers who canvass households or individuals</w:t>
      </w:r>
      <w:r w:rsidR="00BC0B90" w:rsidRPr="00A9792C">
        <w:rPr>
          <w:b/>
        </w:rPr>
        <w:t xml:space="preserve"> </w:t>
      </w:r>
      <w:r w:rsidR="00BC0B90" w:rsidRPr="00A9792C">
        <w:t xml:space="preserve">living within a discrete geographic area to elicit information regarding certain topics or issues.  In-person </w:t>
      </w:r>
      <w:r w:rsidR="00825B54">
        <w:t>data collections</w:t>
      </w:r>
      <w:r w:rsidR="00BC0B90" w:rsidRPr="00A9792C">
        <w:t xml:space="preserve"> will be used on limited basis, mostly for the same reason as telephone </w:t>
      </w:r>
      <w:r w:rsidR="00825B54">
        <w:t>data collection</w:t>
      </w:r>
      <w:r w:rsidR="00BC0B90" w:rsidRPr="00A9792C">
        <w:t xml:space="preserve"> (non-response).</w:t>
      </w:r>
    </w:p>
    <w:p w:rsidR="00BC0B90" w:rsidRPr="003D2863" w:rsidRDefault="00825B54" w:rsidP="003D286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Pr>
          <w:u w:val="single"/>
        </w:rPr>
        <w:t>Focus Groups</w:t>
      </w:r>
      <w:r w:rsidRPr="00825B54">
        <w:t xml:space="preserve"> </w:t>
      </w:r>
      <w:r w:rsidR="00BC0B90" w:rsidRPr="00A9792C">
        <w:t xml:space="preserve">serve as a particularly useful medium to collect information from respondents when rich, in-depth information regarding attitudes and reactions to products is desired.  Focus groups traditionally take place in an in-person format, in which a moderator facilitates a discussion regarding a product, issue, or program. </w:t>
      </w:r>
      <w:r w:rsidR="00BC0B90" w:rsidRPr="003D2863">
        <w:rPr>
          <w:u w:val="single"/>
        </w:rPr>
        <w:t xml:space="preserve"> </w:t>
      </w:r>
    </w:p>
    <w:p w:rsidR="00BC0B90" w:rsidRPr="00A9792C" w:rsidRDefault="00BC0B90" w:rsidP="00A9792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BC0B90" w:rsidRPr="00A9792C" w:rsidRDefault="00BC0B90" w:rsidP="00F47A0F">
      <w:pPr>
        <w:pStyle w:val="H4"/>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r w:rsidRPr="00A9792C">
        <w:rPr>
          <w:b w:val="0"/>
          <w:szCs w:val="24"/>
        </w:rPr>
        <w:t xml:space="preserve"> Estimation procedures</w:t>
      </w:r>
    </w:p>
    <w:p w:rsidR="00BC0B90" w:rsidRPr="00A9792C" w:rsidRDefault="00BC0B90" w:rsidP="00A9792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r w:rsidRPr="00A9792C">
        <w:rPr>
          <w:b w:val="0"/>
          <w:bCs/>
          <w:szCs w:val="24"/>
        </w:rPr>
        <w:t>All data analysis will be conducted under the advice of a</w:t>
      </w:r>
      <w:r w:rsidR="00507C84">
        <w:rPr>
          <w:b w:val="0"/>
          <w:bCs/>
          <w:szCs w:val="24"/>
        </w:rPr>
        <w:t xml:space="preserve"> CDC statistician/data analyst </w:t>
      </w:r>
      <w:r w:rsidRPr="00A9792C">
        <w:rPr>
          <w:b w:val="0"/>
          <w:bCs/>
          <w:szCs w:val="24"/>
        </w:rPr>
        <w:t xml:space="preserve">and will involve estimation of descriptive </w:t>
      </w:r>
      <w:r w:rsidR="00507C84">
        <w:rPr>
          <w:b w:val="0"/>
          <w:bCs/>
          <w:szCs w:val="24"/>
        </w:rPr>
        <w:t>and inferential statistics</w:t>
      </w:r>
      <w:r w:rsidRPr="00A9792C">
        <w:rPr>
          <w:b w:val="0"/>
          <w:bCs/>
          <w:szCs w:val="24"/>
        </w:rPr>
        <w:t>.</w:t>
      </w:r>
      <w:r w:rsidRPr="00A9792C">
        <w:rPr>
          <w:bCs/>
          <w:szCs w:val="24"/>
        </w:rPr>
        <w:t xml:space="preserve">  </w:t>
      </w:r>
      <w:r w:rsidRPr="00A9792C">
        <w:rPr>
          <w:b w:val="0"/>
          <w:bCs/>
          <w:szCs w:val="24"/>
        </w:rPr>
        <w:t xml:space="preserve">Linking collected data to existing data sources by non-personal identifiers (state, county, city names, etc.) may be used to increase the overall utility of a proposed data collection. </w:t>
      </w:r>
    </w:p>
    <w:p w:rsidR="00BC0B90" w:rsidRPr="00A9792C" w:rsidRDefault="00BC0B90" w:rsidP="00A9792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p>
    <w:p w:rsidR="00BC0B90" w:rsidRPr="00A9792C" w:rsidRDefault="00BC0B90" w:rsidP="00F47A0F">
      <w:pPr>
        <w:pStyle w:val="CommentText"/>
        <w:numPr>
          <w:ilvl w:val="0"/>
          <w:numId w:val="5"/>
        </w:numPr>
        <w:rPr>
          <w:sz w:val="24"/>
          <w:szCs w:val="24"/>
        </w:rPr>
      </w:pPr>
      <w:r w:rsidRPr="00A9792C">
        <w:rPr>
          <w:sz w:val="24"/>
          <w:szCs w:val="24"/>
        </w:rPr>
        <w:t>Degree of accuracy needed for the purpose described in the justification</w:t>
      </w:r>
    </w:p>
    <w:p w:rsidR="00BC0B90" w:rsidRPr="00A9792C" w:rsidRDefault="00BC0B90"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CDC conducts these information collections for the purpose of program monitoring, assessment and performance improvement.   The use of scientifically sound sampling methods (census, random sampling, etc.) will ensure that CDC collects quality data to inform decisions about allocation of STLT resources and effectiveness of CDC programs and services. For that purpose, different sampling methods will be used for different categories of respondents as described in B 2.1</w:t>
      </w:r>
    </w:p>
    <w:p w:rsidR="00BC0B90" w:rsidRPr="00A9792C" w:rsidRDefault="00BC0B90" w:rsidP="00A9792C">
      <w:pPr>
        <w:pStyle w:val="CommentText"/>
        <w:rPr>
          <w:sz w:val="24"/>
          <w:szCs w:val="24"/>
        </w:rPr>
      </w:pPr>
    </w:p>
    <w:p w:rsidR="00BC0B90" w:rsidRPr="00A9792C" w:rsidRDefault="00BC0B90" w:rsidP="00F47A0F">
      <w:pPr>
        <w:pStyle w:val="CommentText"/>
        <w:numPr>
          <w:ilvl w:val="0"/>
          <w:numId w:val="5"/>
        </w:numPr>
        <w:rPr>
          <w:sz w:val="24"/>
          <w:szCs w:val="24"/>
        </w:rPr>
      </w:pPr>
      <w:r w:rsidRPr="00A9792C">
        <w:rPr>
          <w:sz w:val="24"/>
          <w:szCs w:val="24"/>
        </w:rPr>
        <w:t xml:space="preserve">Unusual problems requiring specialized sampling procedures </w:t>
      </w:r>
    </w:p>
    <w:p w:rsidR="00BC0B90" w:rsidRPr="00A9792C" w:rsidRDefault="00BC0B90" w:rsidP="00A9792C">
      <w:pPr>
        <w:pStyle w:val="CommentText"/>
        <w:rPr>
          <w:sz w:val="24"/>
          <w:szCs w:val="24"/>
        </w:rPr>
      </w:pPr>
      <w:r w:rsidRPr="00A9792C">
        <w:rPr>
          <w:sz w:val="24"/>
          <w:szCs w:val="24"/>
        </w:rPr>
        <w:t>Unusual problems requiring specialized sampling are expected to be rare and will be disclosed in individual generic requests.</w:t>
      </w:r>
    </w:p>
    <w:p w:rsidR="00BC0B90" w:rsidRPr="00A9792C" w:rsidRDefault="00BC0B90" w:rsidP="00A9792C">
      <w:pPr>
        <w:pStyle w:val="CommentText"/>
        <w:rPr>
          <w:sz w:val="24"/>
          <w:szCs w:val="24"/>
        </w:rPr>
      </w:pPr>
    </w:p>
    <w:p w:rsidR="00BC0B90" w:rsidRPr="00A9792C" w:rsidRDefault="00BC0B90" w:rsidP="00F47A0F">
      <w:pPr>
        <w:pStyle w:val="CommentText"/>
        <w:numPr>
          <w:ilvl w:val="0"/>
          <w:numId w:val="5"/>
        </w:numPr>
        <w:rPr>
          <w:sz w:val="24"/>
          <w:szCs w:val="24"/>
        </w:rPr>
      </w:pPr>
      <w:r w:rsidRPr="00A9792C">
        <w:rPr>
          <w:sz w:val="24"/>
          <w:szCs w:val="24"/>
        </w:rPr>
        <w:t>Any use of periodic (less frequent than annual) data collection cycles to reduce burden</w:t>
      </w:r>
    </w:p>
    <w:p w:rsidR="00BC0B90" w:rsidRPr="00A9792C" w:rsidRDefault="00BC0B90" w:rsidP="00A9792C">
      <w:pPr>
        <w:pStyle w:val="CommentText"/>
        <w:rPr>
          <w:sz w:val="24"/>
          <w:szCs w:val="24"/>
        </w:rPr>
      </w:pPr>
      <w:r w:rsidRPr="003D2863">
        <w:rPr>
          <w:sz w:val="24"/>
          <w:szCs w:val="24"/>
        </w:rPr>
        <w:t>Use of periodic (less frequent than annual) data collection to reduce burden is possible for focus groups, one-time information requests, process</w:t>
      </w:r>
      <w:r w:rsidR="008C1FF8" w:rsidRPr="008C1FF8">
        <w:rPr>
          <w:sz w:val="24"/>
          <w:szCs w:val="24"/>
        </w:rPr>
        <w:t xml:space="preserve"> </w:t>
      </w:r>
      <w:r w:rsidR="008C1FF8">
        <w:rPr>
          <w:sz w:val="24"/>
          <w:szCs w:val="24"/>
        </w:rPr>
        <w:t>assessment</w:t>
      </w:r>
      <w:r w:rsidRPr="003D2863">
        <w:rPr>
          <w:sz w:val="24"/>
          <w:szCs w:val="24"/>
        </w:rPr>
        <w:t>s and other types of non-systematic data collection. Use of periodic da</w:t>
      </w:r>
      <w:r w:rsidR="00084FDA">
        <w:rPr>
          <w:sz w:val="24"/>
          <w:szCs w:val="24"/>
        </w:rPr>
        <w:t>ta collection will be encouraged</w:t>
      </w:r>
      <w:r w:rsidRPr="003D2863">
        <w:rPr>
          <w:sz w:val="24"/>
          <w:szCs w:val="24"/>
        </w:rPr>
        <w:t>.</w:t>
      </w:r>
    </w:p>
    <w:p w:rsidR="00BC0B90" w:rsidRPr="00A9792C" w:rsidRDefault="00543C51" w:rsidP="00A9792C">
      <w:pPr>
        <w:pStyle w:val="TOC2"/>
        <w:rPr>
          <w:noProof/>
        </w:rPr>
      </w:pPr>
      <w:r>
        <w:rPr>
          <w:noProof/>
        </w:rPr>
        <w:t>3.</w:t>
      </w:r>
      <w:r>
        <w:rPr>
          <w:noProof/>
        </w:rPr>
        <w:tab/>
      </w:r>
      <w:r w:rsidR="00BC0B90" w:rsidRPr="00A9792C">
        <w:rPr>
          <w:noProof/>
        </w:rPr>
        <w:t>Methods to Maximize Response Rates and Deal with Nonresponse</w:t>
      </w:r>
    </w:p>
    <w:p w:rsidR="00BC0B90" w:rsidRPr="00A9792C" w:rsidRDefault="00BC0B90"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The following are the examples of the procedures that have proven effective in previous studies and will be used when possible to maximize response rates:</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 xml:space="preserve">Potential respondents will be informed about the importance of these studies and encouraged to participate through a variety of methods, including newsletters from professional associations or community organizations, and letters of support from key </w:t>
      </w:r>
      <w:r w:rsidRPr="00A9792C">
        <w:rPr>
          <w:rFonts w:ascii="Times New Roman" w:hAnsi="Times New Roman"/>
        </w:rPr>
        <w:lastRenderedPageBreak/>
        <w:t>individuals.</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 xml:space="preserve">When appropriate, a dedicated toll-free number will be established at CDC or a contractor’s office to allow potential respondents to confirm a study’s legitimacy. </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 xml:space="preserve">Interviewers will participate in thorough training sessions. Training topics will include strategies for engaging respondents, role playing, and techniques for fostering respondent cooperation and </w:t>
      </w:r>
      <w:r w:rsidR="00084FDA">
        <w:rPr>
          <w:rFonts w:ascii="Times New Roman" w:hAnsi="Times New Roman"/>
        </w:rPr>
        <w:t xml:space="preserve">data collection </w:t>
      </w:r>
      <w:r w:rsidRPr="00A9792C">
        <w:rPr>
          <w:rFonts w:ascii="Times New Roman" w:hAnsi="Times New Roman"/>
        </w:rPr>
        <w:t>completion.</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 xml:space="preserve">For telephone interviews, outgoing calls that result in a disposition of no answer, a busy signal, or an answering machine will be automatically rescheduled for subsequent attempts.  </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 xml:space="preserve">Respondents will be allowed several options for completing </w:t>
      </w:r>
      <w:r w:rsidR="00084FDA">
        <w:rPr>
          <w:rFonts w:ascii="Times New Roman" w:hAnsi="Times New Roman"/>
        </w:rPr>
        <w:t>data collections</w:t>
      </w:r>
      <w:r w:rsidRPr="00A9792C">
        <w:rPr>
          <w:rFonts w:ascii="Times New Roman" w:hAnsi="Times New Roman"/>
        </w:rPr>
        <w:t xml:space="preserve"> (online or in-person or faxing back/mailing completed </w:t>
      </w:r>
      <w:r w:rsidR="00084FDA">
        <w:rPr>
          <w:rFonts w:ascii="Times New Roman" w:hAnsi="Times New Roman"/>
        </w:rPr>
        <w:t xml:space="preserve">data collections </w:t>
      </w:r>
      <w:r w:rsidRPr="00A9792C">
        <w:rPr>
          <w:rFonts w:ascii="Times New Roman" w:hAnsi="Times New Roman"/>
        </w:rPr>
        <w:t xml:space="preserve">etc.).Follow-up e-mail, mail or phone contacts will be made to encourage participation. </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To minimize non-response rates, a phone or in-person interview will be arranged in case of non-response to initial web-based distribution of questionnaires.</w:t>
      </w:r>
    </w:p>
    <w:p w:rsidR="00BC0B90" w:rsidRPr="00A9792C" w:rsidRDefault="00543C51" w:rsidP="003D2863">
      <w:pPr>
        <w:pStyle w:val="TOC2"/>
        <w:spacing w:line="240" w:lineRule="auto"/>
        <w:rPr>
          <w:noProof/>
        </w:rPr>
      </w:pPr>
      <w:r>
        <w:rPr>
          <w:noProof/>
        </w:rPr>
        <w:t>4.</w:t>
      </w:r>
      <w:r>
        <w:rPr>
          <w:noProof/>
        </w:rPr>
        <w:tab/>
      </w:r>
      <w:r w:rsidR="00BC0B90" w:rsidRPr="00A9792C">
        <w:rPr>
          <w:noProof/>
        </w:rPr>
        <w:t>Test of Procedures or Methods to be Undertaken</w:t>
      </w:r>
    </w:p>
    <w:p w:rsidR="00DD0665" w:rsidRDefault="00BC0B90"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Before each information collection is implemented, contractors under supervision of CDC FTE employee will pilot-test the instrument(s) and method of data collection.  Lessons from the pilot test will be identified, and changes will be incorporated into the instrument and method, as necessary.  All pretests will involve no more than nine individuals unless OMB clearan</w:t>
      </w:r>
      <w:r w:rsidR="00507C84">
        <w:t>ce is sought for more than nine.</w:t>
      </w:r>
    </w:p>
    <w:p w:rsidR="00BC0B90" w:rsidRPr="00A9792C" w:rsidRDefault="00543C51" w:rsidP="00543C51">
      <w:pPr>
        <w:pStyle w:val="TOC2"/>
        <w:spacing w:line="240" w:lineRule="auto"/>
        <w:ind w:left="720" w:hanging="720"/>
        <w:rPr>
          <w:noProof/>
        </w:rPr>
      </w:pPr>
      <w:r>
        <w:rPr>
          <w:noProof/>
        </w:rPr>
        <w:t>5.</w:t>
      </w:r>
      <w:r>
        <w:rPr>
          <w:noProof/>
        </w:rPr>
        <w:tab/>
      </w:r>
      <w:r w:rsidR="00BC0B90" w:rsidRPr="00A9792C">
        <w:rPr>
          <w:noProof/>
        </w:rPr>
        <w:t>Individuals Consulted on Statistical Aspects and Individuals Collecting and/or Analyzing Data</w:t>
      </w:r>
    </w:p>
    <w:p w:rsidR="00BC0B90" w:rsidRPr="00A9792C" w:rsidRDefault="00BC0B90"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 xml:space="preserve">The following individuals, among others, including contractors, who may be chosen to pre-test and conduct </w:t>
      </w:r>
      <w:r w:rsidR="00084FDA">
        <w:t>data collection</w:t>
      </w:r>
      <w:r w:rsidRPr="00A9792C">
        <w:t>s, will be available to provide advice about the design of statistical and sampling procedures undertaken as part of these data collection activities:</w:t>
      </w:r>
    </w:p>
    <w:p w:rsidR="00BC0B90" w:rsidRPr="00A9792C" w:rsidRDefault="00BC0B90" w:rsidP="00A9792C">
      <w:pPr>
        <w:ind w:left="360"/>
      </w:pPr>
    </w:p>
    <w:p w:rsidR="003D2863" w:rsidRDefault="003D2863" w:rsidP="00EB7AF7">
      <w:r>
        <w:t>Bobby Rasulnia</w:t>
      </w:r>
      <w:r w:rsidR="00EB7AF7">
        <w:t xml:space="preserve"> </w:t>
      </w:r>
    </w:p>
    <w:p w:rsidR="00EB7AF7" w:rsidRDefault="00EB7AF7" w:rsidP="00EB7AF7">
      <w:r>
        <w:t>PhD, MPA, MPH, CHES</w:t>
      </w:r>
    </w:p>
    <w:p w:rsidR="00EB7AF7" w:rsidRDefault="00EB7AF7" w:rsidP="00EB7AF7">
      <w:r>
        <w:t>Applied Systems Research and Evaluation Branch</w:t>
      </w:r>
    </w:p>
    <w:p w:rsidR="00EB7AF7" w:rsidRDefault="00EB7AF7" w:rsidP="00EB7AF7">
      <w:r>
        <w:t>Office for State, Tribal, Local, and Territorial Support</w:t>
      </w:r>
    </w:p>
    <w:p w:rsidR="00EB7AF7" w:rsidRDefault="00EB7AF7" w:rsidP="00EB7AF7">
      <w:r>
        <w:t>Centers for Disease Control &amp; Prevention</w:t>
      </w:r>
    </w:p>
    <w:p w:rsidR="00EB7AF7" w:rsidRDefault="00EB7AF7" w:rsidP="00EB7AF7">
      <w:r>
        <w:t>1825 Century Center, MS-70</w:t>
      </w:r>
    </w:p>
    <w:p w:rsidR="00EB7AF7" w:rsidRDefault="00EB7AF7" w:rsidP="00EB7AF7">
      <w:r>
        <w:t>Atlanta, Georgia  30345</w:t>
      </w:r>
    </w:p>
    <w:p w:rsidR="0001251A" w:rsidRDefault="0001251A" w:rsidP="00EB7AF7">
      <w:r>
        <w:t>Bba9@cdc.gov</w:t>
      </w:r>
    </w:p>
    <w:p w:rsidR="00EB7AF7" w:rsidRDefault="00EB7AF7" w:rsidP="00EB7AF7">
      <w:r>
        <w:t>Office - 404-498-0374</w:t>
      </w:r>
    </w:p>
    <w:p w:rsidR="006D4C5C" w:rsidRPr="00A9792C" w:rsidRDefault="00EB7AF7" w:rsidP="00EB7AF7">
      <w:r>
        <w:t>Fax - 404-498-6882</w:t>
      </w:r>
    </w:p>
    <w:sectPr w:rsidR="006D4C5C" w:rsidRPr="00A9792C" w:rsidSect="00BC0B90">
      <w:footerReference w:type="default" r:id="rId8"/>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CDD" w:rsidRDefault="00187CDD" w:rsidP="005525FD">
      <w:r>
        <w:separator/>
      </w:r>
    </w:p>
  </w:endnote>
  <w:endnote w:type="continuationSeparator" w:id="0">
    <w:p w:rsidR="00187CDD" w:rsidRDefault="00187CDD" w:rsidP="0055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723513228"/>
      <w:docPartObj>
        <w:docPartGallery w:val="Page Numbers (Bottom of Page)"/>
        <w:docPartUnique/>
      </w:docPartObj>
    </w:sdtPr>
    <w:sdtContent>
      <w:sdt>
        <w:sdtPr>
          <w:rPr>
            <w:rFonts w:ascii="Times New Roman" w:hAnsi="Times New Roman"/>
            <w:sz w:val="20"/>
            <w:szCs w:val="20"/>
          </w:rPr>
          <w:id w:val="860082579"/>
          <w:docPartObj>
            <w:docPartGallery w:val="Page Numbers (Top of Page)"/>
            <w:docPartUnique/>
          </w:docPartObj>
        </w:sdtPr>
        <w:sdtContent>
          <w:p w:rsidR="00187CDD" w:rsidRPr="00AC18B7" w:rsidRDefault="00187CDD">
            <w:pPr>
              <w:pStyle w:val="Footer"/>
              <w:jc w:val="right"/>
              <w:rPr>
                <w:rFonts w:ascii="Times New Roman" w:hAnsi="Times New Roman"/>
                <w:sz w:val="20"/>
                <w:szCs w:val="20"/>
              </w:rPr>
            </w:pPr>
            <w:r w:rsidRPr="00AC18B7">
              <w:rPr>
                <w:rFonts w:ascii="Times New Roman" w:hAnsi="Times New Roman"/>
                <w:sz w:val="20"/>
                <w:szCs w:val="20"/>
              </w:rPr>
              <w:t xml:space="preserve">Page </w:t>
            </w:r>
            <w:r w:rsidRPr="00AC18B7">
              <w:rPr>
                <w:rFonts w:ascii="Times New Roman" w:hAnsi="Times New Roman"/>
                <w:b/>
                <w:bCs/>
                <w:sz w:val="20"/>
                <w:szCs w:val="20"/>
              </w:rPr>
              <w:fldChar w:fldCharType="begin"/>
            </w:r>
            <w:r w:rsidRPr="00AC18B7">
              <w:rPr>
                <w:rFonts w:ascii="Times New Roman" w:hAnsi="Times New Roman"/>
                <w:b/>
                <w:bCs/>
                <w:sz w:val="20"/>
                <w:szCs w:val="20"/>
              </w:rPr>
              <w:instrText xml:space="preserve"> PAGE </w:instrText>
            </w:r>
            <w:r w:rsidRPr="00AC18B7">
              <w:rPr>
                <w:rFonts w:ascii="Times New Roman" w:hAnsi="Times New Roman"/>
                <w:b/>
                <w:bCs/>
                <w:sz w:val="20"/>
                <w:szCs w:val="20"/>
              </w:rPr>
              <w:fldChar w:fldCharType="separate"/>
            </w:r>
            <w:r w:rsidR="008E3E60">
              <w:rPr>
                <w:rFonts w:ascii="Times New Roman" w:hAnsi="Times New Roman"/>
                <w:b/>
                <w:bCs/>
                <w:noProof/>
                <w:sz w:val="20"/>
                <w:szCs w:val="20"/>
              </w:rPr>
              <w:t>2</w:t>
            </w:r>
            <w:r w:rsidRPr="00AC18B7">
              <w:rPr>
                <w:rFonts w:ascii="Times New Roman" w:hAnsi="Times New Roman"/>
                <w:b/>
                <w:bCs/>
                <w:sz w:val="20"/>
                <w:szCs w:val="20"/>
              </w:rPr>
              <w:fldChar w:fldCharType="end"/>
            </w:r>
            <w:r w:rsidRPr="00AC18B7">
              <w:rPr>
                <w:rFonts w:ascii="Times New Roman" w:hAnsi="Times New Roman"/>
                <w:sz w:val="20"/>
                <w:szCs w:val="20"/>
              </w:rPr>
              <w:t xml:space="preserve"> of </w:t>
            </w:r>
            <w:r w:rsidRPr="00AC18B7">
              <w:rPr>
                <w:rFonts w:ascii="Times New Roman" w:hAnsi="Times New Roman"/>
                <w:b/>
                <w:bCs/>
                <w:sz w:val="20"/>
                <w:szCs w:val="20"/>
              </w:rPr>
              <w:fldChar w:fldCharType="begin"/>
            </w:r>
            <w:r w:rsidRPr="00AC18B7">
              <w:rPr>
                <w:rFonts w:ascii="Times New Roman" w:hAnsi="Times New Roman"/>
                <w:b/>
                <w:bCs/>
                <w:sz w:val="20"/>
                <w:szCs w:val="20"/>
              </w:rPr>
              <w:instrText xml:space="preserve"> NUMPAGES  </w:instrText>
            </w:r>
            <w:r w:rsidRPr="00AC18B7">
              <w:rPr>
                <w:rFonts w:ascii="Times New Roman" w:hAnsi="Times New Roman"/>
                <w:b/>
                <w:bCs/>
                <w:sz w:val="20"/>
                <w:szCs w:val="20"/>
              </w:rPr>
              <w:fldChar w:fldCharType="separate"/>
            </w:r>
            <w:r w:rsidR="008E3E60">
              <w:rPr>
                <w:rFonts w:ascii="Times New Roman" w:hAnsi="Times New Roman"/>
                <w:b/>
                <w:bCs/>
                <w:noProof/>
                <w:sz w:val="20"/>
                <w:szCs w:val="20"/>
              </w:rPr>
              <w:t>4</w:t>
            </w:r>
            <w:r w:rsidRPr="00AC18B7">
              <w:rPr>
                <w:rFonts w:ascii="Times New Roman" w:hAnsi="Times New Roman"/>
                <w:b/>
                <w:bCs/>
                <w:sz w:val="20"/>
                <w:szCs w:val="20"/>
              </w:rPr>
              <w:fldChar w:fldCharType="end"/>
            </w:r>
          </w:p>
        </w:sdtContent>
      </w:sdt>
    </w:sdtContent>
  </w:sdt>
  <w:p w:rsidR="00187CDD" w:rsidRDefault="00187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CDD" w:rsidRDefault="00187CDD" w:rsidP="005525FD">
      <w:r>
        <w:separator/>
      </w:r>
    </w:p>
  </w:footnote>
  <w:footnote w:type="continuationSeparator" w:id="0">
    <w:p w:rsidR="00187CDD" w:rsidRDefault="00187CDD" w:rsidP="00552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50C"/>
    <w:multiLevelType w:val="hybridMultilevel"/>
    <w:tmpl w:val="92D69E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E4823"/>
    <w:multiLevelType w:val="hybridMultilevel"/>
    <w:tmpl w:val="15BC3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27A0C"/>
    <w:multiLevelType w:val="hybridMultilevel"/>
    <w:tmpl w:val="DD4A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CF87C2D"/>
    <w:multiLevelType w:val="hybridMultilevel"/>
    <w:tmpl w:val="1550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BA2AA7"/>
    <w:multiLevelType w:val="hybridMultilevel"/>
    <w:tmpl w:val="F38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90"/>
    <w:rsid w:val="0001251A"/>
    <w:rsid w:val="00017B19"/>
    <w:rsid w:val="00050BAE"/>
    <w:rsid w:val="00084FDA"/>
    <w:rsid w:val="000B1B91"/>
    <w:rsid w:val="000C0103"/>
    <w:rsid w:val="000E23BC"/>
    <w:rsid w:val="00153B9F"/>
    <w:rsid w:val="001705E5"/>
    <w:rsid w:val="00187CDD"/>
    <w:rsid w:val="002525A7"/>
    <w:rsid w:val="002B2A68"/>
    <w:rsid w:val="002B7F1F"/>
    <w:rsid w:val="002F2688"/>
    <w:rsid w:val="0033073B"/>
    <w:rsid w:val="003561BF"/>
    <w:rsid w:val="00366308"/>
    <w:rsid w:val="003A17FD"/>
    <w:rsid w:val="003B3190"/>
    <w:rsid w:val="003B6214"/>
    <w:rsid w:val="003D1753"/>
    <w:rsid w:val="003D2863"/>
    <w:rsid w:val="003F730B"/>
    <w:rsid w:val="00413332"/>
    <w:rsid w:val="00425F8D"/>
    <w:rsid w:val="00434018"/>
    <w:rsid w:val="0049226A"/>
    <w:rsid w:val="004E72E1"/>
    <w:rsid w:val="00507C84"/>
    <w:rsid w:val="00517434"/>
    <w:rsid w:val="00543C51"/>
    <w:rsid w:val="0055196A"/>
    <w:rsid w:val="005525FD"/>
    <w:rsid w:val="00566112"/>
    <w:rsid w:val="005A0E7B"/>
    <w:rsid w:val="005A3C94"/>
    <w:rsid w:val="005B40F9"/>
    <w:rsid w:val="005E20B3"/>
    <w:rsid w:val="005E34F1"/>
    <w:rsid w:val="00601BB3"/>
    <w:rsid w:val="00660F88"/>
    <w:rsid w:val="006619BF"/>
    <w:rsid w:val="006631A4"/>
    <w:rsid w:val="006700C6"/>
    <w:rsid w:val="00691335"/>
    <w:rsid w:val="006B55A1"/>
    <w:rsid w:val="006D4C5C"/>
    <w:rsid w:val="006E0604"/>
    <w:rsid w:val="006F2B65"/>
    <w:rsid w:val="00704BCC"/>
    <w:rsid w:val="00782B2F"/>
    <w:rsid w:val="00786DCF"/>
    <w:rsid w:val="00791AA8"/>
    <w:rsid w:val="007E6FED"/>
    <w:rsid w:val="008210D5"/>
    <w:rsid w:val="00825B54"/>
    <w:rsid w:val="008363B8"/>
    <w:rsid w:val="0086587F"/>
    <w:rsid w:val="00891F46"/>
    <w:rsid w:val="008C1FF8"/>
    <w:rsid w:val="008D558B"/>
    <w:rsid w:val="008E3E60"/>
    <w:rsid w:val="00910C9F"/>
    <w:rsid w:val="009429A4"/>
    <w:rsid w:val="00960BFA"/>
    <w:rsid w:val="00993D11"/>
    <w:rsid w:val="009B19FC"/>
    <w:rsid w:val="009F3B9B"/>
    <w:rsid w:val="009F4E0C"/>
    <w:rsid w:val="00A3038F"/>
    <w:rsid w:val="00A4271B"/>
    <w:rsid w:val="00A9792C"/>
    <w:rsid w:val="00AC18B7"/>
    <w:rsid w:val="00B822D5"/>
    <w:rsid w:val="00BB7F82"/>
    <w:rsid w:val="00BC0B90"/>
    <w:rsid w:val="00C213B2"/>
    <w:rsid w:val="00C51848"/>
    <w:rsid w:val="00C53F4C"/>
    <w:rsid w:val="00C77EDD"/>
    <w:rsid w:val="00CB1EED"/>
    <w:rsid w:val="00D365A3"/>
    <w:rsid w:val="00DB7BE7"/>
    <w:rsid w:val="00DD0665"/>
    <w:rsid w:val="00DE54F3"/>
    <w:rsid w:val="00DF2495"/>
    <w:rsid w:val="00E568FE"/>
    <w:rsid w:val="00EB7AF7"/>
    <w:rsid w:val="00EF34D7"/>
    <w:rsid w:val="00F47A0F"/>
    <w:rsid w:val="00F75FCE"/>
    <w:rsid w:val="00FB2C2F"/>
    <w:rsid w:val="00FC2E4D"/>
    <w:rsid w:val="00FE4A34"/>
    <w:rsid w:val="00FF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A9792C"/>
    <w:pPr>
      <w:tabs>
        <w:tab w:val="left" w:pos="720"/>
        <w:tab w:val="right" w:leader="dot" w:pos="9494"/>
      </w:tabs>
      <w:spacing w:beforeLines="120" w:before="288" w:afterLines="120" w:after="288" w:line="240" w:lineRule="atLeast"/>
    </w:pPr>
    <w:rPr>
      <w:rFonts w:ascii="Times New Roman" w:eastAsia="Times New Roman" w:hAnsi="Times New Roman" w:cs="Times New Roman"/>
      <w:b/>
      <w:smallCaps/>
      <w:sz w:val="24"/>
      <w:szCs w:val="20"/>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alloonText">
    <w:name w:val="Balloon Text"/>
    <w:basedOn w:val="Normal"/>
    <w:link w:val="BalloonTextChar"/>
    <w:uiPriority w:val="99"/>
    <w:semiHidden/>
    <w:unhideWhenUsed/>
    <w:rsid w:val="00A4271B"/>
    <w:rPr>
      <w:rFonts w:ascii="Tahoma" w:hAnsi="Tahoma" w:cs="Tahoma"/>
      <w:sz w:val="16"/>
      <w:szCs w:val="16"/>
    </w:rPr>
  </w:style>
  <w:style w:type="character" w:customStyle="1" w:styleId="BalloonTextChar">
    <w:name w:val="Balloon Text Char"/>
    <w:basedOn w:val="DefaultParagraphFont"/>
    <w:link w:val="BalloonText"/>
    <w:uiPriority w:val="99"/>
    <w:semiHidden/>
    <w:rsid w:val="00A4271B"/>
    <w:rPr>
      <w:rFonts w:ascii="Tahoma" w:eastAsia="Times New Roman" w:hAnsi="Tahoma" w:cs="Tahoma"/>
      <w:sz w:val="16"/>
      <w:szCs w:val="16"/>
    </w:rPr>
  </w:style>
  <w:style w:type="paragraph" w:styleId="Header">
    <w:name w:val="header"/>
    <w:basedOn w:val="Normal"/>
    <w:link w:val="HeaderChar"/>
    <w:uiPriority w:val="99"/>
    <w:unhideWhenUsed/>
    <w:rsid w:val="00AC18B7"/>
    <w:pPr>
      <w:tabs>
        <w:tab w:val="center" w:pos="4680"/>
        <w:tab w:val="right" w:pos="9360"/>
      </w:tabs>
    </w:pPr>
  </w:style>
  <w:style w:type="character" w:customStyle="1" w:styleId="HeaderChar">
    <w:name w:val="Header Char"/>
    <w:basedOn w:val="DefaultParagraphFont"/>
    <w:link w:val="Header"/>
    <w:uiPriority w:val="99"/>
    <w:rsid w:val="00AC18B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1BB3"/>
    <w:rPr>
      <w:sz w:val="16"/>
      <w:szCs w:val="16"/>
    </w:rPr>
  </w:style>
  <w:style w:type="paragraph" w:styleId="CommentSubject">
    <w:name w:val="annotation subject"/>
    <w:basedOn w:val="CommentText"/>
    <w:next w:val="CommentText"/>
    <w:link w:val="CommentSubjectChar"/>
    <w:uiPriority w:val="99"/>
    <w:semiHidden/>
    <w:unhideWhenUsed/>
    <w:rsid w:val="00601BB3"/>
    <w:rPr>
      <w:b/>
      <w:bCs/>
    </w:rPr>
  </w:style>
  <w:style w:type="character" w:customStyle="1" w:styleId="CommentSubjectChar">
    <w:name w:val="Comment Subject Char"/>
    <w:basedOn w:val="CommentTextChar"/>
    <w:link w:val="CommentSubject"/>
    <w:uiPriority w:val="99"/>
    <w:semiHidden/>
    <w:rsid w:val="00601BB3"/>
    <w:rPr>
      <w:rFonts w:ascii="Times New Roman" w:eastAsia="Times New Roman" w:hAnsi="Times New Roman" w:cs="Times New Roman"/>
      <w:b/>
      <w:bCs/>
      <w:sz w:val="20"/>
      <w:szCs w:val="20"/>
    </w:rPr>
  </w:style>
  <w:style w:type="table" w:styleId="TableGrid">
    <w:name w:val="Table Grid"/>
    <w:basedOn w:val="TableNormal"/>
    <w:uiPriority w:val="59"/>
    <w:rsid w:val="002F268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A9792C"/>
    <w:pPr>
      <w:tabs>
        <w:tab w:val="left" w:pos="720"/>
        <w:tab w:val="right" w:leader="dot" w:pos="9494"/>
      </w:tabs>
      <w:spacing w:beforeLines="120" w:before="288" w:afterLines="120" w:after="288" w:line="240" w:lineRule="atLeast"/>
    </w:pPr>
    <w:rPr>
      <w:rFonts w:ascii="Times New Roman" w:eastAsia="Times New Roman" w:hAnsi="Times New Roman" w:cs="Times New Roman"/>
      <w:b/>
      <w:smallCaps/>
      <w:sz w:val="24"/>
      <w:szCs w:val="20"/>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alloonText">
    <w:name w:val="Balloon Text"/>
    <w:basedOn w:val="Normal"/>
    <w:link w:val="BalloonTextChar"/>
    <w:uiPriority w:val="99"/>
    <w:semiHidden/>
    <w:unhideWhenUsed/>
    <w:rsid w:val="00A4271B"/>
    <w:rPr>
      <w:rFonts w:ascii="Tahoma" w:hAnsi="Tahoma" w:cs="Tahoma"/>
      <w:sz w:val="16"/>
      <w:szCs w:val="16"/>
    </w:rPr>
  </w:style>
  <w:style w:type="character" w:customStyle="1" w:styleId="BalloonTextChar">
    <w:name w:val="Balloon Text Char"/>
    <w:basedOn w:val="DefaultParagraphFont"/>
    <w:link w:val="BalloonText"/>
    <w:uiPriority w:val="99"/>
    <w:semiHidden/>
    <w:rsid w:val="00A4271B"/>
    <w:rPr>
      <w:rFonts w:ascii="Tahoma" w:eastAsia="Times New Roman" w:hAnsi="Tahoma" w:cs="Tahoma"/>
      <w:sz w:val="16"/>
      <w:szCs w:val="16"/>
    </w:rPr>
  </w:style>
  <w:style w:type="paragraph" w:styleId="Header">
    <w:name w:val="header"/>
    <w:basedOn w:val="Normal"/>
    <w:link w:val="HeaderChar"/>
    <w:uiPriority w:val="99"/>
    <w:unhideWhenUsed/>
    <w:rsid w:val="00AC18B7"/>
    <w:pPr>
      <w:tabs>
        <w:tab w:val="center" w:pos="4680"/>
        <w:tab w:val="right" w:pos="9360"/>
      </w:tabs>
    </w:pPr>
  </w:style>
  <w:style w:type="character" w:customStyle="1" w:styleId="HeaderChar">
    <w:name w:val="Header Char"/>
    <w:basedOn w:val="DefaultParagraphFont"/>
    <w:link w:val="Header"/>
    <w:uiPriority w:val="99"/>
    <w:rsid w:val="00AC18B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1BB3"/>
    <w:rPr>
      <w:sz w:val="16"/>
      <w:szCs w:val="16"/>
    </w:rPr>
  </w:style>
  <w:style w:type="paragraph" w:styleId="CommentSubject">
    <w:name w:val="annotation subject"/>
    <w:basedOn w:val="CommentText"/>
    <w:next w:val="CommentText"/>
    <w:link w:val="CommentSubjectChar"/>
    <w:uiPriority w:val="99"/>
    <w:semiHidden/>
    <w:unhideWhenUsed/>
    <w:rsid w:val="00601BB3"/>
    <w:rPr>
      <w:b/>
      <w:bCs/>
    </w:rPr>
  </w:style>
  <w:style w:type="character" w:customStyle="1" w:styleId="CommentSubjectChar">
    <w:name w:val="Comment Subject Char"/>
    <w:basedOn w:val="CommentTextChar"/>
    <w:link w:val="CommentSubject"/>
    <w:uiPriority w:val="99"/>
    <w:semiHidden/>
    <w:rsid w:val="00601BB3"/>
    <w:rPr>
      <w:rFonts w:ascii="Times New Roman" w:eastAsia="Times New Roman" w:hAnsi="Times New Roman" w:cs="Times New Roman"/>
      <w:b/>
      <w:bCs/>
      <w:sz w:val="20"/>
      <w:szCs w:val="20"/>
    </w:rPr>
  </w:style>
  <w:style w:type="table" w:styleId="TableGrid">
    <w:name w:val="Table Grid"/>
    <w:basedOn w:val="TableNormal"/>
    <w:uiPriority w:val="59"/>
    <w:rsid w:val="002F268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ann0</dc:creator>
  <cp:lastModifiedBy>Abdullah, Adzua H. (CDC/OSTLTS/DPHPI) (CTR)</cp:lastModifiedBy>
  <cp:revision>3</cp:revision>
  <cp:lastPrinted>2014-01-10T16:41:00Z</cp:lastPrinted>
  <dcterms:created xsi:type="dcterms:W3CDTF">2014-01-22T18:09:00Z</dcterms:created>
  <dcterms:modified xsi:type="dcterms:W3CDTF">2014-01-22T18:10:00Z</dcterms:modified>
</cp:coreProperties>
</file>