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51" w:rsidRPr="005021D4" w:rsidRDefault="00845F51"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CE6BFD" w:rsidRPr="005021D4" w:rsidRDefault="00CE6BFD" w:rsidP="0064424A">
      <w:pPr>
        <w:jc w:val="center"/>
      </w:pPr>
    </w:p>
    <w:p w:rsidR="00E074BD" w:rsidRPr="005021D4" w:rsidRDefault="00E074BD" w:rsidP="0064424A">
      <w:pPr>
        <w:jc w:val="center"/>
      </w:pPr>
    </w:p>
    <w:p w:rsidR="00CE6BFD" w:rsidRPr="005021D4" w:rsidRDefault="00CE6BFD" w:rsidP="0064424A">
      <w:pPr>
        <w:jc w:val="center"/>
      </w:pPr>
    </w:p>
    <w:p w:rsidR="00AF0F37" w:rsidRPr="00AF0F37" w:rsidRDefault="00AF0F37" w:rsidP="00E52789">
      <w:pPr>
        <w:jc w:val="center"/>
        <w:outlineLvl w:val="0"/>
        <w:rPr>
          <w:caps/>
        </w:rPr>
      </w:pPr>
      <w:r w:rsidRPr="00AF0F37">
        <w:rPr>
          <w:caps/>
        </w:rPr>
        <w:t>Informa</w:t>
      </w:r>
      <w:r w:rsidR="00F546CB">
        <w:rPr>
          <w:caps/>
        </w:rPr>
        <w:t>tion collections to advance STate, Tribal, local, and territorial (STLT)</w:t>
      </w:r>
      <w:r w:rsidRPr="00AF0F37">
        <w:rPr>
          <w:caps/>
        </w:rPr>
        <w:t xml:space="preserve"> governmental agency system performance, capacity, and program delivery</w:t>
      </w:r>
    </w:p>
    <w:p w:rsidR="00AF0F37" w:rsidRDefault="00AF0F37" w:rsidP="00E52789">
      <w:pPr>
        <w:jc w:val="center"/>
        <w:outlineLvl w:val="0"/>
      </w:pPr>
    </w:p>
    <w:p w:rsidR="00AF0F37" w:rsidRDefault="00AF0F37" w:rsidP="00E52789">
      <w:pPr>
        <w:jc w:val="center"/>
        <w:outlineLvl w:val="0"/>
      </w:pPr>
    </w:p>
    <w:p w:rsidR="0064424A" w:rsidRPr="005021D4" w:rsidRDefault="0064424A" w:rsidP="00E52789">
      <w:pPr>
        <w:jc w:val="center"/>
        <w:outlineLvl w:val="0"/>
      </w:pPr>
      <w:r w:rsidRPr="005021D4">
        <w:t>CENTERS FOR DISEASE CONTROL AND PREVENTION (CDC)</w:t>
      </w:r>
    </w:p>
    <w:p w:rsidR="0064424A" w:rsidRPr="005021D4" w:rsidRDefault="00AC5D49" w:rsidP="00AC5D49">
      <w:pPr>
        <w:tabs>
          <w:tab w:val="left" w:pos="6344"/>
        </w:tabs>
      </w:pPr>
      <w:r>
        <w:tab/>
      </w:r>
    </w:p>
    <w:p w:rsidR="0064424A" w:rsidRPr="005021D4" w:rsidRDefault="0064424A" w:rsidP="00E52789">
      <w:pPr>
        <w:jc w:val="center"/>
        <w:outlineLvl w:val="0"/>
      </w:pPr>
      <w:r w:rsidRPr="005021D4">
        <w:t>SUPPORTING STATEMENT</w:t>
      </w:r>
      <w:r w:rsidR="005021D4">
        <w:t xml:space="preserve"> A</w:t>
      </w:r>
    </w:p>
    <w:p w:rsidR="00CE6BFD" w:rsidRPr="005021D4" w:rsidRDefault="00CE6BFD" w:rsidP="00E52789">
      <w:pPr>
        <w:jc w:val="center"/>
        <w:outlineLvl w:val="0"/>
      </w:pPr>
    </w:p>
    <w:p w:rsidR="00CE6BFD" w:rsidRPr="005021D4" w:rsidRDefault="00CE6BFD" w:rsidP="00E52789">
      <w:pPr>
        <w:jc w:val="center"/>
        <w:outlineLvl w:val="0"/>
      </w:pPr>
    </w:p>
    <w:p w:rsidR="00CE6BFD" w:rsidRPr="005021D4" w:rsidRDefault="00CE6BFD" w:rsidP="00E52789">
      <w:pPr>
        <w:jc w:val="center"/>
        <w:outlineLvl w:val="0"/>
      </w:pPr>
    </w:p>
    <w:p w:rsidR="00CE6BFD" w:rsidRPr="005021D4" w:rsidRDefault="00CE6BFD" w:rsidP="00E52789">
      <w:pPr>
        <w:jc w:val="center"/>
        <w:outlineLvl w:val="0"/>
      </w:pPr>
    </w:p>
    <w:p w:rsidR="00CE6BFD" w:rsidRPr="005021D4" w:rsidRDefault="00CE6BFD" w:rsidP="00CE6BFD">
      <w:pPr>
        <w:outlineLvl w:val="0"/>
      </w:pPr>
      <w:r w:rsidRPr="005021D4">
        <w:t xml:space="preserve">             </w:t>
      </w:r>
    </w:p>
    <w:p w:rsidR="00CE6BFD" w:rsidRPr="005021D4" w:rsidRDefault="00CE6BFD" w:rsidP="00CE6BFD">
      <w:pPr>
        <w:outlineLvl w:val="0"/>
      </w:pPr>
    </w:p>
    <w:p w:rsidR="00CE6BFD" w:rsidRPr="005021D4" w:rsidRDefault="00CE6BFD" w:rsidP="00CE6BFD">
      <w:pPr>
        <w:outlineLvl w:val="0"/>
      </w:pPr>
    </w:p>
    <w:p w:rsidR="00CE6BFD" w:rsidRPr="005021D4" w:rsidRDefault="00322686" w:rsidP="001365BC">
      <w:pPr>
        <w:jc w:val="center"/>
        <w:outlineLvl w:val="0"/>
      </w:pPr>
      <w:r>
        <w:t xml:space="preserve">February </w:t>
      </w:r>
      <w:r w:rsidR="00C313A4">
        <w:t>7</w:t>
      </w:r>
      <w:r w:rsidR="002E5095">
        <w:t>,</w:t>
      </w:r>
      <w:r w:rsidR="004B4287">
        <w:t xml:space="preserve"> </w:t>
      </w:r>
      <w:r w:rsidR="00EA37F8">
        <w:t>2014</w:t>
      </w:r>
    </w:p>
    <w:p w:rsidR="00CE6BFD" w:rsidRDefault="00CE6BFD" w:rsidP="00CE6BFD">
      <w:pPr>
        <w:outlineLvl w:val="0"/>
      </w:pPr>
    </w:p>
    <w:p w:rsidR="005021D4" w:rsidRDefault="005021D4" w:rsidP="00CE6BFD">
      <w:pPr>
        <w:outlineLvl w:val="0"/>
      </w:pPr>
    </w:p>
    <w:p w:rsidR="005021D4" w:rsidRDefault="005021D4" w:rsidP="00CE6BFD">
      <w:pPr>
        <w:outlineLvl w:val="0"/>
      </w:pPr>
    </w:p>
    <w:p w:rsidR="005021D4" w:rsidRDefault="005021D4" w:rsidP="00CE6BFD">
      <w:pPr>
        <w:outlineLvl w:val="0"/>
      </w:pPr>
    </w:p>
    <w:p w:rsidR="005021D4" w:rsidRDefault="005021D4" w:rsidP="00CE6BFD">
      <w:pPr>
        <w:outlineLvl w:val="0"/>
      </w:pPr>
    </w:p>
    <w:p w:rsidR="005021D4" w:rsidRDefault="005021D4" w:rsidP="00CE6BFD">
      <w:pPr>
        <w:outlineLvl w:val="0"/>
      </w:pPr>
    </w:p>
    <w:p w:rsidR="005021D4" w:rsidRPr="005021D4" w:rsidRDefault="005021D4" w:rsidP="00CE6BFD">
      <w:pPr>
        <w:outlineLvl w:val="0"/>
      </w:pPr>
    </w:p>
    <w:p w:rsidR="006F7FE1" w:rsidRPr="006F7FE1" w:rsidRDefault="006F7FE1" w:rsidP="005021D4">
      <w:pPr>
        <w:outlineLvl w:val="0"/>
        <w:rPr>
          <w:b/>
        </w:rPr>
      </w:pPr>
      <w:r w:rsidRPr="006F7FE1">
        <w:rPr>
          <w:b/>
        </w:rPr>
        <w:t>Program Official/Project Officer</w:t>
      </w:r>
    </w:p>
    <w:p w:rsidR="006A0774" w:rsidRDefault="006A0774" w:rsidP="005021D4">
      <w:pPr>
        <w:outlineLvl w:val="0"/>
      </w:pPr>
      <w:r>
        <w:t>Bobby Rasulnia</w:t>
      </w:r>
      <w:r w:rsidR="005021D4">
        <w:t xml:space="preserve"> </w:t>
      </w:r>
    </w:p>
    <w:p w:rsidR="005021D4" w:rsidRDefault="005021D4" w:rsidP="005021D4">
      <w:pPr>
        <w:outlineLvl w:val="0"/>
      </w:pPr>
      <w:r>
        <w:t>PhD, MPA, MPH, CHES</w:t>
      </w:r>
    </w:p>
    <w:p w:rsidR="005021D4" w:rsidRDefault="005021D4" w:rsidP="005021D4">
      <w:pPr>
        <w:outlineLvl w:val="0"/>
      </w:pPr>
      <w:r>
        <w:t>Applied Systems Research and Evaluation Branch</w:t>
      </w:r>
    </w:p>
    <w:p w:rsidR="005021D4" w:rsidRDefault="005021D4" w:rsidP="005021D4">
      <w:pPr>
        <w:outlineLvl w:val="0"/>
      </w:pPr>
      <w:r>
        <w:t>Office for State, Tribal, Local, and Territorial Support</w:t>
      </w:r>
    </w:p>
    <w:p w:rsidR="005021D4" w:rsidRDefault="005021D4" w:rsidP="005021D4">
      <w:pPr>
        <w:outlineLvl w:val="0"/>
      </w:pPr>
      <w:r>
        <w:t>Centers for Disease Control &amp; Prevention</w:t>
      </w:r>
    </w:p>
    <w:p w:rsidR="005021D4" w:rsidRDefault="005021D4" w:rsidP="005021D4">
      <w:pPr>
        <w:outlineLvl w:val="0"/>
      </w:pPr>
      <w:r>
        <w:t>1825 Century Center, MS-70</w:t>
      </w:r>
    </w:p>
    <w:p w:rsidR="005021D4" w:rsidRDefault="005021D4" w:rsidP="005021D4">
      <w:pPr>
        <w:outlineLvl w:val="0"/>
      </w:pPr>
      <w:r>
        <w:t>Atlanta, Georgia  30345</w:t>
      </w:r>
    </w:p>
    <w:p w:rsidR="005021D4" w:rsidRDefault="00746D38" w:rsidP="005021D4">
      <w:pPr>
        <w:outlineLvl w:val="0"/>
      </w:pPr>
      <w:r>
        <w:t xml:space="preserve">Office - </w:t>
      </w:r>
      <w:r w:rsidR="005021D4">
        <w:t>404-498-0374</w:t>
      </w:r>
    </w:p>
    <w:p w:rsidR="00CE6BFD" w:rsidRPr="005021D4" w:rsidRDefault="00746D38" w:rsidP="005021D4">
      <w:pPr>
        <w:outlineLvl w:val="0"/>
      </w:pPr>
      <w:r>
        <w:t xml:space="preserve">Fax - </w:t>
      </w:r>
      <w:r w:rsidR="005021D4">
        <w:t>404-498-6882</w:t>
      </w:r>
    </w:p>
    <w:p w:rsidR="00317762" w:rsidRDefault="00317762" w:rsidP="00E52789">
      <w:pPr>
        <w:jc w:val="center"/>
        <w:outlineLvl w:val="0"/>
      </w:pPr>
    </w:p>
    <w:p w:rsidR="005021D4" w:rsidRDefault="005021D4" w:rsidP="005021D4">
      <w:pPr>
        <w:rPr>
          <w:b/>
        </w:rPr>
      </w:pPr>
    </w:p>
    <w:p w:rsidR="0064424A" w:rsidRPr="005021D4" w:rsidRDefault="00CE6BFD" w:rsidP="005021D4">
      <w:pPr>
        <w:rPr>
          <w:b/>
        </w:rPr>
      </w:pPr>
      <w:r w:rsidRPr="005021D4">
        <w:rPr>
          <w:b/>
        </w:rPr>
        <w:t xml:space="preserve">Part A.  </w:t>
      </w:r>
      <w:r w:rsidR="0064424A" w:rsidRPr="005021D4">
        <w:rPr>
          <w:b/>
        </w:rPr>
        <w:t>JUSTIFICATION</w:t>
      </w:r>
    </w:p>
    <w:p w:rsidR="0064424A" w:rsidRPr="005021D4" w:rsidRDefault="0064424A" w:rsidP="005021D4"/>
    <w:p w:rsidR="0064424A" w:rsidRDefault="0064424A" w:rsidP="005021D4">
      <w:pPr>
        <w:pStyle w:val="ListParagraph"/>
        <w:numPr>
          <w:ilvl w:val="0"/>
          <w:numId w:val="5"/>
        </w:numPr>
        <w:rPr>
          <w:b/>
        </w:rPr>
      </w:pPr>
      <w:r w:rsidRPr="00202CCB">
        <w:rPr>
          <w:b/>
        </w:rPr>
        <w:t>Circumstances Making the Collection of Information Necessary</w:t>
      </w:r>
    </w:p>
    <w:p w:rsidR="001251A5" w:rsidRPr="00202CCB" w:rsidRDefault="001251A5" w:rsidP="001251A5">
      <w:pPr>
        <w:pStyle w:val="ListParagraph"/>
        <w:ind w:left="360"/>
        <w:rPr>
          <w:b/>
        </w:rPr>
      </w:pPr>
      <w:r>
        <w:rPr>
          <w:b/>
        </w:rPr>
        <w:t>Background</w:t>
      </w:r>
    </w:p>
    <w:p w:rsidR="00AB59C1" w:rsidRDefault="00AB59C1" w:rsidP="003710C2"/>
    <w:p w:rsidR="00AD7A4A" w:rsidRPr="00B24578" w:rsidRDefault="00F55110" w:rsidP="00F7136F">
      <w:r w:rsidRPr="006A0774">
        <w:t>The Centers for Disease Control and P</w:t>
      </w:r>
      <w:r w:rsidR="006A0774" w:rsidRPr="006A0774">
        <w:t xml:space="preserve">revention (CDC) is requesting </w:t>
      </w:r>
      <w:r w:rsidR="00CE63B0">
        <w:t xml:space="preserve">approval for a revision within this </w:t>
      </w:r>
      <w:r w:rsidRPr="006A0774">
        <w:t xml:space="preserve">“generic” clearance  under the authority of </w:t>
      </w:r>
      <w:r w:rsidR="0064424A" w:rsidRPr="006A0774">
        <w:t xml:space="preserve">Section </w:t>
      </w:r>
      <w:r w:rsidR="00AB65D6" w:rsidRPr="006A0774">
        <w:t>301 of the Public Health Service Act (42 USC Sec. 301 [241]</w:t>
      </w:r>
      <w:r w:rsidR="006A0774">
        <w:t>)</w:t>
      </w:r>
      <w:r w:rsidR="00A850C9">
        <w:t xml:space="preserve"> </w:t>
      </w:r>
      <w:r w:rsidR="00A850C9" w:rsidRPr="004B4287">
        <w:rPr>
          <w:b/>
        </w:rPr>
        <w:t>(Attachment A)</w:t>
      </w:r>
      <w:r w:rsidRPr="00A850C9">
        <w:t>.</w:t>
      </w:r>
      <w:r w:rsidR="00AB65D6" w:rsidRPr="004B4287">
        <w:t xml:space="preserve"> </w:t>
      </w:r>
      <w:r w:rsidR="004F2DD8" w:rsidRPr="00B24578">
        <w:t xml:space="preserve">The purpose of this generic clearance is to advance state, tribal, local, and territorial (STLT) governmental agency system performance, capacity and program delivery.  </w:t>
      </w:r>
      <w:r w:rsidR="00FC769E" w:rsidRPr="00B24578">
        <w:t>As a result</w:t>
      </w:r>
      <w:r w:rsidR="004F2DD8" w:rsidRPr="00B24578">
        <w:t xml:space="preserve">, </w:t>
      </w:r>
      <w:r w:rsidR="00C46BAB" w:rsidRPr="00B24578">
        <w:t>revision</w:t>
      </w:r>
      <w:r w:rsidR="004F2DD8" w:rsidRPr="00B24578">
        <w:t>s</w:t>
      </w:r>
      <w:r w:rsidR="00FC769E" w:rsidRPr="00B24578">
        <w:t xml:space="preserve"> focused on clarifying definition of the</w:t>
      </w:r>
      <w:r w:rsidR="00AD7A4A" w:rsidRPr="00B24578">
        <w:t xml:space="preserve"> respondent universe: </w:t>
      </w:r>
    </w:p>
    <w:p w:rsidR="00AD7A4A" w:rsidRPr="00B24578" w:rsidRDefault="00FC769E" w:rsidP="00FC769E">
      <w:pPr>
        <w:ind w:left="720"/>
      </w:pPr>
      <w:r w:rsidRPr="00B24578">
        <w:t>a</w:t>
      </w:r>
      <w:r w:rsidR="00AD7A4A" w:rsidRPr="00B24578">
        <w:t xml:space="preserve">) STLT </w:t>
      </w:r>
      <w:r w:rsidRPr="00B24578">
        <w:t>government</w:t>
      </w:r>
      <w:r w:rsidR="00AD7A4A" w:rsidRPr="00B24578">
        <w:t xml:space="preserve"> agency staff with a task</w:t>
      </w:r>
      <w:r w:rsidRPr="00B24578">
        <w:t>(s)</w:t>
      </w:r>
      <w:r w:rsidR="00AD7A4A" w:rsidRPr="00B24578">
        <w:t xml:space="preserve"> to improve the public’s health</w:t>
      </w:r>
      <w:r w:rsidR="004F2DD8" w:rsidRPr="00B24578">
        <w:rPr>
          <w:vertAlign w:val="superscript"/>
        </w:rPr>
        <w:t>1</w:t>
      </w:r>
      <w:r w:rsidR="00AD7A4A" w:rsidRPr="00B24578">
        <w:t xml:space="preserve">.  </w:t>
      </w:r>
      <w:r w:rsidR="004F2DD8" w:rsidRPr="00B24578">
        <w:t>Task is defined as actions, mission, services, functions or duties that benefit the public's health and not tied to the organization delivering the public health service.</w:t>
      </w:r>
    </w:p>
    <w:p w:rsidR="00AD7A4A" w:rsidRPr="00B24578" w:rsidRDefault="00FC769E" w:rsidP="00FC769E">
      <w:pPr>
        <w:ind w:left="720"/>
      </w:pPr>
      <w:r w:rsidRPr="00B24578">
        <w:t>b</w:t>
      </w:r>
      <w:r w:rsidR="00AD7A4A" w:rsidRPr="00B24578">
        <w:t xml:space="preserve">) </w:t>
      </w:r>
      <w:r w:rsidR="004F2DD8" w:rsidRPr="00B24578">
        <w:t>D</w:t>
      </w:r>
      <w:r w:rsidR="00F7136F" w:rsidRPr="00B24578">
        <w:t>elegates</w:t>
      </w:r>
      <w:r w:rsidR="004F2DD8" w:rsidRPr="00B24578">
        <w:rPr>
          <w:kern w:val="24"/>
          <w:position w:val="7"/>
          <w:sz w:val="22"/>
          <w:szCs w:val="22"/>
          <w:vertAlign w:val="superscript"/>
        </w:rPr>
        <w:t xml:space="preserve"> </w:t>
      </w:r>
      <w:r w:rsidR="00F7136F" w:rsidRPr="00B24578">
        <w:t xml:space="preserve">acting on behalf of </w:t>
      </w:r>
      <w:r w:rsidRPr="00B24578">
        <w:t>STLT</w:t>
      </w:r>
      <w:r w:rsidR="00AD7A4A" w:rsidRPr="00B24578">
        <w:t xml:space="preserve"> government agency staff</w:t>
      </w:r>
      <w:r w:rsidR="00F7136F" w:rsidRPr="00B24578">
        <w:t xml:space="preserve"> involved in the provision</w:t>
      </w:r>
      <w:r w:rsidR="00F7136F" w:rsidRPr="00B24578">
        <w:rPr>
          <w:kern w:val="24"/>
          <w:position w:val="7"/>
          <w:sz w:val="22"/>
          <w:szCs w:val="22"/>
          <w:vertAlign w:val="superscript"/>
        </w:rPr>
        <w:t>2</w:t>
      </w:r>
      <w:r w:rsidR="00F7136F" w:rsidRPr="00B24578">
        <w:t xml:space="preserve"> of essential</w:t>
      </w:r>
      <w:r w:rsidR="00F7136F" w:rsidRPr="00B24578">
        <w:rPr>
          <w:kern w:val="24"/>
          <w:position w:val="7"/>
          <w:sz w:val="22"/>
          <w:szCs w:val="22"/>
          <w:vertAlign w:val="superscript"/>
        </w:rPr>
        <w:t>3</w:t>
      </w:r>
      <w:r w:rsidR="00F7136F" w:rsidRPr="00B24578">
        <w:t xml:space="preserve"> public health services in the United States. </w:t>
      </w:r>
      <w:r w:rsidR="00AD7A4A" w:rsidRPr="00B24578">
        <w:t>A delegate is defined as: a governmental or non-governmental agent (agency, function, office or individual) acting for a principal or submitted by another to represent or act on behalf of STLT health departments.</w:t>
      </w:r>
    </w:p>
    <w:p w:rsidR="00F7136F" w:rsidRDefault="00640CA1" w:rsidP="00F7136F">
      <w:r w:rsidRPr="00B24578">
        <w:t xml:space="preserve">This has also resulted in a change in the original title, “Surveys of State, Tribal, and Territorial (STLT) Governmental Agencies”.  The new title for this generic more accurately reflects the requested revisions.  </w:t>
      </w:r>
    </w:p>
    <w:p w:rsidR="00147C98" w:rsidRDefault="00147C98" w:rsidP="0006538F"/>
    <w:p w:rsidR="00595583" w:rsidRDefault="00221C9C" w:rsidP="00595583">
      <w:r w:rsidRPr="006A0774">
        <w:t>CDC</w:t>
      </w:r>
      <w:r w:rsidR="00BA5696" w:rsidRPr="006A0774">
        <w:t xml:space="preserve">’s mission </w:t>
      </w:r>
      <w:r w:rsidR="00595583">
        <w:t>is to create the expertise, information, and tools that people and communities need to protect their health – through health promotion, prevention of disease, injury and disability, and preparedness for new health threats. CDC seeks to accomplish its mission by collaborating with partners throughout the nation and the world to: monitor health, detect and investigate health problems, conduct research to enhance prevention, develop and advocate sound public health policies, implement prevention strategies, promote healthy behaviors, foster safe and healthful environments, and provide leadership and training.</w:t>
      </w:r>
    </w:p>
    <w:p w:rsidR="00595583" w:rsidRDefault="00595583" w:rsidP="00595583"/>
    <w:p w:rsidR="00AB59C1" w:rsidRDefault="00595583" w:rsidP="004F0AD7">
      <w:r>
        <w:t>CDC priorities include</w:t>
      </w:r>
      <w:r w:rsidR="00BA5696" w:rsidRPr="006A0774">
        <w:t xml:space="preserve"> </w:t>
      </w:r>
      <w:r w:rsidR="00221C9C" w:rsidRPr="006A0774">
        <w:t>address</w:t>
      </w:r>
      <w:r w:rsidR="00BA5696" w:rsidRPr="006A0774">
        <w:t>ing</w:t>
      </w:r>
      <w:r w:rsidR="00221C9C" w:rsidRPr="006A0774">
        <w:t xml:space="preserve"> </w:t>
      </w:r>
      <w:r w:rsidR="00BA5696" w:rsidRPr="006A0774">
        <w:t xml:space="preserve">the </w:t>
      </w:r>
      <w:r w:rsidR="00221C9C" w:rsidRPr="006A0774">
        <w:t>leading causes of disease, injury, and disability in the United States</w:t>
      </w:r>
      <w:r w:rsidR="00BA5696" w:rsidRPr="006A0774">
        <w:t xml:space="preserve">, including </w:t>
      </w:r>
      <w:r w:rsidR="006A4BC1" w:rsidRPr="006A0774">
        <w:t>a</w:t>
      </w:r>
      <w:r w:rsidR="00BA5696" w:rsidRPr="006A0774">
        <w:t xml:space="preserve"> focus on</w:t>
      </w:r>
      <w:r w:rsidR="00221C9C" w:rsidRPr="006A0774">
        <w:t xml:space="preserve"> </w:t>
      </w:r>
      <w:r w:rsidR="007472B3" w:rsidRPr="006A0774">
        <w:t xml:space="preserve">tobacco control; improving nutrition, physical activity, and food safety; reducing healthcare-associated infections; preventing motor vehicle injuries; </w:t>
      </w:r>
      <w:r w:rsidR="006A4BC1" w:rsidRPr="006A0774">
        <w:t xml:space="preserve">preventing </w:t>
      </w:r>
      <w:r w:rsidR="007472B3" w:rsidRPr="006A0774">
        <w:t xml:space="preserve">teen pregnancy; and </w:t>
      </w:r>
      <w:r w:rsidR="00221C9C" w:rsidRPr="006A0774">
        <w:t xml:space="preserve">preventing </w:t>
      </w:r>
      <w:r w:rsidR="007472B3" w:rsidRPr="006A0774">
        <w:t>HIV</w:t>
      </w:r>
      <w:r w:rsidR="00221C9C" w:rsidRPr="006A0774">
        <w:t xml:space="preserve">.  </w:t>
      </w:r>
      <w:r>
        <w:t xml:space="preserve"> </w:t>
      </w:r>
      <w:r w:rsidR="00423171">
        <w:t>Approaches to</w:t>
      </w:r>
      <w:r w:rsidR="00423171" w:rsidRPr="006A0774">
        <w:t xml:space="preserve"> improvements include </w:t>
      </w:r>
      <w:r w:rsidR="00423171" w:rsidRPr="006A0774">
        <w:sym w:font="Symbol" w:char="00BE"/>
      </w:r>
      <w:r w:rsidR="00423171" w:rsidRPr="006A0774">
        <w:t xml:space="preserve"> strengthening</w:t>
      </w:r>
      <w:r w:rsidR="00423171" w:rsidRPr="00423171">
        <w:t xml:space="preserve"> </w:t>
      </w:r>
      <w:r w:rsidR="00423171" w:rsidRPr="006A0774">
        <w:t xml:space="preserve">surveillance, epidemiology, and laboratory science; </w:t>
      </w:r>
      <w:r w:rsidR="00423171">
        <w:t>health promotion and disease</w:t>
      </w:r>
    </w:p>
    <w:p w:rsidR="00AB59C1" w:rsidRPr="0006538F" w:rsidRDefault="00AB59C1" w:rsidP="00AB59C1">
      <w:pPr>
        <w:spacing w:before="100" w:beforeAutospacing="1" w:after="100" w:afterAutospacing="1"/>
      </w:pPr>
      <w:r w:rsidRPr="0006538F">
        <w:t>_____________________________________________________________________________</w:t>
      </w:r>
    </w:p>
    <w:p w:rsidR="004F2DD8" w:rsidRDefault="004F2DD8" w:rsidP="004F2DD8">
      <w:pPr>
        <w:pStyle w:val="NormalWeb"/>
        <w:kinsoku w:val="0"/>
        <w:overflowPunct w:val="0"/>
        <w:spacing w:before="0" w:beforeAutospacing="0" w:after="0" w:afterAutospacing="0"/>
        <w:textAlignment w:val="baseline"/>
      </w:pPr>
      <w:r>
        <w:rPr>
          <w:rFonts w:eastAsiaTheme="minorEastAsia"/>
          <w:kern w:val="24"/>
          <w:position w:val="7"/>
          <w:sz w:val="22"/>
          <w:szCs w:val="22"/>
          <w:vertAlign w:val="superscript"/>
        </w:rPr>
        <w:t>1</w:t>
      </w:r>
      <w:r w:rsidRPr="00300AD1">
        <w:rPr>
          <w:rFonts w:eastAsiaTheme="minorEastAsia"/>
          <w:kern w:val="24"/>
          <w:sz w:val="22"/>
          <w:szCs w:val="22"/>
        </w:rPr>
        <w:t>Public health- the science and art of preventing disease, prolonging life and promoting health through the organized efforts and informed choices of society, organizations, public and private, communities and individuals</w:t>
      </w:r>
      <w:r>
        <w:rPr>
          <w:rFonts w:eastAsiaTheme="minorEastAsia"/>
          <w:kern w:val="24"/>
          <w:sz w:val="22"/>
          <w:szCs w:val="22"/>
        </w:rPr>
        <w:t>.</w:t>
      </w:r>
    </w:p>
    <w:p w:rsidR="00AB59C1" w:rsidRPr="00300AD1" w:rsidRDefault="00AB59C1" w:rsidP="00AB59C1">
      <w:pPr>
        <w:pStyle w:val="NormalWeb"/>
        <w:kinsoku w:val="0"/>
        <w:overflowPunct w:val="0"/>
        <w:spacing w:before="0" w:beforeAutospacing="0" w:after="0" w:afterAutospacing="0"/>
        <w:textAlignment w:val="baseline"/>
      </w:pPr>
      <w:r w:rsidRPr="00300AD1">
        <w:rPr>
          <w:rFonts w:eastAsiaTheme="minorEastAsia"/>
          <w:kern w:val="24"/>
          <w:position w:val="7"/>
          <w:sz w:val="22"/>
          <w:szCs w:val="22"/>
          <w:vertAlign w:val="superscript"/>
        </w:rPr>
        <w:t>2</w:t>
      </w:r>
      <w:r w:rsidRPr="00300AD1">
        <w:rPr>
          <w:rFonts w:eastAsiaTheme="minorEastAsia"/>
          <w:kern w:val="24"/>
          <w:sz w:val="22"/>
          <w:szCs w:val="22"/>
        </w:rPr>
        <w:t>Provision- the act of (directly or indirectly) planning, providing, or assessing services.</w:t>
      </w:r>
    </w:p>
    <w:p w:rsidR="00AB59C1" w:rsidRPr="00300AD1" w:rsidRDefault="00AB59C1" w:rsidP="00AB59C1">
      <w:pPr>
        <w:pStyle w:val="NormalWeb"/>
        <w:kinsoku w:val="0"/>
        <w:overflowPunct w:val="0"/>
        <w:spacing w:before="0" w:beforeAutospacing="0" w:after="0" w:afterAutospacing="0"/>
        <w:textAlignment w:val="baseline"/>
      </w:pPr>
      <w:r w:rsidRPr="00300AD1">
        <w:rPr>
          <w:rFonts w:eastAsiaTheme="minorEastAsia"/>
          <w:kern w:val="24"/>
          <w:position w:val="7"/>
          <w:sz w:val="22"/>
          <w:szCs w:val="22"/>
          <w:vertAlign w:val="superscript"/>
        </w:rPr>
        <w:t>3</w:t>
      </w:r>
      <w:r w:rsidRPr="00300AD1">
        <w:rPr>
          <w:rFonts w:eastAsiaTheme="minorEastAsia"/>
          <w:kern w:val="24"/>
          <w:sz w:val="22"/>
          <w:szCs w:val="22"/>
        </w:rPr>
        <w:t>Essential public health services- 10 services identified in 1988 IOM report.</w:t>
      </w:r>
    </w:p>
    <w:p w:rsidR="00640CA1" w:rsidRDefault="00640CA1" w:rsidP="00640CA1">
      <w:r>
        <w:lastRenderedPageBreak/>
        <w:t xml:space="preserve">prevention across the lifespan; </w:t>
      </w:r>
      <w:r w:rsidRPr="006A0774">
        <w:t>better supporting efforts in states and communities; and to pursuing policies that have an impact</w:t>
      </w:r>
      <w:r>
        <w:t xml:space="preserve"> on the population’s health</w:t>
      </w:r>
      <w:r w:rsidRPr="006A0774">
        <w:t xml:space="preserve">.  </w:t>
      </w:r>
    </w:p>
    <w:p w:rsidR="00640CA1" w:rsidRDefault="00640CA1" w:rsidP="00640CA1"/>
    <w:p w:rsidR="00AB59C1" w:rsidRPr="00EF0D4C" w:rsidRDefault="00FC769E" w:rsidP="00AB59C1">
      <w:r w:rsidRPr="00FC769E">
        <w:t>As such, CDC’s relationship with state, local, tribal and territorial (STLT) governmental staff and their delegates is key to its emergency preparedness, health promotion and disease prevention responsibilities.</w:t>
      </w:r>
      <w:r>
        <w:t xml:space="preserve"> </w:t>
      </w:r>
      <w:r w:rsidR="00AB59C1" w:rsidRPr="00EF0D4C">
        <w:t xml:space="preserve">In addition, recent national initiatives have been implemented </w:t>
      </w:r>
      <w:r w:rsidR="00AB59C1">
        <w:t xml:space="preserve">to </w:t>
      </w:r>
      <w:r w:rsidR="00AB59C1" w:rsidRPr="00EF0D4C">
        <w:t xml:space="preserve">support </w:t>
      </w:r>
      <w:r w:rsidR="00AB59C1">
        <w:t>the purpose of this Generic ICR</w:t>
      </w:r>
      <w:r w:rsidR="00AB59C1" w:rsidRPr="00EF0D4C">
        <w:t>. For example, the goal</w:t>
      </w:r>
      <w:r w:rsidR="00AB59C1">
        <w:t xml:space="preserve"> of the</w:t>
      </w:r>
      <w:r w:rsidR="00AB59C1" w:rsidRPr="00EF0D4C">
        <w:t xml:space="preserve"> 2011 National P</w:t>
      </w:r>
      <w:r w:rsidR="00AB59C1">
        <w:t>revention Strategy</w:t>
      </w:r>
      <w:r w:rsidR="00AB59C1" w:rsidRPr="00EF0D4C">
        <w:t xml:space="preserve"> is to increase the number of Americans who are healthy at every stage of life.  This goal is achieved by: </w:t>
      </w:r>
      <w:r w:rsidR="00AB59C1">
        <w:t>1) s</w:t>
      </w:r>
      <w:r w:rsidR="00AB59C1" w:rsidRPr="00EF0D4C">
        <w:t>trengthen</w:t>
      </w:r>
      <w:r w:rsidR="00AB59C1">
        <w:t>ing</w:t>
      </w:r>
      <w:r w:rsidR="00AB59C1" w:rsidRPr="00EF0D4C">
        <w:t xml:space="preserve"> state, tribal, local, and territorial public health department</w:t>
      </w:r>
      <w:r w:rsidR="00AB59C1">
        <w:t>s to provide essential services; 2) e</w:t>
      </w:r>
      <w:r w:rsidR="00AB59C1" w:rsidRPr="00EF0D4C">
        <w:t>nhanc</w:t>
      </w:r>
      <w:r w:rsidR="00AB59C1">
        <w:t>ing</w:t>
      </w:r>
      <w:r w:rsidR="00AB59C1" w:rsidRPr="00EF0D4C">
        <w:t xml:space="preserve"> cross-sector collaboration in community planning and desig</w:t>
      </w:r>
      <w:r w:rsidR="00AB59C1">
        <w:t>n to promote health and safety; 3) s</w:t>
      </w:r>
      <w:r w:rsidR="00AB59C1" w:rsidRPr="00EF0D4C">
        <w:t>upport</w:t>
      </w:r>
      <w:r w:rsidR="00AB59C1">
        <w:t>ing</w:t>
      </w:r>
      <w:r w:rsidR="00AB59C1" w:rsidRPr="00EF0D4C">
        <w:t xml:space="preserve"> integration of prevention and public health skills into health care professional training</w:t>
      </w:r>
      <w:r w:rsidR="00AB59C1">
        <w:t>.</w:t>
      </w:r>
    </w:p>
    <w:p w:rsidR="00AB59C1" w:rsidRPr="00EF0D4C" w:rsidRDefault="00AB59C1" w:rsidP="00AB59C1"/>
    <w:p w:rsidR="00AB59C1" w:rsidRPr="00EF0D4C" w:rsidRDefault="00AB59C1" w:rsidP="00AB59C1">
      <w:r w:rsidRPr="00EF0D4C">
        <w:t>The 2012 I</w:t>
      </w:r>
      <w:r>
        <w:t xml:space="preserve">nstitute of </w:t>
      </w:r>
      <w:r w:rsidRPr="00EF0D4C">
        <w:t>M</w:t>
      </w:r>
      <w:r>
        <w:t>edicine (IOM)</w:t>
      </w:r>
      <w:r w:rsidRPr="00EF0D4C">
        <w:t xml:space="preserve"> report</w:t>
      </w:r>
      <w:r>
        <w:t>,</w:t>
      </w:r>
      <w:r w:rsidRPr="00EF0D4C">
        <w:t xml:space="preserve"> ‘Primary Care and Public Health: Exploring Integration to Improve Population Health</w:t>
      </w:r>
      <w:r>
        <w:t>,</w:t>
      </w:r>
      <w:r w:rsidRPr="00EF0D4C">
        <w:t xml:space="preserve">’ further emphasizes the overlap </w:t>
      </w:r>
      <w:r>
        <w:t xml:space="preserve">between </w:t>
      </w:r>
      <w:r w:rsidRPr="00EF0D4C">
        <w:t>public health and primary care</w:t>
      </w:r>
      <w:r>
        <w:t xml:space="preserve"> roles and functions</w:t>
      </w:r>
      <w:r w:rsidRPr="00EF0D4C">
        <w:t xml:space="preserve">. </w:t>
      </w:r>
      <w:r>
        <w:t xml:space="preserve">This overlap or integration of public health and primary care is characterized as a continuum that spans </w:t>
      </w:r>
      <w:r w:rsidRPr="00EF0D4C">
        <w:t>mutual awareness, cooperation, collaboration, and partnership.</w:t>
      </w:r>
    </w:p>
    <w:p w:rsidR="00AB59C1" w:rsidRPr="00EF0D4C" w:rsidRDefault="00AB59C1" w:rsidP="0006538F"/>
    <w:p w:rsidR="00336357" w:rsidRPr="00EF0D4C" w:rsidRDefault="00506D73" w:rsidP="0006538F">
      <w:r w:rsidRPr="00EF0D4C">
        <w:t xml:space="preserve">To facilitate </w:t>
      </w:r>
      <w:r w:rsidR="00EF0D4C" w:rsidRPr="00EF0D4C">
        <w:t xml:space="preserve">effective and efficient delivery of STLT and partner public health services </w:t>
      </w:r>
      <w:r w:rsidRPr="00EF0D4C">
        <w:t xml:space="preserve">and enhance </w:t>
      </w:r>
      <w:r w:rsidR="00FC769E" w:rsidRPr="00FC769E">
        <w:t>STLT</w:t>
      </w:r>
      <w:r w:rsidR="00435732" w:rsidRPr="00FC769E">
        <w:t xml:space="preserve"> </w:t>
      </w:r>
      <w:r w:rsidR="00FC769E" w:rsidRPr="00FC769E">
        <w:t>performance/</w:t>
      </w:r>
      <w:r w:rsidR="00435732" w:rsidRPr="00FC769E">
        <w:t>capacity and</w:t>
      </w:r>
      <w:r w:rsidR="00435732">
        <w:t xml:space="preserve"> </w:t>
      </w:r>
      <w:r w:rsidRPr="00EF0D4C">
        <w:t xml:space="preserve">CDCs flexibility in responding to public health </w:t>
      </w:r>
      <w:r w:rsidR="006A4BC1" w:rsidRPr="00EF0D4C">
        <w:t>events</w:t>
      </w:r>
      <w:r w:rsidRPr="00EF0D4C">
        <w:t xml:space="preserve">, we are submitting </w:t>
      </w:r>
      <w:r w:rsidR="00D60637" w:rsidRPr="00EF0D4C">
        <w:t>this application for a framework</w:t>
      </w:r>
      <w:r w:rsidR="006A0774" w:rsidRPr="00EF0D4C">
        <w:t xml:space="preserve"> under which individual</w:t>
      </w:r>
      <w:r w:rsidR="00735423">
        <w:t xml:space="preserve"> data </w:t>
      </w:r>
      <w:r w:rsidR="00EA37F8">
        <w:t>collections</w:t>
      </w:r>
      <w:r w:rsidR="00D60637" w:rsidRPr="00EF0D4C">
        <w:t xml:space="preserve"> could then be expeditiously approv</w:t>
      </w:r>
      <w:r w:rsidR="00C97894" w:rsidRPr="00EF0D4C">
        <w:t>ed.</w:t>
      </w:r>
      <w:r w:rsidR="00D60637" w:rsidRPr="00EF0D4C">
        <w:t xml:space="preserve"> </w:t>
      </w:r>
      <w:r w:rsidR="00D60637" w:rsidRPr="00755331">
        <w:t>This framework characterizes the population from whom the data is to be collected and the methods that would be used to collect the data,</w:t>
      </w:r>
      <w:r w:rsidR="00D60637" w:rsidRPr="00EF0D4C">
        <w:t xml:space="preserve"> as well as the topics about which CDC usually collects such data.  I</w:t>
      </w:r>
      <w:r w:rsidRPr="00EF0D4C">
        <w:t xml:space="preserve">ndividual </w:t>
      </w:r>
      <w:r w:rsidR="00BF54E4" w:rsidRPr="00EF0D4C">
        <w:t xml:space="preserve">information collection </w:t>
      </w:r>
      <w:r w:rsidR="006A163B" w:rsidRPr="00EF0D4C">
        <w:t>requests</w:t>
      </w:r>
      <w:r w:rsidR="006A4BC1" w:rsidRPr="00EF0D4C">
        <w:t xml:space="preserve"> </w:t>
      </w:r>
      <w:r w:rsidR="00D60637" w:rsidRPr="00EF0D4C">
        <w:t xml:space="preserve">will be submitted to OMB and will include the actual </w:t>
      </w:r>
      <w:r w:rsidR="00E5557B" w:rsidRPr="00EF0D4C">
        <w:t>data collection</w:t>
      </w:r>
      <w:r w:rsidR="00D60637" w:rsidRPr="00EF0D4C">
        <w:t xml:space="preserve"> instruments and describing the specific </w:t>
      </w:r>
      <w:r w:rsidR="00E5557B" w:rsidRPr="00EF0D4C">
        <w:t>data collection</w:t>
      </w:r>
      <w:r w:rsidR="00D60637" w:rsidRPr="00EF0D4C">
        <w:t xml:space="preserve"> goal, </w:t>
      </w:r>
      <w:r w:rsidR="00E5557B" w:rsidRPr="00EF0D4C">
        <w:t>design, and</w:t>
      </w:r>
      <w:r w:rsidR="00D60637" w:rsidRPr="00EF0D4C">
        <w:t xml:space="preserve"> sampling and analysis plans.</w:t>
      </w:r>
    </w:p>
    <w:p w:rsidR="00147C98" w:rsidRDefault="00147C98" w:rsidP="0006538F"/>
    <w:p w:rsidR="003561F3" w:rsidRPr="0050787C" w:rsidRDefault="00F03F91" w:rsidP="0006538F">
      <w:r w:rsidRPr="00147C98">
        <w:t>Circumstances</w:t>
      </w:r>
      <w:r w:rsidR="00A227F6" w:rsidRPr="00147C98">
        <w:t xml:space="preserve"> instigating a collection </w:t>
      </w:r>
      <w:r w:rsidR="00414C1C">
        <w:t xml:space="preserve">will vary </w:t>
      </w:r>
      <w:r w:rsidR="00A4333E">
        <w:t>for each data collection from</w:t>
      </w:r>
      <w:r w:rsidR="00B90298" w:rsidRPr="00147C98">
        <w:t xml:space="preserve"> </w:t>
      </w:r>
      <w:r w:rsidR="00147C98" w:rsidRPr="00147C98">
        <w:t xml:space="preserve">STLT and </w:t>
      </w:r>
      <w:r w:rsidR="00414C1C" w:rsidRPr="003561F3">
        <w:t>delegates</w:t>
      </w:r>
      <w:r w:rsidR="00147C98" w:rsidRPr="003561F3">
        <w:t xml:space="preserve"> input into CDC product design and content, strengthen partnership, collaborations, and </w:t>
      </w:r>
      <w:r w:rsidR="00147C98" w:rsidRPr="0050787C">
        <w:t>communication</w:t>
      </w:r>
      <w:r w:rsidR="00A4333E" w:rsidRPr="00B24578">
        <w:t>.</w:t>
      </w:r>
      <w:r w:rsidR="00147C98" w:rsidRPr="00B24578">
        <w:t xml:space="preserve"> </w:t>
      </w:r>
      <w:r w:rsidR="00FC769E" w:rsidRPr="00B24578">
        <w:t xml:space="preserve">The purpose of data collections is to advance STLT governmental agency system performance, capacity and program delivery. </w:t>
      </w:r>
      <w:r w:rsidR="003561F3" w:rsidRPr="00B24578">
        <w:t>Examples</w:t>
      </w:r>
      <w:r w:rsidR="003561F3" w:rsidRPr="0050787C">
        <w:t xml:space="preserve"> of</w:t>
      </w:r>
      <w:r w:rsidR="004475D5">
        <w:t xml:space="preserve"> type of</w:t>
      </w:r>
      <w:r w:rsidR="003561F3" w:rsidRPr="0050787C">
        <w:t xml:space="preserve"> data collections</w:t>
      </w:r>
      <w:r w:rsidR="004475D5">
        <w:t xml:space="preserve"> </w:t>
      </w:r>
      <w:r w:rsidR="003561F3" w:rsidRPr="0050787C">
        <w:t>include</w:t>
      </w:r>
      <w:r w:rsidR="00C313A4">
        <w:t xml:space="preserve"> (but not limited to)</w:t>
      </w:r>
      <w:r w:rsidR="003561F3" w:rsidRPr="0050787C">
        <w:t>:</w:t>
      </w:r>
    </w:p>
    <w:p w:rsidR="003561F3" w:rsidRPr="0050787C" w:rsidRDefault="00147C98" w:rsidP="003561F3">
      <w:pPr>
        <w:pStyle w:val="ListParagraph"/>
        <w:numPr>
          <w:ilvl w:val="0"/>
          <w:numId w:val="48"/>
        </w:numPr>
      </w:pPr>
      <w:r w:rsidRPr="0050787C">
        <w:t>assess</w:t>
      </w:r>
      <w:r w:rsidR="003561F3" w:rsidRPr="0050787C">
        <w:t>ing</w:t>
      </w:r>
      <w:r w:rsidRPr="0050787C">
        <w:t xml:space="preserve"> STLT and </w:t>
      </w:r>
      <w:r w:rsidR="00A4333E" w:rsidRPr="0050787C">
        <w:t xml:space="preserve">delegate </w:t>
      </w:r>
      <w:r w:rsidRPr="0050787C">
        <w:t xml:space="preserve">resource and program capacities, </w:t>
      </w:r>
    </w:p>
    <w:p w:rsidR="003561F3" w:rsidRPr="0050787C" w:rsidRDefault="00147C98" w:rsidP="003561F3">
      <w:pPr>
        <w:pStyle w:val="ListParagraph"/>
        <w:numPr>
          <w:ilvl w:val="0"/>
          <w:numId w:val="48"/>
        </w:numPr>
      </w:pPr>
      <w:r w:rsidRPr="0050787C">
        <w:t>identify</w:t>
      </w:r>
      <w:r w:rsidR="003561F3" w:rsidRPr="0050787C">
        <w:t xml:space="preserve">ing </w:t>
      </w:r>
      <w:r w:rsidRPr="0050787C">
        <w:t xml:space="preserve"> technical assistance needs, </w:t>
      </w:r>
    </w:p>
    <w:p w:rsidR="00D4580C" w:rsidRPr="0050787C" w:rsidRDefault="00D4580C" w:rsidP="003561F3">
      <w:pPr>
        <w:pStyle w:val="ListParagraph"/>
        <w:numPr>
          <w:ilvl w:val="0"/>
          <w:numId w:val="48"/>
        </w:numPr>
      </w:pPr>
      <w:r w:rsidRPr="0050787C">
        <w:t>assessing workforce development and training needs</w:t>
      </w:r>
    </w:p>
    <w:p w:rsidR="00D4580C" w:rsidRPr="0050787C" w:rsidRDefault="00D4580C" w:rsidP="003561F3">
      <w:pPr>
        <w:pStyle w:val="ListParagraph"/>
        <w:numPr>
          <w:ilvl w:val="0"/>
          <w:numId w:val="48"/>
        </w:numPr>
      </w:pPr>
      <w:r w:rsidRPr="0050787C">
        <w:t>identifying resource needs and constraints within STLT programs</w:t>
      </w:r>
    </w:p>
    <w:p w:rsidR="003561F3" w:rsidRPr="0050787C" w:rsidRDefault="003561F3" w:rsidP="003561F3">
      <w:pPr>
        <w:pStyle w:val="ListParagraph"/>
        <w:numPr>
          <w:ilvl w:val="0"/>
          <w:numId w:val="48"/>
        </w:numPr>
      </w:pPr>
      <w:r w:rsidRPr="0050787C">
        <w:t xml:space="preserve">assessing and developing </w:t>
      </w:r>
      <w:r w:rsidR="00A4333E" w:rsidRPr="0050787C">
        <w:t>communic</w:t>
      </w:r>
      <w:r w:rsidR="00E9496C">
        <w:t>ation tools to meet STLT needs</w:t>
      </w:r>
    </w:p>
    <w:p w:rsidR="003561F3" w:rsidRPr="0050787C" w:rsidRDefault="00147C98" w:rsidP="003561F3">
      <w:pPr>
        <w:pStyle w:val="ListParagraph"/>
        <w:numPr>
          <w:ilvl w:val="0"/>
          <w:numId w:val="48"/>
        </w:numPr>
      </w:pPr>
      <w:r w:rsidRPr="0050787C">
        <w:t>inform</w:t>
      </w:r>
      <w:r w:rsidR="003561F3" w:rsidRPr="0050787C">
        <w:t>ing</w:t>
      </w:r>
      <w:r w:rsidRPr="0050787C">
        <w:t xml:space="preserve"> quality improvement activities within</w:t>
      </w:r>
      <w:r w:rsidR="00E9496C">
        <w:t xml:space="preserve"> CDC programs</w:t>
      </w:r>
      <w:r w:rsidRPr="0050787C">
        <w:t xml:space="preserve"> </w:t>
      </w:r>
    </w:p>
    <w:p w:rsidR="003561F3" w:rsidRPr="0050787C" w:rsidRDefault="00147C98" w:rsidP="003561F3">
      <w:pPr>
        <w:pStyle w:val="ListParagraph"/>
        <w:numPr>
          <w:ilvl w:val="0"/>
          <w:numId w:val="48"/>
        </w:numPr>
      </w:pPr>
      <w:r w:rsidRPr="0050787C">
        <w:t>identify</w:t>
      </w:r>
      <w:r w:rsidR="003561F3" w:rsidRPr="0050787C">
        <w:t>ing</w:t>
      </w:r>
      <w:r w:rsidRPr="0050787C">
        <w:t xml:space="preserve"> strengths and barriers</w:t>
      </w:r>
      <w:r w:rsidR="003561F3" w:rsidRPr="0050787C">
        <w:t xml:space="preserve"> in STLT and CDC programs</w:t>
      </w:r>
      <w:r w:rsidRPr="0050787C">
        <w:t xml:space="preserve"> </w:t>
      </w:r>
    </w:p>
    <w:p w:rsidR="003561F3" w:rsidRPr="0050787C" w:rsidRDefault="00147C98" w:rsidP="003561F3">
      <w:pPr>
        <w:pStyle w:val="ListParagraph"/>
        <w:numPr>
          <w:ilvl w:val="0"/>
          <w:numId w:val="48"/>
        </w:numPr>
      </w:pPr>
      <w:r w:rsidRPr="0050787C">
        <w:t>tailor</w:t>
      </w:r>
      <w:r w:rsidR="003561F3" w:rsidRPr="0050787C">
        <w:t>ing</w:t>
      </w:r>
      <w:r w:rsidRPr="0050787C">
        <w:t xml:space="preserve"> CDC prod</w:t>
      </w:r>
      <w:r w:rsidR="00E9496C">
        <w:t>ucts and services to STLT needs</w:t>
      </w:r>
    </w:p>
    <w:p w:rsidR="00D4580C" w:rsidRPr="0050787C" w:rsidRDefault="00B90298" w:rsidP="003561F3">
      <w:pPr>
        <w:pStyle w:val="ListParagraph"/>
        <w:numPr>
          <w:ilvl w:val="0"/>
          <w:numId w:val="48"/>
        </w:numPr>
      </w:pPr>
      <w:r w:rsidRPr="0050787C">
        <w:t>qui</w:t>
      </w:r>
      <w:r w:rsidR="00E9496C">
        <w:t xml:space="preserve">ck </w:t>
      </w:r>
      <w:r w:rsidR="00814D35">
        <w:t>assessment</w:t>
      </w:r>
      <w:r w:rsidR="00E9496C">
        <w:t xml:space="preserve"> of program impact</w:t>
      </w:r>
      <w:r w:rsidRPr="0050787C">
        <w:t xml:space="preserve"> </w:t>
      </w:r>
    </w:p>
    <w:p w:rsidR="00D4580C" w:rsidRPr="0050787C" w:rsidRDefault="00D4580C" w:rsidP="003561F3">
      <w:pPr>
        <w:pStyle w:val="ListParagraph"/>
        <w:numPr>
          <w:ilvl w:val="0"/>
          <w:numId w:val="48"/>
        </w:numPr>
      </w:pPr>
      <w:r w:rsidRPr="0050787C">
        <w:t>prioritizing CDC program activities</w:t>
      </w:r>
    </w:p>
    <w:p w:rsidR="00D4580C" w:rsidRPr="0050787C" w:rsidRDefault="00D4580C" w:rsidP="003561F3">
      <w:pPr>
        <w:pStyle w:val="ListParagraph"/>
        <w:numPr>
          <w:ilvl w:val="0"/>
          <w:numId w:val="48"/>
        </w:numPr>
      </w:pPr>
      <w:r w:rsidRPr="0050787C">
        <w:t>preparing</w:t>
      </w:r>
      <w:r w:rsidR="00B90298" w:rsidRPr="0050787C">
        <w:t xml:space="preserve"> </w:t>
      </w:r>
      <w:r w:rsidRPr="0050787C">
        <w:t>and evaluating</w:t>
      </w:r>
      <w:r w:rsidR="00C656BD" w:rsidRPr="0050787C">
        <w:t xml:space="preserve"> </w:t>
      </w:r>
      <w:r w:rsidR="00B90298" w:rsidRPr="0050787C">
        <w:t xml:space="preserve">of </w:t>
      </w:r>
      <w:r w:rsidR="00EC6275" w:rsidRPr="0050787C">
        <w:t>Health and Human Services (</w:t>
      </w:r>
      <w:r w:rsidR="00B90298" w:rsidRPr="0050787C">
        <w:t>HHS</w:t>
      </w:r>
      <w:r w:rsidR="00EC6275" w:rsidRPr="0050787C">
        <w:t>)</w:t>
      </w:r>
      <w:r w:rsidR="00B90298" w:rsidRPr="0050787C">
        <w:t xml:space="preserve"> </w:t>
      </w:r>
      <w:r w:rsidR="00C97894" w:rsidRPr="0050787C">
        <w:t xml:space="preserve">requests </w:t>
      </w:r>
      <w:r w:rsidR="00B90298" w:rsidRPr="0050787C">
        <w:t xml:space="preserve">and CDC </w:t>
      </w:r>
      <w:r w:rsidR="00EC6275" w:rsidRPr="0050787C">
        <w:t>funding opportunity announcements</w:t>
      </w:r>
    </w:p>
    <w:p w:rsidR="00D4580C" w:rsidRPr="0050787C" w:rsidRDefault="00D4580C" w:rsidP="003561F3">
      <w:pPr>
        <w:pStyle w:val="ListParagraph"/>
        <w:numPr>
          <w:ilvl w:val="0"/>
          <w:numId w:val="48"/>
        </w:numPr>
      </w:pPr>
      <w:r w:rsidRPr="0050787C">
        <w:t>developing</w:t>
      </w:r>
      <w:r w:rsidR="00A227F6" w:rsidRPr="0050787C">
        <w:t xml:space="preserve"> of policies and law</w:t>
      </w:r>
      <w:r w:rsidR="00C97894" w:rsidRPr="0050787C">
        <w:t>s</w:t>
      </w:r>
      <w:r w:rsidRPr="0050787C">
        <w:t xml:space="preserve"> </w:t>
      </w:r>
    </w:p>
    <w:p w:rsidR="00067F48" w:rsidRPr="0050787C" w:rsidRDefault="00D4580C" w:rsidP="003561F3">
      <w:pPr>
        <w:pStyle w:val="ListParagraph"/>
        <w:numPr>
          <w:ilvl w:val="0"/>
          <w:numId w:val="48"/>
        </w:numPr>
      </w:pPr>
      <w:r w:rsidRPr="0050787C">
        <w:lastRenderedPageBreak/>
        <w:t>i</w:t>
      </w:r>
      <w:r w:rsidR="002E0193" w:rsidRPr="0050787C">
        <w:t xml:space="preserve">ssues of impact, periodicity of other internal and external collections, data gaps and linking new or existing datasets, need for current, time sensitive information, and information relevant to specific priorities of HHS and CDC will provide the basis </w:t>
      </w:r>
      <w:r w:rsidRPr="0050787C">
        <w:t>for initiation of a collection and many more</w:t>
      </w:r>
      <w:r w:rsidR="00E9496C">
        <w:t>.</w:t>
      </w:r>
    </w:p>
    <w:p w:rsidR="00E9496C" w:rsidRDefault="00E9496C" w:rsidP="0006538F"/>
    <w:p w:rsidR="005863AF" w:rsidRPr="005021D4" w:rsidRDefault="00E9496C" w:rsidP="0006538F">
      <w:r>
        <w:t>P</w:t>
      </w:r>
      <w:r w:rsidR="005863AF" w:rsidRPr="00A37D69">
        <w:t>ro</w:t>
      </w:r>
      <w:r w:rsidR="006A0774" w:rsidRPr="00A37D69">
        <w:t xml:space="preserve">posed </w:t>
      </w:r>
      <w:r w:rsidR="00E5557B">
        <w:t>data collection</w:t>
      </w:r>
      <w:r w:rsidR="006A0774" w:rsidRPr="00A37D69">
        <w:t xml:space="preserve">s </w:t>
      </w:r>
      <w:r w:rsidR="0075111F" w:rsidRPr="00A37D69">
        <w:t>will</w:t>
      </w:r>
      <w:r w:rsidR="0075111F">
        <w:t xml:space="preserve"> conduct</w:t>
      </w:r>
      <w:r>
        <w:t xml:space="preserve"> an extensive search for exi</w:t>
      </w:r>
      <w:r w:rsidR="00A31D0A">
        <w:t>s</w:t>
      </w:r>
      <w:r>
        <w:t>ting</w:t>
      </w:r>
      <w:r w:rsidR="005863AF" w:rsidRPr="00A37D69">
        <w:t xml:space="preserve"> data collected by CDC or its partners.  </w:t>
      </w:r>
      <w:r w:rsidR="00F560A7">
        <w:t>I</w:t>
      </w:r>
      <w:r w:rsidR="005863AF" w:rsidRPr="00A37D69">
        <w:t>t is important to note that CDC efforts under this generic clearance will not be duplicative of</w:t>
      </w:r>
      <w:r w:rsidR="00D04C0B" w:rsidRPr="00A37D69">
        <w:t xml:space="preserve"> </w:t>
      </w:r>
      <w:r w:rsidR="005863AF" w:rsidRPr="00A37D69">
        <w:t>information collections</w:t>
      </w:r>
      <w:r w:rsidR="00D04C0B" w:rsidRPr="00A37D69">
        <w:t xml:space="preserve"> already conducted by ASTHO, NACCHO and other public health organizations. </w:t>
      </w:r>
      <w:r w:rsidR="005863AF" w:rsidRPr="00A37D69">
        <w:t xml:space="preserve">The </w:t>
      </w:r>
      <w:r w:rsidR="00D04C0B" w:rsidRPr="00A37D69">
        <w:t xml:space="preserve">resulting </w:t>
      </w:r>
      <w:r w:rsidR="005863AF" w:rsidRPr="00A37D69">
        <w:t>burden is an uppe</w:t>
      </w:r>
      <w:r w:rsidR="00D04C0B" w:rsidRPr="00A37D69">
        <w:t>r-bound estimate and</w:t>
      </w:r>
      <w:r w:rsidR="005863AF" w:rsidRPr="00A37D69">
        <w:t xml:space="preserve"> will be adjusted as appropriate as CDC uses the collection</w:t>
      </w:r>
      <w:r w:rsidR="00D04C0B" w:rsidRPr="00A37D69">
        <w:t>.</w:t>
      </w:r>
    </w:p>
    <w:p w:rsidR="001251A5" w:rsidRDefault="001251A5" w:rsidP="001251A5"/>
    <w:p w:rsidR="001251A5" w:rsidRDefault="001251A5" w:rsidP="001251A5">
      <w:r w:rsidRPr="001251A5">
        <w:rPr>
          <w:u w:val="single"/>
        </w:rPr>
        <w:t>Identification of Website(s) and Website Content Directed at Children Under 13 Years of</w:t>
      </w:r>
      <w:r w:rsidRPr="001251A5">
        <w:t xml:space="preserve"> Age – The data collection system involves</w:t>
      </w:r>
      <w:r w:rsidR="00A850C9">
        <w:t xml:space="preserve"> </w:t>
      </w:r>
      <w:r w:rsidRPr="001251A5">
        <w:t xml:space="preserve">using </w:t>
      </w:r>
      <w:r w:rsidR="0075111F">
        <w:t>telephone</w:t>
      </w:r>
      <w:r w:rsidR="00A850C9">
        <w:t xml:space="preserve">, in-person, focus groups, </w:t>
      </w:r>
      <w:r w:rsidR="0075111F">
        <w:t xml:space="preserve">and </w:t>
      </w:r>
      <w:r w:rsidR="0075111F" w:rsidRPr="001251A5">
        <w:t>web</w:t>
      </w:r>
      <w:r w:rsidRPr="001251A5">
        <w:t xml:space="preserve">-based </w:t>
      </w:r>
      <w:r w:rsidR="00814D35">
        <w:t>assessment</w:t>
      </w:r>
      <w:r w:rsidRPr="001251A5">
        <w:t>.</w:t>
      </w:r>
      <w:r w:rsidR="00A850C9">
        <w:t xml:space="preserve">  </w:t>
      </w:r>
      <w:r w:rsidRPr="001251A5">
        <w:t xml:space="preserve"> Respondents </w:t>
      </w:r>
      <w:r w:rsidR="00A850C9">
        <w:t xml:space="preserve">using the web-based mechanism </w:t>
      </w:r>
      <w:r w:rsidRPr="001251A5">
        <w:t xml:space="preserve">will be sent a link directing them to the online </w:t>
      </w:r>
      <w:r w:rsidR="00814D35">
        <w:t>assessment</w:t>
      </w:r>
      <w:r w:rsidRPr="001251A5">
        <w:t xml:space="preserve"> only (i.e., not a website). No website content will be directed at children.</w:t>
      </w:r>
    </w:p>
    <w:p w:rsidR="00A850C9" w:rsidRDefault="00A850C9" w:rsidP="001251A5"/>
    <w:p w:rsidR="001251A5" w:rsidRDefault="001251A5" w:rsidP="001251A5"/>
    <w:p w:rsidR="00500300" w:rsidRPr="00202CCB" w:rsidRDefault="00D80B3D" w:rsidP="0006538F">
      <w:pPr>
        <w:pStyle w:val="ListParagraph"/>
        <w:numPr>
          <w:ilvl w:val="0"/>
          <w:numId w:val="5"/>
        </w:numPr>
        <w:rPr>
          <w:b/>
        </w:rPr>
      </w:pPr>
      <w:r w:rsidRPr="00202CCB">
        <w:rPr>
          <w:b/>
        </w:rPr>
        <w:t xml:space="preserve">Purpose and Use of </w:t>
      </w:r>
      <w:r w:rsidR="00202CCB" w:rsidRPr="00202CCB">
        <w:rPr>
          <w:b/>
        </w:rPr>
        <w:t xml:space="preserve">the </w:t>
      </w:r>
      <w:r w:rsidRPr="00202CCB">
        <w:rPr>
          <w:b/>
        </w:rPr>
        <w:t>Information Collection</w:t>
      </w:r>
    </w:p>
    <w:p w:rsidR="0021102B" w:rsidRPr="005021D4" w:rsidRDefault="0021102B" w:rsidP="0006538F">
      <w:pPr>
        <w:pStyle w:val="CommentText"/>
        <w:rPr>
          <w:sz w:val="24"/>
          <w:szCs w:val="24"/>
        </w:rPr>
      </w:pPr>
    </w:p>
    <w:p w:rsidR="00BE791D" w:rsidRPr="005021D4" w:rsidRDefault="00381AE3" w:rsidP="0006538F">
      <w:pPr>
        <w:pStyle w:val="CommentText"/>
        <w:rPr>
          <w:sz w:val="24"/>
          <w:szCs w:val="24"/>
        </w:rPr>
      </w:pPr>
      <w:r w:rsidRPr="00300AD1">
        <w:rPr>
          <w:sz w:val="24"/>
          <w:szCs w:val="24"/>
        </w:rPr>
        <w:t xml:space="preserve">Respondent universe is comprised of </w:t>
      </w:r>
      <w:r w:rsidR="00300AD1" w:rsidRPr="00300AD1">
        <w:rPr>
          <w:sz w:val="24"/>
          <w:szCs w:val="24"/>
        </w:rPr>
        <w:t>STLT</w:t>
      </w:r>
      <w:r w:rsidR="00FC769E">
        <w:rPr>
          <w:sz w:val="24"/>
          <w:szCs w:val="24"/>
        </w:rPr>
        <w:t xml:space="preserve"> governmental</w:t>
      </w:r>
      <w:r w:rsidR="00300AD1" w:rsidRPr="00300AD1">
        <w:rPr>
          <w:sz w:val="24"/>
          <w:szCs w:val="24"/>
        </w:rPr>
        <w:t xml:space="preserve"> staff, </w:t>
      </w:r>
      <w:r w:rsidR="004475D5">
        <w:rPr>
          <w:sz w:val="24"/>
          <w:szCs w:val="24"/>
        </w:rPr>
        <w:t>delegate</w:t>
      </w:r>
      <w:r w:rsidR="00300AD1" w:rsidRPr="00300AD1">
        <w:rPr>
          <w:sz w:val="24"/>
          <w:szCs w:val="24"/>
        </w:rPr>
        <w:t xml:space="preserve"> acting on behalf of a STLT agency involved in the provision of essential public health services in the United States.</w:t>
      </w:r>
      <w:r w:rsidR="00300AD1">
        <w:rPr>
          <w:sz w:val="24"/>
          <w:szCs w:val="24"/>
        </w:rPr>
        <w:t xml:space="preserve"> </w:t>
      </w:r>
      <w:r w:rsidR="00300AD1" w:rsidRPr="00300AD1">
        <w:rPr>
          <w:sz w:val="24"/>
          <w:szCs w:val="24"/>
        </w:rPr>
        <w:t>The STLT agency is represented by a local, state, tribal or t</w:t>
      </w:r>
      <w:r w:rsidR="004475D5">
        <w:rPr>
          <w:sz w:val="24"/>
          <w:szCs w:val="24"/>
        </w:rPr>
        <w:t xml:space="preserve">erritorial governmental entity or delegate </w:t>
      </w:r>
      <w:r w:rsidR="00300AD1" w:rsidRPr="00300AD1">
        <w:rPr>
          <w:sz w:val="24"/>
          <w:szCs w:val="24"/>
        </w:rPr>
        <w:t xml:space="preserve">with a task to improve the public’s health.  </w:t>
      </w:r>
    </w:p>
    <w:p w:rsidR="009A6D3B" w:rsidRPr="005021D4" w:rsidRDefault="009A6D3B" w:rsidP="0006538F">
      <w:pPr>
        <w:pStyle w:val="CommentText"/>
        <w:rPr>
          <w:sz w:val="24"/>
          <w:szCs w:val="24"/>
        </w:rPr>
      </w:pPr>
    </w:p>
    <w:p w:rsidR="00712590" w:rsidRPr="005021D4" w:rsidRDefault="00724E2B" w:rsidP="0006538F">
      <w:pPr>
        <w:pStyle w:val="CommentText"/>
        <w:rPr>
          <w:sz w:val="24"/>
          <w:szCs w:val="24"/>
        </w:rPr>
      </w:pPr>
      <w:r w:rsidRPr="005021D4">
        <w:rPr>
          <w:sz w:val="24"/>
          <w:szCs w:val="24"/>
        </w:rPr>
        <w:t xml:space="preserve">The </w:t>
      </w:r>
      <w:r w:rsidR="00BE791D" w:rsidRPr="005021D4">
        <w:rPr>
          <w:sz w:val="24"/>
          <w:szCs w:val="24"/>
        </w:rPr>
        <w:t xml:space="preserve">scope of data collection </w:t>
      </w:r>
      <w:r w:rsidRPr="005021D4">
        <w:rPr>
          <w:sz w:val="24"/>
          <w:szCs w:val="24"/>
        </w:rPr>
        <w:t xml:space="preserve">is limited to </w:t>
      </w:r>
      <w:r w:rsidR="00BE791D" w:rsidRPr="005021D4">
        <w:rPr>
          <w:sz w:val="24"/>
          <w:szCs w:val="24"/>
        </w:rPr>
        <w:t xml:space="preserve">responsibilities and duties of </w:t>
      </w:r>
      <w:r w:rsidR="00300AD1">
        <w:rPr>
          <w:sz w:val="24"/>
          <w:szCs w:val="24"/>
        </w:rPr>
        <w:t>governmental staff</w:t>
      </w:r>
      <w:r w:rsidR="004475D5">
        <w:rPr>
          <w:sz w:val="24"/>
          <w:szCs w:val="24"/>
        </w:rPr>
        <w:t xml:space="preserve"> or delegate </w:t>
      </w:r>
      <w:r w:rsidRPr="005021D4">
        <w:rPr>
          <w:sz w:val="24"/>
          <w:szCs w:val="24"/>
        </w:rPr>
        <w:t>acting in their official capacity</w:t>
      </w:r>
      <w:r w:rsidR="0006538F">
        <w:rPr>
          <w:sz w:val="24"/>
          <w:szCs w:val="24"/>
        </w:rPr>
        <w:t xml:space="preserve"> in delivering essential public health services</w:t>
      </w:r>
      <w:r w:rsidRPr="005021D4">
        <w:rPr>
          <w:sz w:val="24"/>
          <w:szCs w:val="24"/>
        </w:rPr>
        <w:t xml:space="preserve">. Thus individual data collections that require </w:t>
      </w:r>
      <w:r w:rsidR="00433802">
        <w:rPr>
          <w:sz w:val="24"/>
          <w:szCs w:val="24"/>
        </w:rPr>
        <w:t>institutional review board</w:t>
      </w:r>
      <w:r w:rsidRPr="005021D4">
        <w:rPr>
          <w:sz w:val="24"/>
          <w:szCs w:val="24"/>
        </w:rPr>
        <w:t xml:space="preserve"> review are not covered. </w:t>
      </w:r>
      <w:r w:rsidRPr="00755331">
        <w:rPr>
          <w:sz w:val="24"/>
          <w:szCs w:val="24"/>
        </w:rPr>
        <w:t>OMB will decline individual data collection requests if it include</w:t>
      </w:r>
      <w:r w:rsidR="00BE791D" w:rsidRPr="00755331">
        <w:rPr>
          <w:sz w:val="24"/>
          <w:szCs w:val="24"/>
        </w:rPr>
        <w:t>s</w:t>
      </w:r>
      <w:r w:rsidRPr="00755331">
        <w:rPr>
          <w:sz w:val="24"/>
          <w:szCs w:val="24"/>
        </w:rPr>
        <w:t xml:space="preserve"> respondents that are governmental </w:t>
      </w:r>
      <w:r w:rsidR="00300AD1" w:rsidRPr="00755331">
        <w:rPr>
          <w:sz w:val="24"/>
          <w:szCs w:val="24"/>
        </w:rPr>
        <w:t>staff</w:t>
      </w:r>
      <w:r w:rsidR="0011484F">
        <w:rPr>
          <w:sz w:val="24"/>
          <w:szCs w:val="24"/>
        </w:rPr>
        <w:t xml:space="preserve"> or delegates</w:t>
      </w:r>
      <w:r w:rsidRPr="00755331">
        <w:rPr>
          <w:sz w:val="24"/>
          <w:szCs w:val="24"/>
        </w:rPr>
        <w:t xml:space="preserve"> </w:t>
      </w:r>
      <w:r w:rsidR="00BE791D" w:rsidRPr="00755331">
        <w:rPr>
          <w:sz w:val="24"/>
          <w:szCs w:val="24"/>
        </w:rPr>
        <w:t xml:space="preserve">with </w:t>
      </w:r>
      <w:r w:rsidRPr="00755331">
        <w:rPr>
          <w:sz w:val="24"/>
          <w:szCs w:val="24"/>
        </w:rPr>
        <w:t xml:space="preserve">official </w:t>
      </w:r>
      <w:r w:rsidR="00300AD1" w:rsidRPr="00755331">
        <w:rPr>
          <w:sz w:val="24"/>
          <w:szCs w:val="24"/>
        </w:rPr>
        <w:t>tasks</w:t>
      </w:r>
      <w:r w:rsidRPr="00755331">
        <w:rPr>
          <w:sz w:val="24"/>
          <w:szCs w:val="24"/>
        </w:rPr>
        <w:t xml:space="preserve"> </w:t>
      </w:r>
      <w:r w:rsidR="00BE791D" w:rsidRPr="00755331">
        <w:rPr>
          <w:sz w:val="24"/>
          <w:szCs w:val="24"/>
        </w:rPr>
        <w:t>other than</w:t>
      </w:r>
      <w:r w:rsidRPr="00755331">
        <w:rPr>
          <w:sz w:val="24"/>
          <w:szCs w:val="24"/>
        </w:rPr>
        <w:t xml:space="preserve"> public health.</w:t>
      </w:r>
      <w:r w:rsidR="0075111F">
        <w:rPr>
          <w:sz w:val="24"/>
          <w:szCs w:val="24"/>
        </w:rPr>
        <w:t xml:space="preserve">  </w:t>
      </w:r>
      <w:r w:rsidR="00383B94" w:rsidRPr="003944D8">
        <w:rPr>
          <w:sz w:val="24"/>
          <w:szCs w:val="24"/>
        </w:rPr>
        <w:t xml:space="preserve">The collection will include the following categories </w:t>
      </w:r>
      <w:r w:rsidR="004A7FBE" w:rsidRPr="003944D8">
        <w:rPr>
          <w:sz w:val="24"/>
          <w:szCs w:val="24"/>
        </w:rPr>
        <w:t>of STLT governmental</w:t>
      </w:r>
      <w:r w:rsidR="00EF00D9" w:rsidRPr="003944D8">
        <w:rPr>
          <w:sz w:val="24"/>
          <w:szCs w:val="24"/>
        </w:rPr>
        <w:t xml:space="preserve"> officials</w:t>
      </w:r>
      <w:r w:rsidR="006F00D5" w:rsidRPr="003944D8">
        <w:rPr>
          <w:sz w:val="24"/>
          <w:szCs w:val="24"/>
        </w:rPr>
        <w:t xml:space="preserve">: </w:t>
      </w:r>
      <w:r w:rsidR="0093127E" w:rsidRPr="003944D8">
        <w:rPr>
          <w:sz w:val="24"/>
          <w:szCs w:val="24"/>
        </w:rPr>
        <w:t>1) State,</w:t>
      </w:r>
      <w:r w:rsidR="006F7FE1">
        <w:rPr>
          <w:sz w:val="24"/>
          <w:szCs w:val="24"/>
        </w:rPr>
        <w:t xml:space="preserve"> Tribal, Local, and </w:t>
      </w:r>
      <w:r w:rsidR="0093127E" w:rsidRPr="003944D8">
        <w:rPr>
          <w:sz w:val="24"/>
          <w:szCs w:val="24"/>
        </w:rPr>
        <w:t xml:space="preserve">Territorial </w:t>
      </w:r>
      <w:r w:rsidR="003944D8" w:rsidRPr="003944D8">
        <w:rPr>
          <w:sz w:val="24"/>
          <w:szCs w:val="24"/>
        </w:rPr>
        <w:t>governmental staff</w:t>
      </w:r>
      <w:r w:rsidR="004475D5">
        <w:rPr>
          <w:sz w:val="24"/>
          <w:szCs w:val="24"/>
        </w:rPr>
        <w:t xml:space="preserve"> or delegate</w:t>
      </w:r>
      <w:r w:rsidR="00B73372" w:rsidRPr="003944D8">
        <w:rPr>
          <w:sz w:val="24"/>
          <w:szCs w:val="24"/>
        </w:rPr>
        <w:t>;</w:t>
      </w:r>
      <w:r w:rsidR="00883446">
        <w:rPr>
          <w:sz w:val="24"/>
          <w:szCs w:val="24"/>
        </w:rPr>
        <w:t xml:space="preserve"> and </w:t>
      </w:r>
      <w:r w:rsidR="00B73372" w:rsidRPr="003944D8">
        <w:rPr>
          <w:sz w:val="24"/>
          <w:szCs w:val="24"/>
        </w:rPr>
        <w:t xml:space="preserve">2) </w:t>
      </w:r>
      <w:r w:rsidR="003944D8" w:rsidRPr="003944D8">
        <w:rPr>
          <w:sz w:val="24"/>
          <w:szCs w:val="24"/>
        </w:rPr>
        <w:t>Local/County/</w:t>
      </w:r>
      <w:r w:rsidR="00B73372" w:rsidRPr="003944D8">
        <w:rPr>
          <w:sz w:val="24"/>
          <w:szCs w:val="24"/>
        </w:rPr>
        <w:t xml:space="preserve">Municipal/City </w:t>
      </w:r>
      <w:r w:rsidR="003944D8" w:rsidRPr="003944D8">
        <w:rPr>
          <w:sz w:val="24"/>
          <w:szCs w:val="24"/>
        </w:rPr>
        <w:t>government staff</w:t>
      </w:r>
      <w:r w:rsidR="004475D5">
        <w:rPr>
          <w:sz w:val="24"/>
          <w:szCs w:val="24"/>
        </w:rPr>
        <w:t xml:space="preserve"> or delegate</w:t>
      </w:r>
      <w:r w:rsidR="0093127E" w:rsidRPr="003944D8">
        <w:rPr>
          <w:sz w:val="24"/>
          <w:szCs w:val="24"/>
        </w:rPr>
        <w:t>.</w:t>
      </w:r>
      <w:r w:rsidR="0093127E" w:rsidRPr="005021D4">
        <w:rPr>
          <w:sz w:val="24"/>
          <w:szCs w:val="24"/>
        </w:rPr>
        <w:t xml:space="preserve"> </w:t>
      </w:r>
    </w:p>
    <w:p w:rsidR="00991C45" w:rsidRPr="005021D4" w:rsidRDefault="00991C45" w:rsidP="0006538F">
      <w:pPr>
        <w:pStyle w:val="CommentText"/>
        <w:rPr>
          <w:sz w:val="24"/>
          <w:szCs w:val="24"/>
        </w:rPr>
      </w:pPr>
    </w:p>
    <w:p w:rsidR="0075111F" w:rsidRDefault="00383B94" w:rsidP="00FE55D2">
      <w:pPr>
        <w:pStyle w:val="CommentText"/>
        <w:rPr>
          <w:sz w:val="24"/>
          <w:szCs w:val="24"/>
        </w:rPr>
      </w:pPr>
      <w:r w:rsidRPr="00FE55D2">
        <w:rPr>
          <w:sz w:val="24"/>
          <w:szCs w:val="24"/>
        </w:rPr>
        <w:t xml:space="preserve">State, territorial and tribal </w:t>
      </w:r>
      <w:r w:rsidR="00FC769E">
        <w:rPr>
          <w:sz w:val="24"/>
          <w:szCs w:val="24"/>
        </w:rPr>
        <w:t>government agency</w:t>
      </w:r>
      <w:r w:rsidR="00FE55D2" w:rsidRPr="00FE55D2">
        <w:rPr>
          <w:sz w:val="24"/>
          <w:szCs w:val="24"/>
        </w:rPr>
        <w:t xml:space="preserve"> staff</w:t>
      </w:r>
      <w:r w:rsidR="00883446">
        <w:rPr>
          <w:sz w:val="24"/>
          <w:szCs w:val="24"/>
        </w:rPr>
        <w:t>s</w:t>
      </w:r>
      <w:r w:rsidR="00FE55D2" w:rsidRPr="00FE55D2">
        <w:rPr>
          <w:sz w:val="24"/>
          <w:szCs w:val="24"/>
        </w:rPr>
        <w:t xml:space="preserve"> </w:t>
      </w:r>
      <w:r w:rsidR="00883446">
        <w:rPr>
          <w:sz w:val="24"/>
          <w:szCs w:val="24"/>
        </w:rPr>
        <w:t xml:space="preserve">or delegates </w:t>
      </w:r>
      <w:r w:rsidRPr="00FE55D2">
        <w:rPr>
          <w:sz w:val="24"/>
          <w:szCs w:val="24"/>
        </w:rPr>
        <w:t>are in a unique position to provide CDC</w:t>
      </w:r>
      <w:r w:rsidR="00BF4BC6">
        <w:rPr>
          <w:sz w:val="24"/>
          <w:szCs w:val="24"/>
        </w:rPr>
        <w:t xml:space="preserve"> with the following</w:t>
      </w:r>
      <w:r w:rsidRPr="00FE55D2">
        <w:rPr>
          <w:sz w:val="24"/>
          <w:szCs w:val="24"/>
        </w:rPr>
        <w:t xml:space="preserve"> information </w:t>
      </w:r>
      <w:r w:rsidR="00BF4BC6">
        <w:rPr>
          <w:sz w:val="24"/>
          <w:szCs w:val="24"/>
        </w:rPr>
        <w:t xml:space="preserve">for a </w:t>
      </w:r>
      <w:r w:rsidR="0075111F">
        <w:rPr>
          <w:sz w:val="24"/>
          <w:szCs w:val="24"/>
        </w:rPr>
        <w:t xml:space="preserve">given </w:t>
      </w:r>
      <w:r w:rsidR="0075111F" w:rsidRPr="00FE55D2">
        <w:rPr>
          <w:sz w:val="24"/>
          <w:szCs w:val="24"/>
        </w:rPr>
        <w:t>jurisdiction</w:t>
      </w:r>
      <w:r w:rsidR="001E2581">
        <w:rPr>
          <w:sz w:val="24"/>
          <w:szCs w:val="24"/>
        </w:rPr>
        <w:t xml:space="preserve">: </w:t>
      </w:r>
      <w:r w:rsidRPr="00FE55D2">
        <w:rPr>
          <w:sz w:val="24"/>
          <w:szCs w:val="24"/>
        </w:rPr>
        <w:t xml:space="preserve"> public health threats</w:t>
      </w:r>
      <w:r w:rsidR="00B01BDB" w:rsidRPr="00FE55D2">
        <w:rPr>
          <w:sz w:val="24"/>
          <w:szCs w:val="24"/>
        </w:rPr>
        <w:t>,</w:t>
      </w:r>
      <w:r w:rsidR="003F2648" w:rsidRPr="00FE55D2">
        <w:rPr>
          <w:sz w:val="24"/>
          <w:szCs w:val="24"/>
        </w:rPr>
        <w:t xml:space="preserve"> </w:t>
      </w:r>
      <w:r w:rsidR="00B01BDB" w:rsidRPr="00FE55D2">
        <w:rPr>
          <w:sz w:val="24"/>
          <w:szCs w:val="24"/>
        </w:rPr>
        <w:t>status</w:t>
      </w:r>
      <w:r w:rsidRPr="00FE55D2">
        <w:rPr>
          <w:sz w:val="24"/>
          <w:szCs w:val="24"/>
        </w:rPr>
        <w:t xml:space="preserve"> of public health infrastructure</w:t>
      </w:r>
      <w:r w:rsidR="00BF4BC6">
        <w:rPr>
          <w:sz w:val="24"/>
          <w:szCs w:val="24"/>
        </w:rPr>
        <w:t>,</w:t>
      </w:r>
      <w:r w:rsidR="004A7FBE" w:rsidRPr="00FE55D2">
        <w:rPr>
          <w:sz w:val="24"/>
          <w:szCs w:val="24"/>
        </w:rPr>
        <w:t xml:space="preserve"> </w:t>
      </w:r>
      <w:r w:rsidRPr="00FE55D2">
        <w:rPr>
          <w:sz w:val="24"/>
          <w:szCs w:val="24"/>
        </w:rPr>
        <w:t>workforce and financing at state, territorial and tribal level</w:t>
      </w:r>
      <w:r w:rsidR="00BF4BC6">
        <w:rPr>
          <w:sz w:val="24"/>
          <w:szCs w:val="24"/>
        </w:rPr>
        <w:t>s</w:t>
      </w:r>
      <w:r w:rsidR="006B37FB" w:rsidRPr="00FE55D2">
        <w:rPr>
          <w:sz w:val="24"/>
          <w:szCs w:val="24"/>
        </w:rPr>
        <w:t>.</w:t>
      </w:r>
      <w:r w:rsidR="004A7FBE" w:rsidRPr="00FE55D2">
        <w:rPr>
          <w:sz w:val="24"/>
          <w:szCs w:val="24"/>
        </w:rPr>
        <w:t xml:space="preserve"> </w:t>
      </w:r>
      <w:r w:rsidR="00B57938" w:rsidRPr="00FE55D2">
        <w:rPr>
          <w:sz w:val="24"/>
          <w:szCs w:val="24"/>
        </w:rPr>
        <w:t>For that reason</w:t>
      </w:r>
      <w:r w:rsidR="00205C0C" w:rsidRPr="00FE55D2">
        <w:rPr>
          <w:sz w:val="24"/>
          <w:szCs w:val="24"/>
        </w:rPr>
        <w:t xml:space="preserve"> </w:t>
      </w:r>
      <w:r w:rsidRPr="00FE55D2">
        <w:rPr>
          <w:sz w:val="24"/>
          <w:szCs w:val="24"/>
        </w:rPr>
        <w:t xml:space="preserve">CDC will </w:t>
      </w:r>
      <w:r w:rsidR="00883446">
        <w:rPr>
          <w:sz w:val="24"/>
          <w:szCs w:val="24"/>
        </w:rPr>
        <w:t>collect data from</w:t>
      </w:r>
      <w:r w:rsidRPr="00FE55D2">
        <w:rPr>
          <w:sz w:val="24"/>
          <w:szCs w:val="24"/>
        </w:rPr>
        <w:t xml:space="preserve"> that category </w:t>
      </w:r>
      <w:r w:rsidR="00205C0C" w:rsidRPr="00FE55D2">
        <w:rPr>
          <w:sz w:val="24"/>
          <w:szCs w:val="24"/>
        </w:rPr>
        <w:t xml:space="preserve">if, for example, </w:t>
      </w:r>
      <w:r w:rsidR="006B37FB" w:rsidRPr="00FE55D2">
        <w:rPr>
          <w:sz w:val="24"/>
          <w:szCs w:val="24"/>
        </w:rPr>
        <w:t>the assessment of</w:t>
      </w:r>
      <w:r w:rsidRPr="00FE55D2">
        <w:rPr>
          <w:sz w:val="24"/>
          <w:szCs w:val="24"/>
        </w:rPr>
        <w:t xml:space="preserve"> the magnitude of a particular public health problem </w:t>
      </w:r>
      <w:r w:rsidR="006B37FB" w:rsidRPr="00FE55D2">
        <w:rPr>
          <w:sz w:val="24"/>
          <w:szCs w:val="24"/>
        </w:rPr>
        <w:t xml:space="preserve">is needed </w:t>
      </w:r>
      <w:r w:rsidR="009411DB" w:rsidRPr="00FE55D2">
        <w:rPr>
          <w:sz w:val="24"/>
          <w:szCs w:val="24"/>
        </w:rPr>
        <w:t xml:space="preserve">(surveillance), </w:t>
      </w:r>
      <w:r w:rsidR="006B37FB" w:rsidRPr="00FE55D2">
        <w:rPr>
          <w:sz w:val="24"/>
          <w:szCs w:val="24"/>
        </w:rPr>
        <w:t xml:space="preserve">or when </w:t>
      </w:r>
      <w:r w:rsidR="00814D35">
        <w:rPr>
          <w:sz w:val="24"/>
          <w:szCs w:val="24"/>
        </w:rPr>
        <w:t>assessment</w:t>
      </w:r>
      <w:r w:rsidR="006B37FB" w:rsidRPr="00FE55D2">
        <w:rPr>
          <w:sz w:val="24"/>
          <w:szCs w:val="24"/>
        </w:rPr>
        <w:t xml:space="preserve"> of the </w:t>
      </w:r>
      <w:r w:rsidRPr="00FE55D2">
        <w:rPr>
          <w:sz w:val="24"/>
          <w:szCs w:val="24"/>
        </w:rPr>
        <w:t xml:space="preserve">jurisdiction’s capacity to respond </w:t>
      </w:r>
      <w:r w:rsidR="004A7FBE" w:rsidRPr="00FE55D2">
        <w:rPr>
          <w:sz w:val="24"/>
          <w:szCs w:val="24"/>
        </w:rPr>
        <w:t>to a particular health problem</w:t>
      </w:r>
      <w:r w:rsidR="009411DB" w:rsidRPr="00FE55D2">
        <w:rPr>
          <w:sz w:val="24"/>
          <w:szCs w:val="24"/>
        </w:rPr>
        <w:t xml:space="preserve"> (assessment and performance management)</w:t>
      </w:r>
      <w:r w:rsidR="006B37FB" w:rsidRPr="00FE55D2">
        <w:rPr>
          <w:sz w:val="24"/>
          <w:szCs w:val="24"/>
        </w:rPr>
        <w:t xml:space="preserve"> is warranted</w:t>
      </w:r>
      <w:r w:rsidR="00205C0C" w:rsidRPr="00FE55D2">
        <w:rPr>
          <w:sz w:val="24"/>
          <w:szCs w:val="24"/>
        </w:rPr>
        <w:t>, etc.</w:t>
      </w:r>
      <w:r w:rsidR="004A7FBE" w:rsidRPr="00FE55D2">
        <w:rPr>
          <w:sz w:val="24"/>
          <w:szCs w:val="24"/>
        </w:rPr>
        <w:t xml:space="preserve"> </w:t>
      </w:r>
      <w:r w:rsidRPr="00FE55D2">
        <w:rPr>
          <w:sz w:val="24"/>
          <w:szCs w:val="24"/>
        </w:rPr>
        <w:t xml:space="preserve"> </w:t>
      </w:r>
    </w:p>
    <w:p w:rsidR="0075111F" w:rsidRDefault="0075111F" w:rsidP="00FE55D2">
      <w:pPr>
        <w:pStyle w:val="CommentText"/>
        <w:rPr>
          <w:sz w:val="24"/>
          <w:szCs w:val="24"/>
        </w:rPr>
      </w:pPr>
    </w:p>
    <w:p w:rsidR="00FE55D2" w:rsidRDefault="00FE55D2" w:rsidP="00FE55D2">
      <w:pPr>
        <w:pStyle w:val="CommentText"/>
        <w:rPr>
          <w:sz w:val="24"/>
          <w:szCs w:val="24"/>
        </w:rPr>
      </w:pPr>
      <w:r w:rsidRPr="0006538F">
        <w:rPr>
          <w:sz w:val="24"/>
          <w:szCs w:val="24"/>
        </w:rPr>
        <w:t xml:space="preserve">County and municipal/city </w:t>
      </w:r>
      <w:r>
        <w:rPr>
          <w:sz w:val="24"/>
          <w:szCs w:val="24"/>
        </w:rPr>
        <w:t>governmental staff</w:t>
      </w:r>
      <w:r w:rsidR="00883446">
        <w:rPr>
          <w:sz w:val="24"/>
          <w:szCs w:val="24"/>
        </w:rPr>
        <w:t>s or delegates</w:t>
      </w:r>
      <w:r w:rsidRPr="0006538F">
        <w:rPr>
          <w:sz w:val="24"/>
          <w:szCs w:val="24"/>
        </w:rPr>
        <w:t xml:space="preserve"> are at the forefront of public health service delivery and emergency response. Examples of </w:t>
      </w:r>
      <w:r w:rsidR="00E5557B">
        <w:rPr>
          <w:sz w:val="24"/>
          <w:szCs w:val="24"/>
        </w:rPr>
        <w:t>data collection</w:t>
      </w:r>
      <w:r w:rsidRPr="0006538F">
        <w:rPr>
          <w:sz w:val="24"/>
          <w:szCs w:val="24"/>
        </w:rPr>
        <w:t xml:space="preserve">s for that category may include, but not be limited to assessment of their performance in provision of public health services, progress they are making in accreditation process, new policy development initiatives, etc.  </w:t>
      </w:r>
    </w:p>
    <w:p w:rsidR="00883446" w:rsidRDefault="00883446" w:rsidP="00FE55D2">
      <w:pPr>
        <w:pStyle w:val="CommentText"/>
        <w:rPr>
          <w:sz w:val="24"/>
          <w:szCs w:val="24"/>
        </w:rPr>
      </w:pPr>
    </w:p>
    <w:p w:rsidR="0036445E" w:rsidRDefault="006F7FE1" w:rsidP="0036445E">
      <w:pPr>
        <w:pStyle w:val="CommentText"/>
        <w:rPr>
          <w:sz w:val="24"/>
          <w:szCs w:val="24"/>
        </w:rPr>
      </w:pPr>
      <w:r w:rsidRPr="006F7FE1">
        <w:rPr>
          <w:sz w:val="24"/>
          <w:szCs w:val="24"/>
        </w:rPr>
        <w:t>CDC will conduct brief data collections, across a range of public health topics related to essential public health services, using standard modes of administration (e.g., phone, web, e-mail, and in person).</w:t>
      </w:r>
      <w:r w:rsidR="00883446" w:rsidRPr="00883446">
        <w:rPr>
          <w:sz w:val="24"/>
          <w:szCs w:val="24"/>
        </w:rPr>
        <w:t xml:space="preserve"> </w:t>
      </w:r>
      <w:r>
        <w:rPr>
          <w:sz w:val="24"/>
          <w:szCs w:val="24"/>
        </w:rPr>
        <w:t xml:space="preserve"> </w:t>
      </w:r>
      <w:r w:rsidRPr="006F7FE1">
        <w:rPr>
          <w:sz w:val="24"/>
          <w:szCs w:val="24"/>
        </w:rPr>
        <w:t>Information will be used to assess situational awareness of current public health emergencies; make decisions that affect planning, response and recovery activities of subsequent emergencies;  fill CDC gaps in knowledge of programs and/or STLT governments that will strengthen surveillance, epidemiology, and laboratory science; improve CDC’s support and technical assistance to  states and communities.</w:t>
      </w:r>
    </w:p>
    <w:p w:rsidR="006F7FE1" w:rsidRDefault="006F7FE1" w:rsidP="0036445E">
      <w:pPr>
        <w:pStyle w:val="CommentText"/>
        <w:rPr>
          <w:sz w:val="24"/>
          <w:szCs w:val="24"/>
        </w:rPr>
      </w:pPr>
    </w:p>
    <w:p w:rsidR="0036445E" w:rsidRPr="00BD4B70" w:rsidRDefault="0036445E" w:rsidP="0036445E">
      <w:pPr>
        <w:pStyle w:val="CommentText"/>
        <w:rPr>
          <w:sz w:val="24"/>
          <w:szCs w:val="24"/>
        </w:rPr>
      </w:pPr>
      <w:r w:rsidRPr="00495224">
        <w:rPr>
          <w:sz w:val="24"/>
          <w:szCs w:val="24"/>
        </w:rPr>
        <w:t>In general, we expect that these collections will be solicited from governmental staff</w:t>
      </w:r>
      <w:r w:rsidR="006F7FE1">
        <w:rPr>
          <w:sz w:val="24"/>
          <w:szCs w:val="24"/>
        </w:rPr>
        <w:t xml:space="preserve"> or delegate</w:t>
      </w:r>
      <w:r w:rsidRPr="00495224">
        <w:rPr>
          <w:sz w:val="24"/>
          <w:szCs w:val="24"/>
        </w:rPr>
        <w:t>, in a category (e.g., all epidemiologists</w:t>
      </w:r>
      <w:r w:rsidR="00495224" w:rsidRPr="00495224">
        <w:rPr>
          <w:sz w:val="24"/>
          <w:szCs w:val="24"/>
        </w:rPr>
        <w:t xml:space="preserve">, food safety program manager, laboratory technicians or </w:t>
      </w:r>
      <w:r w:rsidR="006F7FE1">
        <w:rPr>
          <w:sz w:val="24"/>
          <w:szCs w:val="24"/>
        </w:rPr>
        <w:t>delegate</w:t>
      </w:r>
      <w:r w:rsidRPr="00495224">
        <w:rPr>
          <w:sz w:val="24"/>
          <w:szCs w:val="24"/>
        </w:rPr>
        <w:t>, or to the subset of professional staff) for which a particular health problem was thought to be relevant</w:t>
      </w:r>
      <w:r w:rsidR="00495224" w:rsidRPr="00495224">
        <w:rPr>
          <w:sz w:val="24"/>
          <w:szCs w:val="24"/>
        </w:rPr>
        <w:t xml:space="preserve">. </w:t>
      </w:r>
      <w:r w:rsidRPr="00495224">
        <w:rPr>
          <w:sz w:val="24"/>
          <w:szCs w:val="24"/>
        </w:rPr>
        <w:t xml:space="preserve"> This collection of information will employ statistical methods for </w:t>
      </w:r>
      <w:r w:rsidR="001B6EA3">
        <w:rPr>
          <w:sz w:val="24"/>
          <w:szCs w:val="24"/>
        </w:rPr>
        <w:t>analysis</w:t>
      </w:r>
      <w:r w:rsidRPr="00495224">
        <w:rPr>
          <w:sz w:val="24"/>
          <w:szCs w:val="24"/>
        </w:rPr>
        <w:t xml:space="preserve"> as described in section B.</w:t>
      </w:r>
      <w:r w:rsidRPr="00BD4B70">
        <w:rPr>
          <w:sz w:val="24"/>
          <w:szCs w:val="24"/>
        </w:rPr>
        <w:t xml:space="preserve">  </w:t>
      </w:r>
    </w:p>
    <w:p w:rsidR="0075111F" w:rsidRDefault="0075111F" w:rsidP="00EA1D00">
      <w:pPr>
        <w:autoSpaceDE w:val="0"/>
        <w:autoSpaceDN w:val="0"/>
        <w:adjustRightInd w:val="0"/>
      </w:pPr>
    </w:p>
    <w:p w:rsidR="00EA1D00" w:rsidRPr="00EA1D00" w:rsidRDefault="00EA1D00" w:rsidP="00EA1D00">
      <w:pPr>
        <w:autoSpaceDE w:val="0"/>
        <w:autoSpaceDN w:val="0"/>
        <w:adjustRightInd w:val="0"/>
      </w:pPr>
      <w:r>
        <w:t>Data collections will gather</w:t>
      </w:r>
      <w:r w:rsidRPr="00BD4B70">
        <w:t xml:space="preserve"> information on administration, quality, quantity, improvement, inputs, activities, outputs, and outcomes related to delivery of </w:t>
      </w:r>
      <w:r>
        <w:t xml:space="preserve">essential </w:t>
      </w:r>
      <w:r w:rsidRPr="00BD4B70">
        <w:t>public health services.</w:t>
      </w:r>
      <w:r w:rsidRPr="005021D4">
        <w:t xml:space="preserve">  </w:t>
      </w:r>
      <w:r>
        <w:t xml:space="preserve"> Q</w:t>
      </w:r>
      <w:r w:rsidRPr="005021D4">
        <w:t xml:space="preserve">uestions will be formulated around one or more of the three themes of </w:t>
      </w:r>
      <w:r w:rsidRPr="005021D4">
        <w:rPr>
          <w:bCs/>
        </w:rPr>
        <w:t xml:space="preserve">the ten essential public health services listed below. </w:t>
      </w:r>
    </w:p>
    <w:p w:rsidR="005F264F" w:rsidRDefault="005F264F" w:rsidP="00C44E34">
      <w:pPr>
        <w:autoSpaceDE w:val="0"/>
        <w:autoSpaceDN w:val="0"/>
        <w:adjustRightInd w:val="0"/>
        <w:outlineLvl w:val="0"/>
        <w:rPr>
          <w:b/>
        </w:rPr>
      </w:pPr>
    </w:p>
    <w:p w:rsidR="00500300" w:rsidRPr="00C44E34" w:rsidRDefault="003A1D01" w:rsidP="00C44E34">
      <w:pPr>
        <w:autoSpaceDE w:val="0"/>
        <w:autoSpaceDN w:val="0"/>
        <w:adjustRightInd w:val="0"/>
        <w:outlineLvl w:val="0"/>
        <w:rPr>
          <w:b/>
        </w:rPr>
      </w:pPr>
      <w:r w:rsidRPr="00C44E34">
        <w:rPr>
          <w:b/>
        </w:rPr>
        <w:t xml:space="preserve">Assessment </w:t>
      </w:r>
    </w:p>
    <w:p w:rsidR="00500300" w:rsidRPr="005021D4" w:rsidRDefault="003A1D01" w:rsidP="0006538F">
      <w:pPr>
        <w:pStyle w:val="ListParagraph"/>
        <w:numPr>
          <w:ilvl w:val="0"/>
          <w:numId w:val="21"/>
        </w:numPr>
        <w:autoSpaceDE w:val="0"/>
        <w:autoSpaceDN w:val="0"/>
        <w:adjustRightInd w:val="0"/>
        <w:ind w:left="360"/>
      </w:pPr>
      <w:r w:rsidRPr="005021D4">
        <w:t>Monitoring health status to identify community health problems</w:t>
      </w:r>
    </w:p>
    <w:p w:rsidR="00500300" w:rsidRPr="005021D4" w:rsidRDefault="003A1D01" w:rsidP="0006538F">
      <w:pPr>
        <w:pStyle w:val="ListParagraph"/>
        <w:numPr>
          <w:ilvl w:val="0"/>
          <w:numId w:val="21"/>
        </w:numPr>
        <w:autoSpaceDE w:val="0"/>
        <w:autoSpaceDN w:val="0"/>
        <w:adjustRightInd w:val="0"/>
        <w:ind w:left="360"/>
      </w:pPr>
      <w:r w:rsidRPr="005021D4">
        <w:t>Diagnosing and  investigating  health problems and health hazards in the community</w:t>
      </w:r>
    </w:p>
    <w:p w:rsidR="00500300" w:rsidRPr="005021D4" w:rsidRDefault="003A1D01" w:rsidP="0006538F">
      <w:pPr>
        <w:pStyle w:val="ListParagraph"/>
        <w:numPr>
          <w:ilvl w:val="0"/>
          <w:numId w:val="21"/>
        </w:numPr>
        <w:autoSpaceDE w:val="0"/>
        <w:autoSpaceDN w:val="0"/>
        <w:adjustRightInd w:val="0"/>
        <w:ind w:left="360"/>
      </w:pPr>
      <w:r w:rsidRPr="005021D4">
        <w:t>Evaluating effectiveness, accessibility, and quality of personal and population-based health services</w:t>
      </w:r>
    </w:p>
    <w:p w:rsidR="0021102B" w:rsidRPr="00C44E34" w:rsidRDefault="003A1D01" w:rsidP="00C44E34">
      <w:pPr>
        <w:autoSpaceDE w:val="0"/>
        <w:autoSpaceDN w:val="0"/>
        <w:adjustRightInd w:val="0"/>
        <w:outlineLvl w:val="0"/>
        <w:rPr>
          <w:b/>
        </w:rPr>
      </w:pPr>
      <w:r w:rsidRPr="00C44E34">
        <w:rPr>
          <w:b/>
        </w:rPr>
        <w:t>Policy Development</w:t>
      </w:r>
      <w:r w:rsidR="00C44E34" w:rsidRPr="00C44E34">
        <w:rPr>
          <w:b/>
        </w:rPr>
        <w:t xml:space="preserve"> </w:t>
      </w:r>
    </w:p>
    <w:p w:rsidR="00500300" w:rsidRPr="005021D4" w:rsidRDefault="003A1D01" w:rsidP="0006538F">
      <w:pPr>
        <w:pStyle w:val="ListParagraph"/>
        <w:numPr>
          <w:ilvl w:val="0"/>
          <w:numId w:val="20"/>
        </w:numPr>
        <w:autoSpaceDE w:val="0"/>
        <w:autoSpaceDN w:val="0"/>
        <w:adjustRightInd w:val="0"/>
        <w:ind w:left="360"/>
      </w:pPr>
      <w:r w:rsidRPr="005021D4">
        <w:t>Development of policies and plans that support individual and community health efforts</w:t>
      </w:r>
    </w:p>
    <w:p w:rsidR="00500300" w:rsidRPr="005021D4" w:rsidRDefault="003A1D01" w:rsidP="0006538F">
      <w:pPr>
        <w:pStyle w:val="ListParagraph"/>
        <w:numPr>
          <w:ilvl w:val="0"/>
          <w:numId w:val="20"/>
        </w:numPr>
        <w:autoSpaceDE w:val="0"/>
        <w:autoSpaceDN w:val="0"/>
        <w:adjustRightInd w:val="0"/>
        <w:ind w:left="360"/>
      </w:pPr>
      <w:r w:rsidRPr="005021D4">
        <w:t>Enforcement of laws and regulations that protect health and ensure safety.</w:t>
      </w:r>
    </w:p>
    <w:p w:rsidR="00500300" w:rsidRPr="005021D4" w:rsidRDefault="003A1D01" w:rsidP="0006538F">
      <w:pPr>
        <w:pStyle w:val="ListParagraph"/>
        <w:numPr>
          <w:ilvl w:val="0"/>
          <w:numId w:val="20"/>
        </w:numPr>
        <w:autoSpaceDE w:val="0"/>
        <w:autoSpaceDN w:val="0"/>
        <w:adjustRightInd w:val="0"/>
        <w:ind w:left="360"/>
      </w:pPr>
      <w:r w:rsidRPr="005021D4">
        <w:t>Research for new insights and innovative solutions to health problems</w:t>
      </w:r>
    </w:p>
    <w:p w:rsidR="00C44E34" w:rsidRPr="00C44E34" w:rsidRDefault="003A1D01" w:rsidP="00C44E34">
      <w:pPr>
        <w:autoSpaceDE w:val="0"/>
        <w:autoSpaceDN w:val="0"/>
        <w:adjustRightInd w:val="0"/>
        <w:outlineLvl w:val="0"/>
        <w:rPr>
          <w:b/>
        </w:rPr>
      </w:pPr>
      <w:r w:rsidRPr="00C44E34">
        <w:rPr>
          <w:b/>
        </w:rPr>
        <w:t>Assurance</w:t>
      </w:r>
      <w:r w:rsidR="0021102B" w:rsidRPr="00C44E34">
        <w:rPr>
          <w:b/>
        </w:rPr>
        <w:t xml:space="preserve"> </w:t>
      </w:r>
    </w:p>
    <w:p w:rsidR="00500300" w:rsidRPr="005021D4" w:rsidRDefault="00D34BB6" w:rsidP="0006538F">
      <w:pPr>
        <w:pStyle w:val="ListParagraph"/>
        <w:numPr>
          <w:ilvl w:val="0"/>
          <w:numId w:val="44"/>
        </w:numPr>
        <w:autoSpaceDE w:val="0"/>
        <w:autoSpaceDN w:val="0"/>
        <w:adjustRightInd w:val="0"/>
        <w:ind w:left="360"/>
        <w:outlineLvl w:val="0"/>
      </w:pPr>
      <w:r>
        <w:t>L</w:t>
      </w:r>
      <w:r w:rsidR="003A1D01" w:rsidRPr="005021D4">
        <w:t>inking people to needed personal health services and assure the provision of health care when otherwise unavailable</w:t>
      </w:r>
    </w:p>
    <w:p w:rsidR="00500300" w:rsidRPr="005021D4" w:rsidRDefault="003A1D01" w:rsidP="0006538F">
      <w:pPr>
        <w:pStyle w:val="ListParagraph"/>
        <w:numPr>
          <w:ilvl w:val="0"/>
          <w:numId w:val="19"/>
        </w:numPr>
        <w:autoSpaceDE w:val="0"/>
        <w:autoSpaceDN w:val="0"/>
        <w:adjustRightInd w:val="0"/>
        <w:ind w:left="360"/>
      </w:pPr>
      <w:r w:rsidRPr="005021D4">
        <w:t>Assuring a competent public health and personal health care workforce</w:t>
      </w:r>
    </w:p>
    <w:p w:rsidR="00500300" w:rsidRPr="005021D4" w:rsidRDefault="003A1D01" w:rsidP="0006538F">
      <w:pPr>
        <w:pStyle w:val="ListParagraph"/>
        <w:numPr>
          <w:ilvl w:val="0"/>
          <w:numId w:val="19"/>
        </w:numPr>
        <w:autoSpaceDE w:val="0"/>
        <w:autoSpaceDN w:val="0"/>
        <w:adjustRightInd w:val="0"/>
        <w:ind w:left="360"/>
      </w:pPr>
      <w:r w:rsidRPr="005021D4">
        <w:t>Informing, educating, and empowering  people about health issues</w:t>
      </w:r>
    </w:p>
    <w:p w:rsidR="00500300" w:rsidRPr="005021D4" w:rsidRDefault="003A1D01" w:rsidP="0006538F">
      <w:pPr>
        <w:pStyle w:val="ListParagraph"/>
        <w:numPr>
          <w:ilvl w:val="0"/>
          <w:numId w:val="19"/>
        </w:numPr>
        <w:autoSpaceDE w:val="0"/>
        <w:autoSpaceDN w:val="0"/>
        <w:adjustRightInd w:val="0"/>
        <w:ind w:left="360"/>
      </w:pPr>
      <w:r w:rsidRPr="005021D4">
        <w:t>Mobilizing community partnerships to identify and solve health problems</w:t>
      </w:r>
    </w:p>
    <w:p w:rsidR="00964FD8" w:rsidRPr="00280D6D" w:rsidRDefault="00CA1E2D" w:rsidP="0006538F">
      <w:pPr>
        <w:spacing w:before="100" w:beforeAutospacing="1" w:after="100" w:afterAutospacing="1"/>
      </w:pPr>
      <w:r w:rsidRPr="00280D6D">
        <w:t xml:space="preserve">In general, CDC does not expect these collections to yield data that can be generalized, but will produce needed information regarding important health topics that affect state and local public health issues.  CDC expects to use these findings to understand better the range of experiences among state, local, tribal, and territorial governmental  </w:t>
      </w:r>
      <w:r w:rsidR="00300AD1" w:rsidRPr="00280D6D">
        <w:t>staff</w:t>
      </w:r>
      <w:r w:rsidR="00EA1D00">
        <w:t xml:space="preserve"> or delegate,</w:t>
      </w:r>
      <w:r w:rsidRPr="00280D6D">
        <w:t xml:space="preserve"> and as one of many inputs into decision making and/or program management or </w:t>
      </w:r>
      <w:r w:rsidR="00280D6D" w:rsidRPr="00280D6D">
        <w:t>assessment</w:t>
      </w:r>
      <w:r w:rsidRPr="00280D6D">
        <w:t>.</w:t>
      </w:r>
      <w:r w:rsidR="003C088D">
        <w:t xml:space="preserve"> </w:t>
      </w:r>
    </w:p>
    <w:p w:rsidR="0075111F" w:rsidRDefault="00493E71" w:rsidP="0075111F">
      <w:pPr>
        <w:spacing w:before="100" w:beforeAutospacing="1" w:after="100" w:afterAutospacing="1"/>
      </w:pPr>
      <w:r w:rsidRPr="00280D6D">
        <w:t>CDC will submit the specific</w:t>
      </w:r>
      <w:r w:rsidR="00280D6D" w:rsidRPr="00280D6D">
        <w:t xml:space="preserve"> information collections </w:t>
      </w:r>
      <w:r w:rsidRPr="00280D6D">
        <w:t xml:space="preserve">to OMB for review </w:t>
      </w:r>
      <w:r w:rsidR="00C73803" w:rsidRPr="00280D6D">
        <w:t xml:space="preserve">as </w:t>
      </w:r>
      <w:r w:rsidR="00EC1251" w:rsidRPr="00280D6D">
        <w:t xml:space="preserve">individual </w:t>
      </w:r>
      <w:r w:rsidR="00C73803" w:rsidRPr="00280D6D">
        <w:t xml:space="preserve">Information Collections (ICs) under this </w:t>
      </w:r>
      <w:r w:rsidR="00EC1251" w:rsidRPr="00280D6D">
        <w:t xml:space="preserve">general </w:t>
      </w:r>
      <w:r w:rsidR="00C73803" w:rsidRPr="00280D6D">
        <w:t>Generic</w:t>
      </w:r>
      <w:r w:rsidR="00A12AF7" w:rsidRPr="00280D6D">
        <w:t xml:space="preserve"> clearance </w:t>
      </w:r>
      <w:r w:rsidR="00EC1251" w:rsidRPr="00280D6D">
        <w:t>framework</w:t>
      </w:r>
      <w:r w:rsidR="00A12AF7" w:rsidRPr="00280D6D">
        <w:t>.</w:t>
      </w:r>
      <w:r w:rsidR="00C73803" w:rsidRPr="00280D6D">
        <w:t xml:space="preserve"> Individual submissions will include the purpose of the colle</w:t>
      </w:r>
      <w:r w:rsidR="00280D6D" w:rsidRPr="00280D6D">
        <w:t xml:space="preserve">ction, description of sample, </w:t>
      </w:r>
      <w:r w:rsidR="00C73803" w:rsidRPr="00280D6D">
        <w:t>target respon</w:t>
      </w:r>
      <w:r w:rsidR="00280D6D" w:rsidRPr="00280D6D">
        <w:t xml:space="preserve">dent, questions to be asked, and </w:t>
      </w:r>
      <w:r w:rsidR="00991C45" w:rsidRPr="00280D6D">
        <w:t xml:space="preserve">response </w:t>
      </w:r>
      <w:r w:rsidR="00C73803" w:rsidRPr="00280D6D">
        <w:t xml:space="preserve">burden.  </w:t>
      </w:r>
      <w:r w:rsidR="00383B94" w:rsidRPr="00280D6D">
        <w:t xml:space="preserve">These specific information collections </w:t>
      </w:r>
      <w:r w:rsidR="00991C45" w:rsidRPr="00280D6D">
        <w:t>will b</w:t>
      </w:r>
      <w:r w:rsidR="00383B94" w:rsidRPr="00280D6D">
        <w:t xml:space="preserve">e </w:t>
      </w:r>
      <w:r w:rsidR="00383B94" w:rsidRPr="00280D6D">
        <w:lastRenderedPageBreak/>
        <w:t xml:space="preserve">included in the PRA public docket prior to their use. </w:t>
      </w:r>
      <w:r w:rsidR="00EC1251" w:rsidRPr="00280D6D">
        <w:t>OMB will review and approve an individual IC in an expedited manner. However, i</w:t>
      </w:r>
      <w:r w:rsidR="00383B94" w:rsidRPr="00280D6D">
        <w:t>f the specific information collection falls outside the scope of the generic clearance or is otherwise inconsistent with the terms of the generic clearance, OMB will return the proposed information collection to the agency for additional consideration or require that the full PRA process be followed, including public notice and comment, for the review and approval of that information collection.</w:t>
      </w:r>
    </w:p>
    <w:p w:rsidR="002848EC" w:rsidRPr="00202CCB" w:rsidRDefault="003A1D01" w:rsidP="0083553E">
      <w:pPr>
        <w:pStyle w:val="ListParagraph"/>
        <w:numPr>
          <w:ilvl w:val="0"/>
          <w:numId w:val="5"/>
        </w:numPr>
        <w:rPr>
          <w:b/>
        </w:rPr>
      </w:pPr>
      <w:r w:rsidRPr="00202CCB">
        <w:rPr>
          <w:b/>
        </w:rPr>
        <w:t>Use of Improved Information Technology and Burden Reduction</w:t>
      </w:r>
    </w:p>
    <w:p w:rsidR="00202CCB" w:rsidRDefault="00E5557B" w:rsidP="00EA1D00">
      <w:r>
        <w:t>Data collections</w:t>
      </w:r>
      <w:r w:rsidR="00C94758" w:rsidRPr="005021D4">
        <w:t xml:space="preserve"> will be conducted using the most current modes of data collection, including web-based </w:t>
      </w:r>
      <w:r w:rsidR="0083553E">
        <w:t>instrument</w:t>
      </w:r>
      <w:r w:rsidR="00C94758" w:rsidRPr="005021D4">
        <w:t xml:space="preserve">s, </w:t>
      </w:r>
      <w:r w:rsidR="00280D6D">
        <w:t>focus groups, phone</w:t>
      </w:r>
      <w:r w:rsidR="00AC7D7F">
        <w:t xml:space="preserve"> or in-person</w:t>
      </w:r>
      <w:r w:rsidR="00280D6D">
        <w:t xml:space="preserve"> interviews </w:t>
      </w:r>
      <w:r w:rsidR="00C94758" w:rsidRPr="005021D4">
        <w:t xml:space="preserve">or other modes applied to specific national </w:t>
      </w:r>
      <w:r w:rsidR="00814D35">
        <w:t>assessment</w:t>
      </w:r>
      <w:r w:rsidR="00C94758" w:rsidRPr="005021D4">
        <w:t>s.  Though these technologies will be used by many of the individual projects in this data collection, the nature of many of these proposed activities typically requires direct interaction between respondents and project staff, especially in the case of qualitative interviewing and cognitive testing.</w:t>
      </w:r>
      <w:r w:rsidR="007E48D6" w:rsidRPr="005021D4">
        <w:t xml:space="preserve"> Also, in cases when respondents do not have access to electronic </w:t>
      </w:r>
      <w:r w:rsidR="00EA1D00">
        <w:t>means of communication, a paper-</w:t>
      </w:r>
      <w:r w:rsidR="007E48D6" w:rsidRPr="005021D4">
        <w:t xml:space="preserve">based data collection will be implemented on </w:t>
      </w:r>
      <w:r w:rsidR="00C97894" w:rsidRPr="005021D4">
        <w:t xml:space="preserve">a </w:t>
      </w:r>
      <w:r w:rsidR="007E48D6" w:rsidRPr="005021D4">
        <w:t xml:space="preserve">limited basis. </w:t>
      </w:r>
    </w:p>
    <w:p w:rsidR="0036445E" w:rsidRPr="005021D4" w:rsidRDefault="0036445E" w:rsidP="0083553E">
      <w:pPr>
        <w:ind w:left="720"/>
      </w:pPr>
    </w:p>
    <w:p w:rsidR="00052E6A" w:rsidRPr="00202CCB" w:rsidRDefault="003A1D01" w:rsidP="0083553E">
      <w:pPr>
        <w:pStyle w:val="ListParagraph"/>
        <w:numPr>
          <w:ilvl w:val="0"/>
          <w:numId w:val="5"/>
        </w:numPr>
        <w:rPr>
          <w:b/>
        </w:rPr>
      </w:pPr>
      <w:r w:rsidRPr="00202CCB">
        <w:rPr>
          <w:b/>
        </w:rPr>
        <w:t>Efforts to Identify Duplication and Use of Similar Information</w:t>
      </w:r>
      <w:r w:rsidR="006A163B" w:rsidRPr="00202CCB">
        <w:rPr>
          <w:b/>
        </w:rPr>
        <w:t xml:space="preserve"> </w:t>
      </w:r>
    </w:p>
    <w:p w:rsidR="001F055A" w:rsidRPr="005021D4" w:rsidRDefault="005021D4" w:rsidP="0083553E">
      <w:pPr>
        <w:pStyle w:val="CM89"/>
        <w:spacing w:after="240" w:line="228" w:lineRule="atLeast"/>
        <w:ind w:right="97"/>
        <w:rPr>
          <w:rFonts w:ascii="Times New Roman" w:hAnsi="Times New Roman" w:cs="Times New Roman"/>
        </w:rPr>
      </w:pPr>
      <w:r>
        <w:rPr>
          <w:rFonts w:ascii="Times New Roman" w:hAnsi="Times New Roman" w:cs="Times New Roman"/>
        </w:rPr>
        <w:t xml:space="preserve">CDC </w:t>
      </w:r>
      <w:r w:rsidR="00103F1E" w:rsidRPr="005021D4">
        <w:rPr>
          <w:rFonts w:ascii="Times New Roman" w:hAnsi="Times New Roman" w:cs="Times New Roman"/>
        </w:rPr>
        <w:t>recognize</w:t>
      </w:r>
      <w:r w:rsidR="00C0601C" w:rsidRPr="005021D4">
        <w:rPr>
          <w:rFonts w:ascii="Times New Roman" w:hAnsi="Times New Roman" w:cs="Times New Roman"/>
        </w:rPr>
        <w:t>s</w:t>
      </w:r>
      <w:r w:rsidR="00103F1E" w:rsidRPr="005021D4">
        <w:rPr>
          <w:rFonts w:ascii="Times New Roman" w:hAnsi="Times New Roman" w:cs="Times New Roman"/>
        </w:rPr>
        <w:t xml:space="preserve"> and understand</w:t>
      </w:r>
      <w:r w:rsidR="00C0601C" w:rsidRPr="005021D4">
        <w:rPr>
          <w:rFonts w:ascii="Times New Roman" w:hAnsi="Times New Roman" w:cs="Times New Roman"/>
        </w:rPr>
        <w:t>s</w:t>
      </w:r>
      <w:r w:rsidR="00103F1E" w:rsidRPr="005021D4">
        <w:rPr>
          <w:rFonts w:ascii="Times New Roman" w:hAnsi="Times New Roman" w:cs="Times New Roman"/>
        </w:rPr>
        <w:t xml:space="preserve"> the fact that many collection requests are made to governmental health agencies</w:t>
      </w:r>
      <w:r w:rsidR="00280D6D">
        <w:rPr>
          <w:rFonts w:ascii="Times New Roman" w:hAnsi="Times New Roman" w:cs="Times New Roman"/>
        </w:rPr>
        <w:t xml:space="preserve">, their </w:t>
      </w:r>
      <w:r w:rsidR="0075111F">
        <w:rPr>
          <w:rFonts w:ascii="Times New Roman" w:hAnsi="Times New Roman" w:cs="Times New Roman"/>
        </w:rPr>
        <w:t xml:space="preserve">delegates </w:t>
      </w:r>
      <w:r w:rsidR="0075111F" w:rsidRPr="005021D4">
        <w:rPr>
          <w:rFonts w:ascii="Times New Roman" w:hAnsi="Times New Roman" w:cs="Times New Roman"/>
        </w:rPr>
        <w:t>and</w:t>
      </w:r>
      <w:r w:rsidR="00BE45D7" w:rsidRPr="005021D4">
        <w:rPr>
          <w:rFonts w:ascii="Times New Roman" w:hAnsi="Times New Roman" w:cs="Times New Roman"/>
        </w:rPr>
        <w:t xml:space="preserve"> thus </w:t>
      </w:r>
      <w:r w:rsidR="00103F1E" w:rsidRPr="005021D4">
        <w:rPr>
          <w:rFonts w:ascii="Times New Roman" w:hAnsi="Times New Roman" w:cs="Times New Roman"/>
        </w:rPr>
        <w:t>intend</w:t>
      </w:r>
      <w:r w:rsidR="00C0601C" w:rsidRPr="005021D4">
        <w:rPr>
          <w:rFonts w:ascii="Times New Roman" w:hAnsi="Times New Roman" w:cs="Times New Roman"/>
        </w:rPr>
        <w:t>s</w:t>
      </w:r>
      <w:r w:rsidR="00103F1E" w:rsidRPr="005021D4">
        <w:rPr>
          <w:rFonts w:ascii="Times New Roman" w:hAnsi="Times New Roman" w:cs="Times New Roman"/>
        </w:rPr>
        <w:t xml:space="preserve"> to use </w:t>
      </w:r>
      <w:r w:rsidR="00C0601C" w:rsidRPr="005021D4">
        <w:rPr>
          <w:rFonts w:ascii="Times New Roman" w:hAnsi="Times New Roman" w:cs="Times New Roman"/>
        </w:rPr>
        <w:t xml:space="preserve">this </w:t>
      </w:r>
      <w:r w:rsidR="00103F1E" w:rsidRPr="005021D4">
        <w:rPr>
          <w:rFonts w:ascii="Times New Roman" w:hAnsi="Times New Roman" w:cs="Times New Roman"/>
        </w:rPr>
        <w:t xml:space="preserve">generic clearance judiciously to ensure only the most relevant collections are undertaken and </w:t>
      </w:r>
      <w:r w:rsidR="0057570B" w:rsidRPr="005021D4">
        <w:rPr>
          <w:rFonts w:ascii="Times New Roman" w:hAnsi="Times New Roman" w:cs="Times New Roman"/>
        </w:rPr>
        <w:t>that they are not duplicative of other efforts</w:t>
      </w:r>
      <w:r w:rsidR="00103F1E" w:rsidRPr="005021D4">
        <w:rPr>
          <w:rFonts w:ascii="Times New Roman" w:hAnsi="Times New Roman" w:cs="Times New Roman"/>
        </w:rPr>
        <w:t>.</w:t>
      </w:r>
      <w:r w:rsidR="00103F1E" w:rsidRPr="005021D4">
        <w:rPr>
          <w:rFonts w:ascii="Times New Roman" w:hAnsi="Times New Roman" w:cs="Times New Roman"/>
          <w:color w:val="000000"/>
        </w:rPr>
        <w:t xml:space="preserve"> </w:t>
      </w:r>
      <w:r w:rsidR="00297C97">
        <w:rPr>
          <w:rFonts w:ascii="Times New Roman" w:hAnsi="Times New Roman" w:cs="Times New Roman"/>
        </w:rPr>
        <w:t>CDC</w:t>
      </w:r>
      <w:r w:rsidR="00103F1E" w:rsidRPr="0028551A">
        <w:rPr>
          <w:rFonts w:ascii="Times New Roman" w:hAnsi="Times New Roman" w:cs="Times New Roman"/>
        </w:rPr>
        <w:t xml:space="preserve"> will </w:t>
      </w:r>
      <w:r w:rsidR="00C97894" w:rsidRPr="0028551A">
        <w:rPr>
          <w:rFonts w:ascii="Times New Roman" w:hAnsi="Times New Roman" w:cs="Times New Roman"/>
        </w:rPr>
        <w:t xml:space="preserve">require </w:t>
      </w:r>
      <w:r w:rsidR="00F14CB0" w:rsidRPr="0028551A">
        <w:rPr>
          <w:rFonts w:ascii="Times New Roman" w:hAnsi="Times New Roman" w:cs="Times New Roman"/>
        </w:rPr>
        <w:t xml:space="preserve">the program </w:t>
      </w:r>
      <w:r w:rsidR="00C97894" w:rsidRPr="0028551A">
        <w:rPr>
          <w:rFonts w:ascii="Times New Roman" w:hAnsi="Times New Roman" w:cs="Times New Roman"/>
        </w:rPr>
        <w:t xml:space="preserve">to </w:t>
      </w:r>
      <w:r w:rsidR="00103F1E" w:rsidRPr="0028551A">
        <w:rPr>
          <w:rFonts w:ascii="Times New Roman" w:hAnsi="Times New Roman" w:cs="Times New Roman"/>
        </w:rPr>
        <w:t>determine whether or not t</w:t>
      </w:r>
      <w:r w:rsidR="00297C97">
        <w:rPr>
          <w:rFonts w:ascii="Times New Roman" w:hAnsi="Times New Roman" w:cs="Times New Roman"/>
        </w:rPr>
        <w:t>he information already exists.</w:t>
      </w:r>
      <w:r w:rsidR="0032733C" w:rsidRPr="0028551A">
        <w:rPr>
          <w:rFonts w:ascii="Times New Roman" w:hAnsi="Times New Roman" w:cs="Times New Roman"/>
        </w:rPr>
        <w:t xml:space="preserve"> </w:t>
      </w:r>
    </w:p>
    <w:p w:rsidR="00052E6A" w:rsidRPr="00202CCB" w:rsidRDefault="003A1D01" w:rsidP="0083553E">
      <w:pPr>
        <w:pStyle w:val="ListParagraph"/>
        <w:numPr>
          <w:ilvl w:val="0"/>
          <w:numId w:val="5"/>
        </w:numPr>
        <w:rPr>
          <w:b/>
        </w:rPr>
      </w:pPr>
      <w:r w:rsidRPr="00202CCB">
        <w:rPr>
          <w:b/>
        </w:rPr>
        <w:t>Impact on Small Businesses or Other Small Entities</w:t>
      </w:r>
    </w:p>
    <w:p w:rsidR="00052E6A" w:rsidRPr="005021D4" w:rsidRDefault="003A1D01" w:rsidP="0083553E">
      <w:pPr>
        <w:pStyle w:val="ListParagraph"/>
        <w:ind w:left="0"/>
        <w:outlineLvl w:val="0"/>
      </w:pPr>
      <w:r w:rsidRPr="005021D4">
        <w:t>No small businesses will be involved in this data collection</w:t>
      </w:r>
    </w:p>
    <w:p w:rsidR="00052E6A" w:rsidRPr="005021D4" w:rsidRDefault="00052E6A" w:rsidP="0083553E">
      <w:pPr>
        <w:pStyle w:val="ListParagraph"/>
        <w:ind w:left="360"/>
      </w:pPr>
    </w:p>
    <w:p w:rsidR="002848EC" w:rsidRPr="00202CCB" w:rsidRDefault="003A1D01" w:rsidP="0083553E">
      <w:pPr>
        <w:pStyle w:val="ListParagraph"/>
        <w:numPr>
          <w:ilvl w:val="0"/>
          <w:numId w:val="5"/>
        </w:numPr>
        <w:rPr>
          <w:b/>
        </w:rPr>
      </w:pPr>
      <w:r w:rsidRPr="00202CCB">
        <w:rPr>
          <w:b/>
        </w:rPr>
        <w:t>Consequences of Collecting the Information Less Frequently</w:t>
      </w:r>
    </w:p>
    <w:p w:rsidR="00103F1E" w:rsidRPr="005021D4" w:rsidRDefault="00F550BC" w:rsidP="0083553E">
      <w:pPr>
        <w:pStyle w:val="CM89"/>
        <w:spacing w:line="228" w:lineRule="atLeast"/>
        <w:ind w:right="97"/>
        <w:rPr>
          <w:rFonts w:ascii="Times New Roman" w:hAnsi="Times New Roman" w:cs="Times New Roman"/>
          <w:color w:val="000000"/>
        </w:rPr>
      </w:pPr>
      <w:r w:rsidRPr="005021D4">
        <w:rPr>
          <w:rFonts w:ascii="Times New Roman" w:hAnsi="Times New Roman" w:cs="Times New Roman"/>
          <w:bCs/>
        </w:rPr>
        <w:t xml:space="preserve">The purpose </w:t>
      </w:r>
      <w:r w:rsidR="00846AC4" w:rsidRPr="005021D4">
        <w:rPr>
          <w:rFonts w:ascii="Times New Roman" w:hAnsi="Times New Roman" w:cs="Times New Roman"/>
          <w:bCs/>
        </w:rPr>
        <w:t xml:space="preserve">of </w:t>
      </w:r>
      <w:r w:rsidR="00C63CAB" w:rsidRPr="005021D4">
        <w:rPr>
          <w:rFonts w:ascii="Times New Roman" w:hAnsi="Times New Roman" w:cs="Times New Roman"/>
          <w:bCs/>
        </w:rPr>
        <w:t>CDC’s</w:t>
      </w:r>
      <w:r w:rsidRPr="005021D4">
        <w:rPr>
          <w:rFonts w:ascii="Times New Roman" w:hAnsi="Times New Roman" w:cs="Times New Roman"/>
          <w:bCs/>
        </w:rPr>
        <w:t xml:space="preserve"> request for this generic clearance is to ensure collection of data that is not otherwise available in </w:t>
      </w:r>
      <w:r w:rsidR="00BD14E8">
        <w:rPr>
          <w:rFonts w:ascii="Times New Roman" w:hAnsi="Times New Roman" w:cs="Times New Roman"/>
        </w:rPr>
        <w:t>current, time sensitive</w:t>
      </w:r>
      <w:r w:rsidRPr="005021D4">
        <w:rPr>
          <w:rFonts w:ascii="Times New Roman" w:hAnsi="Times New Roman" w:cs="Times New Roman"/>
        </w:rPr>
        <w:t xml:space="preserve"> or </w:t>
      </w:r>
      <w:r w:rsidR="0057570B" w:rsidRPr="005021D4">
        <w:rPr>
          <w:rFonts w:ascii="Times New Roman" w:hAnsi="Times New Roman" w:cs="Times New Roman"/>
        </w:rPr>
        <w:t xml:space="preserve">relevant </w:t>
      </w:r>
      <w:r w:rsidRPr="005021D4">
        <w:rPr>
          <w:rFonts w:ascii="Times New Roman" w:hAnsi="Times New Roman" w:cs="Times New Roman"/>
        </w:rPr>
        <w:t>format</w:t>
      </w:r>
      <w:r w:rsidR="0057570B" w:rsidRPr="005021D4">
        <w:rPr>
          <w:rFonts w:ascii="Times New Roman" w:hAnsi="Times New Roman" w:cs="Times New Roman"/>
        </w:rPr>
        <w:t>s</w:t>
      </w:r>
      <w:r w:rsidRPr="005021D4">
        <w:rPr>
          <w:rFonts w:ascii="Times New Roman" w:hAnsi="Times New Roman" w:cs="Times New Roman"/>
        </w:rPr>
        <w:t xml:space="preserve"> to specific </w:t>
      </w:r>
      <w:r w:rsidR="00C63CAB" w:rsidRPr="005021D4">
        <w:rPr>
          <w:rFonts w:ascii="Times New Roman" w:hAnsi="Times New Roman" w:cs="Times New Roman"/>
        </w:rPr>
        <w:t xml:space="preserve">or emergent </w:t>
      </w:r>
      <w:r w:rsidRPr="005021D4">
        <w:rPr>
          <w:rFonts w:ascii="Times New Roman" w:hAnsi="Times New Roman" w:cs="Times New Roman"/>
        </w:rPr>
        <w:t xml:space="preserve">priorities of HHS and CDC.  </w:t>
      </w:r>
      <w:r w:rsidR="00103F1E" w:rsidRPr="005021D4">
        <w:rPr>
          <w:rFonts w:ascii="Times New Roman" w:hAnsi="Times New Roman" w:cs="Times New Roman"/>
          <w:color w:val="000000"/>
        </w:rPr>
        <w:t xml:space="preserve">Specifically, without this data there would be: </w:t>
      </w:r>
    </w:p>
    <w:p w:rsidR="00103F1E" w:rsidRPr="005021D4" w:rsidRDefault="00103F1E" w:rsidP="0083553E">
      <w:pPr>
        <w:pStyle w:val="Default"/>
        <w:numPr>
          <w:ilvl w:val="0"/>
          <w:numId w:val="28"/>
        </w:numPr>
        <w:rPr>
          <w:rFonts w:ascii="Times New Roman" w:hAnsi="Times New Roman" w:cs="Times New Roman"/>
        </w:rPr>
      </w:pPr>
      <w:r w:rsidRPr="005021D4">
        <w:rPr>
          <w:rFonts w:ascii="Times New Roman" w:hAnsi="Times New Roman" w:cs="Times New Roman"/>
        </w:rPr>
        <w:t>No timely feedback regarding effectiveness of CDC’s support and technical assistance to gove</w:t>
      </w:r>
      <w:r w:rsidR="002F78FA" w:rsidRPr="005021D4">
        <w:rPr>
          <w:rFonts w:ascii="Times New Roman" w:hAnsi="Times New Roman" w:cs="Times New Roman"/>
        </w:rPr>
        <w:t>rnmental public health agencies</w:t>
      </w:r>
      <w:r w:rsidRPr="005021D4">
        <w:rPr>
          <w:rFonts w:ascii="Times New Roman" w:hAnsi="Times New Roman" w:cs="Times New Roman"/>
        </w:rPr>
        <w:t xml:space="preserve">. </w:t>
      </w:r>
    </w:p>
    <w:p w:rsidR="00F874AF" w:rsidRPr="005021D4" w:rsidRDefault="00F550BC" w:rsidP="0083553E">
      <w:pPr>
        <w:pStyle w:val="CM89"/>
        <w:numPr>
          <w:ilvl w:val="0"/>
          <w:numId w:val="28"/>
        </w:numPr>
        <w:spacing w:line="228" w:lineRule="atLeast"/>
        <w:ind w:right="97"/>
        <w:rPr>
          <w:rFonts w:ascii="Times New Roman" w:hAnsi="Times New Roman" w:cs="Times New Roman"/>
        </w:rPr>
      </w:pPr>
      <w:r w:rsidRPr="005021D4">
        <w:rPr>
          <w:rFonts w:ascii="Times New Roman" w:hAnsi="Times New Roman" w:cs="Times New Roman"/>
        </w:rPr>
        <w:t>Less effective intervention</w:t>
      </w:r>
      <w:r w:rsidR="00C63CAB" w:rsidRPr="005021D4">
        <w:rPr>
          <w:rFonts w:ascii="Times New Roman" w:hAnsi="Times New Roman" w:cs="Times New Roman"/>
        </w:rPr>
        <w:t>s</w:t>
      </w:r>
      <w:r w:rsidRPr="005021D4">
        <w:rPr>
          <w:rFonts w:ascii="Times New Roman" w:hAnsi="Times New Roman" w:cs="Times New Roman"/>
        </w:rPr>
        <w:t xml:space="preserve"> and data</w:t>
      </w:r>
      <w:r w:rsidR="00C63CAB" w:rsidRPr="005021D4">
        <w:rPr>
          <w:rFonts w:ascii="Times New Roman" w:hAnsi="Times New Roman" w:cs="Times New Roman"/>
        </w:rPr>
        <w:t>-</w:t>
      </w:r>
      <w:r w:rsidRPr="005021D4">
        <w:rPr>
          <w:rFonts w:ascii="Times New Roman" w:hAnsi="Times New Roman" w:cs="Times New Roman"/>
        </w:rPr>
        <w:t>driven decision</w:t>
      </w:r>
      <w:r w:rsidR="00C63CAB" w:rsidRPr="005021D4">
        <w:rPr>
          <w:rFonts w:ascii="Times New Roman" w:hAnsi="Times New Roman" w:cs="Times New Roman"/>
        </w:rPr>
        <w:t>s</w:t>
      </w:r>
      <w:r w:rsidRPr="005021D4">
        <w:rPr>
          <w:rFonts w:ascii="Times New Roman" w:hAnsi="Times New Roman" w:cs="Times New Roman"/>
        </w:rPr>
        <w:t xml:space="preserve"> </w:t>
      </w:r>
      <w:r w:rsidR="00103F1E" w:rsidRPr="005021D4">
        <w:rPr>
          <w:rFonts w:ascii="Times New Roman" w:hAnsi="Times New Roman" w:cs="Times New Roman"/>
        </w:rPr>
        <w:t xml:space="preserve">that need to be </w:t>
      </w:r>
      <w:r w:rsidRPr="005021D4">
        <w:rPr>
          <w:rFonts w:ascii="Times New Roman" w:hAnsi="Times New Roman" w:cs="Times New Roman"/>
        </w:rPr>
        <w:t xml:space="preserve">often made between CDC and state, </w:t>
      </w:r>
      <w:r w:rsidR="00C63CAB" w:rsidRPr="005021D4">
        <w:rPr>
          <w:rFonts w:ascii="Times New Roman" w:hAnsi="Times New Roman" w:cs="Times New Roman"/>
        </w:rPr>
        <w:t>tribal</w:t>
      </w:r>
      <w:r w:rsidRPr="005021D4">
        <w:rPr>
          <w:rFonts w:ascii="Times New Roman" w:hAnsi="Times New Roman" w:cs="Times New Roman"/>
        </w:rPr>
        <w:t>, local, and territorial governmental health agencies</w:t>
      </w:r>
      <w:r w:rsidR="002F78FA" w:rsidRPr="005021D4">
        <w:rPr>
          <w:rFonts w:ascii="Times New Roman" w:hAnsi="Times New Roman" w:cs="Times New Roman"/>
        </w:rPr>
        <w:t xml:space="preserve"> in an expedited manner during emergencies and disease outbreaks</w:t>
      </w:r>
      <w:r w:rsidRPr="005021D4">
        <w:rPr>
          <w:rFonts w:ascii="Times New Roman" w:hAnsi="Times New Roman" w:cs="Times New Roman"/>
        </w:rPr>
        <w:t xml:space="preserve">.  </w:t>
      </w:r>
    </w:p>
    <w:p w:rsidR="00103F1E" w:rsidRPr="005021D4" w:rsidRDefault="00A4405A" w:rsidP="0083553E">
      <w:pPr>
        <w:pStyle w:val="CM89"/>
        <w:numPr>
          <w:ilvl w:val="0"/>
          <w:numId w:val="28"/>
        </w:numPr>
        <w:spacing w:line="228" w:lineRule="atLeast"/>
        <w:ind w:right="97"/>
        <w:rPr>
          <w:rFonts w:ascii="Times New Roman" w:hAnsi="Times New Roman" w:cs="Times New Roman"/>
        </w:rPr>
      </w:pPr>
      <w:r w:rsidRPr="005021D4">
        <w:rPr>
          <w:rFonts w:ascii="Times New Roman" w:hAnsi="Times New Roman" w:cs="Times New Roman"/>
        </w:rPr>
        <w:t>Persistent g</w:t>
      </w:r>
      <w:r w:rsidR="00F550BC" w:rsidRPr="005021D4">
        <w:rPr>
          <w:rFonts w:ascii="Times New Roman" w:hAnsi="Times New Roman" w:cs="Times New Roman"/>
        </w:rPr>
        <w:t>aps in other</w:t>
      </w:r>
      <w:r w:rsidR="00895D2C" w:rsidRPr="005021D4">
        <w:rPr>
          <w:rFonts w:ascii="Times New Roman" w:hAnsi="Times New Roman" w:cs="Times New Roman"/>
        </w:rPr>
        <w:t xml:space="preserve"> extant</w:t>
      </w:r>
      <w:r w:rsidR="00F550BC" w:rsidRPr="005021D4">
        <w:rPr>
          <w:rFonts w:ascii="Times New Roman" w:hAnsi="Times New Roman" w:cs="Times New Roman"/>
        </w:rPr>
        <w:t xml:space="preserve"> </w:t>
      </w:r>
      <w:r w:rsidR="00C63CAB" w:rsidRPr="005021D4">
        <w:rPr>
          <w:rFonts w:ascii="Times New Roman" w:hAnsi="Times New Roman" w:cs="Times New Roman"/>
        </w:rPr>
        <w:t>information collections</w:t>
      </w:r>
      <w:r w:rsidR="00895D2C" w:rsidRPr="005021D4">
        <w:rPr>
          <w:rFonts w:ascii="Times New Roman" w:hAnsi="Times New Roman" w:cs="Times New Roman"/>
        </w:rPr>
        <w:t>,</w:t>
      </w:r>
      <w:r w:rsidR="00F550BC" w:rsidRPr="005021D4">
        <w:rPr>
          <w:rFonts w:ascii="Times New Roman" w:hAnsi="Times New Roman" w:cs="Times New Roman"/>
        </w:rPr>
        <w:t xml:space="preserve"> because of </w:t>
      </w:r>
      <w:r w:rsidR="00103F1E" w:rsidRPr="005021D4">
        <w:rPr>
          <w:rFonts w:ascii="Times New Roman" w:hAnsi="Times New Roman" w:cs="Times New Roman"/>
        </w:rPr>
        <w:t xml:space="preserve">limited </w:t>
      </w:r>
      <w:r w:rsidR="00F550BC" w:rsidRPr="005021D4">
        <w:rPr>
          <w:rFonts w:ascii="Times New Roman" w:hAnsi="Times New Roman" w:cs="Times New Roman"/>
        </w:rPr>
        <w:t>timing, content, or respondent focus</w:t>
      </w:r>
      <w:r w:rsidR="00895D2C" w:rsidRPr="005021D4">
        <w:rPr>
          <w:rFonts w:ascii="Times New Roman" w:hAnsi="Times New Roman" w:cs="Times New Roman"/>
        </w:rPr>
        <w:t>,</w:t>
      </w:r>
      <w:r w:rsidR="00F550BC" w:rsidRPr="005021D4">
        <w:rPr>
          <w:rFonts w:ascii="Times New Roman" w:hAnsi="Times New Roman" w:cs="Times New Roman"/>
        </w:rPr>
        <w:t xml:space="preserve"> </w:t>
      </w:r>
      <w:r w:rsidRPr="005021D4">
        <w:rPr>
          <w:rFonts w:ascii="Times New Roman" w:hAnsi="Times New Roman" w:cs="Times New Roman"/>
        </w:rPr>
        <w:t>i.e. CDC will not be able to complement data collection activities of other entities</w:t>
      </w:r>
    </w:p>
    <w:p w:rsidR="0032733C" w:rsidRDefault="002F78FA" w:rsidP="0083553E">
      <w:pPr>
        <w:pStyle w:val="CM89"/>
        <w:numPr>
          <w:ilvl w:val="0"/>
          <w:numId w:val="28"/>
        </w:numPr>
        <w:spacing w:line="228" w:lineRule="atLeast"/>
        <w:ind w:right="97"/>
        <w:rPr>
          <w:rFonts w:ascii="Times New Roman" w:hAnsi="Times New Roman" w:cs="Times New Roman"/>
        </w:rPr>
      </w:pPr>
      <w:r w:rsidRPr="005021D4">
        <w:rPr>
          <w:rFonts w:ascii="Times New Roman" w:hAnsi="Times New Roman" w:cs="Times New Roman"/>
        </w:rPr>
        <w:t>Limitations to effective and timely assessment of capacities of governmental agencies to fulfill their public health mission</w:t>
      </w:r>
      <w:r w:rsidR="00C51A00" w:rsidRPr="005021D4">
        <w:rPr>
          <w:rFonts w:ascii="Times New Roman" w:hAnsi="Times New Roman" w:cs="Times New Roman"/>
        </w:rPr>
        <w:t>.</w:t>
      </w:r>
    </w:p>
    <w:p w:rsidR="0028551A" w:rsidRPr="0028551A" w:rsidRDefault="0028551A" w:rsidP="0083553E">
      <w:pPr>
        <w:pStyle w:val="Default"/>
      </w:pPr>
    </w:p>
    <w:p w:rsidR="00E85CF1" w:rsidRPr="00297C97" w:rsidRDefault="0032733C" w:rsidP="0083553E">
      <w:pPr>
        <w:pStyle w:val="CM89"/>
        <w:spacing w:after="240" w:line="228" w:lineRule="atLeast"/>
        <w:ind w:left="51" w:right="97"/>
        <w:rPr>
          <w:rFonts w:ascii="Times New Roman" w:hAnsi="Times New Roman" w:cs="Times New Roman"/>
        </w:rPr>
      </w:pPr>
      <w:r w:rsidRPr="00297C97">
        <w:rPr>
          <w:rFonts w:ascii="Times New Roman" w:hAnsi="Times New Roman" w:cs="Times New Roman"/>
        </w:rPr>
        <w:t xml:space="preserve">Existing data collections </w:t>
      </w:r>
      <w:r w:rsidR="00686B88" w:rsidRPr="00297C97">
        <w:rPr>
          <w:rFonts w:ascii="Times New Roman" w:hAnsi="Times New Roman" w:cs="Times New Roman"/>
        </w:rPr>
        <w:t xml:space="preserve">efforts </w:t>
      </w:r>
      <w:r w:rsidR="00FF3A3D" w:rsidRPr="00423A12">
        <w:rPr>
          <w:rFonts w:ascii="Times New Roman" w:hAnsi="Times New Roman" w:cs="Times New Roman"/>
        </w:rPr>
        <w:t>h</w:t>
      </w:r>
      <w:r w:rsidR="00E85CF1" w:rsidRPr="00297C97">
        <w:rPr>
          <w:rFonts w:ascii="Times New Roman" w:hAnsi="Times New Roman" w:cs="Times New Roman"/>
        </w:rPr>
        <w:t>ave several limitations</w:t>
      </w:r>
      <w:r w:rsidR="00686B88" w:rsidRPr="00297C97">
        <w:rPr>
          <w:rFonts w:ascii="Times New Roman" w:hAnsi="Times New Roman" w:cs="Times New Roman"/>
        </w:rPr>
        <w:t xml:space="preserve"> that necessitate need for this generic clearance request. F</w:t>
      </w:r>
      <w:r w:rsidR="00E85CF1" w:rsidRPr="00297C97">
        <w:rPr>
          <w:rFonts w:ascii="Times New Roman" w:hAnsi="Times New Roman" w:cs="Times New Roman"/>
        </w:rPr>
        <w:t>or example:</w:t>
      </w:r>
    </w:p>
    <w:p w:rsidR="0032733C" w:rsidRPr="00297C97" w:rsidRDefault="00E85CF1" w:rsidP="00297C97">
      <w:pPr>
        <w:pStyle w:val="CM89"/>
        <w:numPr>
          <w:ilvl w:val="0"/>
          <w:numId w:val="39"/>
        </w:numPr>
        <w:spacing w:line="228" w:lineRule="atLeast"/>
        <w:ind w:left="411" w:right="97"/>
        <w:rPr>
          <w:rFonts w:ascii="Times New Roman" w:hAnsi="Times New Roman" w:cs="Times New Roman"/>
        </w:rPr>
      </w:pPr>
      <w:r w:rsidRPr="00297C97">
        <w:rPr>
          <w:rFonts w:ascii="Times New Roman" w:hAnsi="Times New Roman" w:cs="Times New Roman"/>
        </w:rPr>
        <w:lastRenderedPageBreak/>
        <w:t xml:space="preserve">Public health infrastructure </w:t>
      </w:r>
      <w:r w:rsidR="00E5557B" w:rsidRPr="00297C97">
        <w:rPr>
          <w:rFonts w:ascii="Times New Roman" w:hAnsi="Times New Roman" w:cs="Times New Roman"/>
        </w:rPr>
        <w:t>data collection</w:t>
      </w:r>
      <w:r w:rsidRPr="00297C97">
        <w:rPr>
          <w:rFonts w:ascii="Times New Roman" w:hAnsi="Times New Roman" w:cs="Times New Roman"/>
        </w:rPr>
        <w:t xml:space="preserve">s </w:t>
      </w:r>
      <w:r w:rsidR="0032733C" w:rsidRPr="00297C97">
        <w:rPr>
          <w:rFonts w:ascii="Times New Roman" w:hAnsi="Times New Roman" w:cs="Times New Roman"/>
        </w:rPr>
        <w:t xml:space="preserve">by CDC partners organizations (NACCHO) are conducted </w:t>
      </w:r>
      <w:r w:rsidRPr="00297C97">
        <w:rPr>
          <w:rFonts w:ascii="Times New Roman" w:hAnsi="Times New Roman" w:cs="Times New Roman"/>
        </w:rPr>
        <w:t xml:space="preserve">only </w:t>
      </w:r>
      <w:r w:rsidR="00BD14E8" w:rsidRPr="00297C97">
        <w:rPr>
          <w:rFonts w:ascii="Times New Roman" w:hAnsi="Times New Roman" w:cs="Times New Roman"/>
        </w:rPr>
        <w:t>every 2 years</w:t>
      </w:r>
      <w:r w:rsidR="0032733C" w:rsidRPr="00297C97">
        <w:rPr>
          <w:rFonts w:ascii="Times New Roman" w:hAnsi="Times New Roman" w:cs="Times New Roman"/>
        </w:rPr>
        <w:t xml:space="preserve"> </w:t>
      </w:r>
      <w:r w:rsidRPr="00297C97">
        <w:rPr>
          <w:rFonts w:ascii="Times New Roman" w:hAnsi="Times New Roman" w:cs="Times New Roman"/>
        </w:rPr>
        <w:t xml:space="preserve">and </w:t>
      </w:r>
      <w:r w:rsidR="0032733C" w:rsidRPr="00297C97">
        <w:rPr>
          <w:rFonts w:ascii="Times New Roman" w:hAnsi="Times New Roman" w:cs="Times New Roman"/>
        </w:rPr>
        <w:t>thus hav</w:t>
      </w:r>
      <w:r w:rsidRPr="00297C97">
        <w:rPr>
          <w:rFonts w:ascii="Times New Roman" w:hAnsi="Times New Roman" w:cs="Times New Roman"/>
        </w:rPr>
        <w:t>e</w:t>
      </w:r>
      <w:r w:rsidR="0032733C" w:rsidRPr="00297C97">
        <w:rPr>
          <w:rFonts w:ascii="Times New Roman" w:hAnsi="Times New Roman" w:cs="Times New Roman"/>
        </w:rPr>
        <w:t xml:space="preserve"> limited utility</w:t>
      </w:r>
      <w:r w:rsidRPr="00297C97">
        <w:rPr>
          <w:rFonts w:ascii="Times New Roman" w:hAnsi="Times New Roman" w:cs="Times New Roman"/>
        </w:rPr>
        <w:t xml:space="preserve"> for CDC</w:t>
      </w:r>
      <w:r w:rsidR="0032733C" w:rsidRPr="00297C97">
        <w:rPr>
          <w:rFonts w:ascii="Times New Roman" w:hAnsi="Times New Roman" w:cs="Times New Roman"/>
        </w:rPr>
        <w:t xml:space="preserve"> from the point of view of program monitoring and </w:t>
      </w:r>
      <w:r w:rsidR="00814D35">
        <w:rPr>
          <w:rFonts w:ascii="Times New Roman" w:hAnsi="Times New Roman" w:cs="Times New Roman"/>
        </w:rPr>
        <w:t>assessment</w:t>
      </w:r>
      <w:r w:rsidRPr="00297C97">
        <w:rPr>
          <w:rFonts w:ascii="Times New Roman" w:hAnsi="Times New Roman" w:cs="Times New Roman"/>
        </w:rPr>
        <w:t>, which usually require more frequent data collection</w:t>
      </w:r>
      <w:r w:rsidR="0032733C" w:rsidRPr="00297C97">
        <w:rPr>
          <w:rFonts w:ascii="Times New Roman" w:hAnsi="Times New Roman" w:cs="Times New Roman"/>
        </w:rPr>
        <w:t>.</w:t>
      </w:r>
    </w:p>
    <w:p w:rsidR="00E85CF1" w:rsidRPr="00297C97" w:rsidRDefault="00E85CF1" w:rsidP="00297C97">
      <w:pPr>
        <w:pStyle w:val="Default"/>
        <w:numPr>
          <w:ilvl w:val="0"/>
          <w:numId w:val="39"/>
        </w:numPr>
        <w:ind w:left="411"/>
        <w:rPr>
          <w:rFonts w:ascii="Times New Roman" w:hAnsi="Times New Roman" w:cs="Times New Roman"/>
        </w:rPr>
      </w:pPr>
      <w:r w:rsidRPr="00297C97">
        <w:rPr>
          <w:rFonts w:ascii="Times New Roman" w:hAnsi="Times New Roman" w:cs="Times New Roman"/>
        </w:rPr>
        <w:t xml:space="preserve">None of the existing </w:t>
      </w:r>
      <w:r w:rsidR="00E5557B" w:rsidRPr="00297C97">
        <w:rPr>
          <w:rFonts w:ascii="Times New Roman" w:hAnsi="Times New Roman" w:cs="Times New Roman"/>
        </w:rPr>
        <w:t>data collection</w:t>
      </w:r>
      <w:r w:rsidRPr="00297C97">
        <w:rPr>
          <w:rFonts w:ascii="Times New Roman" w:hAnsi="Times New Roman" w:cs="Times New Roman"/>
        </w:rPr>
        <w:t xml:space="preserve">s include collection of data that is needed to evaluate </w:t>
      </w:r>
      <w:r w:rsidR="00297C97">
        <w:rPr>
          <w:rFonts w:ascii="Times New Roman" w:hAnsi="Times New Roman" w:cs="Times New Roman"/>
        </w:rPr>
        <w:t xml:space="preserve">many CDC </w:t>
      </w:r>
      <w:r w:rsidRPr="00297C97">
        <w:rPr>
          <w:rFonts w:ascii="Times New Roman" w:hAnsi="Times New Roman" w:cs="Times New Roman"/>
        </w:rPr>
        <w:t>programs, such as Public Health A</w:t>
      </w:r>
      <w:r w:rsidR="00297C97">
        <w:rPr>
          <w:rFonts w:ascii="Times New Roman" w:hAnsi="Times New Roman" w:cs="Times New Roman"/>
        </w:rPr>
        <w:t>ssociate</w:t>
      </w:r>
      <w:r w:rsidRPr="00297C97">
        <w:rPr>
          <w:rFonts w:ascii="Times New Roman" w:hAnsi="Times New Roman" w:cs="Times New Roman"/>
        </w:rPr>
        <w:t xml:space="preserve"> Program,</w:t>
      </w:r>
      <w:r w:rsidR="00463720" w:rsidRPr="00297C97">
        <w:rPr>
          <w:rFonts w:ascii="Times New Roman" w:hAnsi="Times New Roman" w:cs="Times New Roman"/>
        </w:rPr>
        <w:t xml:space="preserve"> </w:t>
      </w:r>
      <w:r w:rsidRPr="00297C97">
        <w:rPr>
          <w:rFonts w:ascii="Times New Roman" w:hAnsi="Times New Roman" w:cs="Times New Roman"/>
        </w:rPr>
        <w:t>etc.</w:t>
      </w:r>
      <w:r w:rsidR="00DD47A6" w:rsidRPr="00297C97">
        <w:rPr>
          <w:rFonts w:ascii="Times New Roman" w:hAnsi="Times New Roman" w:cs="Times New Roman"/>
        </w:rPr>
        <w:t xml:space="preserve"> or unique programs and needs</w:t>
      </w:r>
      <w:r w:rsidR="00297C97">
        <w:rPr>
          <w:rFonts w:ascii="Times New Roman" w:hAnsi="Times New Roman" w:cs="Times New Roman"/>
        </w:rPr>
        <w:t>.</w:t>
      </w:r>
    </w:p>
    <w:p w:rsidR="00E85CF1" w:rsidRPr="0028551A" w:rsidRDefault="00E85CF1" w:rsidP="00297C97">
      <w:pPr>
        <w:pStyle w:val="Default"/>
        <w:numPr>
          <w:ilvl w:val="0"/>
          <w:numId w:val="39"/>
        </w:numPr>
        <w:ind w:left="411"/>
        <w:rPr>
          <w:rFonts w:ascii="Times New Roman" w:hAnsi="Times New Roman" w:cs="Times New Roman"/>
        </w:rPr>
      </w:pPr>
      <w:r w:rsidRPr="0028551A">
        <w:rPr>
          <w:rFonts w:ascii="Times New Roman" w:hAnsi="Times New Roman" w:cs="Times New Roman"/>
        </w:rPr>
        <w:t>Data needed to assure accountability of CDC investments in public health infrastructure through cooperative agreement mechanisms is not routinely collected</w:t>
      </w:r>
      <w:r w:rsidR="00297C97">
        <w:rPr>
          <w:rFonts w:ascii="Times New Roman" w:hAnsi="Times New Roman" w:cs="Times New Roman"/>
        </w:rPr>
        <w:t>.</w:t>
      </w:r>
    </w:p>
    <w:p w:rsidR="006F2680" w:rsidRPr="0028551A" w:rsidRDefault="006F2680" w:rsidP="00297C97">
      <w:pPr>
        <w:pStyle w:val="Default"/>
        <w:numPr>
          <w:ilvl w:val="0"/>
          <w:numId w:val="39"/>
        </w:numPr>
        <w:ind w:left="411"/>
        <w:rPr>
          <w:rFonts w:ascii="Times New Roman" w:hAnsi="Times New Roman" w:cs="Times New Roman"/>
        </w:rPr>
      </w:pPr>
      <w:r w:rsidRPr="0028551A">
        <w:rPr>
          <w:rFonts w:ascii="Times New Roman" w:hAnsi="Times New Roman" w:cs="Times New Roman"/>
        </w:rPr>
        <w:t>Data needed to accommodate requests from HHS and Congress may not be available</w:t>
      </w:r>
      <w:r w:rsidR="00686B88" w:rsidRPr="0028551A">
        <w:rPr>
          <w:rFonts w:ascii="Times New Roman" w:hAnsi="Times New Roman" w:cs="Times New Roman"/>
        </w:rPr>
        <w:t xml:space="preserve"> in currently run </w:t>
      </w:r>
      <w:r w:rsidR="00E5557B">
        <w:rPr>
          <w:rFonts w:ascii="Times New Roman" w:hAnsi="Times New Roman" w:cs="Times New Roman"/>
        </w:rPr>
        <w:t>data collection</w:t>
      </w:r>
      <w:r w:rsidR="00686B88" w:rsidRPr="0028551A">
        <w:rPr>
          <w:rFonts w:ascii="Times New Roman" w:hAnsi="Times New Roman" w:cs="Times New Roman"/>
        </w:rPr>
        <w:t>s o</w:t>
      </w:r>
      <w:r w:rsidR="00297C97">
        <w:rPr>
          <w:rFonts w:ascii="Times New Roman" w:hAnsi="Times New Roman" w:cs="Times New Roman"/>
        </w:rPr>
        <w:t>f state and local government staff or delegates delivering essential public health services.</w:t>
      </w:r>
    </w:p>
    <w:p w:rsidR="00AC3837" w:rsidRPr="005021D4" w:rsidRDefault="00AC3837" w:rsidP="0083553E">
      <w:pPr>
        <w:pStyle w:val="Default"/>
        <w:ind w:left="411"/>
        <w:rPr>
          <w:rFonts w:ascii="Times New Roman" w:hAnsi="Times New Roman" w:cs="Times New Roman"/>
        </w:rPr>
      </w:pPr>
    </w:p>
    <w:p w:rsidR="00760A0F" w:rsidRDefault="00AC3837" w:rsidP="0083553E">
      <w:r w:rsidRPr="005021D4">
        <w:t>There are no legal obstacles to reduce the burden</w:t>
      </w:r>
      <w:r w:rsidR="00203849" w:rsidRPr="005021D4">
        <w:t>.</w:t>
      </w:r>
    </w:p>
    <w:p w:rsidR="00423A12" w:rsidRPr="005021D4" w:rsidRDefault="00423A12" w:rsidP="0083553E"/>
    <w:p w:rsidR="00052E6A" w:rsidRPr="00202CCB" w:rsidRDefault="003A1D01" w:rsidP="0083553E">
      <w:pPr>
        <w:pStyle w:val="ListParagraph"/>
        <w:numPr>
          <w:ilvl w:val="0"/>
          <w:numId w:val="5"/>
        </w:numPr>
        <w:ind w:left="0"/>
        <w:rPr>
          <w:b/>
        </w:rPr>
      </w:pPr>
      <w:r w:rsidRPr="00202CCB">
        <w:rPr>
          <w:b/>
        </w:rPr>
        <w:t>Special Circumstances Relating to the Guidelines of 5 CFR 1320.5</w:t>
      </w:r>
    </w:p>
    <w:p w:rsidR="00495E83" w:rsidRPr="005021D4" w:rsidRDefault="003A1D01" w:rsidP="00C44E34">
      <w:pPr>
        <w:tabs>
          <w:tab w:val="left" w:pos="-1440"/>
          <w:tab w:val="left" w:pos="-720"/>
        </w:tabs>
        <w:autoSpaceDE w:val="0"/>
        <w:autoSpaceDN w:val="0"/>
        <w:adjustRightInd w:val="0"/>
        <w:ind w:right="720"/>
      </w:pPr>
      <w:r w:rsidRPr="005021D4">
        <w:t>There are no special circumstances with this information collection package.  This request fully complies with the guidelines of 5 CFR 1320.5.</w:t>
      </w:r>
    </w:p>
    <w:p w:rsidR="001F055A" w:rsidRPr="005021D4" w:rsidRDefault="001F055A" w:rsidP="0083553E">
      <w:pPr>
        <w:tabs>
          <w:tab w:val="left" w:pos="-1440"/>
          <w:tab w:val="left" w:pos="-720"/>
        </w:tabs>
        <w:autoSpaceDE w:val="0"/>
        <w:autoSpaceDN w:val="0"/>
        <w:adjustRightInd w:val="0"/>
        <w:ind w:right="720"/>
      </w:pPr>
    </w:p>
    <w:p w:rsidR="000F63DA" w:rsidRPr="00202CCB" w:rsidRDefault="003A1D01" w:rsidP="0083553E">
      <w:pPr>
        <w:pStyle w:val="ListParagraph"/>
        <w:numPr>
          <w:ilvl w:val="0"/>
          <w:numId w:val="5"/>
        </w:numPr>
        <w:tabs>
          <w:tab w:val="left" w:pos="-1440"/>
          <w:tab w:val="left" w:pos="-720"/>
        </w:tabs>
        <w:autoSpaceDE w:val="0"/>
        <w:autoSpaceDN w:val="0"/>
        <w:adjustRightInd w:val="0"/>
        <w:ind w:left="0" w:right="720"/>
        <w:rPr>
          <w:b/>
        </w:rPr>
      </w:pPr>
      <w:r w:rsidRPr="00202CCB">
        <w:rPr>
          <w:b/>
        </w:rPr>
        <w:t xml:space="preserve">Comments in Response to the Federal Register Notice and Efforts to Consult Outside the Agency </w:t>
      </w:r>
    </w:p>
    <w:p w:rsidR="00966128" w:rsidRPr="00966128" w:rsidRDefault="003A1D01" w:rsidP="00966128">
      <w:pPr>
        <w:pStyle w:val="ListParagraph"/>
        <w:tabs>
          <w:tab w:val="left" w:pos="-1440"/>
          <w:tab w:val="left" w:pos="-720"/>
        </w:tabs>
        <w:autoSpaceDE w:val="0"/>
        <w:autoSpaceDN w:val="0"/>
        <w:adjustRightInd w:val="0"/>
        <w:ind w:left="0" w:right="720"/>
      </w:pPr>
      <w:r w:rsidRPr="00297C97">
        <w:t xml:space="preserve">A 60-day Federal Register Notice was published </w:t>
      </w:r>
      <w:r w:rsidR="00AC0889" w:rsidRPr="00297C97">
        <w:t xml:space="preserve">in the Federal Register </w:t>
      </w:r>
      <w:r w:rsidRPr="00297C97">
        <w:t>on</w:t>
      </w:r>
      <w:r w:rsidR="00AC0889" w:rsidRPr="00297C97">
        <w:t xml:space="preserve"> </w:t>
      </w:r>
    </w:p>
    <w:p w:rsidR="00966128" w:rsidRPr="00966128" w:rsidRDefault="00966128" w:rsidP="00966128">
      <w:pPr>
        <w:pStyle w:val="ListParagraph"/>
        <w:tabs>
          <w:tab w:val="left" w:pos="-1440"/>
          <w:tab w:val="left" w:pos="-720"/>
        </w:tabs>
        <w:autoSpaceDE w:val="0"/>
        <w:autoSpaceDN w:val="0"/>
        <w:adjustRightInd w:val="0"/>
        <w:ind w:left="0" w:right="720"/>
      </w:pPr>
      <w:r w:rsidRPr="00966128">
        <w:t xml:space="preserve">October 31, 2013, Vol. 78, No. 211, pp. 65325-26 </w:t>
      </w:r>
      <w:r w:rsidRPr="004B4287">
        <w:rPr>
          <w:b/>
        </w:rPr>
        <w:t xml:space="preserve">(see Attachment </w:t>
      </w:r>
      <w:r w:rsidR="009730BD" w:rsidRPr="004B4287">
        <w:rPr>
          <w:b/>
        </w:rPr>
        <w:t>B</w:t>
      </w:r>
      <w:r w:rsidR="00FF3A3D" w:rsidRPr="004B4287">
        <w:rPr>
          <w:b/>
        </w:rPr>
        <w:t>)</w:t>
      </w:r>
      <w:r w:rsidRPr="00966128">
        <w:t xml:space="preserve">.  There were no comments from the public.  </w:t>
      </w:r>
    </w:p>
    <w:p w:rsidR="006A3BA1" w:rsidRPr="005021D4" w:rsidRDefault="006A3BA1" w:rsidP="00CA6383">
      <w:pPr>
        <w:tabs>
          <w:tab w:val="left" w:pos="-1440"/>
          <w:tab w:val="left" w:pos="-720"/>
        </w:tabs>
        <w:autoSpaceDE w:val="0"/>
        <w:autoSpaceDN w:val="0"/>
        <w:adjustRightInd w:val="0"/>
        <w:ind w:right="720"/>
      </w:pPr>
    </w:p>
    <w:p w:rsidR="000F63DA" w:rsidRPr="00202CCB" w:rsidRDefault="003A1D01" w:rsidP="0083553E">
      <w:pPr>
        <w:pStyle w:val="ListParagraph"/>
        <w:numPr>
          <w:ilvl w:val="0"/>
          <w:numId w:val="5"/>
        </w:numPr>
        <w:tabs>
          <w:tab w:val="left" w:pos="-1440"/>
          <w:tab w:val="left" w:pos="-720"/>
        </w:tabs>
        <w:autoSpaceDE w:val="0"/>
        <w:autoSpaceDN w:val="0"/>
        <w:adjustRightInd w:val="0"/>
        <w:ind w:left="0" w:right="720"/>
        <w:rPr>
          <w:b/>
        </w:rPr>
      </w:pPr>
      <w:r w:rsidRPr="00202CCB">
        <w:rPr>
          <w:b/>
        </w:rPr>
        <w:t>Explanation of Any Payment or Gift to Respondents</w:t>
      </w:r>
    </w:p>
    <w:p w:rsidR="006A3BA1" w:rsidRPr="005021D4" w:rsidRDefault="003A1D01" w:rsidP="0083553E">
      <w:pPr>
        <w:pStyle w:val="ListParagraph"/>
        <w:tabs>
          <w:tab w:val="left" w:pos="-1440"/>
          <w:tab w:val="left" w:pos="-720"/>
        </w:tabs>
        <w:autoSpaceDE w:val="0"/>
        <w:autoSpaceDN w:val="0"/>
        <w:adjustRightInd w:val="0"/>
        <w:ind w:left="0" w:right="720"/>
        <w:outlineLvl w:val="0"/>
      </w:pPr>
      <w:r w:rsidRPr="005021D4">
        <w:t>CDC will not provide payments or gifts to respondents.</w:t>
      </w:r>
    </w:p>
    <w:p w:rsidR="006A3BA1" w:rsidRPr="005021D4" w:rsidRDefault="006A3BA1" w:rsidP="0083553E">
      <w:pPr>
        <w:pStyle w:val="ListParagraph"/>
        <w:tabs>
          <w:tab w:val="left" w:pos="-1440"/>
          <w:tab w:val="left" w:pos="-720"/>
        </w:tabs>
        <w:autoSpaceDE w:val="0"/>
        <w:autoSpaceDN w:val="0"/>
        <w:adjustRightInd w:val="0"/>
        <w:ind w:left="360" w:right="720"/>
      </w:pPr>
    </w:p>
    <w:p w:rsidR="000F63DA" w:rsidRPr="00202CCB" w:rsidRDefault="003A1D01" w:rsidP="0083553E">
      <w:pPr>
        <w:pStyle w:val="ListParagraph"/>
        <w:numPr>
          <w:ilvl w:val="0"/>
          <w:numId w:val="5"/>
        </w:numPr>
        <w:tabs>
          <w:tab w:val="left" w:pos="-1440"/>
          <w:tab w:val="left" w:pos="-720"/>
        </w:tabs>
        <w:autoSpaceDE w:val="0"/>
        <w:autoSpaceDN w:val="0"/>
        <w:adjustRightInd w:val="0"/>
        <w:ind w:left="0" w:right="720"/>
        <w:rPr>
          <w:b/>
        </w:rPr>
      </w:pPr>
      <w:r w:rsidRPr="00202CCB">
        <w:rPr>
          <w:b/>
        </w:rPr>
        <w:t>Assurance of Confidentiality Provided to Respondents</w:t>
      </w:r>
    </w:p>
    <w:p w:rsidR="008F647D" w:rsidRPr="005021D4" w:rsidRDefault="003A1D01" w:rsidP="00C44E34">
      <w:pPr>
        <w:pStyle w:val="ListParagraph"/>
        <w:tabs>
          <w:tab w:val="left" w:pos="-1440"/>
          <w:tab w:val="left" w:pos="-720"/>
        </w:tabs>
        <w:autoSpaceDE w:val="0"/>
        <w:autoSpaceDN w:val="0"/>
        <w:adjustRightInd w:val="0"/>
        <w:ind w:left="0" w:right="720"/>
      </w:pPr>
      <w:r w:rsidRPr="005021D4">
        <w:t>The Privacy Act does not apply to this data</w:t>
      </w:r>
      <w:r w:rsidR="00C44E34">
        <w:t xml:space="preserve"> collection. </w:t>
      </w:r>
      <w:r w:rsidR="00C81543" w:rsidRPr="005021D4">
        <w:t xml:space="preserve"> </w:t>
      </w:r>
      <w:r w:rsidR="00C44E34">
        <w:t>S</w:t>
      </w:r>
      <w:r w:rsidRPr="005021D4">
        <w:t>tate</w:t>
      </w:r>
      <w:r w:rsidR="00C81543" w:rsidRPr="005021D4">
        <w:t>, tribal</w:t>
      </w:r>
      <w:r w:rsidR="007F6424" w:rsidRPr="005021D4">
        <w:t>, local</w:t>
      </w:r>
      <w:r w:rsidR="00C81543" w:rsidRPr="005021D4">
        <w:t xml:space="preserve">, and territorial </w:t>
      </w:r>
      <w:r w:rsidR="00C44E34">
        <w:t>government agency staff</w:t>
      </w:r>
      <w:r w:rsidR="00AE1A70">
        <w:t>s or delegates</w:t>
      </w:r>
      <w:r w:rsidRPr="005021D4">
        <w:t xml:space="preserve"> will be speaking from their </w:t>
      </w:r>
      <w:r w:rsidR="00C81543" w:rsidRPr="005021D4">
        <w:t xml:space="preserve">official </w:t>
      </w:r>
      <w:r w:rsidRPr="005021D4">
        <w:t>roles and will not be asked, nor will they pr</w:t>
      </w:r>
      <w:r w:rsidR="00C81543" w:rsidRPr="005021D4">
        <w:t>ovide individually identifiable in</w:t>
      </w:r>
      <w:r w:rsidRPr="005021D4">
        <w:t>formation.  This data collection is not research involving human subjects</w:t>
      </w:r>
      <w:r w:rsidR="00AE1A70">
        <w:t>.</w:t>
      </w:r>
    </w:p>
    <w:p w:rsidR="000F63DA" w:rsidRPr="005021D4" w:rsidRDefault="000F63DA" w:rsidP="0083553E">
      <w:pPr>
        <w:tabs>
          <w:tab w:val="left" w:pos="-1440"/>
          <w:tab w:val="left" w:pos="-720"/>
        </w:tabs>
        <w:autoSpaceDE w:val="0"/>
        <w:autoSpaceDN w:val="0"/>
        <w:adjustRightInd w:val="0"/>
        <w:ind w:right="720"/>
      </w:pPr>
    </w:p>
    <w:p w:rsidR="000F63DA" w:rsidRPr="00202CCB" w:rsidRDefault="003A1D01" w:rsidP="0083553E">
      <w:pPr>
        <w:pStyle w:val="ListParagraph"/>
        <w:numPr>
          <w:ilvl w:val="0"/>
          <w:numId w:val="5"/>
        </w:numPr>
        <w:tabs>
          <w:tab w:val="left" w:pos="-1440"/>
          <w:tab w:val="left" w:pos="-720"/>
        </w:tabs>
        <w:autoSpaceDE w:val="0"/>
        <w:autoSpaceDN w:val="0"/>
        <w:adjustRightInd w:val="0"/>
        <w:ind w:left="0" w:right="720"/>
        <w:rPr>
          <w:b/>
        </w:rPr>
      </w:pPr>
      <w:r w:rsidRPr="00202CCB">
        <w:rPr>
          <w:b/>
        </w:rPr>
        <w:t>Justification for Sensitive Questions</w:t>
      </w:r>
    </w:p>
    <w:p w:rsidR="000F63DA" w:rsidRPr="005021D4" w:rsidRDefault="003A1D01" w:rsidP="0083553E">
      <w:pPr>
        <w:pStyle w:val="ListParagraph"/>
        <w:tabs>
          <w:tab w:val="left" w:pos="-1440"/>
          <w:tab w:val="left" w:pos="-720"/>
        </w:tabs>
        <w:autoSpaceDE w:val="0"/>
        <w:autoSpaceDN w:val="0"/>
        <w:adjustRightInd w:val="0"/>
        <w:ind w:left="0" w:right="720"/>
        <w:outlineLvl w:val="0"/>
      </w:pPr>
      <w:r w:rsidRPr="005021D4">
        <w:t>No sensitive information will be collected.</w:t>
      </w:r>
    </w:p>
    <w:p w:rsidR="00C44E34" w:rsidRPr="005021D4" w:rsidRDefault="00C44E34" w:rsidP="0083553E">
      <w:pPr>
        <w:tabs>
          <w:tab w:val="left" w:pos="-1440"/>
          <w:tab w:val="left" w:pos="-720"/>
        </w:tabs>
        <w:autoSpaceDE w:val="0"/>
        <w:autoSpaceDN w:val="0"/>
        <w:adjustRightInd w:val="0"/>
        <w:ind w:right="720"/>
      </w:pPr>
    </w:p>
    <w:p w:rsidR="000F63DA" w:rsidRPr="00202CCB" w:rsidRDefault="003A1D01" w:rsidP="0083553E">
      <w:pPr>
        <w:pStyle w:val="ListParagraph"/>
        <w:numPr>
          <w:ilvl w:val="0"/>
          <w:numId w:val="5"/>
        </w:numPr>
        <w:tabs>
          <w:tab w:val="left" w:pos="-1440"/>
          <w:tab w:val="left" w:pos="-720"/>
        </w:tabs>
        <w:autoSpaceDE w:val="0"/>
        <w:autoSpaceDN w:val="0"/>
        <w:adjustRightInd w:val="0"/>
        <w:ind w:left="0" w:right="720"/>
        <w:rPr>
          <w:b/>
        </w:rPr>
      </w:pPr>
      <w:r w:rsidRPr="00202CCB">
        <w:rPr>
          <w:b/>
        </w:rPr>
        <w:t>Estimates of A</w:t>
      </w:r>
      <w:r w:rsidR="0037644A" w:rsidRPr="00202CCB">
        <w:rPr>
          <w:b/>
        </w:rPr>
        <w:t xml:space="preserve">nnualized Burden Hours </w:t>
      </w:r>
    </w:p>
    <w:p w:rsidR="0037644A" w:rsidRPr="005021D4" w:rsidRDefault="00203849" w:rsidP="00C44E34">
      <w:pPr>
        <w:tabs>
          <w:tab w:val="left" w:pos="-1440"/>
          <w:tab w:val="left" w:pos="-720"/>
        </w:tabs>
        <w:autoSpaceDE w:val="0"/>
        <w:autoSpaceDN w:val="0"/>
        <w:adjustRightInd w:val="0"/>
        <w:ind w:right="720"/>
      </w:pPr>
      <w:r w:rsidRPr="005021D4">
        <w:t xml:space="preserve">The burden is calculated based on the assumption of </w:t>
      </w:r>
      <w:r w:rsidR="00B1244F" w:rsidRPr="005021D4">
        <w:t>querying</w:t>
      </w:r>
      <w:r w:rsidRPr="005021D4">
        <w:t xml:space="preserve"> at most 100% of all available state, territorial </w:t>
      </w:r>
      <w:r w:rsidR="00686B88" w:rsidRPr="005021D4">
        <w:t>(</w:t>
      </w:r>
      <w:r w:rsidR="00A850C9">
        <w:t>800</w:t>
      </w:r>
      <w:r w:rsidR="00686B88" w:rsidRPr="005021D4">
        <w:t xml:space="preserve">) </w:t>
      </w:r>
      <w:r w:rsidRPr="005021D4">
        <w:t xml:space="preserve">and county </w:t>
      </w:r>
      <w:r w:rsidR="00C97894" w:rsidRPr="005021D4">
        <w:t>(3</w:t>
      </w:r>
      <w:r w:rsidR="00D914F2">
        <w:t>,</w:t>
      </w:r>
      <w:r w:rsidR="00C97894" w:rsidRPr="005021D4">
        <w:t xml:space="preserve">000) </w:t>
      </w:r>
      <w:r w:rsidRPr="005021D4">
        <w:t>health officials</w:t>
      </w:r>
      <w:r w:rsidR="00291518" w:rsidRPr="005021D4">
        <w:t>/employees</w:t>
      </w:r>
      <w:r w:rsidRPr="005021D4">
        <w:t xml:space="preserve"> and a representative sample of </w:t>
      </w:r>
      <w:r w:rsidR="00686B88" w:rsidRPr="005021D4">
        <w:t xml:space="preserve">at most </w:t>
      </w:r>
      <w:r w:rsidRPr="005021D4">
        <w:t xml:space="preserve">100 municipal/city </w:t>
      </w:r>
      <w:r w:rsidR="00291518" w:rsidRPr="005021D4">
        <w:t>employees</w:t>
      </w:r>
      <w:r w:rsidRPr="005021D4">
        <w:t xml:space="preserve">. </w:t>
      </w:r>
      <w:r w:rsidR="00A850C9">
        <w:t xml:space="preserve">An estimate of 800 is made based on 50 states, 8 territories, 566 federally-recognized tribes, and additional room for various positions in health department (chronic disease, lab, infectious, etc.). </w:t>
      </w:r>
      <w:r w:rsidR="003A1D01" w:rsidRPr="005021D4">
        <w:t xml:space="preserve">CDC estimates that it will conduct up to </w:t>
      </w:r>
      <w:r w:rsidR="00052B6E" w:rsidRPr="009730BD">
        <w:t>4</w:t>
      </w:r>
      <w:r w:rsidR="00867FCF" w:rsidRPr="009730BD">
        <w:t>0</w:t>
      </w:r>
      <w:r w:rsidR="00052B6E" w:rsidRPr="009730BD">
        <w:t xml:space="preserve"> </w:t>
      </w:r>
      <w:r w:rsidR="003A1D01" w:rsidRPr="009730BD">
        <w:t>queries with State, territorial or tribal health officials</w:t>
      </w:r>
      <w:r w:rsidR="00291518" w:rsidRPr="009730BD">
        <w:t>/employees</w:t>
      </w:r>
      <w:r w:rsidR="009730BD" w:rsidRPr="00AD2F38">
        <w:t>.</w:t>
      </w:r>
      <w:r w:rsidR="00AD2F38" w:rsidRPr="00AD2F38">
        <w:rPr>
          <w:color w:val="0070C0"/>
        </w:rPr>
        <w:t xml:space="preserve"> </w:t>
      </w:r>
      <w:r w:rsidR="00AD2F38" w:rsidRPr="00680F92">
        <w:t>This includes all state, local, gov’t staff, the state programs, and the delegates.</w:t>
      </w:r>
      <w:r w:rsidR="009730BD" w:rsidRPr="00AD2F38">
        <w:t xml:space="preserve">  </w:t>
      </w:r>
      <w:r w:rsidR="00686B88" w:rsidRPr="005021D4">
        <w:t xml:space="preserve">These are </w:t>
      </w:r>
      <w:r w:rsidR="00182A64" w:rsidRPr="005021D4">
        <w:t>upper limit parameters</w:t>
      </w:r>
      <w:r w:rsidR="00686B88" w:rsidRPr="005021D4">
        <w:t xml:space="preserve"> </w:t>
      </w:r>
      <w:r w:rsidR="00182A64" w:rsidRPr="005021D4">
        <w:t>assumed</w:t>
      </w:r>
      <w:r w:rsidR="00686B88" w:rsidRPr="005021D4">
        <w:t xml:space="preserve"> for the purpose of calculation </w:t>
      </w:r>
      <w:r w:rsidR="00182A64" w:rsidRPr="005021D4">
        <w:t xml:space="preserve">of the </w:t>
      </w:r>
      <w:r w:rsidR="00686B88" w:rsidRPr="005021D4">
        <w:lastRenderedPageBreak/>
        <w:t xml:space="preserve">total burden. </w:t>
      </w:r>
      <w:r w:rsidR="00052B6E" w:rsidRPr="005021D4">
        <w:t xml:space="preserve">The actual number of </w:t>
      </w:r>
      <w:r w:rsidR="00686B88" w:rsidRPr="005021D4">
        <w:t xml:space="preserve">respondents in a </w:t>
      </w:r>
      <w:r w:rsidR="00E5557B">
        <w:t>data collection</w:t>
      </w:r>
      <w:r w:rsidR="00686B88" w:rsidRPr="005021D4">
        <w:t xml:space="preserve"> and number of </w:t>
      </w:r>
      <w:r w:rsidR="00052B6E" w:rsidRPr="005021D4">
        <w:t xml:space="preserve">queries per respondent will vary depending on the purpose of each individual generic collection request. </w:t>
      </w:r>
      <w:r w:rsidR="000F7F3A" w:rsidRPr="005021D4">
        <w:t xml:space="preserve">The universe of respondents is described in section B.1 </w:t>
      </w:r>
      <w:r w:rsidR="0037644A" w:rsidRPr="005021D4">
        <w:t xml:space="preserve">The total annualized burden hours of </w:t>
      </w:r>
      <w:r w:rsidR="00CA6383">
        <w:t>54,000</w:t>
      </w:r>
      <w:r w:rsidR="0037644A" w:rsidRPr="005021D4">
        <w:t xml:space="preserve"> is based on the following estimates</w:t>
      </w:r>
      <w:r w:rsidR="003A1D01" w:rsidRPr="005021D4">
        <w:t xml:space="preserve">. </w:t>
      </w:r>
      <w:r w:rsidR="009730BD">
        <w:t>Please note, these estimates are for one year; this is expected on an annual basis only.</w:t>
      </w:r>
    </w:p>
    <w:p w:rsidR="009730BD" w:rsidRDefault="009730BD" w:rsidP="00680F92">
      <w:pPr>
        <w:tabs>
          <w:tab w:val="left" w:pos="-1440"/>
          <w:tab w:val="left" w:pos="-720"/>
        </w:tabs>
        <w:autoSpaceDE w:val="0"/>
        <w:autoSpaceDN w:val="0"/>
        <w:adjustRightInd w:val="0"/>
        <w:ind w:right="720"/>
      </w:pPr>
    </w:p>
    <w:p w:rsidR="009730BD" w:rsidRDefault="009730BD" w:rsidP="00680F92">
      <w:pPr>
        <w:tabs>
          <w:tab w:val="left" w:pos="-1440"/>
          <w:tab w:val="left" w:pos="-720"/>
        </w:tabs>
        <w:autoSpaceDE w:val="0"/>
        <w:autoSpaceDN w:val="0"/>
        <w:adjustRightInd w:val="0"/>
        <w:ind w:right="720"/>
      </w:pPr>
    </w:p>
    <w:p w:rsidR="00D3434D" w:rsidRPr="00DD47A6" w:rsidRDefault="00202CCB" w:rsidP="0083553E">
      <w:pPr>
        <w:pStyle w:val="ListParagraph"/>
        <w:tabs>
          <w:tab w:val="left" w:pos="-1440"/>
          <w:tab w:val="left" w:pos="-720"/>
        </w:tabs>
        <w:autoSpaceDE w:val="0"/>
        <w:autoSpaceDN w:val="0"/>
        <w:adjustRightInd w:val="0"/>
        <w:ind w:right="720"/>
        <w:rPr>
          <w:u w:val="single"/>
        </w:rPr>
      </w:pPr>
      <w:r>
        <w:t xml:space="preserve">Table A-12: </w:t>
      </w:r>
      <w:r w:rsidR="0037644A" w:rsidRPr="005021D4">
        <w:t xml:space="preserve"> </w:t>
      </w:r>
      <w:r w:rsidRPr="00202CCB">
        <w:t>Estimated Annualized Burden Hours and Costs to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1476"/>
        <w:gridCol w:w="1476"/>
        <w:gridCol w:w="1616"/>
        <w:gridCol w:w="1847"/>
      </w:tblGrid>
      <w:tr w:rsidR="002D1EDB" w:rsidRPr="00DD47A6" w:rsidTr="00C44E34">
        <w:tc>
          <w:tcPr>
            <w:tcW w:w="2639" w:type="dxa"/>
          </w:tcPr>
          <w:p w:rsidR="005F1361" w:rsidRPr="00DD47A6" w:rsidRDefault="003A1D01" w:rsidP="00EC2D2F">
            <w:r w:rsidRPr="00DD47A6">
              <w:t>Type of Respondent</w:t>
            </w:r>
          </w:p>
        </w:tc>
        <w:tc>
          <w:tcPr>
            <w:tcW w:w="1476" w:type="dxa"/>
          </w:tcPr>
          <w:p w:rsidR="005F1361" w:rsidRPr="00DD47A6" w:rsidRDefault="003A1D01" w:rsidP="00EC2D2F">
            <w:r w:rsidRPr="00DD47A6">
              <w:t>No. of Respondents</w:t>
            </w:r>
          </w:p>
        </w:tc>
        <w:tc>
          <w:tcPr>
            <w:tcW w:w="1476" w:type="dxa"/>
          </w:tcPr>
          <w:p w:rsidR="005F1361" w:rsidRPr="00DD47A6" w:rsidRDefault="003A1D01" w:rsidP="00043667">
            <w:r w:rsidRPr="00DD47A6">
              <w:t xml:space="preserve">No. </w:t>
            </w:r>
            <w:r w:rsidR="00096D97" w:rsidRPr="00DD47A6">
              <w:t>of</w:t>
            </w:r>
            <w:r w:rsidR="003F2648" w:rsidRPr="00DD47A6">
              <w:t xml:space="preserve"> </w:t>
            </w:r>
            <w:r w:rsidR="00E5557B">
              <w:t>Data collection</w:t>
            </w:r>
            <w:r w:rsidR="00043667" w:rsidRPr="00DD47A6">
              <w:t xml:space="preserve">s </w:t>
            </w:r>
            <w:r w:rsidRPr="00DD47A6">
              <w:t>per Respondent</w:t>
            </w:r>
            <w:r w:rsidR="00096D97" w:rsidRPr="00DD47A6">
              <w:t xml:space="preserve"> Type</w:t>
            </w:r>
          </w:p>
        </w:tc>
        <w:tc>
          <w:tcPr>
            <w:tcW w:w="1616" w:type="dxa"/>
          </w:tcPr>
          <w:p w:rsidR="005F1361" w:rsidRPr="00DD47A6" w:rsidRDefault="003A1D01" w:rsidP="00477AF4">
            <w:r w:rsidRPr="00DD47A6">
              <w:t>Average Burden per Respon</w:t>
            </w:r>
            <w:r w:rsidR="00792E6D" w:rsidRPr="00DD47A6">
              <w:t>dent</w:t>
            </w:r>
            <w:r w:rsidR="00C8199C" w:rsidRPr="00DD47A6">
              <w:t xml:space="preserve"> </w:t>
            </w:r>
            <w:r w:rsidRPr="00DD47A6">
              <w:t xml:space="preserve">(in </w:t>
            </w:r>
            <w:r w:rsidR="00477AF4" w:rsidRPr="00DD47A6">
              <w:t>Hours</w:t>
            </w:r>
            <w:r w:rsidRPr="00DD47A6">
              <w:t>)</w:t>
            </w:r>
          </w:p>
        </w:tc>
        <w:tc>
          <w:tcPr>
            <w:tcW w:w="1847" w:type="dxa"/>
          </w:tcPr>
          <w:p w:rsidR="005F1361" w:rsidRPr="00DD47A6" w:rsidRDefault="003A1D01" w:rsidP="00EC2D2F">
            <w:r w:rsidRPr="00DD47A6">
              <w:t>Total Burden Hours (annual)</w:t>
            </w:r>
          </w:p>
        </w:tc>
      </w:tr>
      <w:tr w:rsidR="002D1EDB" w:rsidRPr="00DD47A6" w:rsidTr="00C44E34">
        <w:tc>
          <w:tcPr>
            <w:tcW w:w="2639" w:type="dxa"/>
          </w:tcPr>
          <w:p w:rsidR="005F1361" w:rsidRPr="00DD47A6" w:rsidRDefault="003A1D01" w:rsidP="00C44E34">
            <w:r w:rsidRPr="00DD47A6">
              <w:t xml:space="preserve">State, Territorial, or Tribal </w:t>
            </w:r>
            <w:r w:rsidR="00C44E34" w:rsidRPr="00DD47A6">
              <w:t>government staff</w:t>
            </w:r>
            <w:r w:rsidR="001B6EA3">
              <w:t xml:space="preserve"> or delegate</w:t>
            </w:r>
          </w:p>
        </w:tc>
        <w:tc>
          <w:tcPr>
            <w:tcW w:w="1476" w:type="dxa"/>
          </w:tcPr>
          <w:p w:rsidR="005F1361" w:rsidRPr="00DD47A6" w:rsidRDefault="00AE1A70" w:rsidP="00C8199C">
            <w:pPr>
              <w:jc w:val="center"/>
            </w:pPr>
            <w:r>
              <w:t>800</w:t>
            </w:r>
          </w:p>
        </w:tc>
        <w:tc>
          <w:tcPr>
            <w:tcW w:w="1476" w:type="dxa"/>
          </w:tcPr>
          <w:p w:rsidR="005F1361" w:rsidRPr="00DD47A6" w:rsidRDefault="00BB0087" w:rsidP="00C8199C">
            <w:pPr>
              <w:jc w:val="center"/>
            </w:pPr>
            <w:r>
              <w:t>30</w:t>
            </w:r>
          </w:p>
        </w:tc>
        <w:tc>
          <w:tcPr>
            <w:tcW w:w="1616" w:type="dxa"/>
          </w:tcPr>
          <w:p w:rsidR="005F1361" w:rsidRPr="00DD47A6" w:rsidRDefault="003A1D01" w:rsidP="00C8199C">
            <w:pPr>
              <w:jc w:val="center"/>
            </w:pPr>
            <w:r w:rsidRPr="00DD47A6">
              <w:t>1</w:t>
            </w:r>
          </w:p>
        </w:tc>
        <w:tc>
          <w:tcPr>
            <w:tcW w:w="1847" w:type="dxa"/>
          </w:tcPr>
          <w:p w:rsidR="005F1361" w:rsidRPr="00DD47A6" w:rsidRDefault="00BB0087" w:rsidP="00C8199C">
            <w:pPr>
              <w:jc w:val="center"/>
            </w:pPr>
            <w:r>
              <w:t>24,000</w:t>
            </w:r>
          </w:p>
        </w:tc>
      </w:tr>
      <w:tr w:rsidR="002D1EDB" w:rsidRPr="00DD47A6" w:rsidTr="00C44E34">
        <w:tc>
          <w:tcPr>
            <w:tcW w:w="2639" w:type="dxa"/>
          </w:tcPr>
          <w:p w:rsidR="005F1361" w:rsidRPr="00DD47A6" w:rsidRDefault="00C44E34" w:rsidP="00C44E34">
            <w:r w:rsidRPr="00DD47A6">
              <w:t>Local/</w:t>
            </w:r>
            <w:r w:rsidR="00291518" w:rsidRPr="00DD47A6">
              <w:t>County</w:t>
            </w:r>
            <w:r w:rsidRPr="00DD47A6">
              <w:t>/City</w:t>
            </w:r>
            <w:r w:rsidR="00291518" w:rsidRPr="00DD47A6">
              <w:t xml:space="preserve"> </w:t>
            </w:r>
            <w:r w:rsidRPr="00DD47A6">
              <w:t>government staff</w:t>
            </w:r>
            <w:r w:rsidR="001B6EA3">
              <w:t xml:space="preserve"> or delegate</w:t>
            </w:r>
          </w:p>
        </w:tc>
        <w:tc>
          <w:tcPr>
            <w:tcW w:w="1476" w:type="dxa"/>
          </w:tcPr>
          <w:p w:rsidR="005F1361" w:rsidRPr="00DD47A6" w:rsidRDefault="00052B6E" w:rsidP="00C8199C">
            <w:pPr>
              <w:jc w:val="center"/>
            </w:pPr>
            <w:r w:rsidRPr="00DD47A6">
              <w:t>3</w:t>
            </w:r>
            <w:r w:rsidR="00D914F2">
              <w:t>,</w:t>
            </w:r>
            <w:r w:rsidRPr="00DD47A6">
              <w:t>0</w:t>
            </w:r>
            <w:r w:rsidR="003A1D01" w:rsidRPr="00DD47A6">
              <w:t>00</w:t>
            </w:r>
          </w:p>
        </w:tc>
        <w:tc>
          <w:tcPr>
            <w:tcW w:w="1476" w:type="dxa"/>
          </w:tcPr>
          <w:p w:rsidR="005F1361" w:rsidRPr="00DD47A6" w:rsidRDefault="003944D8" w:rsidP="00C8199C">
            <w:pPr>
              <w:jc w:val="center"/>
            </w:pPr>
            <w:r w:rsidRPr="00DD47A6">
              <w:t>10</w:t>
            </w:r>
          </w:p>
        </w:tc>
        <w:tc>
          <w:tcPr>
            <w:tcW w:w="1616" w:type="dxa"/>
          </w:tcPr>
          <w:p w:rsidR="005F1361" w:rsidRPr="00DD47A6" w:rsidRDefault="00C8199C" w:rsidP="00C8199C">
            <w:pPr>
              <w:jc w:val="center"/>
            </w:pPr>
            <w:r w:rsidRPr="00DD47A6">
              <w:t>1</w:t>
            </w:r>
          </w:p>
        </w:tc>
        <w:tc>
          <w:tcPr>
            <w:tcW w:w="1847" w:type="dxa"/>
          </w:tcPr>
          <w:p w:rsidR="005F1361" w:rsidRPr="00DD47A6" w:rsidRDefault="003944D8" w:rsidP="00C8199C">
            <w:pPr>
              <w:jc w:val="center"/>
            </w:pPr>
            <w:r w:rsidRPr="00DD47A6">
              <w:t>30</w:t>
            </w:r>
            <w:r w:rsidR="00052B6E" w:rsidRPr="00DD47A6">
              <w:t>,00</w:t>
            </w:r>
            <w:r w:rsidR="003A1D01" w:rsidRPr="00DD47A6">
              <w:t>0</w:t>
            </w:r>
          </w:p>
        </w:tc>
      </w:tr>
      <w:tr w:rsidR="00C44E34" w:rsidRPr="005021D4" w:rsidTr="00C44E34">
        <w:tc>
          <w:tcPr>
            <w:tcW w:w="2639" w:type="dxa"/>
          </w:tcPr>
          <w:p w:rsidR="00C44E34" w:rsidRPr="00DD47A6" w:rsidRDefault="00C44E34" w:rsidP="00786ACA">
            <w:r w:rsidRPr="00DD47A6">
              <w:t>Total</w:t>
            </w:r>
          </w:p>
        </w:tc>
        <w:tc>
          <w:tcPr>
            <w:tcW w:w="1476" w:type="dxa"/>
          </w:tcPr>
          <w:p w:rsidR="00C44E34" w:rsidRPr="00DD47A6" w:rsidRDefault="00C44E34" w:rsidP="00C8199C">
            <w:pPr>
              <w:jc w:val="center"/>
            </w:pPr>
          </w:p>
        </w:tc>
        <w:tc>
          <w:tcPr>
            <w:tcW w:w="1476" w:type="dxa"/>
          </w:tcPr>
          <w:p w:rsidR="00C44E34" w:rsidRPr="00DD47A6" w:rsidRDefault="001F57AF" w:rsidP="00C8199C">
            <w:pPr>
              <w:jc w:val="center"/>
            </w:pPr>
            <w:r>
              <w:t>40</w:t>
            </w:r>
          </w:p>
        </w:tc>
        <w:tc>
          <w:tcPr>
            <w:tcW w:w="1616" w:type="dxa"/>
          </w:tcPr>
          <w:p w:rsidR="00C44E34" w:rsidRPr="00DD47A6" w:rsidRDefault="00C44E34" w:rsidP="00C8199C">
            <w:pPr>
              <w:jc w:val="center"/>
            </w:pPr>
          </w:p>
        </w:tc>
        <w:tc>
          <w:tcPr>
            <w:tcW w:w="1847" w:type="dxa"/>
          </w:tcPr>
          <w:p w:rsidR="00C44E34" w:rsidRPr="005021D4" w:rsidRDefault="00BB0087" w:rsidP="00C8199C">
            <w:pPr>
              <w:jc w:val="center"/>
            </w:pPr>
            <w:r>
              <w:t>54,000</w:t>
            </w:r>
          </w:p>
        </w:tc>
      </w:tr>
    </w:tbl>
    <w:p w:rsidR="0061300F" w:rsidRPr="005021D4" w:rsidRDefault="0061300F" w:rsidP="0083553E">
      <w:pPr>
        <w:pStyle w:val="ListParagraph"/>
        <w:tabs>
          <w:tab w:val="left" w:pos="-1440"/>
          <w:tab w:val="left" w:pos="-720"/>
        </w:tabs>
        <w:autoSpaceDE w:val="0"/>
        <w:autoSpaceDN w:val="0"/>
        <w:adjustRightInd w:val="0"/>
        <w:ind w:right="720"/>
        <w:rPr>
          <w:u w:val="single"/>
        </w:rPr>
      </w:pPr>
    </w:p>
    <w:p w:rsidR="000F63DA" w:rsidRPr="00202CCB" w:rsidRDefault="003A1D01" w:rsidP="0083553E">
      <w:pPr>
        <w:pStyle w:val="ListParagraph"/>
        <w:numPr>
          <w:ilvl w:val="0"/>
          <w:numId w:val="5"/>
        </w:numPr>
        <w:tabs>
          <w:tab w:val="left" w:pos="-1440"/>
          <w:tab w:val="left" w:pos="-720"/>
        </w:tabs>
        <w:autoSpaceDE w:val="0"/>
        <w:autoSpaceDN w:val="0"/>
        <w:adjustRightInd w:val="0"/>
        <w:ind w:right="720"/>
        <w:rPr>
          <w:b/>
        </w:rPr>
      </w:pPr>
      <w:r w:rsidRPr="00202CCB">
        <w:rPr>
          <w:b/>
        </w:rPr>
        <w:t xml:space="preserve">Estimate of  </w:t>
      </w:r>
      <w:r w:rsidR="00446132" w:rsidRPr="00202CCB">
        <w:rPr>
          <w:b/>
        </w:rPr>
        <w:t xml:space="preserve">Other </w:t>
      </w:r>
      <w:r w:rsidRPr="00202CCB">
        <w:rPr>
          <w:b/>
        </w:rPr>
        <w:t>Total Annual Cost Burden to Respondents or Record Keepers</w:t>
      </w:r>
    </w:p>
    <w:p w:rsidR="0061300F" w:rsidRPr="005021D4" w:rsidRDefault="0061300F" w:rsidP="0083553E">
      <w:pPr>
        <w:pStyle w:val="CM89"/>
        <w:spacing w:after="240" w:line="228" w:lineRule="atLeast"/>
        <w:rPr>
          <w:rFonts w:ascii="Times New Roman" w:hAnsi="Times New Roman" w:cs="Times New Roman"/>
          <w:color w:val="000000"/>
        </w:rPr>
      </w:pPr>
      <w:r w:rsidRPr="005021D4">
        <w:rPr>
          <w:rFonts w:ascii="Times New Roman" w:hAnsi="Times New Roman" w:cs="Times New Roman"/>
          <w:color w:val="000000"/>
        </w:rPr>
        <w:t xml:space="preserve">An average hourly salary of approximately $18.09 is assumed for all respondents, based on the Department of Labor (DOL) National Compensation Survey. Because of the scope of this generic clearance and the variety of the types of participants, the average salary was utilized rather than attempting to estimate salaries for groups of audiences. With a maximum annual respondent burden of </w:t>
      </w:r>
      <w:r w:rsidR="00BB0087">
        <w:rPr>
          <w:rFonts w:ascii="Times New Roman" w:hAnsi="Times New Roman" w:cs="Times New Roman"/>
          <w:color w:val="000000"/>
        </w:rPr>
        <w:t>54,000</w:t>
      </w:r>
      <w:r w:rsidRPr="005021D4">
        <w:rPr>
          <w:rFonts w:ascii="Times New Roman" w:hAnsi="Times New Roman" w:cs="Times New Roman"/>
          <w:color w:val="000000"/>
        </w:rPr>
        <w:t xml:space="preserve"> hours, the overall annual cost of respondents’ time for the proposed </w:t>
      </w:r>
      <w:r w:rsidR="0037475C" w:rsidRPr="005021D4">
        <w:rPr>
          <w:rFonts w:ascii="Times New Roman" w:hAnsi="Times New Roman" w:cs="Times New Roman"/>
          <w:color w:val="000000"/>
        </w:rPr>
        <w:t xml:space="preserve">collection </w:t>
      </w:r>
      <w:r w:rsidRPr="005021D4">
        <w:rPr>
          <w:rFonts w:ascii="Times New Roman" w:hAnsi="Times New Roman" w:cs="Times New Roman"/>
          <w:color w:val="000000"/>
        </w:rPr>
        <w:t>is estimated to be a maximum $</w:t>
      </w:r>
      <w:r w:rsidR="00BB0087">
        <w:rPr>
          <w:rFonts w:ascii="Times New Roman" w:hAnsi="Times New Roman" w:cs="Times New Roman"/>
          <w:color w:val="000000"/>
        </w:rPr>
        <w:t>976,860</w:t>
      </w:r>
      <w:r w:rsidR="00DD47A6" w:rsidRPr="00DD47A6">
        <w:rPr>
          <w:rFonts w:ascii="Times New Roman" w:hAnsi="Times New Roman" w:cs="Times New Roman"/>
          <w:color w:val="000000"/>
        </w:rPr>
        <w:t xml:space="preserve"> </w:t>
      </w:r>
      <w:r w:rsidRPr="005021D4">
        <w:rPr>
          <w:rFonts w:ascii="Times New Roman" w:hAnsi="Times New Roman" w:cs="Times New Roman"/>
          <w:color w:val="000000"/>
        </w:rPr>
        <w:t>(</w:t>
      </w:r>
      <w:r w:rsidR="00DD47A6">
        <w:rPr>
          <w:rFonts w:ascii="Times New Roman" w:hAnsi="Times New Roman" w:cs="Times New Roman"/>
          <w:color w:val="000000"/>
        </w:rPr>
        <w:t>5</w:t>
      </w:r>
      <w:r w:rsidR="00BB0087">
        <w:rPr>
          <w:rFonts w:ascii="Times New Roman" w:hAnsi="Times New Roman" w:cs="Times New Roman"/>
          <w:color w:val="000000"/>
        </w:rPr>
        <w:t>4,000</w:t>
      </w:r>
      <w:r w:rsidR="00F6345E" w:rsidRPr="00F6345E">
        <w:rPr>
          <w:rFonts w:ascii="Times New Roman" w:hAnsi="Times New Roman" w:cs="Times New Roman"/>
          <w:color w:val="000000"/>
        </w:rPr>
        <w:t xml:space="preserve"> </w:t>
      </w:r>
      <w:r w:rsidRPr="005021D4">
        <w:rPr>
          <w:rFonts w:ascii="Times New Roman" w:hAnsi="Times New Roman" w:cs="Times New Roman"/>
          <w:color w:val="000000"/>
        </w:rPr>
        <w:t>hrs x $18.09). There will be no direct costs to the respondents other than their ti</w:t>
      </w:r>
      <w:r w:rsidR="00F6345E">
        <w:rPr>
          <w:rFonts w:ascii="Times New Roman" w:hAnsi="Times New Roman" w:cs="Times New Roman"/>
          <w:color w:val="000000"/>
        </w:rPr>
        <w:t>me to participate in each data collection</w:t>
      </w:r>
      <w:r w:rsidRPr="005021D4">
        <w:rPr>
          <w:rFonts w:ascii="Times New Roman" w:hAnsi="Times New Roman" w:cs="Times New Roman"/>
          <w:color w:val="000000"/>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80"/>
        <w:gridCol w:w="1980"/>
        <w:gridCol w:w="3690"/>
      </w:tblGrid>
      <w:tr w:rsidR="0061300F" w:rsidRPr="005021D4" w:rsidTr="0083553E">
        <w:trPr>
          <w:trHeight w:val="151"/>
        </w:trPr>
        <w:tc>
          <w:tcPr>
            <w:tcW w:w="3780" w:type="dxa"/>
            <w:tcBorders>
              <w:top w:val="single" w:sz="6" w:space="0" w:color="000000"/>
              <w:left w:val="single" w:sz="4" w:space="0" w:color="000000"/>
              <w:bottom w:val="single" w:sz="4" w:space="0" w:color="000000"/>
              <w:right w:val="single" w:sz="4" w:space="0" w:color="000000"/>
            </w:tcBorders>
            <w:vAlign w:val="center"/>
          </w:tcPr>
          <w:p w:rsidR="0061300F" w:rsidRPr="005021D4" w:rsidRDefault="0061300F">
            <w:pPr>
              <w:pStyle w:val="Default"/>
              <w:rPr>
                <w:rFonts w:ascii="Times New Roman" w:hAnsi="Times New Roman" w:cs="Times New Roman"/>
              </w:rPr>
            </w:pPr>
            <w:r w:rsidRPr="005021D4">
              <w:rPr>
                <w:rFonts w:ascii="Times New Roman" w:hAnsi="Times New Roman" w:cs="Times New Roman"/>
                <w:b/>
                <w:bCs/>
              </w:rPr>
              <w:t xml:space="preserve">Estimated Annualized Burden Cost Total Respondent Hours </w:t>
            </w:r>
          </w:p>
        </w:tc>
        <w:tc>
          <w:tcPr>
            <w:tcW w:w="1980" w:type="dxa"/>
            <w:tcBorders>
              <w:top w:val="single" w:sz="6" w:space="0" w:color="000000"/>
              <w:left w:val="single" w:sz="4" w:space="0" w:color="000000"/>
              <w:bottom w:val="single" w:sz="4" w:space="0" w:color="000000"/>
              <w:right w:val="single" w:sz="4" w:space="0" w:color="000000"/>
            </w:tcBorders>
            <w:vAlign w:val="center"/>
          </w:tcPr>
          <w:p w:rsidR="0061300F" w:rsidRPr="005021D4" w:rsidRDefault="0061300F">
            <w:pPr>
              <w:pStyle w:val="Default"/>
              <w:rPr>
                <w:rFonts w:ascii="Times New Roman" w:hAnsi="Times New Roman" w:cs="Times New Roman"/>
              </w:rPr>
            </w:pPr>
            <w:r w:rsidRPr="005021D4">
              <w:rPr>
                <w:rFonts w:ascii="Times New Roman" w:hAnsi="Times New Roman" w:cs="Times New Roman"/>
                <w:b/>
                <w:bCs/>
              </w:rPr>
              <w:t xml:space="preserve">Hourly pay rate </w:t>
            </w:r>
          </w:p>
        </w:tc>
        <w:tc>
          <w:tcPr>
            <w:tcW w:w="3690" w:type="dxa"/>
            <w:tcBorders>
              <w:top w:val="single" w:sz="6" w:space="0" w:color="000000"/>
              <w:left w:val="single" w:sz="4" w:space="0" w:color="000000"/>
              <w:bottom w:val="single" w:sz="4" w:space="0" w:color="000000"/>
              <w:right w:val="single" w:sz="4" w:space="0" w:color="000000"/>
            </w:tcBorders>
            <w:vAlign w:val="center"/>
          </w:tcPr>
          <w:p w:rsidR="0061300F" w:rsidRPr="005021D4" w:rsidRDefault="0061300F">
            <w:pPr>
              <w:pStyle w:val="Default"/>
              <w:rPr>
                <w:rFonts w:ascii="Times New Roman" w:hAnsi="Times New Roman" w:cs="Times New Roman"/>
              </w:rPr>
            </w:pPr>
            <w:r w:rsidRPr="005021D4">
              <w:rPr>
                <w:rFonts w:ascii="Times New Roman" w:hAnsi="Times New Roman" w:cs="Times New Roman"/>
                <w:b/>
                <w:bCs/>
              </w:rPr>
              <w:t xml:space="preserve">Total Respondent Burden </w:t>
            </w:r>
          </w:p>
        </w:tc>
      </w:tr>
      <w:tr w:rsidR="0061300F" w:rsidRPr="005021D4" w:rsidTr="0083553E">
        <w:trPr>
          <w:trHeight w:val="146"/>
        </w:trPr>
        <w:tc>
          <w:tcPr>
            <w:tcW w:w="3780" w:type="dxa"/>
            <w:tcBorders>
              <w:top w:val="single" w:sz="4" w:space="0" w:color="000000"/>
              <w:left w:val="single" w:sz="4" w:space="0" w:color="000000"/>
              <w:bottom w:val="single" w:sz="6" w:space="0" w:color="000000"/>
              <w:right w:val="single" w:sz="4" w:space="0" w:color="000000"/>
            </w:tcBorders>
            <w:vAlign w:val="center"/>
          </w:tcPr>
          <w:p w:rsidR="0061300F" w:rsidRPr="00DD47A6" w:rsidRDefault="00BB0087" w:rsidP="0061300F">
            <w:pPr>
              <w:pStyle w:val="Default"/>
              <w:rPr>
                <w:rFonts w:ascii="Times New Roman" w:hAnsi="Times New Roman" w:cs="Times New Roman"/>
              </w:rPr>
            </w:pPr>
            <w:r>
              <w:rPr>
                <w:rFonts w:ascii="Times New Roman" w:hAnsi="Times New Roman" w:cs="Times New Roman"/>
              </w:rPr>
              <w:t>54,000</w:t>
            </w:r>
          </w:p>
        </w:tc>
        <w:tc>
          <w:tcPr>
            <w:tcW w:w="1980" w:type="dxa"/>
            <w:tcBorders>
              <w:top w:val="single" w:sz="4" w:space="0" w:color="000000"/>
              <w:left w:val="single" w:sz="4" w:space="0" w:color="000000"/>
              <w:bottom w:val="single" w:sz="6" w:space="0" w:color="000000"/>
              <w:right w:val="single" w:sz="4" w:space="0" w:color="000000"/>
            </w:tcBorders>
            <w:vAlign w:val="center"/>
          </w:tcPr>
          <w:p w:rsidR="0061300F" w:rsidRPr="00DD47A6" w:rsidRDefault="0061300F">
            <w:pPr>
              <w:pStyle w:val="Default"/>
              <w:rPr>
                <w:rFonts w:ascii="Times New Roman" w:hAnsi="Times New Roman" w:cs="Times New Roman"/>
              </w:rPr>
            </w:pPr>
            <w:r w:rsidRPr="00DD47A6">
              <w:rPr>
                <w:rFonts w:ascii="Times New Roman" w:hAnsi="Times New Roman" w:cs="Times New Roman"/>
              </w:rPr>
              <w:t xml:space="preserve">$18.09 </w:t>
            </w:r>
          </w:p>
        </w:tc>
        <w:tc>
          <w:tcPr>
            <w:tcW w:w="3690" w:type="dxa"/>
            <w:tcBorders>
              <w:top w:val="single" w:sz="4" w:space="0" w:color="000000"/>
              <w:left w:val="single" w:sz="4" w:space="0" w:color="000000"/>
              <w:bottom w:val="single" w:sz="6" w:space="0" w:color="000000"/>
              <w:right w:val="single" w:sz="4" w:space="0" w:color="000000"/>
            </w:tcBorders>
            <w:vAlign w:val="center"/>
          </w:tcPr>
          <w:p w:rsidR="0061300F" w:rsidRPr="00DD47A6" w:rsidRDefault="0061300F" w:rsidP="00BB0087">
            <w:pPr>
              <w:pStyle w:val="Default"/>
              <w:rPr>
                <w:rFonts w:ascii="Times New Roman" w:hAnsi="Times New Roman" w:cs="Times New Roman"/>
              </w:rPr>
            </w:pPr>
            <w:r w:rsidRPr="00DD47A6">
              <w:rPr>
                <w:rFonts w:ascii="Times New Roman" w:hAnsi="Times New Roman" w:cs="Times New Roman"/>
              </w:rPr>
              <w:t>$</w:t>
            </w:r>
            <w:r w:rsidR="00BB0087">
              <w:rPr>
                <w:rFonts w:ascii="Times New Roman" w:hAnsi="Times New Roman" w:cs="Times New Roman"/>
              </w:rPr>
              <w:t>976,860</w:t>
            </w:r>
          </w:p>
        </w:tc>
      </w:tr>
    </w:tbl>
    <w:p w:rsidR="007C4B95" w:rsidRPr="005021D4" w:rsidRDefault="007C4B95" w:rsidP="0083553E">
      <w:pPr>
        <w:pStyle w:val="ListParagraph"/>
        <w:tabs>
          <w:tab w:val="left" w:pos="-1440"/>
          <w:tab w:val="left" w:pos="-720"/>
        </w:tabs>
        <w:autoSpaceDE w:val="0"/>
        <w:autoSpaceDN w:val="0"/>
        <w:adjustRightInd w:val="0"/>
        <w:ind w:right="720"/>
      </w:pPr>
    </w:p>
    <w:p w:rsidR="000F63DA" w:rsidRPr="00202CCB" w:rsidRDefault="003A1D01" w:rsidP="0083553E">
      <w:pPr>
        <w:pStyle w:val="ListParagraph"/>
        <w:numPr>
          <w:ilvl w:val="0"/>
          <w:numId w:val="5"/>
        </w:numPr>
        <w:tabs>
          <w:tab w:val="left" w:pos="-1440"/>
          <w:tab w:val="left" w:pos="-720"/>
        </w:tabs>
        <w:autoSpaceDE w:val="0"/>
        <w:autoSpaceDN w:val="0"/>
        <w:adjustRightInd w:val="0"/>
        <w:ind w:right="720"/>
        <w:rPr>
          <w:b/>
        </w:rPr>
      </w:pPr>
      <w:r w:rsidRPr="00202CCB">
        <w:rPr>
          <w:b/>
        </w:rPr>
        <w:t>Annualized Cost to the</w:t>
      </w:r>
      <w:r w:rsidRPr="00202CCB">
        <w:rPr>
          <w:b/>
          <w:u w:val="single"/>
        </w:rPr>
        <w:t xml:space="preserve"> </w:t>
      </w:r>
      <w:r w:rsidRPr="00202CCB">
        <w:rPr>
          <w:b/>
        </w:rPr>
        <w:t>Government</w:t>
      </w:r>
    </w:p>
    <w:p w:rsidR="00BB0087" w:rsidRPr="005021D4" w:rsidRDefault="003A1D01" w:rsidP="00F6345E">
      <w:pPr>
        <w:tabs>
          <w:tab w:val="left" w:pos="-1440"/>
          <w:tab w:val="left" w:pos="-720"/>
        </w:tabs>
        <w:autoSpaceDE w:val="0"/>
        <w:autoSpaceDN w:val="0"/>
        <w:adjustRightInd w:val="0"/>
        <w:ind w:right="720"/>
      </w:pPr>
      <w:r w:rsidRPr="005021D4">
        <w:t xml:space="preserve">There are no equipment or overhead costs.  The only cost to the federal government would be the salary of CDC staff supporting the data collection activities and associated tasks. </w:t>
      </w:r>
      <w:r w:rsidR="001251A5">
        <w:t>GenIC</w:t>
      </w:r>
      <w:r w:rsidR="00F6345E">
        <w:t>s</w:t>
      </w:r>
      <w:r w:rsidR="00DC78EE" w:rsidRPr="005021D4">
        <w:rPr>
          <w:color w:val="000000"/>
        </w:rPr>
        <w:t xml:space="preserve"> will be prepared by contractors or CDC staff (FTE). An FTE manager will review all </w:t>
      </w:r>
      <w:r w:rsidR="00E5557B">
        <w:rPr>
          <w:color w:val="000000"/>
        </w:rPr>
        <w:t>data collection</w:t>
      </w:r>
      <w:r w:rsidR="00DC78EE" w:rsidRPr="005021D4">
        <w:rPr>
          <w:color w:val="000000"/>
        </w:rPr>
        <w:t xml:space="preserve">s. Usability teams will vary across CDC teams but typically an FTE and contractor will work together on </w:t>
      </w:r>
      <w:r w:rsidR="00E5557B">
        <w:rPr>
          <w:color w:val="000000"/>
        </w:rPr>
        <w:t>data collection</w:t>
      </w:r>
      <w:r w:rsidR="00DC78EE" w:rsidRPr="005021D4">
        <w:rPr>
          <w:color w:val="000000"/>
        </w:rPr>
        <w:t xml:space="preserve"> preparations, conducting the </w:t>
      </w:r>
      <w:r w:rsidR="00E5557B">
        <w:rPr>
          <w:color w:val="000000"/>
        </w:rPr>
        <w:t>data collection</w:t>
      </w:r>
      <w:r w:rsidR="00DC78EE" w:rsidRPr="005021D4">
        <w:rPr>
          <w:color w:val="000000"/>
        </w:rPr>
        <w:t xml:space="preserve">s, and analyzing data. Additionally, a senior level FTE will typically review and approve the activities. The amount of time staff and contractors spend on </w:t>
      </w:r>
      <w:r w:rsidR="00E5557B">
        <w:rPr>
          <w:color w:val="000000"/>
        </w:rPr>
        <w:t>data collection</w:t>
      </w:r>
      <w:r w:rsidR="00DC78EE" w:rsidRPr="005021D4">
        <w:rPr>
          <w:color w:val="000000"/>
        </w:rPr>
        <w:t xml:space="preserve">s will vary depending on the number of participants for each </w:t>
      </w:r>
      <w:r w:rsidR="00E5557B">
        <w:rPr>
          <w:color w:val="000000"/>
        </w:rPr>
        <w:t>data collection</w:t>
      </w:r>
      <w:r w:rsidR="00DC78EE" w:rsidRPr="005021D4">
        <w:rPr>
          <w:color w:val="000000"/>
        </w:rPr>
        <w:t xml:space="preserve">, the number of questions. </w:t>
      </w:r>
      <w:r w:rsidR="0031356F">
        <w:rPr>
          <w:color w:val="000000"/>
        </w:rPr>
        <w:t>A maximum</w:t>
      </w:r>
      <w:r w:rsidR="00DC78EE" w:rsidRPr="005021D4">
        <w:rPr>
          <w:color w:val="000000"/>
        </w:rPr>
        <w:t xml:space="preserve"> number of</w:t>
      </w:r>
      <w:r w:rsidR="0031356F">
        <w:rPr>
          <w:color w:val="000000"/>
        </w:rPr>
        <w:t xml:space="preserve"> </w:t>
      </w:r>
      <w:r w:rsidR="00B63483" w:rsidRPr="00FD3268">
        <w:rPr>
          <w:color w:val="000000"/>
        </w:rPr>
        <w:t>40</w:t>
      </w:r>
      <w:r w:rsidR="00DC78EE" w:rsidRPr="00FD3268">
        <w:rPr>
          <w:color w:val="000000"/>
        </w:rPr>
        <w:t xml:space="preserve"> </w:t>
      </w:r>
      <w:r w:rsidR="00E5557B" w:rsidRPr="00FD3268">
        <w:rPr>
          <w:color w:val="000000"/>
        </w:rPr>
        <w:t>data collection</w:t>
      </w:r>
      <w:r w:rsidR="00DC78EE" w:rsidRPr="00FD3268">
        <w:rPr>
          <w:color w:val="000000"/>
        </w:rPr>
        <w:t>s a year was assumed for estimation purposes</w:t>
      </w:r>
      <w:r w:rsidR="0031356F" w:rsidRPr="00FD3268">
        <w:rPr>
          <w:color w:val="000000"/>
        </w:rPr>
        <w:t xml:space="preserve"> (</w:t>
      </w:r>
      <w:r w:rsidR="00FD3268" w:rsidRPr="00FD3268">
        <w:rPr>
          <w:color w:val="000000"/>
        </w:rPr>
        <w:t>35</w:t>
      </w:r>
      <w:r w:rsidR="000F7F3A" w:rsidRPr="00FD3268">
        <w:rPr>
          <w:color w:val="000000"/>
        </w:rPr>
        <w:t xml:space="preserve"> w</w:t>
      </w:r>
      <w:r w:rsidR="0037644A" w:rsidRPr="00FD3268">
        <w:rPr>
          <w:color w:val="000000"/>
        </w:rPr>
        <w:t>eb-bas</w:t>
      </w:r>
      <w:r w:rsidR="000F7F3A" w:rsidRPr="00FD3268">
        <w:rPr>
          <w:color w:val="000000"/>
        </w:rPr>
        <w:t>e</w:t>
      </w:r>
      <w:r w:rsidR="0037644A" w:rsidRPr="00FD3268">
        <w:rPr>
          <w:color w:val="000000"/>
        </w:rPr>
        <w:t xml:space="preserve">d and </w:t>
      </w:r>
      <w:r w:rsidR="00FD3268" w:rsidRPr="00FD3268">
        <w:rPr>
          <w:color w:val="000000"/>
        </w:rPr>
        <w:t>5</w:t>
      </w:r>
      <w:r w:rsidR="0037644A" w:rsidRPr="00FD3268">
        <w:rPr>
          <w:color w:val="000000"/>
        </w:rPr>
        <w:t xml:space="preserve"> in-person</w:t>
      </w:r>
      <w:r w:rsidR="0037644A" w:rsidRPr="005021D4">
        <w:rPr>
          <w:color w:val="000000"/>
        </w:rPr>
        <w:t>)</w:t>
      </w:r>
      <w:r w:rsidR="00DC78EE" w:rsidRPr="005021D4">
        <w:rPr>
          <w:color w:val="000000"/>
        </w:rPr>
        <w:t xml:space="preserve">. </w:t>
      </w:r>
      <w:r w:rsidR="00A850C9">
        <w:rPr>
          <w:color w:val="000000"/>
        </w:rPr>
        <w:t xml:space="preserve">These are </w:t>
      </w:r>
      <w:r w:rsidR="004B4287">
        <w:rPr>
          <w:color w:val="000000"/>
        </w:rPr>
        <w:t>h</w:t>
      </w:r>
      <w:r w:rsidR="004B4287" w:rsidRPr="004B4287">
        <w:rPr>
          <w:color w:val="000000"/>
        </w:rPr>
        <w:t xml:space="preserve">igher end estimates due </w:t>
      </w:r>
      <w:r w:rsidR="004B4287" w:rsidRPr="004B4287">
        <w:rPr>
          <w:color w:val="000000"/>
        </w:rPr>
        <w:lastRenderedPageBreak/>
        <w:t>to revision of</w:t>
      </w:r>
      <w:r w:rsidR="004B4287">
        <w:rPr>
          <w:color w:val="000000"/>
        </w:rPr>
        <w:t xml:space="preserve"> respondent </w:t>
      </w:r>
      <w:r w:rsidR="0075111F">
        <w:rPr>
          <w:color w:val="000000"/>
        </w:rPr>
        <w:t>universe,</w:t>
      </w:r>
      <w:r w:rsidR="004B4287">
        <w:rPr>
          <w:color w:val="000000"/>
        </w:rPr>
        <w:t xml:space="preserve"> the </w:t>
      </w:r>
      <w:r w:rsidR="004B4287" w:rsidRPr="004B4287">
        <w:rPr>
          <w:color w:val="000000"/>
        </w:rPr>
        <w:t xml:space="preserve">number of requests and cleared GenIC’s through </w:t>
      </w:r>
      <w:r w:rsidR="004B4287">
        <w:rPr>
          <w:color w:val="000000"/>
        </w:rPr>
        <w:t>our mechanism, a</w:t>
      </w:r>
      <w:r w:rsidR="004B4287" w:rsidRPr="004B4287">
        <w:rPr>
          <w:color w:val="000000"/>
        </w:rPr>
        <w:t>s well as the numb</w:t>
      </w:r>
      <w:r w:rsidR="004B4287">
        <w:rPr>
          <w:color w:val="000000"/>
        </w:rPr>
        <w:t xml:space="preserve">er of </w:t>
      </w:r>
      <w:r w:rsidR="0075111F">
        <w:rPr>
          <w:color w:val="000000"/>
        </w:rPr>
        <w:t>inquiries</w:t>
      </w:r>
      <w:r w:rsidR="004B4287">
        <w:rPr>
          <w:color w:val="000000"/>
        </w:rPr>
        <w:t xml:space="preserve"> that are received</w:t>
      </w:r>
      <w:r w:rsidR="004B4287" w:rsidRPr="004B4287">
        <w:rPr>
          <w:color w:val="000000"/>
        </w:rPr>
        <w:t>.</w:t>
      </w:r>
      <w:r w:rsidR="004B4287">
        <w:rPr>
          <w:color w:val="000000"/>
        </w:rPr>
        <w:t xml:space="preserve"> </w:t>
      </w:r>
      <w:r w:rsidR="0037644A" w:rsidRPr="005021D4">
        <w:rPr>
          <w:color w:val="000000"/>
        </w:rPr>
        <w:t xml:space="preserve">It is assumed that the cost of in-person </w:t>
      </w:r>
      <w:r w:rsidR="00E5557B">
        <w:rPr>
          <w:color w:val="000000"/>
        </w:rPr>
        <w:t>data collection</w:t>
      </w:r>
      <w:r w:rsidR="0037644A" w:rsidRPr="005021D4">
        <w:rPr>
          <w:color w:val="000000"/>
        </w:rPr>
        <w:t xml:space="preserve">s will be 3 times higher than web-based.  </w:t>
      </w:r>
      <w:r w:rsidRPr="005021D4">
        <w:t xml:space="preserve">The estimated cost to the federal government is </w:t>
      </w:r>
      <w:r w:rsidR="00F3141D" w:rsidRPr="005021D4">
        <w:t>$</w:t>
      </w:r>
      <w:r w:rsidR="00FD51CC">
        <w:t>80,892</w:t>
      </w:r>
      <w:r w:rsidR="000C4383" w:rsidRPr="005021D4">
        <w:t xml:space="preserve">.  </w:t>
      </w:r>
      <w:r w:rsidR="003A6750">
        <w:t>Table A-14</w:t>
      </w:r>
      <w:r w:rsidRPr="005021D4">
        <w:t xml:space="preserve"> describes how this cost estimate was calculated.</w:t>
      </w:r>
    </w:p>
    <w:tbl>
      <w:tblPr>
        <w:tblpPr w:leftFromText="180" w:rightFromText="180" w:vertAnchor="text" w:horzAnchor="margin" w:tblpX="108"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gridCol w:w="1620"/>
        <w:gridCol w:w="1728"/>
      </w:tblGrid>
      <w:tr w:rsidR="0021758C" w:rsidRPr="005021D4" w:rsidTr="0083553E">
        <w:tc>
          <w:tcPr>
            <w:tcW w:w="9468" w:type="dxa"/>
            <w:gridSpan w:val="4"/>
            <w:tcBorders>
              <w:top w:val="nil"/>
              <w:left w:val="nil"/>
              <w:bottom w:val="single" w:sz="4" w:space="0" w:color="auto"/>
            </w:tcBorders>
          </w:tcPr>
          <w:p w:rsidR="0021758C" w:rsidRPr="005021D4" w:rsidRDefault="00202CCB" w:rsidP="00826273">
            <w:pPr>
              <w:spacing w:before="100" w:beforeAutospacing="1"/>
            </w:pPr>
            <w:r w:rsidRPr="003A6750">
              <w:t>Table A-14</w:t>
            </w:r>
            <w:r w:rsidR="003A1D01" w:rsidRPr="003A6750">
              <w:t>: Estimated Annualized Cost to the Federal Government</w:t>
            </w:r>
          </w:p>
        </w:tc>
      </w:tr>
      <w:tr w:rsidR="0021758C" w:rsidRPr="005021D4" w:rsidTr="0083553E">
        <w:tc>
          <w:tcPr>
            <w:tcW w:w="4320" w:type="dxa"/>
            <w:tcBorders>
              <w:bottom w:val="single" w:sz="4" w:space="0" w:color="auto"/>
            </w:tcBorders>
            <w:shd w:val="clear" w:color="auto" w:fill="E6E6E6"/>
          </w:tcPr>
          <w:p w:rsidR="0021758C" w:rsidRPr="005021D4" w:rsidRDefault="003A1D01" w:rsidP="00826273">
            <w:pPr>
              <w:spacing w:before="100" w:beforeAutospacing="1"/>
              <w:jc w:val="center"/>
              <w:rPr>
                <w:b/>
              </w:rPr>
            </w:pPr>
            <w:bookmarkStart w:id="0" w:name="OLE_LINK3"/>
            <w:bookmarkStart w:id="1" w:name="OLE_LINK4"/>
            <w:r w:rsidRPr="005021D4">
              <w:rPr>
                <w:b/>
              </w:rPr>
              <w:t>Staff or Contractor</w:t>
            </w:r>
          </w:p>
        </w:tc>
        <w:tc>
          <w:tcPr>
            <w:tcW w:w="1800" w:type="dxa"/>
            <w:tcBorders>
              <w:bottom w:val="single" w:sz="4" w:space="0" w:color="auto"/>
            </w:tcBorders>
            <w:shd w:val="clear" w:color="auto" w:fill="E6E6E6"/>
          </w:tcPr>
          <w:p w:rsidR="0021758C" w:rsidRPr="005021D4" w:rsidRDefault="003A1D01" w:rsidP="00E5557B">
            <w:pPr>
              <w:spacing w:before="100" w:beforeAutospacing="1"/>
              <w:jc w:val="center"/>
              <w:rPr>
                <w:b/>
              </w:rPr>
            </w:pPr>
            <w:r w:rsidRPr="005021D4">
              <w:rPr>
                <w:b/>
              </w:rPr>
              <w:t xml:space="preserve">Average Hours per </w:t>
            </w:r>
            <w:r w:rsidR="00E5557B">
              <w:rPr>
                <w:b/>
              </w:rPr>
              <w:t>data collection</w:t>
            </w:r>
          </w:p>
        </w:tc>
        <w:tc>
          <w:tcPr>
            <w:tcW w:w="1620" w:type="dxa"/>
            <w:tcBorders>
              <w:bottom w:val="single" w:sz="4" w:space="0" w:color="auto"/>
            </w:tcBorders>
            <w:shd w:val="clear" w:color="auto" w:fill="E6E6E6"/>
          </w:tcPr>
          <w:p w:rsidR="0021758C" w:rsidRPr="005021D4" w:rsidRDefault="003A1D01" w:rsidP="00826273">
            <w:pPr>
              <w:spacing w:before="100" w:beforeAutospacing="1"/>
              <w:jc w:val="center"/>
              <w:rPr>
                <w:b/>
              </w:rPr>
            </w:pPr>
            <w:r w:rsidRPr="005021D4">
              <w:rPr>
                <w:b/>
              </w:rPr>
              <w:t>Average Hourly Rate</w:t>
            </w:r>
          </w:p>
        </w:tc>
        <w:tc>
          <w:tcPr>
            <w:tcW w:w="1728" w:type="dxa"/>
            <w:tcBorders>
              <w:bottom w:val="single" w:sz="4" w:space="0" w:color="auto"/>
            </w:tcBorders>
            <w:shd w:val="clear" w:color="auto" w:fill="E6E6E6"/>
          </w:tcPr>
          <w:p w:rsidR="0021758C" w:rsidRPr="005021D4" w:rsidRDefault="003A1D01" w:rsidP="00826273">
            <w:pPr>
              <w:spacing w:before="100" w:beforeAutospacing="1"/>
              <w:jc w:val="center"/>
              <w:rPr>
                <w:b/>
              </w:rPr>
            </w:pPr>
            <w:r w:rsidRPr="005021D4">
              <w:rPr>
                <w:b/>
              </w:rPr>
              <w:t>Average Cost</w:t>
            </w:r>
          </w:p>
        </w:tc>
      </w:tr>
      <w:tr w:rsidR="0021758C" w:rsidRPr="005021D4" w:rsidTr="0083553E">
        <w:tc>
          <w:tcPr>
            <w:tcW w:w="4320" w:type="dxa"/>
          </w:tcPr>
          <w:p w:rsidR="0021758C" w:rsidRPr="005021D4" w:rsidRDefault="003A1D01" w:rsidP="00826273">
            <w:pPr>
              <w:spacing w:before="100" w:beforeAutospacing="1"/>
            </w:pPr>
            <w:r w:rsidRPr="005021D4">
              <w:t>FTE coordinator (GS-14)</w:t>
            </w:r>
          </w:p>
        </w:tc>
        <w:tc>
          <w:tcPr>
            <w:tcW w:w="1800" w:type="dxa"/>
          </w:tcPr>
          <w:p w:rsidR="0021758C" w:rsidRPr="005021D4" w:rsidRDefault="003A1D01" w:rsidP="00826273">
            <w:pPr>
              <w:spacing w:before="100" w:beforeAutospacing="1"/>
              <w:jc w:val="center"/>
            </w:pPr>
            <w:r w:rsidRPr="005021D4">
              <w:t>3 per data collection</w:t>
            </w:r>
          </w:p>
        </w:tc>
        <w:tc>
          <w:tcPr>
            <w:tcW w:w="1620" w:type="dxa"/>
          </w:tcPr>
          <w:p w:rsidR="0021758C" w:rsidRPr="005021D4" w:rsidRDefault="003A1D01" w:rsidP="00826273">
            <w:pPr>
              <w:spacing w:before="100" w:beforeAutospacing="1"/>
              <w:jc w:val="center"/>
            </w:pPr>
            <w:r w:rsidRPr="005021D4">
              <w:t>$45.48</w:t>
            </w:r>
          </w:p>
        </w:tc>
        <w:tc>
          <w:tcPr>
            <w:tcW w:w="1728" w:type="dxa"/>
          </w:tcPr>
          <w:p w:rsidR="0021758C" w:rsidRPr="005021D4" w:rsidRDefault="003A1D01" w:rsidP="00826273">
            <w:pPr>
              <w:spacing w:before="100" w:beforeAutospacing="1"/>
              <w:jc w:val="center"/>
            </w:pPr>
            <w:r w:rsidRPr="005021D4">
              <w:t>$</w:t>
            </w:r>
            <w:r w:rsidR="00DC78EE" w:rsidRPr="005021D4">
              <w:t>136.44</w:t>
            </w:r>
            <w:r w:rsidRPr="005021D4">
              <w:t>/ data collection</w:t>
            </w:r>
          </w:p>
        </w:tc>
      </w:tr>
      <w:tr w:rsidR="0021758C" w:rsidRPr="005021D4" w:rsidTr="0083553E">
        <w:tc>
          <w:tcPr>
            <w:tcW w:w="4320" w:type="dxa"/>
          </w:tcPr>
          <w:p w:rsidR="0021758C" w:rsidRPr="005021D4" w:rsidRDefault="003A1D01" w:rsidP="00826273">
            <w:pPr>
              <w:spacing w:before="100" w:beforeAutospacing="1"/>
            </w:pPr>
            <w:r w:rsidRPr="005021D4">
              <w:t>FTE instrument preparation, data collection, data analysis (GS-13)</w:t>
            </w:r>
          </w:p>
        </w:tc>
        <w:tc>
          <w:tcPr>
            <w:tcW w:w="1800" w:type="dxa"/>
          </w:tcPr>
          <w:p w:rsidR="0021758C" w:rsidRPr="005021D4" w:rsidRDefault="00DC78EE" w:rsidP="00826273">
            <w:pPr>
              <w:spacing w:before="100" w:beforeAutospacing="1"/>
              <w:jc w:val="center"/>
            </w:pPr>
            <w:r w:rsidRPr="005021D4">
              <w:t>2</w:t>
            </w:r>
            <w:r w:rsidR="003A1D01" w:rsidRPr="005021D4">
              <w:t>0 per data collection</w:t>
            </w:r>
          </w:p>
        </w:tc>
        <w:tc>
          <w:tcPr>
            <w:tcW w:w="1620" w:type="dxa"/>
          </w:tcPr>
          <w:p w:rsidR="0021758C" w:rsidRPr="005021D4" w:rsidRDefault="003A1D01" w:rsidP="00826273">
            <w:pPr>
              <w:spacing w:before="100" w:beforeAutospacing="1"/>
              <w:jc w:val="center"/>
            </w:pPr>
            <w:r w:rsidRPr="005021D4">
              <w:t>$38.57</w:t>
            </w:r>
          </w:p>
        </w:tc>
        <w:tc>
          <w:tcPr>
            <w:tcW w:w="1728" w:type="dxa"/>
          </w:tcPr>
          <w:p w:rsidR="0021758C" w:rsidRPr="005021D4" w:rsidRDefault="003A1D01" w:rsidP="00826273">
            <w:pPr>
              <w:spacing w:before="100" w:beforeAutospacing="1"/>
              <w:jc w:val="center"/>
            </w:pPr>
            <w:r w:rsidRPr="005021D4">
              <w:t>$</w:t>
            </w:r>
            <w:r w:rsidR="00DC78EE" w:rsidRPr="005021D4">
              <w:t>771.40</w:t>
            </w:r>
            <w:r w:rsidRPr="005021D4">
              <w:t>/ data collection</w:t>
            </w:r>
          </w:p>
        </w:tc>
      </w:tr>
      <w:tr w:rsidR="0021758C" w:rsidRPr="005021D4" w:rsidTr="0083553E">
        <w:tc>
          <w:tcPr>
            <w:tcW w:w="4320" w:type="dxa"/>
          </w:tcPr>
          <w:p w:rsidR="0021758C" w:rsidRPr="005021D4" w:rsidRDefault="003A1D01" w:rsidP="00826273">
            <w:pPr>
              <w:spacing w:before="100" w:beforeAutospacing="1"/>
            </w:pPr>
            <w:r w:rsidRPr="005021D4">
              <w:t>Contractor instrument preparation, data collection, data analysis (GS-12 to GS-13 equivalent)</w:t>
            </w:r>
          </w:p>
        </w:tc>
        <w:tc>
          <w:tcPr>
            <w:tcW w:w="1800" w:type="dxa"/>
          </w:tcPr>
          <w:p w:rsidR="0021758C" w:rsidRPr="005021D4" w:rsidRDefault="00DC78EE" w:rsidP="00826273">
            <w:pPr>
              <w:spacing w:before="100" w:beforeAutospacing="1"/>
              <w:jc w:val="center"/>
            </w:pPr>
            <w:r w:rsidRPr="005021D4">
              <w:t>2</w:t>
            </w:r>
            <w:r w:rsidR="003A1D01" w:rsidRPr="005021D4">
              <w:t>0 per data collection</w:t>
            </w:r>
          </w:p>
        </w:tc>
        <w:tc>
          <w:tcPr>
            <w:tcW w:w="1620" w:type="dxa"/>
          </w:tcPr>
          <w:p w:rsidR="0021758C" w:rsidRPr="005021D4" w:rsidRDefault="003A1D01" w:rsidP="00826273">
            <w:pPr>
              <w:spacing w:before="100" w:beforeAutospacing="1"/>
              <w:jc w:val="center"/>
            </w:pPr>
            <w:r w:rsidRPr="005021D4">
              <w:t>$35.50</w:t>
            </w:r>
          </w:p>
        </w:tc>
        <w:tc>
          <w:tcPr>
            <w:tcW w:w="1728" w:type="dxa"/>
          </w:tcPr>
          <w:p w:rsidR="0021758C" w:rsidRPr="005021D4" w:rsidRDefault="003A1D01" w:rsidP="00826273">
            <w:pPr>
              <w:spacing w:before="100" w:beforeAutospacing="1"/>
              <w:jc w:val="center"/>
            </w:pPr>
            <w:r w:rsidRPr="005021D4">
              <w:t>$</w:t>
            </w:r>
            <w:r w:rsidR="00DC78EE" w:rsidRPr="005021D4">
              <w:t>710</w:t>
            </w:r>
            <w:r w:rsidRPr="005021D4">
              <w:t>/ data collection</w:t>
            </w:r>
          </w:p>
        </w:tc>
      </w:tr>
      <w:tr w:rsidR="0021758C" w:rsidRPr="005021D4" w:rsidTr="0083553E">
        <w:tc>
          <w:tcPr>
            <w:tcW w:w="4320" w:type="dxa"/>
          </w:tcPr>
          <w:p w:rsidR="0021758C" w:rsidRPr="005021D4" w:rsidRDefault="003A1D01" w:rsidP="00826273">
            <w:pPr>
              <w:spacing w:before="100" w:beforeAutospacing="1" w:after="100" w:afterAutospacing="1"/>
            </w:pPr>
            <w:r w:rsidRPr="005021D4">
              <w:t>Average cost per information collection</w:t>
            </w:r>
            <w:r w:rsidR="0037644A" w:rsidRPr="005021D4">
              <w:t xml:space="preserve"> (web based)</w:t>
            </w:r>
          </w:p>
        </w:tc>
        <w:tc>
          <w:tcPr>
            <w:tcW w:w="1800" w:type="dxa"/>
          </w:tcPr>
          <w:p w:rsidR="0021758C" w:rsidRPr="005021D4" w:rsidRDefault="0021758C" w:rsidP="00826273">
            <w:pPr>
              <w:spacing w:before="100" w:beforeAutospacing="1" w:after="100" w:afterAutospacing="1"/>
              <w:jc w:val="center"/>
            </w:pPr>
          </w:p>
        </w:tc>
        <w:tc>
          <w:tcPr>
            <w:tcW w:w="1620" w:type="dxa"/>
          </w:tcPr>
          <w:p w:rsidR="0021758C" w:rsidRPr="005021D4" w:rsidRDefault="0021758C" w:rsidP="00826273">
            <w:pPr>
              <w:spacing w:before="100" w:beforeAutospacing="1" w:after="100" w:afterAutospacing="1"/>
              <w:jc w:val="center"/>
            </w:pPr>
          </w:p>
        </w:tc>
        <w:tc>
          <w:tcPr>
            <w:tcW w:w="1728" w:type="dxa"/>
          </w:tcPr>
          <w:p w:rsidR="0021758C" w:rsidRPr="005021D4" w:rsidRDefault="0037475C" w:rsidP="00826273">
            <w:pPr>
              <w:spacing w:before="100" w:beforeAutospacing="1" w:after="100" w:afterAutospacing="1"/>
              <w:jc w:val="center"/>
            </w:pPr>
            <w:r w:rsidRPr="005021D4">
              <w:t>$</w:t>
            </w:r>
            <w:r w:rsidR="00DC78EE" w:rsidRPr="005021D4">
              <w:t>1</w:t>
            </w:r>
            <w:r w:rsidRPr="005021D4">
              <w:t>,</w:t>
            </w:r>
            <w:r w:rsidR="00DC78EE" w:rsidRPr="005021D4">
              <w:t>617.84</w:t>
            </w:r>
          </w:p>
        </w:tc>
      </w:tr>
      <w:tr w:rsidR="0037644A" w:rsidRPr="00A64216" w:rsidTr="0083553E">
        <w:tc>
          <w:tcPr>
            <w:tcW w:w="4320" w:type="dxa"/>
            <w:shd w:val="clear" w:color="auto" w:fill="E6E6E6"/>
          </w:tcPr>
          <w:p w:rsidR="0037644A" w:rsidRPr="00A64216" w:rsidRDefault="0037644A" w:rsidP="00826273">
            <w:pPr>
              <w:spacing w:before="100" w:beforeAutospacing="1" w:after="100" w:afterAutospacing="1"/>
            </w:pPr>
            <w:r w:rsidRPr="00A64216">
              <w:t>Average cost per information collection (in person)</w:t>
            </w:r>
          </w:p>
        </w:tc>
        <w:tc>
          <w:tcPr>
            <w:tcW w:w="1800" w:type="dxa"/>
            <w:shd w:val="clear" w:color="auto" w:fill="E6E6E6"/>
          </w:tcPr>
          <w:p w:rsidR="0037644A" w:rsidRPr="00A64216" w:rsidRDefault="0037644A" w:rsidP="00826273">
            <w:pPr>
              <w:spacing w:before="100" w:beforeAutospacing="1" w:after="100" w:afterAutospacing="1"/>
              <w:jc w:val="center"/>
            </w:pPr>
          </w:p>
        </w:tc>
        <w:tc>
          <w:tcPr>
            <w:tcW w:w="1620" w:type="dxa"/>
            <w:shd w:val="clear" w:color="auto" w:fill="E6E6E6"/>
          </w:tcPr>
          <w:p w:rsidR="0037644A" w:rsidRPr="00A64216" w:rsidRDefault="0037644A" w:rsidP="00826273">
            <w:pPr>
              <w:spacing w:before="100" w:beforeAutospacing="1" w:after="100" w:afterAutospacing="1"/>
              <w:jc w:val="center"/>
            </w:pPr>
          </w:p>
        </w:tc>
        <w:tc>
          <w:tcPr>
            <w:tcW w:w="1728" w:type="dxa"/>
            <w:shd w:val="clear" w:color="auto" w:fill="E6E6E6"/>
          </w:tcPr>
          <w:p w:rsidR="0037644A" w:rsidRPr="00A64216" w:rsidRDefault="0037475C" w:rsidP="00826273">
            <w:pPr>
              <w:spacing w:before="100" w:beforeAutospacing="1" w:after="100" w:afterAutospacing="1"/>
              <w:jc w:val="center"/>
            </w:pPr>
            <w:r w:rsidRPr="00A64216">
              <w:t>$</w:t>
            </w:r>
            <w:r w:rsidR="0037644A" w:rsidRPr="00A64216">
              <w:t>4</w:t>
            </w:r>
            <w:r w:rsidRPr="00A64216">
              <w:t>,</w:t>
            </w:r>
            <w:r w:rsidR="0037644A" w:rsidRPr="00A64216">
              <w:t>853.52</w:t>
            </w:r>
          </w:p>
        </w:tc>
      </w:tr>
      <w:tr w:rsidR="0037644A" w:rsidRPr="00A64216" w:rsidTr="0083553E">
        <w:tc>
          <w:tcPr>
            <w:tcW w:w="4320" w:type="dxa"/>
            <w:shd w:val="clear" w:color="auto" w:fill="E6E6E6"/>
          </w:tcPr>
          <w:p w:rsidR="0037644A" w:rsidRPr="00A64216" w:rsidRDefault="0037644A" w:rsidP="00F6345E">
            <w:pPr>
              <w:spacing w:before="100" w:beforeAutospacing="1" w:after="100" w:afterAutospacing="1"/>
              <w:rPr>
                <w:b/>
              </w:rPr>
            </w:pPr>
            <w:r w:rsidRPr="00A64216">
              <w:rPr>
                <w:b/>
              </w:rPr>
              <w:t xml:space="preserve">Estimated Total Average Annual Cost </w:t>
            </w:r>
            <w:r w:rsidR="00601CC3">
              <w:rPr>
                <w:b/>
              </w:rPr>
              <w:t xml:space="preserve">of </w:t>
            </w:r>
            <w:r w:rsidR="00FD51CC">
              <w:rPr>
                <w:b/>
              </w:rPr>
              <w:t>35 web-based and 5</w:t>
            </w:r>
            <w:r w:rsidR="00601CC3" w:rsidRPr="00601CC3">
              <w:rPr>
                <w:b/>
              </w:rPr>
              <w:t xml:space="preserve"> in-person</w:t>
            </w:r>
            <w:r w:rsidR="00601CC3">
              <w:rPr>
                <w:b/>
              </w:rPr>
              <w:t xml:space="preserve"> Information Collections </w:t>
            </w:r>
          </w:p>
        </w:tc>
        <w:tc>
          <w:tcPr>
            <w:tcW w:w="1800" w:type="dxa"/>
            <w:shd w:val="clear" w:color="auto" w:fill="E6E6E6"/>
          </w:tcPr>
          <w:p w:rsidR="0037644A" w:rsidRPr="00A64216" w:rsidRDefault="0037644A" w:rsidP="00826273">
            <w:pPr>
              <w:spacing w:before="100" w:beforeAutospacing="1" w:after="100" w:afterAutospacing="1"/>
              <w:jc w:val="center"/>
            </w:pPr>
          </w:p>
        </w:tc>
        <w:tc>
          <w:tcPr>
            <w:tcW w:w="1620" w:type="dxa"/>
            <w:shd w:val="clear" w:color="auto" w:fill="E6E6E6"/>
          </w:tcPr>
          <w:p w:rsidR="0037644A" w:rsidRPr="00A64216" w:rsidRDefault="0037644A" w:rsidP="00826273">
            <w:pPr>
              <w:spacing w:before="100" w:beforeAutospacing="1" w:after="100" w:afterAutospacing="1"/>
              <w:jc w:val="center"/>
            </w:pPr>
          </w:p>
        </w:tc>
        <w:tc>
          <w:tcPr>
            <w:tcW w:w="1728" w:type="dxa"/>
            <w:shd w:val="clear" w:color="auto" w:fill="E6E6E6"/>
          </w:tcPr>
          <w:p w:rsidR="0037644A" w:rsidRPr="00A64216" w:rsidRDefault="00453F9E" w:rsidP="00453F9E">
            <w:pPr>
              <w:spacing w:before="100" w:beforeAutospacing="1" w:after="100" w:afterAutospacing="1"/>
              <w:jc w:val="center"/>
            </w:pPr>
            <w:r>
              <w:t>$</w:t>
            </w:r>
            <w:r w:rsidR="00FD51CC">
              <w:t>80,892</w:t>
            </w:r>
          </w:p>
        </w:tc>
      </w:tr>
      <w:bookmarkEnd w:id="0"/>
      <w:bookmarkEnd w:id="1"/>
    </w:tbl>
    <w:p w:rsidR="00564892" w:rsidRPr="005021D4" w:rsidRDefault="00564892" w:rsidP="0083553E">
      <w:pPr>
        <w:tabs>
          <w:tab w:val="left" w:pos="-1440"/>
          <w:tab w:val="left" w:pos="-720"/>
        </w:tabs>
        <w:autoSpaceDE w:val="0"/>
        <w:autoSpaceDN w:val="0"/>
        <w:adjustRightInd w:val="0"/>
        <w:ind w:right="720"/>
      </w:pPr>
    </w:p>
    <w:p w:rsidR="00F128E3" w:rsidRPr="00BD4B70" w:rsidRDefault="00F128E3" w:rsidP="0083553E">
      <w:pPr>
        <w:pStyle w:val="Heading2"/>
        <w:rPr>
          <w:b w:val="0"/>
          <w:color w:val="000000"/>
          <w:sz w:val="24"/>
          <w:szCs w:val="24"/>
        </w:rPr>
      </w:pPr>
      <w:r w:rsidRPr="002038C2">
        <w:rPr>
          <w:b w:val="0"/>
          <w:color w:val="000000"/>
          <w:sz w:val="24"/>
          <w:szCs w:val="24"/>
        </w:rPr>
        <w:t xml:space="preserve">CDC </w:t>
      </w:r>
      <w:r w:rsidR="00BD4B70" w:rsidRPr="002038C2">
        <w:rPr>
          <w:b w:val="0"/>
          <w:color w:val="000000"/>
          <w:sz w:val="24"/>
          <w:szCs w:val="24"/>
        </w:rPr>
        <w:t>has assigned a Health Scientist to manage the Generic ICR.  The</w:t>
      </w:r>
      <w:r w:rsidRPr="002038C2">
        <w:rPr>
          <w:b w:val="0"/>
          <w:color w:val="000000"/>
          <w:sz w:val="24"/>
          <w:szCs w:val="24"/>
        </w:rPr>
        <w:t xml:space="preserve"> position </w:t>
      </w:r>
      <w:r w:rsidR="00BD4B70" w:rsidRPr="002038C2">
        <w:rPr>
          <w:b w:val="0"/>
          <w:color w:val="000000"/>
          <w:sz w:val="24"/>
          <w:szCs w:val="24"/>
        </w:rPr>
        <w:t>is</w:t>
      </w:r>
      <w:r w:rsidRPr="002038C2">
        <w:rPr>
          <w:b w:val="0"/>
          <w:color w:val="000000"/>
          <w:sz w:val="24"/>
          <w:szCs w:val="24"/>
        </w:rPr>
        <w:t xml:space="preserve"> housed in the Office of Office for State, Tribal, Local and Territorial Support (OSTLTS).  </w:t>
      </w:r>
      <w:r w:rsidRPr="00BD4B70">
        <w:rPr>
          <w:b w:val="0"/>
          <w:color w:val="000000"/>
          <w:sz w:val="24"/>
          <w:szCs w:val="24"/>
        </w:rPr>
        <w:t xml:space="preserve">Processes and Procedures </w:t>
      </w:r>
      <w:r w:rsidR="00BD4B70" w:rsidRPr="00BD4B70">
        <w:rPr>
          <w:b w:val="0"/>
          <w:color w:val="000000"/>
          <w:sz w:val="24"/>
          <w:szCs w:val="24"/>
        </w:rPr>
        <w:t>have been</w:t>
      </w:r>
      <w:r w:rsidRPr="00BD4B70">
        <w:rPr>
          <w:b w:val="0"/>
          <w:color w:val="000000"/>
          <w:sz w:val="24"/>
          <w:szCs w:val="24"/>
        </w:rPr>
        <w:t xml:space="preserve"> </w:t>
      </w:r>
      <w:r w:rsidR="00BD4B70" w:rsidRPr="00BD4B70">
        <w:rPr>
          <w:b w:val="0"/>
          <w:color w:val="000000"/>
          <w:sz w:val="24"/>
          <w:szCs w:val="24"/>
        </w:rPr>
        <w:t>developed for distribution</w:t>
      </w:r>
      <w:r w:rsidRPr="00BD4B70">
        <w:rPr>
          <w:b w:val="0"/>
          <w:color w:val="000000"/>
          <w:sz w:val="24"/>
          <w:szCs w:val="24"/>
        </w:rPr>
        <w:t xml:space="preserve"> to CDC program</w:t>
      </w:r>
      <w:r w:rsidR="00BD4B70" w:rsidRPr="00BD4B70">
        <w:rPr>
          <w:b w:val="0"/>
          <w:color w:val="000000"/>
          <w:sz w:val="24"/>
          <w:szCs w:val="24"/>
        </w:rPr>
        <w:t>s</w:t>
      </w:r>
      <w:r w:rsidRPr="00BD4B70">
        <w:rPr>
          <w:b w:val="0"/>
          <w:color w:val="000000"/>
          <w:sz w:val="24"/>
          <w:szCs w:val="24"/>
        </w:rPr>
        <w:t xml:space="preserve"> explaining benefits associated with the </w:t>
      </w:r>
      <w:r w:rsidR="00BD4B70" w:rsidRPr="00BD4B70">
        <w:rPr>
          <w:b w:val="0"/>
          <w:color w:val="000000"/>
          <w:sz w:val="24"/>
          <w:szCs w:val="24"/>
        </w:rPr>
        <w:t>re</w:t>
      </w:r>
      <w:r w:rsidRPr="00BD4B70">
        <w:rPr>
          <w:b w:val="0"/>
          <w:color w:val="000000"/>
          <w:sz w:val="24"/>
          <w:szCs w:val="24"/>
        </w:rPr>
        <w:t>new</w:t>
      </w:r>
      <w:r w:rsidR="00BD4B70" w:rsidRPr="00BD4B70">
        <w:rPr>
          <w:b w:val="0"/>
          <w:color w:val="000000"/>
          <w:sz w:val="24"/>
          <w:szCs w:val="24"/>
        </w:rPr>
        <w:t>ed</w:t>
      </w:r>
      <w:r w:rsidRPr="00BD4B70">
        <w:rPr>
          <w:b w:val="0"/>
          <w:color w:val="000000"/>
          <w:sz w:val="24"/>
          <w:szCs w:val="24"/>
        </w:rPr>
        <w:t xml:space="preserve"> </w:t>
      </w:r>
      <w:r w:rsidR="00BD4B70" w:rsidRPr="00BD4B70">
        <w:rPr>
          <w:b w:val="0"/>
          <w:color w:val="000000"/>
          <w:sz w:val="24"/>
          <w:szCs w:val="24"/>
        </w:rPr>
        <w:t xml:space="preserve">Generic </w:t>
      </w:r>
      <w:r w:rsidR="00BD4B70">
        <w:rPr>
          <w:b w:val="0"/>
          <w:color w:val="000000"/>
          <w:sz w:val="24"/>
          <w:szCs w:val="24"/>
        </w:rPr>
        <w:t>ICR</w:t>
      </w:r>
      <w:r w:rsidR="003A6750">
        <w:rPr>
          <w:b w:val="0"/>
          <w:color w:val="000000"/>
          <w:sz w:val="24"/>
          <w:szCs w:val="24"/>
        </w:rPr>
        <w:t xml:space="preserve">. </w:t>
      </w:r>
      <w:r w:rsidR="00BD4B70" w:rsidRPr="00BD4B70">
        <w:rPr>
          <w:b w:val="0"/>
          <w:color w:val="000000"/>
          <w:sz w:val="24"/>
          <w:szCs w:val="24"/>
        </w:rPr>
        <w:t xml:space="preserve">The data collection requests are </w:t>
      </w:r>
      <w:r w:rsidRPr="00BD4B70">
        <w:rPr>
          <w:b w:val="0"/>
          <w:color w:val="000000"/>
          <w:sz w:val="24"/>
          <w:szCs w:val="24"/>
        </w:rPr>
        <w:t>manage</w:t>
      </w:r>
      <w:r w:rsidR="00BD4B70" w:rsidRPr="00BD4B70">
        <w:rPr>
          <w:b w:val="0"/>
          <w:color w:val="000000"/>
          <w:sz w:val="24"/>
          <w:szCs w:val="24"/>
        </w:rPr>
        <w:t>d by OSTLTS,</w:t>
      </w:r>
      <w:r w:rsidRPr="00BD4B70">
        <w:rPr>
          <w:b w:val="0"/>
          <w:color w:val="000000"/>
          <w:sz w:val="24"/>
          <w:szCs w:val="24"/>
        </w:rPr>
        <w:t xml:space="preserve"> the CDC Information Collection Review Office, the numerous and diverse CDC Program Officials, Project Officers, and Principal Investigators.  </w:t>
      </w:r>
    </w:p>
    <w:p w:rsidR="00F128E3" w:rsidRPr="00CE144A" w:rsidRDefault="00F128E3" w:rsidP="0083553E">
      <w:pPr>
        <w:pStyle w:val="Heading2"/>
        <w:rPr>
          <w:color w:val="000000"/>
          <w:sz w:val="24"/>
          <w:szCs w:val="24"/>
        </w:rPr>
      </w:pPr>
      <w:r w:rsidRPr="00CE144A">
        <w:rPr>
          <w:b w:val="0"/>
          <w:color w:val="000000"/>
          <w:sz w:val="24"/>
          <w:szCs w:val="24"/>
        </w:rPr>
        <w:t>Each request</w:t>
      </w:r>
      <w:r w:rsidR="00BD4B70" w:rsidRPr="00CE144A">
        <w:rPr>
          <w:b w:val="0"/>
          <w:color w:val="000000"/>
          <w:sz w:val="24"/>
          <w:szCs w:val="24"/>
        </w:rPr>
        <w:t xml:space="preserve"> will be closely reviewed by OSTLTS</w:t>
      </w:r>
      <w:r w:rsidRPr="00CE144A">
        <w:rPr>
          <w:b w:val="0"/>
          <w:color w:val="000000"/>
          <w:sz w:val="24"/>
          <w:szCs w:val="24"/>
        </w:rPr>
        <w:t xml:space="preserve"> based on a predefined set of criteria to include but may not be limited to: 1) Scope of Request, 2) Burden/Impact at State/Local/Tribal level, 3) Relevance to CDC Priorities,  4) Applicab</w:t>
      </w:r>
      <w:r w:rsidR="00BD4B70" w:rsidRPr="00CE144A">
        <w:rPr>
          <w:b w:val="0"/>
          <w:color w:val="000000"/>
          <w:sz w:val="24"/>
          <w:szCs w:val="24"/>
        </w:rPr>
        <w:t>ility of</w:t>
      </w:r>
      <w:r w:rsidRPr="00CE144A">
        <w:rPr>
          <w:b w:val="0"/>
          <w:color w:val="000000"/>
          <w:sz w:val="24"/>
          <w:szCs w:val="24"/>
        </w:rPr>
        <w:t xml:space="preserve"> </w:t>
      </w:r>
      <w:r w:rsidR="00BD4B70" w:rsidRPr="00CE144A">
        <w:rPr>
          <w:b w:val="0"/>
          <w:color w:val="000000"/>
          <w:sz w:val="24"/>
          <w:szCs w:val="24"/>
        </w:rPr>
        <w:t>q</w:t>
      </w:r>
      <w:r w:rsidRPr="00CE144A">
        <w:rPr>
          <w:b w:val="0"/>
          <w:color w:val="000000"/>
          <w:sz w:val="24"/>
          <w:szCs w:val="24"/>
        </w:rPr>
        <w:t>uestions associated with State, Local, and/or Tribal</w:t>
      </w:r>
      <w:r w:rsidR="003A6750">
        <w:rPr>
          <w:b w:val="0"/>
          <w:color w:val="000000"/>
          <w:sz w:val="24"/>
          <w:szCs w:val="24"/>
        </w:rPr>
        <w:t xml:space="preserve"> government staff or delegate</w:t>
      </w:r>
      <w:r w:rsidR="00BD4B70" w:rsidRPr="00CE144A">
        <w:rPr>
          <w:b w:val="0"/>
          <w:color w:val="000000"/>
          <w:sz w:val="24"/>
          <w:szCs w:val="24"/>
        </w:rPr>
        <w:t xml:space="preserve"> roles and functions</w:t>
      </w:r>
      <w:r w:rsidRPr="00CE144A">
        <w:rPr>
          <w:b w:val="0"/>
          <w:color w:val="000000"/>
          <w:sz w:val="24"/>
          <w:szCs w:val="24"/>
        </w:rPr>
        <w:t xml:space="preserve">.  </w:t>
      </w:r>
    </w:p>
    <w:p w:rsidR="00F128E3" w:rsidRPr="005021D4" w:rsidRDefault="00F128E3" w:rsidP="0083553E">
      <w:pPr>
        <w:pStyle w:val="Heading2"/>
        <w:rPr>
          <w:color w:val="000000"/>
          <w:sz w:val="24"/>
          <w:szCs w:val="24"/>
        </w:rPr>
      </w:pPr>
      <w:r w:rsidRPr="00CE144A">
        <w:rPr>
          <w:b w:val="0"/>
          <w:color w:val="000000"/>
          <w:sz w:val="24"/>
          <w:szCs w:val="24"/>
        </w:rPr>
        <w:t xml:space="preserve">The information collection request process will include but may not be limited to: 1) </w:t>
      </w:r>
      <w:r w:rsidR="00182A64" w:rsidRPr="00CE144A">
        <w:rPr>
          <w:b w:val="0"/>
          <w:color w:val="000000"/>
          <w:sz w:val="24"/>
          <w:szCs w:val="24"/>
        </w:rPr>
        <w:t>Description of a sample (e.g., all 50 states or some sample)</w:t>
      </w:r>
      <w:r w:rsidRPr="00CE144A">
        <w:rPr>
          <w:b w:val="0"/>
          <w:color w:val="000000"/>
          <w:sz w:val="24"/>
          <w:szCs w:val="24"/>
        </w:rPr>
        <w:t xml:space="preserve">; 2) Description of Need and </w:t>
      </w:r>
      <w:r w:rsidR="00182A64" w:rsidRPr="00CE144A">
        <w:rPr>
          <w:b w:val="0"/>
          <w:color w:val="000000"/>
          <w:sz w:val="24"/>
          <w:szCs w:val="24"/>
        </w:rPr>
        <w:t xml:space="preserve">Purpose </w:t>
      </w:r>
      <w:r w:rsidRPr="00CE144A">
        <w:rPr>
          <w:b w:val="0"/>
          <w:color w:val="000000"/>
          <w:sz w:val="24"/>
          <w:szCs w:val="24"/>
        </w:rPr>
        <w:t xml:space="preserve">Proposed Work (or SOW); 3) </w:t>
      </w:r>
      <w:r w:rsidR="00182A64" w:rsidRPr="00CE144A">
        <w:rPr>
          <w:b w:val="0"/>
          <w:color w:val="000000"/>
          <w:sz w:val="24"/>
          <w:szCs w:val="24"/>
        </w:rPr>
        <w:t>Sampling methods</w:t>
      </w:r>
      <w:r w:rsidR="00C06601" w:rsidRPr="00CE144A">
        <w:rPr>
          <w:b w:val="0"/>
          <w:color w:val="000000"/>
          <w:sz w:val="24"/>
          <w:szCs w:val="24"/>
        </w:rPr>
        <w:t xml:space="preserve"> and the target respondent (e.g., food safety officer), </w:t>
      </w:r>
      <w:r w:rsidRPr="00CE144A">
        <w:rPr>
          <w:b w:val="0"/>
          <w:color w:val="000000"/>
          <w:sz w:val="24"/>
          <w:szCs w:val="24"/>
        </w:rPr>
        <w:t xml:space="preserve">4) </w:t>
      </w:r>
      <w:r w:rsidR="00CE144A" w:rsidRPr="00CE144A">
        <w:rPr>
          <w:b w:val="0"/>
          <w:color w:val="000000"/>
          <w:sz w:val="24"/>
          <w:szCs w:val="24"/>
        </w:rPr>
        <w:t xml:space="preserve">Data </w:t>
      </w:r>
      <w:r w:rsidR="00E1144A" w:rsidRPr="00CE144A">
        <w:rPr>
          <w:b w:val="0"/>
          <w:color w:val="000000"/>
          <w:sz w:val="24"/>
          <w:szCs w:val="24"/>
        </w:rPr>
        <w:t>collection instrument</w:t>
      </w:r>
      <w:r w:rsidR="00CE144A" w:rsidRPr="00CE144A">
        <w:rPr>
          <w:b w:val="0"/>
          <w:color w:val="000000"/>
          <w:sz w:val="24"/>
          <w:szCs w:val="24"/>
        </w:rPr>
        <w:t xml:space="preserve">, </w:t>
      </w:r>
      <w:r w:rsidRPr="00CE144A">
        <w:rPr>
          <w:b w:val="0"/>
          <w:color w:val="000000"/>
          <w:sz w:val="24"/>
          <w:szCs w:val="24"/>
        </w:rPr>
        <w:t xml:space="preserve">5) </w:t>
      </w:r>
      <w:r w:rsidR="00182A64" w:rsidRPr="00CE144A">
        <w:rPr>
          <w:b w:val="0"/>
          <w:color w:val="000000"/>
          <w:sz w:val="24"/>
          <w:szCs w:val="24"/>
        </w:rPr>
        <w:t>Estimate of response burden</w:t>
      </w:r>
      <w:r w:rsidR="00CE144A" w:rsidRPr="00CE144A">
        <w:rPr>
          <w:b w:val="0"/>
          <w:color w:val="000000"/>
          <w:sz w:val="24"/>
          <w:szCs w:val="24"/>
        </w:rPr>
        <w:t>, and 6) supporting documents</w:t>
      </w:r>
      <w:r w:rsidRPr="00CE144A">
        <w:rPr>
          <w:b w:val="0"/>
          <w:color w:val="000000"/>
          <w:sz w:val="24"/>
          <w:szCs w:val="24"/>
        </w:rPr>
        <w:t>.</w:t>
      </w:r>
      <w:r w:rsidRPr="005021D4">
        <w:rPr>
          <w:b w:val="0"/>
          <w:color w:val="000000"/>
          <w:sz w:val="24"/>
          <w:szCs w:val="24"/>
        </w:rPr>
        <w:t xml:space="preserve"> </w:t>
      </w:r>
    </w:p>
    <w:p w:rsidR="00564892" w:rsidRPr="005021D4" w:rsidRDefault="00564892" w:rsidP="0083553E">
      <w:pPr>
        <w:tabs>
          <w:tab w:val="left" w:pos="-1440"/>
          <w:tab w:val="left" w:pos="-720"/>
        </w:tabs>
        <w:autoSpaceDE w:val="0"/>
        <w:autoSpaceDN w:val="0"/>
        <w:adjustRightInd w:val="0"/>
        <w:ind w:right="720"/>
      </w:pPr>
    </w:p>
    <w:p w:rsidR="000F63DA" w:rsidRPr="00202CCB" w:rsidRDefault="003A1D01" w:rsidP="0083553E">
      <w:pPr>
        <w:pStyle w:val="ListParagraph"/>
        <w:numPr>
          <w:ilvl w:val="0"/>
          <w:numId w:val="5"/>
        </w:numPr>
        <w:tabs>
          <w:tab w:val="left" w:pos="-1440"/>
          <w:tab w:val="left" w:pos="-720"/>
        </w:tabs>
        <w:autoSpaceDE w:val="0"/>
        <w:autoSpaceDN w:val="0"/>
        <w:adjustRightInd w:val="0"/>
        <w:ind w:right="720"/>
        <w:rPr>
          <w:b/>
        </w:rPr>
      </w:pPr>
      <w:r w:rsidRPr="00202CCB">
        <w:rPr>
          <w:b/>
        </w:rPr>
        <w:t>Explanation for Program Changes or Adjustments</w:t>
      </w:r>
    </w:p>
    <w:p w:rsidR="00680F92" w:rsidRDefault="003A1D01" w:rsidP="00680F92">
      <w:r w:rsidRPr="005021D4">
        <w:t xml:space="preserve">This is a </w:t>
      </w:r>
      <w:r w:rsidR="00680F92">
        <w:t xml:space="preserve">revision. Specifically, to include delegates acting on behalf of a STLT agency involved in the provision of essential public health services in the United States.   </w:t>
      </w:r>
      <w:r w:rsidR="00B37B87" w:rsidRPr="00F849A5">
        <w:t>It is important to mention that</w:t>
      </w:r>
      <w:r w:rsidR="004F4533" w:rsidRPr="00F849A5">
        <w:t xml:space="preserve"> a change request was granted in October 2011 to correct errors in burden for this </w:t>
      </w:r>
      <w:r w:rsidR="004F4533" w:rsidRPr="00F849A5">
        <w:lastRenderedPageBreak/>
        <w:t>clearance</w:t>
      </w:r>
      <w:r w:rsidR="00B37B87" w:rsidRPr="00F849A5">
        <w:t>.  However,</w:t>
      </w:r>
      <w:r w:rsidR="004F4533" w:rsidRPr="00F849A5">
        <w:t xml:space="preserve"> corrections were not made in ICRAS.  Therefore, the burden estimates in the system are not</w:t>
      </w:r>
      <w:r w:rsidR="0007214C" w:rsidRPr="00F849A5">
        <w:t xml:space="preserve"> </w:t>
      </w:r>
      <w:r w:rsidR="004F4533" w:rsidRPr="00F849A5">
        <w:t>accurate, which makes the burden requests for this clearance somewhat artificial.  The average burden per respondent has changed from 2 hours to 1 hour for all information collections</w:t>
      </w:r>
      <w:r w:rsidR="00B37B87" w:rsidRPr="00F849A5">
        <w:t xml:space="preserve">, </w:t>
      </w:r>
      <w:r w:rsidR="004F4533" w:rsidRPr="00F849A5">
        <w:t xml:space="preserve">the number of estimated information </w:t>
      </w:r>
      <w:r w:rsidR="0007214C" w:rsidRPr="00F849A5">
        <w:t>c</w:t>
      </w:r>
      <w:r w:rsidR="004F4533" w:rsidRPr="00F849A5">
        <w:t>ollections per year has changed to 40</w:t>
      </w:r>
      <w:r w:rsidR="00B37B87" w:rsidRPr="00F849A5">
        <w:t>, and</w:t>
      </w:r>
      <w:r w:rsidR="004F4533" w:rsidRPr="00F849A5">
        <w:t xml:space="preserve"> the number of respondents has increased slightly due to the inclusion of delegates in the respondent universe</w:t>
      </w:r>
      <w:r w:rsidR="00B24578" w:rsidRPr="00F849A5">
        <w:t xml:space="preserve">.  </w:t>
      </w:r>
    </w:p>
    <w:p w:rsidR="00FC769E" w:rsidRPr="006A0774" w:rsidRDefault="00FC769E" w:rsidP="00680F92"/>
    <w:p w:rsidR="004F0248" w:rsidRPr="005021D4" w:rsidRDefault="004F0248" w:rsidP="0083553E">
      <w:pPr>
        <w:tabs>
          <w:tab w:val="left" w:pos="-1440"/>
          <w:tab w:val="left" w:pos="-720"/>
        </w:tabs>
        <w:autoSpaceDE w:val="0"/>
        <w:autoSpaceDN w:val="0"/>
        <w:adjustRightInd w:val="0"/>
        <w:ind w:right="720"/>
      </w:pPr>
    </w:p>
    <w:p w:rsidR="004F0248" w:rsidRPr="00202CCB" w:rsidRDefault="003A1D01" w:rsidP="0083553E">
      <w:pPr>
        <w:pStyle w:val="ListParagraph"/>
        <w:numPr>
          <w:ilvl w:val="0"/>
          <w:numId w:val="5"/>
        </w:numPr>
        <w:tabs>
          <w:tab w:val="left" w:pos="-1440"/>
          <w:tab w:val="left" w:pos="-720"/>
        </w:tabs>
        <w:autoSpaceDE w:val="0"/>
        <w:autoSpaceDN w:val="0"/>
        <w:adjustRightInd w:val="0"/>
        <w:ind w:right="720"/>
        <w:rPr>
          <w:b/>
        </w:rPr>
      </w:pPr>
      <w:r w:rsidRPr="00202CCB">
        <w:rPr>
          <w:b/>
        </w:rPr>
        <w:t>Plans for Tabulation and Publication</w:t>
      </w:r>
      <w:r w:rsidR="00202CCB">
        <w:rPr>
          <w:b/>
        </w:rPr>
        <w:t xml:space="preserve"> and Project Time Schedule</w:t>
      </w:r>
    </w:p>
    <w:p w:rsidR="006A3BA1" w:rsidRPr="005021D4" w:rsidRDefault="003A1D01" w:rsidP="0083553E">
      <w:pPr>
        <w:pStyle w:val="ListParagraph"/>
        <w:tabs>
          <w:tab w:val="left" w:pos="-1440"/>
          <w:tab w:val="left" w:pos="-720"/>
        </w:tabs>
        <w:autoSpaceDE w:val="0"/>
        <w:autoSpaceDN w:val="0"/>
        <w:adjustRightInd w:val="0"/>
        <w:ind w:left="360" w:right="720"/>
      </w:pPr>
      <w:r w:rsidRPr="005021D4">
        <w:t>Data collection will be ongoing.</w:t>
      </w:r>
      <w:r w:rsidR="00680F92">
        <w:t xml:space="preserve">  </w:t>
      </w:r>
      <w:bookmarkStart w:id="2" w:name="_GoBack"/>
      <w:bookmarkEnd w:id="2"/>
    </w:p>
    <w:p w:rsidR="008E44D7" w:rsidRPr="005021D4" w:rsidRDefault="008E44D7" w:rsidP="0083553E">
      <w:pPr>
        <w:pStyle w:val="ListParagraph"/>
        <w:tabs>
          <w:tab w:val="left" w:pos="-1440"/>
          <w:tab w:val="left" w:pos="-720"/>
        </w:tabs>
        <w:autoSpaceDE w:val="0"/>
        <w:autoSpaceDN w:val="0"/>
        <w:adjustRightInd w:val="0"/>
        <w:ind w:right="720"/>
        <w:rPr>
          <w:u w:val="single"/>
        </w:rPr>
      </w:pPr>
    </w:p>
    <w:p w:rsidR="004F0248" w:rsidRPr="00202CCB" w:rsidRDefault="003A1D01" w:rsidP="0083553E">
      <w:pPr>
        <w:pStyle w:val="ListParagraph"/>
        <w:numPr>
          <w:ilvl w:val="0"/>
          <w:numId w:val="5"/>
        </w:numPr>
        <w:tabs>
          <w:tab w:val="left" w:pos="-1440"/>
          <w:tab w:val="left" w:pos="-720"/>
        </w:tabs>
        <w:autoSpaceDE w:val="0"/>
        <w:autoSpaceDN w:val="0"/>
        <w:adjustRightInd w:val="0"/>
        <w:ind w:right="720"/>
        <w:rPr>
          <w:b/>
        </w:rPr>
      </w:pPr>
      <w:r w:rsidRPr="00202CCB">
        <w:rPr>
          <w:b/>
        </w:rPr>
        <w:t>Reason(s) Display of OMB Expiration Date is Inappropriate</w:t>
      </w:r>
    </w:p>
    <w:p w:rsidR="007C4B95" w:rsidRPr="005021D4" w:rsidRDefault="003A1D01" w:rsidP="0083553E">
      <w:pPr>
        <w:ind w:left="360"/>
        <w:outlineLvl w:val="0"/>
      </w:pPr>
      <w:r w:rsidRPr="005021D4">
        <w:t>CDC does not request exemption from display of the OMB expiration date.</w:t>
      </w:r>
    </w:p>
    <w:p w:rsidR="001F055A" w:rsidRPr="005021D4" w:rsidRDefault="001F055A" w:rsidP="0083553E">
      <w:pPr>
        <w:ind w:left="720"/>
      </w:pPr>
    </w:p>
    <w:p w:rsidR="007C4B95" w:rsidRPr="00202CCB" w:rsidRDefault="003A1D01" w:rsidP="0083553E">
      <w:pPr>
        <w:pStyle w:val="ListParagraph"/>
        <w:numPr>
          <w:ilvl w:val="0"/>
          <w:numId w:val="5"/>
        </w:numPr>
        <w:rPr>
          <w:b/>
        </w:rPr>
      </w:pPr>
      <w:r w:rsidRPr="00202CCB">
        <w:rPr>
          <w:b/>
        </w:rPr>
        <w:t>Exceptions to Certification for Paperwork Reduction Act Submissions</w:t>
      </w:r>
    </w:p>
    <w:p w:rsidR="008356B1" w:rsidRDefault="003A1D01" w:rsidP="0031356F">
      <w:pPr>
        <w:ind w:firstLine="360"/>
        <w:outlineLvl w:val="0"/>
      </w:pPr>
      <w:r w:rsidRPr="005021D4">
        <w:t>There are no exceptions to the certification.</w:t>
      </w:r>
    </w:p>
    <w:p w:rsidR="00680F92" w:rsidRDefault="00680F92" w:rsidP="00680F92">
      <w:pPr>
        <w:outlineLvl w:val="0"/>
      </w:pPr>
    </w:p>
    <w:p w:rsidR="00680F92" w:rsidRPr="00680F92" w:rsidRDefault="00680F92" w:rsidP="00680F92">
      <w:pPr>
        <w:outlineLvl w:val="0"/>
        <w:rPr>
          <w:b/>
        </w:rPr>
      </w:pPr>
      <w:r w:rsidRPr="00680F92">
        <w:rPr>
          <w:b/>
        </w:rPr>
        <w:t>LIST OF ATTACHMENTS</w:t>
      </w:r>
    </w:p>
    <w:p w:rsidR="00680F92" w:rsidRDefault="00680F92" w:rsidP="00680F92">
      <w:pPr>
        <w:outlineLvl w:val="0"/>
      </w:pPr>
    </w:p>
    <w:p w:rsidR="00680F92" w:rsidRDefault="00680F92" w:rsidP="00680F92">
      <w:pPr>
        <w:outlineLvl w:val="0"/>
      </w:pPr>
      <w:r>
        <w:t>ATTACHMENT A:</w:t>
      </w:r>
      <w:r w:rsidRPr="00680F92">
        <w:t xml:space="preserve"> </w:t>
      </w:r>
      <w:r w:rsidRPr="006A0774">
        <w:t>Public Health Service Act (42 USC Sec. 301 [241]</w:t>
      </w:r>
      <w:r>
        <w:t>)</w:t>
      </w:r>
      <w:r w:rsidRPr="006A0774">
        <w:t xml:space="preserve">.  </w:t>
      </w:r>
    </w:p>
    <w:p w:rsidR="00680F92" w:rsidRPr="005021D4" w:rsidRDefault="00C313A4" w:rsidP="00680F92">
      <w:pPr>
        <w:outlineLvl w:val="0"/>
      </w:pPr>
      <w:r>
        <w:t>ATTACHMENT B: Generic ICR Revision</w:t>
      </w:r>
      <w:r w:rsidR="00680F92">
        <w:t xml:space="preserve"> – published 60 Day FRN on Federal Register</w:t>
      </w:r>
    </w:p>
    <w:sectPr w:rsidR="00680F92" w:rsidRPr="005021D4" w:rsidSect="000653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9AA" w:rsidRDefault="00EC19AA" w:rsidP="00B47D2B">
      <w:r>
        <w:separator/>
      </w:r>
    </w:p>
  </w:endnote>
  <w:endnote w:type="continuationSeparator" w:id="0">
    <w:p w:rsidR="00EC19AA" w:rsidRDefault="00EC19AA" w:rsidP="00B4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503940403"/>
      <w:docPartObj>
        <w:docPartGallery w:val="Page Numbers (Bottom of Page)"/>
        <w:docPartUnique/>
      </w:docPartObj>
    </w:sdtPr>
    <w:sdtEndPr/>
    <w:sdtContent>
      <w:sdt>
        <w:sdtPr>
          <w:rPr>
            <w:rFonts w:ascii="Times New Roman" w:hAnsi="Times New Roman"/>
            <w:sz w:val="20"/>
            <w:szCs w:val="20"/>
          </w:rPr>
          <w:id w:val="860082579"/>
          <w:docPartObj>
            <w:docPartGallery w:val="Page Numbers (Top of Page)"/>
            <w:docPartUnique/>
          </w:docPartObj>
        </w:sdtPr>
        <w:sdtEndPr/>
        <w:sdtContent>
          <w:p w:rsidR="00FD51CC" w:rsidRPr="0006538F" w:rsidRDefault="00FD51CC">
            <w:pPr>
              <w:pStyle w:val="Footer"/>
              <w:jc w:val="right"/>
              <w:rPr>
                <w:rFonts w:ascii="Times New Roman" w:hAnsi="Times New Roman"/>
                <w:sz w:val="20"/>
                <w:szCs w:val="20"/>
              </w:rPr>
            </w:pPr>
            <w:r w:rsidRPr="0006538F">
              <w:rPr>
                <w:rFonts w:ascii="Times New Roman" w:hAnsi="Times New Roman"/>
                <w:sz w:val="20"/>
                <w:szCs w:val="20"/>
              </w:rPr>
              <w:t xml:space="preserve">Page </w:t>
            </w:r>
            <w:r w:rsidRPr="0006538F">
              <w:rPr>
                <w:rFonts w:ascii="Times New Roman" w:hAnsi="Times New Roman"/>
                <w:b/>
                <w:bCs/>
                <w:sz w:val="20"/>
                <w:szCs w:val="20"/>
              </w:rPr>
              <w:fldChar w:fldCharType="begin"/>
            </w:r>
            <w:r w:rsidRPr="0006538F">
              <w:rPr>
                <w:rFonts w:ascii="Times New Roman" w:hAnsi="Times New Roman"/>
                <w:b/>
                <w:bCs/>
                <w:sz w:val="20"/>
                <w:szCs w:val="20"/>
              </w:rPr>
              <w:instrText xml:space="preserve"> PAGE </w:instrText>
            </w:r>
            <w:r w:rsidRPr="0006538F">
              <w:rPr>
                <w:rFonts w:ascii="Times New Roman" w:hAnsi="Times New Roman"/>
                <w:b/>
                <w:bCs/>
                <w:sz w:val="20"/>
                <w:szCs w:val="20"/>
              </w:rPr>
              <w:fldChar w:fldCharType="separate"/>
            </w:r>
            <w:r w:rsidR="00670BED">
              <w:rPr>
                <w:rFonts w:ascii="Times New Roman" w:hAnsi="Times New Roman"/>
                <w:b/>
                <w:bCs/>
                <w:noProof/>
                <w:sz w:val="20"/>
                <w:szCs w:val="20"/>
              </w:rPr>
              <w:t>9</w:t>
            </w:r>
            <w:r w:rsidRPr="0006538F">
              <w:rPr>
                <w:rFonts w:ascii="Times New Roman" w:hAnsi="Times New Roman"/>
                <w:b/>
                <w:bCs/>
                <w:sz w:val="20"/>
                <w:szCs w:val="20"/>
              </w:rPr>
              <w:fldChar w:fldCharType="end"/>
            </w:r>
            <w:r w:rsidRPr="0006538F">
              <w:rPr>
                <w:rFonts w:ascii="Times New Roman" w:hAnsi="Times New Roman"/>
                <w:sz w:val="20"/>
                <w:szCs w:val="20"/>
              </w:rPr>
              <w:t xml:space="preserve"> of </w:t>
            </w:r>
            <w:r w:rsidRPr="0006538F">
              <w:rPr>
                <w:rFonts w:ascii="Times New Roman" w:hAnsi="Times New Roman"/>
                <w:b/>
                <w:bCs/>
                <w:sz w:val="20"/>
                <w:szCs w:val="20"/>
              </w:rPr>
              <w:fldChar w:fldCharType="begin"/>
            </w:r>
            <w:r w:rsidRPr="0006538F">
              <w:rPr>
                <w:rFonts w:ascii="Times New Roman" w:hAnsi="Times New Roman"/>
                <w:b/>
                <w:bCs/>
                <w:sz w:val="20"/>
                <w:szCs w:val="20"/>
              </w:rPr>
              <w:instrText xml:space="preserve"> NUMPAGES  </w:instrText>
            </w:r>
            <w:r w:rsidRPr="0006538F">
              <w:rPr>
                <w:rFonts w:ascii="Times New Roman" w:hAnsi="Times New Roman"/>
                <w:b/>
                <w:bCs/>
                <w:sz w:val="20"/>
                <w:szCs w:val="20"/>
              </w:rPr>
              <w:fldChar w:fldCharType="separate"/>
            </w:r>
            <w:r w:rsidR="00670BED">
              <w:rPr>
                <w:rFonts w:ascii="Times New Roman" w:hAnsi="Times New Roman"/>
                <w:b/>
                <w:bCs/>
                <w:noProof/>
                <w:sz w:val="20"/>
                <w:szCs w:val="20"/>
              </w:rPr>
              <w:t>10</w:t>
            </w:r>
            <w:r w:rsidRPr="0006538F">
              <w:rPr>
                <w:rFonts w:ascii="Times New Roman" w:hAnsi="Times New Roman"/>
                <w:b/>
                <w:bCs/>
                <w:sz w:val="20"/>
                <w:szCs w:val="20"/>
              </w:rPr>
              <w:fldChar w:fldCharType="end"/>
            </w:r>
          </w:p>
        </w:sdtContent>
      </w:sdt>
    </w:sdtContent>
  </w:sdt>
  <w:p w:rsidR="00FD51CC" w:rsidRDefault="00FD51CC" w:rsidP="00300AD1">
    <w:pPr>
      <w:pStyle w:val="Footer"/>
      <w:tabs>
        <w:tab w:val="clear" w:pos="4320"/>
        <w:tab w:val="clear" w:pos="8640"/>
        <w:tab w:val="left" w:pos="18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9AA" w:rsidRDefault="00EC19AA" w:rsidP="00B47D2B">
      <w:r>
        <w:separator/>
      </w:r>
    </w:p>
  </w:footnote>
  <w:footnote w:type="continuationSeparator" w:id="0">
    <w:p w:rsidR="00EC19AA" w:rsidRDefault="00EC19AA" w:rsidP="00B47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F8819"/>
    <w:multiLevelType w:val="hybridMultilevel"/>
    <w:tmpl w:val="8FBAED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B27C8"/>
    <w:multiLevelType w:val="hybridMultilevel"/>
    <w:tmpl w:val="CB1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4C7327"/>
    <w:multiLevelType w:val="hybridMultilevel"/>
    <w:tmpl w:val="CC7E9504"/>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3400A"/>
    <w:multiLevelType w:val="hybridMultilevel"/>
    <w:tmpl w:val="EA50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E26FE"/>
    <w:multiLevelType w:val="hybridMultilevel"/>
    <w:tmpl w:val="3B76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E2E91"/>
    <w:multiLevelType w:val="hybridMultilevel"/>
    <w:tmpl w:val="D0D06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779B8"/>
    <w:multiLevelType w:val="hybridMultilevel"/>
    <w:tmpl w:val="16EE2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21127"/>
    <w:multiLevelType w:val="hybridMultilevel"/>
    <w:tmpl w:val="74BC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DA151A"/>
    <w:multiLevelType w:val="hybridMultilevel"/>
    <w:tmpl w:val="733644B6"/>
    <w:lvl w:ilvl="0" w:tplc="2BD6342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D30936"/>
    <w:multiLevelType w:val="hybridMultilevel"/>
    <w:tmpl w:val="0DA48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624BC4"/>
    <w:multiLevelType w:val="hybridMultilevel"/>
    <w:tmpl w:val="2D6E31D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3401F"/>
    <w:multiLevelType w:val="hybridMultilevel"/>
    <w:tmpl w:val="2D3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3B31B9"/>
    <w:multiLevelType w:val="hybridMultilevel"/>
    <w:tmpl w:val="9AE248CE"/>
    <w:lvl w:ilvl="0" w:tplc="D9BC9B6C">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F5469B4"/>
    <w:multiLevelType w:val="hybridMultilevel"/>
    <w:tmpl w:val="BB482E4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nsid w:val="32E36C1D"/>
    <w:multiLevelType w:val="hybridMultilevel"/>
    <w:tmpl w:val="D4B6DC84"/>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A947B13"/>
    <w:multiLevelType w:val="hybridMultilevel"/>
    <w:tmpl w:val="CE58A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1D29A4"/>
    <w:multiLevelType w:val="hybridMultilevel"/>
    <w:tmpl w:val="0560ABE8"/>
    <w:lvl w:ilvl="0" w:tplc="D9BC9B6C">
      <w:numFmt w:val="bullet"/>
      <w:lvlText w:val="•"/>
      <w:lvlJc w:val="left"/>
      <w:pPr>
        <w:ind w:left="765" w:hanging="360"/>
      </w:pPr>
      <w:rPr>
        <w:rFonts w:ascii="Arial" w:eastAsia="Calibri"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935644"/>
    <w:multiLevelType w:val="hybridMultilevel"/>
    <w:tmpl w:val="4D703812"/>
    <w:lvl w:ilvl="0" w:tplc="3678212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50F06F3"/>
    <w:multiLevelType w:val="hybridMultilevel"/>
    <w:tmpl w:val="95CACB28"/>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5D77D1"/>
    <w:multiLevelType w:val="hybridMultilevel"/>
    <w:tmpl w:val="55DAE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93F32B8"/>
    <w:multiLevelType w:val="hybridMultilevel"/>
    <w:tmpl w:val="CFA4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627C2"/>
    <w:multiLevelType w:val="hybridMultilevel"/>
    <w:tmpl w:val="D0C6C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045BB3"/>
    <w:multiLevelType w:val="hybridMultilevel"/>
    <w:tmpl w:val="49E0655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0">
    <w:nsid w:val="4E8B5D2C"/>
    <w:multiLevelType w:val="hybridMultilevel"/>
    <w:tmpl w:val="40C42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212B70"/>
    <w:multiLevelType w:val="hybridMultilevel"/>
    <w:tmpl w:val="5D6E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1647D"/>
    <w:multiLevelType w:val="hybridMultilevel"/>
    <w:tmpl w:val="FE50F2EE"/>
    <w:lvl w:ilvl="0" w:tplc="11BA7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A64732"/>
    <w:multiLevelType w:val="hybridMultilevel"/>
    <w:tmpl w:val="9B16485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C708EE"/>
    <w:multiLevelType w:val="hybridMultilevel"/>
    <w:tmpl w:val="984660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nsid w:val="62B75C65"/>
    <w:multiLevelType w:val="hybridMultilevel"/>
    <w:tmpl w:val="5DF8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A73FFD"/>
    <w:multiLevelType w:val="hybridMultilevel"/>
    <w:tmpl w:val="23C6CB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80147"/>
    <w:multiLevelType w:val="hybridMultilevel"/>
    <w:tmpl w:val="32BE0B2C"/>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6E1B4BC8"/>
    <w:multiLevelType w:val="hybridMultilevel"/>
    <w:tmpl w:val="816A1E28"/>
    <w:lvl w:ilvl="0" w:tplc="77321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BE0BB8"/>
    <w:multiLevelType w:val="hybridMultilevel"/>
    <w:tmpl w:val="8456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0C53CA"/>
    <w:multiLevelType w:val="hybridMultilevel"/>
    <w:tmpl w:val="4F444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2F1671"/>
    <w:multiLevelType w:val="hybridMultilevel"/>
    <w:tmpl w:val="4846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9F441B"/>
    <w:multiLevelType w:val="hybridMultilevel"/>
    <w:tmpl w:val="0D4A26B8"/>
    <w:lvl w:ilvl="0" w:tplc="D9BC9B6C">
      <w:numFmt w:val="bullet"/>
      <w:lvlText w:val="•"/>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650346"/>
    <w:multiLevelType w:val="hybridMultilevel"/>
    <w:tmpl w:val="87D43580"/>
    <w:lvl w:ilvl="0" w:tplc="FA9E06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9BA2AA7"/>
    <w:multiLevelType w:val="hybridMultilevel"/>
    <w:tmpl w:val="F38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853835"/>
    <w:multiLevelType w:val="hybridMultilevel"/>
    <w:tmpl w:val="35741A04"/>
    <w:lvl w:ilvl="0" w:tplc="D9BC9B6C">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E862CE0"/>
    <w:multiLevelType w:val="hybridMultilevel"/>
    <w:tmpl w:val="901E56A0"/>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35"/>
  </w:num>
  <w:num w:numId="4">
    <w:abstractNumId w:val="30"/>
  </w:num>
  <w:num w:numId="5">
    <w:abstractNumId w:val="37"/>
  </w:num>
  <w:num w:numId="6">
    <w:abstractNumId w:val="32"/>
  </w:num>
  <w:num w:numId="7">
    <w:abstractNumId w:val="3"/>
  </w:num>
  <w:num w:numId="8">
    <w:abstractNumId w:val="23"/>
  </w:num>
  <w:num w:numId="9">
    <w:abstractNumId w:val="10"/>
  </w:num>
  <w:num w:numId="10">
    <w:abstractNumId w:val="43"/>
  </w:num>
  <w:num w:numId="11">
    <w:abstractNumId w:val="28"/>
  </w:num>
  <w:num w:numId="12">
    <w:abstractNumId w:val="33"/>
  </w:num>
  <w:num w:numId="13">
    <w:abstractNumId w:val="41"/>
  </w:num>
  <w:num w:numId="14">
    <w:abstractNumId w:val="12"/>
  </w:num>
  <w:num w:numId="15">
    <w:abstractNumId w:val="26"/>
  </w:num>
  <w:num w:numId="16">
    <w:abstractNumId w:val="25"/>
  </w:num>
  <w:num w:numId="17">
    <w:abstractNumId w:val="46"/>
  </w:num>
  <w:num w:numId="18">
    <w:abstractNumId w:val="4"/>
  </w:num>
  <w:num w:numId="19">
    <w:abstractNumId w:val="22"/>
  </w:num>
  <w:num w:numId="20">
    <w:abstractNumId w:val="15"/>
  </w:num>
  <w:num w:numId="21">
    <w:abstractNumId w:val="16"/>
  </w:num>
  <w:num w:numId="22">
    <w:abstractNumId w:val="17"/>
  </w:num>
  <w:num w:numId="23">
    <w:abstractNumId w:val="13"/>
  </w:num>
  <w:num w:numId="24">
    <w:abstractNumId w:val="21"/>
  </w:num>
  <w:num w:numId="25">
    <w:abstractNumId w:val="47"/>
  </w:num>
  <w:num w:numId="26">
    <w:abstractNumId w:val="19"/>
  </w:num>
  <w:num w:numId="27">
    <w:abstractNumId w:val="0"/>
  </w:num>
  <w:num w:numId="28">
    <w:abstractNumId w:val="11"/>
  </w:num>
  <w:num w:numId="29">
    <w:abstractNumId w:val="6"/>
  </w:num>
  <w:num w:numId="30">
    <w:abstractNumId w:val="45"/>
  </w:num>
  <w:num w:numId="31">
    <w:abstractNumId w:val="24"/>
  </w:num>
  <w:num w:numId="32">
    <w:abstractNumId w:val="31"/>
  </w:num>
  <w:num w:numId="33">
    <w:abstractNumId w:val="14"/>
  </w:num>
  <w:num w:numId="34">
    <w:abstractNumId w:val="29"/>
  </w:num>
  <w:num w:numId="35">
    <w:abstractNumId w:val="27"/>
  </w:num>
  <w:num w:numId="36">
    <w:abstractNumId w:val="2"/>
  </w:num>
  <w:num w:numId="37">
    <w:abstractNumId w:val="39"/>
  </w:num>
  <w:num w:numId="38">
    <w:abstractNumId w:val="38"/>
  </w:num>
  <w:num w:numId="39">
    <w:abstractNumId w:val="18"/>
  </w:num>
  <w:num w:numId="40">
    <w:abstractNumId w:val="40"/>
  </w:num>
  <w:num w:numId="41">
    <w:abstractNumId w:val="36"/>
  </w:num>
  <w:num w:numId="42">
    <w:abstractNumId w:val="20"/>
  </w:num>
  <w:num w:numId="43">
    <w:abstractNumId w:val="1"/>
  </w:num>
  <w:num w:numId="44">
    <w:abstractNumId w:val="42"/>
  </w:num>
  <w:num w:numId="45">
    <w:abstractNumId w:val="9"/>
  </w:num>
  <w:num w:numId="46">
    <w:abstractNumId w:val="5"/>
  </w:num>
  <w:num w:numId="47">
    <w:abstractNumId w:val="34"/>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4A"/>
    <w:rsid w:val="00000785"/>
    <w:rsid w:val="00002392"/>
    <w:rsid w:val="000127B4"/>
    <w:rsid w:val="000225CB"/>
    <w:rsid w:val="00030C89"/>
    <w:rsid w:val="0003114E"/>
    <w:rsid w:val="00034810"/>
    <w:rsid w:val="00035B3A"/>
    <w:rsid w:val="00035B7A"/>
    <w:rsid w:val="00037046"/>
    <w:rsid w:val="000423A4"/>
    <w:rsid w:val="00042485"/>
    <w:rsid w:val="00043667"/>
    <w:rsid w:val="00046A62"/>
    <w:rsid w:val="00051DB3"/>
    <w:rsid w:val="00052B6E"/>
    <w:rsid w:val="00052E6A"/>
    <w:rsid w:val="000601AE"/>
    <w:rsid w:val="00061668"/>
    <w:rsid w:val="00062A2C"/>
    <w:rsid w:val="00062A7D"/>
    <w:rsid w:val="00063608"/>
    <w:rsid w:val="0006538F"/>
    <w:rsid w:val="00067F48"/>
    <w:rsid w:val="0007214C"/>
    <w:rsid w:val="00076809"/>
    <w:rsid w:val="00077E08"/>
    <w:rsid w:val="000814E5"/>
    <w:rsid w:val="00081CFB"/>
    <w:rsid w:val="00086581"/>
    <w:rsid w:val="0009229D"/>
    <w:rsid w:val="0009259B"/>
    <w:rsid w:val="00096D97"/>
    <w:rsid w:val="000A470A"/>
    <w:rsid w:val="000A78FF"/>
    <w:rsid w:val="000B2279"/>
    <w:rsid w:val="000B3C12"/>
    <w:rsid w:val="000B447E"/>
    <w:rsid w:val="000C4383"/>
    <w:rsid w:val="000C4E87"/>
    <w:rsid w:val="000D616D"/>
    <w:rsid w:val="000E6127"/>
    <w:rsid w:val="000E6280"/>
    <w:rsid w:val="000F63DA"/>
    <w:rsid w:val="000F67DC"/>
    <w:rsid w:val="000F7F3A"/>
    <w:rsid w:val="00102A20"/>
    <w:rsid w:val="00103F1E"/>
    <w:rsid w:val="0011484F"/>
    <w:rsid w:val="00116566"/>
    <w:rsid w:val="00116A61"/>
    <w:rsid w:val="001247E2"/>
    <w:rsid w:val="001251A5"/>
    <w:rsid w:val="00136484"/>
    <w:rsid w:val="001365BC"/>
    <w:rsid w:val="00137814"/>
    <w:rsid w:val="001413C1"/>
    <w:rsid w:val="00141E03"/>
    <w:rsid w:val="00147C98"/>
    <w:rsid w:val="001616CA"/>
    <w:rsid w:val="0016194E"/>
    <w:rsid w:val="00161A94"/>
    <w:rsid w:val="00163200"/>
    <w:rsid w:val="00182A64"/>
    <w:rsid w:val="00187399"/>
    <w:rsid w:val="00187A7F"/>
    <w:rsid w:val="001915C4"/>
    <w:rsid w:val="001A22C1"/>
    <w:rsid w:val="001B0815"/>
    <w:rsid w:val="001B0D52"/>
    <w:rsid w:val="001B134A"/>
    <w:rsid w:val="001B2893"/>
    <w:rsid w:val="001B2F4E"/>
    <w:rsid w:val="001B6EA3"/>
    <w:rsid w:val="001B7AFB"/>
    <w:rsid w:val="001E105D"/>
    <w:rsid w:val="001E2581"/>
    <w:rsid w:val="001E4E69"/>
    <w:rsid w:val="001E7F0E"/>
    <w:rsid w:val="001F055A"/>
    <w:rsid w:val="001F353E"/>
    <w:rsid w:val="001F57AF"/>
    <w:rsid w:val="00202243"/>
    <w:rsid w:val="00202464"/>
    <w:rsid w:val="00202CCB"/>
    <w:rsid w:val="00203849"/>
    <w:rsid w:val="002038C2"/>
    <w:rsid w:val="00205C0C"/>
    <w:rsid w:val="00210DEC"/>
    <w:rsid w:val="0021102B"/>
    <w:rsid w:val="0021328A"/>
    <w:rsid w:val="0021758C"/>
    <w:rsid w:val="00220230"/>
    <w:rsid w:val="002205C8"/>
    <w:rsid w:val="00221C9C"/>
    <w:rsid w:val="002231C4"/>
    <w:rsid w:val="0023076D"/>
    <w:rsid w:val="00233ABA"/>
    <w:rsid w:val="00243C7F"/>
    <w:rsid w:val="00257973"/>
    <w:rsid w:val="00267F38"/>
    <w:rsid w:val="00272AB3"/>
    <w:rsid w:val="0027351B"/>
    <w:rsid w:val="00280D6D"/>
    <w:rsid w:val="00284486"/>
    <w:rsid w:val="002848EC"/>
    <w:rsid w:val="0028551A"/>
    <w:rsid w:val="0028786F"/>
    <w:rsid w:val="00291518"/>
    <w:rsid w:val="00297C97"/>
    <w:rsid w:val="002A0AE8"/>
    <w:rsid w:val="002A0B32"/>
    <w:rsid w:val="002A5BEA"/>
    <w:rsid w:val="002A7642"/>
    <w:rsid w:val="002B1C86"/>
    <w:rsid w:val="002B4AB7"/>
    <w:rsid w:val="002B4E78"/>
    <w:rsid w:val="002B6C45"/>
    <w:rsid w:val="002C19D6"/>
    <w:rsid w:val="002C2801"/>
    <w:rsid w:val="002C403E"/>
    <w:rsid w:val="002C7A76"/>
    <w:rsid w:val="002D1EDB"/>
    <w:rsid w:val="002D4BF0"/>
    <w:rsid w:val="002D679D"/>
    <w:rsid w:val="002E0193"/>
    <w:rsid w:val="002E4C6B"/>
    <w:rsid w:val="002E5095"/>
    <w:rsid w:val="002F3C58"/>
    <w:rsid w:val="002F78FA"/>
    <w:rsid w:val="00300AD1"/>
    <w:rsid w:val="00310D20"/>
    <w:rsid w:val="0031356F"/>
    <w:rsid w:val="00313ECF"/>
    <w:rsid w:val="00313FB4"/>
    <w:rsid w:val="00317762"/>
    <w:rsid w:val="00322686"/>
    <w:rsid w:val="00323021"/>
    <w:rsid w:val="0032733C"/>
    <w:rsid w:val="00336357"/>
    <w:rsid w:val="00337709"/>
    <w:rsid w:val="00344734"/>
    <w:rsid w:val="00347BE6"/>
    <w:rsid w:val="003561F3"/>
    <w:rsid w:val="0036445E"/>
    <w:rsid w:val="00365AB1"/>
    <w:rsid w:val="00365ECF"/>
    <w:rsid w:val="003710C2"/>
    <w:rsid w:val="003723DC"/>
    <w:rsid w:val="00372BE6"/>
    <w:rsid w:val="0037475C"/>
    <w:rsid w:val="0037644A"/>
    <w:rsid w:val="00381AE3"/>
    <w:rsid w:val="00383B94"/>
    <w:rsid w:val="003944D8"/>
    <w:rsid w:val="00395320"/>
    <w:rsid w:val="003A1D01"/>
    <w:rsid w:val="003A6750"/>
    <w:rsid w:val="003B095F"/>
    <w:rsid w:val="003B1743"/>
    <w:rsid w:val="003B4674"/>
    <w:rsid w:val="003C088D"/>
    <w:rsid w:val="003D4C42"/>
    <w:rsid w:val="003E7ACD"/>
    <w:rsid w:val="003F2648"/>
    <w:rsid w:val="00406EA8"/>
    <w:rsid w:val="00414C1C"/>
    <w:rsid w:val="00420603"/>
    <w:rsid w:val="00423171"/>
    <w:rsid w:val="00423A12"/>
    <w:rsid w:val="004315B2"/>
    <w:rsid w:val="00433802"/>
    <w:rsid w:val="00433E9F"/>
    <w:rsid w:val="00434CC2"/>
    <w:rsid w:val="00435732"/>
    <w:rsid w:val="00436F27"/>
    <w:rsid w:val="004405BA"/>
    <w:rsid w:val="00446132"/>
    <w:rsid w:val="00447230"/>
    <w:rsid w:val="004475D5"/>
    <w:rsid w:val="00452AFD"/>
    <w:rsid w:val="00453F9E"/>
    <w:rsid w:val="00455AC4"/>
    <w:rsid w:val="00457262"/>
    <w:rsid w:val="00463720"/>
    <w:rsid w:val="0046479F"/>
    <w:rsid w:val="00477AF4"/>
    <w:rsid w:val="00482047"/>
    <w:rsid w:val="004863C7"/>
    <w:rsid w:val="00486665"/>
    <w:rsid w:val="00487FF4"/>
    <w:rsid w:val="00490EE4"/>
    <w:rsid w:val="004916ED"/>
    <w:rsid w:val="00493E71"/>
    <w:rsid w:val="00495224"/>
    <w:rsid w:val="00495E83"/>
    <w:rsid w:val="004A073C"/>
    <w:rsid w:val="004A15DE"/>
    <w:rsid w:val="004A7FBE"/>
    <w:rsid w:val="004B4287"/>
    <w:rsid w:val="004C648C"/>
    <w:rsid w:val="004D048D"/>
    <w:rsid w:val="004D075F"/>
    <w:rsid w:val="004D09F1"/>
    <w:rsid w:val="004D2659"/>
    <w:rsid w:val="004D6E1C"/>
    <w:rsid w:val="004E1046"/>
    <w:rsid w:val="004F0248"/>
    <w:rsid w:val="004F0AD7"/>
    <w:rsid w:val="004F2D9C"/>
    <w:rsid w:val="004F2DD8"/>
    <w:rsid w:val="004F4533"/>
    <w:rsid w:val="004F5F12"/>
    <w:rsid w:val="004F7280"/>
    <w:rsid w:val="00500300"/>
    <w:rsid w:val="0050087C"/>
    <w:rsid w:val="005013AD"/>
    <w:rsid w:val="00501FDD"/>
    <w:rsid w:val="005021D4"/>
    <w:rsid w:val="005029E9"/>
    <w:rsid w:val="00503CCB"/>
    <w:rsid w:val="00506D73"/>
    <w:rsid w:val="0050787C"/>
    <w:rsid w:val="00507D36"/>
    <w:rsid w:val="005125D0"/>
    <w:rsid w:val="00514B27"/>
    <w:rsid w:val="00515A05"/>
    <w:rsid w:val="005167E4"/>
    <w:rsid w:val="0051691A"/>
    <w:rsid w:val="00550BFE"/>
    <w:rsid w:val="00557430"/>
    <w:rsid w:val="0056101E"/>
    <w:rsid w:val="00564892"/>
    <w:rsid w:val="005664E4"/>
    <w:rsid w:val="0057040A"/>
    <w:rsid w:val="0057570B"/>
    <w:rsid w:val="00576161"/>
    <w:rsid w:val="005803FC"/>
    <w:rsid w:val="005863AF"/>
    <w:rsid w:val="00595583"/>
    <w:rsid w:val="005966F9"/>
    <w:rsid w:val="005A6052"/>
    <w:rsid w:val="005B551A"/>
    <w:rsid w:val="005B6F45"/>
    <w:rsid w:val="005C1303"/>
    <w:rsid w:val="005C1840"/>
    <w:rsid w:val="005C1AB3"/>
    <w:rsid w:val="005C3656"/>
    <w:rsid w:val="005C48A9"/>
    <w:rsid w:val="005C52BB"/>
    <w:rsid w:val="005D3B30"/>
    <w:rsid w:val="005E702C"/>
    <w:rsid w:val="005F0AF5"/>
    <w:rsid w:val="005F1361"/>
    <w:rsid w:val="005F264F"/>
    <w:rsid w:val="005F2FF8"/>
    <w:rsid w:val="00601783"/>
    <w:rsid w:val="00601CC3"/>
    <w:rsid w:val="00605D3D"/>
    <w:rsid w:val="0061300F"/>
    <w:rsid w:val="00614CC0"/>
    <w:rsid w:val="006262D9"/>
    <w:rsid w:val="00637A85"/>
    <w:rsid w:val="00640CA1"/>
    <w:rsid w:val="00642B4E"/>
    <w:rsid w:val="00643F0A"/>
    <w:rsid w:val="0064424A"/>
    <w:rsid w:val="00647895"/>
    <w:rsid w:val="00650060"/>
    <w:rsid w:val="006537AB"/>
    <w:rsid w:val="0066443E"/>
    <w:rsid w:val="00670BED"/>
    <w:rsid w:val="006715C3"/>
    <w:rsid w:val="00671A1D"/>
    <w:rsid w:val="00673522"/>
    <w:rsid w:val="006739E6"/>
    <w:rsid w:val="00677187"/>
    <w:rsid w:val="00680365"/>
    <w:rsid w:val="00680F92"/>
    <w:rsid w:val="00686B88"/>
    <w:rsid w:val="00686BF1"/>
    <w:rsid w:val="00693280"/>
    <w:rsid w:val="006A0774"/>
    <w:rsid w:val="006A163B"/>
    <w:rsid w:val="006A3BA1"/>
    <w:rsid w:val="006A4BC1"/>
    <w:rsid w:val="006B37FB"/>
    <w:rsid w:val="006B50C1"/>
    <w:rsid w:val="006C6B19"/>
    <w:rsid w:val="006D1EA1"/>
    <w:rsid w:val="006D2DBA"/>
    <w:rsid w:val="006E587C"/>
    <w:rsid w:val="006F00D5"/>
    <w:rsid w:val="006F0DCF"/>
    <w:rsid w:val="006F2680"/>
    <w:rsid w:val="006F3826"/>
    <w:rsid w:val="006F7FE1"/>
    <w:rsid w:val="00707B8C"/>
    <w:rsid w:val="00712590"/>
    <w:rsid w:val="00712663"/>
    <w:rsid w:val="007156F2"/>
    <w:rsid w:val="007176A9"/>
    <w:rsid w:val="00721656"/>
    <w:rsid w:val="00724541"/>
    <w:rsid w:val="00724E2B"/>
    <w:rsid w:val="00735423"/>
    <w:rsid w:val="007410EC"/>
    <w:rsid w:val="00741384"/>
    <w:rsid w:val="00743F63"/>
    <w:rsid w:val="007469C1"/>
    <w:rsid w:val="00746D38"/>
    <w:rsid w:val="007472B3"/>
    <w:rsid w:val="0075111F"/>
    <w:rsid w:val="00751D69"/>
    <w:rsid w:val="00755331"/>
    <w:rsid w:val="00755E95"/>
    <w:rsid w:val="00755F43"/>
    <w:rsid w:val="00760A0F"/>
    <w:rsid w:val="00761340"/>
    <w:rsid w:val="007616CC"/>
    <w:rsid w:val="00761D9D"/>
    <w:rsid w:val="00771B38"/>
    <w:rsid w:val="00781E95"/>
    <w:rsid w:val="00784D75"/>
    <w:rsid w:val="00785308"/>
    <w:rsid w:val="00786ACA"/>
    <w:rsid w:val="0079085E"/>
    <w:rsid w:val="00792E6D"/>
    <w:rsid w:val="00794722"/>
    <w:rsid w:val="007961AF"/>
    <w:rsid w:val="007A274E"/>
    <w:rsid w:val="007A2A7B"/>
    <w:rsid w:val="007B09D0"/>
    <w:rsid w:val="007B4D0F"/>
    <w:rsid w:val="007B59E8"/>
    <w:rsid w:val="007B6BCA"/>
    <w:rsid w:val="007C4B95"/>
    <w:rsid w:val="007E0ABE"/>
    <w:rsid w:val="007E48D6"/>
    <w:rsid w:val="007F0E85"/>
    <w:rsid w:val="007F4B38"/>
    <w:rsid w:val="007F4EA0"/>
    <w:rsid w:val="007F6424"/>
    <w:rsid w:val="007F7BF8"/>
    <w:rsid w:val="00814B57"/>
    <w:rsid w:val="00814D35"/>
    <w:rsid w:val="00816182"/>
    <w:rsid w:val="00822A57"/>
    <w:rsid w:val="0082552D"/>
    <w:rsid w:val="00826273"/>
    <w:rsid w:val="008279ED"/>
    <w:rsid w:val="00833C81"/>
    <w:rsid w:val="0083553E"/>
    <w:rsid w:val="008356B1"/>
    <w:rsid w:val="008420D1"/>
    <w:rsid w:val="008438FA"/>
    <w:rsid w:val="00845F51"/>
    <w:rsid w:val="00846AC4"/>
    <w:rsid w:val="00847B0B"/>
    <w:rsid w:val="00852912"/>
    <w:rsid w:val="00856168"/>
    <w:rsid w:val="00862B31"/>
    <w:rsid w:val="00864322"/>
    <w:rsid w:val="00866C8E"/>
    <w:rsid w:val="00867FCF"/>
    <w:rsid w:val="00876A2B"/>
    <w:rsid w:val="00883446"/>
    <w:rsid w:val="00890EB8"/>
    <w:rsid w:val="00895D2C"/>
    <w:rsid w:val="008A18FD"/>
    <w:rsid w:val="008A32A9"/>
    <w:rsid w:val="008A3E52"/>
    <w:rsid w:val="008B001A"/>
    <w:rsid w:val="008B6BA2"/>
    <w:rsid w:val="008B75CC"/>
    <w:rsid w:val="008D0BFD"/>
    <w:rsid w:val="008E0F03"/>
    <w:rsid w:val="008E3CDB"/>
    <w:rsid w:val="008E44D7"/>
    <w:rsid w:val="008E59B3"/>
    <w:rsid w:val="008F1DE0"/>
    <w:rsid w:val="008F29D4"/>
    <w:rsid w:val="008F37FE"/>
    <w:rsid w:val="008F4259"/>
    <w:rsid w:val="008F5C72"/>
    <w:rsid w:val="008F647D"/>
    <w:rsid w:val="008F668F"/>
    <w:rsid w:val="008F722F"/>
    <w:rsid w:val="0093043C"/>
    <w:rsid w:val="00930E42"/>
    <w:rsid w:val="0093127E"/>
    <w:rsid w:val="00932BE1"/>
    <w:rsid w:val="009411DB"/>
    <w:rsid w:val="00946988"/>
    <w:rsid w:val="00952609"/>
    <w:rsid w:val="009571D7"/>
    <w:rsid w:val="00957670"/>
    <w:rsid w:val="00961AF8"/>
    <w:rsid w:val="009648D2"/>
    <w:rsid w:val="00964CDC"/>
    <w:rsid w:val="00964FD8"/>
    <w:rsid w:val="00966128"/>
    <w:rsid w:val="009712BC"/>
    <w:rsid w:val="009730BD"/>
    <w:rsid w:val="0098102F"/>
    <w:rsid w:val="00981888"/>
    <w:rsid w:val="00982130"/>
    <w:rsid w:val="00985944"/>
    <w:rsid w:val="0098641E"/>
    <w:rsid w:val="00991C45"/>
    <w:rsid w:val="00992268"/>
    <w:rsid w:val="009934EA"/>
    <w:rsid w:val="009944F0"/>
    <w:rsid w:val="00994DD4"/>
    <w:rsid w:val="00996A3A"/>
    <w:rsid w:val="009A2DEE"/>
    <w:rsid w:val="009A2FCB"/>
    <w:rsid w:val="009A46F4"/>
    <w:rsid w:val="009A6D3B"/>
    <w:rsid w:val="009A7B02"/>
    <w:rsid w:val="009B1914"/>
    <w:rsid w:val="009B6B78"/>
    <w:rsid w:val="009C0299"/>
    <w:rsid w:val="009C6CE5"/>
    <w:rsid w:val="009F1757"/>
    <w:rsid w:val="009F2487"/>
    <w:rsid w:val="009F2943"/>
    <w:rsid w:val="009F3626"/>
    <w:rsid w:val="009F4B03"/>
    <w:rsid w:val="009F5320"/>
    <w:rsid w:val="00A031C9"/>
    <w:rsid w:val="00A05B68"/>
    <w:rsid w:val="00A11B79"/>
    <w:rsid w:val="00A12AF7"/>
    <w:rsid w:val="00A132A6"/>
    <w:rsid w:val="00A14784"/>
    <w:rsid w:val="00A148BB"/>
    <w:rsid w:val="00A227F6"/>
    <w:rsid w:val="00A31D0A"/>
    <w:rsid w:val="00A37D69"/>
    <w:rsid w:val="00A4030F"/>
    <w:rsid w:val="00A42463"/>
    <w:rsid w:val="00A4333E"/>
    <w:rsid w:val="00A4405A"/>
    <w:rsid w:val="00A46552"/>
    <w:rsid w:val="00A54CC5"/>
    <w:rsid w:val="00A55270"/>
    <w:rsid w:val="00A57091"/>
    <w:rsid w:val="00A60600"/>
    <w:rsid w:val="00A6190B"/>
    <w:rsid w:val="00A61B5C"/>
    <w:rsid w:val="00A63F5A"/>
    <w:rsid w:val="00A64216"/>
    <w:rsid w:val="00A652EC"/>
    <w:rsid w:val="00A850C9"/>
    <w:rsid w:val="00A93C95"/>
    <w:rsid w:val="00AA0962"/>
    <w:rsid w:val="00AA19C1"/>
    <w:rsid w:val="00AA300E"/>
    <w:rsid w:val="00AA5404"/>
    <w:rsid w:val="00AB59C1"/>
    <w:rsid w:val="00AB6131"/>
    <w:rsid w:val="00AB65D6"/>
    <w:rsid w:val="00AB74FF"/>
    <w:rsid w:val="00AC0149"/>
    <w:rsid w:val="00AC0889"/>
    <w:rsid w:val="00AC1ED0"/>
    <w:rsid w:val="00AC3837"/>
    <w:rsid w:val="00AC5D49"/>
    <w:rsid w:val="00AC770B"/>
    <w:rsid w:val="00AC7D7F"/>
    <w:rsid w:val="00AD2F38"/>
    <w:rsid w:val="00AD3B87"/>
    <w:rsid w:val="00AD4FC9"/>
    <w:rsid w:val="00AD7A4A"/>
    <w:rsid w:val="00AE1A70"/>
    <w:rsid w:val="00AE265A"/>
    <w:rsid w:val="00AE38AC"/>
    <w:rsid w:val="00AE5F85"/>
    <w:rsid w:val="00AF0F37"/>
    <w:rsid w:val="00AF3083"/>
    <w:rsid w:val="00AF32ED"/>
    <w:rsid w:val="00AF4270"/>
    <w:rsid w:val="00AF47F4"/>
    <w:rsid w:val="00AF5CF5"/>
    <w:rsid w:val="00B00130"/>
    <w:rsid w:val="00B01BDB"/>
    <w:rsid w:val="00B1244F"/>
    <w:rsid w:val="00B12AD0"/>
    <w:rsid w:val="00B12CFE"/>
    <w:rsid w:val="00B14822"/>
    <w:rsid w:val="00B24578"/>
    <w:rsid w:val="00B359A0"/>
    <w:rsid w:val="00B35CE0"/>
    <w:rsid w:val="00B369E7"/>
    <w:rsid w:val="00B37B87"/>
    <w:rsid w:val="00B42C01"/>
    <w:rsid w:val="00B47D2B"/>
    <w:rsid w:val="00B542C3"/>
    <w:rsid w:val="00B5632F"/>
    <w:rsid w:val="00B57938"/>
    <w:rsid w:val="00B63483"/>
    <w:rsid w:val="00B66A1C"/>
    <w:rsid w:val="00B73372"/>
    <w:rsid w:val="00B90298"/>
    <w:rsid w:val="00BA0D11"/>
    <w:rsid w:val="00BA3283"/>
    <w:rsid w:val="00BA5696"/>
    <w:rsid w:val="00BB0087"/>
    <w:rsid w:val="00BD14E8"/>
    <w:rsid w:val="00BD4B70"/>
    <w:rsid w:val="00BE00C6"/>
    <w:rsid w:val="00BE45D7"/>
    <w:rsid w:val="00BE791D"/>
    <w:rsid w:val="00BF4BC6"/>
    <w:rsid w:val="00BF4E6B"/>
    <w:rsid w:val="00BF54E4"/>
    <w:rsid w:val="00C0601C"/>
    <w:rsid w:val="00C060F5"/>
    <w:rsid w:val="00C06601"/>
    <w:rsid w:val="00C0745B"/>
    <w:rsid w:val="00C143CD"/>
    <w:rsid w:val="00C14BE7"/>
    <w:rsid w:val="00C26741"/>
    <w:rsid w:val="00C312B9"/>
    <w:rsid w:val="00C313A4"/>
    <w:rsid w:val="00C43ECB"/>
    <w:rsid w:val="00C44E34"/>
    <w:rsid w:val="00C46BAB"/>
    <w:rsid w:val="00C51A00"/>
    <w:rsid w:val="00C53A1B"/>
    <w:rsid w:val="00C540EA"/>
    <w:rsid w:val="00C63CAB"/>
    <w:rsid w:val="00C656BD"/>
    <w:rsid w:val="00C73803"/>
    <w:rsid w:val="00C81543"/>
    <w:rsid w:val="00C8199C"/>
    <w:rsid w:val="00C841CF"/>
    <w:rsid w:val="00C94758"/>
    <w:rsid w:val="00C97894"/>
    <w:rsid w:val="00CA1E2D"/>
    <w:rsid w:val="00CA6100"/>
    <w:rsid w:val="00CA6383"/>
    <w:rsid w:val="00CA7216"/>
    <w:rsid w:val="00CB3293"/>
    <w:rsid w:val="00CC3026"/>
    <w:rsid w:val="00CC6F74"/>
    <w:rsid w:val="00CD4BFC"/>
    <w:rsid w:val="00CD5966"/>
    <w:rsid w:val="00CD6BD4"/>
    <w:rsid w:val="00CE144A"/>
    <w:rsid w:val="00CE63B0"/>
    <w:rsid w:val="00CE6BFD"/>
    <w:rsid w:val="00D02A0A"/>
    <w:rsid w:val="00D04C0B"/>
    <w:rsid w:val="00D04E46"/>
    <w:rsid w:val="00D11377"/>
    <w:rsid w:val="00D2385A"/>
    <w:rsid w:val="00D258C3"/>
    <w:rsid w:val="00D27D15"/>
    <w:rsid w:val="00D31C36"/>
    <w:rsid w:val="00D329D2"/>
    <w:rsid w:val="00D3434D"/>
    <w:rsid w:val="00D34BB6"/>
    <w:rsid w:val="00D44AFC"/>
    <w:rsid w:val="00D4580C"/>
    <w:rsid w:val="00D53E21"/>
    <w:rsid w:val="00D54492"/>
    <w:rsid w:val="00D60637"/>
    <w:rsid w:val="00D6503C"/>
    <w:rsid w:val="00D66E3C"/>
    <w:rsid w:val="00D67806"/>
    <w:rsid w:val="00D7369C"/>
    <w:rsid w:val="00D80B3D"/>
    <w:rsid w:val="00D84708"/>
    <w:rsid w:val="00D84DF6"/>
    <w:rsid w:val="00D87070"/>
    <w:rsid w:val="00D914F2"/>
    <w:rsid w:val="00D91652"/>
    <w:rsid w:val="00D95B28"/>
    <w:rsid w:val="00DC77C0"/>
    <w:rsid w:val="00DC78EE"/>
    <w:rsid w:val="00DD47A6"/>
    <w:rsid w:val="00DF009C"/>
    <w:rsid w:val="00DF0B61"/>
    <w:rsid w:val="00DF20B5"/>
    <w:rsid w:val="00DF42D4"/>
    <w:rsid w:val="00DF52D3"/>
    <w:rsid w:val="00E00A71"/>
    <w:rsid w:val="00E042F4"/>
    <w:rsid w:val="00E074BD"/>
    <w:rsid w:val="00E1144A"/>
    <w:rsid w:val="00E213D2"/>
    <w:rsid w:val="00E266C7"/>
    <w:rsid w:val="00E42B29"/>
    <w:rsid w:val="00E43434"/>
    <w:rsid w:val="00E47C06"/>
    <w:rsid w:val="00E505FE"/>
    <w:rsid w:val="00E52789"/>
    <w:rsid w:val="00E548B2"/>
    <w:rsid w:val="00E5557B"/>
    <w:rsid w:val="00E6310F"/>
    <w:rsid w:val="00E636A4"/>
    <w:rsid w:val="00E64BCD"/>
    <w:rsid w:val="00E66888"/>
    <w:rsid w:val="00E70C2B"/>
    <w:rsid w:val="00E70DFE"/>
    <w:rsid w:val="00E7650B"/>
    <w:rsid w:val="00E77CD1"/>
    <w:rsid w:val="00E85CF1"/>
    <w:rsid w:val="00E9496C"/>
    <w:rsid w:val="00E9501D"/>
    <w:rsid w:val="00E9604F"/>
    <w:rsid w:val="00EA1D00"/>
    <w:rsid w:val="00EA37F8"/>
    <w:rsid w:val="00EA44DC"/>
    <w:rsid w:val="00EA716A"/>
    <w:rsid w:val="00EB47D5"/>
    <w:rsid w:val="00EC1251"/>
    <w:rsid w:val="00EC167B"/>
    <w:rsid w:val="00EC19AA"/>
    <w:rsid w:val="00EC2D2F"/>
    <w:rsid w:val="00EC4B68"/>
    <w:rsid w:val="00EC6275"/>
    <w:rsid w:val="00ED4876"/>
    <w:rsid w:val="00EE1147"/>
    <w:rsid w:val="00EF00D9"/>
    <w:rsid w:val="00EF0D4C"/>
    <w:rsid w:val="00EF58AE"/>
    <w:rsid w:val="00F00151"/>
    <w:rsid w:val="00F03F91"/>
    <w:rsid w:val="00F128E3"/>
    <w:rsid w:val="00F14CB0"/>
    <w:rsid w:val="00F255FF"/>
    <w:rsid w:val="00F27AF7"/>
    <w:rsid w:val="00F3141D"/>
    <w:rsid w:val="00F375C7"/>
    <w:rsid w:val="00F402ED"/>
    <w:rsid w:val="00F4690F"/>
    <w:rsid w:val="00F503EB"/>
    <w:rsid w:val="00F51E93"/>
    <w:rsid w:val="00F546CB"/>
    <w:rsid w:val="00F550BC"/>
    <w:rsid w:val="00F55110"/>
    <w:rsid w:val="00F560A7"/>
    <w:rsid w:val="00F60B36"/>
    <w:rsid w:val="00F629B4"/>
    <w:rsid w:val="00F6345E"/>
    <w:rsid w:val="00F6761B"/>
    <w:rsid w:val="00F7136F"/>
    <w:rsid w:val="00F800CD"/>
    <w:rsid w:val="00F819BF"/>
    <w:rsid w:val="00F82137"/>
    <w:rsid w:val="00F84962"/>
    <w:rsid w:val="00F849A5"/>
    <w:rsid w:val="00F85CFE"/>
    <w:rsid w:val="00F874AF"/>
    <w:rsid w:val="00F9713B"/>
    <w:rsid w:val="00FA4EFA"/>
    <w:rsid w:val="00FA5811"/>
    <w:rsid w:val="00FC18DB"/>
    <w:rsid w:val="00FC2882"/>
    <w:rsid w:val="00FC35F9"/>
    <w:rsid w:val="00FC3705"/>
    <w:rsid w:val="00FC435F"/>
    <w:rsid w:val="00FC5DC2"/>
    <w:rsid w:val="00FC5E67"/>
    <w:rsid w:val="00FC6B3C"/>
    <w:rsid w:val="00FC769E"/>
    <w:rsid w:val="00FD0021"/>
    <w:rsid w:val="00FD0E8D"/>
    <w:rsid w:val="00FD3268"/>
    <w:rsid w:val="00FD3C67"/>
    <w:rsid w:val="00FD4616"/>
    <w:rsid w:val="00FD51CC"/>
    <w:rsid w:val="00FD5C07"/>
    <w:rsid w:val="00FE3130"/>
    <w:rsid w:val="00FE512F"/>
    <w:rsid w:val="00FE55D2"/>
    <w:rsid w:val="00FE783E"/>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rsid w:val="00B47D2B"/>
    <w:pPr>
      <w:tabs>
        <w:tab w:val="center" w:pos="4680"/>
        <w:tab w:val="right" w:pos="9360"/>
      </w:tabs>
    </w:pPr>
  </w:style>
  <w:style w:type="character" w:customStyle="1" w:styleId="HeaderChar">
    <w:name w:val="Header Char"/>
    <w:basedOn w:val="DefaultParagraphFont"/>
    <w:link w:val="Header"/>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 w:type="paragraph" w:styleId="NormalWeb">
    <w:name w:val="Normal (Web)"/>
    <w:basedOn w:val="Normal"/>
    <w:uiPriority w:val="99"/>
    <w:unhideWhenUsed/>
    <w:rsid w:val="00300AD1"/>
    <w:pPr>
      <w:spacing w:before="100" w:beforeAutospacing="1" w:after="100" w:afterAutospacing="1"/>
    </w:pPr>
  </w:style>
  <w:style w:type="character" w:styleId="FollowedHyperlink">
    <w:name w:val="FollowedHyperlink"/>
    <w:basedOn w:val="DefaultParagraphFont"/>
    <w:rsid w:val="00814D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rsid w:val="00B47D2B"/>
    <w:pPr>
      <w:tabs>
        <w:tab w:val="center" w:pos="4680"/>
        <w:tab w:val="right" w:pos="9360"/>
      </w:tabs>
    </w:pPr>
  </w:style>
  <w:style w:type="character" w:customStyle="1" w:styleId="HeaderChar">
    <w:name w:val="Header Char"/>
    <w:basedOn w:val="DefaultParagraphFont"/>
    <w:link w:val="Header"/>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 w:type="paragraph" w:styleId="NormalWeb">
    <w:name w:val="Normal (Web)"/>
    <w:basedOn w:val="Normal"/>
    <w:uiPriority w:val="99"/>
    <w:unhideWhenUsed/>
    <w:rsid w:val="00300AD1"/>
    <w:pPr>
      <w:spacing w:before="100" w:beforeAutospacing="1" w:after="100" w:afterAutospacing="1"/>
    </w:pPr>
  </w:style>
  <w:style w:type="character" w:styleId="FollowedHyperlink">
    <w:name w:val="FollowedHyperlink"/>
    <w:basedOn w:val="DefaultParagraphFont"/>
    <w:rsid w:val="00814D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0443">
      <w:bodyDiv w:val="1"/>
      <w:marLeft w:val="0"/>
      <w:marRight w:val="0"/>
      <w:marTop w:val="0"/>
      <w:marBottom w:val="0"/>
      <w:divBdr>
        <w:top w:val="none" w:sz="0" w:space="0" w:color="auto"/>
        <w:left w:val="none" w:sz="0" w:space="0" w:color="auto"/>
        <w:bottom w:val="none" w:sz="0" w:space="0" w:color="auto"/>
        <w:right w:val="none" w:sz="0" w:space="0" w:color="auto"/>
      </w:divBdr>
    </w:div>
    <w:div w:id="457647147">
      <w:bodyDiv w:val="1"/>
      <w:marLeft w:val="0"/>
      <w:marRight w:val="0"/>
      <w:marTop w:val="0"/>
      <w:marBottom w:val="0"/>
      <w:divBdr>
        <w:top w:val="none" w:sz="0" w:space="0" w:color="auto"/>
        <w:left w:val="none" w:sz="0" w:space="0" w:color="auto"/>
        <w:bottom w:val="none" w:sz="0" w:space="0" w:color="auto"/>
        <w:right w:val="none" w:sz="0" w:space="0" w:color="auto"/>
      </w:divBdr>
    </w:div>
    <w:div w:id="572739722">
      <w:bodyDiv w:val="1"/>
      <w:marLeft w:val="0"/>
      <w:marRight w:val="0"/>
      <w:marTop w:val="0"/>
      <w:marBottom w:val="0"/>
      <w:divBdr>
        <w:top w:val="none" w:sz="0" w:space="0" w:color="auto"/>
        <w:left w:val="none" w:sz="0" w:space="0" w:color="auto"/>
        <w:bottom w:val="none" w:sz="0" w:space="0" w:color="auto"/>
        <w:right w:val="none" w:sz="0" w:space="0" w:color="auto"/>
      </w:divBdr>
    </w:div>
    <w:div w:id="1194657763">
      <w:bodyDiv w:val="1"/>
      <w:marLeft w:val="0"/>
      <w:marRight w:val="0"/>
      <w:marTop w:val="0"/>
      <w:marBottom w:val="0"/>
      <w:divBdr>
        <w:top w:val="none" w:sz="0" w:space="0" w:color="auto"/>
        <w:left w:val="none" w:sz="0" w:space="0" w:color="auto"/>
        <w:bottom w:val="none" w:sz="0" w:space="0" w:color="auto"/>
        <w:right w:val="none" w:sz="0" w:space="0" w:color="auto"/>
      </w:divBdr>
    </w:div>
    <w:div w:id="1351105312">
      <w:bodyDiv w:val="1"/>
      <w:marLeft w:val="0"/>
      <w:marRight w:val="0"/>
      <w:marTop w:val="0"/>
      <w:marBottom w:val="0"/>
      <w:divBdr>
        <w:top w:val="none" w:sz="0" w:space="0" w:color="auto"/>
        <w:left w:val="none" w:sz="0" w:space="0" w:color="auto"/>
        <w:bottom w:val="none" w:sz="0" w:space="0" w:color="auto"/>
        <w:right w:val="none" w:sz="0" w:space="0" w:color="auto"/>
      </w:divBdr>
      <w:divsChild>
        <w:div w:id="1654407658">
          <w:marLeft w:val="0"/>
          <w:marRight w:val="0"/>
          <w:marTop w:val="0"/>
          <w:marBottom w:val="0"/>
          <w:divBdr>
            <w:top w:val="none" w:sz="0" w:space="0" w:color="auto"/>
            <w:left w:val="none" w:sz="0" w:space="0" w:color="auto"/>
            <w:bottom w:val="none" w:sz="0" w:space="0" w:color="auto"/>
            <w:right w:val="none" w:sz="0" w:space="0" w:color="auto"/>
          </w:divBdr>
          <w:divsChild>
            <w:div w:id="1888685346">
              <w:marLeft w:val="0"/>
              <w:marRight w:val="0"/>
              <w:marTop w:val="0"/>
              <w:marBottom w:val="0"/>
              <w:divBdr>
                <w:top w:val="none" w:sz="0" w:space="0" w:color="auto"/>
                <w:left w:val="none" w:sz="0" w:space="0" w:color="auto"/>
                <w:bottom w:val="none" w:sz="0" w:space="0" w:color="auto"/>
                <w:right w:val="none" w:sz="0" w:space="0" w:color="auto"/>
              </w:divBdr>
              <w:divsChild>
                <w:div w:id="2054845478">
                  <w:marLeft w:val="0"/>
                  <w:marRight w:val="0"/>
                  <w:marTop w:val="0"/>
                  <w:marBottom w:val="0"/>
                  <w:divBdr>
                    <w:top w:val="none" w:sz="0" w:space="0" w:color="auto"/>
                    <w:left w:val="none" w:sz="0" w:space="0" w:color="auto"/>
                    <w:bottom w:val="none" w:sz="0" w:space="0" w:color="auto"/>
                    <w:right w:val="none" w:sz="0" w:space="0" w:color="auto"/>
                  </w:divBdr>
                  <w:divsChild>
                    <w:div w:id="68315263">
                      <w:marLeft w:val="0"/>
                      <w:marRight w:val="0"/>
                      <w:marTop w:val="0"/>
                      <w:marBottom w:val="0"/>
                      <w:divBdr>
                        <w:top w:val="none" w:sz="0" w:space="0" w:color="auto"/>
                        <w:left w:val="none" w:sz="0" w:space="0" w:color="auto"/>
                        <w:bottom w:val="none" w:sz="0" w:space="0" w:color="auto"/>
                        <w:right w:val="none" w:sz="0" w:space="0" w:color="auto"/>
                      </w:divBdr>
                      <w:divsChild>
                        <w:div w:id="196239530">
                          <w:marLeft w:val="0"/>
                          <w:marRight w:val="0"/>
                          <w:marTop w:val="0"/>
                          <w:marBottom w:val="0"/>
                          <w:divBdr>
                            <w:top w:val="none" w:sz="0" w:space="0" w:color="auto"/>
                            <w:left w:val="none" w:sz="0" w:space="0" w:color="auto"/>
                            <w:bottom w:val="none" w:sz="0" w:space="0" w:color="auto"/>
                            <w:right w:val="none" w:sz="0" w:space="0" w:color="auto"/>
                          </w:divBdr>
                          <w:divsChild>
                            <w:div w:id="1076056537">
                              <w:marLeft w:val="225"/>
                              <w:marRight w:val="225"/>
                              <w:marTop w:val="0"/>
                              <w:marBottom w:val="0"/>
                              <w:divBdr>
                                <w:top w:val="none" w:sz="0" w:space="0" w:color="auto"/>
                                <w:left w:val="none" w:sz="0" w:space="0" w:color="auto"/>
                                <w:bottom w:val="none" w:sz="0" w:space="0" w:color="auto"/>
                                <w:right w:val="none" w:sz="0" w:space="0" w:color="auto"/>
                              </w:divBdr>
                              <w:divsChild>
                                <w:div w:id="1735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506088">
      <w:bodyDiv w:val="1"/>
      <w:marLeft w:val="0"/>
      <w:marRight w:val="0"/>
      <w:marTop w:val="0"/>
      <w:marBottom w:val="0"/>
      <w:divBdr>
        <w:top w:val="none" w:sz="0" w:space="0" w:color="auto"/>
        <w:left w:val="none" w:sz="0" w:space="0" w:color="auto"/>
        <w:bottom w:val="none" w:sz="0" w:space="0" w:color="auto"/>
        <w:right w:val="none" w:sz="0" w:space="0" w:color="auto"/>
      </w:divBdr>
    </w:div>
    <w:div w:id="1912805990">
      <w:bodyDiv w:val="1"/>
      <w:marLeft w:val="0"/>
      <w:marRight w:val="0"/>
      <w:marTop w:val="0"/>
      <w:marBottom w:val="0"/>
      <w:divBdr>
        <w:top w:val="none" w:sz="0" w:space="0" w:color="auto"/>
        <w:left w:val="none" w:sz="0" w:space="0" w:color="auto"/>
        <w:bottom w:val="none" w:sz="0" w:space="0" w:color="auto"/>
        <w:right w:val="none" w:sz="0" w:space="0" w:color="auto"/>
      </w:divBdr>
    </w:div>
    <w:div w:id="20427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9706-C2B7-4DC3-A84A-7719914F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3607</Words>
  <Characters>21206</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2014-02-20T18:09:00Z</dcterms:created>
  <dcterms:modified xsi:type="dcterms:W3CDTF">2014-02-20T18:09:00Z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