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A2804" w:rsidRPr="000F10C9">
        <w:rPr>
          <w:sz w:val="28"/>
          <w:szCs w:val="28"/>
        </w:rPr>
        <w:t>0920</w:t>
      </w:r>
      <w:r w:rsidR="006A2804" w:rsidRPr="00F768FA">
        <w:rPr>
          <w:sz w:val="18"/>
          <w:szCs w:val="18"/>
        </w:rPr>
        <w:t>-</w:t>
      </w:r>
      <w:r w:rsidR="006A2804">
        <w:rPr>
          <w:sz w:val="28"/>
          <w:szCs w:val="28"/>
        </w:rPr>
        <w:t>0956</w:t>
      </w:r>
      <w:r>
        <w:rPr>
          <w:sz w:val="28"/>
        </w:rPr>
        <w:t>)</w:t>
      </w:r>
    </w:p>
    <w:p w:rsidR="008C77D9" w:rsidRDefault="008C77D9" w:rsidP="00434E33">
      <w:pPr>
        <w:rPr>
          <w:b/>
        </w:rPr>
      </w:pPr>
    </w:p>
    <w:p w:rsidR="006D1056" w:rsidRDefault="00A83A88"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D0521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B277C2">
        <w:rPr>
          <w:b/>
        </w:rPr>
        <w:t xml:space="preserve"> Testing GovDelivery as an Option for Rapid and Low Cost Consumer Feedback on the Clarity of CDC Content</w:t>
      </w:r>
    </w:p>
    <w:p w:rsidR="006D1056" w:rsidRDefault="006D1056" w:rsidP="00434E33">
      <w:pPr>
        <w:rPr>
          <w:b/>
        </w:rPr>
      </w:pPr>
    </w:p>
    <w:p w:rsidR="005E714A" w:rsidRDefault="005E714A"/>
    <w:p w:rsidR="001B0AAA" w:rsidRDefault="00F15956">
      <w:r>
        <w:rPr>
          <w:b/>
        </w:rPr>
        <w:t>PURPOSE</w:t>
      </w:r>
      <w:r w:rsidRPr="009239AA">
        <w:rPr>
          <w:b/>
        </w:rPr>
        <w:t>:</w:t>
      </w:r>
      <w:r w:rsidR="00C14CC4" w:rsidRPr="009239AA">
        <w:rPr>
          <w:b/>
        </w:rPr>
        <w:t xml:space="preserve">  </w:t>
      </w:r>
    </w:p>
    <w:p w:rsidR="00297D05" w:rsidRPr="00E2657B" w:rsidRDefault="00297D05" w:rsidP="00297D05">
      <w:pPr>
        <w:spacing w:before="120"/>
        <w:rPr>
          <w:rFonts w:cs="Arial"/>
          <w:i/>
          <w:szCs w:val="20"/>
        </w:rPr>
      </w:pPr>
      <w:r w:rsidRPr="00F27C95">
        <w:rPr>
          <w:rFonts w:cs="Arial"/>
          <w:szCs w:val="20"/>
        </w:rPr>
        <w:t xml:space="preserve">The </w:t>
      </w:r>
      <w:r w:rsidRPr="00E2657B">
        <w:rPr>
          <w:rFonts w:cs="Arial"/>
          <w:szCs w:val="20"/>
        </w:rPr>
        <w:t xml:space="preserve">CDC </w:t>
      </w:r>
      <w:r>
        <w:rPr>
          <w:rFonts w:cs="Arial"/>
          <w:szCs w:val="20"/>
        </w:rPr>
        <w:t xml:space="preserve">Office of the Associate Director for Communication (OADC) and the </w:t>
      </w:r>
      <w:r w:rsidRPr="00E2657B">
        <w:rPr>
          <w:rFonts w:cs="Arial"/>
          <w:szCs w:val="20"/>
        </w:rPr>
        <w:t>Health Literacy Council provide guidance and oversight in the implementation of clear communication and plain language practices when developing and disseminating health messages across CDC</w:t>
      </w:r>
      <w:r>
        <w:rPr>
          <w:rFonts w:cs="Arial"/>
          <w:szCs w:val="20"/>
        </w:rPr>
        <w:t>’s many communication channels. OADC</w:t>
      </w:r>
      <w:r w:rsidRPr="00E2657B">
        <w:rPr>
          <w:rFonts w:cs="Arial"/>
          <w:szCs w:val="20"/>
        </w:rPr>
        <w:t xml:space="preserve"> developed</w:t>
      </w:r>
      <w:r>
        <w:rPr>
          <w:rFonts w:cs="Arial"/>
          <w:szCs w:val="20"/>
        </w:rPr>
        <w:t xml:space="preserve"> the</w:t>
      </w:r>
      <w:r w:rsidRPr="00E2657B">
        <w:rPr>
          <w:rFonts w:cs="Arial"/>
          <w:szCs w:val="20"/>
        </w:rPr>
        <w:t xml:space="preserve"> </w:t>
      </w:r>
      <w:hyperlink r:id="rId8" w:history="1">
        <w:r>
          <w:rPr>
            <w:rStyle w:val="Hyperlink"/>
            <w:rFonts w:cs="Arial"/>
            <w:szCs w:val="20"/>
          </w:rPr>
          <w:t>Clear Communication Index</w:t>
        </w:r>
      </w:hyperlink>
      <w:r>
        <w:rPr>
          <w:rFonts w:cs="Arial"/>
          <w:szCs w:val="20"/>
        </w:rPr>
        <w:t xml:space="preserve"> (Index) to provide science-based criteria to create and assess public communication products. </w:t>
      </w:r>
    </w:p>
    <w:p w:rsidR="00297D05" w:rsidRDefault="00297D05" w:rsidP="00297D05">
      <w:pPr>
        <w:spacing w:before="120"/>
        <w:rPr>
          <w:rFonts w:cs="Arial"/>
          <w:szCs w:val="20"/>
        </w:rPr>
      </w:pPr>
      <w:r w:rsidRPr="00E2657B">
        <w:rPr>
          <w:rFonts w:cs="Arial"/>
          <w:szCs w:val="20"/>
        </w:rPr>
        <w:t>CDC Centers</w:t>
      </w:r>
      <w:r w:rsidRPr="001C0886">
        <w:rPr>
          <w:rFonts w:cs="Arial"/>
          <w:szCs w:val="20"/>
        </w:rPr>
        <w:t xml:space="preserve">, Institute, and Offices (CIOs) have expressed that the cost and time needed to effectively </w:t>
      </w:r>
      <w:r>
        <w:rPr>
          <w:rFonts w:cs="Arial"/>
          <w:szCs w:val="20"/>
        </w:rPr>
        <w:t xml:space="preserve">evaluate the clarity of materials is a challenge. </w:t>
      </w:r>
      <w:r w:rsidRPr="001C0886">
        <w:rPr>
          <w:rFonts w:cs="Arial"/>
          <w:szCs w:val="20"/>
        </w:rPr>
        <w:t>To</w:t>
      </w:r>
      <w:r>
        <w:rPr>
          <w:rFonts w:cs="Arial"/>
          <w:szCs w:val="20"/>
        </w:rPr>
        <w:t xml:space="preserve"> best support CIOs, t</w:t>
      </w:r>
      <w:r w:rsidRPr="00F27C95">
        <w:rPr>
          <w:rFonts w:cs="Arial"/>
          <w:szCs w:val="20"/>
        </w:rPr>
        <w:t xml:space="preserve">his pilot will develop and test a </w:t>
      </w:r>
      <w:r>
        <w:rPr>
          <w:rFonts w:cs="Arial"/>
          <w:szCs w:val="20"/>
        </w:rPr>
        <w:t>low cost and straightforward</w:t>
      </w:r>
      <w:r w:rsidRPr="00F27C95">
        <w:rPr>
          <w:rFonts w:cs="Arial"/>
          <w:szCs w:val="20"/>
        </w:rPr>
        <w:t xml:space="preserve"> </w:t>
      </w:r>
      <w:r>
        <w:rPr>
          <w:rFonts w:cs="Arial"/>
          <w:szCs w:val="20"/>
        </w:rPr>
        <w:t>model for evaluating the clarity of health messaging and content.</w:t>
      </w:r>
    </w:p>
    <w:p w:rsidR="00297D05" w:rsidRDefault="00297D05" w:rsidP="00297D05"/>
    <w:p w:rsidR="00297D05" w:rsidRDefault="00297D05" w:rsidP="00297D05"/>
    <w:p w:rsidR="00297D05" w:rsidRPr="00EF6EE6" w:rsidRDefault="00297D05" w:rsidP="00297D05">
      <w:pPr>
        <w:rPr>
          <w:rFonts w:cs="Arial"/>
          <w:b/>
          <w:color w:val="000000"/>
          <w:szCs w:val="20"/>
        </w:rPr>
      </w:pPr>
      <w:r w:rsidRPr="001E1F71">
        <w:rPr>
          <w:b/>
          <w:iCs/>
        </w:rPr>
        <w:t>Scope of Project</w:t>
      </w:r>
    </w:p>
    <w:p w:rsidR="00297D05" w:rsidRPr="005C00A2" w:rsidRDefault="00297D05" w:rsidP="00297D05">
      <w:pPr>
        <w:numPr>
          <w:ilvl w:val="0"/>
          <w:numId w:val="22"/>
        </w:numPr>
        <w:spacing w:before="60" w:line="260" w:lineRule="atLeast"/>
        <w:ind w:left="1440"/>
        <w:rPr>
          <w:color w:val="000000"/>
          <w:sz w:val="14"/>
          <w:szCs w:val="16"/>
        </w:rPr>
      </w:pPr>
      <w:r w:rsidRPr="005C00A2">
        <w:rPr>
          <w:color w:val="000000"/>
          <w:szCs w:val="22"/>
        </w:rPr>
        <w:t xml:space="preserve">OADC </w:t>
      </w:r>
      <w:r w:rsidR="009324F1">
        <w:rPr>
          <w:color w:val="000000"/>
          <w:szCs w:val="22"/>
        </w:rPr>
        <w:t>has chosen</w:t>
      </w:r>
      <w:r w:rsidRPr="005C00A2">
        <w:rPr>
          <w:color w:val="000000"/>
          <w:szCs w:val="22"/>
        </w:rPr>
        <w:t xml:space="preserve"> </w:t>
      </w:r>
      <w:r>
        <w:rPr>
          <w:color w:val="000000"/>
          <w:szCs w:val="22"/>
        </w:rPr>
        <w:t xml:space="preserve">a total of </w:t>
      </w:r>
      <w:r w:rsidR="00984B40">
        <w:rPr>
          <w:color w:val="000000"/>
          <w:szCs w:val="22"/>
        </w:rPr>
        <w:t>7</w:t>
      </w:r>
      <w:r w:rsidRPr="005C00A2">
        <w:rPr>
          <w:color w:val="000000"/>
          <w:szCs w:val="22"/>
        </w:rPr>
        <w:t xml:space="preserve"> fact sheets representing a variety of health topi</w:t>
      </w:r>
      <w:r>
        <w:rPr>
          <w:color w:val="000000"/>
          <w:szCs w:val="22"/>
        </w:rPr>
        <w:t xml:space="preserve">cs and CIOs for A/B testing. OADC web developers </w:t>
      </w:r>
      <w:r w:rsidR="009324F1">
        <w:rPr>
          <w:color w:val="000000"/>
          <w:szCs w:val="22"/>
        </w:rPr>
        <w:t>have</w:t>
      </w:r>
      <w:r w:rsidRPr="005C00A2">
        <w:rPr>
          <w:color w:val="000000"/>
          <w:szCs w:val="22"/>
        </w:rPr>
        <w:t xml:space="preserve"> create</w:t>
      </w:r>
      <w:r w:rsidR="009324F1">
        <w:rPr>
          <w:color w:val="000000"/>
          <w:szCs w:val="22"/>
        </w:rPr>
        <w:t>d</w:t>
      </w:r>
      <w:r w:rsidRPr="005C00A2">
        <w:rPr>
          <w:color w:val="000000"/>
          <w:szCs w:val="22"/>
        </w:rPr>
        <w:t xml:space="preserve"> A and B versions of the </w:t>
      </w:r>
      <w:r w:rsidR="00984B40">
        <w:rPr>
          <w:color w:val="000000"/>
          <w:szCs w:val="22"/>
        </w:rPr>
        <w:t xml:space="preserve">7 </w:t>
      </w:r>
      <w:r w:rsidRPr="005C00A2">
        <w:rPr>
          <w:color w:val="000000"/>
          <w:szCs w:val="22"/>
        </w:rPr>
        <w:t xml:space="preserve">fact sheets </w:t>
      </w:r>
      <w:r w:rsidR="000F0112">
        <w:rPr>
          <w:color w:val="000000"/>
          <w:szCs w:val="22"/>
        </w:rPr>
        <w:t>as PDFs</w:t>
      </w:r>
      <w:r w:rsidRPr="005C00A2">
        <w:rPr>
          <w:color w:val="000000"/>
          <w:szCs w:val="22"/>
        </w:rPr>
        <w:t xml:space="preserve"> (</w:t>
      </w:r>
      <w:r w:rsidR="00984B40">
        <w:rPr>
          <w:color w:val="000000"/>
          <w:szCs w:val="22"/>
        </w:rPr>
        <w:t>14</w:t>
      </w:r>
      <w:r w:rsidRPr="005C00A2">
        <w:rPr>
          <w:color w:val="000000"/>
          <w:szCs w:val="22"/>
        </w:rPr>
        <w:t xml:space="preserve"> </w:t>
      </w:r>
      <w:r w:rsidR="000F0112">
        <w:rPr>
          <w:color w:val="000000"/>
          <w:szCs w:val="22"/>
        </w:rPr>
        <w:t>PDFs</w:t>
      </w:r>
      <w:r>
        <w:rPr>
          <w:color w:val="000000"/>
          <w:szCs w:val="22"/>
        </w:rPr>
        <w:t xml:space="preserve"> total</w:t>
      </w:r>
      <w:r w:rsidRPr="005C00A2">
        <w:rPr>
          <w:color w:val="000000"/>
          <w:szCs w:val="22"/>
        </w:rPr>
        <w:t xml:space="preserve">). </w:t>
      </w:r>
    </w:p>
    <w:p w:rsidR="00813710" w:rsidRDefault="00297D05" w:rsidP="00297D05">
      <w:pPr>
        <w:numPr>
          <w:ilvl w:val="0"/>
          <w:numId w:val="22"/>
        </w:numPr>
        <w:spacing w:before="60" w:line="260" w:lineRule="atLeast"/>
        <w:ind w:left="1440"/>
        <w:rPr>
          <w:color w:val="000000"/>
          <w:szCs w:val="22"/>
        </w:rPr>
      </w:pPr>
      <w:r w:rsidRPr="00813710">
        <w:rPr>
          <w:color w:val="000000"/>
          <w:szCs w:val="22"/>
        </w:rPr>
        <w:t xml:space="preserve">A web survey with </w:t>
      </w:r>
      <w:r w:rsidR="00984B40" w:rsidRPr="00813710">
        <w:rPr>
          <w:color w:val="000000"/>
          <w:szCs w:val="22"/>
        </w:rPr>
        <w:t>six</w:t>
      </w:r>
      <w:r w:rsidRPr="00813710">
        <w:rPr>
          <w:color w:val="000000"/>
          <w:szCs w:val="22"/>
        </w:rPr>
        <w:t xml:space="preserve"> closed-ended questions and </w:t>
      </w:r>
      <w:r w:rsidR="00984B40" w:rsidRPr="00813710">
        <w:rPr>
          <w:color w:val="000000"/>
          <w:szCs w:val="22"/>
        </w:rPr>
        <w:t>two</w:t>
      </w:r>
      <w:r w:rsidRPr="00813710">
        <w:rPr>
          <w:color w:val="000000"/>
          <w:szCs w:val="22"/>
        </w:rPr>
        <w:t xml:space="preserve"> open-ended question</w:t>
      </w:r>
      <w:r w:rsidR="00984B40" w:rsidRPr="00813710">
        <w:rPr>
          <w:color w:val="000000"/>
          <w:szCs w:val="22"/>
        </w:rPr>
        <w:t>s</w:t>
      </w:r>
      <w:r w:rsidRPr="00813710">
        <w:rPr>
          <w:color w:val="000000"/>
          <w:szCs w:val="22"/>
        </w:rPr>
        <w:t xml:space="preserve"> </w:t>
      </w:r>
      <w:r w:rsidR="009324F1">
        <w:rPr>
          <w:color w:val="000000"/>
          <w:szCs w:val="22"/>
        </w:rPr>
        <w:t xml:space="preserve">has been </w:t>
      </w:r>
      <w:r w:rsidRPr="00813710">
        <w:rPr>
          <w:color w:val="000000"/>
          <w:szCs w:val="22"/>
        </w:rPr>
        <w:t xml:space="preserve">developed and coded in an online survey tool. </w:t>
      </w:r>
    </w:p>
    <w:p w:rsidR="00297D05" w:rsidRPr="00813710" w:rsidRDefault="00297D05" w:rsidP="00297D05">
      <w:pPr>
        <w:numPr>
          <w:ilvl w:val="0"/>
          <w:numId w:val="22"/>
        </w:numPr>
        <w:spacing w:before="60" w:line="260" w:lineRule="atLeast"/>
        <w:ind w:left="1440"/>
        <w:rPr>
          <w:color w:val="000000"/>
          <w:szCs w:val="22"/>
        </w:rPr>
      </w:pPr>
      <w:r w:rsidRPr="00813710">
        <w:rPr>
          <w:color w:val="000000"/>
          <w:szCs w:val="22"/>
        </w:rPr>
        <w:t xml:space="preserve">The survey links will be disseminated via GovDelivery accounts that belong to CIOs and are related to the fact sheet topics. Each GovDelivery subscriber list will be split, with half of the list receiving the link for version A and the other half receiving the link for version B. The surveys will be taken down after 50 responses are received for each or after 7 days, whichever comes first. </w:t>
      </w:r>
      <w:r w:rsidR="00984B40" w:rsidRPr="00813710">
        <w:rPr>
          <w:color w:val="000000"/>
          <w:szCs w:val="22"/>
        </w:rPr>
        <w:t>Seven</w:t>
      </w:r>
      <w:r w:rsidRPr="00813710">
        <w:rPr>
          <w:color w:val="000000"/>
          <w:szCs w:val="22"/>
        </w:rPr>
        <w:t xml:space="preserve"> unique GovDelivery accounts with a minimum of 2,500 subscribers each are needed. Responses will be pulled from the tool and analyzed for themes and patterns. </w:t>
      </w:r>
    </w:p>
    <w:p w:rsidR="00297D05" w:rsidRPr="005C00A2" w:rsidRDefault="008B6A34" w:rsidP="00297D05">
      <w:pPr>
        <w:numPr>
          <w:ilvl w:val="0"/>
          <w:numId w:val="21"/>
        </w:numPr>
        <w:spacing w:before="60" w:line="260" w:lineRule="atLeast"/>
        <w:ind w:left="1440" w:hanging="216"/>
        <w:contextualSpacing/>
        <w:rPr>
          <w:color w:val="000000"/>
          <w:szCs w:val="22"/>
        </w:rPr>
      </w:pPr>
      <w:r>
        <w:rPr>
          <w:color w:val="000000"/>
          <w:szCs w:val="22"/>
        </w:rPr>
        <w:t>The Northrop Grumman project team will provide OADC a document</w:t>
      </w:r>
      <w:r w:rsidR="00297D05">
        <w:rPr>
          <w:color w:val="000000"/>
          <w:szCs w:val="22"/>
        </w:rPr>
        <w:t xml:space="preserve"> </w:t>
      </w:r>
      <w:r w:rsidR="00297D05" w:rsidRPr="005C00A2">
        <w:rPr>
          <w:color w:val="000000"/>
          <w:szCs w:val="22"/>
        </w:rPr>
        <w:t>with analysis, results, and the proof of concept methodology. The proof of concept will be developed throughout the life cycle of the project and will include the p</w:t>
      </w:r>
      <w:r w:rsidR="00297D05">
        <w:rPr>
          <w:color w:val="000000"/>
          <w:szCs w:val="22"/>
        </w:rPr>
        <w:t xml:space="preserve">rocess, instructions, </w:t>
      </w:r>
      <w:r w:rsidR="00297D05" w:rsidRPr="005C00A2">
        <w:rPr>
          <w:color w:val="000000"/>
          <w:szCs w:val="22"/>
        </w:rPr>
        <w:t>contact</w:t>
      </w:r>
      <w:r w:rsidR="00297D05">
        <w:rPr>
          <w:color w:val="000000"/>
          <w:szCs w:val="22"/>
        </w:rPr>
        <w:t>s</w:t>
      </w:r>
      <w:r w:rsidR="00297D05" w:rsidRPr="005C00A2">
        <w:rPr>
          <w:color w:val="000000"/>
          <w:szCs w:val="22"/>
        </w:rPr>
        <w:t xml:space="preserve">, resources, time, and general costs. </w:t>
      </w:r>
    </w:p>
    <w:p w:rsidR="00955ECD" w:rsidRDefault="00955ECD" w:rsidP="00955ECD">
      <w:pPr>
        <w:rPr>
          <w:b/>
        </w:rPr>
      </w:pPr>
    </w:p>
    <w:p w:rsidR="00955ECD" w:rsidRDefault="00955ECD" w:rsidP="00955ECD">
      <w:pPr>
        <w:rPr>
          <w:b/>
        </w:rPr>
      </w:pPr>
      <w:r>
        <w:rPr>
          <w:b/>
        </w:rPr>
        <w:t>List of Attachments include:</w:t>
      </w:r>
    </w:p>
    <w:p w:rsidR="00E66F4B" w:rsidRDefault="00E66F4B" w:rsidP="00E66F4B">
      <w:pPr>
        <w:rPr>
          <w:u w:color="00007E"/>
        </w:rPr>
      </w:pPr>
    </w:p>
    <w:p w:rsidR="00E66F4B" w:rsidRPr="00E66F4B" w:rsidRDefault="00E66F4B" w:rsidP="00E66F4B">
      <w:pPr>
        <w:rPr>
          <w:rFonts w:cs="Arial"/>
          <w:szCs w:val="22"/>
        </w:rPr>
      </w:pPr>
      <w:r>
        <w:rPr>
          <w:u w:color="00007E"/>
        </w:rPr>
        <w:t>We have included more detailed information in the research protocol, web survey</w:t>
      </w:r>
      <w:r w:rsidR="00DF5DAC">
        <w:rPr>
          <w:u w:color="00007E"/>
        </w:rPr>
        <w:t xml:space="preserve"> questions</w:t>
      </w:r>
      <w:r>
        <w:rPr>
          <w:u w:color="00007E"/>
        </w:rPr>
        <w:t>, and recruitment material</w:t>
      </w:r>
      <w:r w:rsidR="000F0112">
        <w:rPr>
          <w:u w:color="00007E"/>
        </w:rPr>
        <w:t>s</w:t>
      </w:r>
      <w:r>
        <w:rPr>
          <w:u w:color="00007E"/>
        </w:rPr>
        <w:t xml:space="preserve"> at the end of this request </w:t>
      </w:r>
      <w:r w:rsidRPr="00E80AE9">
        <w:rPr>
          <w:b/>
          <w:u w:color="00007E"/>
        </w:rPr>
        <w:t>(Attachment</w:t>
      </w:r>
      <w:r>
        <w:rPr>
          <w:b/>
          <w:u w:color="00007E"/>
        </w:rPr>
        <w:t>s</w:t>
      </w:r>
      <w:r w:rsidRPr="00E80AE9">
        <w:rPr>
          <w:b/>
          <w:u w:color="00007E"/>
        </w:rPr>
        <w:t xml:space="preserve"> </w:t>
      </w:r>
      <w:r>
        <w:rPr>
          <w:b/>
          <w:u w:color="00007E"/>
        </w:rPr>
        <w:t xml:space="preserve">A, </w:t>
      </w:r>
      <w:r w:rsidR="00EF6EE6">
        <w:rPr>
          <w:b/>
          <w:u w:color="00007E"/>
        </w:rPr>
        <w:t>D</w:t>
      </w:r>
      <w:r>
        <w:rPr>
          <w:b/>
          <w:u w:color="00007E"/>
        </w:rPr>
        <w:t xml:space="preserve"> and </w:t>
      </w:r>
      <w:r w:rsidR="00EF6EE6">
        <w:rPr>
          <w:b/>
          <w:u w:color="00007E"/>
        </w:rPr>
        <w:t>E</w:t>
      </w:r>
      <w:r w:rsidRPr="00E80AE9">
        <w:rPr>
          <w:b/>
          <w:u w:color="00007E"/>
        </w:rPr>
        <w:t>).</w:t>
      </w:r>
      <w:r>
        <w:rPr>
          <w:u w:color="00007E"/>
        </w:rPr>
        <w:t xml:space="preserve"> The protocol explains our methods—how we will recruit for, and conduct the survey. It includes an overview of survey objectives, the target audiences, and the information we will collect from participants. </w:t>
      </w:r>
      <w:r w:rsidRPr="002E352E">
        <w:rPr>
          <w:b/>
          <w:u w:color="00007E"/>
        </w:rPr>
        <w:t>Attachment</w:t>
      </w:r>
      <w:r>
        <w:rPr>
          <w:b/>
          <w:u w:color="00007E"/>
        </w:rPr>
        <w:t>s</w:t>
      </w:r>
      <w:r w:rsidRPr="002E352E">
        <w:rPr>
          <w:b/>
          <w:u w:color="00007E"/>
        </w:rPr>
        <w:t xml:space="preserve"> B</w:t>
      </w:r>
      <w:r>
        <w:rPr>
          <w:b/>
          <w:u w:color="00007E"/>
        </w:rPr>
        <w:t>1- B14</w:t>
      </w:r>
      <w:r w:rsidR="00550D7D">
        <w:rPr>
          <w:u w:color="00007E"/>
        </w:rPr>
        <w:t xml:space="preserve"> </w:t>
      </w:r>
      <w:proofErr w:type="gramStart"/>
      <w:r w:rsidR="008B134A">
        <w:rPr>
          <w:u w:color="00007E"/>
        </w:rPr>
        <w:t>contain</w:t>
      </w:r>
      <w:proofErr w:type="gramEnd"/>
      <w:r w:rsidR="008B134A">
        <w:rPr>
          <w:u w:color="00007E"/>
        </w:rPr>
        <w:t xml:space="preserve"> each of the</w:t>
      </w:r>
      <w:r>
        <w:rPr>
          <w:u w:color="00007E"/>
        </w:rPr>
        <w:t xml:space="preserve"> materials to be shown to participants</w:t>
      </w:r>
      <w:r w:rsidR="008B134A">
        <w:rPr>
          <w:u w:color="00007E"/>
        </w:rPr>
        <w:t xml:space="preserve"> as shown in Table 1</w:t>
      </w:r>
      <w:r>
        <w:rPr>
          <w:u w:color="00007E"/>
        </w:rPr>
        <w:t>.</w:t>
      </w:r>
      <w:r w:rsidR="008B134A">
        <w:rPr>
          <w:u w:color="00007E"/>
        </w:rPr>
        <w:t xml:space="preserve"> We also have included screenshots of each question and prompt for each material in the web survey</w:t>
      </w:r>
      <w:r w:rsidR="00400CBA">
        <w:rPr>
          <w:u w:color="00007E"/>
        </w:rPr>
        <w:t xml:space="preserve"> </w:t>
      </w:r>
      <w:r w:rsidR="00400CBA" w:rsidRPr="00400CBA">
        <w:rPr>
          <w:b/>
          <w:u w:color="00007E"/>
        </w:rPr>
        <w:t>(Attachments C1-C14</w:t>
      </w:r>
      <w:r w:rsidR="00400CBA">
        <w:rPr>
          <w:u w:color="00007E"/>
        </w:rPr>
        <w:t>)</w:t>
      </w:r>
      <w:r w:rsidR="00EF6EE6">
        <w:rPr>
          <w:u w:color="00007E"/>
        </w:rPr>
        <w:t>.</w:t>
      </w:r>
      <w:r w:rsidR="008B134A">
        <w:rPr>
          <w:u w:color="00007E"/>
        </w:rPr>
        <w:t xml:space="preserve">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CC4339" w:rsidRDefault="00CC4339" w:rsidP="00CC4339">
      <w:r>
        <w:t xml:space="preserve">Respondents are people who signed up for one of </w:t>
      </w:r>
      <w:r w:rsidR="009324F1">
        <w:t>five</w:t>
      </w:r>
      <w:r>
        <w:t xml:space="preserve"> GovDelivery lists related to the topic of the fact sheet. People who sign up for these lists usually are: Individuals interested in health issues or with a specific health concern; physicians; nurses, physician’s assistants, nurse practitioners; health department staff.</w:t>
      </w:r>
    </w:p>
    <w:p w:rsidR="00C8488C" w:rsidRDefault="00C8488C"/>
    <w:p w:rsidR="00561A1A" w:rsidRDefault="00561A1A" w:rsidP="00561A1A">
      <w:pPr>
        <w:rPr>
          <w:u w:color="00007E"/>
        </w:rPr>
      </w:pPr>
      <w:r>
        <w:rPr>
          <w:u w:color="00007E"/>
        </w:rPr>
        <w:t>Table 1 below lists the materials that will be shown to each audience as a revised or original version.</w:t>
      </w:r>
    </w:p>
    <w:p w:rsidR="00D079F7" w:rsidRDefault="00D079F7">
      <w:pPr>
        <w:rPr>
          <w:b/>
        </w:rPr>
      </w:pPr>
    </w:p>
    <w:p w:rsidR="00561A1A" w:rsidRPr="00A77D25" w:rsidRDefault="00561A1A" w:rsidP="00561A1A">
      <w:pPr>
        <w:rPr>
          <w:b/>
          <w:u w:color="00007E"/>
        </w:rPr>
      </w:pPr>
      <w:r w:rsidRPr="00A77D25">
        <w:rPr>
          <w:b/>
          <w:u w:color="00007E"/>
        </w:rPr>
        <w:t>Table 1:</w:t>
      </w:r>
    </w:p>
    <w:tbl>
      <w:tblPr>
        <w:tblW w:w="100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348"/>
        <w:gridCol w:w="6660"/>
      </w:tblGrid>
      <w:tr w:rsidR="00561A1A" w:rsidRPr="0005277C" w:rsidTr="00862617">
        <w:trPr>
          <w:trHeight w:val="413"/>
        </w:trPr>
        <w:tc>
          <w:tcPr>
            <w:tcW w:w="3348" w:type="dxa"/>
            <w:shd w:val="clear" w:color="auto" w:fill="9BBB59"/>
            <w:vAlign w:val="center"/>
          </w:tcPr>
          <w:p w:rsidR="00561A1A" w:rsidRPr="0005277C" w:rsidRDefault="00862617" w:rsidP="00561A1A">
            <w:pPr>
              <w:pStyle w:val="RBodyText"/>
              <w:spacing w:after="0"/>
              <w:jc w:val="center"/>
              <w:rPr>
                <w:rFonts w:ascii="Arial" w:hAnsi="Arial" w:cs="Helvetica"/>
                <w:b/>
                <w:color w:val="FFFFFF"/>
                <w:lang w:eastAsia="ja-JP"/>
              </w:rPr>
            </w:pPr>
            <w:r>
              <w:rPr>
                <w:rFonts w:ascii="Arial" w:hAnsi="Arial" w:cs="Helvetica"/>
                <w:b/>
                <w:color w:val="FFFFFF"/>
                <w:lang w:eastAsia="ja-JP"/>
              </w:rPr>
              <w:t>GovDelivery Subscriber List</w:t>
            </w:r>
          </w:p>
        </w:tc>
        <w:tc>
          <w:tcPr>
            <w:tcW w:w="6660" w:type="dxa"/>
            <w:shd w:val="clear" w:color="auto" w:fill="9BBB59"/>
            <w:vAlign w:val="center"/>
          </w:tcPr>
          <w:p w:rsidR="00561A1A" w:rsidRPr="0005277C" w:rsidRDefault="00561A1A" w:rsidP="001113E0">
            <w:pPr>
              <w:pStyle w:val="RBodyText"/>
              <w:spacing w:after="0"/>
              <w:jc w:val="center"/>
              <w:rPr>
                <w:rFonts w:ascii="Arial" w:hAnsi="Arial" w:cs="Helvetica"/>
                <w:b/>
                <w:color w:val="FFFFFF"/>
                <w:lang w:eastAsia="ja-JP"/>
              </w:rPr>
            </w:pPr>
            <w:r w:rsidRPr="0005277C">
              <w:rPr>
                <w:rFonts w:ascii="Arial" w:hAnsi="Arial" w:cs="Helvetica"/>
                <w:b/>
                <w:color w:val="FFFFFF"/>
                <w:lang w:eastAsia="ja-JP"/>
              </w:rPr>
              <w:t>Material</w:t>
            </w:r>
          </w:p>
        </w:tc>
      </w:tr>
      <w:tr w:rsidR="00561A1A" w:rsidRPr="00801190" w:rsidTr="00862617">
        <w:trPr>
          <w:trHeight w:val="1275"/>
        </w:trPr>
        <w:tc>
          <w:tcPr>
            <w:tcW w:w="3348" w:type="dxa"/>
            <w:shd w:val="clear" w:color="auto" w:fill="auto"/>
            <w:vAlign w:val="center"/>
          </w:tcPr>
          <w:p w:rsidR="00561A1A" w:rsidRPr="00801190" w:rsidRDefault="00561A1A" w:rsidP="001113E0">
            <w:pPr>
              <w:pStyle w:val="RBodyText"/>
              <w:spacing w:after="0"/>
              <w:rPr>
                <w:rFonts w:ascii="Arial" w:hAnsi="Arial" w:cs="Helvetica"/>
                <w:color w:val="000000"/>
                <w:sz w:val="22"/>
                <w:lang w:eastAsia="ja-JP"/>
              </w:rPr>
            </w:pPr>
            <w:r>
              <w:rPr>
                <w:rFonts w:ascii="Arial" w:hAnsi="Arial" w:cs="Helvetica"/>
                <w:color w:val="000000"/>
                <w:sz w:val="22"/>
                <w:lang w:eastAsia="ja-JP"/>
              </w:rPr>
              <w:t>CDC’s Reproductive Health Website Update</w:t>
            </w:r>
          </w:p>
        </w:tc>
        <w:tc>
          <w:tcPr>
            <w:tcW w:w="6660" w:type="dxa"/>
            <w:shd w:val="clear" w:color="auto" w:fill="auto"/>
            <w:vAlign w:val="center"/>
          </w:tcPr>
          <w:p w:rsidR="00862617" w:rsidRDefault="00862617" w:rsidP="001113E0">
            <w:pPr>
              <w:pStyle w:val="RBodyText"/>
              <w:spacing w:after="0"/>
              <w:rPr>
                <w:rFonts w:ascii="Arial" w:hAnsi="Arial" w:cs="Helvetica"/>
                <w:color w:val="000000"/>
                <w:sz w:val="22"/>
                <w:lang w:eastAsia="ja-JP"/>
              </w:rPr>
            </w:pPr>
          </w:p>
          <w:p w:rsidR="00862617" w:rsidRDefault="00862617" w:rsidP="001113E0">
            <w:pPr>
              <w:pStyle w:val="RBodyText"/>
              <w:spacing w:after="0"/>
              <w:rPr>
                <w:rFonts w:ascii="Arial" w:hAnsi="Arial" w:cs="Helvetica"/>
                <w:color w:val="000000"/>
                <w:sz w:val="22"/>
                <w:lang w:eastAsia="ja-JP"/>
              </w:rPr>
            </w:pPr>
            <w:r>
              <w:rPr>
                <w:rFonts w:ascii="Arial" w:hAnsi="Arial" w:cs="Helvetica"/>
                <w:color w:val="000000"/>
                <w:sz w:val="22"/>
                <w:lang w:eastAsia="ja-JP"/>
              </w:rPr>
              <w:t xml:space="preserve">1. </w:t>
            </w:r>
            <w:r w:rsidR="00561A1A">
              <w:rPr>
                <w:rFonts w:ascii="Arial" w:hAnsi="Arial" w:cs="Helvetica"/>
                <w:color w:val="000000"/>
                <w:sz w:val="22"/>
                <w:lang w:eastAsia="ja-JP"/>
              </w:rPr>
              <w:t xml:space="preserve">Mental Health </w:t>
            </w:r>
            <w:r w:rsidR="00095D02">
              <w:rPr>
                <w:rFonts w:ascii="Arial" w:hAnsi="Arial" w:cs="Helvetica"/>
                <w:color w:val="000000"/>
                <w:sz w:val="22"/>
                <w:lang w:eastAsia="ja-JP"/>
              </w:rPr>
              <w:t>a</w:t>
            </w:r>
            <w:r w:rsidR="00561A1A">
              <w:rPr>
                <w:rFonts w:ascii="Arial" w:hAnsi="Arial" w:cs="Helvetica"/>
                <w:color w:val="000000"/>
                <w:sz w:val="22"/>
                <w:lang w:eastAsia="ja-JP"/>
              </w:rPr>
              <w:t>mong Women of Reproductive Age</w:t>
            </w:r>
            <w:r w:rsidR="00561A1A" w:rsidRPr="00801190">
              <w:rPr>
                <w:rFonts w:ascii="Arial" w:hAnsi="Arial" w:cs="Helvetica"/>
                <w:color w:val="000000"/>
                <w:sz w:val="22"/>
                <w:lang w:eastAsia="ja-JP"/>
              </w:rPr>
              <w:t xml:space="preserve"> </w:t>
            </w:r>
            <w:proofErr w:type="spellStart"/>
            <w:r w:rsidR="003717FD">
              <w:rPr>
                <w:rFonts w:ascii="Arial" w:hAnsi="Arial" w:cs="Helvetica"/>
                <w:color w:val="000000"/>
                <w:sz w:val="22"/>
                <w:lang w:eastAsia="ja-JP"/>
              </w:rPr>
              <w:t>vA</w:t>
            </w:r>
            <w:proofErr w:type="spellEnd"/>
            <w:r w:rsidR="003717FD">
              <w:rPr>
                <w:rFonts w:ascii="Arial" w:hAnsi="Arial" w:cs="Helvetica"/>
                <w:color w:val="000000"/>
                <w:sz w:val="22"/>
                <w:lang w:eastAsia="ja-JP"/>
              </w:rPr>
              <w:t xml:space="preserve"> </w:t>
            </w:r>
            <w:r>
              <w:rPr>
                <w:rFonts w:ascii="Arial" w:hAnsi="Arial" w:cs="Helvetica"/>
                <w:color w:val="000000"/>
                <w:sz w:val="22"/>
                <w:lang w:eastAsia="ja-JP"/>
              </w:rPr>
              <w:t>(Attachment B1)</w:t>
            </w:r>
          </w:p>
          <w:p w:rsidR="00561A1A" w:rsidRDefault="00862617" w:rsidP="001113E0">
            <w:pPr>
              <w:pStyle w:val="RBodyText"/>
              <w:spacing w:after="0"/>
              <w:rPr>
                <w:rFonts w:ascii="Arial" w:hAnsi="Arial" w:cs="Helvetica"/>
                <w:color w:val="000000"/>
                <w:sz w:val="22"/>
                <w:lang w:eastAsia="ja-JP"/>
              </w:rPr>
            </w:pPr>
            <w:r>
              <w:rPr>
                <w:rFonts w:ascii="Arial" w:hAnsi="Arial" w:cs="Helvetica"/>
                <w:color w:val="000000"/>
                <w:sz w:val="22"/>
                <w:lang w:eastAsia="ja-JP"/>
              </w:rPr>
              <w:t xml:space="preserve">2. Mental Health </w:t>
            </w:r>
            <w:r w:rsidR="00095D02">
              <w:rPr>
                <w:rFonts w:ascii="Arial" w:hAnsi="Arial" w:cs="Helvetica"/>
                <w:color w:val="000000"/>
                <w:sz w:val="22"/>
                <w:lang w:eastAsia="ja-JP"/>
              </w:rPr>
              <w:t>a</w:t>
            </w:r>
            <w:r>
              <w:rPr>
                <w:rFonts w:ascii="Arial" w:hAnsi="Arial" w:cs="Helvetica"/>
                <w:color w:val="000000"/>
                <w:sz w:val="22"/>
                <w:lang w:eastAsia="ja-JP"/>
              </w:rPr>
              <w:t xml:space="preserve">mong Women of Reproductive Age </w:t>
            </w:r>
            <w:proofErr w:type="spellStart"/>
            <w:r w:rsidR="003717FD">
              <w:rPr>
                <w:rFonts w:ascii="Arial" w:hAnsi="Arial" w:cs="Helvetica"/>
                <w:color w:val="000000"/>
                <w:sz w:val="22"/>
                <w:lang w:eastAsia="ja-JP"/>
              </w:rPr>
              <w:t>vB</w:t>
            </w:r>
            <w:proofErr w:type="spellEnd"/>
            <w:r w:rsidR="003717FD">
              <w:rPr>
                <w:rFonts w:ascii="Arial" w:hAnsi="Arial" w:cs="Helvetica"/>
                <w:color w:val="000000"/>
                <w:sz w:val="22"/>
                <w:lang w:eastAsia="ja-JP"/>
              </w:rPr>
              <w:t xml:space="preserve"> </w:t>
            </w:r>
            <w:r>
              <w:rPr>
                <w:rFonts w:ascii="Arial" w:hAnsi="Arial" w:cs="Helvetica"/>
                <w:color w:val="000000"/>
                <w:sz w:val="22"/>
                <w:lang w:eastAsia="ja-JP"/>
              </w:rPr>
              <w:t>(Attachment B2)</w:t>
            </w:r>
          </w:p>
          <w:p w:rsidR="00561A1A" w:rsidRPr="00801190" w:rsidRDefault="00561A1A" w:rsidP="00561A1A">
            <w:pPr>
              <w:pStyle w:val="RBodyText"/>
              <w:spacing w:after="0"/>
              <w:rPr>
                <w:rFonts w:ascii="Arial" w:hAnsi="Arial" w:cs="Helvetica"/>
                <w:color w:val="000000"/>
                <w:sz w:val="22"/>
                <w:lang w:eastAsia="ja-JP"/>
              </w:rPr>
            </w:pPr>
          </w:p>
        </w:tc>
      </w:tr>
      <w:tr w:rsidR="00561A1A" w:rsidRPr="00801190" w:rsidTr="00862617">
        <w:tc>
          <w:tcPr>
            <w:tcW w:w="3348" w:type="dxa"/>
            <w:vMerge w:val="restart"/>
            <w:shd w:val="clear" w:color="auto" w:fill="auto"/>
            <w:vAlign w:val="center"/>
          </w:tcPr>
          <w:p w:rsidR="00561A1A" w:rsidRPr="00801190" w:rsidRDefault="00561A1A" w:rsidP="001113E0">
            <w:pPr>
              <w:pStyle w:val="RBodyText"/>
              <w:spacing w:after="0"/>
              <w:rPr>
                <w:rFonts w:ascii="Arial" w:hAnsi="Arial" w:cs="Helvetica"/>
                <w:color w:val="000000"/>
                <w:sz w:val="22"/>
                <w:lang w:eastAsia="ja-JP"/>
              </w:rPr>
            </w:pPr>
            <w:r>
              <w:rPr>
                <w:rFonts w:ascii="Arial" w:hAnsi="Arial" w:cs="Helvetica"/>
                <w:color w:val="000000"/>
                <w:sz w:val="22"/>
                <w:lang w:eastAsia="ja-JP"/>
              </w:rPr>
              <w:t>Environmental Health Services</w:t>
            </w:r>
          </w:p>
        </w:tc>
        <w:tc>
          <w:tcPr>
            <w:tcW w:w="6660" w:type="dxa"/>
            <w:shd w:val="clear" w:color="auto" w:fill="auto"/>
            <w:vAlign w:val="center"/>
          </w:tcPr>
          <w:p w:rsidR="00862617" w:rsidRDefault="00862617" w:rsidP="001113E0">
            <w:pPr>
              <w:pStyle w:val="RBodyText"/>
              <w:spacing w:after="0"/>
              <w:rPr>
                <w:rFonts w:ascii="Arial" w:hAnsi="Arial" w:cs="Helvetica"/>
                <w:color w:val="000000"/>
                <w:sz w:val="22"/>
                <w:lang w:eastAsia="ja-JP"/>
              </w:rPr>
            </w:pPr>
          </w:p>
          <w:p w:rsidR="00561A1A" w:rsidRDefault="00A023FF" w:rsidP="001113E0">
            <w:pPr>
              <w:pStyle w:val="RBodyText"/>
              <w:spacing w:after="0"/>
              <w:rPr>
                <w:rFonts w:ascii="Arial" w:hAnsi="Arial" w:cs="Helvetica"/>
                <w:color w:val="000000"/>
                <w:sz w:val="22"/>
                <w:lang w:eastAsia="ja-JP"/>
              </w:rPr>
            </w:pPr>
            <w:r>
              <w:rPr>
                <w:rFonts w:ascii="Arial" w:hAnsi="Arial" w:cs="Helvetica"/>
                <w:color w:val="000000"/>
                <w:sz w:val="22"/>
                <w:lang w:eastAsia="ja-JP"/>
              </w:rPr>
              <w:t>3</w:t>
            </w:r>
            <w:r w:rsidR="00862617">
              <w:rPr>
                <w:rFonts w:ascii="Arial" w:hAnsi="Arial" w:cs="Helvetica"/>
                <w:color w:val="000000"/>
                <w:sz w:val="22"/>
                <w:lang w:eastAsia="ja-JP"/>
              </w:rPr>
              <w:t xml:space="preserve">. Environmental Health </w:t>
            </w:r>
            <w:r>
              <w:rPr>
                <w:rFonts w:ascii="Arial" w:hAnsi="Arial" w:cs="Helvetica"/>
                <w:color w:val="000000"/>
                <w:sz w:val="22"/>
                <w:lang w:eastAsia="ja-JP"/>
              </w:rPr>
              <w:t>Training in Emergency Response-EHTER</w:t>
            </w:r>
            <w:r w:rsidR="00862617">
              <w:rPr>
                <w:rFonts w:ascii="Arial" w:hAnsi="Arial" w:cs="Helvetica"/>
                <w:color w:val="000000"/>
                <w:sz w:val="22"/>
                <w:lang w:eastAsia="ja-JP"/>
              </w:rPr>
              <w:t xml:space="preserve"> (Attachment B3)</w:t>
            </w:r>
          </w:p>
          <w:p w:rsidR="00862617" w:rsidRDefault="00A023FF" w:rsidP="001113E0">
            <w:pPr>
              <w:pStyle w:val="RBodyText"/>
              <w:spacing w:after="0"/>
              <w:rPr>
                <w:rFonts w:ascii="Arial" w:hAnsi="Arial" w:cs="Helvetica"/>
                <w:color w:val="000000"/>
                <w:sz w:val="22"/>
                <w:lang w:eastAsia="ja-JP"/>
              </w:rPr>
            </w:pPr>
            <w:r>
              <w:rPr>
                <w:rFonts w:ascii="Arial" w:hAnsi="Arial" w:cs="Helvetica"/>
                <w:color w:val="000000"/>
                <w:sz w:val="22"/>
                <w:lang w:eastAsia="ja-JP"/>
              </w:rPr>
              <w:t>4</w:t>
            </w:r>
            <w:r w:rsidR="00862617">
              <w:rPr>
                <w:rFonts w:ascii="Arial" w:hAnsi="Arial" w:cs="Helvetica"/>
                <w:color w:val="000000"/>
                <w:sz w:val="22"/>
                <w:lang w:eastAsia="ja-JP"/>
              </w:rPr>
              <w:t>. Environmental Health Training (Attachment B4)</w:t>
            </w:r>
          </w:p>
          <w:p w:rsidR="00561A1A" w:rsidRPr="00801190" w:rsidRDefault="00561A1A" w:rsidP="001113E0">
            <w:pPr>
              <w:pStyle w:val="RBodyText"/>
              <w:spacing w:after="0"/>
              <w:rPr>
                <w:rFonts w:ascii="Arial" w:hAnsi="Arial" w:cs="Helvetica"/>
                <w:color w:val="000000"/>
                <w:sz w:val="22"/>
                <w:lang w:eastAsia="ja-JP"/>
              </w:rPr>
            </w:pPr>
          </w:p>
        </w:tc>
      </w:tr>
      <w:tr w:rsidR="00561A1A" w:rsidRPr="00801190" w:rsidTr="00862617">
        <w:tc>
          <w:tcPr>
            <w:tcW w:w="3348" w:type="dxa"/>
            <w:vMerge/>
            <w:shd w:val="clear" w:color="auto" w:fill="auto"/>
            <w:vAlign w:val="center"/>
          </w:tcPr>
          <w:p w:rsidR="00561A1A" w:rsidRPr="00801190" w:rsidRDefault="00561A1A" w:rsidP="001113E0">
            <w:pPr>
              <w:pStyle w:val="RBodyText"/>
              <w:spacing w:after="0"/>
              <w:rPr>
                <w:rFonts w:ascii="Arial" w:hAnsi="Arial" w:cs="Helvetica"/>
                <w:color w:val="000000"/>
                <w:sz w:val="22"/>
                <w:lang w:eastAsia="ja-JP"/>
              </w:rPr>
            </w:pPr>
          </w:p>
        </w:tc>
        <w:tc>
          <w:tcPr>
            <w:tcW w:w="6660" w:type="dxa"/>
            <w:shd w:val="clear" w:color="auto" w:fill="auto"/>
            <w:vAlign w:val="center"/>
          </w:tcPr>
          <w:p w:rsidR="00862617" w:rsidRDefault="00862617" w:rsidP="00862617">
            <w:pPr>
              <w:pStyle w:val="RBodyText"/>
              <w:spacing w:after="0"/>
              <w:rPr>
                <w:rFonts w:ascii="Arial" w:hAnsi="Arial" w:cs="Helvetica"/>
                <w:color w:val="000000"/>
                <w:sz w:val="22"/>
                <w:lang w:eastAsia="ja-JP"/>
              </w:rPr>
            </w:pPr>
          </w:p>
          <w:p w:rsidR="003717FD" w:rsidRDefault="00A023FF" w:rsidP="00862617">
            <w:pPr>
              <w:pStyle w:val="RBodyText"/>
              <w:spacing w:after="0"/>
              <w:rPr>
                <w:rFonts w:ascii="Arial" w:hAnsi="Arial" w:cs="Helvetica"/>
                <w:color w:val="000000"/>
                <w:sz w:val="22"/>
                <w:lang w:eastAsia="ja-JP"/>
              </w:rPr>
            </w:pPr>
            <w:r>
              <w:rPr>
                <w:rFonts w:ascii="Arial" w:hAnsi="Arial" w:cs="Helvetica"/>
                <w:color w:val="000000"/>
                <w:sz w:val="22"/>
                <w:lang w:eastAsia="ja-JP"/>
              </w:rPr>
              <w:t>5</w:t>
            </w:r>
            <w:r w:rsidR="00862617">
              <w:rPr>
                <w:rFonts w:ascii="Arial" w:hAnsi="Arial" w:cs="Helvetica"/>
                <w:color w:val="000000"/>
                <w:sz w:val="22"/>
                <w:lang w:eastAsia="ja-JP"/>
              </w:rPr>
              <w:t>.</w:t>
            </w:r>
            <w:r w:rsidR="003717FD">
              <w:rPr>
                <w:rFonts w:ascii="Arial" w:hAnsi="Arial" w:cs="Helvetica"/>
                <w:color w:val="000000"/>
                <w:sz w:val="22"/>
                <w:lang w:eastAsia="ja-JP"/>
              </w:rPr>
              <w:t xml:space="preserve"> Wha</w:t>
            </w:r>
            <w:r>
              <w:rPr>
                <w:rFonts w:ascii="Arial" w:hAnsi="Arial" w:cs="Helvetica"/>
                <w:color w:val="000000"/>
                <w:sz w:val="22"/>
                <w:lang w:eastAsia="ja-JP"/>
              </w:rPr>
              <w:t>t Is Integrated Pest Management</w:t>
            </w:r>
            <w:r w:rsidR="00862617">
              <w:rPr>
                <w:rFonts w:ascii="Arial" w:hAnsi="Arial" w:cs="Helvetica"/>
                <w:color w:val="000000"/>
                <w:sz w:val="22"/>
                <w:lang w:eastAsia="ja-JP"/>
              </w:rPr>
              <w:t xml:space="preserve"> </w:t>
            </w:r>
            <w:r w:rsidR="003717FD">
              <w:rPr>
                <w:rFonts w:ascii="Arial" w:hAnsi="Arial" w:cs="Helvetica"/>
                <w:color w:val="000000"/>
                <w:sz w:val="22"/>
                <w:lang w:eastAsia="ja-JP"/>
              </w:rPr>
              <w:t>(Attachment B5)</w:t>
            </w:r>
          </w:p>
          <w:p w:rsidR="00862617" w:rsidRDefault="00A023FF" w:rsidP="00862617">
            <w:pPr>
              <w:pStyle w:val="RBodyText"/>
              <w:spacing w:after="0"/>
              <w:rPr>
                <w:rFonts w:ascii="Arial" w:hAnsi="Arial" w:cs="Helvetica"/>
                <w:color w:val="000000"/>
                <w:sz w:val="22"/>
                <w:lang w:eastAsia="ja-JP"/>
              </w:rPr>
            </w:pPr>
            <w:r>
              <w:rPr>
                <w:rFonts w:ascii="Arial" w:hAnsi="Arial" w:cs="Helvetica"/>
                <w:color w:val="000000"/>
                <w:sz w:val="22"/>
                <w:lang w:eastAsia="ja-JP"/>
              </w:rPr>
              <w:t>6</w:t>
            </w:r>
            <w:r w:rsidR="003717FD">
              <w:rPr>
                <w:rFonts w:ascii="Arial" w:hAnsi="Arial" w:cs="Helvetica"/>
                <w:color w:val="000000"/>
                <w:sz w:val="22"/>
                <w:lang w:eastAsia="ja-JP"/>
              </w:rPr>
              <w:t xml:space="preserve">. </w:t>
            </w:r>
            <w:r w:rsidR="00862617">
              <w:rPr>
                <w:rFonts w:ascii="Arial" w:hAnsi="Arial" w:cs="Helvetica"/>
                <w:color w:val="000000"/>
                <w:sz w:val="22"/>
                <w:lang w:eastAsia="ja-JP"/>
              </w:rPr>
              <w:t>Integrated Pest Management (Attachment B</w:t>
            </w:r>
            <w:r w:rsidR="003717FD">
              <w:rPr>
                <w:rFonts w:ascii="Arial" w:hAnsi="Arial" w:cs="Helvetica"/>
                <w:color w:val="000000"/>
                <w:sz w:val="22"/>
                <w:lang w:eastAsia="ja-JP"/>
              </w:rPr>
              <w:t>6</w:t>
            </w:r>
            <w:r w:rsidR="00862617">
              <w:rPr>
                <w:rFonts w:ascii="Arial" w:hAnsi="Arial" w:cs="Helvetica"/>
                <w:color w:val="000000"/>
                <w:sz w:val="22"/>
                <w:lang w:eastAsia="ja-JP"/>
              </w:rPr>
              <w:t>)</w:t>
            </w:r>
          </w:p>
          <w:p w:rsidR="00862617" w:rsidRPr="00801190" w:rsidRDefault="00862617" w:rsidP="003717FD">
            <w:pPr>
              <w:pStyle w:val="RBodyText"/>
              <w:spacing w:after="0"/>
              <w:rPr>
                <w:rFonts w:ascii="Arial" w:hAnsi="Arial" w:cs="Helvetica"/>
                <w:color w:val="000000"/>
                <w:sz w:val="22"/>
                <w:lang w:eastAsia="ja-JP"/>
              </w:rPr>
            </w:pPr>
          </w:p>
        </w:tc>
      </w:tr>
      <w:tr w:rsidR="00561A1A" w:rsidRPr="00801190" w:rsidTr="00862617">
        <w:tc>
          <w:tcPr>
            <w:tcW w:w="3348" w:type="dxa"/>
            <w:shd w:val="clear" w:color="auto" w:fill="auto"/>
            <w:vAlign w:val="center"/>
          </w:tcPr>
          <w:p w:rsidR="00561A1A" w:rsidRPr="00801190" w:rsidRDefault="00561A1A" w:rsidP="001113E0">
            <w:pPr>
              <w:pStyle w:val="RBodyText"/>
              <w:spacing w:after="0"/>
              <w:rPr>
                <w:rFonts w:ascii="Arial" w:hAnsi="Arial" w:cs="Helvetica"/>
                <w:color w:val="000000"/>
                <w:sz w:val="22"/>
                <w:lang w:eastAsia="ja-JP"/>
              </w:rPr>
            </w:pPr>
            <w:r>
              <w:rPr>
                <w:rFonts w:ascii="Arial" w:hAnsi="Arial" w:cs="Helvetica"/>
                <w:color w:val="000000"/>
                <w:sz w:val="22"/>
                <w:lang w:eastAsia="ja-JP"/>
              </w:rPr>
              <w:t>What’s New on CDC’s Emergency Preparedness &amp; Response Website</w:t>
            </w:r>
          </w:p>
        </w:tc>
        <w:tc>
          <w:tcPr>
            <w:tcW w:w="6660" w:type="dxa"/>
            <w:shd w:val="clear" w:color="auto" w:fill="auto"/>
            <w:vAlign w:val="center"/>
          </w:tcPr>
          <w:p w:rsidR="00561A1A" w:rsidRDefault="00A023FF" w:rsidP="00862617">
            <w:pPr>
              <w:pStyle w:val="RBodyText"/>
              <w:spacing w:after="0"/>
              <w:rPr>
                <w:rFonts w:ascii="Arial" w:hAnsi="Arial" w:cs="Helvetica"/>
                <w:color w:val="000000"/>
                <w:sz w:val="22"/>
                <w:lang w:eastAsia="ja-JP"/>
              </w:rPr>
            </w:pPr>
            <w:r>
              <w:rPr>
                <w:rFonts w:ascii="Arial" w:hAnsi="Arial" w:cs="Helvetica"/>
                <w:color w:val="000000"/>
                <w:sz w:val="22"/>
                <w:lang w:eastAsia="ja-JP"/>
              </w:rPr>
              <w:t>7</w:t>
            </w:r>
            <w:r w:rsidR="00862617">
              <w:rPr>
                <w:rFonts w:ascii="Arial" w:hAnsi="Arial" w:cs="Helvetica"/>
                <w:color w:val="000000"/>
                <w:sz w:val="22"/>
                <w:lang w:eastAsia="ja-JP"/>
              </w:rPr>
              <w:t xml:space="preserve">. </w:t>
            </w:r>
            <w:r w:rsidR="00561A1A">
              <w:rPr>
                <w:rFonts w:ascii="Arial" w:hAnsi="Arial" w:cs="Helvetica"/>
                <w:color w:val="000000"/>
                <w:sz w:val="22"/>
                <w:lang w:eastAsia="ja-JP"/>
              </w:rPr>
              <w:t>Gather Emergency Supplies</w:t>
            </w:r>
            <w:r w:rsidR="00862617">
              <w:rPr>
                <w:rFonts w:ascii="Arial" w:hAnsi="Arial" w:cs="Helvetica"/>
                <w:color w:val="000000"/>
                <w:sz w:val="22"/>
                <w:lang w:eastAsia="ja-JP"/>
              </w:rPr>
              <w:t xml:space="preserve"> (Attachment B7)</w:t>
            </w:r>
          </w:p>
          <w:p w:rsidR="00862617" w:rsidRPr="00801190" w:rsidRDefault="00A023FF" w:rsidP="00862617">
            <w:pPr>
              <w:pStyle w:val="RBodyText"/>
              <w:spacing w:after="0"/>
              <w:rPr>
                <w:rFonts w:ascii="Arial" w:hAnsi="Arial" w:cs="Helvetica"/>
                <w:color w:val="000000"/>
                <w:sz w:val="22"/>
                <w:lang w:eastAsia="ja-JP"/>
              </w:rPr>
            </w:pPr>
            <w:r>
              <w:rPr>
                <w:rFonts w:ascii="Arial" w:hAnsi="Arial" w:cs="Helvetica"/>
                <w:color w:val="000000"/>
                <w:sz w:val="22"/>
                <w:lang w:eastAsia="ja-JP"/>
              </w:rPr>
              <w:t>8</w:t>
            </w:r>
            <w:r w:rsidR="00862617">
              <w:rPr>
                <w:rFonts w:ascii="Arial" w:hAnsi="Arial" w:cs="Helvetica"/>
                <w:color w:val="000000"/>
                <w:sz w:val="22"/>
                <w:lang w:eastAsia="ja-JP"/>
              </w:rPr>
              <w:t>. Emergency Supply Kit (Attachment B8)</w:t>
            </w:r>
          </w:p>
        </w:tc>
      </w:tr>
      <w:tr w:rsidR="00561A1A" w:rsidRPr="00801190" w:rsidTr="00862617">
        <w:tc>
          <w:tcPr>
            <w:tcW w:w="3348" w:type="dxa"/>
            <w:shd w:val="clear" w:color="auto" w:fill="auto"/>
            <w:vAlign w:val="center"/>
          </w:tcPr>
          <w:p w:rsidR="004973BD" w:rsidRDefault="004973BD" w:rsidP="001113E0">
            <w:pPr>
              <w:pStyle w:val="RBodyText"/>
              <w:spacing w:after="0"/>
              <w:rPr>
                <w:rFonts w:ascii="Arial" w:hAnsi="Arial" w:cs="Helvetica"/>
                <w:color w:val="000000"/>
                <w:sz w:val="22"/>
                <w:lang w:eastAsia="ja-JP"/>
              </w:rPr>
            </w:pPr>
          </w:p>
          <w:p w:rsidR="00561A1A" w:rsidRDefault="00561A1A" w:rsidP="001113E0">
            <w:pPr>
              <w:pStyle w:val="RBodyText"/>
              <w:spacing w:after="0"/>
              <w:rPr>
                <w:rFonts w:ascii="Arial" w:hAnsi="Arial" w:cs="Helvetica"/>
                <w:color w:val="000000"/>
                <w:sz w:val="22"/>
                <w:lang w:eastAsia="ja-JP"/>
              </w:rPr>
            </w:pPr>
            <w:r>
              <w:rPr>
                <w:rFonts w:ascii="Arial" w:hAnsi="Arial" w:cs="Helvetica"/>
                <w:color w:val="000000"/>
                <w:sz w:val="22"/>
                <w:lang w:eastAsia="ja-JP"/>
              </w:rPr>
              <w:t>CDC Parent Portal</w:t>
            </w:r>
          </w:p>
          <w:p w:rsidR="004973BD" w:rsidRDefault="004973BD" w:rsidP="001113E0">
            <w:pPr>
              <w:pStyle w:val="RBodyText"/>
              <w:spacing w:after="0"/>
              <w:rPr>
                <w:rFonts w:ascii="Arial" w:hAnsi="Arial" w:cs="Helvetica"/>
                <w:color w:val="000000"/>
                <w:sz w:val="22"/>
                <w:lang w:eastAsia="ja-JP"/>
              </w:rPr>
            </w:pPr>
          </w:p>
        </w:tc>
        <w:tc>
          <w:tcPr>
            <w:tcW w:w="6660" w:type="dxa"/>
            <w:shd w:val="clear" w:color="auto" w:fill="auto"/>
            <w:vAlign w:val="center"/>
          </w:tcPr>
          <w:p w:rsidR="00862617" w:rsidRDefault="00862617" w:rsidP="001113E0">
            <w:pPr>
              <w:pStyle w:val="RBodyText"/>
              <w:spacing w:after="0"/>
              <w:rPr>
                <w:rFonts w:ascii="Arial" w:hAnsi="Arial" w:cs="Helvetica"/>
                <w:color w:val="000000"/>
                <w:sz w:val="22"/>
                <w:lang w:eastAsia="ja-JP"/>
              </w:rPr>
            </w:pPr>
          </w:p>
          <w:p w:rsidR="00862617" w:rsidRDefault="00A023FF" w:rsidP="001113E0">
            <w:pPr>
              <w:pStyle w:val="RBodyText"/>
              <w:spacing w:after="0"/>
              <w:rPr>
                <w:rFonts w:ascii="Arial" w:hAnsi="Arial" w:cs="Helvetica"/>
                <w:color w:val="000000"/>
                <w:sz w:val="22"/>
                <w:lang w:eastAsia="ja-JP"/>
              </w:rPr>
            </w:pPr>
            <w:r>
              <w:rPr>
                <w:rFonts w:ascii="Arial" w:hAnsi="Arial" w:cs="Helvetica"/>
                <w:color w:val="000000"/>
                <w:sz w:val="22"/>
                <w:lang w:eastAsia="ja-JP"/>
              </w:rPr>
              <w:t>9</w:t>
            </w:r>
            <w:r w:rsidR="00862617">
              <w:rPr>
                <w:rFonts w:ascii="Arial" w:hAnsi="Arial" w:cs="Helvetica"/>
                <w:color w:val="000000"/>
                <w:sz w:val="22"/>
                <w:lang w:eastAsia="ja-JP"/>
              </w:rPr>
              <w:t>. Five Things You Need to Know About Congenital Heart Defects (Attachment B9)</w:t>
            </w:r>
          </w:p>
          <w:p w:rsidR="00561A1A" w:rsidRDefault="00A023FF" w:rsidP="00862617">
            <w:pPr>
              <w:pStyle w:val="RBodyText"/>
              <w:spacing w:after="0"/>
              <w:rPr>
                <w:rFonts w:ascii="Arial" w:hAnsi="Arial" w:cs="Helvetica"/>
                <w:color w:val="000000"/>
                <w:sz w:val="22"/>
                <w:lang w:eastAsia="ja-JP"/>
              </w:rPr>
            </w:pPr>
            <w:r>
              <w:rPr>
                <w:rFonts w:ascii="Arial" w:hAnsi="Arial" w:cs="Helvetica"/>
                <w:color w:val="000000"/>
                <w:sz w:val="22"/>
                <w:lang w:eastAsia="ja-JP"/>
              </w:rPr>
              <w:t>10</w:t>
            </w:r>
            <w:r w:rsidR="00862617">
              <w:rPr>
                <w:rFonts w:ascii="Arial" w:hAnsi="Arial" w:cs="Helvetica"/>
                <w:color w:val="000000"/>
                <w:sz w:val="22"/>
                <w:lang w:eastAsia="ja-JP"/>
              </w:rPr>
              <w:t>. Congenital Heart Defects (Attachment B10)</w:t>
            </w:r>
          </w:p>
          <w:p w:rsidR="00862617" w:rsidRDefault="00862617" w:rsidP="00862617">
            <w:pPr>
              <w:pStyle w:val="RBodyText"/>
              <w:spacing w:after="0"/>
              <w:rPr>
                <w:rFonts w:ascii="Arial" w:hAnsi="Arial" w:cs="Helvetica"/>
                <w:color w:val="000000"/>
                <w:sz w:val="22"/>
                <w:lang w:eastAsia="ja-JP"/>
              </w:rPr>
            </w:pPr>
          </w:p>
        </w:tc>
      </w:tr>
      <w:tr w:rsidR="00561A1A" w:rsidRPr="00801190" w:rsidTr="00862617">
        <w:tc>
          <w:tcPr>
            <w:tcW w:w="3348" w:type="dxa"/>
            <w:vMerge w:val="restart"/>
            <w:shd w:val="clear" w:color="auto" w:fill="auto"/>
            <w:vAlign w:val="center"/>
          </w:tcPr>
          <w:p w:rsidR="00561A1A" w:rsidRPr="00801190" w:rsidRDefault="00561A1A" w:rsidP="001113E0">
            <w:pPr>
              <w:pStyle w:val="RBodyText"/>
              <w:spacing w:after="0"/>
              <w:rPr>
                <w:rFonts w:ascii="Arial" w:hAnsi="Arial" w:cs="Helvetica"/>
                <w:color w:val="000000"/>
                <w:sz w:val="22"/>
                <w:lang w:eastAsia="ja-JP"/>
              </w:rPr>
            </w:pPr>
            <w:r>
              <w:rPr>
                <w:rFonts w:ascii="Arial" w:hAnsi="Arial" w:cs="Helvetica"/>
                <w:color w:val="000000"/>
                <w:sz w:val="22"/>
                <w:lang w:eastAsia="ja-JP"/>
              </w:rPr>
              <w:t>News and Highlights (Influenza)</w:t>
            </w:r>
          </w:p>
        </w:tc>
        <w:tc>
          <w:tcPr>
            <w:tcW w:w="6660" w:type="dxa"/>
            <w:shd w:val="clear" w:color="auto" w:fill="auto"/>
            <w:vAlign w:val="center"/>
          </w:tcPr>
          <w:p w:rsidR="00862617" w:rsidRDefault="00862617" w:rsidP="001113E0">
            <w:pPr>
              <w:pStyle w:val="RBodyText"/>
              <w:spacing w:after="0"/>
              <w:rPr>
                <w:rFonts w:ascii="Arial" w:hAnsi="Arial" w:cs="Helvetica"/>
                <w:color w:val="000000"/>
                <w:sz w:val="22"/>
                <w:lang w:eastAsia="ja-JP"/>
              </w:rPr>
            </w:pPr>
          </w:p>
          <w:p w:rsidR="00862617" w:rsidRDefault="00A023FF" w:rsidP="001113E0">
            <w:pPr>
              <w:pStyle w:val="RBodyText"/>
              <w:spacing w:after="0"/>
              <w:rPr>
                <w:rFonts w:ascii="Arial" w:hAnsi="Arial" w:cs="Helvetica"/>
                <w:color w:val="000000"/>
                <w:sz w:val="22"/>
                <w:lang w:eastAsia="ja-JP"/>
              </w:rPr>
            </w:pPr>
            <w:r>
              <w:rPr>
                <w:rFonts w:ascii="Arial" w:hAnsi="Arial" w:cs="Helvetica"/>
                <w:color w:val="000000"/>
                <w:sz w:val="22"/>
                <w:lang w:eastAsia="ja-JP"/>
              </w:rPr>
              <w:t>1</w:t>
            </w:r>
            <w:r w:rsidR="00862617">
              <w:rPr>
                <w:rFonts w:ascii="Arial" w:hAnsi="Arial" w:cs="Helvetica"/>
                <w:color w:val="000000"/>
                <w:sz w:val="22"/>
                <w:lang w:eastAsia="ja-JP"/>
              </w:rPr>
              <w:t xml:space="preserve">1. </w:t>
            </w:r>
            <w:r w:rsidR="00095D02">
              <w:rPr>
                <w:rFonts w:ascii="Arial" w:hAnsi="Arial" w:cs="Helvetica"/>
                <w:color w:val="000000"/>
                <w:sz w:val="22"/>
                <w:lang w:eastAsia="ja-JP"/>
              </w:rPr>
              <w:t>Pregnant Women Need a Flu Shot</w:t>
            </w:r>
            <w:r w:rsidR="00862617">
              <w:rPr>
                <w:rFonts w:ascii="Arial" w:hAnsi="Arial" w:cs="Helvetica"/>
                <w:color w:val="000000"/>
                <w:sz w:val="22"/>
                <w:lang w:eastAsia="ja-JP"/>
              </w:rPr>
              <w:t xml:space="preserve"> (Attachment B11)</w:t>
            </w:r>
          </w:p>
          <w:p w:rsidR="00561A1A" w:rsidRDefault="00A023FF" w:rsidP="001113E0">
            <w:pPr>
              <w:pStyle w:val="RBodyText"/>
              <w:spacing w:after="0"/>
              <w:rPr>
                <w:rFonts w:ascii="Arial" w:hAnsi="Arial" w:cs="Helvetica"/>
                <w:color w:val="000000"/>
                <w:sz w:val="22"/>
                <w:lang w:eastAsia="ja-JP"/>
              </w:rPr>
            </w:pPr>
            <w:r>
              <w:rPr>
                <w:rFonts w:ascii="Arial" w:hAnsi="Arial" w:cs="Helvetica"/>
                <w:color w:val="000000"/>
                <w:sz w:val="22"/>
                <w:lang w:eastAsia="ja-JP"/>
              </w:rPr>
              <w:t>1</w:t>
            </w:r>
            <w:r w:rsidR="00862617">
              <w:rPr>
                <w:rFonts w:ascii="Arial" w:hAnsi="Arial" w:cs="Helvetica"/>
                <w:color w:val="000000"/>
                <w:sz w:val="22"/>
                <w:lang w:eastAsia="ja-JP"/>
              </w:rPr>
              <w:t>2</w:t>
            </w:r>
            <w:r w:rsidR="00561A1A">
              <w:rPr>
                <w:rFonts w:ascii="Arial" w:hAnsi="Arial" w:cs="Helvetica"/>
                <w:color w:val="000000"/>
                <w:sz w:val="22"/>
                <w:lang w:eastAsia="ja-JP"/>
              </w:rPr>
              <w:t xml:space="preserve">. </w:t>
            </w:r>
            <w:r w:rsidR="00095D02">
              <w:rPr>
                <w:rFonts w:ascii="Arial" w:hAnsi="Arial" w:cs="Helvetica"/>
                <w:color w:val="000000"/>
                <w:sz w:val="22"/>
                <w:lang w:eastAsia="ja-JP"/>
              </w:rPr>
              <w:t>Flu Shots and Pregnant Women</w:t>
            </w:r>
            <w:r w:rsidR="00561A1A">
              <w:rPr>
                <w:rFonts w:ascii="Arial" w:hAnsi="Arial" w:cs="Helvetica"/>
                <w:color w:val="000000"/>
                <w:sz w:val="22"/>
                <w:lang w:eastAsia="ja-JP"/>
              </w:rPr>
              <w:t xml:space="preserve"> </w:t>
            </w:r>
            <w:r w:rsidR="00561A1A" w:rsidRPr="00801190">
              <w:rPr>
                <w:rFonts w:ascii="Arial" w:hAnsi="Arial" w:cs="Helvetica"/>
                <w:color w:val="000000"/>
                <w:sz w:val="22"/>
                <w:lang w:eastAsia="ja-JP"/>
              </w:rPr>
              <w:t>(Attachment</w:t>
            </w:r>
            <w:r w:rsidR="00561A1A">
              <w:rPr>
                <w:rFonts w:ascii="Arial" w:hAnsi="Arial" w:cs="Helvetica"/>
                <w:color w:val="000000"/>
                <w:sz w:val="22"/>
                <w:lang w:eastAsia="ja-JP"/>
              </w:rPr>
              <w:t>s</w:t>
            </w:r>
            <w:r w:rsidR="00561A1A" w:rsidRPr="00801190">
              <w:rPr>
                <w:rFonts w:ascii="Arial" w:hAnsi="Arial" w:cs="Helvetica"/>
                <w:color w:val="000000"/>
                <w:sz w:val="22"/>
                <w:lang w:eastAsia="ja-JP"/>
              </w:rPr>
              <w:t xml:space="preserve"> B1</w:t>
            </w:r>
            <w:r w:rsidR="00561A1A">
              <w:rPr>
                <w:rFonts w:ascii="Arial" w:hAnsi="Arial" w:cs="Helvetica"/>
                <w:color w:val="000000"/>
                <w:sz w:val="22"/>
                <w:lang w:eastAsia="ja-JP"/>
              </w:rPr>
              <w:t>2</w:t>
            </w:r>
            <w:r w:rsidR="00561A1A" w:rsidRPr="00801190">
              <w:rPr>
                <w:rFonts w:ascii="Arial" w:hAnsi="Arial" w:cs="Helvetica"/>
                <w:color w:val="000000"/>
                <w:sz w:val="22"/>
                <w:lang w:eastAsia="ja-JP"/>
              </w:rPr>
              <w:t>)</w:t>
            </w:r>
          </w:p>
          <w:p w:rsidR="00561A1A" w:rsidRPr="00801190" w:rsidRDefault="00561A1A" w:rsidP="001113E0">
            <w:pPr>
              <w:pStyle w:val="RBodyText"/>
              <w:spacing w:after="0"/>
              <w:rPr>
                <w:rFonts w:ascii="Arial" w:hAnsi="Arial" w:cs="Helvetica"/>
                <w:color w:val="000000"/>
                <w:sz w:val="22"/>
                <w:lang w:eastAsia="ja-JP"/>
              </w:rPr>
            </w:pPr>
          </w:p>
        </w:tc>
      </w:tr>
      <w:tr w:rsidR="00561A1A" w:rsidRPr="00801190" w:rsidTr="00862617">
        <w:tc>
          <w:tcPr>
            <w:tcW w:w="3348" w:type="dxa"/>
            <w:vMerge/>
            <w:shd w:val="clear" w:color="auto" w:fill="auto"/>
            <w:vAlign w:val="center"/>
          </w:tcPr>
          <w:p w:rsidR="00561A1A" w:rsidRPr="00801190" w:rsidRDefault="00561A1A" w:rsidP="001113E0">
            <w:pPr>
              <w:pStyle w:val="RBodyText"/>
              <w:spacing w:after="0"/>
              <w:rPr>
                <w:rFonts w:ascii="Arial" w:hAnsi="Arial" w:cs="Helvetica"/>
                <w:color w:val="000000"/>
                <w:sz w:val="22"/>
                <w:lang w:eastAsia="ja-JP"/>
              </w:rPr>
            </w:pPr>
          </w:p>
        </w:tc>
        <w:tc>
          <w:tcPr>
            <w:tcW w:w="6660" w:type="dxa"/>
            <w:shd w:val="clear" w:color="auto" w:fill="auto"/>
            <w:vAlign w:val="center"/>
          </w:tcPr>
          <w:p w:rsidR="00862617" w:rsidRDefault="00862617" w:rsidP="001113E0">
            <w:pPr>
              <w:pStyle w:val="RBodyText"/>
              <w:spacing w:after="0"/>
              <w:rPr>
                <w:rFonts w:ascii="Arial" w:hAnsi="Arial" w:cs="Helvetica"/>
                <w:color w:val="000000"/>
                <w:sz w:val="22"/>
                <w:lang w:eastAsia="ja-JP"/>
              </w:rPr>
            </w:pPr>
          </w:p>
          <w:p w:rsidR="00862617" w:rsidRDefault="00862617" w:rsidP="001113E0">
            <w:pPr>
              <w:pStyle w:val="RBodyText"/>
              <w:spacing w:after="0"/>
              <w:rPr>
                <w:rFonts w:ascii="Arial" w:hAnsi="Arial" w:cs="Helvetica"/>
                <w:color w:val="000000"/>
                <w:sz w:val="22"/>
                <w:lang w:eastAsia="ja-JP"/>
              </w:rPr>
            </w:pPr>
            <w:r>
              <w:rPr>
                <w:rFonts w:ascii="Arial" w:hAnsi="Arial" w:cs="Helvetica"/>
                <w:color w:val="000000"/>
                <w:sz w:val="22"/>
                <w:lang w:eastAsia="ja-JP"/>
              </w:rPr>
              <w:t>1</w:t>
            </w:r>
            <w:r w:rsidR="00A023FF">
              <w:rPr>
                <w:rFonts w:ascii="Arial" w:hAnsi="Arial" w:cs="Helvetica"/>
                <w:color w:val="000000"/>
                <w:sz w:val="22"/>
                <w:lang w:eastAsia="ja-JP"/>
              </w:rPr>
              <w:t>3</w:t>
            </w:r>
            <w:r>
              <w:rPr>
                <w:rFonts w:ascii="Arial" w:hAnsi="Arial" w:cs="Helvetica"/>
                <w:color w:val="000000"/>
                <w:sz w:val="22"/>
                <w:lang w:eastAsia="ja-JP"/>
              </w:rPr>
              <w:t>. No More Excuses: You Need a Flu Vaccine (Attachment B13)</w:t>
            </w:r>
          </w:p>
          <w:p w:rsidR="00561A1A" w:rsidRDefault="00A023FF" w:rsidP="001113E0">
            <w:pPr>
              <w:pStyle w:val="RBodyText"/>
              <w:spacing w:after="0"/>
              <w:rPr>
                <w:rFonts w:ascii="Arial" w:hAnsi="Arial" w:cs="Helvetica"/>
                <w:color w:val="000000"/>
                <w:sz w:val="22"/>
                <w:lang w:eastAsia="ja-JP"/>
              </w:rPr>
            </w:pPr>
            <w:r>
              <w:rPr>
                <w:rFonts w:ascii="Arial" w:hAnsi="Arial" w:cs="Helvetica"/>
                <w:color w:val="000000"/>
                <w:sz w:val="22"/>
                <w:lang w:eastAsia="ja-JP"/>
              </w:rPr>
              <w:t>14</w:t>
            </w:r>
            <w:r w:rsidR="00561A1A" w:rsidRPr="00801190">
              <w:rPr>
                <w:rFonts w:ascii="Arial" w:hAnsi="Arial" w:cs="Helvetica"/>
                <w:color w:val="000000"/>
                <w:sz w:val="22"/>
                <w:lang w:eastAsia="ja-JP"/>
              </w:rPr>
              <w:t xml:space="preserve">. </w:t>
            </w:r>
            <w:r w:rsidR="00561A1A">
              <w:rPr>
                <w:rFonts w:ascii="Arial" w:hAnsi="Arial" w:cs="Helvetica"/>
                <w:color w:val="000000"/>
                <w:sz w:val="22"/>
                <w:lang w:eastAsia="ja-JP"/>
              </w:rPr>
              <w:t>Get the Facts to Fight the Flu</w:t>
            </w:r>
            <w:r w:rsidR="00862617">
              <w:rPr>
                <w:rFonts w:ascii="Arial" w:hAnsi="Arial" w:cs="Helvetica"/>
                <w:color w:val="000000"/>
                <w:sz w:val="22"/>
                <w:lang w:eastAsia="ja-JP"/>
              </w:rPr>
              <w:t xml:space="preserve"> (Attachment B14)</w:t>
            </w:r>
          </w:p>
          <w:p w:rsidR="00561A1A" w:rsidRPr="00801190" w:rsidRDefault="00561A1A" w:rsidP="001113E0">
            <w:pPr>
              <w:pStyle w:val="RBodyText"/>
              <w:spacing w:after="0"/>
              <w:rPr>
                <w:rFonts w:ascii="Arial" w:hAnsi="Arial" w:cs="Helvetica"/>
                <w:color w:val="000000"/>
                <w:sz w:val="22"/>
                <w:lang w:eastAsia="ja-JP"/>
              </w:rPr>
            </w:pPr>
          </w:p>
        </w:tc>
      </w:tr>
    </w:tbl>
    <w:p w:rsidR="00561A1A" w:rsidRDefault="00561A1A">
      <w:pPr>
        <w:rPr>
          <w:b/>
        </w:rPr>
      </w:pPr>
    </w:p>
    <w:p w:rsidR="004973BD" w:rsidRPr="00AC2D8A" w:rsidRDefault="004973BD" w:rsidP="004973BD">
      <w:pPr>
        <w:rPr>
          <w:u w:color="00007E"/>
        </w:rPr>
      </w:pPr>
      <w:r>
        <w:rPr>
          <w:u w:color="00007E"/>
        </w:rPr>
        <w:t xml:space="preserve">Survey questions </w:t>
      </w:r>
      <w:r w:rsidRPr="00953629">
        <w:rPr>
          <w:b/>
          <w:u w:color="00007E"/>
        </w:rPr>
        <w:t>will not</w:t>
      </w:r>
      <w:r>
        <w:rPr>
          <w:u w:color="00007E"/>
        </w:rPr>
        <w:t xml:space="preserve"> vary by participant or by material.  </w:t>
      </w:r>
    </w:p>
    <w:p w:rsidR="004973BD" w:rsidRDefault="004973BD">
      <w:pPr>
        <w:rPr>
          <w:b/>
        </w:rPr>
      </w:pPr>
    </w:p>
    <w:p w:rsidR="004973BD" w:rsidRDefault="004973BD">
      <w:pPr>
        <w:rPr>
          <w:b/>
        </w:rPr>
      </w:pPr>
    </w:p>
    <w:p w:rsidR="000F0112" w:rsidRDefault="000F0112">
      <w:pPr>
        <w:rPr>
          <w:b/>
        </w:rPr>
      </w:pPr>
    </w:p>
    <w:p w:rsidR="000F0112" w:rsidRDefault="000F0112">
      <w:pPr>
        <w:rPr>
          <w:b/>
        </w:rPr>
      </w:pPr>
    </w:p>
    <w:p w:rsidR="00F06866" w:rsidRPr="00F06866" w:rsidRDefault="00F06866">
      <w:pPr>
        <w:rPr>
          <w:b/>
        </w:rPr>
      </w:pPr>
      <w:r w:rsidRPr="000B7628">
        <w:rPr>
          <w:b/>
        </w:rPr>
        <w:lastRenderedPageBreak/>
        <w:t>TYPE OF COLLECTION:</w:t>
      </w:r>
      <w:r w:rsidRPr="000B7628">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A83A88">
        <w:rPr>
          <w:bCs/>
          <w:sz w:val="24"/>
        </w:rPr>
        <w:t>X</w:t>
      </w:r>
      <w:r w:rsidRPr="00F06866">
        <w:rPr>
          <w:bCs/>
          <w:sz w:val="24"/>
        </w:rPr>
        <w:t xml:space="preserve"> ]</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A83A88"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C77D9" w:rsidP="009C13B9">
      <w:r>
        <w:t>Name:</w:t>
      </w:r>
      <w:r w:rsidR="008B6A34">
        <w:t xml:space="preserve"> John Parmer (bkz8@cdc.gov)</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DF0D6E">
        <w:t>[  ] Yes  [x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6A2804">
        <w:t>vacy Act of 1974?   [  ] Yes [ x</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rsidR="006A2804">
        <w:t xml:space="preserve"> been published?  [  ] Yes  [ x</w:t>
      </w:r>
      <w:r>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DF0D6E">
        <w:t xml:space="preserve">d to participants?  [  ] Yes </w:t>
      </w:r>
      <w:proofErr w:type="gramStart"/>
      <w:r w:rsidR="00DF0D6E">
        <w:t>[ x</w:t>
      </w:r>
      <w:proofErr w:type="gramEnd"/>
      <w:r>
        <w:t xml:space="preserve">] No  </w:t>
      </w:r>
    </w:p>
    <w:p w:rsidR="00943728" w:rsidRDefault="00943728">
      <w:pPr>
        <w:rPr>
          <w:b/>
        </w:rPr>
      </w:pPr>
    </w:p>
    <w:p w:rsidR="00943728" w:rsidRDefault="00943728">
      <w:pPr>
        <w:rPr>
          <w:b/>
        </w:rPr>
      </w:pPr>
    </w:p>
    <w:p w:rsidR="00943728" w:rsidRDefault="00943728">
      <w:pPr>
        <w:rPr>
          <w:b/>
        </w:rPr>
      </w:pPr>
    </w:p>
    <w:p w:rsidR="005E714A" w:rsidRDefault="005E714A" w:rsidP="00C86E91">
      <w:pPr>
        <w:rPr>
          <w:i/>
        </w:rPr>
      </w:pPr>
      <w:r w:rsidRPr="000B7628">
        <w:rPr>
          <w:b/>
        </w:rPr>
        <w:t>BURDEN HOUR</w:t>
      </w:r>
      <w:r w:rsidR="00441434" w:rsidRPr="000B7628">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r w:rsidR="00576419">
              <w:rPr>
                <w:b/>
              </w:rPr>
              <w:t xml:space="preserve"> (in hours)</w:t>
            </w:r>
          </w:p>
        </w:tc>
        <w:tc>
          <w:tcPr>
            <w:tcW w:w="1003" w:type="dxa"/>
          </w:tcPr>
          <w:p w:rsidR="006832D9" w:rsidRPr="0001027E" w:rsidRDefault="006832D9" w:rsidP="00843796">
            <w:pPr>
              <w:rPr>
                <w:b/>
              </w:rPr>
            </w:pPr>
            <w:r w:rsidRPr="0001027E">
              <w:rPr>
                <w:b/>
              </w:rPr>
              <w:t>Burden</w:t>
            </w:r>
            <w:r w:rsidR="00CC4339">
              <w:rPr>
                <w:b/>
              </w:rPr>
              <w:t xml:space="preserve"> Hours</w:t>
            </w:r>
          </w:p>
        </w:tc>
      </w:tr>
      <w:tr w:rsidR="00B51948" w:rsidRPr="00B51948" w:rsidTr="0001027E">
        <w:trPr>
          <w:trHeight w:val="274"/>
        </w:trPr>
        <w:tc>
          <w:tcPr>
            <w:tcW w:w="5418" w:type="dxa"/>
          </w:tcPr>
          <w:p w:rsidR="00CC4339" w:rsidRDefault="00CC4339" w:rsidP="00843796"/>
          <w:p w:rsidR="00B51948" w:rsidRPr="00CC4339" w:rsidRDefault="00CC4339" w:rsidP="00843796">
            <w:r>
              <w:t>GovDelivery subscribers</w:t>
            </w:r>
          </w:p>
        </w:tc>
        <w:tc>
          <w:tcPr>
            <w:tcW w:w="1530" w:type="dxa"/>
          </w:tcPr>
          <w:p w:rsidR="00CC4339" w:rsidRDefault="00CC4339" w:rsidP="00843796"/>
          <w:p w:rsidR="00B51948" w:rsidRPr="00CC4339" w:rsidRDefault="00576419" w:rsidP="00843796">
            <w:r w:rsidRPr="00CC4339">
              <w:t>700</w:t>
            </w:r>
          </w:p>
        </w:tc>
        <w:tc>
          <w:tcPr>
            <w:tcW w:w="1710" w:type="dxa"/>
          </w:tcPr>
          <w:p w:rsidR="00CC4339" w:rsidRDefault="00CC4339" w:rsidP="006D1056"/>
          <w:p w:rsidR="00B51948" w:rsidRPr="00CC4339" w:rsidRDefault="00576419" w:rsidP="006D1056">
            <w:r w:rsidRPr="00CC4339">
              <w:t>10/60</w:t>
            </w:r>
          </w:p>
        </w:tc>
        <w:tc>
          <w:tcPr>
            <w:tcW w:w="1003" w:type="dxa"/>
          </w:tcPr>
          <w:p w:rsidR="00CC4339" w:rsidRDefault="00CC4339" w:rsidP="0048777C"/>
          <w:p w:rsidR="00B51948" w:rsidRPr="00CC4339" w:rsidRDefault="00576419" w:rsidP="0048777C">
            <w:r w:rsidRPr="00CC4339">
              <w:t>117</w:t>
            </w:r>
          </w:p>
        </w:tc>
      </w:tr>
    </w:tbl>
    <w:p w:rsidR="00F3170F" w:rsidRPr="00B51948" w:rsidRDefault="00F3170F" w:rsidP="00F3170F"/>
    <w:p w:rsidR="00956914" w:rsidRDefault="00956914">
      <w:pPr>
        <w:rPr>
          <w:b/>
        </w:rPr>
      </w:pPr>
    </w:p>
    <w:p w:rsidR="00956914" w:rsidRDefault="00956914">
      <w:pPr>
        <w:rPr>
          <w:b/>
        </w:rPr>
      </w:pPr>
    </w:p>
    <w:p w:rsidR="005E714A" w:rsidRDefault="001C39F7">
      <w:r w:rsidRPr="00B51948">
        <w:rPr>
          <w:b/>
        </w:rPr>
        <w:t xml:space="preserve">FEDERAL </w:t>
      </w:r>
      <w:r w:rsidR="009F5923" w:rsidRPr="00B51948">
        <w:rPr>
          <w:b/>
        </w:rPr>
        <w:t>COST</w:t>
      </w:r>
      <w:r w:rsidR="00F06866" w:rsidRPr="00B51948">
        <w:rPr>
          <w:b/>
        </w:rPr>
        <w:t>:</w:t>
      </w:r>
      <w:r w:rsidR="00895229" w:rsidRPr="00B51948">
        <w:rPr>
          <w:b/>
        </w:rPr>
        <w:t xml:space="preserve"> </w:t>
      </w:r>
      <w:r w:rsidR="00C86E91" w:rsidRPr="00B51948">
        <w:rPr>
          <w:b/>
        </w:rPr>
        <w:t xml:space="preserve"> </w:t>
      </w:r>
      <w:r w:rsidR="00C86E91" w:rsidRPr="00B51948">
        <w:t xml:space="preserve">The estimated annual cost to the Federal government </w:t>
      </w:r>
      <w:r w:rsidR="003B7164">
        <w:t xml:space="preserve">is </w:t>
      </w:r>
      <w:r w:rsidR="00C86E91" w:rsidRPr="003B7164">
        <w:t>__</w:t>
      </w:r>
      <w:r w:rsidR="00FB3F31" w:rsidRPr="003B7164">
        <w:t>$</w:t>
      </w:r>
      <w:r w:rsidR="003B7164" w:rsidRPr="003B7164">
        <w:t>14,331______</w:t>
      </w:r>
    </w:p>
    <w:tbl>
      <w:tblPr>
        <w:tblW w:w="9648" w:type="dxa"/>
        <w:tblBorders>
          <w:top w:val="nil"/>
          <w:left w:val="nil"/>
          <w:bottom w:val="nil"/>
          <w:right w:val="nil"/>
        </w:tblBorders>
        <w:tblLayout w:type="fixed"/>
        <w:tblLook w:val="0000" w:firstRow="0" w:lastRow="0" w:firstColumn="0" w:lastColumn="0" w:noHBand="0" w:noVBand="0"/>
      </w:tblPr>
      <w:tblGrid>
        <w:gridCol w:w="4878"/>
        <w:gridCol w:w="1710"/>
        <w:gridCol w:w="1980"/>
        <w:gridCol w:w="1080"/>
      </w:tblGrid>
      <w:tr w:rsidR="003B7164" w:rsidRPr="00E669FA" w:rsidTr="003B7164">
        <w:trPr>
          <w:trHeight w:val="356"/>
        </w:trPr>
        <w:tc>
          <w:tcPr>
            <w:tcW w:w="4878" w:type="dxa"/>
            <w:tcBorders>
              <w:top w:val="single" w:sz="6" w:space="0" w:color="000000"/>
              <w:left w:val="single" w:sz="4" w:space="0" w:color="000000"/>
              <w:bottom w:val="single" w:sz="4" w:space="0" w:color="000000"/>
              <w:right w:val="single" w:sz="4" w:space="0" w:color="000000"/>
            </w:tcBorders>
          </w:tcPr>
          <w:p w:rsidR="003B7164" w:rsidRPr="003B7164" w:rsidRDefault="003B7164" w:rsidP="00B06AA1">
            <w:pPr>
              <w:pStyle w:val="Default"/>
              <w:rPr>
                <w:rFonts w:ascii="Times New Roman" w:hAnsi="Times New Roman" w:cs="Times New Roman"/>
                <w:b/>
              </w:rPr>
            </w:pPr>
            <w:r w:rsidRPr="003B7164">
              <w:rPr>
                <w:rFonts w:ascii="Times New Roman" w:hAnsi="Times New Roman" w:cs="Times New Roman"/>
                <w:b/>
              </w:rPr>
              <w:t xml:space="preserve">Staff or Contractor </w:t>
            </w:r>
          </w:p>
        </w:tc>
        <w:tc>
          <w:tcPr>
            <w:tcW w:w="1710" w:type="dxa"/>
            <w:tcBorders>
              <w:top w:val="single" w:sz="6" w:space="0" w:color="000000"/>
              <w:left w:val="single" w:sz="4" w:space="0" w:color="000000"/>
              <w:bottom w:val="single" w:sz="4" w:space="0" w:color="000000"/>
              <w:right w:val="single" w:sz="4" w:space="0" w:color="000000"/>
            </w:tcBorders>
          </w:tcPr>
          <w:p w:rsidR="003B7164" w:rsidRPr="003B7164" w:rsidRDefault="003B7164" w:rsidP="00B06AA1">
            <w:pPr>
              <w:pStyle w:val="Default"/>
              <w:jc w:val="center"/>
              <w:rPr>
                <w:rFonts w:ascii="Times New Roman" w:hAnsi="Times New Roman" w:cs="Times New Roman"/>
                <w:b/>
              </w:rPr>
            </w:pPr>
            <w:r w:rsidRPr="003B7164">
              <w:rPr>
                <w:rFonts w:ascii="Times New Roman" w:hAnsi="Times New Roman" w:cs="Times New Roman"/>
                <w:b/>
                <w:i/>
                <w:iCs/>
              </w:rPr>
              <w:t xml:space="preserve">Hours </w:t>
            </w:r>
          </w:p>
        </w:tc>
        <w:tc>
          <w:tcPr>
            <w:tcW w:w="1980" w:type="dxa"/>
            <w:tcBorders>
              <w:top w:val="single" w:sz="6"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b/>
              </w:rPr>
            </w:pPr>
            <w:r w:rsidRPr="003B7164">
              <w:rPr>
                <w:rFonts w:ascii="Times New Roman" w:hAnsi="Times New Roman" w:cs="Times New Roman"/>
                <w:b/>
                <w:i/>
                <w:iCs/>
              </w:rPr>
              <w:t xml:space="preserve">Average Hourly Rate </w:t>
            </w:r>
          </w:p>
        </w:tc>
        <w:tc>
          <w:tcPr>
            <w:tcW w:w="1080" w:type="dxa"/>
            <w:tcBorders>
              <w:top w:val="single" w:sz="6"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b/>
              </w:rPr>
            </w:pPr>
            <w:r w:rsidRPr="003B7164">
              <w:rPr>
                <w:rFonts w:ascii="Times New Roman" w:hAnsi="Times New Roman" w:cs="Times New Roman"/>
                <w:b/>
                <w:i/>
                <w:iCs/>
              </w:rPr>
              <w:t xml:space="preserve">Cost </w:t>
            </w:r>
          </w:p>
        </w:tc>
      </w:tr>
      <w:tr w:rsidR="003B7164" w:rsidRPr="00E669FA" w:rsidTr="003B7164">
        <w:trPr>
          <w:trHeight w:val="233"/>
        </w:trPr>
        <w:tc>
          <w:tcPr>
            <w:tcW w:w="4878" w:type="dxa"/>
            <w:tcBorders>
              <w:top w:val="single" w:sz="4" w:space="0" w:color="000000"/>
              <w:left w:val="single" w:sz="4" w:space="0" w:color="000000"/>
              <w:bottom w:val="single" w:sz="4" w:space="0" w:color="000000"/>
              <w:right w:val="single" w:sz="4" w:space="0" w:color="000000"/>
            </w:tcBorders>
          </w:tcPr>
          <w:p w:rsidR="003B7164" w:rsidRPr="003B7164" w:rsidRDefault="003B7164" w:rsidP="003B7164">
            <w:pPr>
              <w:pStyle w:val="Default"/>
              <w:rPr>
                <w:rFonts w:ascii="Times New Roman" w:hAnsi="Times New Roman" w:cs="Times New Roman"/>
              </w:rPr>
            </w:pPr>
            <w:r w:rsidRPr="003B7164">
              <w:rPr>
                <w:rFonts w:ascii="Times New Roman" w:hAnsi="Times New Roman" w:cs="Times New Roman"/>
              </w:rPr>
              <w:t>Northrop Grumman Project Team</w:t>
            </w:r>
          </w:p>
        </w:tc>
        <w:tc>
          <w:tcPr>
            <w:tcW w:w="171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rPr>
            </w:pPr>
            <w:r w:rsidRPr="003B7164">
              <w:rPr>
                <w:rFonts w:ascii="Times New Roman" w:hAnsi="Times New Roman" w:cs="Times New Roman"/>
              </w:rPr>
              <w:t>138.5</w:t>
            </w:r>
          </w:p>
        </w:tc>
        <w:tc>
          <w:tcPr>
            <w:tcW w:w="19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3B7164">
            <w:pPr>
              <w:pStyle w:val="Default"/>
              <w:jc w:val="center"/>
              <w:rPr>
                <w:rFonts w:ascii="Times New Roman" w:hAnsi="Times New Roman" w:cs="Times New Roman"/>
              </w:rPr>
            </w:pPr>
            <w:r w:rsidRPr="003B7164">
              <w:rPr>
                <w:rFonts w:ascii="Times New Roman" w:hAnsi="Times New Roman" w:cs="Times New Roman"/>
              </w:rPr>
              <w:t>$85.06</w:t>
            </w:r>
          </w:p>
        </w:tc>
        <w:tc>
          <w:tcPr>
            <w:tcW w:w="10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3B7164">
            <w:pPr>
              <w:pStyle w:val="Default"/>
              <w:jc w:val="center"/>
              <w:rPr>
                <w:rFonts w:ascii="Times New Roman" w:hAnsi="Times New Roman" w:cs="Times New Roman"/>
              </w:rPr>
            </w:pPr>
            <w:r w:rsidRPr="003B7164">
              <w:rPr>
                <w:rFonts w:ascii="Times New Roman" w:hAnsi="Times New Roman" w:cs="Times New Roman"/>
              </w:rPr>
              <w:t>$11,781</w:t>
            </w:r>
          </w:p>
        </w:tc>
      </w:tr>
      <w:tr w:rsidR="003B7164" w:rsidRPr="00E669FA" w:rsidTr="003B7164">
        <w:trPr>
          <w:trHeight w:val="233"/>
        </w:trPr>
        <w:tc>
          <w:tcPr>
            <w:tcW w:w="4878" w:type="dxa"/>
            <w:tcBorders>
              <w:top w:val="single" w:sz="4" w:space="0" w:color="000000"/>
              <w:left w:val="single" w:sz="4" w:space="0" w:color="000000"/>
              <w:bottom w:val="single" w:sz="4" w:space="0" w:color="000000"/>
              <w:right w:val="single" w:sz="4" w:space="0" w:color="000000"/>
            </w:tcBorders>
          </w:tcPr>
          <w:p w:rsidR="003B7164" w:rsidRPr="003B7164" w:rsidRDefault="003B7164" w:rsidP="003B7164">
            <w:pPr>
              <w:pStyle w:val="Default"/>
              <w:rPr>
                <w:rFonts w:ascii="Times New Roman" w:hAnsi="Times New Roman" w:cs="Times New Roman"/>
              </w:rPr>
            </w:pPr>
            <w:r w:rsidRPr="003B7164">
              <w:rPr>
                <w:rFonts w:ascii="Times New Roman" w:hAnsi="Times New Roman" w:cs="Times New Roman"/>
              </w:rPr>
              <w:lastRenderedPageBreak/>
              <w:t>John Parmer (FTE)</w:t>
            </w:r>
          </w:p>
        </w:tc>
        <w:tc>
          <w:tcPr>
            <w:tcW w:w="171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rPr>
            </w:pPr>
            <w:r w:rsidRPr="003B7164">
              <w:rPr>
                <w:rFonts w:ascii="Times New Roman" w:hAnsi="Times New Roman" w:cs="Times New Roman"/>
              </w:rPr>
              <w:t>30</w:t>
            </w:r>
          </w:p>
        </w:tc>
        <w:tc>
          <w:tcPr>
            <w:tcW w:w="19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3B7164">
            <w:pPr>
              <w:pStyle w:val="Default"/>
              <w:jc w:val="center"/>
              <w:rPr>
                <w:rFonts w:ascii="Times New Roman" w:hAnsi="Times New Roman" w:cs="Times New Roman"/>
              </w:rPr>
            </w:pPr>
            <w:r w:rsidRPr="003B7164">
              <w:rPr>
                <w:rFonts w:ascii="Times New Roman" w:hAnsi="Times New Roman" w:cs="Times New Roman"/>
              </w:rPr>
              <w:t>$60</w:t>
            </w:r>
          </w:p>
        </w:tc>
        <w:tc>
          <w:tcPr>
            <w:tcW w:w="10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3B7164">
            <w:pPr>
              <w:pStyle w:val="Default"/>
              <w:jc w:val="center"/>
              <w:rPr>
                <w:rFonts w:ascii="Times New Roman" w:hAnsi="Times New Roman" w:cs="Times New Roman"/>
              </w:rPr>
            </w:pPr>
            <w:r w:rsidRPr="003B7164">
              <w:rPr>
                <w:rFonts w:ascii="Times New Roman" w:hAnsi="Times New Roman" w:cs="Times New Roman"/>
              </w:rPr>
              <w:t>$1,800</w:t>
            </w:r>
          </w:p>
        </w:tc>
      </w:tr>
      <w:tr w:rsidR="003B7164" w:rsidRPr="00913104" w:rsidTr="003B7164">
        <w:trPr>
          <w:trHeight w:val="125"/>
        </w:trPr>
        <w:tc>
          <w:tcPr>
            <w:tcW w:w="4878"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rPr>
                <w:rFonts w:ascii="Times New Roman" w:hAnsi="Times New Roman" w:cs="Times New Roman"/>
              </w:rPr>
            </w:pPr>
            <w:r w:rsidRPr="003B7164">
              <w:rPr>
                <w:rFonts w:ascii="Times New Roman" w:hAnsi="Times New Roman" w:cs="Times New Roman"/>
              </w:rPr>
              <w:t>Cynthia Baur  (FTE)</w:t>
            </w:r>
          </w:p>
        </w:tc>
        <w:tc>
          <w:tcPr>
            <w:tcW w:w="171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rPr>
            </w:pPr>
            <w:r w:rsidRPr="003B7164">
              <w:rPr>
                <w:rFonts w:ascii="Times New Roman" w:hAnsi="Times New Roman" w:cs="Times New Roman"/>
              </w:rPr>
              <w:t>10</w:t>
            </w:r>
          </w:p>
        </w:tc>
        <w:tc>
          <w:tcPr>
            <w:tcW w:w="19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rPr>
            </w:pPr>
            <w:r w:rsidRPr="003B7164">
              <w:rPr>
                <w:rFonts w:ascii="Times New Roman" w:hAnsi="Times New Roman" w:cs="Times New Roman"/>
              </w:rPr>
              <w:t>$75</w:t>
            </w:r>
          </w:p>
        </w:tc>
        <w:tc>
          <w:tcPr>
            <w:tcW w:w="10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3B7164">
            <w:pPr>
              <w:pStyle w:val="Default"/>
              <w:jc w:val="center"/>
              <w:rPr>
                <w:rFonts w:ascii="Times New Roman" w:hAnsi="Times New Roman" w:cs="Times New Roman"/>
              </w:rPr>
            </w:pPr>
            <w:r w:rsidRPr="003B7164">
              <w:rPr>
                <w:rFonts w:ascii="Times New Roman" w:hAnsi="Times New Roman" w:cs="Times New Roman"/>
              </w:rPr>
              <w:t>$750</w:t>
            </w:r>
          </w:p>
        </w:tc>
      </w:tr>
      <w:tr w:rsidR="003B7164" w:rsidTr="003B7164">
        <w:trPr>
          <w:trHeight w:val="125"/>
        </w:trPr>
        <w:tc>
          <w:tcPr>
            <w:tcW w:w="4878"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rPr>
                <w:rFonts w:ascii="Times New Roman" w:hAnsi="Times New Roman" w:cs="Times New Roman"/>
                <w:b/>
              </w:rPr>
            </w:pPr>
            <w:r w:rsidRPr="003B7164">
              <w:rPr>
                <w:rFonts w:ascii="Times New Roman" w:hAnsi="Times New Roman" w:cs="Times New Roman"/>
                <w:b/>
              </w:rPr>
              <w:t>Totals</w:t>
            </w:r>
          </w:p>
        </w:tc>
        <w:tc>
          <w:tcPr>
            <w:tcW w:w="171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b/>
              </w:rPr>
            </w:pPr>
            <w:r w:rsidRPr="003B7164">
              <w:rPr>
                <w:rFonts w:ascii="Times New Roman" w:hAnsi="Times New Roman" w:cs="Times New Roman"/>
                <w:b/>
              </w:rPr>
              <w:t>178.5</w:t>
            </w:r>
          </w:p>
        </w:tc>
        <w:tc>
          <w:tcPr>
            <w:tcW w:w="19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B06AA1">
            <w:pPr>
              <w:pStyle w:val="Default"/>
              <w:jc w:val="center"/>
              <w:rPr>
                <w:rFonts w:ascii="Times New Roman" w:hAnsi="Times New Roman" w:cs="Times New Roman"/>
                <w:b/>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B7164" w:rsidRPr="003B7164" w:rsidRDefault="003B7164" w:rsidP="003B7164">
            <w:pPr>
              <w:pStyle w:val="Default"/>
              <w:jc w:val="center"/>
              <w:rPr>
                <w:rFonts w:ascii="Times New Roman" w:hAnsi="Times New Roman" w:cs="Times New Roman"/>
                <w:b/>
              </w:rPr>
            </w:pPr>
            <w:r w:rsidRPr="003B7164">
              <w:rPr>
                <w:rFonts w:ascii="Times New Roman" w:hAnsi="Times New Roman" w:cs="Times New Roman"/>
                <w:b/>
              </w:rPr>
              <w:t>$14,331</w:t>
            </w:r>
          </w:p>
        </w:tc>
      </w:tr>
    </w:tbl>
    <w:p w:rsidR="003B7164" w:rsidRDefault="003B7164">
      <w:pPr>
        <w:rPr>
          <w:b/>
        </w:rPr>
      </w:pP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Pr="000B7628" w:rsidRDefault="0069403B" w:rsidP="0069403B">
      <w:pPr>
        <w:pStyle w:val="ListParagraph"/>
        <w:numPr>
          <w:ilvl w:val="0"/>
          <w:numId w:val="15"/>
        </w:numPr>
      </w:pPr>
      <w:r w:rsidRPr="000B7628">
        <w:t>Do you have a customer list or something similar that defines the universe of potential respondents</w:t>
      </w:r>
      <w:r w:rsidR="00636621" w:rsidRPr="000B7628">
        <w:t xml:space="preserve"> and do you have a sampling plan for selecting from this universe</w:t>
      </w:r>
      <w:r w:rsidRPr="000B7628">
        <w:t>?</w:t>
      </w:r>
      <w:r w:rsidRPr="000B7628">
        <w:tab/>
      </w:r>
      <w:r w:rsidRPr="000B7628">
        <w:tab/>
      </w:r>
      <w:r w:rsidRPr="000B7628">
        <w:tab/>
      </w:r>
      <w:r w:rsidRPr="000B7628">
        <w:tab/>
      </w:r>
      <w:r w:rsidRPr="000B7628">
        <w:tab/>
      </w:r>
      <w:r w:rsidRPr="000B7628">
        <w:tab/>
      </w:r>
      <w:r w:rsidRPr="000B7628">
        <w:tab/>
      </w:r>
      <w:r w:rsidRPr="000B7628">
        <w:tab/>
      </w:r>
      <w:r w:rsidR="00636621" w:rsidRPr="000B7628">
        <w:tab/>
      </w:r>
      <w:r w:rsidR="00636621" w:rsidRPr="000B7628">
        <w:tab/>
      </w:r>
      <w:r w:rsidR="00636621" w:rsidRPr="000B7628">
        <w:tab/>
      </w:r>
      <w:r w:rsidR="00C8611D" w:rsidRPr="000B7628">
        <w:t>[X</w:t>
      </w:r>
      <w:r w:rsidRPr="000B7628">
        <w:t>] Yes</w:t>
      </w:r>
      <w:r w:rsidRPr="000B7628">
        <w:tab/>
        <w:t>[</w:t>
      </w:r>
      <w:r w:rsidR="00C8611D" w:rsidRPr="000B7628">
        <w:t xml:space="preserve"> </w:t>
      </w:r>
      <w:r w:rsidR="00001981" w:rsidRPr="000B7628">
        <w:t>]</w:t>
      </w:r>
      <w:r w:rsidRPr="000B7628">
        <w:t>No</w:t>
      </w:r>
    </w:p>
    <w:p w:rsidR="00636621" w:rsidRPr="000B7628" w:rsidRDefault="00636621" w:rsidP="00636621">
      <w:pPr>
        <w:pStyle w:val="ListParagraph"/>
      </w:pPr>
    </w:p>
    <w:p w:rsidR="00636621" w:rsidRDefault="00636621" w:rsidP="001B0AAA">
      <w:r w:rsidRPr="000B7628">
        <w:t>If the answer is yes, please provide a description of both below</w:t>
      </w:r>
      <w:r w:rsidR="00A403BB" w:rsidRPr="000B7628">
        <w:t xml:space="preserve"> (or attach the sampling plan)</w:t>
      </w:r>
      <w:r w:rsidR="00C8611D" w:rsidRPr="000B7628">
        <w:t xml:space="preserve">. </w:t>
      </w:r>
      <w:r w:rsidRPr="000B7628">
        <w:t xml:space="preserve"> If the answer is no, please provide a description of how you plan to identify your potential group of respondents</w:t>
      </w:r>
      <w:r w:rsidR="001B0AAA" w:rsidRPr="000B7628">
        <w:t xml:space="preserve"> and how you will select them</w:t>
      </w:r>
      <w:r w:rsidRPr="000B7628">
        <w:t>?</w:t>
      </w:r>
    </w:p>
    <w:p w:rsidR="00A403BB" w:rsidRDefault="00A403BB" w:rsidP="00A403BB">
      <w:pPr>
        <w:pStyle w:val="ListParagraph"/>
      </w:pPr>
    </w:p>
    <w:p w:rsidR="00C8611D" w:rsidRDefault="00A278EF" w:rsidP="00A403BB">
      <w:r>
        <w:t xml:space="preserve">Survey links will be disseminated via 7 GovDelivery accounts that belong to CDC </w:t>
      </w:r>
      <w:r w:rsidR="008B6A34">
        <w:t>Centers, Institute or O</w:t>
      </w:r>
      <w:r>
        <w:t xml:space="preserve">ffices and are related to the fact sheet topics. Each GovDelivery subscriber list will be split, with half of the list receiving the link for version A and the other </w:t>
      </w:r>
      <w:proofErr w:type="gramStart"/>
      <w:r>
        <w:t>half receiving</w:t>
      </w:r>
      <w:proofErr w:type="gramEnd"/>
      <w:r>
        <w:t xml:space="preserve"> the link for version B. The surveys will be taken down after 50 responses are received for each of the 14 fact sheet versions or after 7 days have passed, whichever comes first. </w:t>
      </w:r>
    </w:p>
    <w:p w:rsidR="00C8611D" w:rsidRDefault="00C8611D" w:rsidP="00A403BB"/>
    <w:p w:rsidR="004D6E14" w:rsidRDefault="004D6E14" w:rsidP="00A403BB">
      <w:pPr>
        <w:rPr>
          <w:b/>
        </w:rPr>
      </w:pPr>
    </w:p>
    <w:p w:rsidR="00A403BB" w:rsidRDefault="00A403BB" w:rsidP="00A403BB">
      <w:pPr>
        <w:rPr>
          <w:b/>
        </w:rPr>
      </w:pPr>
      <w:r>
        <w:rPr>
          <w:b/>
        </w:rPr>
        <w:t>Administration of the Instrument</w:t>
      </w:r>
    </w:p>
    <w:p w:rsidR="006D1056" w:rsidRDefault="006D1056"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C44133">
        <w:t>x</w:t>
      </w:r>
      <w:proofErr w:type="gramEnd"/>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6D1056" w:rsidRDefault="006D1056" w:rsidP="001B0AAA">
      <w:pPr>
        <w:ind w:left="720"/>
      </w:pPr>
    </w:p>
    <w:p w:rsidR="006D1056" w:rsidRDefault="006D1056" w:rsidP="001B0AAA">
      <w:pPr>
        <w:ind w:left="720"/>
      </w:pPr>
    </w:p>
    <w:p w:rsidR="00943728" w:rsidRDefault="00F24CFC" w:rsidP="00B51948">
      <w:pPr>
        <w:pStyle w:val="ListParagraph"/>
        <w:numPr>
          <w:ilvl w:val="0"/>
          <w:numId w:val="17"/>
        </w:numPr>
      </w:pPr>
      <w:r>
        <w:t>Will interviewers or fac</w:t>
      </w:r>
      <w:r w:rsidR="00C44133">
        <w:t>ilitators be used?  [  ] Yes [ x</w:t>
      </w:r>
      <w:r>
        <w:t>] No</w:t>
      </w:r>
    </w:p>
    <w:p w:rsidR="008B6A34" w:rsidRPr="00943728" w:rsidRDefault="00B51948" w:rsidP="00943728">
      <w:r w:rsidRPr="00943728">
        <w:rPr>
          <w:b/>
        </w:rPr>
        <w:t>Please make sure that all instruments, instructions, and scripts are submitted with the request.</w:t>
      </w:r>
      <w:bookmarkStart w:id="0" w:name="_GoBack"/>
      <w:bookmarkEnd w:id="0"/>
    </w:p>
    <w:sectPr w:rsidR="008B6A34" w:rsidRPr="00943728"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644" w:rsidRDefault="00E81644">
      <w:r>
        <w:separator/>
      </w:r>
    </w:p>
  </w:endnote>
  <w:endnote w:type="continuationSeparator" w:id="0">
    <w:p w:rsidR="00E81644" w:rsidRDefault="00E8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66D" w:rsidRDefault="0064366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05CC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644" w:rsidRDefault="00E81644">
      <w:r>
        <w:separator/>
      </w:r>
    </w:p>
  </w:footnote>
  <w:footnote w:type="continuationSeparator" w:id="0">
    <w:p w:rsidR="00E81644" w:rsidRDefault="00E816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B2272F"/>
    <w:multiLevelType w:val="hybridMultilevel"/>
    <w:tmpl w:val="2E84DFC2"/>
    <w:lvl w:ilvl="0" w:tplc="A2C4BF44">
      <w:start w:val="1"/>
      <w:numFmt w:val="bullet"/>
      <w:lvlText w:val=""/>
      <w:lvlJc w:val="left"/>
      <w:pPr>
        <w:ind w:left="1584" w:hanging="360"/>
      </w:pPr>
      <w:rPr>
        <w:rFonts w:ascii="Symbol" w:hAnsi="Symbol" w:hint="default"/>
        <w:sz w:val="24"/>
        <w:szCs w:val="2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0DA68AE"/>
    <w:multiLevelType w:val="hybridMultilevel"/>
    <w:tmpl w:val="7996D3B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3F840C5"/>
    <w:multiLevelType w:val="hybridMultilevel"/>
    <w:tmpl w:val="313E692E"/>
    <w:lvl w:ilvl="0" w:tplc="A2C4BF44">
      <w:start w:val="1"/>
      <w:numFmt w:val="bullet"/>
      <w:lvlText w:val=""/>
      <w:lvlJc w:val="left"/>
      <w:pPr>
        <w:ind w:left="1584" w:hanging="360"/>
      </w:pPr>
      <w:rPr>
        <w:rFonts w:ascii="Symbol" w:hAnsi="Symbol" w:hint="default"/>
        <w:sz w:val="24"/>
        <w:szCs w:val="2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D83604E"/>
    <w:multiLevelType w:val="hybridMultilevel"/>
    <w:tmpl w:val="98BC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18"/>
  </w:num>
  <w:num w:numId="4">
    <w:abstractNumId w:val="20"/>
  </w:num>
  <w:num w:numId="5">
    <w:abstractNumId w:val="3"/>
  </w:num>
  <w:num w:numId="6">
    <w:abstractNumId w:val="1"/>
  </w:num>
  <w:num w:numId="7">
    <w:abstractNumId w:val="10"/>
  </w:num>
  <w:num w:numId="8">
    <w:abstractNumId w:val="15"/>
  </w:num>
  <w:num w:numId="9">
    <w:abstractNumId w:val="11"/>
  </w:num>
  <w:num w:numId="10">
    <w:abstractNumId w:val="2"/>
  </w:num>
  <w:num w:numId="11">
    <w:abstractNumId w:val="6"/>
  </w:num>
  <w:num w:numId="12">
    <w:abstractNumId w:val="8"/>
  </w:num>
  <w:num w:numId="13">
    <w:abstractNumId w:val="0"/>
  </w:num>
  <w:num w:numId="14">
    <w:abstractNumId w:val="17"/>
  </w:num>
  <w:num w:numId="15">
    <w:abstractNumId w:val="14"/>
  </w:num>
  <w:num w:numId="16">
    <w:abstractNumId w:val="13"/>
  </w:num>
  <w:num w:numId="17">
    <w:abstractNumId w:val="4"/>
  </w:num>
  <w:num w:numId="18">
    <w:abstractNumId w:val="5"/>
  </w:num>
  <w:num w:numId="19">
    <w:abstractNumId w:val="9"/>
  </w:num>
  <w:num w:numId="20">
    <w:abstractNumId w:val="21"/>
  </w:num>
  <w:num w:numId="21">
    <w:abstractNumId w:val="1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1981"/>
    <w:rsid w:val="0000530F"/>
    <w:rsid w:val="0001027E"/>
    <w:rsid w:val="00023A57"/>
    <w:rsid w:val="0003134F"/>
    <w:rsid w:val="00047A64"/>
    <w:rsid w:val="00067329"/>
    <w:rsid w:val="00095D02"/>
    <w:rsid w:val="000B2838"/>
    <w:rsid w:val="000B7628"/>
    <w:rsid w:val="000D44CA"/>
    <w:rsid w:val="000E200B"/>
    <w:rsid w:val="000F0112"/>
    <w:rsid w:val="000F68BE"/>
    <w:rsid w:val="00142C72"/>
    <w:rsid w:val="00160EA1"/>
    <w:rsid w:val="001927A4"/>
    <w:rsid w:val="00194AC6"/>
    <w:rsid w:val="001A23B0"/>
    <w:rsid w:val="001A25CC"/>
    <w:rsid w:val="001B0AAA"/>
    <w:rsid w:val="001B4177"/>
    <w:rsid w:val="001C39F7"/>
    <w:rsid w:val="00237B48"/>
    <w:rsid w:val="0024521E"/>
    <w:rsid w:val="0025106A"/>
    <w:rsid w:val="00263C3D"/>
    <w:rsid w:val="00274D0B"/>
    <w:rsid w:val="00297D05"/>
    <w:rsid w:val="002A0E1E"/>
    <w:rsid w:val="002B052D"/>
    <w:rsid w:val="002B34CD"/>
    <w:rsid w:val="002B3C95"/>
    <w:rsid w:val="002D0B92"/>
    <w:rsid w:val="00322E74"/>
    <w:rsid w:val="003501C9"/>
    <w:rsid w:val="003717FD"/>
    <w:rsid w:val="003A14E2"/>
    <w:rsid w:val="003B7164"/>
    <w:rsid w:val="003C0065"/>
    <w:rsid w:val="003D5BBE"/>
    <w:rsid w:val="003E3C61"/>
    <w:rsid w:val="003E582E"/>
    <w:rsid w:val="003F1C5B"/>
    <w:rsid w:val="00400CBA"/>
    <w:rsid w:val="0041242E"/>
    <w:rsid w:val="00434E33"/>
    <w:rsid w:val="00441434"/>
    <w:rsid w:val="0045264C"/>
    <w:rsid w:val="004876EC"/>
    <w:rsid w:val="004973BD"/>
    <w:rsid w:val="004D6E14"/>
    <w:rsid w:val="004E493B"/>
    <w:rsid w:val="004F003B"/>
    <w:rsid w:val="005009B0"/>
    <w:rsid w:val="00550D7D"/>
    <w:rsid w:val="00561A1A"/>
    <w:rsid w:val="00576419"/>
    <w:rsid w:val="005A1006"/>
    <w:rsid w:val="005E6353"/>
    <w:rsid w:val="005E714A"/>
    <w:rsid w:val="005F31EE"/>
    <w:rsid w:val="005F693D"/>
    <w:rsid w:val="00612D40"/>
    <w:rsid w:val="006140A0"/>
    <w:rsid w:val="00622A6D"/>
    <w:rsid w:val="00636621"/>
    <w:rsid w:val="006369B0"/>
    <w:rsid w:val="00642B49"/>
    <w:rsid w:val="0064366D"/>
    <w:rsid w:val="00664328"/>
    <w:rsid w:val="006832D9"/>
    <w:rsid w:val="0069403B"/>
    <w:rsid w:val="006A2804"/>
    <w:rsid w:val="006B69FE"/>
    <w:rsid w:val="006D1056"/>
    <w:rsid w:val="006D5D4A"/>
    <w:rsid w:val="006E089C"/>
    <w:rsid w:val="006F3DDE"/>
    <w:rsid w:val="006F7244"/>
    <w:rsid w:val="00704678"/>
    <w:rsid w:val="007425E7"/>
    <w:rsid w:val="007F7080"/>
    <w:rsid w:val="00802607"/>
    <w:rsid w:val="008101A5"/>
    <w:rsid w:val="00813710"/>
    <w:rsid w:val="00822664"/>
    <w:rsid w:val="008228C3"/>
    <w:rsid w:val="00843796"/>
    <w:rsid w:val="008446A8"/>
    <w:rsid w:val="00862617"/>
    <w:rsid w:val="00895229"/>
    <w:rsid w:val="008B134A"/>
    <w:rsid w:val="008B2EB3"/>
    <w:rsid w:val="008B6A34"/>
    <w:rsid w:val="008C77D9"/>
    <w:rsid w:val="008F0203"/>
    <w:rsid w:val="008F27C1"/>
    <w:rsid w:val="008F50D4"/>
    <w:rsid w:val="008F63B5"/>
    <w:rsid w:val="009239AA"/>
    <w:rsid w:val="009324F1"/>
    <w:rsid w:val="00935ADA"/>
    <w:rsid w:val="00943728"/>
    <w:rsid w:val="00946B6C"/>
    <w:rsid w:val="00955A71"/>
    <w:rsid w:val="00955ECD"/>
    <w:rsid w:val="00956914"/>
    <w:rsid w:val="0096108F"/>
    <w:rsid w:val="0098404E"/>
    <w:rsid w:val="00984B40"/>
    <w:rsid w:val="00985B33"/>
    <w:rsid w:val="00986DE1"/>
    <w:rsid w:val="009B2A29"/>
    <w:rsid w:val="009C13B9"/>
    <w:rsid w:val="009C1D63"/>
    <w:rsid w:val="009D01A2"/>
    <w:rsid w:val="009E3023"/>
    <w:rsid w:val="009F5923"/>
    <w:rsid w:val="00A023FF"/>
    <w:rsid w:val="00A17A1F"/>
    <w:rsid w:val="00A278EF"/>
    <w:rsid w:val="00A403BB"/>
    <w:rsid w:val="00A426F7"/>
    <w:rsid w:val="00A55D4C"/>
    <w:rsid w:val="00A674DF"/>
    <w:rsid w:val="00A83A88"/>
    <w:rsid w:val="00A83AA6"/>
    <w:rsid w:val="00A934D6"/>
    <w:rsid w:val="00A9608B"/>
    <w:rsid w:val="00AE1809"/>
    <w:rsid w:val="00AE48FD"/>
    <w:rsid w:val="00AF1EC8"/>
    <w:rsid w:val="00B05CCF"/>
    <w:rsid w:val="00B277C2"/>
    <w:rsid w:val="00B3273D"/>
    <w:rsid w:val="00B33732"/>
    <w:rsid w:val="00B51948"/>
    <w:rsid w:val="00B80D76"/>
    <w:rsid w:val="00B824F4"/>
    <w:rsid w:val="00BA2105"/>
    <w:rsid w:val="00BA7E06"/>
    <w:rsid w:val="00BB43B5"/>
    <w:rsid w:val="00BB6219"/>
    <w:rsid w:val="00BD290F"/>
    <w:rsid w:val="00BD78CA"/>
    <w:rsid w:val="00C0623D"/>
    <w:rsid w:val="00C14CC4"/>
    <w:rsid w:val="00C33C52"/>
    <w:rsid w:val="00C40D8B"/>
    <w:rsid w:val="00C44133"/>
    <w:rsid w:val="00C465F2"/>
    <w:rsid w:val="00C7505E"/>
    <w:rsid w:val="00C8407A"/>
    <w:rsid w:val="00C8488C"/>
    <w:rsid w:val="00C8611D"/>
    <w:rsid w:val="00C86E91"/>
    <w:rsid w:val="00CA2650"/>
    <w:rsid w:val="00CB1078"/>
    <w:rsid w:val="00CB5B45"/>
    <w:rsid w:val="00CC4339"/>
    <w:rsid w:val="00CC6FAF"/>
    <w:rsid w:val="00CD142E"/>
    <w:rsid w:val="00CF6542"/>
    <w:rsid w:val="00D079F7"/>
    <w:rsid w:val="00D143B1"/>
    <w:rsid w:val="00D24698"/>
    <w:rsid w:val="00D32B59"/>
    <w:rsid w:val="00D55A6E"/>
    <w:rsid w:val="00D6383F"/>
    <w:rsid w:val="00D7000F"/>
    <w:rsid w:val="00DB0C9F"/>
    <w:rsid w:val="00DB59D0"/>
    <w:rsid w:val="00DC2630"/>
    <w:rsid w:val="00DC33D3"/>
    <w:rsid w:val="00DF0D6E"/>
    <w:rsid w:val="00DF5DAC"/>
    <w:rsid w:val="00E22D41"/>
    <w:rsid w:val="00E26329"/>
    <w:rsid w:val="00E40B50"/>
    <w:rsid w:val="00E50293"/>
    <w:rsid w:val="00E65FFC"/>
    <w:rsid w:val="00E66F4B"/>
    <w:rsid w:val="00E744EA"/>
    <w:rsid w:val="00E761E1"/>
    <w:rsid w:val="00E80951"/>
    <w:rsid w:val="00E81644"/>
    <w:rsid w:val="00E86CC6"/>
    <w:rsid w:val="00EB56B3"/>
    <w:rsid w:val="00ED6492"/>
    <w:rsid w:val="00EF2095"/>
    <w:rsid w:val="00EF6EE6"/>
    <w:rsid w:val="00F00F21"/>
    <w:rsid w:val="00F06866"/>
    <w:rsid w:val="00F15956"/>
    <w:rsid w:val="00F24CFC"/>
    <w:rsid w:val="00F3170F"/>
    <w:rsid w:val="00F51AC7"/>
    <w:rsid w:val="00F976B0"/>
    <w:rsid w:val="00FA2CDE"/>
    <w:rsid w:val="00FA6DE7"/>
    <w:rsid w:val="00FB3F31"/>
    <w:rsid w:val="00FC0A8E"/>
    <w:rsid w:val="00FE2FA6"/>
    <w:rsid w:val="00FE3DF2"/>
    <w:rsid w:val="00FE4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 w:type="paragraph" w:customStyle="1" w:styleId="Default">
    <w:name w:val="Default"/>
    <w:rsid w:val="003B7164"/>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6F4B"/>
    <w:rPr>
      <w:snapToGrid w:val="0"/>
      <w:sz w:val="24"/>
      <w:szCs w:val="24"/>
    </w:rPr>
  </w:style>
  <w:style w:type="paragraph" w:customStyle="1" w:styleId="RBodyText">
    <w:name w:val="R.Body Text"/>
    <w:qFormat/>
    <w:rsid w:val="00561A1A"/>
    <w:pPr>
      <w:spacing w:after="240"/>
    </w:pPr>
    <w:rPr>
      <w:rFonts w:cs="Times"/>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unhideWhenUsed/>
    <w:rsid w:val="001B4177"/>
    <w:rPr>
      <w:color w:val="0000FF"/>
      <w:u w:val="single"/>
    </w:rPr>
  </w:style>
  <w:style w:type="paragraph" w:customStyle="1" w:styleId="Default">
    <w:name w:val="Default"/>
    <w:rsid w:val="003B7164"/>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E66F4B"/>
    <w:rPr>
      <w:snapToGrid w:val="0"/>
      <w:sz w:val="24"/>
      <w:szCs w:val="24"/>
    </w:rPr>
  </w:style>
  <w:style w:type="paragraph" w:customStyle="1" w:styleId="RBodyText">
    <w:name w:val="R.Body Text"/>
    <w:qFormat/>
    <w:rsid w:val="00561A1A"/>
    <w:pPr>
      <w:spacing w:after="240"/>
    </w:pPr>
    <w:rPr>
      <w:rFonts w:cs="Time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614100">
      <w:bodyDiv w:val="1"/>
      <w:marLeft w:val="0"/>
      <w:marRight w:val="0"/>
      <w:marTop w:val="0"/>
      <w:marBottom w:val="0"/>
      <w:divBdr>
        <w:top w:val="none" w:sz="0" w:space="0" w:color="auto"/>
        <w:left w:val="none" w:sz="0" w:space="0" w:color="auto"/>
        <w:bottom w:val="none" w:sz="0" w:space="0" w:color="auto"/>
        <w:right w:val="none" w:sz="0" w:space="0" w:color="auto"/>
      </w:divBdr>
      <w:divsChild>
        <w:div w:id="694699655">
          <w:marLeft w:val="0"/>
          <w:marRight w:val="0"/>
          <w:marTop w:val="0"/>
          <w:marBottom w:val="0"/>
          <w:divBdr>
            <w:top w:val="none" w:sz="0" w:space="0" w:color="auto"/>
            <w:left w:val="none" w:sz="0" w:space="0" w:color="auto"/>
            <w:bottom w:val="none" w:sz="0" w:space="0" w:color="auto"/>
            <w:right w:val="none" w:sz="0" w:space="0" w:color="auto"/>
          </w:divBdr>
          <w:divsChild>
            <w:div w:id="1841307224">
              <w:marLeft w:val="0"/>
              <w:marRight w:val="0"/>
              <w:marTop w:val="0"/>
              <w:marBottom w:val="0"/>
              <w:divBdr>
                <w:top w:val="none" w:sz="0" w:space="0" w:color="auto"/>
                <w:left w:val="none" w:sz="0" w:space="0" w:color="auto"/>
                <w:bottom w:val="none" w:sz="0" w:space="0" w:color="auto"/>
                <w:right w:val="none" w:sz="0" w:space="0" w:color="auto"/>
              </w:divBdr>
              <w:divsChild>
                <w:div w:id="992640709">
                  <w:marLeft w:val="0"/>
                  <w:marRight w:val="0"/>
                  <w:marTop w:val="0"/>
                  <w:marBottom w:val="0"/>
                  <w:divBdr>
                    <w:top w:val="none" w:sz="0" w:space="0" w:color="auto"/>
                    <w:left w:val="none" w:sz="0" w:space="0" w:color="auto"/>
                    <w:bottom w:val="none" w:sz="0" w:space="0" w:color="auto"/>
                    <w:right w:val="none" w:sz="0" w:space="0" w:color="auto"/>
                  </w:divBdr>
                  <w:divsChild>
                    <w:div w:id="216473200">
                      <w:marLeft w:val="0"/>
                      <w:marRight w:val="0"/>
                      <w:marTop w:val="0"/>
                      <w:marBottom w:val="0"/>
                      <w:divBdr>
                        <w:top w:val="none" w:sz="0" w:space="0" w:color="auto"/>
                        <w:left w:val="none" w:sz="0" w:space="0" w:color="auto"/>
                        <w:bottom w:val="none" w:sz="0" w:space="0" w:color="auto"/>
                        <w:right w:val="none" w:sz="0" w:space="0" w:color="auto"/>
                      </w:divBdr>
                      <w:divsChild>
                        <w:div w:id="1074014658">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52891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1069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ccindex/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1226</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CDC User</cp:lastModifiedBy>
  <cp:revision>38</cp:revision>
  <cp:lastPrinted>2014-09-02T17:24:00Z</cp:lastPrinted>
  <dcterms:created xsi:type="dcterms:W3CDTF">2014-09-02T17:26:00Z</dcterms:created>
  <dcterms:modified xsi:type="dcterms:W3CDTF">2014-12-10T20:25:00Z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