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CE0" w:rsidRDefault="00F67145" w:rsidP="00FA4312">
      <w:pPr>
        <w:tabs>
          <w:tab w:val="left" w:pos="720"/>
        </w:tabs>
        <w:jc w:val="center"/>
        <w:rPr>
          <w:b/>
        </w:rPr>
      </w:pPr>
      <w:r>
        <w:rPr>
          <w:b/>
        </w:rPr>
        <w:t>SUPPORT</w:t>
      </w:r>
      <w:r w:rsidR="00A66C6B">
        <w:rPr>
          <w:b/>
        </w:rPr>
        <w:t>ING</w:t>
      </w:r>
      <w:r>
        <w:rPr>
          <w:b/>
        </w:rPr>
        <w:t xml:space="preserve"> STATEMENT</w:t>
      </w:r>
    </w:p>
    <w:p w:rsidR="00FA4312" w:rsidRDefault="00A70DC8" w:rsidP="00FA4312">
      <w:pPr>
        <w:tabs>
          <w:tab w:val="left" w:pos="720"/>
        </w:tabs>
        <w:jc w:val="center"/>
        <w:rPr>
          <w:b/>
        </w:rPr>
      </w:pPr>
      <w:r>
        <w:rPr>
          <w:b/>
        </w:rPr>
        <w:t>ALASKA COMMUNITY QUOTA ENTIT</w:t>
      </w:r>
      <w:r w:rsidR="008124FB">
        <w:rPr>
          <w:b/>
        </w:rPr>
        <w:t>Y</w:t>
      </w:r>
      <w:r>
        <w:rPr>
          <w:b/>
        </w:rPr>
        <w:t xml:space="preserve"> (CQE)</w:t>
      </w:r>
      <w:r w:rsidR="008124FB">
        <w:rPr>
          <w:b/>
        </w:rPr>
        <w:t xml:space="preserve"> PROGRAM</w:t>
      </w:r>
    </w:p>
    <w:p w:rsidR="00FA4312" w:rsidRDefault="00FA4312" w:rsidP="00FA4312">
      <w:pPr>
        <w:tabs>
          <w:tab w:val="left" w:pos="720"/>
        </w:tabs>
        <w:jc w:val="center"/>
        <w:rPr>
          <w:b/>
        </w:rPr>
      </w:pPr>
      <w:proofErr w:type="gramStart"/>
      <w:r>
        <w:rPr>
          <w:b/>
        </w:rPr>
        <w:t>OMB CONTROL NO.</w:t>
      </w:r>
      <w:proofErr w:type="gramEnd"/>
      <w:r>
        <w:rPr>
          <w:b/>
        </w:rPr>
        <w:t xml:space="preserve"> 0648-</w:t>
      </w:r>
      <w:r w:rsidR="00967B50">
        <w:rPr>
          <w:b/>
        </w:rPr>
        <w:t>0665</w:t>
      </w:r>
    </w:p>
    <w:p w:rsidR="006E7CE0" w:rsidRDefault="006E7CE0" w:rsidP="00FA4312">
      <w:pPr>
        <w:tabs>
          <w:tab w:val="left" w:pos="720"/>
        </w:tabs>
        <w:jc w:val="center"/>
        <w:rPr>
          <w:b/>
        </w:rPr>
      </w:pPr>
    </w:p>
    <w:p w:rsidR="000B5356" w:rsidRDefault="009D3720" w:rsidP="000A454B">
      <w:pPr>
        <w:tabs>
          <w:tab w:val="left" w:pos="720"/>
        </w:tabs>
      </w:pPr>
      <w:r w:rsidRPr="009D3720">
        <w:t xml:space="preserve">This </w:t>
      </w:r>
      <w:r w:rsidR="007578A3">
        <w:t xml:space="preserve">is a resubmission of a </w:t>
      </w:r>
      <w:r w:rsidRPr="009D3720">
        <w:t>revision of an existing information</w:t>
      </w:r>
      <w:r w:rsidR="00A66C6B">
        <w:t xml:space="preserve"> collection</w:t>
      </w:r>
      <w:r w:rsidR="007578A3">
        <w:t>,</w:t>
      </w:r>
      <w:r w:rsidRPr="009D3720">
        <w:t xml:space="preserve"> </w:t>
      </w:r>
      <w:r w:rsidR="007578A3">
        <w:t xml:space="preserve">with the final </w:t>
      </w:r>
      <w:r w:rsidR="00882200" w:rsidRPr="009D3720">
        <w:t xml:space="preserve">rule </w:t>
      </w:r>
    </w:p>
    <w:p w:rsidR="00882200" w:rsidRPr="00CF51D4" w:rsidRDefault="000A454B" w:rsidP="000A454B">
      <w:pPr>
        <w:tabs>
          <w:tab w:val="left" w:pos="720"/>
        </w:tabs>
      </w:pPr>
      <w:proofErr w:type="gramStart"/>
      <w:r w:rsidRPr="00CF51D4">
        <w:t>[</w:t>
      </w:r>
      <w:r w:rsidR="00882200" w:rsidRPr="00CF51D4">
        <w:t>RIN 0648-BD03].</w:t>
      </w:r>
      <w:proofErr w:type="gramEnd"/>
      <w:r w:rsidR="007578A3">
        <w:t xml:space="preserve"> No changes were made to this</w:t>
      </w:r>
      <w:r w:rsidR="00A94953">
        <w:t xml:space="preserve"> proposed</w:t>
      </w:r>
      <w:r w:rsidR="007578A3">
        <w:t xml:space="preserve"> information collection, based on comments or for any other reason. Question 8 provides detailed information on applicable comments and responses.</w:t>
      </w:r>
    </w:p>
    <w:p w:rsidR="00232888" w:rsidRPr="00CF51D4" w:rsidRDefault="00232888" w:rsidP="006E7CE0">
      <w:pPr>
        <w:tabs>
          <w:tab w:val="left" w:pos="720"/>
        </w:tabs>
      </w:pPr>
      <w:r w:rsidRPr="00CF51D4">
        <w:t xml:space="preserve"> </w:t>
      </w:r>
    </w:p>
    <w:p w:rsidR="009D3720" w:rsidRPr="00953FB5" w:rsidRDefault="0049120D" w:rsidP="009D3720">
      <w:pPr>
        <w:rPr>
          <w:b/>
          <w:bCs/>
        </w:rPr>
      </w:pPr>
      <w:r>
        <w:rPr>
          <w:b/>
          <w:bCs/>
        </w:rPr>
        <w:t>BACKGROUND</w:t>
      </w:r>
    </w:p>
    <w:p w:rsidR="009D3720" w:rsidRDefault="009D3720" w:rsidP="006E7CE0">
      <w:pPr>
        <w:tabs>
          <w:tab w:val="left" w:pos="720"/>
        </w:tabs>
        <w:rPr>
          <w:b/>
        </w:rPr>
      </w:pPr>
    </w:p>
    <w:p w:rsidR="00882200" w:rsidRDefault="00923525" w:rsidP="00FE4523">
      <w:r w:rsidRPr="00923525">
        <w:t xml:space="preserve">The groundfish fisheries in the Exclusive Economic Zone (EEZ) off Alaska are managed by the National Marine Fisheries Service (NMFS) under the authority of the </w:t>
      </w:r>
      <w:hyperlink r:id="rId9" w:history="1">
        <w:r w:rsidRPr="00656ACD">
          <w:rPr>
            <w:rStyle w:val="Hyperlink"/>
          </w:rPr>
          <w:t>Magnuson-Stevens Fishery Conservation and Management Act</w:t>
        </w:r>
        <w:r w:rsidR="00F547D6" w:rsidRPr="00656ACD">
          <w:rPr>
            <w:rStyle w:val="Hyperlink"/>
          </w:rPr>
          <w:t>,</w:t>
        </w:r>
      </w:hyperlink>
      <w:r w:rsidR="00F547D6">
        <w:t xml:space="preserve"> </w:t>
      </w:r>
      <w:r w:rsidR="00F547D6" w:rsidRPr="00405A9D">
        <w:t xml:space="preserve">16 U.S.C. 1801 </w:t>
      </w:r>
      <w:r w:rsidR="00F547D6" w:rsidRPr="00405A9D">
        <w:rPr>
          <w:i/>
        </w:rPr>
        <w:t>et seq</w:t>
      </w:r>
      <w:r w:rsidR="00F547D6" w:rsidRPr="00405A9D">
        <w:t>.</w:t>
      </w:r>
      <w:r w:rsidR="00F547D6">
        <w:t xml:space="preserve">, as amended in 2006 </w:t>
      </w:r>
      <w:r w:rsidRPr="00923525">
        <w:t>(</w:t>
      </w:r>
      <w:r>
        <w:t>Magnuson-Stevens Act</w:t>
      </w:r>
      <w:r w:rsidRPr="00923525">
        <w:t>).  Under the authority of the M</w:t>
      </w:r>
      <w:r>
        <w:t>agnuson-Stevens Act</w:t>
      </w:r>
      <w:r w:rsidRPr="00923525">
        <w:t xml:space="preserve">, the North Pacific Fishery Management Council (Council) developed </w:t>
      </w:r>
      <w:r w:rsidR="00882200" w:rsidRPr="00882200">
        <w:t>the Fishery Management Plan for Groundfish of the Bering Sea and Aleutian Islands</w:t>
      </w:r>
      <w:r w:rsidR="00A66C6B">
        <w:t xml:space="preserve"> (BSAI)</w:t>
      </w:r>
      <w:r w:rsidR="00551DD6">
        <w:t>, the Fishery Management Plan for Groundfish of the</w:t>
      </w:r>
      <w:r w:rsidR="00A92C22">
        <w:t xml:space="preserve"> </w:t>
      </w:r>
      <w:r w:rsidR="00551DD6">
        <w:t xml:space="preserve">Gulf of </w:t>
      </w:r>
      <w:r w:rsidR="00A92C22">
        <w:t>Alaska</w:t>
      </w:r>
      <w:r w:rsidR="00A66C6B">
        <w:t xml:space="preserve"> (GOA)</w:t>
      </w:r>
      <w:r w:rsidR="00A92C22">
        <w:t>,</w:t>
      </w:r>
      <w:r w:rsidR="00551DD6">
        <w:t xml:space="preserve"> a</w:t>
      </w:r>
      <w:r w:rsidR="00324F52">
        <w:t xml:space="preserve">nd </w:t>
      </w:r>
      <w:r w:rsidR="00121A99">
        <w:t xml:space="preserve">the Individual Fishing Quota </w:t>
      </w:r>
      <w:r w:rsidR="00551DD6">
        <w:t xml:space="preserve">(IFQ) </w:t>
      </w:r>
      <w:r w:rsidR="00882200" w:rsidRPr="00882200">
        <w:t xml:space="preserve">Program for the Fixed-Gear Commercial Fisheries for Pacific Halibut and Sablefish in Waters in and off Alaska.   </w:t>
      </w:r>
    </w:p>
    <w:p w:rsidR="00324F52" w:rsidRDefault="00324F52" w:rsidP="00FE4523"/>
    <w:p w:rsidR="00BD7A33" w:rsidRDefault="00923525" w:rsidP="00BD7A33">
      <w:r w:rsidRPr="00923525">
        <w:t>The Pacific halibut fishery off Alaska is managed by NMFS under the authority of the Northern Pacific Halibut Act of 1982, and in coordination with annual fishery management measures adopted by the International Pacific Halibut Commission (IPHC) under the Convention between the United States and Canada for the Preservation of the Halibut Fishery of the Northern Pacific Ocean and Bering Sea</w:t>
      </w:r>
      <w:r w:rsidR="00FE4523">
        <w:t xml:space="preserve"> (Convention)</w:t>
      </w:r>
      <w:r w:rsidRPr="00923525">
        <w:t xml:space="preserve">. </w:t>
      </w:r>
      <w:r w:rsidR="0025300A">
        <w:t xml:space="preserve">  </w:t>
      </w:r>
      <w:r w:rsidR="00BD7A33">
        <w:t>The IFQ Program</w:t>
      </w:r>
      <w:r w:rsidR="00BD7A33" w:rsidRPr="00464548">
        <w:t xml:space="preserve"> </w:t>
      </w:r>
      <w:r w:rsidR="00BD7A33">
        <w:t xml:space="preserve">provides </w:t>
      </w:r>
      <w:r w:rsidR="00BD7A33" w:rsidRPr="00464548">
        <w:t>a limited</w:t>
      </w:r>
      <w:r w:rsidR="00BD7A33">
        <w:t xml:space="preserve"> </w:t>
      </w:r>
      <w:r w:rsidR="00BD7A33" w:rsidRPr="00464548">
        <w:t xml:space="preserve">access system </w:t>
      </w:r>
      <w:r w:rsidR="00BD7A33">
        <w:t xml:space="preserve">for Pacific halibut </w:t>
      </w:r>
      <w:r w:rsidR="00BD7A33" w:rsidRPr="00464548">
        <w:t>in Convention waters in and off Alaska and sablefish fisheries in waters of the E</w:t>
      </w:r>
      <w:r w:rsidR="00BD7A33">
        <w:t xml:space="preserve">EZ </w:t>
      </w:r>
      <w:r w:rsidR="00BD7A33" w:rsidRPr="00464548">
        <w:t>off Alaska.</w:t>
      </w:r>
      <w:r w:rsidR="00BD7A33">
        <w:t xml:space="preserve">  R</w:t>
      </w:r>
      <w:r w:rsidR="00BD7A33" w:rsidRPr="007C4233">
        <w:t>egulations pursuant to the Convention</w:t>
      </w:r>
      <w:r w:rsidR="00BD7A33">
        <w:t xml:space="preserve"> are set</w:t>
      </w:r>
      <w:r w:rsidR="00E57A5C">
        <w:t xml:space="preserve"> </w:t>
      </w:r>
      <w:r w:rsidR="00BD7A33">
        <w:t xml:space="preserve">forth at </w:t>
      </w:r>
      <w:r w:rsidR="00BD7A33" w:rsidRPr="009466F2">
        <w:t>50 CFR 300.60 through 300.65</w:t>
      </w:r>
      <w:r w:rsidR="00BD7A33">
        <w:t xml:space="preserve">.  </w:t>
      </w:r>
      <w:r w:rsidR="00BD7A33" w:rsidRPr="005129B4">
        <w:t>Regulations</w:t>
      </w:r>
      <w:r w:rsidR="00BD7A33">
        <w:t xml:space="preserve"> </w:t>
      </w:r>
      <w:r w:rsidR="00551DD6">
        <w:t xml:space="preserve">for the </w:t>
      </w:r>
      <w:r w:rsidR="00BD7A33" w:rsidRPr="005129B4">
        <w:t>IFQ program are set</w:t>
      </w:r>
      <w:r w:rsidR="00BD7A33">
        <w:t xml:space="preserve"> </w:t>
      </w:r>
      <w:r w:rsidR="00BD7A33" w:rsidRPr="005129B4">
        <w:t xml:space="preserve">forth at </w:t>
      </w:r>
      <w:hyperlink r:id="rId10" w:history="1">
        <w:proofErr w:type="gramStart"/>
        <w:r w:rsidR="00BD7A33" w:rsidRPr="00656ACD">
          <w:rPr>
            <w:rStyle w:val="Hyperlink"/>
          </w:rPr>
          <w:t>50 CFR part</w:t>
        </w:r>
        <w:proofErr w:type="gramEnd"/>
        <w:r w:rsidR="00BD7A33" w:rsidRPr="00656ACD">
          <w:rPr>
            <w:rStyle w:val="Hyperlink"/>
          </w:rPr>
          <w:t xml:space="preserve"> 679</w:t>
        </w:r>
      </w:hyperlink>
      <w:r w:rsidR="00BD7A33" w:rsidRPr="005129B4">
        <w:t>.</w:t>
      </w:r>
      <w:r w:rsidR="00BD7A33">
        <w:t xml:space="preserve">  </w:t>
      </w:r>
    </w:p>
    <w:p w:rsidR="00A140B0" w:rsidRDefault="00A140B0" w:rsidP="00BD7A33"/>
    <w:p w:rsidR="00A140B0" w:rsidRDefault="00A140B0" w:rsidP="00C7431F">
      <w:pPr>
        <w:tabs>
          <w:tab w:val="left" w:pos="360"/>
          <w:tab w:val="left" w:pos="720"/>
          <w:tab w:val="left" w:pos="1080"/>
        </w:tabs>
      </w:pPr>
      <w:r w:rsidRPr="00A140B0">
        <w:t>The IFQ Program issu</w:t>
      </w:r>
      <w:r w:rsidR="00121A99">
        <w:t>es</w:t>
      </w:r>
      <w:r w:rsidRPr="00A140B0">
        <w:t xml:space="preserve"> </w:t>
      </w:r>
      <w:r w:rsidR="00121A99">
        <w:t>quota share (</w:t>
      </w:r>
      <w:r w:rsidRPr="00A140B0">
        <w:t>QS</w:t>
      </w:r>
      <w:r w:rsidR="00121A99">
        <w:t>)</w:t>
      </w:r>
      <w:r w:rsidRPr="00A140B0">
        <w:t xml:space="preserve"> to qualified persons</w:t>
      </w:r>
      <w:r w:rsidR="00C7431F">
        <w:t xml:space="preserve">.  </w:t>
      </w:r>
      <w:r w:rsidRPr="00A140B0">
        <w:t xml:space="preserve">Halibut QS </w:t>
      </w:r>
      <w:r w:rsidR="00C7431F">
        <w:t>i</w:t>
      </w:r>
      <w:r w:rsidRPr="00A140B0">
        <w:t xml:space="preserve">s issued specific to one of eight IPHC halibut management areas throughout the </w:t>
      </w:r>
      <w:r w:rsidR="00A66C6B">
        <w:t>BSAI</w:t>
      </w:r>
      <w:r w:rsidRPr="00A140B0">
        <w:t xml:space="preserve"> and </w:t>
      </w:r>
      <w:r w:rsidR="00A66C6B">
        <w:t>GOA</w:t>
      </w:r>
      <w:r w:rsidR="00B87672">
        <w:t xml:space="preserve">.  </w:t>
      </w:r>
      <w:r w:rsidRPr="00A140B0">
        <w:t xml:space="preserve">The amount of halibut and sablefish that each QS holder may harvest is calculated annually and issued as </w:t>
      </w:r>
      <w:r w:rsidR="00A92C22">
        <w:t>IFQ</w:t>
      </w:r>
      <w:r w:rsidRPr="00A140B0">
        <w:t xml:space="preserve"> in pounds.  </w:t>
      </w:r>
      <w:r w:rsidR="00B87672">
        <w:t xml:space="preserve">NMFS issues </w:t>
      </w:r>
      <w:r w:rsidRPr="00A140B0">
        <w:t>IFQ to persons holding Pacific halibut and sablefish QS or to those persons who are recipients of IFQ transfers from QS holders.</w:t>
      </w:r>
    </w:p>
    <w:p w:rsidR="00B87672" w:rsidRDefault="00B87672" w:rsidP="00C7431F">
      <w:pPr>
        <w:tabs>
          <w:tab w:val="left" w:pos="360"/>
          <w:tab w:val="left" w:pos="720"/>
          <w:tab w:val="left" w:pos="1080"/>
        </w:tabs>
      </w:pPr>
    </w:p>
    <w:p w:rsidR="0049120D" w:rsidRPr="0049120D" w:rsidRDefault="0049120D" w:rsidP="00C7431F">
      <w:pPr>
        <w:tabs>
          <w:tab w:val="left" w:pos="360"/>
          <w:tab w:val="left" w:pos="720"/>
          <w:tab w:val="left" w:pos="1080"/>
        </w:tabs>
        <w:rPr>
          <w:b/>
        </w:rPr>
      </w:pPr>
      <w:r w:rsidRPr="0049120D">
        <w:rPr>
          <w:b/>
        </w:rPr>
        <w:t>INTRODUCTION</w:t>
      </w:r>
    </w:p>
    <w:p w:rsidR="0049120D" w:rsidRDefault="0049120D" w:rsidP="00C7431F">
      <w:pPr>
        <w:tabs>
          <w:tab w:val="left" w:pos="360"/>
          <w:tab w:val="left" w:pos="720"/>
          <w:tab w:val="left" w:pos="1080"/>
        </w:tabs>
      </w:pPr>
    </w:p>
    <w:p w:rsidR="00414EAB" w:rsidRDefault="00B87672" w:rsidP="00414EAB">
      <w:r>
        <w:t xml:space="preserve">BSAI </w:t>
      </w:r>
      <w:r w:rsidR="00A92C22">
        <w:t xml:space="preserve">Amendment 102 </w:t>
      </w:r>
      <w:r w:rsidR="00E66754" w:rsidRPr="00E66754">
        <w:t>would create a Community Quota Entity (CQE) Program</w:t>
      </w:r>
      <w:r w:rsidR="00E66754">
        <w:t xml:space="preserve"> </w:t>
      </w:r>
      <w:r w:rsidR="0025300A" w:rsidRPr="0025300A">
        <w:t xml:space="preserve">in </w:t>
      </w:r>
      <w:r w:rsidR="00846126">
        <w:t xml:space="preserve">IPHC </w:t>
      </w:r>
      <w:r w:rsidR="0025300A" w:rsidRPr="0025300A">
        <w:t xml:space="preserve">halibut regulatory area 4B and sablefish Aleutian Islands regulatory area similar to the existing CQE Program in the GOA.  </w:t>
      </w:r>
      <w:r w:rsidR="00803506" w:rsidRPr="00803506">
        <w:t xml:space="preserve">This action </w:t>
      </w:r>
      <w:r w:rsidR="00803506">
        <w:t xml:space="preserve">would </w:t>
      </w:r>
      <w:r w:rsidR="00803506" w:rsidRPr="00803506">
        <w:t>modify the IFQ Program to allow non-profit entities t</w:t>
      </w:r>
      <w:r w:rsidR="00803506">
        <w:t>o</w:t>
      </w:r>
      <w:r w:rsidR="00803506" w:rsidRPr="00803506">
        <w:t xml:space="preserve"> represent small rural communities in the GOA with a historic participation in the halibut and sablefish fisheries to hold QS.</w:t>
      </w:r>
      <w:r w:rsidR="00803506">
        <w:t xml:space="preserve"> </w:t>
      </w:r>
      <w:r w:rsidR="00E66754">
        <w:t>Th</w:t>
      </w:r>
      <w:r w:rsidR="00846126">
        <w:t>is p</w:t>
      </w:r>
      <w:r w:rsidR="00E66754" w:rsidRPr="0025300A">
        <w:t xml:space="preserve">rogram </w:t>
      </w:r>
      <w:r w:rsidR="0025300A" w:rsidRPr="0025300A">
        <w:t xml:space="preserve">would allow an eligible community to establish a designated non-profit organization as a CQE to purchase halibut catcher vessel QS assigned to Area 4B, and sablefish QS assigned to the Aleutian Islands.  </w:t>
      </w:r>
      <w:r w:rsidR="00BC2284" w:rsidRPr="0025300A">
        <w:t>The</w:t>
      </w:r>
      <w:r w:rsidR="00BC2284">
        <w:t xml:space="preserve"> CQE is the holder of the QS</w:t>
      </w:r>
      <w:r w:rsidR="00BC2284" w:rsidRPr="0025300A">
        <w:t xml:space="preserve"> </w:t>
      </w:r>
      <w:r w:rsidR="00BC2284">
        <w:t>and w</w:t>
      </w:r>
      <w:r w:rsidR="00BC2284" w:rsidRPr="0025300A">
        <w:t xml:space="preserve">ould assign the resulting annual halibut and sablefish IFQ to participants according to defined CQE Program </w:t>
      </w:r>
      <w:r w:rsidR="00BC2284">
        <w:t>provisions</w:t>
      </w:r>
      <w:r w:rsidR="00BC2284" w:rsidRPr="0025300A">
        <w:t xml:space="preserve">.  </w:t>
      </w:r>
      <w:r w:rsidR="00414EAB">
        <w:t xml:space="preserve">This program structure creates a permanent asset for the </w:t>
      </w:r>
      <w:r w:rsidR="00414EAB">
        <w:lastRenderedPageBreak/>
        <w:t>community to use</w:t>
      </w:r>
      <w:r w:rsidR="007C5C58">
        <w:t xml:space="preserve"> by </w:t>
      </w:r>
      <w:r w:rsidR="00414EAB">
        <w:t>promot</w:t>
      </w:r>
      <w:r w:rsidR="007C5C58">
        <w:t>ing</w:t>
      </w:r>
      <w:r w:rsidR="00414EAB">
        <w:t xml:space="preserve"> community access to QS to generate participation in, and fishery revenues from, the commercial halibut and sablefish fisheries.</w:t>
      </w:r>
    </w:p>
    <w:p w:rsidR="00944B82" w:rsidRDefault="00944B82" w:rsidP="00414EAB"/>
    <w:p w:rsidR="00944B82" w:rsidRDefault="008E24FF" w:rsidP="00414EAB">
      <w:r>
        <w:t>The proposed</w:t>
      </w:r>
      <w:r w:rsidR="00944B82" w:rsidRPr="00944B82">
        <w:t xml:space="preserve"> action, known as “fish up,” was requested by industry stakeholders for Council reconsideration during a 2009 request for IFQ proposals. It was unanimously recommended by the IFQ Implementation Team in September 2009. The Council requested this analysis in February 2010. The Council first reviewed the draft analysis in December 2010. The Council selected its preferred alternative in April 2012.</w:t>
      </w:r>
    </w:p>
    <w:p w:rsidR="00742A9E" w:rsidRDefault="00742A9E" w:rsidP="00414EAB"/>
    <w:p w:rsidR="00F9575D" w:rsidRDefault="00742A9E" w:rsidP="00742A9E">
      <w:pPr>
        <w:keepNext/>
        <w:tabs>
          <w:tab w:val="left" w:pos="720"/>
        </w:tabs>
        <w:ind w:left="720" w:hanging="720"/>
        <w:rPr>
          <w:b/>
          <w:bCs/>
        </w:rPr>
      </w:pPr>
      <w:r>
        <w:rPr>
          <w:b/>
          <w:bCs/>
        </w:rPr>
        <w:t>A.</w:t>
      </w:r>
      <w:r w:rsidR="00F9575D">
        <w:rPr>
          <w:b/>
          <w:bCs/>
        </w:rPr>
        <w:tab/>
        <w:t>JUSTIFICATION</w:t>
      </w:r>
    </w:p>
    <w:p w:rsidR="00F9575D" w:rsidRDefault="00F9575D" w:rsidP="00742A9E">
      <w:pPr>
        <w:keepNext/>
      </w:pPr>
    </w:p>
    <w:p w:rsidR="00F9575D" w:rsidRDefault="00F9575D" w:rsidP="00742A9E">
      <w:pPr>
        <w:keepNext/>
      </w:pPr>
      <w:r>
        <w:rPr>
          <w:b/>
          <w:bCs/>
        </w:rPr>
        <w:t xml:space="preserve">1.  </w:t>
      </w:r>
      <w:r>
        <w:rPr>
          <w:b/>
          <w:bCs/>
          <w:u w:val="single"/>
        </w:rPr>
        <w:t>Explain the circumstances that make the collection of information necessary.</w:t>
      </w:r>
    </w:p>
    <w:p w:rsidR="00F9575D" w:rsidRDefault="00F9575D" w:rsidP="00F9575D"/>
    <w:p w:rsidR="002845F0" w:rsidRDefault="00323271" w:rsidP="00F9575D">
      <w:pPr>
        <w:rPr>
          <w:iCs/>
        </w:rPr>
      </w:pPr>
      <w:r>
        <w:t xml:space="preserve">With this action NMFS would add a new </w:t>
      </w:r>
      <w:r w:rsidR="00B73A4D">
        <w:t>CQE</w:t>
      </w:r>
      <w:r w:rsidR="009E1154">
        <w:t xml:space="preserve"> Program</w:t>
      </w:r>
      <w:r w:rsidR="00B73A4D">
        <w:t xml:space="preserve"> in IPHC halibut regulatory area 4B and sablefish </w:t>
      </w:r>
      <w:r>
        <w:t xml:space="preserve">Aleutian Islands </w:t>
      </w:r>
      <w:r w:rsidR="00B73A4D">
        <w:t xml:space="preserve">regulatory area similar to the existing CQE </w:t>
      </w:r>
      <w:r w:rsidR="009E1154">
        <w:t xml:space="preserve">Program </w:t>
      </w:r>
      <w:r w:rsidR="00B73A4D">
        <w:t>in the GOA</w:t>
      </w:r>
      <w:r>
        <w:t xml:space="preserve">.  </w:t>
      </w:r>
      <w:r w:rsidR="00B2462C">
        <w:rPr>
          <w:iCs/>
        </w:rPr>
        <w:t xml:space="preserve">NMFS </w:t>
      </w:r>
      <w:r w:rsidR="009C29EA">
        <w:rPr>
          <w:iCs/>
        </w:rPr>
        <w:t xml:space="preserve">would </w:t>
      </w:r>
      <w:r w:rsidR="009C29EA" w:rsidRPr="009C29EA">
        <w:rPr>
          <w:iCs/>
        </w:rPr>
        <w:t xml:space="preserve">implement </w:t>
      </w:r>
      <w:r w:rsidR="00E15E87">
        <w:rPr>
          <w:iCs/>
        </w:rPr>
        <w:t xml:space="preserve"> the new</w:t>
      </w:r>
      <w:r w:rsidR="00536C8A">
        <w:rPr>
          <w:iCs/>
        </w:rPr>
        <w:t xml:space="preserve"> CQE Program in the Aleutian Islands </w:t>
      </w:r>
      <w:r w:rsidR="00536C8A" w:rsidRPr="00536C8A">
        <w:rPr>
          <w:iCs/>
        </w:rPr>
        <w:t xml:space="preserve">to allow a </w:t>
      </w:r>
      <w:r w:rsidR="00B73A4D">
        <w:rPr>
          <w:iCs/>
        </w:rPr>
        <w:t xml:space="preserve">CQE </w:t>
      </w:r>
      <w:r w:rsidR="00536C8A" w:rsidRPr="00536C8A">
        <w:rPr>
          <w:iCs/>
        </w:rPr>
        <w:t>to purchase and hold catcher vessel QS on behalf of any rural community located adjacent to the coast of the Aleutian Islands (defined in regulations at § 679.2 as the Aleutian Islands Subarea of the BSAI)</w:t>
      </w:r>
      <w:r w:rsidR="00FC0406">
        <w:rPr>
          <w:iCs/>
        </w:rPr>
        <w:t>.</w:t>
      </w:r>
    </w:p>
    <w:p w:rsidR="00D15B31" w:rsidRDefault="00D15B31" w:rsidP="00F9575D">
      <w:pPr>
        <w:rPr>
          <w:b/>
          <w:bCs/>
        </w:rPr>
      </w:pPr>
    </w:p>
    <w:p w:rsidR="00C25318" w:rsidRPr="00C25318" w:rsidRDefault="00C25318" w:rsidP="00F9575D">
      <w:pPr>
        <w:rPr>
          <w:bCs/>
        </w:rPr>
      </w:pPr>
      <w:r w:rsidRPr="00C25318">
        <w:rPr>
          <w:bCs/>
        </w:rPr>
        <w:t xml:space="preserve">Since the military station closed on Adak in 1994, the Aleut Corporation and </w:t>
      </w:r>
      <w:r w:rsidR="00FC0406" w:rsidRPr="00FC0406">
        <w:rPr>
          <w:bCs/>
        </w:rPr>
        <w:t>Adak Community Development Corporation (ACDC)</w:t>
      </w:r>
      <w:r w:rsidRPr="00C25318">
        <w:rPr>
          <w:bCs/>
        </w:rPr>
        <w:t xml:space="preserve"> have invested significant effort into developing Adak as a commercial center and a civilian community with a private sector economy focused on commercial fishing.  As part of that strategy, Adak has pursued a broad range of fisheries development opportunities to encourage a resident fishing fleet and delivery to the shoreside processor located in Adak.  A CQE could add stability to shoreside processing operations which have been subject to periodic closure.</w:t>
      </w:r>
    </w:p>
    <w:p w:rsidR="00FC0406" w:rsidRDefault="00FC0406" w:rsidP="00F9575D">
      <w:pPr>
        <w:rPr>
          <w:b/>
          <w:bCs/>
        </w:rPr>
      </w:pPr>
    </w:p>
    <w:p w:rsidR="00F9575D" w:rsidRDefault="00F9575D" w:rsidP="00F9575D">
      <w:pPr>
        <w:rPr>
          <w:b/>
          <w:bCs/>
        </w:rPr>
      </w:pPr>
      <w:r>
        <w:rPr>
          <w:b/>
          <w:bCs/>
        </w:rPr>
        <w:t xml:space="preserve">2.  </w:t>
      </w:r>
      <w:r>
        <w:rPr>
          <w:lang w:val="en-CA"/>
        </w:rPr>
        <w:fldChar w:fldCharType="begin"/>
      </w:r>
      <w:r>
        <w:rPr>
          <w:lang w:val="en-CA"/>
        </w:rPr>
        <w:instrText xml:space="preserve"> SEQ CHAPTER \h \r 1</w:instrText>
      </w:r>
      <w:r>
        <w:rPr>
          <w:lang w:val="en-CA"/>
        </w:rPr>
        <w:fldChar w:fldCharType="end"/>
      </w:r>
      <w:r>
        <w:rPr>
          <w:b/>
          <w:bCs/>
          <w:u w:val="single"/>
        </w:rPr>
        <w:t xml:space="preserve">Explain how, by whom, how frequently, and for what purpose the information will be used.  </w:t>
      </w:r>
      <w:r>
        <w:rPr>
          <w:lang w:val="en-CA"/>
        </w:rPr>
        <w:fldChar w:fldCharType="begin"/>
      </w:r>
      <w:r>
        <w:rPr>
          <w:lang w:val="en-CA"/>
        </w:rPr>
        <w:instrText xml:space="preserve"> SEQ CHAPTER \h \r 1</w:instrText>
      </w:r>
      <w:r>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F9575D" w:rsidRDefault="00F9575D" w:rsidP="00F9575D">
      <w:pPr>
        <w:rPr>
          <w:b/>
          <w:bCs/>
        </w:rPr>
      </w:pPr>
    </w:p>
    <w:p w:rsidR="00214A70" w:rsidRDefault="00214A70" w:rsidP="00214A70">
      <w:pPr>
        <w:rPr>
          <w:bCs/>
        </w:rPr>
      </w:pPr>
      <w:r w:rsidRPr="00214A70">
        <w:rPr>
          <w:bCs/>
        </w:rPr>
        <w:t xml:space="preserve">The CQE Program allocates a portion of the quotas for groundfish, halibut, crab, and prohibited species in the BSAI.  Forty-two eligible Western Alaska communities are eligible in the IFQ Program:  21 are in Southeast Alaska (Area 2C) and 21 are in Southcentral Alaska (14 in Area 3A and 7 in Area 3B); an additional three communities are eligible, making a total of 45.  The allocations provide communities the means for starting or supporting commercial fisheries business activities that will result in an ongoing, regionally based, fisheries-related economy.  A non-profit corporate entity that meets specific criteria to receive transferred halibut or sablefish QS on behalf of an eligible community may lease the resulting IFQ to persons who are residents of the eligible community.  </w:t>
      </w:r>
    </w:p>
    <w:p w:rsidR="0068506A" w:rsidRPr="00214A70" w:rsidRDefault="0068506A" w:rsidP="00214A70">
      <w:pPr>
        <w:rPr>
          <w:bCs/>
        </w:rPr>
      </w:pPr>
    </w:p>
    <w:p w:rsidR="00F31BD8" w:rsidRDefault="000F5F87" w:rsidP="00F31BD8">
      <w:pPr>
        <w:tabs>
          <w:tab w:val="left" w:pos="360"/>
          <w:tab w:val="left" w:pos="720"/>
          <w:tab w:val="left" w:pos="1080"/>
        </w:tabs>
        <w:rPr>
          <w:bCs/>
        </w:rPr>
      </w:pPr>
      <w:r>
        <w:rPr>
          <w:bCs/>
        </w:rPr>
        <w:t xml:space="preserve">The community of Adak, Alaska, </w:t>
      </w:r>
      <w:r w:rsidR="00F31BD8" w:rsidRPr="00F31BD8">
        <w:rPr>
          <w:bCs/>
        </w:rPr>
        <w:t>would need to meet all the following criteria to participate in the proposed Aleutian Islands CQE Program</w:t>
      </w:r>
      <w:r w:rsidR="005C104A">
        <w:rPr>
          <w:bCs/>
        </w:rPr>
        <w:t xml:space="preserve">.  </w:t>
      </w:r>
      <w:r w:rsidR="005C104A" w:rsidRPr="00F31BD8">
        <w:rPr>
          <w:bCs/>
        </w:rPr>
        <w:t xml:space="preserve">These specific criteria for community eligibility, with the exception of </w:t>
      </w:r>
      <w:r w:rsidR="005C104A">
        <w:rPr>
          <w:bCs/>
        </w:rPr>
        <w:t xml:space="preserve">the first two </w:t>
      </w:r>
      <w:r w:rsidR="005C104A" w:rsidRPr="00F31BD8">
        <w:rPr>
          <w:bCs/>
        </w:rPr>
        <w:t>criteria, would be identical to those implemented for the GOA CQE Program.</w:t>
      </w:r>
    </w:p>
    <w:p w:rsidR="00F31BD8" w:rsidRDefault="00F31BD8" w:rsidP="00F31BD8">
      <w:pPr>
        <w:tabs>
          <w:tab w:val="left" w:pos="360"/>
          <w:tab w:val="left" w:pos="720"/>
          <w:tab w:val="left" w:pos="1080"/>
        </w:tabs>
        <w:rPr>
          <w:bCs/>
        </w:rPr>
      </w:pPr>
    </w:p>
    <w:p w:rsidR="00F31BD8" w:rsidRDefault="00F31BD8" w:rsidP="00F31BD8">
      <w:pPr>
        <w:tabs>
          <w:tab w:val="left" w:pos="360"/>
          <w:tab w:val="left" w:pos="720"/>
          <w:tab w:val="left" w:pos="1080"/>
        </w:tabs>
        <w:rPr>
          <w:bCs/>
        </w:rPr>
      </w:pPr>
      <w:r>
        <w:rPr>
          <w:bCs/>
        </w:rPr>
        <w:tab/>
        <w:t>♦</w:t>
      </w:r>
      <w:r>
        <w:rPr>
          <w:bCs/>
        </w:rPr>
        <w:tab/>
      </w:r>
      <w:proofErr w:type="gramStart"/>
      <w:r>
        <w:rPr>
          <w:bCs/>
        </w:rPr>
        <w:t>B</w:t>
      </w:r>
      <w:r w:rsidRPr="00F31BD8">
        <w:rPr>
          <w:bCs/>
        </w:rPr>
        <w:t>e</w:t>
      </w:r>
      <w:proofErr w:type="gramEnd"/>
      <w:r w:rsidRPr="00F31BD8">
        <w:rPr>
          <w:bCs/>
        </w:rPr>
        <w:t xml:space="preserve"> located within the Aleutian Islands; </w:t>
      </w:r>
    </w:p>
    <w:p w:rsidR="00F31BD8" w:rsidRDefault="00F31BD8" w:rsidP="00F31BD8">
      <w:pPr>
        <w:tabs>
          <w:tab w:val="left" w:pos="360"/>
          <w:tab w:val="left" w:pos="720"/>
          <w:tab w:val="left" w:pos="1080"/>
        </w:tabs>
        <w:rPr>
          <w:bCs/>
        </w:rPr>
      </w:pPr>
    </w:p>
    <w:p w:rsidR="00F31BD8" w:rsidRDefault="00F31BD8" w:rsidP="004C6FD2">
      <w:pPr>
        <w:tabs>
          <w:tab w:val="left" w:pos="360"/>
          <w:tab w:val="left" w:pos="720"/>
          <w:tab w:val="left" w:pos="1080"/>
        </w:tabs>
        <w:ind w:left="720" w:hanging="720"/>
        <w:rPr>
          <w:bCs/>
        </w:rPr>
      </w:pPr>
      <w:r>
        <w:rPr>
          <w:bCs/>
        </w:rPr>
        <w:tab/>
        <w:t>♦</w:t>
      </w:r>
      <w:r>
        <w:rPr>
          <w:bCs/>
        </w:rPr>
        <w:tab/>
      </w:r>
      <w:proofErr w:type="gramStart"/>
      <w:r>
        <w:rPr>
          <w:bCs/>
        </w:rPr>
        <w:t>N</w:t>
      </w:r>
      <w:r w:rsidRPr="00F31BD8">
        <w:rPr>
          <w:bCs/>
        </w:rPr>
        <w:t>ot</w:t>
      </w:r>
      <w:proofErr w:type="gramEnd"/>
      <w:r w:rsidRPr="00F31BD8">
        <w:rPr>
          <w:bCs/>
        </w:rPr>
        <w:t xml:space="preserve"> be eligible for the </w:t>
      </w:r>
      <w:r w:rsidR="00657B20">
        <w:rPr>
          <w:bCs/>
        </w:rPr>
        <w:t>Western Alaska Community Development Quota (</w:t>
      </w:r>
      <w:r w:rsidRPr="00F31BD8">
        <w:rPr>
          <w:bCs/>
        </w:rPr>
        <w:t>CDQ</w:t>
      </w:r>
      <w:r w:rsidR="00657B20">
        <w:rPr>
          <w:bCs/>
        </w:rPr>
        <w:t>)</w:t>
      </w:r>
      <w:r w:rsidR="00657B20">
        <w:rPr>
          <w:rStyle w:val="FootnoteReference"/>
          <w:bCs/>
        </w:rPr>
        <w:footnoteReference w:id="1"/>
      </w:r>
      <w:r w:rsidRPr="00F31BD8">
        <w:rPr>
          <w:bCs/>
        </w:rPr>
        <w:t xml:space="preserve"> Program; </w:t>
      </w:r>
    </w:p>
    <w:p w:rsidR="0015548E" w:rsidRDefault="0015548E" w:rsidP="004C6FD2">
      <w:pPr>
        <w:tabs>
          <w:tab w:val="left" w:pos="360"/>
          <w:tab w:val="left" w:pos="720"/>
          <w:tab w:val="left" w:pos="1080"/>
        </w:tabs>
        <w:ind w:left="720" w:hanging="720"/>
        <w:rPr>
          <w:bCs/>
        </w:rPr>
      </w:pPr>
    </w:p>
    <w:p w:rsidR="00F31BD8" w:rsidRDefault="00F31BD8" w:rsidP="00DB79CE">
      <w:pPr>
        <w:tabs>
          <w:tab w:val="left" w:pos="360"/>
          <w:tab w:val="left" w:pos="720"/>
          <w:tab w:val="left" w:pos="1080"/>
        </w:tabs>
        <w:ind w:left="720" w:hanging="720"/>
        <w:rPr>
          <w:bCs/>
        </w:rPr>
      </w:pPr>
      <w:r>
        <w:rPr>
          <w:bCs/>
        </w:rPr>
        <w:tab/>
        <w:t>♦</w:t>
      </w:r>
      <w:r>
        <w:rPr>
          <w:bCs/>
        </w:rPr>
        <w:tab/>
        <w:t>H</w:t>
      </w:r>
      <w:r w:rsidRPr="00F31BD8">
        <w:rPr>
          <w:bCs/>
        </w:rPr>
        <w:t xml:space="preserve">ave a population of more than 20 and less than 1,500 persons based on the 2000 U.S. Census; </w:t>
      </w:r>
    </w:p>
    <w:p w:rsidR="004D4FD3" w:rsidRDefault="004D4FD3" w:rsidP="00F31BD8">
      <w:pPr>
        <w:tabs>
          <w:tab w:val="left" w:pos="360"/>
          <w:tab w:val="left" w:pos="720"/>
          <w:tab w:val="left" w:pos="1080"/>
        </w:tabs>
        <w:rPr>
          <w:bCs/>
        </w:rPr>
      </w:pPr>
    </w:p>
    <w:p w:rsidR="00F31BD8" w:rsidRDefault="00F31BD8" w:rsidP="00F31BD8">
      <w:pPr>
        <w:tabs>
          <w:tab w:val="left" w:pos="360"/>
          <w:tab w:val="left" w:pos="720"/>
          <w:tab w:val="left" w:pos="1080"/>
        </w:tabs>
        <w:rPr>
          <w:bCs/>
        </w:rPr>
      </w:pPr>
      <w:r>
        <w:rPr>
          <w:bCs/>
        </w:rPr>
        <w:tab/>
        <w:t>♦</w:t>
      </w:r>
      <w:r>
        <w:rPr>
          <w:bCs/>
        </w:rPr>
        <w:tab/>
        <w:t>H</w:t>
      </w:r>
      <w:r w:rsidRPr="00F31BD8">
        <w:rPr>
          <w:bCs/>
        </w:rPr>
        <w:t xml:space="preserve">ave direct access to saltwater; </w:t>
      </w:r>
    </w:p>
    <w:p w:rsidR="00F31BD8" w:rsidRDefault="00F31BD8" w:rsidP="00F31BD8">
      <w:pPr>
        <w:tabs>
          <w:tab w:val="left" w:pos="360"/>
          <w:tab w:val="left" w:pos="720"/>
          <w:tab w:val="left" w:pos="1080"/>
        </w:tabs>
        <w:rPr>
          <w:bCs/>
        </w:rPr>
      </w:pPr>
    </w:p>
    <w:p w:rsidR="00F31BD8" w:rsidRDefault="00F31BD8" w:rsidP="00F31BD8">
      <w:pPr>
        <w:tabs>
          <w:tab w:val="left" w:pos="360"/>
          <w:tab w:val="left" w:pos="720"/>
          <w:tab w:val="left" w:pos="1080"/>
        </w:tabs>
        <w:rPr>
          <w:bCs/>
        </w:rPr>
      </w:pPr>
      <w:r>
        <w:rPr>
          <w:bCs/>
        </w:rPr>
        <w:tab/>
        <w:t>♦</w:t>
      </w:r>
      <w:r>
        <w:rPr>
          <w:bCs/>
        </w:rPr>
        <w:tab/>
        <w:t>L</w:t>
      </w:r>
      <w:r w:rsidRPr="00F31BD8">
        <w:rPr>
          <w:bCs/>
        </w:rPr>
        <w:t xml:space="preserve">ack direct road access to communities with a population greater than 1,500 persons; </w:t>
      </w:r>
    </w:p>
    <w:p w:rsidR="00271043" w:rsidRDefault="00271043" w:rsidP="00F31BD8">
      <w:pPr>
        <w:tabs>
          <w:tab w:val="left" w:pos="360"/>
          <w:tab w:val="left" w:pos="720"/>
          <w:tab w:val="left" w:pos="1080"/>
        </w:tabs>
        <w:rPr>
          <w:bCs/>
        </w:rPr>
      </w:pPr>
    </w:p>
    <w:p w:rsidR="00F31BD8" w:rsidRDefault="00F31BD8" w:rsidP="00F31BD8">
      <w:pPr>
        <w:tabs>
          <w:tab w:val="left" w:pos="360"/>
          <w:tab w:val="left" w:pos="720"/>
          <w:tab w:val="left" w:pos="1080"/>
        </w:tabs>
        <w:rPr>
          <w:bCs/>
        </w:rPr>
      </w:pPr>
      <w:r>
        <w:rPr>
          <w:bCs/>
        </w:rPr>
        <w:tab/>
        <w:t>♦</w:t>
      </w:r>
      <w:r>
        <w:rPr>
          <w:bCs/>
        </w:rPr>
        <w:tab/>
        <w:t>H</w:t>
      </w:r>
      <w:r w:rsidRPr="00F31BD8">
        <w:rPr>
          <w:bCs/>
        </w:rPr>
        <w:t xml:space="preserve">ave historic participation in the halibut and sablefish fisheries; and </w:t>
      </w:r>
    </w:p>
    <w:p w:rsidR="00F31BD8" w:rsidRDefault="00F31BD8" w:rsidP="00F31BD8">
      <w:pPr>
        <w:tabs>
          <w:tab w:val="left" w:pos="360"/>
          <w:tab w:val="left" w:pos="720"/>
          <w:tab w:val="left" w:pos="1080"/>
        </w:tabs>
        <w:rPr>
          <w:bCs/>
        </w:rPr>
      </w:pPr>
    </w:p>
    <w:p w:rsidR="00F31BD8" w:rsidRDefault="00F31BD8" w:rsidP="00DB79CE">
      <w:pPr>
        <w:tabs>
          <w:tab w:val="left" w:pos="360"/>
          <w:tab w:val="left" w:pos="720"/>
          <w:tab w:val="left" w:pos="1080"/>
        </w:tabs>
        <w:ind w:left="720" w:hanging="720"/>
        <w:rPr>
          <w:bCs/>
        </w:rPr>
      </w:pPr>
      <w:r>
        <w:rPr>
          <w:bCs/>
        </w:rPr>
        <w:tab/>
        <w:t>♦</w:t>
      </w:r>
      <w:r>
        <w:rPr>
          <w:bCs/>
        </w:rPr>
        <w:tab/>
      </w:r>
      <w:proofErr w:type="gramStart"/>
      <w:r>
        <w:rPr>
          <w:bCs/>
        </w:rPr>
        <w:t>B</w:t>
      </w:r>
      <w:r w:rsidRPr="00F31BD8">
        <w:rPr>
          <w:bCs/>
        </w:rPr>
        <w:t>e</w:t>
      </w:r>
      <w:proofErr w:type="gramEnd"/>
      <w:r w:rsidRPr="00F31BD8">
        <w:rPr>
          <w:bCs/>
        </w:rPr>
        <w:t xml:space="preserve"> specifically designated on a list adopted by the Council and included in regulation (see Table 21 to part 679).  </w:t>
      </w:r>
    </w:p>
    <w:p w:rsidR="00F31BD8" w:rsidRDefault="00F31BD8" w:rsidP="00F31BD8">
      <w:pPr>
        <w:tabs>
          <w:tab w:val="left" w:pos="360"/>
          <w:tab w:val="left" w:pos="720"/>
          <w:tab w:val="left" w:pos="1080"/>
        </w:tabs>
        <w:rPr>
          <w:bCs/>
        </w:rPr>
      </w:pPr>
    </w:p>
    <w:p w:rsidR="003634E7" w:rsidRPr="005F375A" w:rsidRDefault="003634E7" w:rsidP="003634E7">
      <w:pPr>
        <w:rPr>
          <w:bCs/>
        </w:rPr>
      </w:pPr>
      <w:r w:rsidRPr="005F375A">
        <w:rPr>
          <w:bCs/>
        </w:rPr>
        <w:t xml:space="preserve">Consistent with the definition of a CQE at § 679.2, an Aleutian Islands CQE </w:t>
      </w:r>
      <w:r>
        <w:rPr>
          <w:bCs/>
        </w:rPr>
        <w:t xml:space="preserve">must </w:t>
      </w:r>
      <w:r w:rsidRPr="005F375A">
        <w:rPr>
          <w:bCs/>
        </w:rPr>
        <w:t>meet the three existing requirements</w:t>
      </w:r>
      <w:r w:rsidR="00047775">
        <w:rPr>
          <w:bCs/>
        </w:rPr>
        <w:t>:</w:t>
      </w:r>
      <w:r w:rsidRPr="005F375A">
        <w:rPr>
          <w:bCs/>
        </w:rPr>
        <w:t xml:space="preserve">  </w:t>
      </w:r>
    </w:p>
    <w:p w:rsidR="003634E7" w:rsidRPr="005F375A" w:rsidRDefault="003634E7" w:rsidP="003634E7">
      <w:pPr>
        <w:rPr>
          <w:bCs/>
        </w:rPr>
      </w:pPr>
    </w:p>
    <w:p w:rsidR="003634E7" w:rsidRDefault="00A66C6B" w:rsidP="003634E7">
      <w:pPr>
        <w:tabs>
          <w:tab w:val="left" w:pos="360"/>
          <w:tab w:val="left" w:pos="720"/>
          <w:tab w:val="left" w:pos="1080"/>
          <w:tab w:val="left" w:pos="1440"/>
        </w:tabs>
        <w:ind w:left="720" w:hanging="720"/>
        <w:rPr>
          <w:bCs/>
        </w:rPr>
      </w:pPr>
      <w:r>
        <w:rPr>
          <w:bCs/>
        </w:rPr>
        <w:tab/>
        <w:t>♦</w:t>
      </w:r>
      <w:r>
        <w:rPr>
          <w:bCs/>
        </w:rPr>
        <w:tab/>
        <w:t>T</w:t>
      </w:r>
      <w:r w:rsidR="003634E7">
        <w:rPr>
          <w:bCs/>
        </w:rPr>
        <w:t>he</w:t>
      </w:r>
      <w:r w:rsidR="003634E7" w:rsidRPr="00916789">
        <w:rPr>
          <w:bCs/>
        </w:rPr>
        <w:t xml:space="preserve"> </w:t>
      </w:r>
      <w:r w:rsidR="003E21E7">
        <w:rPr>
          <w:bCs/>
        </w:rPr>
        <w:t>CQE</w:t>
      </w:r>
      <w:r w:rsidR="003634E7" w:rsidRPr="00916789">
        <w:rPr>
          <w:bCs/>
        </w:rPr>
        <w:t xml:space="preserve"> </w:t>
      </w:r>
      <w:r w:rsidR="003634E7">
        <w:rPr>
          <w:bCs/>
        </w:rPr>
        <w:t xml:space="preserve">must </w:t>
      </w:r>
      <w:r w:rsidR="003634E7" w:rsidRPr="00916789">
        <w:rPr>
          <w:bCs/>
        </w:rPr>
        <w:t xml:space="preserve">be incorporated after April 10, 2002, the date the Council took final action on the GOA CQE Program.  </w:t>
      </w:r>
    </w:p>
    <w:p w:rsidR="003634E7" w:rsidRDefault="003634E7" w:rsidP="003634E7">
      <w:pPr>
        <w:tabs>
          <w:tab w:val="left" w:pos="360"/>
          <w:tab w:val="left" w:pos="720"/>
          <w:tab w:val="left" w:pos="1080"/>
          <w:tab w:val="left" w:pos="1440"/>
        </w:tabs>
        <w:ind w:left="720" w:hanging="720"/>
        <w:rPr>
          <w:bCs/>
        </w:rPr>
      </w:pPr>
    </w:p>
    <w:p w:rsidR="003634E7" w:rsidRDefault="003634E7" w:rsidP="003634E7">
      <w:pPr>
        <w:tabs>
          <w:tab w:val="left" w:pos="360"/>
          <w:tab w:val="left" w:pos="720"/>
          <w:tab w:val="left" w:pos="1080"/>
          <w:tab w:val="left" w:pos="1440"/>
        </w:tabs>
        <w:ind w:left="720" w:hanging="720"/>
        <w:rPr>
          <w:bCs/>
        </w:rPr>
      </w:pPr>
      <w:r>
        <w:rPr>
          <w:bCs/>
        </w:rPr>
        <w:tab/>
        <w:t>♦</w:t>
      </w:r>
      <w:r>
        <w:rPr>
          <w:bCs/>
        </w:rPr>
        <w:tab/>
      </w:r>
      <w:proofErr w:type="gramStart"/>
      <w:r w:rsidR="00A66C6B">
        <w:rPr>
          <w:bCs/>
        </w:rPr>
        <w:t>T</w:t>
      </w:r>
      <w:r>
        <w:rPr>
          <w:bCs/>
        </w:rPr>
        <w:t>he</w:t>
      </w:r>
      <w:proofErr w:type="gramEnd"/>
      <w:r w:rsidRPr="00916789">
        <w:rPr>
          <w:bCs/>
        </w:rPr>
        <w:t xml:space="preserve"> community represented by the</w:t>
      </w:r>
      <w:r w:rsidR="003E21E7">
        <w:rPr>
          <w:bCs/>
        </w:rPr>
        <w:t xml:space="preserve"> CQE</w:t>
      </w:r>
      <w:r w:rsidRPr="00916789">
        <w:rPr>
          <w:bCs/>
        </w:rPr>
        <w:t xml:space="preserve"> </w:t>
      </w:r>
      <w:r>
        <w:rPr>
          <w:bCs/>
        </w:rPr>
        <w:t xml:space="preserve">must </w:t>
      </w:r>
      <w:r w:rsidRPr="00916789">
        <w:rPr>
          <w:bCs/>
        </w:rPr>
        <w:t xml:space="preserve">be listed in Table 21 to part 679.  </w:t>
      </w:r>
    </w:p>
    <w:p w:rsidR="003634E7" w:rsidRDefault="003634E7" w:rsidP="003634E7">
      <w:pPr>
        <w:tabs>
          <w:tab w:val="left" w:pos="360"/>
          <w:tab w:val="left" w:pos="720"/>
          <w:tab w:val="left" w:pos="1080"/>
          <w:tab w:val="left" w:pos="1440"/>
        </w:tabs>
        <w:ind w:left="720" w:hanging="720"/>
        <w:rPr>
          <w:bCs/>
        </w:rPr>
      </w:pPr>
    </w:p>
    <w:p w:rsidR="003634E7" w:rsidRDefault="00742A9E" w:rsidP="003634E7">
      <w:pPr>
        <w:tabs>
          <w:tab w:val="left" w:pos="360"/>
          <w:tab w:val="left" w:pos="720"/>
          <w:tab w:val="left" w:pos="1080"/>
          <w:tab w:val="left" w:pos="1440"/>
        </w:tabs>
        <w:ind w:left="720" w:hanging="720"/>
        <w:rPr>
          <w:bCs/>
        </w:rPr>
      </w:pPr>
      <w:r>
        <w:rPr>
          <w:bCs/>
        </w:rPr>
        <w:tab/>
        <w:t>♦</w:t>
      </w:r>
      <w:r>
        <w:rPr>
          <w:bCs/>
        </w:rPr>
        <w:tab/>
      </w:r>
      <w:r w:rsidR="00A66C6B">
        <w:rPr>
          <w:bCs/>
        </w:rPr>
        <w:t>T</w:t>
      </w:r>
      <w:r w:rsidR="003634E7" w:rsidRPr="00916789">
        <w:rPr>
          <w:bCs/>
        </w:rPr>
        <w:t xml:space="preserve">he CQE </w:t>
      </w:r>
      <w:r w:rsidR="003634E7">
        <w:rPr>
          <w:bCs/>
        </w:rPr>
        <w:t>must</w:t>
      </w:r>
      <w:r w:rsidR="003634E7" w:rsidRPr="00916789">
        <w:rPr>
          <w:bCs/>
        </w:rPr>
        <w:t xml:space="preserve"> be approved by NMFS to obtain </w:t>
      </w:r>
      <w:r w:rsidR="003634E7">
        <w:rPr>
          <w:bCs/>
        </w:rPr>
        <w:t xml:space="preserve">QS </w:t>
      </w:r>
      <w:r w:rsidR="003634E7" w:rsidRPr="00916789">
        <w:rPr>
          <w:bCs/>
        </w:rPr>
        <w:t>by transfer</w:t>
      </w:r>
      <w:r w:rsidR="003634E7">
        <w:rPr>
          <w:bCs/>
        </w:rPr>
        <w:t xml:space="preserve">, </w:t>
      </w:r>
      <w:r w:rsidR="003634E7" w:rsidRPr="00916789">
        <w:rPr>
          <w:bCs/>
        </w:rPr>
        <w:t>hold QS, and lease IFQ resulting from the QS on behalf of an eligibl</w:t>
      </w:r>
      <w:r w:rsidR="003634E7">
        <w:rPr>
          <w:bCs/>
        </w:rPr>
        <w:t xml:space="preserve">e community (see </w:t>
      </w:r>
      <w:r w:rsidR="003634E7" w:rsidRPr="00916789">
        <w:rPr>
          <w:bCs/>
        </w:rPr>
        <w:t>§ 679.41(l) for the CQE application process).</w:t>
      </w:r>
    </w:p>
    <w:p w:rsidR="006A67EE" w:rsidRDefault="006A67EE" w:rsidP="003634E7">
      <w:pPr>
        <w:tabs>
          <w:tab w:val="left" w:pos="360"/>
          <w:tab w:val="left" w:pos="720"/>
          <w:tab w:val="left" w:pos="1080"/>
          <w:tab w:val="left" w:pos="1440"/>
        </w:tabs>
        <w:ind w:left="720" w:hanging="720"/>
        <w:rPr>
          <w:bCs/>
        </w:rPr>
      </w:pPr>
    </w:p>
    <w:p w:rsidR="006A67EE" w:rsidRPr="00916789" w:rsidRDefault="009802FC" w:rsidP="0068506A">
      <w:pPr>
        <w:tabs>
          <w:tab w:val="left" w:pos="360"/>
          <w:tab w:val="left" w:pos="720"/>
          <w:tab w:val="left" w:pos="1080"/>
          <w:tab w:val="left" w:pos="1440"/>
        </w:tabs>
        <w:rPr>
          <w:bCs/>
        </w:rPr>
      </w:pPr>
      <w:r>
        <w:rPr>
          <w:bCs/>
        </w:rPr>
        <w:t xml:space="preserve">By adding Adak, the total number of eligible communities is 46.  </w:t>
      </w:r>
      <w:r w:rsidR="006A67EE">
        <w:rPr>
          <w:bCs/>
        </w:rPr>
        <w:t>Table 21 to part 679</w:t>
      </w:r>
      <w:r w:rsidR="00205C79">
        <w:rPr>
          <w:bCs/>
        </w:rPr>
        <w:t xml:space="preserve">, lists </w:t>
      </w:r>
      <w:r w:rsidR="00205C79" w:rsidRPr="00205C79">
        <w:rPr>
          <w:bCs/>
        </w:rPr>
        <w:t>Eligible communities, Halibut IFQ Regulatory Area Location, Community Governing Body that Recommends the CQE, and the Fishing Programs and Associated Areas where a CQE Representing an Eligible Community may be Permitted to Participate.</w:t>
      </w:r>
      <w:r w:rsidR="00205C79">
        <w:rPr>
          <w:bCs/>
        </w:rPr>
        <w:t xml:space="preserve">  This table </w:t>
      </w:r>
      <w:r w:rsidR="006A67EE">
        <w:rPr>
          <w:bCs/>
        </w:rPr>
        <w:t>would be revised</w:t>
      </w:r>
      <w:r w:rsidR="003E21E7">
        <w:rPr>
          <w:bCs/>
        </w:rPr>
        <w:t xml:space="preserve"> to add</w:t>
      </w:r>
      <w:r w:rsidR="006A67EE">
        <w:rPr>
          <w:bCs/>
        </w:rPr>
        <w:t xml:space="preserve"> the new community, Adak.</w:t>
      </w:r>
    </w:p>
    <w:p w:rsidR="004D4FD3" w:rsidRDefault="004D4FD3" w:rsidP="00390A3C">
      <w:pPr>
        <w:ind w:right="-720"/>
      </w:pPr>
    </w:p>
    <w:p w:rsidR="001800F5" w:rsidRDefault="001800F5">
      <w:pPr>
        <w:spacing w:after="200" w:line="276" w:lineRule="auto"/>
      </w:pPr>
      <w:r>
        <w:br w:type="page"/>
      </w:r>
    </w:p>
    <w:p w:rsidR="00F73027" w:rsidRDefault="00390A3C" w:rsidP="004D4FD3">
      <w:pPr>
        <w:ind w:left="-630" w:right="-720"/>
      </w:pPr>
      <w:r w:rsidRPr="00C86653">
        <w:lastRenderedPageBreak/>
        <w:t xml:space="preserve">Table 21 to Part 679 – Eligible communities, Halibut IFQ </w:t>
      </w:r>
      <w:r>
        <w:t>R</w:t>
      </w:r>
      <w:r w:rsidRPr="00C86653">
        <w:t xml:space="preserve">egulatory </w:t>
      </w:r>
      <w:r>
        <w:t>A</w:t>
      </w:r>
      <w:r w:rsidRPr="00C86653">
        <w:t>rea</w:t>
      </w:r>
      <w:r>
        <w:t xml:space="preserve"> Location</w:t>
      </w:r>
      <w:r w:rsidRPr="00C86653">
        <w:t xml:space="preserve">, Community </w:t>
      </w:r>
      <w:r>
        <w:t>G</w:t>
      </w:r>
      <w:r w:rsidRPr="00C86653">
        <w:t xml:space="preserve">overning </w:t>
      </w:r>
      <w:r>
        <w:t>B</w:t>
      </w:r>
      <w:r w:rsidRPr="00C86653">
        <w:t xml:space="preserve">ody that </w:t>
      </w:r>
      <w:r>
        <w:t>R</w:t>
      </w:r>
      <w:r w:rsidRPr="00C86653">
        <w:t xml:space="preserve">ecommends the CQE, and the </w:t>
      </w:r>
      <w:r>
        <w:t>F</w:t>
      </w:r>
      <w:r w:rsidRPr="00C86653">
        <w:t xml:space="preserve">ishing </w:t>
      </w:r>
      <w:r>
        <w:t>P</w:t>
      </w:r>
      <w:r w:rsidRPr="00C86653">
        <w:t xml:space="preserve">rograms and </w:t>
      </w:r>
      <w:r>
        <w:t>A</w:t>
      </w:r>
      <w:r w:rsidRPr="00C86653">
        <w:t xml:space="preserve">ssociated </w:t>
      </w:r>
      <w:r>
        <w:t>A</w:t>
      </w:r>
      <w:r w:rsidRPr="00C86653">
        <w:t xml:space="preserve">reas </w:t>
      </w:r>
      <w:r>
        <w:t xml:space="preserve">where </w:t>
      </w:r>
      <w:r w:rsidRPr="00C86653">
        <w:t xml:space="preserve">a CQE </w:t>
      </w:r>
      <w:r>
        <w:t>R</w:t>
      </w:r>
      <w:r w:rsidRPr="00C86653">
        <w:t xml:space="preserve">epresenting an </w:t>
      </w:r>
      <w:r>
        <w:t>E</w:t>
      </w:r>
      <w:r w:rsidRPr="00C86653">
        <w:t xml:space="preserve">ligible </w:t>
      </w:r>
      <w:r>
        <w:t>C</w:t>
      </w:r>
      <w:r w:rsidRPr="00C86653">
        <w:t xml:space="preserve">ommunity </w:t>
      </w:r>
      <w:r>
        <w:t>may be</w:t>
      </w:r>
      <w:r w:rsidRPr="00C86653">
        <w:t xml:space="preserve"> </w:t>
      </w:r>
      <w:r>
        <w:t>P</w:t>
      </w:r>
      <w:r w:rsidRPr="00C86653">
        <w:t xml:space="preserve">ermitted to </w:t>
      </w:r>
      <w:r>
        <w:t>P</w:t>
      </w:r>
      <w:r w:rsidRPr="00C86653">
        <w:t>articipate.</w:t>
      </w:r>
    </w:p>
    <w:p w:rsidR="005A76C9" w:rsidRDefault="005A76C9" w:rsidP="00390A3C">
      <w:pPr>
        <w:ind w:right="-720"/>
      </w:pPr>
    </w:p>
    <w:tbl>
      <w:tblPr>
        <w:tblW w:w="11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180"/>
        <w:gridCol w:w="1419"/>
        <w:gridCol w:w="605"/>
        <w:gridCol w:w="630"/>
        <w:gridCol w:w="639"/>
        <w:gridCol w:w="630"/>
        <w:gridCol w:w="1350"/>
        <w:gridCol w:w="540"/>
        <w:gridCol w:w="630"/>
        <w:gridCol w:w="630"/>
        <w:gridCol w:w="900"/>
        <w:gridCol w:w="900"/>
      </w:tblGrid>
      <w:tr w:rsidR="00F73027" w:rsidRPr="00F25058" w:rsidTr="00EB7A79">
        <w:trPr>
          <w:trHeight w:val="756"/>
          <w:tblHeader/>
          <w:jc w:val="center"/>
        </w:trPr>
        <w:tc>
          <w:tcPr>
            <w:tcW w:w="1255" w:type="dxa"/>
            <w:vMerge w:val="restart"/>
            <w:tcBorders>
              <w:top w:val="single" w:sz="4" w:space="0" w:color="auto"/>
              <w:left w:val="single" w:sz="4" w:space="0" w:color="auto"/>
              <w:right w:val="single" w:sz="8" w:space="0" w:color="auto"/>
            </w:tcBorders>
            <w:vAlign w:val="center"/>
          </w:tcPr>
          <w:p w:rsidR="00F73027" w:rsidRPr="005F375A" w:rsidRDefault="00F73027" w:rsidP="00827764">
            <w:pPr>
              <w:widowControl w:val="0"/>
              <w:jc w:val="center"/>
              <w:rPr>
                <w:bCs/>
                <w:sz w:val="20"/>
                <w:szCs w:val="20"/>
              </w:rPr>
            </w:pPr>
            <w:r w:rsidRPr="005F375A">
              <w:br w:type="page"/>
            </w:r>
            <w:r w:rsidRPr="005F375A">
              <w:rPr>
                <w:bCs/>
                <w:sz w:val="20"/>
                <w:szCs w:val="20"/>
              </w:rPr>
              <w:t>Eligible GOA or AI community</w:t>
            </w:r>
          </w:p>
        </w:tc>
        <w:tc>
          <w:tcPr>
            <w:tcW w:w="1180" w:type="dxa"/>
            <w:vMerge w:val="restart"/>
            <w:tcBorders>
              <w:top w:val="single" w:sz="4" w:space="0" w:color="auto"/>
              <w:left w:val="single" w:sz="8" w:space="0" w:color="auto"/>
              <w:right w:val="single" w:sz="4" w:space="0" w:color="auto"/>
            </w:tcBorders>
            <w:vAlign w:val="center"/>
          </w:tcPr>
          <w:p w:rsidR="00F73027" w:rsidRPr="005F375A" w:rsidRDefault="00F73027" w:rsidP="00EB7A79">
            <w:pPr>
              <w:widowControl w:val="0"/>
              <w:jc w:val="center"/>
              <w:rPr>
                <w:bCs/>
                <w:sz w:val="20"/>
                <w:szCs w:val="20"/>
              </w:rPr>
            </w:pPr>
            <w:r w:rsidRPr="005F375A">
              <w:rPr>
                <w:bCs/>
                <w:sz w:val="20"/>
                <w:szCs w:val="20"/>
              </w:rPr>
              <w:t>Halibut IFQ regulatory area in which the community is located</w:t>
            </w:r>
          </w:p>
        </w:tc>
        <w:tc>
          <w:tcPr>
            <w:tcW w:w="1419" w:type="dxa"/>
            <w:vMerge w:val="restart"/>
            <w:tcBorders>
              <w:top w:val="single" w:sz="4" w:space="0" w:color="auto"/>
              <w:left w:val="single" w:sz="8"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Community governing body that recommends the CQE</w:t>
            </w:r>
          </w:p>
        </w:tc>
        <w:tc>
          <w:tcPr>
            <w:tcW w:w="2504" w:type="dxa"/>
            <w:gridSpan w:val="4"/>
            <w:tcBorders>
              <w:top w:val="single" w:sz="4" w:space="0" w:color="auto"/>
              <w:left w:val="single" w:sz="4" w:space="0" w:color="auto"/>
              <w:right w:val="single" w:sz="8" w:space="0" w:color="auto"/>
            </w:tcBorders>
            <w:vAlign w:val="center"/>
          </w:tcPr>
          <w:p w:rsidR="00F73027" w:rsidRPr="005F375A" w:rsidRDefault="00F73027" w:rsidP="00EB7A79">
            <w:pPr>
              <w:widowControl w:val="0"/>
              <w:jc w:val="center"/>
              <w:rPr>
                <w:bCs/>
                <w:sz w:val="20"/>
                <w:szCs w:val="20"/>
              </w:rPr>
            </w:pPr>
            <w:r w:rsidRPr="005F375A">
              <w:rPr>
                <w:bCs/>
                <w:sz w:val="20"/>
                <w:szCs w:val="20"/>
              </w:rPr>
              <w:t xml:space="preserve">May hold halibut QS </w:t>
            </w:r>
            <w:r w:rsidR="00BC7B27" w:rsidRPr="005F375A">
              <w:rPr>
                <w:bCs/>
                <w:sz w:val="20"/>
                <w:szCs w:val="20"/>
              </w:rPr>
              <w:t xml:space="preserve">only </w:t>
            </w:r>
            <w:r w:rsidRPr="005F375A">
              <w:rPr>
                <w:bCs/>
                <w:sz w:val="20"/>
                <w:szCs w:val="20"/>
              </w:rPr>
              <w:t>in halibut IFQ regulatory</w:t>
            </w:r>
          </w:p>
        </w:tc>
        <w:tc>
          <w:tcPr>
            <w:tcW w:w="1890" w:type="dxa"/>
            <w:gridSpan w:val="2"/>
            <w:tcBorders>
              <w:top w:val="single" w:sz="4" w:space="0" w:color="auto"/>
              <w:left w:val="single" w:sz="8" w:space="0" w:color="auto"/>
              <w:right w:val="single" w:sz="8" w:space="0" w:color="auto"/>
            </w:tcBorders>
            <w:vAlign w:val="center"/>
          </w:tcPr>
          <w:p w:rsidR="00F73027" w:rsidRPr="005F375A" w:rsidRDefault="00F73027" w:rsidP="00827764">
            <w:pPr>
              <w:widowControl w:val="0"/>
              <w:jc w:val="center"/>
              <w:rPr>
                <w:bCs/>
                <w:sz w:val="20"/>
                <w:szCs w:val="20"/>
              </w:rPr>
            </w:pPr>
            <w:r w:rsidRPr="005F375A">
              <w:rPr>
                <w:bCs/>
                <w:sz w:val="20"/>
                <w:szCs w:val="20"/>
              </w:rPr>
              <w:t>May hold sablefish QS in sablefish IFQ regulatory areas</w:t>
            </w:r>
          </w:p>
        </w:tc>
        <w:tc>
          <w:tcPr>
            <w:tcW w:w="1260" w:type="dxa"/>
            <w:gridSpan w:val="2"/>
            <w:tcBorders>
              <w:top w:val="single" w:sz="4" w:space="0" w:color="auto"/>
              <w:left w:val="single" w:sz="8" w:space="0" w:color="auto"/>
              <w:bottom w:val="single" w:sz="4"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Maximum number of CHPs that may be held in halibut IFQ regulatory</w:t>
            </w:r>
          </w:p>
        </w:tc>
        <w:tc>
          <w:tcPr>
            <w:tcW w:w="1800" w:type="dxa"/>
            <w:gridSpan w:val="2"/>
            <w:tcBorders>
              <w:top w:val="single" w:sz="4" w:space="0" w:color="auto"/>
              <w:left w:val="single" w:sz="8" w:space="0" w:color="auto"/>
              <w:bottom w:val="single" w:sz="4" w:space="0" w:color="auto"/>
              <w:right w:val="single" w:sz="4" w:space="0" w:color="auto"/>
            </w:tcBorders>
            <w:vAlign w:val="center"/>
          </w:tcPr>
          <w:p w:rsidR="00F73027" w:rsidRPr="005F375A" w:rsidRDefault="00F73027" w:rsidP="00EB7A79">
            <w:pPr>
              <w:widowControl w:val="0"/>
              <w:jc w:val="center"/>
              <w:rPr>
                <w:bCs/>
                <w:sz w:val="20"/>
                <w:szCs w:val="20"/>
              </w:rPr>
            </w:pPr>
            <w:r w:rsidRPr="005F375A">
              <w:rPr>
                <w:bCs/>
                <w:sz w:val="20"/>
                <w:szCs w:val="20"/>
              </w:rPr>
              <w:t>Maximum number of Pacific cod endorsed non-trawl groundfish licenses that may be assigned in the GOA groundfish regulatory area</w:t>
            </w:r>
          </w:p>
        </w:tc>
      </w:tr>
      <w:tr w:rsidR="00F73027" w:rsidRPr="00F25058" w:rsidTr="00B2462C">
        <w:trPr>
          <w:trHeight w:val="494"/>
          <w:tblHeader/>
          <w:jc w:val="center"/>
        </w:trPr>
        <w:tc>
          <w:tcPr>
            <w:tcW w:w="1255" w:type="dxa"/>
            <w:vMerge/>
            <w:tcBorders>
              <w:left w:val="single" w:sz="4" w:space="0" w:color="auto"/>
              <w:right w:val="single" w:sz="8" w:space="0" w:color="auto"/>
            </w:tcBorders>
            <w:vAlign w:val="center"/>
          </w:tcPr>
          <w:p w:rsidR="00F73027" w:rsidRPr="005F375A" w:rsidRDefault="00F73027" w:rsidP="00827764">
            <w:pPr>
              <w:widowControl w:val="0"/>
              <w:jc w:val="center"/>
              <w:rPr>
                <w:bCs/>
                <w:sz w:val="20"/>
                <w:szCs w:val="20"/>
              </w:rPr>
            </w:pPr>
          </w:p>
        </w:tc>
        <w:tc>
          <w:tcPr>
            <w:tcW w:w="1180" w:type="dxa"/>
            <w:vMerge/>
            <w:tcBorders>
              <w:left w:val="single" w:sz="8" w:space="0" w:color="auto"/>
              <w:right w:val="single" w:sz="4" w:space="0" w:color="auto"/>
            </w:tcBorders>
          </w:tcPr>
          <w:p w:rsidR="00F73027" w:rsidRPr="005F375A" w:rsidRDefault="00F73027" w:rsidP="00827764">
            <w:pPr>
              <w:widowControl w:val="0"/>
              <w:jc w:val="center"/>
              <w:rPr>
                <w:bCs/>
                <w:sz w:val="20"/>
                <w:szCs w:val="20"/>
              </w:rPr>
            </w:pPr>
          </w:p>
        </w:tc>
        <w:tc>
          <w:tcPr>
            <w:tcW w:w="1419" w:type="dxa"/>
            <w:vMerge/>
            <w:tcBorders>
              <w:left w:val="single" w:sz="8" w:space="0" w:color="auto"/>
              <w:right w:val="single" w:sz="4" w:space="0" w:color="auto"/>
            </w:tcBorders>
            <w:vAlign w:val="center"/>
          </w:tcPr>
          <w:p w:rsidR="00F73027" w:rsidRPr="005F375A" w:rsidRDefault="00F73027" w:rsidP="00827764">
            <w:pPr>
              <w:widowControl w:val="0"/>
              <w:jc w:val="center"/>
              <w:rPr>
                <w:bCs/>
                <w:sz w:val="20"/>
                <w:szCs w:val="20"/>
              </w:rPr>
            </w:pPr>
          </w:p>
        </w:tc>
        <w:tc>
          <w:tcPr>
            <w:tcW w:w="605" w:type="dxa"/>
            <w:tcBorders>
              <w:left w:val="single" w:sz="4" w:space="0" w:color="auto"/>
              <w:right w:val="single" w:sz="8" w:space="0" w:color="auto"/>
            </w:tcBorders>
            <w:vAlign w:val="center"/>
          </w:tcPr>
          <w:p w:rsidR="00F73027" w:rsidRPr="005F375A" w:rsidRDefault="00F73027" w:rsidP="00827764">
            <w:pPr>
              <w:widowControl w:val="0"/>
              <w:jc w:val="center"/>
              <w:rPr>
                <w:bCs/>
                <w:sz w:val="20"/>
                <w:szCs w:val="20"/>
              </w:rPr>
            </w:pPr>
            <w:r w:rsidRPr="005F375A">
              <w:rPr>
                <w:bCs/>
                <w:sz w:val="20"/>
                <w:szCs w:val="20"/>
              </w:rPr>
              <w:t>Area 2C</w:t>
            </w:r>
          </w:p>
        </w:tc>
        <w:tc>
          <w:tcPr>
            <w:tcW w:w="630" w:type="dxa"/>
            <w:tcBorders>
              <w:left w:val="single" w:sz="4"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Area 3A</w:t>
            </w:r>
          </w:p>
        </w:tc>
        <w:tc>
          <w:tcPr>
            <w:tcW w:w="639" w:type="dxa"/>
            <w:tcBorders>
              <w:left w:val="single" w:sz="4" w:space="0" w:color="auto"/>
              <w:right w:val="single" w:sz="8" w:space="0" w:color="auto"/>
            </w:tcBorders>
            <w:vAlign w:val="center"/>
          </w:tcPr>
          <w:p w:rsidR="00F73027" w:rsidRPr="005F375A" w:rsidRDefault="00F73027" w:rsidP="00827764">
            <w:pPr>
              <w:widowControl w:val="0"/>
              <w:jc w:val="center"/>
              <w:rPr>
                <w:bCs/>
                <w:sz w:val="20"/>
                <w:szCs w:val="20"/>
              </w:rPr>
            </w:pPr>
            <w:r w:rsidRPr="005F375A">
              <w:rPr>
                <w:bCs/>
                <w:sz w:val="20"/>
                <w:szCs w:val="20"/>
              </w:rPr>
              <w:t>Area 3B</w:t>
            </w:r>
          </w:p>
        </w:tc>
        <w:tc>
          <w:tcPr>
            <w:tcW w:w="630" w:type="dxa"/>
            <w:tcBorders>
              <w:left w:val="single" w:sz="8" w:space="0" w:color="auto"/>
              <w:right w:val="single" w:sz="8" w:space="0" w:color="auto"/>
            </w:tcBorders>
            <w:vAlign w:val="center"/>
          </w:tcPr>
          <w:p w:rsidR="00F73027" w:rsidRPr="005F375A" w:rsidRDefault="00F73027" w:rsidP="00827764">
            <w:pPr>
              <w:widowControl w:val="0"/>
              <w:jc w:val="center"/>
              <w:rPr>
                <w:bCs/>
                <w:sz w:val="20"/>
                <w:szCs w:val="20"/>
              </w:rPr>
            </w:pPr>
            <w:r w:rsidRPr="005F375A">
              <w:rPr>
                <w:bCs/>
                <w:sz w:val="20"/>
                <w:szCs w:val="20"/>
              </w:rPr>
              <w:t>Area 4B</w:t>
            </w:r>
          </w:p>
        </w:tc>
        <w:tc>
          <w:tcPr>
            <w:tcW w:w="1350" w:type="dxa"/>
            <w:tcBorders>
              <w:left w:val="single" w:sz="8" w:space="0" w:color="auto"/>
              <w:right w:val="single" w:sz="8" w:space="0" w:color="auto"/>
            </w:tcBorders>
          </w:tcPr>
          <w:p w:rsidR="00F73027" w:rsidRPr="005F375A" w:rsidRDefault="00F73027" w:rsidP="00827764">
            <w:pPr>
              <w:widowControl w:val="0"/>
              <w:jc w:val="center"/>
              <w:rPr>
                <w:bCs/>
                <w:sz w:val="20"/>
                <w:szCs w:val="20"/>
              </w:rPr>
            </w:pPr>
            <w:r w:rsidRPr="005F375A">
              <w:rPr>
                <w:bCs/>
                <w:sz w:val="20"/>
                <w:szCs w:val="20"/>
              </w:rPr>
              <w:t xml:space="preserve">CG, SE, WG, and WY </w:t>
            </w:r>
          </w:p>
          <w:p w:rsidR="00F73027" w:rsidRPr="005F375A" w:rsidRDefault="00F73027" w:rsidP="00827764">
            <w:pPr>
              <w:widowControl w:val="0"/>
              <w:jc w:val="center"/>
              <w:rPr>
                <w:bCs/>
                <w:sz w:val="20"/>
                <w:szCs w:val="20"/>
              </w:rPr>
            </w:pPr>
            <w:r w:rsidRPr="005F375A">
              <w:rPr>
                <w:bCs/>
                <w:sz w:val="20"/>
                <w:szCs w:val="20"/>
              </w:rPr>
              <w:t>(All GOA)</w:t>
            </w:r>
          </w:p>
        </w:tc>
        <w:tc>
          <w:tcPr>
            <w:tcW w:w="540" w:type="dxa"/>
            <w:tcBorders>
              <w:left w:val="single" w:sz="8" w:space="0" w:color="auto"/>
              <w:right w:val="single" w:sz="8" w:space="0" w:color="auto"/>
            </w:tcBorders>
            <w:vAlign w:val="center"/>
          </w:tcPr>
          <w:p w:rsidR="00F73027" w:rsidRPr="005F375A" w:rsidRDefault="00F73027" w:rsidP="00827764">
            <w:pPr>
              <w:widowControl w:val="0"/>
              <w:jc w:val="center"/>
              <w:rPr>
                <w:bCs/>
                <w:sz w:val="20"/>
                <w:szCs w:val="20"/>
              </w:rPr>
            </w:pPr>
            <w:r w:rsidRPr="005F375A">
              <w:rPr>
                <w:bCs/>
                <w:sz w:val="20"/>
                <w:szCs w:val="20"/>
              </w:rPr>
              <w:t>AI</w:t>
            </w:r>
          </w:p>
        </w:tc>
        <w:tc>
          <w:tcPr>
            <w:tcW w:w="630" w:type="dxa"/>
            <w:tcBorders>
              <w:top w:val="single" w:sz="4" w:space="0" w:color="auto"/>
              <w:left w:val="single" w:sz="8"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Area 2C</w:t>
            </w:r>
          </w:p>
        </w:tc>
        <w:tc>
          <w:tcPr>
            <w:tcW w:w="630" w:type="dxa"/>
            <w:tcBorders>
              <w:top w:val="single" w:sz="4" w:space="0" w:color="auto"/>
              <w:left w:val="single" w:sz="4"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Area 3A</w:t>
            </w:r>
          </w:p>
        </w:tc>
        <w:tc>
          <w:tcPr>
            <w:tcW w:w="900" w:type="dxa"/>
            <w:tcBorders>
              <w:top w:val="single" w:sz="4" w:space="0" w:color="auto"/>
              <w:left w:val="single" w:sz="4"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Central GOA</w:t>
            </w:r>
          </w:p>
        </w:tc>
        <w:tc>
          <w:tcPr>
            <w:tcW w:w="900" w:type="dxa"/>
            <w:tcBorders>
              <w:top w:val="single" w:sz="4" w:space="0" w:color="auto"/>
              <w:left w:val="single" w:sz="4" w:space="0" w:color="auto"/>
              <w:right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Western GOA</w:t>
            </w:r>
          </w:p>
        </w:tc>
      </w:tr>
      <w:tr w:rsidR="00F73027" w:rsidRPr="00F25058" w:rsidTr="00827764">
        <w:trPr>
          <w:trHeight w:val="377"/>
          <w:jc w:val="center"/>
        </w:trPr>
        <w:tc>
          <w:tcPr>
            <w:tcW w:w="1255" w:type="dxa"/>
            <w:tcBorders>
              <w:top w:val="single" w:sz="4" w:space="0" w:color="auto"/>
              <w:bottom w:val="single" w:sz="4" w:space="0" w:color="auto"/>
            </w:tcBorders>
            <w:vAlign w:val="center"/>
          </w:tcPr>
          <w:p w:rsidR="00F73027" w:rsidRDefault="00F73027" w:rsidP="00827764">
            <w:pPr>
              <w:widowControl w:val="0"/>
              <w:ind w:left="-5"/>
              <w:rPr>
                <w:bCs/>
                <w:sz w:val="20"/>
                <w:szCs w:val="20"/>
              </w:rPr>
            </w:pPr>
            <w:r w:rsidRPr="007B57E5">
              <w:rPr>
                <w:bCs/>
                <w:color w:val="FF0000"/>
                <w:sz w:val="20"/>
                <w:szCs w:val="20"/>
              </w:rPr>
              <w:t>Adak</w:t>
            </w:r>
          </w:p>
        </w:tc>
        <w:tc>
          <w:tcPr>
            <w:tcW w:w="1180" w:type="dxa"/>
            <w:tcBorders>
              <w:top w:val="single" w:sz="4" w:space="0" w:color="auto"/>
              <w:bottom w:val="single" w:sz="4" w:space="0" w:color="auto"/>
            </w:tcBorders>
            <w:vAlign w:val="center"/>
          </w:tcPr>
          <w:p w:rsidR="00F73027" w:rsidRPr="007B57E5" w:rsidRDefault="00F73027" w:rsidP="00827764">
            <w:pPr>
              <w:widowControl w:val="0"/>
              <w:jc w:val="center"/>
              <w:rPr>
                <w:bCs/>
                <w:color w:val="FF0000"/>
                <w:sz w:val="20"/>
                <w:szCs w:val="20"/>
              </w:rPr>
            </w:pPr>
            <w:r w:rsidRPr="007B57E5">
              <w:rPr>
                <w:bCs/>
                <w:color w:val="FF0000"/>
                <w:sz w:val="20"/>
                <w:szCs w:val="20"/>
              </w:rPr>
              <w:t>4B</w:t>
            </w:r>
          </w:p>
        </w:tc>
        <w:tc>
          <w:tcPr>
            <w:tcW w:w="1419" w:type="dxa"/>
            <w:tcBorders>
              <w:top w:val="single" w:sz="4" w:space="0" w:color="auto"/>
              <w:bottom w:val="single" w:sz="4" w:space="0" w:color="auto"/>
            </w:tcBorders>
            <w:vAlign w:val="center"/>
          </w:tcPr>
          <w:p w:rsidR="00F73027" w:rsidRPr="00F25058" w:rsidRDefault="00F73027" w:rsidP="00827764">
            <w:pPr>
              <w:widowControl w:val="0"/>
              <w:rPr>
                <w:bCs/>
                <w:sz w:val="20"/>
                <w:szCs w:val="20"/>
              </w:rPr>
            </w:pPr>
            <w:r w:rsidRPr="005F375A">
              <w:rPr>
                <w:bCs/>
                <w:color w:val="FF0000"/>
                <w:sz w:val="20"/>
                <w:szCs w:val="20"/>
              </w:rPr>
              <w:t>City of Adak</w:t>
            </w:r>
          </w:p>
        </w:tc>
        <w:tc>
          <w:tcPr>
            <w:tcW w:w="605" w:type="dxa"/>
            <w:tcBorders>
              <w:top w:val="single" w:sz="4" w:space="0" w:color="auto"/>
              <w:bottom w:val="single" w:sz="4" w:space="0" w:color="auto"/>
            </w:tcBorders>
            <w:vAlign w:val="center"/>
          </w:tcPr>
          <w:p w:rsidR="00F73027" w:rsidRPr="00F25058" w:rsidRDefault="00F73027" w:rsidP="00827764">
            <w:pPr>
              <w:widowControl w:val="0"/>
              <w:jc w:val="center"/>
              <w:rPr>
                <w:bCs/>
                <w:sz w:val="20"/>
                <w:szCs w:val="20"/>
              </w:rPr>
            </w:pPr>
          </w:p>
        </w:tc>
        <w:tc>
          <w:tcPr>
            <w:tcW w:w="630" w:type="dxa"/>
            <w:tcBorders>
              <w:top w:val="single" w:sz="4" w:space="0" w:color="auto"/>
              <w:bottom w:val="single" w:sz="4" w:space="0" w:color="auto"/>
            </w:tcBorders>
            <w:vAlign w:val="center"/>
          </w:tcPr>
          <w:p w:rsidR="00F73027" w:rsidRDefault="00F73027" w:rsidP="00827764">
            <w:pPr>
              <w:widowControl w:val="0"/>
              <w:jc w:val="center"/>
              <w:rPr>
                <w:bCs/>
                <w:sz w:val="20"/>
                <w:szCs w:val="20"/>
              </w:rPr>
            </w:pPr>
          </w:p>
        </w:tc>
        <w:tc>
          <w:tcPr>
            <w:tcW w:w="639" w:type="dxa"/>
            <w:tcBorders>
              <w:top w:val="single" w:sz="4" w:space="0" w:color="auto"/>
              <w:bottom w:val="single" w:sz="4" w:space="0" w:color="auto"/>
            </w:tcBorders>
            <w:vAlign w:val="center"/>
          </w:tcPr>
          <w:p w:rsidR="00F73027" w:rsidRPr="00F25058" w:rsidRDefault="00F73027" w:rsidP="00827764">
            <w:pPr>
              <w:widowControl w:val="0"/>
              <w:jc w:val="center"/>
              <w:rPr>
                <w:bCs/>
                <w:sz w:val="20"/>
                <w:szCs w:val="20"/>
              </w:rPr>
            </w:pPr>
          </w:p>
        </w:tc>
        <w:tc>
          <w:tcPr>
            <w:tcW w:w="630" w:type="dxa"/>
            <w:tcBorders>
              <w:top w:val="single" w:sz="4" w:space="0" w:color="auto"/>
              <w:bottom w:val="single" w:sz="4" w:space="0" w:color="auto"/>
            </w:tcBorders>
            <w:vAlign w:val="center"/>
          </w:tcPr>
          <w:p w:rsidR="00F73027" w:rsidRDefault="00F73027" w:rsidP="00827764">
            <w:pPr>
              <w:widowControl w:val="0"/>
              <w:jc w:val="center"/>
              <w:rPr>
                <w:bCs/>
                <w:sz w:val="20"/>
                <w:szCs w:val="20"/>
              </w:rPr>
            </w:pPr>
            <w:r w:rsidRPr="007B57E5">
              <w:rPr>
                <w:bCs/>
                <w:color w:val="FF0000"/>
                <w:sz w:val="20"/>
                <w:szCs w:val="20"/>
              </w:rPr>
              <w:t>X</w:t>
            </w:r>
          </w:p>
        </w:tc>
        <w:tc>
          <w:tcPr>
            <w:tcW w:w="1350" w:type="dxa"/>
            <w:tcBorders>
              <w:top w:val="single" w:sz="4" w:space="0" w:color="auto"/>
              <w:bottom w:val="single" w:sz="4" w:space="0" w:color="auto"/>
            </w:tcBorders>
            <w:vAlign w:val="center"/>
          </w:tcPr>
          <w:p w:rsidR="00F73027" w:rsidRPr="00EE47EF" w:rsidRDefault="00F73027" w:rsidP="00827764">
            <w:pPr>
              <w:widowControl w:val="0"/>
              <w:jc w:val="center"/>
              <w:rPr>
                <w:bCs/>
                <w:color w:val="FF0000"/>
                <w:sz w:val="20"/>
                <w:szCs w:val="20"/>
              </w:rPr>
            </w:pPr>
          </w:p>
        </w:tc>
        <w:tc>
          <w:tcPr>
            <w:tcW w:w="540" w:type="dxa"/>
            <w:tcBorders>
              <w:top w:val="single" w:sz="4" w:space="0" w:color="auto"/>
              <w:bottom w:val="single" w:sz="4" w:space="0" w:color="auto"/>
            </w:tcBorders>
            <w:vAlign w:val="center"/>
          </w:tcPr>
          <w:p w:rsidR="00F73027" w:rsidRPr="007B57E5" w:rsidRDefault="00F73027" w:rsidP="00827764">
            <w:pPr>
              <w:widowControl w:val="0"/>
              <w:jc w:val="center"/>
              <w:rPr>
                <w:bCs/>
                <w:color w:val="FF0000"/>
                <w:sz w:val="20"/>
                <w:szCs w:val="20"/>
              </w:rPr>
            </w:pPr>
            <w:r w:rsidRPr="007B57E5">
              <w:rPr>
                <w:bCs/>
                <w:color w:val="FF0000"/>
                <w:sz w:val="20"/>
                <w:szCs w:val="20"/>
              </w:rPr>
              <w:t>X</w:t>
            </w:r>
          </w:p>
        </w:tc>
        <w:tc>
          <w:tcPr>
            <w:tcW w:w="630" w:type="dxa"/>
            <w:tcBorders>
              <w:top w:val="single" w:sz="4" w:space="0" w:color="auto"/>
              <w:bottom w:val="single" w:sz="4" w:space="0" w:color="auto"/>
            </w:tcBorders>
            <w:vAlign w:val="center"/>
          </w:tcPr>
          <w:p w:rsidR="00F73027" w:rsidRPr="00EE47EF" w:rsidRDefault="00F73027" w:rsidP="00827764">
            <w:pPr>
              <w:widowControl w:val="0"/>
              <w:jc w:val="center"/>
              <w:rPr>
                <w:bCs/>
                <w:color w:val="FF0000"/>
                <w:sz w:val="20"/>
                <w:szCs w:val="20"/>
              </w:rPr>
            </w:pPr>
          </w:p>
        </w:tc>
        <w:tc>
          <w:tcPr>
            <w:tcW w:w="630" w:type="dxa"/>
            <w:tcBorders>
              <w:top w:val="single" w:sz="4" w:space="0" w:color="auto"/>
              <w:bottom w:val="single" w:sz="4" w:space="0" w:color="auto"/>
            </w:tcBorders>
            <w:vAlign w:val="center"/>
          </w:tcPr>
          <w:p w:rsidR="00F73027" w:rsidRPr="00EE47EF" w:rsidRDefault="00F73027" w:rsidP="00827764">
            <w:pPr>
              <w:widowControl w:val="0"/>
              <w:jc w:val="center"/>
              <w:rPr>
                <w:bCs/>
                <w:color w:val="FF0000"/>
                <w:sz w:val="20"/>
                <w:szCs w:val="20"/>
              </w:rPr>
            </w:pPr>
          </w:p>
        </w:tc>
        <w:tc>
          <w:tcPr>
            <w:tcW w:w="900" w:type="dxa"/>
            <w:tcBorders>
              <w:top w:val="single" w:sz="4" w:space="0" w:color="auto"/>
              <w:bottom w:val="single" w:sz="4" w:space="0" w:color="auto"/>
            </w:tcBorders>
            <w:vAlign w:val="center"/>
          </w:tcPr>
          <w:p w:rsidR="00F73027" w:rsidRPr="00F25058" w:rsidRDefault="00F73027" w:rsidP="00827764">
            <w:pPr>
              <w:widowControl w:val="0"/>
              <w:jc w:val="center"/>
              <w:rPr>
                <w:bCs/>
                <w:sz w:val="20"/>
                <w:szCs w:val="20"/>
              </w:rPr>
            </w:pPr>
          </w:p>
        </w:tc>
        <w:tc>
          <w:tcPr>
            <w:tcW w:w="900" w:type="dxa"/>
            <w:tcBorders>
              <w:top w:val="single" w:sz="4" w:space="0" w:color="auto"/>
              <w:bottom w:val="single" w:sz="4" w:space="0" w:color="auto"/>
            </w:tcBorders>
            <w:vAlign w:val="center"/>
          </w:tcPr>
          <w:p w:rsidR="00F73027" w:rsidRPr="00F25058" w:rsidRDefault="00F73027" w:rsidP="00827764">
            <w:pPr>
              <w:widowControl w:val="0"/>
              <w:jc w:val="center"/>
              <w:rPr>
                <w:bCs/>
                <w:sz w:val="20"/>
                <w:szCs w:val="20"/>
              </w:rPr>
            </w:pPr>
          </w:p>
        </w:tc>
      </w:tr>
      <w:tr w:rsidR="00F73027" w:rsidRPr="00F25058" w:rsidTr="00827764">
        <w:trPr>
          <w:trHeight w:val="377"/>
          <w:jc w:val="center"/>
        </w:trPr>
        <w:tc>
          <w:tcPr>
            <w:tcW w:w="1255" w:type="dxa"/>
            <w:tcBorders>
              <w:top w:val="single" w:sz="4" w:space="0" w:color="auto"/>
              <w:bottom w:val="single" w:sz="4" w:space="0" w:color="auto"/>
            </w:tcBorders>
            <w:vAlign w:val="center"/>
          </w:tcPr>
          <w:p w:rsidR="00F73027" w:rsidRPr="00F25058" w:rsidRDefault="00F73027" w:rsidP="00827764">
            <w:pPr>
              <w:widowControl w:val="0"/>
              <w:rPr>
                <w:bCs/>
                <w:sz w:val="20"/>
                <w:szCs w:val="20"/>
              </w:rPr>
            </w:pPr>
            <w:r>
              <w:rPr>
                <w:bCs/>
                <w:sz w:val="20"/>
                <w:szCs w:val="20"/>
              </w:rPr>
              <w:t>Akhiok</w:t>
            </w:r>
          </w:p>
        </w:tc>
        <w:tc>
          <w:tcPr>
            <w:tcW w:w="118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tcBorders>
              <w:top w:val="single" w:sz="4" w:space="0" w:color="auto"/>
              <w:bottom w:val="single" w:sz="4" w:space="0" w:color="auto"/>
            </w:tcBorders>
            <w:vAlign w:val="center"/>
          </w:tcPr>
          <w:p w:rsidR="00F73027" w:rsidRPr="005F375A" w:rsidRDefault="00F73027" w:rsidP="00827764">
            <w:pPr>
              <w:widowControl w:val="0"/>
              <w:rPr>
                <w:bCs/>
                <w:sz w:val="20"/>
                <w:szCs w:val="20"/>
              </w:rPr>
            </w:pPr>
            <w:r w:rsidRPr="005F375A">
              <w:rPr>
                <w:bCs/>
                <w:sz w:val="20"/>
                <w:szCs w:val="20"/>
              </w:rPr>
              <w:t>City of Akhiok</w:t>
            </w:r>
            <w:r w:rsidRPr="005F375A">
              <w:rPr>
                <w:b/>
                <w:bCs/>
                <w:sz w:val="20"/>
                <w:szCs w:val="20"/>
              </w:rPr>
              <w:t>.</w:t>
            </w:r>
          </w:p>
        </w:tc>
        <w:tc>
          <w:tcPr>
            <w:tcW w:w="605"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p>
        </w:tc>
        <w:tc>
          <w:tcPr>
            <w:tcW w:w="63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Borders>
              <w:top w:val="single" w:sz="4" w:space="0" w:color="auto"/>
              <w:bottom w:val="single" w:sz="4" w:space="0" w:color="auto"/>
            </w:tcBorders>
          </w:tcPr>
          <w:p w:rsidR="00F73027" w:rsidRPr="005F375A" w:rsidRDefault="00F73027" w:rsidP="00827764">
            <w:pPr>
              <w:widowControl w:val="0"/>
              <w:jc w:val="center"/>
              <w:rPr>
                <w:bCs/>
                <w:sz w:val="20"/>
                <w:szCs w:val="20"/>
              </w:rPr>
            </w:pPr>
          </w:p>
        </w:tc>
        <w:tc>
          <w:tcPr>
            <w:tcW w:w="135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Borders>
              <w:top w:val="single" w:sz="4" w:space="0" w:color="auto"/>
              <w:bottom w:val="single" w:sz="4" w:space="0" w:color="auto"/>
            </w:tcBorders>
          </w:tcPr>
          <w:p w:rsidR="00F73027" w:rsidRPr="005F375A" w:rsidRDefault="00F73027" w:rsidP="00827764">
            <w:pPr>
              <w:widowControl w:val="0"/>
              <w:jc w:val="center"/>
              <w:rPr>
                <w:bCs/>
                <w:sz w:val="20"/>
                <w:szCs w:val="20"/>
              </w:rPr>
            </w:pPr>
          </w:p>
        </w:tc>
        <w:tc>
          <w:tcPr>
            <w:tcW w:w="63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p>
        </w:tc>
        <w:tc>
          <w:tcPr>
            <w:tcW w:w="63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tcBorders>
              <w:top w:val="single" w:sz="4" w:space="0" w:color="auto"/>
              <w:bottom w:val="single" w:sz="4" w:space="0" w:color="auto"/>
            </w:tcBorders>
            <w:vAlign w:val="center"/>
          </w:tcPr>
          <w:p w:rsidR="00F73027" w:rsidRPr="005F375A" w:rsidRDefault="00F73027" w:rsidP="00827764">
            <w:pPr>
              <w:widowControl w:val="0"/>
              <w:jc w:val="center"/>
              <w:rPr>
                <w:bCs/>
                <w:sz w:val="20"/>
                <w:szCs w:val="20"/>
              </w:rPr>
            </w:pPr>
          </w:p>
        </w:tc>
      </w:tr>
      <w:tr w:rsidR="00F73027" w:rsidRPr="00F25058" w:rsidTr="00827764">
        <w:trPr>
          <w:trHeight w:val="377"/>
          <w:jc w:val="center"/>
        </w:trPr>
        <w:tc>
          <w:tcPr>
            <w:tcW w:w="1255" w:type="dxa"/>
            <w:tcBorders>
              <w:top w:val="single" w:sz="4" w:space="0" w:color="auto"/>
            </w:tcBorders>
            <w:vAlign w:val="center"/>
          </w:tcPr>
          <w:p w:rsidR="00F73027" w:rsidRPr="00F25058" w:rsidRDefault="00F73027" w:rsidP="00827764">
            <w:pPr>
              <w:widowControl w:val="0"/>
              <w:rPr>
                <w:bCs/>
                <w:sz w:val="20"/>
                <w:szCs w:val="20"/>
              </w:rPr>
            </w:pPr>
            <w:r w:rsidRPr="00F25058">
              <w:rPr>
                <w:bCs/>
                <w:sz w:val="20"/>
                <w:szCs w:val="20"/>
              </w:rPr>
              <w:t>Angoon</w:t>
            </w:r>
          </w:p>
        </w:tc>
        <w:tc>
          <w:tcPr>
            <w:tcW w:w="1180" w:type="dxa"/>
            <w:tcBorders>
              <w:top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tcBorders>
              <w:top w:val="single" w:sz="4" w:space="0" w:color="auto"/>
            </w:tcBorders>
            <w:vAlign w:val="center"/>
          </w:tcPr>
          <w:p w:rsidR="00F73027" w:rsidRPr="005F375A" w:rsidRDefault="00F73027" w:rsidP="00827764">
            <w:pPr>
              <w:widowControl w:val="0"/>
              <w:rPr>
                <w:b/>
                <w:bCs/>
                <w:sz w:val="20"/>
                <w:szCs w:val="20"/>
              </w:rPr>
            </w:pPr>
            <w:r w:rsidRPr="005F375A">
              <w:rPr>
                <w:bCs/>
                <w:sz w:val="20"/>
                <w:szCs w:val="20"/>
              </w:rPr>
              <w:t>City of Angoon</w:t>
            </w:r>
            <w:r w:rsidRPr="005F375A">
              <w:rPr>
                <w:b/>
                <w:bCs/>
                <w:sz w:val="20"/>
                <w:szCs w:val="20"/>
              </w:rPr>
              <w:t>.</w:t>
            </w:r>
          </w:p>
        </w:tc>
        <w:tc>
          <w:tcPr>
            <w:tcW w:w="605" w:type="dxa"/>
            <w:tcBorders>
              <w:top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Borders>
              <w:top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tcBorders>
              <w:top w:val="single" w:sz="4" w:space="0" w:color="auto"/>
            </w:tcBorders>
            <w:vAlign w:val="center"/>
          </w:tcPr>
          <w:p w:rsidR="00F73027" w:rsidRPr="005F375A" w:rsidRDefault="00F73027" w:rsidP="00827764">
            <w:pPr>
              <w:widowControl w:val="0"/>
              <w:jc w:val="center"/>
              <w:rPr>
                <w:bCs/>
                <w:sz w:val="20"/>
                <w:szCs w:val="20"/>
              </w:rPr>
            </w:pPr>
          </w:p>
        </w:tc>
        <w:tc>
          <w:tcPr>
            <w:tcW w:w="630" w:type="dxa"/>
            <w:tcBorders>
              <w:top w:val="single" w:sz="4" w:space="0" w:color="auto"/>
            </w:tcBorders>
          </w:tcPr>
          <w:p w:rsidR="00F73027" w:rsidRPr="005F375A" w:rsidRDefault="00F73027" w:rsidP="00827764">
            <w:pPr>
              <w:widowControl w:val="0"/>
              <w:jc w:val="center"/>
              <w:rPr>
                <w:bCs/>
                <w:sz w:val="20"/>
                <w:szCs w:val="20"/>
              </w:rPr>
            </w:pPr>
          </w:p>
        </w:tc>
        <w:tc>
          <w:tcPr>
            <w:tcW w:w="1350" w:type="dxa"/>
            <w:tcBorders>
              <w:top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Borders>
              <w:top w:val="single" w:sz="4" w:space="0" w:color="auto"/>
            </w:tcBorders>
          </w:tcPr>
          <w:p w:rsidR="00F73027" w:rsidRPr="005F375A" w:rsidRDefault="00F73027" w:rsidP="00827764">
            <w:pPr>
              <w:widowControl w:val="0"/>
              <w:jc w:val="center"/>
              <w:rPr>
                <w:bCs/>
                <w:sz w:val="20"/>
                <w:szCs w:val="20"/>
              </w:rPr>
            </w:pPr>
          </w:p>
        </w:tc>
        <w:tc>
          <w:tcPr>
            <w:tcW w:w="630" w:type="dxa"/>
            <w:tcBorders>
              <w:top w:val="single" w:sz="4" w:space="0" w:color="auto"/>
            </w:tcBorders>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tcBorders>
              <w:top w:val="single" w:sz="4" w:space="0" w:color="auto"/>
            </w:tcBorders>
            <w:vAlign w:val="center"/>
          </w:tcPr>
          <w:p w:rsidR="00F73027" w:rsidRPr="005F375A" w:rsidRDefault="00F73027" w:rsidP="00827764">
            <w:pPr>
              <w:widowControl w:val="0"/>
              <w:jc w:val="center"/>
              <w:rPr>
                <w:bCs/>
                <w:sz w:val="20"/>
                <w:szCs w:val="20"/>
              </w:rPr>
            </w:pPr>
          </w:p>
        </w:tc>
        <w:tc>
          <w:tcPr>
            <w:tcW w:w="900" w:type="dxa"/>
            <w:tcBorders>
              <w:top w:val="single" w:sz="4" w:space="0" w:color="auto"/>
            </w:tcBorders>
            <w:vAlign w:val="center"/>
          </w:tcPr>
          <w:p w:rsidR="00F73027" w:rsidRPr="005F375A" w:rsidRDefault="00F73027" w:rsidP="00827764">
            <w:pPr>
              <w:widowControl w:val="0"/>
              <w:jc w:val="center"/>
              <w:rPr>
                <w:bCs/>
                <w:sz w:val="20"/>
                <w:szCs w:val="20"/>
              </w:rPr>
            </w:pPr>
          </w:p>
        </w:tc>
        <w:tc>
          <w:tcPr>
            <w:tcW w:w="900" w:type="dxa"/>
            <w:tcBorders>
              <w:top w:val="single" w:sz="4" w:space="0" w:color="auto"/>
            </w:tcBorders>
            <w:vAlign w:val="center"/>
          </w:tcPr>
          <w:p w:rsidR="00F73027" w:rsidRPr="005F375A" w:rsidRDefault="00F73027" w:rsidP="00827764">
            <w:pPr>
              <w:widowControl w:val="0"/>
              <w:jc w:val="center"/>
              <w:rPr>
                <w:bCs/>
                <w:sz w:val="20"/>
                <w:szCs w:val="20"/>
              </w:rPr>
            </w:pPr>
          </w:p>
        </w:tc>
      </w:tr>
      <w:tr w:rsidR="00F73027" w:rsidRPr="00F25058" w:rsidTr="00827764">
        <w:trPr>
          <w:trHeight w:val="314"/>
          <w:jc w:val="center"/>
        </w:trPr>
        <w:tc>
          <w:tcPr>
            <w:tcW w:w="1255" w:type="dxa"/>
            <w:vAlign w:val="center"/>
          </w:tcPr>
          <w:p w:rsidR="00F73027" w:rsidRPr="00F25058" w:rsidRDefault="00F73027" w:rsidP="00827764">
            <w:pPr>
              <w:rPr>
                <w:sz w:val="20"/>
                <w:szCs w:val="20"/>
              </w:rPr>
            </w:pPr>
            <w:r w:rsidRPr="00F25058">
              <w:rPr>
                <w:sz w:val="20"/>
                <w:szCs w:val="20"/>
              </w:rPr>
              <w:t>Chenega Bay</w:t>
            </w:r>
          </w:p>
        </w:tc>
        <w:tc>
          <w:tcPr>
            <w:tcW w:w="1180" w:type="dxa"/>
            <w:vAlign w:val="center"/>
          </w:tcPr>
          <w:p w:rsidR="00F73027" w:rsidRPr="005F375A" w:rsidRDefault="00F73027" w:rsidP="00827764">
            <w:pPr>
              <w:jc w:val="center"/>
              <w:rPr>
                <w:sz w:val="20"/>
                <w:szCs w:val="20"/>
              </w:rPr>
            </w:pPr>
            <w:r w:rsidRPr="005F375A">
              <w:rPr>
                <w:sz w:val="20"/>
                <w:szCs w:val="20"/>
              </w:rPr>
              <w:t>3A</w:t>
            </w:r>
          </w:p>
        </w:tc>
        <w:tc>
          <w:tcPr>
            <w:tcW w:w="1419" w:type="dxa"/>
            <w:vAlign w:val="center"/>
          </w:tcPr>
          <w:p w:rsidR="00F73027" w:rsidRPr="005F375A" w:rsidRDefault="00F73027" w:rsidP="00827764">
            <w:pPr>
              <w:rPr>
                <w:sz w:val="20"/>
                <w:szCs w:val="20"/>
              </w:rPr>
            </w:pPr>
            <w:r w:rsidRPr="005F375A">
              <w:rPr>
                <w:sz w:val="20"/>
                <w:szCs w:val="20"/>
              </w:rPr>
              <w:t>Chenega IRA Village.</w:t>
            </w:r>
          </w:p>
        </w:tc>
        <w:tc>
          <w:tcPr>
            <w:tcW w:w="605" w:type="dxa"/>
            <w:vAlign w:val="center"/>
          </w:tcPr>
          <w:p w:rsidR="00F73027" w:rsidRPr="005F375A" w:rsidRDefault="00F73027" w:rsidP="00827764">
            <w:pPr>
              <w:jc w:val="center"/>
              <w:rPr>
                <w:sz w:val="20"/>
                <w:szCs w:val="20"/>
              </w:rPr>
            </w:pPr>
          </w:p>
        </w:tc>
        <w:tc>
          <w:tcPr>
            <w:tcW w:w="630" w:type="dxa"/>
            <w:vAlign w:val="center"/>
          </w:tcPr>
          <w:p w:rsidR="00F73027" w:rsidRPr="005F375A" w:rsidRDefault="00F73027" w:rsidP="00827764">
            <w:pPr>
              <w:jc w:val="center"/>
              <w:rPr>
                <w:sz w:val="20"/>
                <w:szCs w:val="20"/>
              </w:rPr>
            </w:pPr>
            <w:r w:rsidRPr="005F375A">
              <w:rPr>
                <w:bCs/>
                <w:sz w:val="20"/>
                <w:szCs w:val="20"/>
              </w:rPr>
              <w:t>X</w:t>
            </w:r>
          </w:p>
        </w:tc>
        <w:tc>
          <w:tcPr>
            <w:tcW w:w="639" w:type="dxa"/>
            <w:vAlign w:val="center"/>
          </w:tcPr>
          <w:p w:rsidR="00F73027" w:rsidRPr="005F375A" w:rsidRDefault="00F73027" w:rsidP="00827764">
            <w:pPr>
              <w:jc w:val="center"/>
              <w:rPr>
                <w:sz w:val="20"/>
                <w:szCs w:val="20"/>
              </w:rPr>
            </w:pPr>
            <w:r w:rsidRPr="005F375A">
              <w:rPr>
                <w:sz w:val="20"/>
                <w:szCs w:val="20"/>
              </w:rPr>
              <w:t>X</w:t>
            </w:r>
          </w:p>
        </w:tc>
        <w:tc>
          <w:tcPr>
            <w:tcW w:w="630" w:type="dxa"/>
          </w:tcPr>
          <w:p w:rsidR="00F73027" w:rsidRPr="005F375A" w:rsidRDefault="00F73027" w:rsidP="00827764">
            <w:pPr>
              <w:jc w:val="center"/>
              <w:rPr>
                <w:bCs/>
                <w:sz w:val="20"/>
                <w:szCs w:val="20"/>
              </w:rPr>
            </w:pPr>
          </w:p>
        </w:tc>
        <w:tc>
          <w:tcPr>
            <w:tcW w:w="1350" w:type="dxa"/>
            <w:vAlign w:val="center"/>
          </w:tcPr>
          <w:p w:rsidR="00F73027" w:rsidRPr="005F375A" w:rsidRDefault="00F73027" w:rsidP="00827764">
            <w:pPr>
              <w:jc w:val="center"/>
              <w:rPr>
                <w:sz w:val="20"/>
                <w:szCs w:val="20"/>
              </w:rPr>
            </w:pPr>
            <w:r w:rsidRPr="005F375A">
              <w:rPr>
                <w:bCs/>
                <w:sz w:val="20"/>
                <w:szCs w:val="20"/>
              </w:rPr>
              <w:t>X</w:t>
            </w:r>
          </w:p>
        </w:tc>
        <w:tc>
          <w:tcPr>
            <w:tcW w:w="540" w:type="dxa"/>
          </w:tcPr>
          <w:p w:rsidR="00F73027" w:rsidRPr="005F375A" w:rsidRDefault="00F73027" w:rsidP="00827764">
            <w:pPr>
              <w:jc w:val="center"/>
              <w:rPr>
                <w:sz w:val="20"/>
                <w:szCs w:val="20"/>
              </w:rPr>
            </w:pPr>
          </w:p>
        </w:tc>
        <w:tc>
          <w:tcPr>
            <w:tcW w:w="630" w:type="dxa"/>
            <w:vAlign w:val="center"/>
          </w:tcPr>
          <w:p w:rsidR="00F73027" w:rsidRPr="005F375A" w:rsidRDefault="00F73027" w:rsidP="00827764">
            <w:pPr>
              <w:jc w:val="center"/>
              <w:rPr>
                <w:sz w:val="20"/>
                <w:szCs w:val="20"/>
              </w:rPr>
            </w:pPr>
          </w:p>
        </w:tc>
        <w:tc>
          <w:tcPr>
            <w:tcW w:w="630" w:type="dxa"/>
            <w:vAlign w:val="center"/>
          </w:tcPr>
          <w:p w:rsidR="00F73027" w:rsidRPr="005F375A" w:rsidRDefault="00F73027" w:rsidP="00827764">
            <w:pPr>
              <w:jc w:val="center"/>
              <w:rPr>
                <w:sz w:val="20"/>
                <w:szCs w:val="20"/>
              </w:rPr>
            </w:pPr>
            <w:r w:rsidRPr="005F375A">
              <w:rPr>
                <w:sz w:val="20"/>
                <w:szCs w:val="20"/>
              </w:rPr>
              <w:t>7</w:t>
            </w:r>
          </w:p>
        </w:tc>
        <w:tc>
          <w:tcPr>
            <w:tcW w:w="900" w:type="dxa"/>
            <w:vAlign w:val="center"/>
          </w:tcPr>
          <w:p w:rsidR="00F73027" w:rsidRPr="005F375A" w:rsidRDefault="00F73027" w:rsidP="00827764">
            <w:pPr>
              <w:jc w:val="center"/>
              <w:rPr>
                <w:sz w:val="20"/>
                <w:szCs w:val="20"/>
              </w:rPr>
            </w:pPr>
            <w:r w:rsidRPr="005F375A">
              <w:rPr>
                <w:sz w:val="20"/>
                <w:szCs w:val="20"/>
              </w:rPr>
              <w:t>2</w:t>
            </w:r>
          </w:p>
        </w:tc>
        <w:tc>
          <w:tcPr>
            <w:tcW w:w="900" w:type="dxa"/>
            <w:vAlign w:val="center"/>
          </w:tcPr>
          <w:p w:rsidR="00F73027" w:rsidRPr="005F375A" w:rsidRDefault="00F73027" w:rsidP="00827764">
            <w:pPr>
              <w:jc w:val="center"/>
              <w:rPr>
                <w:sz w:val="20"/>
                <w:szCs w:val="20"/>
              </w:rPr>
            </w:pPr>
          </w:p>
        </w:tc>
      </w:tr>
      <w:tr w:rsidR="00F73027" w:rsidRPr="00F25058" w:rsidTr="00827764">
        <w:trPr>
          <w:trHeight w:val="314"/>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Chignik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City of Chignik</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3</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14"/>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Chignik Lagoon</w:t>
            </w:r>
          </w:p>
        </w:tc>
        <w:tc>
          <w:tcPr>
            <w:tcW w:w="1180" w:type="dxa"/>
            <w:vAlign w:val="center"/>
          </w:tcPr>
          <w:p w:rsidR="00F73027" w:rsidRPr="005F375A" w:rsidRDefault="00F73027" w:rsidP="00827764">
            <w:pPr>
              <w:keepNext/>
              <w:widowControl w:val="0"/>
              <w:jc w:val="center"/>
              <w:outlineLvl w:val="0"/>
              <w:rPr>
                <w:bCs/>
                <w:sz w:val="20"/>
                <w:szCs w:val="20"/>
              </w:rPr>
            </w:pPr>
            <w:r w:rsidRPr="005F375A">
              <w:rPr>
                <w:bCs/>
                <w:sz w:val="20"/>
                <w:szCs w:val="20"/>
              </w:rPr>
              <w:t>3B</w:t>
            </w:r>
          </w:p>
        </w:tc>
        <w:tc>
          <w:tcPr>
            <w:tcW w:w="1419" w:type="dxa"/>
            <w:vAlign w:val="center"/>
          </w:tcPr>
          <w:p w:rsidR="00F73027" w:rsidRPr="005F375A" w:rsidRDefault="00F73027" w:rsidP="00827764">
            <w:pPr>
              <w:keepNext/>
              <w:widowControl w:val="0"/>
              <w:outlineLvl w:val="0"/>
              <w:rPr>
                <w:bCs/>
                <w:sz w:val="20"/>
                <w:szCs w:val="20"/>
              </w:rPr>
            </w:pPr>
            <w:r w:rsidRPr="005F375A">
              <w:rPr>
                <w:bCs/>
                <w:sz w:val="20"/>
                <w:szCs w:val="20"/>
              </w:rPr>
              <w:t>Chignik Lagoon Village Council</w:t>
            </w:r>
            <w:r w:rsidRPr="005F375A">
              <w:rPr>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14"/>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Chignik Lake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Chignik Lake Traditional Council</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14"/>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Coffman Cove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Coffman Cove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Cold Bay</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City of Cold Bay.</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Craig</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Craig</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Edna Bay</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Edna Bay Community Association</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Elfin Cove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Community of Elfin Cove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Game Creek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N/A.</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Gustavus</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Gustavus Community Association</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Halibut Cove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N/A</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Hollis</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Hollis Community Council</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Hoonah</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Hoonah</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EB7A79">
        <w:trPr>
          <w:trHeight w:val="350"/>
          <w:jc w:val="center"/>
        </w:trPr>
        <w:tc>
          <w:tcPr>
            <w:tcW w:w="1255" w:type="dxa"/>
            <w:vAlign w:val="center"/>
          </w:tcPr>
          <w:p w:rsidR="00F73027" w:rsidRPr="00F25058" w:rsidRDefault="00F73027" w:rsidP="00827764">
            <w:pPr>
              <w:keepNext/>
              <w:widowControl w:val="0"/>
              <w:outlineLvl w:val="0"/>
              <w:rPr>
                <w:bCs/>
                <w:sz w:val="20"/>
                <w:szCs w:val="20"/>
              </w:rPr>
            </w:pPr>
            <w:r w:rsidRPr="00F25058">
              <w:rPr>
                <w:bCs/>
                <w:sz w:val="20"/>
                <w:szCs w:val="20"/>
              </w:rPr>
              <w:lastRenderedPageBreak/>
              <w:t>Hydaburg</w:t>
            </w:r>
          </w:p>
        </w:tc>
        <w:tc>
          <w:tcPr>
            <w:tcW w:w="1180" w:type="dxa"/>
            <w:vAlign w:val="center"/>
          </w:tcPr>
          <w:p w:rsidR="00F73027" w:rsidRPr="00742A9E" w:rsidRDefault="00F73027" w:rsidP="00827764">
            <w:pPr>
              <w:widowControl w:val="0"/>
              <w:jc w:val="center"/>
              <w:rPr>
                <w:b/>
                <w:bCs/>
                <w:sz w:val="20"/>
                <w:szCs w:val="20"/>
              </w:rPr>
            </w:pPr>
            <w:r w:rsidRPr="00742A9E">
              <w:rPr>
                <w:b/>
                <w:bCs/>
                <w:sz w:val="20"/>
                <w:szCs w:val="20"/>
              </w:rPr>
              <w:t>2C</w:t>
            </w:r>
          </w:p>
        </w:tc>
        <w:tc>
          <w:tcPr>
            <w:tcW w:w="1419" w:type="dxa"/>
            <w:vAlign w:val="center"/>
          </w:tcPr>
          <w:p w:rsidR="00F73027" w:rsidRPr="005F375A" w:rsidRDefault="00F73027" w:rsidP="00EB7A79">
            <w:pPr>
              <w:widowControl w:val="0"/>
              <w:rPr>
                <w:bCs/>
                <w:sz w:val="20"/>
                <w:szCs w:val="20"/>
              </w:rPr>
            </w:pPr>
            <w:r w:rsidRPr="005F375A">
              <w:rPr>
                <w:bCs/>
                <w:sz w:val="20"/>
                <w:szCs w:val="20"/>
              </w:rPr>
              <w:t>City of Hydaburg</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Ivanof Bay</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Ivanof Bay Village Council</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Kake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Kake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Karluk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Native Village of Karluk</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Kasaan</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Kasaan</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King Cove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City of King Cove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9</w:t>
            </w: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Klawock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Klawock</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Larsen Bay</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City of Larsen Bay</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Metlakatla</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Metlakatla Indian Village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Meyers Chuck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N/A</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Nanwalek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Nanwalek IRA Council</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Naukati Bay</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Naukati Bay, Inc.</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Old Harbor</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City of Old Harbor</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5</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Ouzinkie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City of Ouzinkie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9</w:t>
            </w: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Pelican</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Pelican</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F25058" w:rsidTr="00827764">
        <w:trPr>
          <w:trHeight w:val="350"/>
          <w:jc w:val="center"/>
        </w:trPr>
        <w:tc>
          <w:tcPr>
            <w:tcW w:w="1255" w:type="dxa"/>
            <w:vAlign w:val="center"/>
          </w:tcPr>
          <w:p w:rsidR="00F73027" w:rsidRPr="00F25058" w:rsidRDefault="00F73027" w:rsidP="00827764">
            <w:pPr>
              <w:widowControl w:val="0"/>
              <w:rPr>
                <w:bCs/>
                <w:sz w:val="20"/>
                <w:szCs w:val="20"/>
              </w:rPr>
            </w:pPr>
            <w:r w:rsidRPr="00F25058">
              <w:rPr>
                <w:bCs/>
                <w:sz w:val="20"/>
                <w:szCs w:val="20"/>
              </w:rPr>
              <w:t>Perryville</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Native Village of Perryville</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Point Baker</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Point Baker Community</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Port Alexander</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Port Alexander</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Port Graham</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Port Graham Village Council</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Port Lions</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City of Port Lions.</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6</w:t>
            </w: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Port Protection</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 xml:space="preserve">Port Protection Community </w:t>
            </w:r>
            <w:r w:rsidRPr="005F375A">
              <w:rPr>
                <w:bCs/>
                <w:sz w:val="20"/>
                <w:szCs w:val="20"/>
              </w:rPr>
              <w:lastRenderedPageBreak/>
              <w:t>Association</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lastRenderedPageBreak/>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lastRenderedPageBreak/>
              <w:t>Sand Point</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3B</w:t>
            </w:r>
          </w:p>
        </w:tc>
        <w:tc>
          <w:tcPr>
            <w:tcW w:w="1419" w:type="dxa"/>
            <w:vAlign w:val="center"/>
          </w:tcPr>
          <w:p w:rsidR="00F73027" w:rsidRPr="005F375A" w:rsidRDefault="00F73027" w:rsidP="00827764">
            <w:pPr>
              <w:widowControl w:val="0"/>
              <w:rPr>
                <w:bCs/>
                <w:sz w:val="20"/>
                <w:szCs w:val="20"/>
              </w:rPr>
            </w:pPr>
            <w:r w:rsidRPr="005F375A">
              <w:rPr>
                <w:bCs/>
                <w:sz w:val="20"/>
                <w:szCs w:val="20"/>
              </w:rPr>
              <w:t>City of Sand Point</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14</w:t>
            </w: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Seldovia</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City of Seldovia</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8</w:t>
            </w: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Tatitlek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Native Village of Tatitlek</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Tenakee Springs</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Tenakee Springs</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Thorne Bay</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City of Thorne Bay</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Tyonek</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Native Village of Tyonek</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2</w:t>
            </w: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Whale Pass</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2C</w:t>
            </w:r>
          </w:p>
        </w:tc>
        <w:tc>
          <w:tcPr>
            <w:tcW w:w="1419" w:type="dxa"/>
            <w:vAlign w:val="center"/>
          </w:tcPr>
          <w:p w:rsidR="00F73027" w:rsidRPr="005F375A" w:rsidRDefault="00F73027" w:rsidP="00827764">
            <w:pPr>
              <w:widowControl w:val="0"/>
              <w:rPr>
                <w:bCs/>
                <w:sz w:val="20"/>
                <w:szCs w:val="20"/>
              </w:rPr>
            </w:pPr>
            <w:r w:rsidRPr="005F375A">
              <w:rPr>
                <w:bCs/>
                <w:sz w:val="20"/>
                <w:szCs w:val="20"/>
              </w:rPr>
              <w:t>Whale Pass Community Association</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4</w:t>
            </w:r>
          </w:p>
        </w:tc>
        <w:tc>
          <w:tcPr>
            <w:tcW w:w="63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c>
          <w:tcPr>
            <w:tcW w:w="900" w:type="dxa"/>
            <w:vAlign w:val="center"/>
          </w:tcPr>
          <w:p w:rsidR="00F73027" w:rsidRPr="005F375A" w:rsidRDefault="00F73027" w:rsidP="00827764">
            <w:pPr>
              <w:widowControl w:val="0"/>
              <w:jc w:val="center"/>
              <w:rPr>
                <w:bCs/>
                <w:sz w:val="20"/>
                <w:szCs w:val="20"/>
              </w:rPr>
            </w:pPr>
          </w:p>
        </w:tc>
      </w:tr>
      <w:tr w:rsidR="00F73027" w:rsidRPr="005F375A" w:rsidTr="00827764">
        <w:trPr>
          <w:trHeight w:val="350"/>
          <w:jc w:val="center"/>
        </w:trPr>
        <w:tc>
          <w:tcPr>
            <w:tcW w:w="1255" w:type="dxa"/>
            <w:vAlign w:val="center"/>
          </w:tcPr>
          <w:p w:rsidR="00F73027" w:rsidRPr="005F375A" w:rsidRDefault="00F73027" w:rsidP="00827764">
            <w:pPr>
              <w:widowControl w:val="0"/>
              <w:rPr>
                <w:bCs/>
                <w:sz w:val="20"/>
                <w:szCs w:val="20"/>
              </w:rPr>
            </w:pPr>
            <w:r w:rsidRPr="005F375A">
              <w:rPr>
                <w:bCs/>
                <w:sz w:val="20"/>
                <w:szCs w:val="20"/>
              </w:rPr>
              <w:t>Yakutat</w:t>
            </w:r>
          </w:p>
        </w:tc>
        <w:tc>
          <w:tcPr>
            <w:tcW w:w="1180" w:type="dxa"/>
            <w:vAlign w:val="center"/>
          </w:tcPr>
          <w:p w:rsidR="00F73027" w:rsidRPr="005F375A" w:rsidRDefault="00F73027" w:rsidP="00827764">
            <w:pPr>
              <w:widowControl w:val="0"/>
              <w:jc w:val="center"/>
              <w:rPr>
                <w:bCs/>
                <w:sz w:val="20"/>
                <w:szCs w:val="20"/>
              </w:rPr>
            </w:pPr>
            <w:r w:rsidRPr="005F375A">
              <w:rPr>
                <w:bCs/>
                <w:sz w:val="20"/>
                <w:szCs w:val="20"/>
              </w:rPr>
              <w:t>3A</w:t>
            </w:r>
          </w:p>
        </w:tc>
        <w:tc>
          <w:tcPr>
            <w:tcW w:w="1419" w:type="dxa"/>
            <w:vAlign w:val="center"/>
          </w:tcPr>
          <w:p w:rsidR="00F73027" w:rsidRPr="005F375A" w:rsidRDefault="00F73027" w:rsidP="00827764">
            <w:pPr>
              <w:widowControl w:val="0"/>
              <w:rPr>
                <w:bCs/>
                <w:sz w:val="20"/>
                <w:szCs w:val="20"/>
              </w:rPr>
            </w:pPr>
            <w:r w:rsidRPr="005F375A">
              <w:rPr>
                <w:bCs/>
                <w:sz w:val="20"/>
                <w:szCs w:val="20"/>
              </w:rPr>
              <w:t>City of Yakutat</w:t>
            </w:r>
            <w:r w:rsidRPr="005F375A">
              <w:rPr>
                <w:b/>
                <w:bCs/>
                <w:sz w:val="20"/>
                <w:szCs w:val="20"/>
              </w:rPr>
              <w:t>.</w:t>
            </w:r>
          </w:p>
        </w:tc>
        <w:tc>
          <w:tcPr>
            <w:tcW w:w="605"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9"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630" w:type="dxa"/>
          </w:tcPr>
          <w:p w:rsidR="00F73027" w:rsidRPr="005F375A" w:rsidRDefault="00F73027" w:rsidP="00827764">
            <w:pPr>
              <w:widowControl w:val="0"/>
              <w:jc w:val="center"/>
              <w:rPr>
                <w:bCs/>
                <w:sz w:val="20"/>
                <w:szCs w:val="20"/>
              </w:rPr>
            </w:pPr>
          </w:p>
        </w:tc>
        <w:tc>
          <w:tcPr>
            <w:tcW w:w="1350" w:type="dxa"/>
            <w:vAlign w:val="center"/>
          </w:tcPr>
          <w:p w:rsidR="00F73027" w:rsidRPr="005F375A" w:rsidRDefault="00F73027" w:rsidP="00827764">
            <w:pPr>
              <w:widowControl w:val="0"/>
              <w:jc w:val="center"/>
              <w:rPr>
                <w:bCs/>
                <w:sz w:val="20"/>
                <w:szCs w:val="20"/>
              </w:rPr>
            </w:pPr>
            <w:r w:rsidRPr="005F375A">
              <w:rPr>
                <w:bCs/>
                <w:sz w:val="20"/>
                <w:szCs w:val="20"/>
              </w:rPr>
              <w:t>X</w:t>
            </w:r>
          </w:p>
        </w:tc>
        <w:tc>
          <w:tcPr>
            <w:tcW w:w="540" w:type="dxa"/>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p>
        </w:tc>
        <w:tc>
          <w:tcPr>
            <w:tcW w:w="630" w:type="dxa"/>
            <w:vAlign w:val="center"/>
          </w:tcPr>
          <w:p w:rsidR="00F73027" w:rsidRPr="005F375A" w:rsidRDefault="00F73027" w:rsidP="00827764">
            <w:pPr>
              <w:widowControl w:val="0"/>
              <w:jc w:val="center"/>
              <w:rPr>
                <w:bCs/>
                <w:sz w:val="20"/>
                <w:szCs w:val="20"/>
              </w:rPr>
            </w:pPr>
            <w:r w:rsidRPr="005F375A">
              <w:rPr>
                <w:bCs/>
                <w:sz w:val="20"/>
                <w:szCs w:val="20"/>
              </w:rPr>
              <w:t>7</w:t>
            </w:r>
          </w:p>
        </w:tc>
        <w:tc>
          <w:tcPr>
            <w:tcW w:w="900" w:type="dxa"/>
            <w:vAlign w:val="center"/>
          </w:tcPr>
          <w:p w:rsidR="00F73027" w:rsidRPr="005F375A" w:rsidRDefault="00F73027" w:rsidP="00827764">
            <w:pPr>
              <w:widowControl w:val="0"/>
              <w:jc w:val="center"/>
              <w:rPr>
                <w:bCs/>
                <w:sz w:val="20"/>
                <w:szCs w:val="20"/>
              </w:rPr>
            </w:pPr>
            <w:r w:rsidRPr="005F375A">
              <w:rPr>
                <w:bCs/>
                <w:sz w:val="20"/>
                <w:szCs w:val="20"/>
              </w:rPr>
              <w:t>3</w:t>
            </w:r>
          </w:p>
        </w:tc>
        <w:tc>
          <w:tcPr>
            <w:tcW w:w="900" w:type="dxa"/>
            <w:vAlign w:val="center"/>
          </w:tcPr>
          <w:p w:rsidR="00F73027" w:rsidRPr="005F375A" w:rsidRDefault="00F73027" w:rsidP="00827764">
            <w:pPr>
              <w:widowControl w:val="0"/>
              <w:jc w:val="center"/>
              <w:rPr>
                <w:bCs/>
                <w:sz w:val="20"/>
                <w:szCs w:val="20"/>
              </w:rPr>
            </w:pPr>
          </w:p>
        </w:tc>
      </w:tr>
    </w:tbl>
    <w:p w:rsidR="0087042D" w:rsidRPr="005F375A" w:rsidRDefault="0087042D" w:rsidP="004D4FD3">
      <w:pPr>
        <w:ind w:left="-630"/>
        <w:rPr>
          <w:sz w:val="20"/>
          <w:szCs w:val="20"/>
        </w:rPr>
      </w:pPr>
      <w:r w:rsidRPr="005F375A">
        <w:rPr>
          <w:sz w:val="20"/>
          <w:szCs w:val="20"/>
        </w:rPr>
        <w:t>N/A means there is not a governing body recognized in the community at this time.  CHPs are Charter halibut permits.</w:t>
      </w:r>
    </w:p>
    <w:p w:rsidR="00390A3C" w:rsidRPr="005F375A" w:rsidRDefault="00390A3C">
      <w:pPr>
        <w:spacing w:after="200" w:line="276" w:lineRule="auto"/>
        <w:rPr>
          <w:b/>
          <w:bCs/>
        </w:rPr>
      </w:pPr>
    </w:p>
    <w:p w:rsidR="005F375A" w:rsidRDefault="00782956" w:rsidP="005A78DE">
      <w:pPr>
        <w:tabs>
          <w:tab w:val="left" w:pos="720"/>
        </w:tabs>
        <w:rPr>
          <w:b/>
        </w:rPr>
      </w:pPr>
      <w:proofErr w:type="gramStart"/>
      <w:r w:rsidRPr="00C64887">
        <w:rPr>
          <w:b/>
        </w:rPr>
        <w:t xml:space="preserve">a.  </w:t>
      </w:r>
      <w:r w:rsidR="00C64887" w:rsidRPr="00C64887">
        <w:rPr>
          <w:b/>
        </w:rPr>
        <w:t>Application</w:t>
      </w:r>
      <w:proofErr w:type="gramEnd"/>
      <w:r w:rsidR="00C64887" w:rsidRPr="00C64887">
        <w:rPr>
          <w:b/>
        </w:rPr>
        <w:t xml:space="preserve"> for a Non-profit Corporation to be Designated as a Community Quota</w:t>
      </w:r>
    </w:p>
    <w:p w:rsidR="00C64887" w:rsidRPr="00C64887" w:rsidRDefault="00C64887" w:rsidP="005A78DE">
      <w:pPr>
        <w:tabs>
          <w:tab w:val="left" w:pos="720"/>
        </w:tabs>
        <w:rPr>
          <w:b/>
        </w:rPr>
      </w:pPr>
      <w:r w:rsidRPr="00C64887">
        <w:rPr>
          <w:b/>
        </w:rPr>
        <w:t>Entity (CQE)</w:t>
      </w:r>
      <w:r w:rsidR="00A66C6B">
        <w:rPr>
          <w:b/>
        </w:rPr>
        <w:t xml:space="preserve"> </w:t>
      </w:r>
      <w:r w:rsidR="00F241DE">
        <w:rPr>
          <w:b/>
        </w:rPr>
        <w:t>[</w:t>
      </w:r>
      <w:r w:rsidR="00820017">
        <w:rPr>
          <w:b/>
        </w:rPr>
        <w:t>REVISED</w:t>
      </w:r>
      <w:r w:rsidR="00F241DE">
        <w:rPr>
          <w:b/>
        </w:rPr>
        <w:t>]</w:t>
      </w:r>
    </w:p>
    <w:p w:rsidR="00A94CDD" w:rsidRDefault="00A94CDD" w:rsidP="00C64887">
      <w:pPr>
        <w:tabs>
          <w:tab w:val="left" w:pos="720"/>
        </w:tabs>
        <w:rPr>
          <w:b/>
        </w:rPr>
      </w:pPr>
    </w:p>
    <w:p w:rsidR="00442332" w:rsidRPr="00CC7E65" w:rsidRDefault="002F5B3F" w:rsidP="00534C1F">
      <w:pPr>
        <w:tabs>
          <w:tab w:val="left" w:pos="360"/>
          <w:tab w:val="left" w:pos="720"/>
          <w:tab w:val="left" w:pos="1080"/>
          <w:tab w:val="left" w:pos="1440"/>
        </w:tabs>
      </w:pPr>
      <w:r w:rsidRPr="00CC7E65">
        <w:t>Consistent with regulations applicable to GOA</w:t>
      </w:r>
      <w:r w:rsidR="00B33F39" w:rsidRPr="00CC7E65">
        <w:t xml:space="preserve"> </w:t>
      </w:r>
      <w:r w:rsidRPr="00CC7E65">
        <w:t>CQEs at § 679.41(l</w:t>
      </w:r>
      <w:proofErr w:type="gramStart"/>
      <w:r w:rsidRPr="00CC7E65">
        <w:t>)(</w:t>
      </w:r>
      <w:proofErr w:type="gramEnd"/>
      <w:r w:rsidRPr="00CC7E65">
        <w:t xml:space="preserve">3), </w:t>
      </w:r>
      <w:r w:rsidR="00442332" w:rsidRPr="00CC7E65">
        <w:t>the Aleutian Islands CQE would complete the same application as that currently required for GOA CQEs.</w:t>
      </w:r>
      <w:r w:rsidR="003B0D7F" w:rsidRPr="00CC7E65">
        <w:t xml:space="preserve">  However, b</w:t>
      </w:r>
      <w:r w:rsidR="00B33F39" w:rsidRPr="00CC7E65">
        <w:t xml:space="preserve">ecause this action would allow an Aleutian Islands CQE to lease IFQ to eligible community residents and non-residents for the first 5 years after the effective date of the final rule, </w:t>
      </w:r>
      <w:r w:rsidR="001D4817" w:rsidRPr="00CC7E65">
        <w:t>NMFS would mo</w:t>
      </w:r>
      <w:r w:rsidR="00B33F39" w:rsidRPr="00CC7E65">
        <w:t>dif</w:t>
      </w:r>
      <w:r w:rsidR="001D4817" w:rsidRPr="00CC7E65">
        <w:t xml:space="preserve">y </w:t>
      </w:r>
      <w:r w:rsidR="00442332" w:rsidRPr="00CC7E65">
        <w:t>the application</w:t>
      </w:r>
      <w:r w:rsidR="00B33F39" w:rsidRPr="00CC7E65">
        <w:t xml:space="preserve"> </w:t>
      </w:r>
      <w:r w:rsidR="001D4817" w:rsidRPr="00CC7E65">
        <w:t xml:space="preserve">to </w:t>
      </w:r>
      <w:r w:rsidR="00B33F39" w:rsidRPr="00CC7E65">
        <w:t>clarify the mechanisms for considering and distributing IFQ among eligible community residents and non-residents of Adak</w:t>
      </w:r>
      <w:r w:rsidR="00442332" w:rsidRPr="00CC7E65">
        <w:t xml:space="preserve">, </w:t>
      </w:r>
      <w:r w:rsidRPr="00CC7E65">
        <w:t>discussed below</w:t>
      </w:r>
      <w:r w:rsidR="00442332" w:rsidRPr="00CC7E65">
        <w:t>.</w:t>
      </w:r>
      <w:r w:rsidR="003B0D7F" w:rsidRPr="00CC7E65">
        <w:t xml:space="preserve">  In addition to the application and other required documentation, the potential Aleutian Islands CQE must</w:t>
      </w:r>
    </w:p>
    <w:p w:rsidR="00534C1F" w:rsidRPr="00CC7E65" w:rsidRDefault="002F5B3F" w:rsidP="00534C1F">
      <w:pPr>
        <w:tabs>
          <w:tab w:val="left" w:pos="360"/>
          <w:tab w:val="left" w:pos="720"/>
          <w:tab w:val="left" w:pos="1080"/>
          <w:tab w:val="left" w:pos="1440"/>
        </w:tabs>
      </w:pPr>
      <w:r w:rsidRPr="00CC7E65">
        <w:t xml:space="preserve"> </w:t>
      </w:r>
    </w:p>
    <w:p w:rsidR="00715B9A" w:rsidRPr="00CC7E65" w:rsidRDefault="00534C1F" w:rsidP="00715B9A">
      <w:pPr>
        <w:tabs>
          <w:tab w:val="left" w:pos="360"/>
          <w:tab w:val="left" w:pos="720"/>
          <w:tab w:val="left" w:pos="1080"/>
          <w:tab w:val="left" w:pos="1440"/>
        </w:tabs>
        <w:ind w:left="720" w:hanging="720"/>
      </w:pPr>
      <w:r w:rsidRPr="00CC7E65">
        <w:tab/>
        <w:t>♦</w:t>
      </w:r>
      <w:r w:rsidRPr="00CC7E65">
        <w:tab/>
      </w:r>
      <w:r w:rsidR="002F5B3F" w:rsidRPr="00CC7E65">
        <w:t xml:space="preserve">provide procedures to determine the distribution of IFQ to eligible community residents and non-residents of Adak, </w:t>
      </w:r>
    </w:p>
    <w:p w:rsidR="00715B9A" w:rsidRPr="00CC7E65" w:rsidRDefault="00715B9A" w:rsidP="00534C1F">
      <w:pPr>
        <w:tabs>
          <w:tab w:val="left" w:pos="360"/>
          <w:tab w:val="left" w:pos="720"/>
          <w:tab w:val="left" w:pos="1080"/>
          <w:tab w:val="left" w:pos="1440"/>
        </w:tabs>
      </w:pPr>
    </w:p>
    <w:p w:rsidR="00715B9A" w:rsidRPr="00CC7E65" w:rsidRDefault="00715B9A" w:rsidP="00715B9A">
      <w:pPr>
        <w:tabs>
          <w:tab w:val="left" w:pos="360"/>
          <w:tab w:val="left" w:pos="720"/>
          <w:tab w:val="left" w:pos="1080"/>
          <w:tab w:val="left" w:pos="1440"/>
        </w:tabs>
        <w:ind w:left="720" w:hanging="720"/>
      </w:pPr>
      <w:r w:rsidRPr="00CC7E65">
        <w:tab/>
        <w:t>♦</w:t>
      </w:r>
      <w:r w:rsidRPr="00CC7E65">
        <w:tab/>
        <w:t xml:space="preserve">provide </w:t>
      </w:r>
      <w:r w:rsidR="002F5B3F" w:rsidRPr="00CC7E65">
        <w:t xml:space="preserve">procedures to solicit requests from eligible community residents and non-residents to lease IFQ; and </w:t>
      </w:r>
    </w:p>
    <w:p w:rsidR="00715B9A" w:rsidRPr="00CC7E65" w:rsidRDefault="00715B9A" w:rsidP="00534C1F">
      <w:pPr>
        <w:tabs>
          <w:tab w:val="left" w:pos="360"/>
          <w:tab w:val="left" w:pos="720"/>
          <w:tab w:val="left" w:pos="1080"/>
          <w:tab w:val="left" w:pos="1440"/>
        </w:tabs>
      </w:pPr>
    </w:p>
    <w:p w:rsidR="00715B9A" w:rsidRPr="00CC7E65" w:rsidRDefault="00715B9A" w:rsidP="00715B9A">
      <w:pPr>
        <w:tabs>
          <w:tab w:val="left" w:pos="360"/>
          <w:tab w:val="left" w:pos="720"/>
          <w:tab w:val="left" w:pos="1080"/>
          <w:tab w:val="left" w:pos="1440"/>
        </w:tabs>
        <w:ind w:left="720" w:hanging="720"/>
      </w:pPr>
      <w:r w:rsidRPr="00CC7E65">
        <w:tab/>
        <w:t>♦</w:t>
      </w:r>
      <w:r w:rsidRPr="00CC7E65">
        <w:tab/>
        <w:t xml:space="preserve">provide </w:t>
      </w:r>
      <w:r w:rsidR="002F5B3F" w:rsidRPr="00CC7E65">
        <w:t xml:space="preserve">criteria </w:t>
      </w:r>
      <w:r w:rsidRPr="00CC7E65">
        <w:t>t</w:t>
      </w:r>
      <w:r w:rsidR="002F5B3F" w:rsidRPr="00CC7E65">
        <w:t xml:space="preserve">o determine the distribution of IFQ leases among eligible community residents and non-residents and the relative weighting of those criteria.  </w:t>
      </w:r>
    </w:p>
    <w:p w:rsidR="008422AC" w:rsidRPr="00C64887" w:rsidRDefault="00442332" w:rsidP="008422AC">
      <w:pPr>
        <w:tabs>
          <w:tab w:val="left" w:pos="720"/>
        </w:tabs>
      </w:pPr>
      <w:r>
        <w:lastRenderedPageBreak/>
        <w:t>E</w:t>
      </w:r>
      <w:r w:rsidR="00A94CDD">
        <w:t xml:space="preserve">ligibility </w:t>
      </w:r>
      <w:r>
        <w:t xml:space="preserve">documentation </w:t>
      </w:r>
      <w:r w:rsidR="00A94CDD">
        <w:t xml:space="preserve">as </w:t>
      </w:r>
      <w:r w:rsidR="008422AC">
        <w:t xml:space="preserve">a CQE </w:t>
      </w:r>
      <w:r w:rsidR="00A94CDD">
        <w:t xml:space="preserve">would </w:t>
      </w:r>
      <w:r w:rsidR="00A94CDD" w:rsidRPr="00A94CDD">
        <w:t>demonstrate proof of support from the community that the non-profit organization is seeking to represent</w:t>
      </w:r>
      <w:r w:rsidR="00B81F21">
        <w:t xml:space="preserve">.  </w:t>
      </w:r>
      <w:r w:rsidR="00A97B98">
        <w:t xml:space="preserve">NMFS would use this </w:t>
      </w:r>
      <w:r w:rsidR="008422AC">
        <w:t xml:space="preserve">information both to evaluate the ability of the non-profit applicant to represent an </w:t>
      </w:r>
      <w:r w:rsidR="000611B9">
        <w:t>e</w:t>
      </w:r>
      <w:r w:rsidR="008422AC">
        <w:t xml:space="preserve">ligible GOA </w:t>
      </w:r>
      <w:r w:rsidR="00685648">
        <w:t xml:space="preserve">or Aleutian Islands </w:t>
      </w:r>
      <w:r w:rsidR="008422AC">
        <w:t>community and to ensure the non-profit has the support of the community’s government body.</w:t>
      </w:r>
    </w:p>
    <w:p w:rsidR="00C64887" w:rsidRPr="00C64887" w:rsidRDefault="00C64887" w:rsidP="00C64887">
      <w:pPr>
        <w:tabs>
          <w:tab w:val="left" w:pos="720"/>
        </w:tabs>
      </w:pPr>
    </w:p>
    <w:p w:rsidR="00C64887" w:rsidRPr="00C64887" w:rsidRDefault="00C64887" w:rsidP="00D54B1C">
      <w:pPr>
        <w:tabs>
          <w:tab w:val="left" w:pos="720"/>
          <w:tab w:val="left" w:pos="2520"/>
        </w:tabs>
      </w:pPr>
      <w:r w:rsidRPr="00C64887">
        <w:t xml:space="preserve">When completed, </w:t>
      </w:r>
      <w:r w:rsidR="005470D2">
        <w:t>the</w:t>
      </w:r>
      <w:r w:rsidRPr="00C64887">
        <w:t xml:space="preserve"> application</w:t>
      </w:r>
      <w:r w:rsidR="005470D2">
        <w:t xml:space="preserve"> may be submitted</w:t>
      </w:r>
      <w:r w:rsidRPr="00C64887">
        <w:t xml:space="preserve"> </w:t>
      </w:r>
      <w:r w:rsidR="00391823">
        <w:t>to NMFS</w:t>
      </w:r>
    </w:p>
    <w:p w:rsidR="00C64887" w:rsidRPr="00C64887" w:rsidRDefault="00C64887" w:rsidP="00D54B1C">
      <w:pPr>
        <w:tabs>
          <w:tab w:val="left" w:pos="720"/>
          <w:tab w:val="left" w:pos="2520"/>
        </w:tabs>
      </w:pPr>
    </w:p>
    <w:p w:rsidR="00C64887" w:rsidRPr="00C64887" w:rsidRDefault="00C64887" w:rsidP="00D54B1C">
      <w:pPr>
        <w:tabs>
          <w:tab w:val="left" w:pos="720"/>
          <w:tab w:val="left" w:pos="2520"/>
          <w:tab w:val="left" w:pos="4320"/>
        </w:tabs>
      </w:pPr>
      <w:r w:rsidRPr="00C64887">
        <w:tab/>
      </w:r>
      <w:r w:rsidR="00685648">
        <w:t>B</w:t>
      </w:r>
      <w:r w:rsidR="00742A9E">
        <w:t>y mail to:</w:t>
      </w:r>
      <w:r w:rsidRPr="00C64887">
        <w:tab/>
        <w:t>NMFS Alaska Region</w:t>
      </w:r>
    </w:p>
    <w:p w:rsidR="00C64887" w:rsidRPr="00C64887" w:rsidRDefault="00C64887" w:rsidP="00D54B1C">
      <w:pPr>
        <w:tabs>
          <w:tab w:val="left" w:pos="720"/>
          <w:tab w:val="left" w:pos="2520"/>
        </w:tabs>
      </w:pPr>
      <w:r w:rsidRPr="00C64887">
        <w:tab/>
      </w:r>
      <w:r w:rsidR="005470D2">
        <w:tab/>
      </w:r>
      <w:r w:rsidRPr="00C64887">
        <w:t>Restricted Access Management (RAM)</w:t>
      </w:r>
    </w:p>
    <w:p w:rsidR="00C64887" w:rsidRPr="00C64887" w:rsidRDefault="00C64887" w:rsidP="00D54B1C">
      <w:pPr>
        <w:tabs>
          <w:tab w:val="left" w:pos="720"/>
          <w:tab w:val="left" w:pos="2520"/>
        </w:tabs>
      </w:pPr>
      <w:r w:rsidRPr="00C64887">
        <w:tab/>
      </w:r>
      <w:r w:rsidR="005470D2">
        <w:tab/>
      </w:r>
      <w:r w:rsidRPr="00C64887">
        <w:t>P.O. Box 21668</w:t>
      </w:r>
    </w:p>
    <w:p w:rsidR="00C64887" w:rsidRDefault="00C64887" w:rsidP="00D54B1C">
      <w:pPr>
        <w:tabs>
          <w:tab w:val="left" w:pos="720"/>
          <w:tab w:val="left" w:pos="2520"/>
        </w:tabs>
      </w:pPr>
      <w:r w:rsidRPr="00C64887">
        <w:tab/>
      </w:r>
      <w:r w:rsidR="005470D2">
        <w:tab/>
      </w:r>
      <w:r w:rsidRPr="00C64887">
        <w:t>Juneau, Alaska 99802-1668</w:t>
      </w:r>
    </w:p>
    <w:p w:rsidR="005470D2" w:rsidRPr="00C64887" w:rsidRDefault="005470D2" w:rsidP="00D54B1C">
      <w:pPr>
        <w:tabs>
          <w:tab w:val="left" w:pos="720"/>
          <w:tab w:val="left" w:pos="2520"/>
        </w:tabs>
      </w:pPr>
    </w:p>
    <w:p w:rsidR="00C64887" w:rsidRPr="00C64887" w:rsidRDefault="00C64887" w:rsidP="00D54B1C">
      <w:pPr>
        <w:tabs>
          <w:tab w:val="left" w:pos="720"/>
          <w:tab w:val="left" w:pos="2520"/>
        </w:tabs>
      </w:pPr>
      <w:r w:rsidRPr="00C64887">
        <w:tab/>
      </w:r>
      <w:r w:rsidR="00685648">
        <w:t>O</w:t>
      </w:r>
      <w:r w:rsidRPr="00C64887">
        <w:t>r</w:t>
      </w:r>
      <w:r w:rsidR="00685648">
        <w:t xml:space="preserve">, </w:t>
      </w:r>
      <w:r w:rsidR="00742A9E">
        <w:t>deliver to:</w:t>
      </w:r>
      <w:r w:rsidRPr="00C64887">
        <w:tab/>
        <w:t>709 West 9th Street, Room 713</w:t>
      </w:r>
    </w:p>
    <w:p w:rsidR="00C64887" w:rsidRDefault="00C64887" w:rsidP="00D54B1C">
      <w:pPr>
        <w:tabs>
          <w:tab w:val="left" w:pos="720"/>
          <w:tab w:val="left" w:pos="2520"/>
        </w:tabs>
      </w:pPr>
      <w:r w:rsidRPr="00C64887">
        <w:tab/>
      </w:r>
      <w:r w:rsidR="005470D2">
        <w:tab/>
      </w:r>
      <w:r w:rsidRPr="00C64887">
        <w:t>Juneau, AK  99801</w:t>
      </w:r>
    </w:p>
    <w:p w:rsidR="000611B9" w:rsidRDefault="000611B9" w:rsidP="00D54B1C">
      <w:pPr>
        <w:tabs>
          <w:tab w:val="left" w:pos="720"/>
          <w:tab w:val="left" w:pos="2520"/>
        </w:tabs>
      </w:pPr>
    </w:p>
    <w:p w:rsidR="000611B9" w:rsidRPr="00C64887" w:rsidRDefault="000611B9" w:rsidP="000611B9">
      <w:pPr>
        <w:tabs>
          <w:tab w:val="left" w:pos="720"/>
        </w:tabs>
      </w:pPr>
      <w:r w:rsidRPr="00C64887">
        <w:t>Fax submittal is not acceptable due to the Notary requirements.  All signatures must be witnessed by a Notary Public (or, in some remote areas, the community Postmaster or Postmistress).</w:t>
      </w:r>
    </w:p>
    <w:p w:rsidR="00C64887" w:rsidRDefault="00C64887" w:rsidP="00C64887">
      <w:pPr>
        <w:tabs>
          <w:tab w:val="left" w:pos="720"/>
        </w:tabs>
      </w:pPr>
    </w:p>
    <w:p w:rsidR="008422AC" w:rsidRPr="008422AC" w:rsidRDefault="008422AC" w:rsidP="00C64887">
      <w:pPr>
        <w:tabs>
          <w:tab w:val="left" w:pos="720"/>
        </w:tabs>
        <w:rPr>
          <w:b/>
          <w:sz w:val="20"/>
          <w:szCs w:val="20"/>
        </w:rPr>
      </w:pPr>
      <w:r w:rsidRPr="008422AC">
        <w:rPr>
          <w:b/>
          <w:sz w:val="20"/>
          <w:szCs w:val="20"/>
        </w:rPr>
        <w:t xml:space="preserve">Application for a Non-profit Corporation to be </w:t>
      </w:r>
      <w:proofErr w:type="gramStart"/>
      <w:r w:rsidRPr="008422AC">
        <w:rPr>
          <w:b/>
          <w:sz w:val="20"/>
          <w:szCs w:val="20"/>
        </w:rPr>
        <w:t>Designated</w:t>
      </w:r>
      <w:proofErr w:type="gramEnd"/>
      <w:r w:rsidRPr="008422AC">
        <w:rPr>
          <w:b/>
          <w:sz w:val="20"/>
          <w:szCs w:val="20"/>
        </w:rPr>
        <w:t xml:space="preserve"> as a CQE</w:t>
      </w:r>
    </w:p>
    <w:p w:rsidR="00C64887" w:rsidRPr="005470D2" w:rsidRDefault="005470D2" w:rsidP="005470D2">
      <w:pPr>
        <w:tabs>
          <w:tab w:val="left" w:pos="360"/>
          <w:tab w:val="left" w:pos="720"/>
          <w:tab w:val="left" w:pos="1080"/>
          <w:tab w:val="left" w:pos="1440"/>
        </w:tabs>
        <w:rPr>
          <w:sz w:val="20"/>
          <w:szCs w:val="20"/>
          <w:u w:val="single"/>
        </w:rPr>
      </w:pPr>
      <w:r w:rsidRPr="005470D2">
        <w:rPr>
          <w:sz w:val="20"/>
          <w:szCs w:val="20"/>
          <w:u w:val="single"/>
        </w:rPr>
        <w:t xml:space="preserve">Block </w:t>
      </w:r>
      <w:proofErr w:type="gramStart"/>
      <w:r w:rsidR="00C64887" w:rsidRPr="005470D2">
        <w:rPr>
          <w:sz w:val="20"/>
          <w:szCs w:val="20"/>
          <w:u w:val="single"/>
        </w:rPr>
        <w:t>A</w:t>
      </w:r>
      <w:proofErr w:type="gramEnd"/>
      <w:r w:rsidR="00C64887" w:rsidRPr="005470D2">
        <w:rPr>
          <w:sz w:val="20"/>
          <w:szCs w:val="20"/>
          <w:u w:val="single"/>
        </w:rPr>
        <w:t xml:space="preserve"> - </w:t>
      </w:r>
      <w:r>
        <w:rPr>
          <w:sz w:val="20"/>
          <w:szCs w:val="20"/>
          <w:u w:val="single"/>
        </w:rPr>
        <w:t>Identification o</w:t>
      </w:r>
      <w:r w:rsidRPr="005470D2">
        <w:rPr>
          <w:sz w:val="20"/>
          <w:szCs w:val="20"/>
          <w:u w:val="single"/>
        </w:rPr>
        <w:t>f Applicant</w:t>
      </w:r>
    </w:p>
    <w:p w:rsidR="00C64887" w:rsidRPr="005470D2" w:rsidRDefault="00391823" w:rsidP="005470D2">
      <w:pPr>
        <w:tabs>
          <w:tab w:val="left" w:pos="360"/>
          <w:tab w:val="left" w:pos="720"/>
          <w:tab w:val="left" w:pos="1080"/>
          <w:tab w:val="left" w:pos="1440"/>
        </w:tabs>
        <w:rPr>
          <w:sz w:val="20"/>
          <w:szCs w:val="20"/>
        </w:rPr>
      </w:pPr>
      <w:r>
        <w:rPr>
          <w:sz w:val="20"/>
          <w:szCs w:val="20"/>
        </w:rPr>
        <w:tab/>
        <w:t>N</w:t>
      </w:r>
      <w:r w:rsidR="00496644">
        <w:rPr>
          <w:sz w:val="20"/>
          <w:szCs w:val="20"/>
        </w:rPr>
        <w:t>ame of the non-profit organization</w:t>
      </w:r>
    </w:p>
    <w:p w:rsidR="00C64887" w:rsidRPr="005470D2" w:rsidRDefault="00C64887" w:rsidP="005470D2">
      <w:pPr>
        <w:tabs>
          <w:tab w:val="left" w:pos="360"/>
          <w:tab w:val="left" w:pos="720"/>
          <w:tab w:val="left" w:pos="1080"/>
          <w:tab w:val="left" w:pos="1440"/>
        </w:tabs>
        <w:rPr>
          <w:sz w:val="20"/>
          <w:szCs w:val="20"/>
        </w:rPr>
      </w:pPr>
      <w:r w:rsidRPr="005470D2">
        <w:rPr>
          <w:sz w:val="20"/>
          <w:szCs w:val="20"/>
        </w:rPr>
        <w:tab/>
        <w:t xml:space="preserve">Name of the contact person </w:t>
      </w:r>
    </w:p>
    <w:p w:rsidR="00C64887" w:rsidRPr="005470D2" w:rsidRDefault="00C64887" w:rsidP="005470D2">
      <w:pPr>
        <w:tabs>
          <w:tab w:val="left" w:pos="360"/>
          <w:tab w:val="left" w:pos="720"/>
          <w:tab w:val="left" w:pos="1080"/>
          <w:tab w:val="left" w:pos="1440"/>
        </w:tabs>
        <w:rPr>
          <w:sz w:val="20"/>
          <w:szCs w:val="20"/>
        </w:rPr>
      </w:pPr>
      <w:r w:rsidRPr="005470D2">
        <w:rPr>
          <w:sz w:val="20"/>
          <w:szCs w:val="20"/>
        </w:rPr>
        <w:tab/>
      </w:r>
      <w:r w:rsidR="00391823">
        <w:rPr>
          <w:sz w:val="20"/>
          <w:szCs w:val="20"/>
        </w:rPr>
        <w:t>P</w:t>
      </w:r>
      <w:r w:rsidRPr="005470D2">
        <w:rPr>
          <w:sz w:val="20"/>
          <w:szCs w:val="20"/>
        </w:rPr>
        <w:t>ermanent business mailing address, including street or P.O. Box, city, state, and zip code</w:t>
      </w:r>
    </w:p>
    <w:p w:rsidR="00C64887" w:rsidRPr="005470D2" w:rsidRDefault="00C64887" w:rsidP="005470D2">
      <w:pPr>
        <w:tabs>
          <w:tab w:val="left" w:pos="360"/>
          <w:tab w:val="left" w:pos="720"/>
          <w:tab w:val="left" w:pos="1080"/>
          <w:tab w:val="left" w:pos="1440"/>
        </w:tabs>
        <w:rPr>
          <w:sz w:val="20"/>
          <w:szCs w:val="20"/>
        </w:rPr>
      </w:pPr>
      <w:r w:rsidRPr="005470D2">
        <w:rPr>
          <w:sz w:val="20"/>
          <w:szCs w:val="20"/>
        </w:rPr>
        <w:tab/>
        <w:t xml:space="preserve">Business telephone number, business fax number, and business e-mail address </w:t>
      </w:r>
    </w:p>
    <w:p w:rsidR="00C64887" w:rsidRPr="005470D2" w:rsidRDefault="00C64887" w:rsidP="005470D2">
      <w:pPr>
        <w:tabs>
          <w:tab w:val="left" w:pos="360"/>
          <w:tab w:val="left" w:pos="720"/>
          <w:tab w:val="left" w:pos="1080"/>
          <w:tab w:val="left" w:pos="1440"/>
        </w:tabs>
        <w:rPr>
          <w:sz w:val="20"/>
          <w:szCs w:val="20"/>
        </w:rPr>
      </w:pPr>
      <w:r w:rsidRPr="005470D2">
        <w:rPr>
          <w:sz w:val="20"/>
          <w:szCs w:val="20"/>
        </w:rPr>
        <w:tab/>
      </w:r>
      <w:r w:rsidR="00391823">
        <w:rPr>
          <w:sz w:val="20"/>
          <w:szCs w:val="20"/>
        </w:rPr>
        <w:t>N</w:t>
      </w:r>
      <w:r w:rsidRPr="005470D2">
        <w:rPr>
          <w:sz w:val="20"/>
          <w:szCs w:val="20"/>
        </w:rPr>
        <w:t xml:space="preserve">ame of community </w:t>
      </w:r>
      <w:r w:rsidR="00391823">
        <w:rPr>
          <w:sz w:val="20"/>
          <w:szCs w:val="20"/>
        </w:rPr>
        <w:t>represented by the non-profit</w:t>
      </w:r>
    </w:p>
    <w:p w:rsidR="00C64887" w:rsidRPr="005470D2" w:rsidRDefault="00C64887" w:rsidP="005470D2">
      <w:pPr>
        <w:tabs>
          <w:tab w:val="left" w:pos="360"/>
          <w:tab w:val="left" w:pos="720"/>
          <w:tab w:val="left" w:pos="1080"/>
          <w:tab w:val="left" w:pos="1440"/>
        </w:tabs>
        <w:rPr>
          <w:sz w:val="20"/>
          <w:szCs w:val="20"/>
        </w:rPr>
      </w:pPr>
      <w:r w:rsidRPr="005470D2">
        <w:rPr>
          <w:sz w:val="20"/>
          <w:szCs w:val="20"/>
        </w:rPr>
        <w:tab/>
      </w:r>
      <w:r w:rsidR="00391823">
        <w:rPr>
          <w:sz w:val="20"/>
          <w:szCs w:val="20"/>
        </w:rPr>
        <w:t>N</w:t>
      </w:r>
      <w:r w:rsidRPr="005470D2">
        <w:rPr>
          <w:sz w:val="20"/>
          <w:szCs w:val="20"/>
        </w:rPr>
        <w:t xml:space="preserve">ame of the contact person for Community </w:t>
      </w:r>
      <w:r w:rsidR="00391823">
        <w:rPr>
          <w:sz w:val="20"/>
          <w:szCs w:val="20"/>
        </w:rPr>
        <w:t xml:space="preserve">Governing Body </w:t>
      </w:r>
    </w:p>
    <w:p w:rsidR="00C64887" w:rsidRPr="008422AC" w:rsidRDefault="008422AC" w:rsidP="005470D2">
      <w:pPr>
        <w:tabs>
          <w:tab w:val="left" w:pos="360"/>
          <w:tab w:val="left" w:pos="720"/>
          <w:tab w:val="left" w:pos="1080"/>
          <w:tab w:val="left" w:pos="1440"/>
        </w:tabs>
        <w:rPr>
          <w:sz w:val="20"/>
          <w:szCs w:val="20"/>
          <w:u w:val="single"/>
        </w:rPr>
      </w:pPr>
      <w:r w:rsidRPr="008422AC">
        <w:rPr>
          <w:sz w:val="20"/>
          <w:szCs w:val="20"/>
          <w:u w:val="single"/>
        </w:rPr>
        <w:t xml:space="preserve">Block B - Required </w:t>
      </w:r>
      <w:r w:rsidR="005B236E">
        <w:rPr>
          <w:sz w:val="20"/>
          <w:szCs w:val="20"/>
          <w:u w:val="single"/>
        </w:rPr>
        <w:t>Attachments</w:t>
      </w:r>
      <w:r w:rsidR="004E6882" w:rsidRPr="004E6882">
        <w:rPr>
          <w:sz w:val="20"/>
          <w:szCs w:val="20"/>
        </w:rPr>
        <w:t xml:space="preserve"> – Checklist of a</w:t>
      </w:r>
      <w:r w:rsidRPr="004E6882">
        <w:rPr>
          <w:sz w:val="20"/>
          <w:szCs w:val="20"/>
        </w:rPr>
        <w:t>ttachments</w:t>
      </w:r>
    </w:p>
    <w:p w:rsidR="00C64887" w:rsidRPr="008422AC" w:rsidRDefault="008422AC" w:rsidP="005470D2">
      <w:pPr>
        <w:tabs>
          <w:tab w:val="left" w:pos="360"/>
          <w:tab w:val="left" w:pos="720"/>
          <w:tab w:val="left" w:pos="1080"/>
          <w:tab w:val="left" w:pos="1440"/>
        </w:tabs>
        <w:rPr>
          <w:sz w:val="20"/>
          <w:szCs w:val="20"/>
          <w:u w:val="single"/>
        </w:rPr>
      </w:pPr>
      <w:r w:rsidRPr="008422AC">
        <w:rPr>
          <w:sz w:val="20"/>
          <w:szCs w:val="20"/>
          <w:u w:val="single"/>
        </w:rPr>
        <w:t>Block C - Notary Certification</w:t>
      </w:r>
    </w:p>
    <w:p w:rsidR="00074FD0" w:rsidRDefault="00391823" w:rsidP="008422AC">
      <w:pPr>
        <w:tabs>
          <w:tab w:val="left" w:pos="360"/>
          <w:tab w:val="left" w:pos="720"/>
          <w:tab w:val="left" w:pos="1080"/>
          <w:tab w:val="left" w:pos="1440"/>
        </w:tabs>
        <w:ind w:left="360"/>
        <w:rPr>
          <w:sz w:val="20"/>
          <w:szCs w:val="20"/>
        </w:rPr>
      </w:pPr>
      <w:r>
        <w:rPr>
          <w:sz w:val="20"/>
          <w:szCs w:val="20"/>
        </w:rPr>
        <w:t>P</w:t>
      </w:r>
      <w:r w:rsidR="00C64887" w:rsidRPr="005470D2">
        <w:rPr>
          <w:sz w:val="20"/>
          <w:szCs w:val="20"/>
        </w:rPr>
        <w:t>rinted name</w:t>
      </w:r>
      <w:r w:rsidR="004E6882">
        <w:rPr>
          <w:sz w:val="20"/>
          <w:szCs w:val="20"/>
        </w:rPr>
        <w:t xml:space="preserve"> and</w:t>
      </w:r>
      <w:r w:rsidR="00C64887" w:rsidRPr="005470D2">
        <w:rPr>
          <w:sz w:val="20"/>
          <w:szCs w:val="20"/>
        </w:rPr>
        <w:t xml:space="preserve"> signature</w:t>
      </w:r>
      <w:r w:rsidR="004E6882">
        <w:rPr>
          <w:sz w:val="20"/>
          <w:szCs w:val="20"/>
        </w:rPr>
        <w:t xml:space="preserve"> of applicant</w:t>
      </w:r>
      <w:r w:rsidR="00C64887" w:rsidRPr="005470D2">
        <w:rPr>
          <w:sz w:val="20"/>
          <w:szCs w:val="20"/>
        </w:rPr>
        <w:t xml:space="preserve">, and date </w:t>
      </w:r>
      <w:r w:rsidR="00074FD0">
        <w:rPr>
          <w:sz w:val="20"/>
          <w:szCs w:val="20"/>
        </w:rPr>
        <w:t>signed.</w:t>
      </w:r>
    </w:p>
    <w:p w:rsidR="00C64887" w:rsidRPr="005470D2" w:rsidRDefault="00074FD0" w:rsidP="008422AC">
      <w:pPr>
        <w:tabs>
          <w:tab w:val="left" w:pos="360"/>
          <w:tab w:val="left" w:pos="720"/>
          <w:tab w:val="left" w:pos="1080"/>
          <w:tab w:val="left" w:pos="1440"/>
        </w:tabs>
        <w:ind w:left="360"/>
        <w:rPr>
          <w:sz w:val="20"/>
          <w:szCs w:val="20"/>
        </w:rPr>
      </w:pPr>
      <w:r>
        <w:rPr>
          <w:sz w:val="20"/>
          <w:szCs w:val="20"/>
        </w:rPr>
        <w:t>If completed by r</w:t>
      </w:r>
      <w:r w:rsidR="00C64887" w:rsidRPr="005470D2">
        <w:rPr>
          <w:sz w:val="20"/>
          <w:szCs w:val="20"/>
        </w:rPr>
        <w:t>epresentative</w:t>
      </w:r>
      <w:r>
        <w:rPr>
          <w:sz w:val="20"/>
          <w:szCs w:val="20"/>
        </w:rPr>
        <w:t xml:space="preserve">, </w:t>
      </w:r>
      <w:r w:rsidRPr="00074FD0">
        <w:rPr>
          <w:b/>
          <w:sz w:val="20"/>
          <w:szCs w:val="20"/>
        </w:rPr>
        <w:t>attach</w:t>
      </w:r>
      <w:r>
        <w:rPr>
          <w:sz w:val="20"/>
          <w:szCs w:val="20"/>
        </w:rPr>
        <w:t xml:space="preserve"> authorization</w:t>
      </w:r>
    </w:p>
    <w:p w:rsidR="008422AC" w:rsidRDefault="008422AC" w:rsidP="005470D2">
      <w:pPr>
        <w:tabs>
          <w:tab w:val="left" w:pos="360"/>
          <w:tab w:val="left" w:pos="720"/>
          <w:tab w:val="left" w:pos="1080"/>
          <w:tab w:val="left" w:pos="1440"/>
        </w:tabs>
        <w:rPr>
          <w:sz w:val="20"/>
          <w:szCs w:val="20"/>
        </w:rPr>
      </w:pPr>
      <w:r>
        <w:rPr>
          <w:sz w:val="20"/>
          <w:szCs w:val="20"/>
        </w:rPr>
        <w:tab/>
      </w:r>
      <w:r w:rsidR="00074FD0">
        <w:rPr>
          <w:sz w:val="20"/>
          <w:szCs w:val="20"/>
        </w:rPr>
        <w:t>Signature of notary public, d</w:t>
      </w:r>
      <w:r w:rsidR="00C64887" w:rsidRPr="005470D2">
        <w:rPr>
          <w:sz w:val="20"/>
          <w:szCs w:val="20"/>
        </w:rPr>
        <w:t xml:space="preserve">ate when commission expires, and Notary </w:t>
      </w:r>
      <w:r w:rsidR="00074FD0">
        <w:rPr>
          <w:sz w:val="20"/>
          <w:szCs w:val="20"/>
        </w:rPr>
        <w:t>s</w:t>
      </w:r>
      <w:r w:rsidR="00C64887" w:rsidRPr="005470D2">
        <w:rPr>
          <w:sz w:val="20"/>
          <w:szCs w:val="20"/>
        </w:rPr>
        <w:t>tamp</w:t>
      </w:r>
      <w:r w:rsidR="00074FD0">
        <w:rPr>
          <w:sz w:val="20"/>
          <w:szCs w:val="20"/>
        </w:rPr>
        <w:t xml:space="preserve"> or seal</w:t>
      </w:r>
      <w:r w:rsidR="00C64887" w:rsidRPr="005470D2">
        <w:rPr>
          <w:sz w:val="20"/>
          <w:szCs w:val="20"/>
        </w:rPr>
        <w:t xml:space="preserve">  </w:t>
      </w:r>
    </w:p>
    <w:p w:rsidR="00074FD0" w:rsidRDefault="00074FD0">
      <w:pPr>
        <w:spacing w:after="200" w:line="276" w:lineRule="auto"/>
        <w:rPr>
          <w:sz w:val="20"/>
          <w:szCs w:val="20"/>
        </w:rPr>
      </w:pPr>
    </w:p>
    <w:p w:rsidR="0018156A" w:rsidRDefault="00820017" w:rsidP="00714976">
      <w:pPr>
        <w:tabs>
          <w:tab w:val="left" w:pos="720"/>
        </w:tabs>
      </w:pPr>
      <w:r>
        <w:t xml:space="preserve">Each non-profit entity must apply to become a CQE representing a specific community.  </w:t>
      </w:r>
      <w:r w:rsidR="00B24973" w:rsidRPr="00B24973">
        <w:t>Each of the eligible communities must designate a CQE to represent it</w:t>
      </w:r>
      <w:r w:rsidR="00B24973">
        <w:t xml:space="preserve">.  </w:t>
      </w:r>
      <w:r w:rsidR="0068040A">
        <w:t xml:space="preserve">One CQE can represent more than one community, although a community can only have one CQE. </w:t>
      </w:r>
      <w:r w:rsidR="00573FAC">
        <w:t xml:space="preserve">There are </w:t>
      </w:r>
      <w:r w:rsidR="003C67A1">
        <w:t xml:space="preserve">potentially </w:t>
      </w:r>
      <w:r w:rsidR="00225031">
        <w:t xml:space="preserve">a total of </w:t>
      </w:r>
      <w:r w:rsidR="00CC7E65">
        <w:t>46</w:t>
      </w:r>
      <w:r w:rsidR="00573FAC">
        <w:t xml:space="preserve"> IFQ </w:t>
      </w:r>
      <w:r w:rsidR="00CC7E65">
        <w:t xml:space="preserve">and </w:t>
      </w:r>
      <w:r w:rsidR="00573FAC">
        <w:t>QS halibut and sablefish</w:t>
      </w:r>
      <w:r w:rsidR="00225031">
        <w:t xml:space="preserve"> eligible communities (including Adak)</w:t>
      </w:r>
      <w:r w:rsidR="00CC7E65">
        <w:t>, of which are also CQE eligible communities</w:t>
      </w:r>
      <w:r w:rsidR="00573FAC">
        <w:t>, 32 charter halibut</w:t>
      </w:r>
      <w:r w:rsidR="00225031">
        <w:t xml:space="preserve"> eligible communities</w:t>
      </w:r>
      <w:r w:rsidR="00573FAC">
        <w:t>, and 2</w:t>
      </w:r>
      <w:r w:rsidR="00523284">
        <w:t>4</w:t>
      </w:r>
      <w:r w:rsidR="00E57A5C">
        <w:t xml:space="preserve"> License Limitation Program (</w:t>
      </w:r>
      <w:r w:rsidR="00573FAC">
        <w:t>LLP</w:t>
      </w:r>
      <w:r w:rsidR="00E57A5C">
        <w:t>)</w:t>
      </w:r>
      <w:r w:rsidR="00573FAC">
        <w:t xml:space="preserve"> communities</w:t>
      </w:r>
      <w:r w:rsidR="00F737B6">
        <w:t>.</w:t>
      </w:r>
    </w:p>
    <w:p w:rsidR="00F7735A" w:rsidRDefault="00F7735A" w:rsidP="00820017">
      <w:pPr>
        <w:tabs>
          <w:tab w:val="left" w:pos="720"/>
        </w:tabs>
      </w:pPr>
    </w:p>
    <w:p w:rsidR="00F737B6" w:rsidRDefault="006D2BC4" w:rsidP="00F737B6">
      <w:pPr>
        <w:tabs>
          <w:tab w:val="left" w:pos="720"/>
        </w:tabs>
      </w:pPr>
      <w:r>
        <w:t xml:space="preserve">The previous analysis </w:t>
      </w:r>
      <w:r w:rsidR="00F737B6">
        <w:t>presented</w:t>
      </w:r>
      <w:r w:rsidR="00AF5CBB">
        <w:t xml:space="preserve"> the addition of </w:t>
      </w:r>
      <w:r>
        <w:t>seven respondents and responses</w:t>
      </w:r>
      <w:r w:rsidR="00F7735A">
        <w:t xml:space="preserve">, </w:t>
      </w:r>
      <w:r>
        <w:t>1</w:t>
      </w:r>
      <w:r w:rsidR="00B24973">
        <w:t>,</w:t>
      </w:r>
      <w:r>
        <w:t>400 hours</w:t>
      </w:r>
      <w:r w:rsidR="00AF5CBB">
        <w:t xml:space="preserve"> burden</w:t>
      </w:r>
      <w:r w:rsidR="00F7735A">
        <w:t xml:space="preserve">, </w:t>
      </w:r>
      <w:r w:rsidR="00B24973">
        <w:t>$</w:t>
      </w:r>
      <w:r w:rsidR="00F7735A">
        <w:t>210</w:t>
      </w:r>
      <w:r w:rsidR="00B24973">
        <w:t>,</w:t>
      </w:r>
      <w:r w:rsidR="00F7735A">
        <w:t>000 personnel costs, and $56 miscellaneous</w:t>
      </w:r>
      <w:r>
        <w:t xml:space="preserve">.  The current analysis </w:t>
      </w:r>
      <w:r w:rsidR="00F7735A">
        <w:t>show</w:t>
      </w:r>
      <w:r w:rsidR="00AF5CBB">
        <w:t xml:space="preserve">s one additional </w:t>
      </w:r>
      <w:r>
        <w:t>respondent</w:t>
      </w:r>
      <w:r w:rsidR="00F737B6">
        <w:t xml:space="preserve">, </w:t>
      </w:r>
      <w:r>
        <w:t>200 hr</w:t>
      </w:r>
      <w:r w:rsidR="00F737B6">
        <w:t xml:space="preserve"> burden</w:t>
      </w:r>
      <w:r w:rsidR="00F7735A">
        <w:t xml:space="preserve">, </w:t>
      </w:r>
      <w:r w:rsidR="00AF56D3">
        <w:t>$</w:t>
      </w:r>
      <w:r w:rsidR="00F7735A">
        <w:t>30</w:t>
      </w:r>
      <w:r w:rsidR="00AF56D3">
        <w:t>,</w:t>
      </w:r>
      <w:r w:rsidR="00F7735A">
        <w:t xml:space="preserve">000 personnel costs, and $8 </w:t>
      </w:r>
      <w:r w:rsidR="003C67A1">
        <w:t>miscellaneous</w:t>
      </w:r>
      <w:r w:rsidR="00F7735A">
        <w:t xml:space="preserve"> cost</w:t>
      </w:r>
      <w:r>
        <w:t>.  The difference</w:t>
      </w:r>
      <w:r w:rsidR="00F7735A">
        <w:t>s are</w:t>
      </w:r>
      <w:r>
        <w:t xml:space="preserve"> due </w:t>
      </w:r>
      <w:r w:rsidR="00F737B6">
        <w:t xml:space="preserve">to </w:t>
      </w:r>
      <w:r w:rsidR="00AF56D3">
        <w:t xml:space="preserve">one new CQE applying versus seven </w:t>
      </w:r>
      <w:r w:rsidR="00F737B6">
        <w:t xml:space="preserve">new CQEs </w:t>
      </w:r>
      <w:r w:rsidR="00AF56D3">
        <w:t>in the previous analysis.  T</w:t>
      </w:r>
      <w:r>
        <w:t xml:space="preserve">his application </w:t>
      </w:r>
      <w:r w:rsidR="00AF56D3">
        <w:t xml:space="preserve">is </w:t>
      </w:r>
      <w:r>
        <w:t xml:space="preserve">required only once </w:t>
      </w:r>
      <w:r w:rsidR="00AF56D3">
        <w:t>(</w:t>
      </w:r>
      <w:r w:rsidR="00C03F96">
        <w:t xml:space="preserve">unless </w:t>
      </w:r>
      <w:r>
        <w:t>a particular eligible community withdraws support from a specific CQE</w:t>
      </w:r>
      <w:r w:rsidR="00AF56D3">
        <w:t>)</w:t>
      </w:r>
      <w:r>
        <w:t>.  The existing CQEs do not need to reapply.</w:t>
      </w:r>
      <w:r w:rsidR="00F737B6">
        <w:t xml:space="preserve"> A current list of CQEs and the communities represented is presented </w:t>
      </w:r>
      <w:proofErr w:type="gramStart"/>
      <w:r w:rsidR="00F737B6">
        <w:t xml:space="preserve">at  </w:t>
      </w:r>
      <w:proofErr w:type="gramEnd"/>
      <w:r w:rsidR="00EB4012">
        <w:fldChar w:fldCharType="begin"/>
      </w:r>
      <w:r w:rsidR="00EB4012">
        <w:instrText xml:space="preserve"> HYPERLINK "http://alaskafisheries.noaa.gov/ram/daily/cqenamescontacts-en-us.pdf" </w:instrText>
      </w:r>
      <w:r w:rsidR="00EB4012">
        <w:fldChar w:fldCharType="separate"/>
      </w:r>
      <w:r w:rsidR="00F737B6" w:rsidRPr="00226EF8">
        <w:rPr>
          <w:rStyle w:val="Hyperlink"/>
        </w:rPr>
        <w:t>http://alaskafisheries.noaa.gov/ram/daily/cqenamescontacts-en-us.pdf</w:t>
      </w:r>
      <w:r w:rsidR="00EB4012">
        <w:rPr>
          <w:rStyle w:val="Hyperlink"/>
        </w:rPr>
        <w:fldChar w:fldCharType="end"/>
      </w:r>
    </w:p>
    <w:p w:rsidR="00AF56D3" w:rsidRDefault="00AF56D3" w:rsidP="00820017">
      <w:pPr>
        <w:tabs>
          <w:tab w:val="left" w:pos="720"/>
        </w:tabs>
      </w:pPr>
    </w:p>
    <w:p w:rsidR="0068040A" w:rsidRDefault="0068040A" w:rsidP="00820017">
      <w:pPr>
        <w:tabs>
          <w:tab w:val="left" w:pos="720"/>
        </w:tabs>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8422AC" w:rsidRPr="00D7184F" w:rsidTr="008422AC">
        <w:trPr>
          <w:jc w:val="center"/>
        </w:trPr>
        <w:tc>
          <w:tcPr>
            <w:tcW w:w="4986" w:type="dxa"/>
            <w:gridSpan w:val="2"/>
          </w:tcPr>
          <w:p w:rsidR="008422AC" w:rsidRPr="00D7184F" w:rsidRDefault="0068040A" w:rsidP="005C1073">
            <w:pPr>
              <w:rPr>
                <w:b/>
                <w:sz w:val="20"/>
                <w:szCs w:val="20"/>
              </w:rPr>
            </w:pPr>
            <w:r>
              <w:br w:type="page"/>
            </w:r>
            <w:r w:rsidR="005C1073">
              <w:rPr>
                <w:b/>
                <w:sz w:val="20"/>
                <w:szCs w:val="20"/>
              </w:rPr>
              <w:t>Application to become a CQE</w:t>
            </w:r>
            <w:r w:rsidR="008422AC" w:rsidRPr="00D7184F">
              <w:rPr>
                <w:b/>
                <w:sz w:val="20"/>
                <w:szCs w:val="20"/>
              </w:rPr>
              <w:t>, Respondent</w:t>
            </w:r>
          </w:p>
        </w:tc>
      </w:tr>
      <w:tr w:rsidR="008422AC" w:rsidRPr="00D7184F" w:rsidTr="008422AC">
        <w:trPr>
          <w:jc w:val="center"/>
        </w:trPr>
        <w:tc>
          <w:tcPr>
            <w:tcW w:w="3933" w:type="dxa"/>
          </w:tcPr>
          <w:p w:rsidR="008422AC" w:rsidRDefault="008422AC" w:rsidP="008422AC">
            <w:pPr>
              <w:rPr>
                <w:b/>
                <w:sz w:val="20"/>
                <w:szCs w:val="20"/>
              </w:rPr>
            </w:pPr>
            <w:r w:rsidRPr="00AF5BFB">
              <w:rPr>
                <w:b/>
                <w:sz w:val="20"/>
                <w:szCs w:val="20"/>
              </w:rPr>
              <w:t>Estimated number of respondents</w:t>
            </w:r>
          </w:p>
          <w:p w:rsidR="008422AC" w:rsidRPr="00AF5BFB" w:rsidRDefault="008422AC" w:rsidP="008422AC">
            <w:pPr>
              <w:rPr>
                <w:b/>
                <w:sz w:val="20"/>
                <w:szCs w:val="20"/>
              </w:rPr>
            </w:pPr>
            <w:r w:rsidRPr="00AF5BFB">
              <w:rPr>
                <w:b/>
                <w:sz w:val="20"/>
                <w:szCs w:val="20"/>
              </w:rPr>
              <w:t>Total annual responses</w:t>
            </w:r>
          </w:p>
          <w:p w:rsidR="008422AC" w:rsidRPr="00D7184F" w:rsidRDefault="008422AC" w:rsidP="008422AC">
            <w:pPr>
              <w:rPr>
                <w:sz w:val="20"/>
                <w:szCs w:val="20"/>
              </w:rPr>
            </w:pPr>
            <w:r w:rsidRPr="00D7184F">
              <w:rPr>
                <w:sz w:val="20"/>
                <w:szCs w:val="20"/>
              </w:rPr>
              <w:t xml:space="preserve">   Response per respondent =</w:t>
            </w:r>
            <w:r>
              <w:rPr>
                <w:sz w:val="20"/>
                <w:szCs w:val="20"/>
              </w:rPr>
              <w:t xml:space="preserve"> 1</w:t>
            </w:r>
            <w:r w:rsidRPr="00D7184F">
              <w:rPr>
                <w:sz w:val="20"/>
                <w:szCs w:val="20"/>
              </w:rPr>
              <w:t xml:space="preserve"> </w:t>
            </w:r>
            <w:r w:rsidR="002432A0">
              <w:rPr>
                <w:sz w:val="20"/>
                <w:szCs w:val="20"/>
              </w:rPr>
              <w:t>initial</w:t>
            </w:r>
          </w:p>
          <w:p w:rsidR="008422AC" w:rsidRPr="00D7184F" w:rsidRDefault="008422AC" w:rsidP="008422AC">
            <w:pPr>
              <w:rPr>
                <w:b/>
                <w:sz w:val="20"/>
                <w:szCs w:val="20"/>
              </w:rPr>
            </w:pPr>
            <w:r w:rsidRPr="00D7184F">
              <w:rPr>
                <w:b/>
                <w:sz w:val="20"/>
                <w:szCs w:val="20"/>
              </w:rPr>
              <w:t>Total burden hours</w:t>
            </w:r>
          </w:p>
          <w:p w:rsidR="005C1073" w:rsidRDefault="008422AC" w:rsidP="008422AC">
            <w:pPr>
              <w:rPr>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sidR="00CC3B4E">
              <w:rPr>
                <w:sz w:val="20"/>
                <w:szCs w:val="20"/>
              </w:rPr>
              <w:t>200 hr</w:t>
            </w:r>
          </w:p>
          <w:p w:rsidR="008422AC" w:rsidRPr="00D7184F" w:rsidRDefault="008422AC" w:rsidP="008422AC">
            <w:pPr>
              <w:rPr>
                <w:sz w:val="20"/>
                <w:szCs w:val="20"/>
              </w:rPr>
            </w:pPr>
            <w:r w:rsidRPr="00D7184F">
              <w:rPr>
                <w:b/>
                <w:sz w:val="20"/>
                <w:szCs w:val="20"/>
              </w:rPr>
              <w:t xml:space="preserve">Total personnel cost </w:t>
            </w:r>
            <w:r w:rsidRPr="00D7184F">
              <w:rPr>
                <w:sz w:val="20"/>
                <w:szCs w:val="20"/>
              </w:rPr>
              <w:t xml:space="preserve">= </w:t>
            </w:r>
            <w:r>
              <w:rPr>
                <w:sz w:val="20"/>
                <w:szCs w:val="20"/>
              </w:rPr>
              <w:t>$</w:t>
            </w:r>
            <w:r w:rsidR="002432A0">
              <w:rPr>
                <w:sz w:val="20"/>
                <w:szCs w:val="20"/>
              </w:rPr>
              <w:t>150</w:t>
            </w:r>
            <w:r>
              <w:rPr>
                <w:sz w:val="20"/>
                <w:szCs w:val="20"/>
              </w:rPr>
              <w:t>/hr</w:t>
            </w:r>
            <w:r w:rsidR="00CC3B4E">
              <w:rPr>
                <w:sz w:val="20"/>
                <w:szCs w:val="20"/>
              </w:rPr>
              <w:t xml:space="preserve"> x 200</w:t>
            </w:r>
          </w:p>
          <w:p w:rsidR="005C1073" w:rsidRDefault="008422AC" w:rsidP="008422AC">
            <w:pPr>
              <w:rPr>
                <w:sz w:val="20"/>
                <w:szCs w:val="20"/>
              </w:rPr>
            </w:pPr>
            <w:r w:rsidRPr="00D7184F">
              <w:rPr>
                <w:b/>
                <w:sz w:val="20"/>
                <w:szCs w:val="20"/>
              </w:rPr>
              <w:t xml:space="preserve">Total miscellaneous costs </w:t>
            </w:r>
            <w:r w:rsidRPr="00B15C34">
              <w:rPr>
                <w:sz w:val="20"/>
                <w:szCs w:val="20"/>
              </w:rPr>
              <w:t>(</w:t>
            </w:r>
            <w:r w:rsidR="00CC3B4E">
              <w:rPr>
                <w:sz w:val="20"/>
                <w:szCs w:val="20"/>
              </w:rPr>
              <w:t>7.95)</w:t>
            </w:r>
          </w:p>
          <w:p w:rsidR="008422AC" w:rsidRDefault="008422AC" w:rsidP="008422AC">
            <w:pPr>
              <w:rPr>
                <w:sz w:val="20"/>
                <w:szCs w:val="20"/>
              </w:rPr>
            </w:pPr>
            <w:r w:rsidRPr="00D7184F">
              <w:rPr>
                <w:sz w:val="20"/>
                <w:szCs w:val="20"/>
              </w:rPr>
              <w:t xml:space="preserve">   Photocopy</w:t>
            </w:r>
            <w:r w:rsidR="005C1073">
              <w:rPr>
                <w:sz w:val="20"/>
                <w:szCs w:val="20"/>
              </w:rPr>
              <w:t xml:space="preserve"> (</w:t>
            </w:r>
            <w:r>
              <w:rPr>
                <w:sz w:val="20"/>
                <w:szCs w:val="20"/>
              </w:rPr>
              <w:t xml:space="preserve"> </w:t>
            </w:r>
            <w:r w:rsidR="002432A0">
              <w:rPr>
                <w:sz w:val="20"/>
                <w:szCs w:val="20"/>
              </w:rPr>
              <w:t xml:space="preserve">50 </w:t>
            </w:r>
            <w:r>
              <w:rPr>
                <w:sz w:val="20"/>
                <w:szCs w:val="20"/>
              </w:rPr>
              <w:t>pp x .05 x</w:t>
            </w:r>
            <w:r w:rsidR="002432A0">
              <w:rPr>
                <w:sz w:val="20"/>
                <w:szCs w:val="20"/>
              </w:rPr>
              <w:t xml:space="preserve"> 1</w:t>
            </w:r>
            <w:r w:rsidR="00CC3B4E">
              <w:rPr>
                <w:sz w:val="20"/>
                <w:szCs w:val="20"/>
              </w:rPr>
              <w:t xml:space="preserve"> = </w:t>
            </w:r>
            <w:r w:rsidR="002432A0">
              <w:rPr>
                <w:sz w:val="20"/>
                <w:szCs w:val="20"/>
              </w:rPr>
              <w:t>2.50)</w:t>
            </w:r>
            <w:r>
              <w:rPr>
                <w:sz w:val="20"/>
                <w:szCs w:val="20"/>
              </w:rPr>
              <w:t xml:space="preserve"> </w:t>
            </w:r>
          </w:p>
          <w:p w:rsidR="008422AC" w:rsidRDefault="008422AC" w:rsidP="008422AC">
            <w:pPr>
              <w:rPr>
                <w:sz w:val="20"/>
                <w:szCs w:val="20"/>
              </w:rPr>
            </w:pPr>
            <w:r w:rsidRPr="00D7184F">
              <w:rPr>
                <w:sz w:val="20"/>
                <w:szCs w:val="20"/>
              </w:rPr>
              <w:t xml:space="preserve">   Postage</w:t>
            </w:r>
            <w:r>
              <w:rPr>
                <w:sz w:val="20"/>
                <w:szCs w:val="20"/>
              </w:rPr>
              <w:t xml:space="preserve"> (0.</w:t>
            </w:r>
            <w:r w:rsidR="005C1073">
              <w:rPr>
                <w:sz w:val="20"/>
                <w:szCs w:val="20"/>
              </w:rPr>
              <w:t>45</w:t>
            </w:r>
            <w:r>
              <w:rPr>
                <w:sz w:val="20"/>
                <w:szCs w:val="20"/>
              </w:rPr>
              <w:t xml:space="preserve"> x </w:t>
            </w:r>
            <w:r w:rsidR="002432A0">
              <w:rPr>
                <w:sz w:val="20"/>
                <w:szCs w:val="20"/>
              </w:rPr>
              <w:t xml:space="preserve">1 = </w:t>
            </w:r>
            <w:r w:rsidR="00CC3B4E">
              <w:rPr>
                <w:sz w:val="20"/>
                <w:szCs w:val="20"/>
              </w:rPr>
              <w:t>0.45</w:t>
            </w:r>
            <w:r w:rsidR="002432A0">
              <w:rPr>
                <w:sz w:val="20"/>
                <w:szCs w:val="20"/>
              </w:rPr>
              <w:t>)</w:t>
            </w:r>
          </w:p>
          <w:p w:rsidR="008422AC" w:rsidRPr="00D7184F" w:rsidRDefault="008422AC" w:rsidP="00CC3B4E">
            <w:pPr>
              <w:rPr>
                <w:b/>
                <w:sz w:val="20"/>
                <w:szCs w:val="20"/>
              </w:rPr>
            </w:pPr>
            <w:r>
              <w:rPr>
                <w:sz w:val="20"/>
                <w:szCs w:val="20"/>
              </w:rPr>
              <w:t xml:space="preserve">   </w:t>
            </w:r>
            <w:r w:rsidR="002432A0">
              <w:rPr>
                <w:sz w:val="20"/>
                <w:szCs w:val="20"/>
              </w:rPr>
              <w:t>Notary</w:t>
            </w:r>
            <w:r>
              <w:rPr>
                <w:sz w:val="20"/>
                <w:szCs w:val="20"/>
              </w:rPr>
              <w:t xml:space="preserve"> ($</w:t>
            </w:r>
            <w:r w:rsidR="002432A0">
              <w:rPr>
                <w:sz w:val="20"/>
                <w:szCs w:val="20"/>
              </w:rPr>
              <w:t>5</w:t>
            </w:r>
            <w:r>
              <w:rPr>
                <w:sz w:val="20"/>
                <w:szCs w:val="20"/>
              </w:rPr>
              <w:t xml:space="preserve">  x</w:t>
            </w:r>
            <w:r w:rsidR="002432A0">
              <w:rPr>
                <w:sz w:val="20"/>
                <w:szCs w:val="20"/>
              </w:rPr>
              <w:t xml:space="preserve"> 1 = 5)</w:t>
            </w:r>
            <w:r>
              <w:rPr>
                <w:sz w:val="20"/>
                <w:szCs w:val="20"/>
              </w:rPr>
              <w:t xml:space="preserve"> </w:t>
            </w:r>
          </w:p>
        </w:tc>
        <w:tc>
          <w:tcPr>
            <w:tcW w:w="1053" w:type="dxa"/>
          </w:tcPr>
          <w:p w:rsidR="002432A0" w:rsidRPr="00114B54" w:rsidRDefault="002432A0" w:rsidP="002432A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1</w:t>
            </w:r>
          </w:p>
          <w:p w:rsidR="002432A0" w:rsidRPr="00114B54" w:rsidRDefault="00CC3B4E" w:rsidP="002432A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w:t>
            </w:r>
          </w:p>
          <w:p w:rsidR="002432A0" w:rsidRPr="00114B54" w:rsidRDefault="002432A0" w:rsidP="002432A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2432A0" w:rsidRPr="00114B54" w:rsidRDefault="00CC3B4E" w:rsidP="002432A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200</w:t>
            </w:r>
            <w:r w:rsidR="002432A0" w:rsidRPr="00114B54">
              <w:rPr>
                <w:b/>
                <w:sz w:val="20"/>
                <w:szCs w:val="20"/>
              </w:rPr>
              <w:t xml:space="preserve"> hr</w:t>
            </w:r>
          </w:p>
          <w:p w:rsidR="002432A0" w:rsidRPr="00114B54" w:rsidRDefault="002432A0" w:rsidP="002432A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2432A0" w:rsidRPr="00114B54" w:rsidRDefault="002432A0" w:rsidP="002432A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CC3B4E">
              <w:rPr>
                <w:b/>
                <w:sz w:val="20"/>
                <w:szCs w:val="20"/>
              </w:rPr>
              <w:t>30,000</w:t>
            </w:r>
          </w:p>
          <w:p w:rsidR="008422AC" w:rsidRDefault="002432A0" w:rsidP="002432A0">
            <w:pPr>
              <w:jc w:val="right"/>
              <w:rPr>
                <w:b/>
                <w:sz w:val="20"/>
                <w:szCs w:val="20"/>
              </w:rPr>
            </w:pPr>
            <w:r w:rsidRPr="00114B54">
              <w:rPr>
                <w:b/>
                <w:sz w:val="20"/>
                <w:szCs w:val="20"/>
              </w:rPr>
              <w:t>$</w:t>
            </w:r>
            <w:r w:rsidR="00CC3B4E">
              <w:rPr>
                <w:b/>
                <w:sz w:val="20"/>
                <w:szCs w:val="20"/>
              </w:rPr>
              <w:t>8</w:t>
            </w:r>
          </w:p>
          <w:p w:rsidR="008422AC" w:rsidRDefault="008422AC" w:rsidP="008422AC">
            <w:pPr>
              <w:jc w:val="right"/>
              <w:rPr>
                <w:b/>
                <w:sz w:val="20"/>
                <w:szCs w:val="20"/>
              </w:rPr>
            </w:pPr>
          </w:p>
          <w:p w:rsidR="008422AC" w:rsidRPr="00AF5BFB" w:rsidRDefault="008422AC" w:rsidP="008422AC">
            <w:pPr>
              <w:jc w:val="right"/>
              <w:rPr>
                <w:b/>
                <w:sz w:val="20"/>
                <w:szCs w:val="20"/>
              </w:rPr>
            </w:pPr>
          </w:p>
        </w:tc>
      </w:tr>
    </w:tbl>
    <w:p w:rsidR="003E21E7" w:rsidRDefault="003E21E7" w:rsidP="008422AC">
      <w:pPr>
        <w:tabs>
          <w:tab w:val="left" w:pos="2112"/>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8422AC" w:rsidRPr="00D7184F" w:rsidTr="008422AC">
        <w:trPr>
          <w:jc w:val="center"/>
        </w:trPr>
        <w:tc>
          <w:tcPr>
            <w:tcW w:w="4995" w:type="dxa"/>
            <w:gridSpan w:val="2"/>
          </w:tcPr>
          <w:p w:rsidR="008422AC" w:rsidRPr="00D7184F" w:rsidRDefault="003E21E7" w:rsidP="008422AC">
            <w:pPr>
              <w:rPr>
                <w:b/>
                <w:sz w:val="20"/>
                <w:szCs w:val="20"/>
              </w:rPr>
            </w:pPr>
            <w:r>
              <w:rPr>
                <w:sz w:val="20"/>
                <w:szCs w:val="20"/>
              </w:rPr>
              <w:br w:type="page"/>
            </w:r>
            <w:r w:rsidR="008422AC" w:rsidRPr="00D7184F">
              <w:rPr>
                <w:vanish/>
                <w:sz w:val="20"/>
                <w:szCs w:val="20"/>
              </w:rPr>
              <w:cr/>
            </w:r>
            <w:r w:rsidR="005C1073">
              <w:rPr>
                <w:b/>
                <w:sz w:val="20"/>
                <w:szCs w:val="20"/>
              </w:rPr>
              <w:t>Application to become a CQE</w:t>
            </w:r>
            <w:r w:rsidR="008422AC" w:rsidRPr="00D7184F">
              <w:rPr>
                <w:b/>
                <w:sz w:val="20"/>
                <w:szCs w:val="20"/>
              </w:rPr>
              <w:t>,  Federal Government</w:t>
            </w:r>
          </w:p>
        </w:tc>
      </w:tr>
      <w:tr w:rsidR="008422AC" w:rsidRPr="00D7184F" w:rsidTr="008422AC">
        <w:trPr>
          <w:jc w:val="center"/>
        </w:trPr>
        <w:tc>
          <w:tcPr>
            <w:tcW w:w="3938" w:type="dxa"/>
          </w:tcPr>
          <w:p w:rsidR="008422AC" w:rsidRPr="00D7184F" w:rsidRDefault="008422AC" w:rsidP="008422AC">
            <w:pPr>
              <w:rPr>
                <w:b/>
                <w:sz w:val="20"/>
                <w:szCs w:val="20"/>
              </w:rPr>
            </w:pPr>
            <w:r w:rsidRPr="00D7184F">
              <w:rPr>
                <w:b/>
                <w:sz w:val="20"/>
                <w:szCs w:val="20"/>
              </w:rPr>
              <w:t>Total annual responses</w:t>
            </w:r>
          </w:p>
          <w:p w:rsidR="008422AC" w:rsidRDefault="00DD001B" w:rsidP="008422AC">
            <w:pPr>
              <w:rPr>
                <w:b/>
                <w:sz w:val="20"/>
                <w:szCs w:val="20"/>
              </w:rPr>
            </w:pPr>
            <w:r>
              <w:rPr>
                <w:b/>
                <w:sz w:val="20"/>
                <w:szCs w:val="20"/>
              </w:rPr>
              <w:t>Total burden hours</w:t>
            </w:r>
          </w:p>
          <w:p w:rsidR="006D293E" w:rsidRPr="006D293E" w:rsidRDefault="006D293E" w:rsidP="008422AC">
            <w:pPr>
              <w:rPr>
                <w:sz w:val="20"/>
                <w:szCs w:val="20"/>
              </w:rPr>
            </w:pPr>
            <w:r>
              <w:rPr>
                <w:b/>
                <w:sz w:val="20"/>
                <w:szCs w:val="20"/>
              </w:rPr>
              <w:t xml:space="preserve">   </w:t>
            </w:r>
            <w:r w:rsidRPr="006D293E">
              <w:rPr>
                <w:sz w:val="20"/>
                <w:szCs w:val="20"/>
              </w:rPr>
              <w:t>Time /</w:t>
            </w:r>
            <w:r w:rsidR="00820017">
              <w:rPr>
                <w:sz w:val="20"/>
                <w:szCs w:val="20"/>
              </w:rPr>
              <w:t xml:space="preserve">response = 4 hr </w:t>
            </w:r>
          </w:p>
          <w:p w:rsidR="008422AC" w:rsidRPr="00D7184F" w:rsidRDefault="008422AC" w:rsidP="008422AC">
            <w:pPr>
              <w:rPr>
                <w:sz w:val="20"/>
                <w:szCs w:val="20"/>
              </w:rPr>
            </w:pPr>
            <w:r w:rsidRPr="00D7184F">
              <w:rPr>
                <w:b/>
                <w:sz w:val="20"/>
                <w:szCs w:val="20"/>
              </w:rPr>
              <w:t xml:space="preserve">Total personnel cost </w:t>
            </w:r>
            <w:r w:rsidR="00820017">
              <w:rPr>
                <w:b/>
                <w:sz w:val="20"/>
                <w:szCs w:val="20"/>
              </w:rPr>
              <w:t xml:space="preserve"> (</w:t>
            </w:r>
            <w:r>
              <w:rPr>
                <w:sz w:val="20"/>
                <w:szCs w:val="20"/>
              </w:rPr>
              <w:t>$</w:t>
            </w:r>
            <w:r w:rsidR="00871E74">
              <w:rPr>
                <w:sz w:val="20"/>
                <w:szCs w:val="20"/>
              </w:rPr>
              <w:t>37</w:t>
            </w:r>
            <w:r>
              <w:rPr>
                <w:sz w:val="20"/>
                <w:szCs w:val="20"/>
              </w:rPr>
              <w:t>/hr</w:t>
            </w:r>
            <w:r w:rsidR="006D293E">
              <w:rPr>
                <w:sz w:val="20"/>
                <w:szCs w:val="20"/>
              </w:rPr>
              <w:t xml:space="preserve"> x </w:t>
            </w:r>
            <w:r w:rsidR="00820017">
              <w:rPr>
                <w:sz w:val="20"/>
                <w:szCs w:val="20"/>
              </w:rPr>
              <w:t>4)</w:t>
            </w:r>
          </w:p>
          <w:p w:rsidR="008422AC" w:rsidRPr="00D7184F" w:rsidRDefault="008422AC" w:rsidP="008422AC">
            <w:pPr>
              <w:rPr>
                <w:sz w:val="20"/>
                <w:szCs w:val="20"/>
              </w:rPr>
            </w:pPr>
            <w:r w:rsidRPr="00D7184F">
              <w:rPr>
                <w:b/>
                <w:sz w:val="20"/>
                <w:szCs w:val="20"/>
              </w:rPr>
              <w:t>Total miscellaneous cost</w:t>
            </w:r>
            <w:r w:rsidRPr="00D7184F">
              <w:rPr>
                <w:sz w:val="20"/>
                <w:szCs w:val="20"/>
              </w:rPr>
              <w:t xml:space="preserve">   </w:t>
            </w:r>
          </w:p>
        </w:tc>
        <w:tc>
          <w:tcPr>
            <w:tcW w:w="1057" w:type="dxa"/>
          </w:tcPr>
          <w:p w:rsidR="00DD001B" w:rsidRPr="00114B54" w:rsidRDefault="00820017" w:rsidP="00DD00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1</w:t>
            </w:r>
          </w:p>
          <w:p w:rsidR="00DD001B" w:rsidRPr="00114B54" w:rsidRDefault="00820017" w:rsidP="00DD00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Pr>
                <w:b/>
                <w:sz w:val="20"/>
                <w:szCs w:val="20"/>
              </w:rPr>
              <w:t>4</w:t>
            </w:r>
            <w:r w:rsidR="00DD001B" w:rsidRPr="00114B54">
              <w:rPr>
                <w:b/>
                <w:sz w:val="20"/>
                <w:szCs w:val="20"/>
              </w:rPr>
              <w:t xml:space="preserve"> hr</w:t>
            </w:r>
          </w:p>
          <w:p w:rsidR="006D293E" w:rsidRDefault="006D293E" w:rsidP="00DD00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p>
          <w:p w:rsidR="00DD001B" w:rsidRPr="00114B54" w:rsidRDefault="00DD001B" w:rsidP="00DD00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0"/>
                <w:szCs w:val="20"/>
              </w:rPr>
            </w:pPr>
            <w:r w:rsidRPr="00114B54">
              <w:rPr>
                <w:b/>
                <w:sz w:val="20"/>
                <w:szCs w:val="20"/>
              </w:rPr>
              <w:t>$</w:t>
            </w:r>
            <w:r w:rsidR="00820017">
              <w:rPr>
                <w:b/>
                <w:sz w:val="20"/>
                <w:szCs w:val="20"/>
              </w:rPr>
              <w:t>1</w:t>
            </w:r>
            <w:r w:rsidR="00871E74">
              <w:rPr>
                <w:b/>
                <w:sz w:val="20"/>
                <w:szCs w:val="20"/>
              </w:rPr>
              <w:t>48</w:t>
            </w:r>
          </w:p>
          <w:p w:rsidR="008422AC" w:rsidRPr="00D7184F" w:rsidRDefault="00DD001B" w:rsidP="00DD001B">
            <w:pPr>
              <w:jc w:val="right"/>
              <w:rPr>
                <w:b/>
                <w:sz w:val="20"/>
                <w:szCs w:val="20"/>
              </w:rPr>
            </w:pPr>
            <w:r w:rsidRPr="00114B54">
              <w:rPr>
                <w:b/>
                <w:sz w:val="20"/>
                <w:szCs w:val="20"/>
              </w:rPr>
              <w:t>0</w:t>
            </w:r>
          </w:p>
        </w:tc>
      </w:tr>
    </w:tbl>
    <w:p w:rsidR="008422AC" w:rsidRDefault="008422AC" w:rsidP="008422AC">
      <w:pPr>
        <w:tabs>
          <w:tab w:val="left" w:pos="360"/>
          <w:tab w:val="left" w:pos="720"/>
          <w:tab w:val="left" w:pos="1080"/>
        </w:tabs>
        <w:ind w:left="720" w:hanging="720"/>
        <w:rPr>
          <w:sz w:val="20"/>
          <w:szCs w:val="20"/>
        </w:rPr>
      </w:pPr>
    </w:p>
    <w:p w:rsidR="0015548E" w:rsidRDefault="0015548E" w:rsidP="00146F94">
      <w:pPr>
        <w:rPr>
          <w:b/>
        </w:rPr>
      </w:pPr>
    </w:p>
    <w:p w:rsidR="00146F94" w:rsidRPr="00146F94" w:rsidRDefault="00433917" w:rsidP="00146F94">
      <w:pPr>
        <w:rPr>
          <w:b/>
        </w:rPr>
      </w:pPr>
      <w:proofErr w:type="gramStart"/>
      <w:r>
        <w:rPr>
          <w:b/>
        </w:rPr>
        <w:t>b</w:t>
      </w:r>
      <w:r w:rsidR="00146F94">
        <w:rPr>
          <w:b/>
        </w:rPr>
        <w:t xml:space="preserve">.  </w:t>
      </w:r>
      <w:r w:rsidR="007F7394" w:rsidRPr="00146F94">
        <w:rPr>
          <w:b/>
        </w:rPr>
        <w:t>Application</w:t>
      </w:r>
      <w:proofErr w:type="gramEnd"/>
      <w:r w:rsidR="007F7394" w:rsidRPr="00146F94">
        <w:rPr>
          <w:b/>
        </w:rPr>
        <w:t xml:space="preserve"> </w:t>
      </w:r>
      <w:r w:rsidR="00432AE2">
        <w:rPr>
          <w:b/>
        </w:rPr>
        <w:t>f</w:t>
      </w:r>
      <w:r w:rsidR="007F7394" w:rsidRPr="00146F94">
        <w:rPr>
          <w:b/>
        </w:rPr>
        <w:t xml:space="preserve">or Transfer </w:t>
      </w:r>
      <w:r w:rsidR="00432AE2">
        <w:rPr>
          <w:b/>
        </w:rPr>
        <w:t>o</w:t>
      </w:r>
      <w:r w:rsidR="007F7394" w:rsidRPr="00146F94">
        <w:rPr>
          <w:b/>
        </w:rPr>
        <w:t xml:space="preserve">f </w:t>
      </w:r>
      <w:r w:rsidR="00146F94" w:rsidRPr="00146F94">
        <w:rPr>
          <w:b/>
        </w:rPr>
        <w:t>QS/IFQ</w:t>
      </w:r>
      <w:r w:rsidR="007F7394" w:rsidRPr="00146F94">
        <w:rPr>
          <w:b/>
        </w:rPr>
        <w:t xml:space="preserve"> </w:t>
      </w:r>
      <w:r w:rsidR="00432AE2">
        <w:rPr>
          <w:b/>
        </w:rPr>
        <w:t>t</w:t>
      </w:r>
      <w:r w:rsidR="007F7394" w:rsidRPr="00146F94">
        <w:rPr>
          <w:b/>
        </w:rPr>
        <w:t xml:space="preserve">o </w:t>
      </w:r>
      <w:r w:rsidR="00432AE2">
        <w:rPr>
          <w:b/>
        </w:rPr>
        <w:t>o</w:t>
      </w:r>
      <w:r w:rsidR="007F7394" w:rsidRPr="00146F94">
        <w:rPr>
          <w:b/>
        </w:rPr>
        <w:t xml:space="preserve">r </w:t>
      </w:r>
      <w:r w:rsidR="00432AE2">
        <w:rPr>
          <w:b/>
        </w:rPr>
        <w:t>f</w:t>
      </w:r>
      <w:r w:rsidR="007F7394" w:rsidRPr="00146F94">
        <w:rPr>
          <w:b/>
        </w:rPr>
        <w:t xml:space="preserve">rom </w:t>
      </w:r>
      <w:r w:rsidR="00432AE2">
        <w:rPr>
          <w:b/>
        </w:rPr>
        <w:t>a</w:t>
      </w:r>
      <w:r w:rsidR="007F7394" w:rsidRPr="00146F94">
        <w:rPr>
          <w:b/>
        </w:rPr>
        <w:t xml:space="preserve"> Community Quota Entity (</w:t>
      </w:r>
      <w:r w:rsidR="00146F94" w:rsidRPr="00146F94">
        <w:rPr>
          <w:b/>
        </w:rPr>
        <w:t>CQE</w:t>
      </w:r>
      <w:r w:rsidR="007F7394" w:rsidRPr="00146F94">
        <w:rPr>
          <w:b/>
        </w:rPr>
        <w:t>)</w:t>
      </w:r>
      <w:r w:rsidR="00C357F2">
        <w:rPr>
          <w:b/>
        </w:rPr>
        <w:t xml:space="preserve"> [RE</w:t>
      </w:r>
      <w:r w:rsidR="00171906">
        <w:rPr>
          <w:b/>
        </w:rPr>
        <w:t>VISED</w:t>
      </w:r>
      <w:r w:rsidR="00342BAE">
        <w:rPr>
          <w:b/>
        </w:rPr>
        <w:t>]</w:t>
      </w:r>
    </w:p>
    <w:p w:rsidR="00B463D6" w:rsidRDefault="00B463D6" w:rsidP="003E2786">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p>
    <w:p w:rsidR="00D71ED7" w:rsidRDefault="002F729F" w:rsidP="002F729F">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r>
        <w:t xml:space="preserve">NMFS </w:t>
      </w:r>
      <w:r w:rsidR="00AF56D3">
        <w:t xml:space="preserve">has </w:t>
      </w:r>
      <w:r>
        <w:t>separate</w:t>
      </w:r>
      <w:r w:rsidR="00AF56D3">
        <w:t>d</w:t>
      </w:r>
      <w:r>
        <w:t xml:space="preserve"> the existing Application for Transfer of QS/IFQ to or From a Community Quota Entity (CQE) into two application forms: one for transfer of QS to and from a CQE and the other for a CQE to transfer IFQ to or from an eligible community resident or non-resident.</w:t>
      </w:r>
    </w:p>
    <w:p w:rsidR="002F729F" w:rsidRDefault="002F729F" w:rsidP="003E2786">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p>
    <w:p w:rsidR="00C03F96" w:rsidRPr="00C03F96" w:rsidRDefault="00146F94" w:rsidP="00C03F96">
      <w:pPr>
        <w:shd w:val="clear" w:color="auto" w:fill="FFFFFF"/>
        <w:rPr>
          <w:color w:val="222222"/>
        </w:rPr>
      </w:pPr>
      <w:r w:rsidRPr="00146F94">
        <w:t xml:space="preserve">This </w:t>
      </w:r>
      <w:r w:rsidR="00A85061">
        <w:t xml:space="preserve">revised </w:t>
      </w:r>
      <w:r w:rsidRPr="00146F94">
        <w:t xml:space="preserve">application is used </w:t>
      </w:r>
      <w:r w:rsidR="0047655E">
        <w:t>by</w:t>
      </w:r>
      <w:r w:rsidR="00171906">
        <w:t xml:space="preserve"> a CQE </w:t>
      </w:r>
      <w:r w:rsidRPr="00146F94">
        <w:t>apply</w:t>
      </w:r>
      <w:r w:rsidR="00171906">
        <w:t>ing</w:t>
      </w:r>
      <w:r w:rsidRPr="00146F94">
        <w:t xml:space="preserve"> </w:t>
      </w:r>
      <w:r w:rsidR="00171906">
        <w:t xml:space="preserve">to permanently receive or permanently transfer </w:t>
      </w:r>
      <w:r w:rsidRPr="00146F94">
        <w:t>QS</w:t>
      </w:r>
      <w:r w:rsidR="00171906">
        <w:t xml:space="preserve"> (with or without IFQ)</w:t>
      </w:r>
      <w:r w:rsidRPr="00146F94">
        <w:t xml:space="preserve">.  </w:t>
      </w:r>
      <w:r w:rsidR="00BE1A99">
        <w:t>As stated above, t</w:t>
      </w:r>
      <w:r w:rsidR="00CD5F3F" w:rsidRPr="00CD5F3F">
        <w:t xml:space="preserve">he party seeking to </w:t>
      </w:r>
      <w:r w:rsidR="004474F5">
        <w:t xml:space="preserve">receive the </w:t>
      </w:r>
      <w:r w:rsidR="00CD5F3F" w:rsidRPr="00CD5F3F">
        <w:t>tran</w:t>
      </w:r>
      <w:r w:rsidR="00CD5F3F" w:rsidRPr="00C03F96">
        <w:t xml:space="preserve">sfer </w:t>
      </w:r>
      <w:r w:rsidR="004474F5" w:rsidRPr="00C03F96">
        <w:t>of</w:t>
      </w:r>
      <w:r w:rsidR="00CD5F3F" w:rsidRPr="00C03F96">
        <w:t xml:space="preserve"> QS/IFQ must </w:t>
      </w:r>
      <w:r w:rsidR="004474F5" w:rsidRPr="00C03F96">
        <w:t xml:space="preserve">also use this application to obtain </w:t>
      </w:r>
      <w:r w:rsidR="00CD5F3F" w:rsidRPr="00C03F96">
        <w:t>a Transfer Eligibility Certificate (TEC)</w:t>
      </w:r>
      <w:r w:rsidR="00047775">
        <w:t>.  A</w:t>
      </w:r>
      <w:r w:rsidR="00C03F96" w:rsidRPr="00C03F96">
        <w:rPr>
          <w:color w:val="222222"/>
        </w:rPr>
        <w:t xml:space="preserve"> person receives a TEC if the Application for Transfer of QS/IFQ to or from a Community Quota Entity (CQE) is submitted to </w:t>
      </w:r>
      <w:r w:rsidR="00C03F96">
        <w:rPr>
          <w:color w:val="222222"/>
        </w:rPr>
        <w:t>and</w:t>
      </w:r>
      <w:r w:rsidR="00047775">
        <w:rPr>
          <w:color w:val="222222"/>
        </w:rPr>
        <w:t xml:space="preserve"> approved by NMFS</w:t>
      </w:r>
      <w:r w:rsidR="00C03F96">
        <w:rPr>
          <w:color w:val="222222"/>
        </w:rPr>
        <w:t>.</w:t>
      </w:r>
    </w:p>
    <w:p w:rsidR="00C03F96" w:rsidRDefault="00C03F96" w:rsidP="003E2786">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p>
    <w:p w:rsidR="00CD5F3F" w:rsidRDefault="00CD5F3F" w:rsidP="003E2786">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r w:rsidRPr="00CD5F3F">
        <w:t xml:space="preserve">If the CQE is applying to permanently transfer QS/IFQ, a representative of the community on whose behalf the QS </w:t>
      </w:r>
      <w:proofErr w:type="gramStart"/>
      <w:r w:rsidRPr="00CD5F3F">
        <w:t>is</w:t>
      </w:r>
      <w:proofErr w:type="gramEnd"/>
      <w:r w:rsidRPr="00CD5F3F">
        <w:t xml:space="preserve"> held must sign the application.</w:t>
      </w:r>
    </w:p>
    <w:p w:rsidR="00AC5B9D" w:rsidRDefault="00AC5B9D" w:rsidP="003E2786">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p>
    <w:p w:rsidR="00AC5B9D" w:rsidRDefault="00AC5B9D" w:rsidP="00AC5B9D">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r w:rsidRPr="001457C5">
        <w:t>Consistent with the current QS transfer approval process for CQEs, NMFS would approve the transfer of QS held by an Aleutian Islands CQE only if the community for which the CQE holds the QS authorizes that transfer.  This authorization would need to be in the form of a signature by an authorized representative of the governing body of the community</w:t>
      </w:r>
      <w:r w:rsidR="00A85061">
        <w:t xml:space="preserve"> on this application</w:t>
      </w:r>
      <w:r w:rsidRPr="001457C5">
        <w:t>.  The purpose of the authorization is to ensure that the community is fully aware of the transfer</w:t>
      </w:r>
      <w:r w:rsidR="00A7322D">
        <w:t>.</w:t>
      </w:r>
    </w:p>
    <w:p w:rsidR="00AC5B9D" w:rsidRDefault="00AC5B9D" w:rsidP="003E2786">
      <w:pPr>
        <w:numPr>
          <w:ilvl w:val="12"/>
          <w:numId w:val="0"/>
        </w:numPr>
        <w:tabs>
          <w:tab w:val="left" w:pos="-1560"/>
          <w:tab w:val="left" w:pos="360"/>
          <w:tab w:val="left" w:pos="720"/>
          <w:tab w:val="left" w:pos="1080"/>
          <w:tab w:val="left" w:pos="2040"/>
          <w:tab w:val="left" w:pos="2760"/>
          <w:tab w:val="left" w:pos="3480"/>
          <w:tab w:val="left" w:pos="4200"/>
          <w:tab w:val="left" w:pos="4920"/>
          <w:tab w:val="left" w:pos="5640"/>
          <w:tab w:val="left" w:pos="6360"/>
          <w:tab w:val="left" w:pos="7080"/>
          <w:tab w:val="left" w:pos="7800"/>
          <w:tab w:val="left" w:pos="8520"/>
          <w:tab w:val="left" w:pos="9240"/>
        </w:tabs>
        <w:ind w:right="-270"/>
      </w:pPr>
    </w:p>
    <w:p w:rsidR="003E2786" w:rsidRDefault="003E2786" w:rsidP="003E2786">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s>
        <w:ind w:right="-270"/>
        <w:jc w:val="both"/>
      </w:pPr>
      <w:r>
        <w:t>When completed, the original application</w:t>
      </w:r>
      <w:r w:rsidR="00071193">
        <w:t xml:space="preserve"> may be submitted:</w:t>
      </w:r>
      <w:r>
        <w:t xml:space="preserve"> </w:t>
      </w:r>
    </w:p>
    <w:p w:rsidR="003E2786" w:rsidRDefault="003E2786" w:rsidP="00071193">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p>
    <w:p w:rsidR="003E2786" w:rsidRDefault="00071193" w:rsidP="00071193">
      <w:pPr>
        <w:numPr>
          <w:ilvl w:val="12"/>
          <w:numId w:val="0"/>
        </w:numPr>
        <w:tabs>
          <w:tab w:val="left" w:pos="-156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rsidR="003E2786">
        <w:t>By mail to:</w:t>
      </w:r>
      <w:r>
        <w:tab/>
        <w:t>A</w:t>
      </w:r>
      <w:r w:rsidR="003E2786">
        <w:t>laska Region, National Marine Fisheries Service</w:t>
      </w:r>
    </w:p>
    <w:p w:rsidR="003E2786" w:rsidRDefault="003E2786" w:rsidP="00071193">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rsidR="00071193">
        <w:tab/>
      </w:r>
      <w:r w:rsidR="00071193">
        <w:tab/>
      </w:r>
      <w:r w:rsidR="00071193">
        <w:tab/>
      </w:r>
      <w:r w:rsidR="00071193">
        <w:tab/>
      </w:r>
      <w:r>
        <w:t>Restricted Access Management (RAM)</w:t>
      </w:r>
    </w:p>
    <w:p w:rsidR="003E2786" w:rsidRDefault="003E2786" w:rsidP="00071193">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rsidR="00071193">
        <w:tab/>
      </w:r>
      <w:r>
        <w:t>P.O. Box 21668</w:t>
      </w:r>
    </w:p>
    <w:p w:rsidR="00AD5662" w:rsidRDefault="003E2786" w:rsidP="003E21E7">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rsidR="00071193">
        <w:tab/>
      </w:r>
      <w:r w:rsidR="00AD5662">
        <w:t>Juneau, AK 99802-1668</w:t>
      </w:r>
    </w:p>
    <w:p w:rsidR="0015548E" w:rsidRDefault="0015548E" w:rsidP="00071193">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p>
    <w:p w:rsidR="003E2786" w:rsidRDefault="00071193" w:rsidP="00071193">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lastRenderedPageBreak/>
        <w:tab/>
        <w:t>O</w:t>
      </w:r>
      <w:r w:rsidR="003E2786">
        <w:t>r</w:t>
      </w:r>
      <w:r>
        <w:t>,</w:t>
      </w:r>
      <w:r w:rsidR="003E2786">
        <w:t xml:space="preserve"> deliver to:</w:t>
      </w:r>
      <w:r w:rsidR="003E2786">
        <w:tab/>
        <w:t>Room 713, Federal Building</w:t>
      </w:r>
    </w:p>
    <w:p w:rsidR="003E2786" w:rsidRDefault="003E2786" w:rsidP="00071193">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rsidR="00071193">
        <w:tab/>
      </w:r>
      <w:r>
        <w:t>709 West 9th Street</w:t>
      </w:r>
    </w:p>
    <w:p w:rsidR="0015548E" w:rsidRDefault="0015548E" w:rsidP="00071193">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Juneau, AK</w:t>
      </w:r>
    </w:p>
    <w:p w:rsidR="0015548E" w:rsidRDefault="0015548E" w:rsidP="00071193">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p>
    <w:p w:rsidR="00C357F2" w:rsidRDefault="00C357F2" w:rsidP="00C357F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0"/>
          <w:szCs w:val="20"/>
        </w:rPr>
      </w:pPr>
      <w:r w:rsidRPr="00C357F2">
        <w:rPr>
          <w:b/>
          <w:sz w:val="20"/>
          <w:szCs w:val="20"/>
        </w:rPr>
        <w:t>Application for Transfer of QS/IFQ to or</w:t>
      </w:r>
      <w:r w:rsidR="00C034F3">
        <w:rPr>
          <w:b/>
          <w:sz w:val="20"/>
          <w:szCs w:val="20"/>
        </w:rPr>
        <w:t xml:space="preserve"> from a </w:t>
      </w:r>
      <w:r w:rsidRPr="00C357F2">
        <w:rPr>
          <w:b/>
          <w:sz w:val="20"/>
          <w:szCs w:val="20"/>
        </w:rPr>
        <w:t xml:space="preserve">CQE  </w:t>
      </w:r>
    </w:p>
    <w:p w:rsidR="002874E9" w:rsidRPr="002874E9" w:rsidRDefault="002874E9" w:rsidP="00C357F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w:t>
      </w:r>
      <w:r w:rsidRPr="002874E9">
        <w:rPr>
          <w:sz w:val="20"/>
          <w:szCs w:val="20"/>
        </w:rPr>
        <w:t xml:space="preserve">Use QS Holder Summary Report </w:t>
      </w:r>
      <w:r>
        <w:rPr>
          <w:sz w:val="20"/>
          <w:szCs w:val="20"/>
        </w:rPr>
        <w:t xml:space="preserve">or TEC </w:t>
      </w:r>
      <w:r w:rsidRPr="002874E9">
        <w:rPr>
          <w:sz w:val="20"/>
          <w:szCs w:val="20"/>
        </w:rPr>
        <w:t>for official information)</w:t>
      </w:r>
    </w:p>
    <w:p w:rsidR="00146F94" w:rsidRPr="00C357F2" w:rsidRDefault="00C357F2" w:rsidP="00C357F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C357F2">
        <w:rPr>
          <w:sz w:val="20"/>
          <w:szCs w:val="20"/>
          <w:u w:val="single"/>
        </w:rPr>
        <w:t xml:space="preserve">Block </w:t>
      </w:r>
      <w:proofErr w:type="gramStart"/>
      <w:r w:rsidRPr="00C357F2">
        <w:rPr>
          <w:sz w:val="20"/>
          <w:szCs w:val="20"/>
          <w:u w:val="single"/>
        </w:rPr>
        <w:t>A  –</w:t>
      </w:r>
      <w:proofErr w:type="gramEnd"/>
      <w:r w:rsidRPr="00C357F2">
        <w:rPr>
          <w:sz w:val="20"/>
          <w:szCs w:val="20"/>
          <w:u w:val="single"/>
        </w:rPr>
        <w:t xml:space="preserve"> Transferor (Seller) Information</w:t>
      </w:r>
    </w:p>
    <w:p w:rsidR="00146F94" w:rsidRPr="00C357F2" w:rsidRDefault="00146F94"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sidRPr="00C357F2">
        <w:rPr>
          <w:sz w:val="20"/>
          <w:szCs w:val="20"/>
        </w:rPr>
        <w:tab/>
      </w:r>
      <w:r w:rsidR="00C357F2">
        <w:rPr>
          <w:sz w:val="20"/>
          <w:szCs w:val="20"/>
        </w:rPr>
        <w:t>N</w:t>
      </w:r>
      <w:r w:rsidRPr="00C357F2">
        <w:rPr>
          <w:sz w:val="20"/>
          <w:szCs w:val="20"/>
        </w:rPr>
        <w:t xml:space="preserve">ame of </w:t>
      </w:r>
      <w:r w:rsidR="00353C8B">
        <w:rPr>
          <w:sz w:val="20"/>
          <w:szCs w:val="20"/>
        </w:rPr>
        <w:t>t</w:t>
      </w:r>
      <w:r w:rsidR="007D7575">
        <w:rPr>
          <w:sz w:val="20"/>
          <w:szCs w:val="20"/>
        </w:rPr>
        <w:t xml:space="preserve">ransferor </w:t>
      </w:r>
    </w:p>
    <w:p w:rsidR="00146F94" w:rsidRPr="00C357F2" w:rsidRDefault="00C357F2"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r>
      <w:r w:rsidR="00146F94" w:rsidRPr="00C357F2">
        <w:rPr>
          <w:sz w:val="20"/>
          <w:szCs w:val="20"/>
        </w:rPr>
        <w:t xml:space="preserve">NMFS Person ID </w:t>
      </w:r>
    </w:p>
    <w:p w:rsidR="00146F94" w:rsidRPr="00C357F2" w:rsidRDefault="005960E2" w:rsidP="005960E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r>
      <w:r w:rsidR="0047655E">
        <w:rPr>
          <w:sz w:val="20"/>
          <w:szCs w:val="20"/>
        </w:rPr>
        <w:t>N</w:t>
      </w:r>
      <w:r w:rsidR="00146F94" w:rsidRPr="00C357F2">
        <w:rPr>
          <w:sz w:val="20"/>
          <w:szCs w:val="20"/>
        </w:rPr>
        <w:t xml:space="preserve">ame of the community </w:t>
      </w:r>
      <w:r w:rsidR="00CB454D">
        <w:rPr>
          <w:sz w:val="20"/>
          <w:szCs w:val="20"/>
        </w:rPr>
        <w:t xml:space="preserve">represented by </w:t>
      </w:r>
      <w:r w:rsidR="00146F94" w:rsidRPr="00C357F2">
        <w:rPr>
          <w:sz w:val="20"/>
          <w:szCs w:val="20"/>
        </w:rPr>
        <w:t>the CQE</w:t>
      </w:r>
    </w:p>
    <w:p w:rsidR="00146F94" w:rsidRPr="00C357F2" w:rsidRDefault="00146F94"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C357F2">
        <w:rPr>
          <w:sz w:val="20"/>
          <w:szCs w:val="20"/>
        </w:rPr>
        <w:tab/>
      </w:r>
      <w:r w:rsidR="005960E2">
        <w:rPr>
          <w:sz w:val="20"/>
          <w:szCs w:val="20"/>
        </w:rPr>
        <w:t>P</w:t>
      </w:r>
      <w:r w:rsidRPr="00C357F2">
        <w:rPr>
          <w:sz w:val="20"/>
          <w:szCs w:val="20"/>
        </w:rPr>
        <w:t>ermanent business mailing address</w:t>
      </w:r>
    </w:p>
    <w:p w:rsidR="00146F94" w:rsidRPr="00C357F2" w:rsidRDefault="00146F94"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sidRPr="00C357F2">
        <w:rPr>
          <w:sz w:val="20"/>
          <w:szCs w:val="20"/>
        </w:rPr>
        <w:tab/>
      </w:r>
      <w:r w:rsidR="005960E2">
        <w:rPr>
          <w:sz w:val="20"/>
          <w:szCs w:val="20"/>
        </w:rPr>
        <w:tab/>
      </w:r>
      <w:r w:rsidRPr="00C357F2">
        <w:rPr>
          <w:sz w:val="20"/>
          <w:szCs w:val="20"/>
        </w:rPr>
        <w:t xml:space="preserve">If appropriate, enter the temporary business mailing address </w:t>
      </w:r>
    </w:p>
    <w:p w:rsidR="00146F94" w:rsidRPr="00C357F2" w:rsidRDefault="005960E2"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Bu</w:t>
      </w:r>
      <w:r w:rsidR="00146F94" w:rsidRPr="00C357F2">
        <w:rPr>
          <w:sz w:val="20"/>
          <w:szCs w:val="20"/>
        </w:rPr>
        <w:t>siness telephone number, business fax number, and e-mail address (if available)</w:t>
      </w:r>
    </w:p>
    <w:p w:rsidR="00146F94" w:rsidRPr="005960E2" w:rsidRDefault="005960E2" w:rsidP="00C357F2">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5960E2">
        <w:rPr>
          <w:sz w:val="20"/>
          <w:szCs w:val="20"/>
          <w:u w:val="single"/>
        </w:rPr>
        <w:t>Block B – Transferee (Buyer) Information</w:t>
      </w:r>
    </w:p>
    <w:p w:rsidR="00146F94" w:rsidRPr="00C357F2" w:rsidRDefault="00146F94"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C357F2">
        <w:rPr>
          <w:sz w:val="20"/>
          <w:szCs w:val="20"/>
        </w:rPr>
        <w:tab/>
      </w:r>
      <w:r w:rsidR="00345C50">
        <w:rPr>
          <w:sz w:val="20"/>
          <w:szCs w:val="20"/>
        </w:rPr>
        <w:t>N</w:t>
      </w:r>
      <w:r w:rsidRPr="00C357F2">
        <w:rPr>
          <w:sz w:val="20"/>
          <w:szCs w:val="20"/>
        </w:rPr>
        <w:t>ame of transfer</w:t>
      </w:r>
      <w:r w:rsidR="00345C50">
        <w:rPr>
          <w:sz w:val="20"/>
          <w:szCs w:val="20"/>
        </w:rPr>
        <w:t>ee</w:t>
      </w:r>
    </w:p>
    <w:p w:rsidR="00146F94" w:rsidRPr="00C357F2" w:rsidRDefault="00146F94"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C357F2">
        <w:rPr>
          <w:sz w:val="20"/>
          <w:szCs w:val="20"/>
        </w:rPr>
        <w:tab/>
      </w:r>
      <w:r w:rsidR="00345C50">
        <w:rPr>
          <w:sz w:val="20"/>
          <w:szCs w:val="20"/>
        </w:rPr>
        <w:t>NMFS Person ID</w:t>
      </w:r>
      <w:r w:rsidRPr="00C357F2">
        <w:rPr>
          <w:sz w:val="20"/>
          <w:szCs w:val="20"/>
        </w:rPr>
        <w:t xml:space="preserve"> </w:t>
      </w:r>
    </w:p>
    <w:p w:rsidR="00146F94" w:rsidRPr="00C357F2" w:rsidRDefault="00CB454D" w:rsidP="00C357F2">
      <w:pPr>
        <w:tabs>
          <w:tab w:val="left" w:pos="360"/>
          <w:tab w:val="left" w:pos="720"/>
          <w:tab w:val="left" w:pos="1080"/>
          <w:tab w:val="left" w:pos="1440"/>
        </w:tabs>
        <w:rPr>
          <w:sz w:val="20"/>
          <w:szCs w:val="20"/>
        </w:rPr>
      </w:pPr>
      <w:r>
        <w:rPr>
          <w:sz w:val="20"/>
          <w:szCs w:val="20"/>
        </w:rPr>
        <w:tab/>
        <w:t>N</w:t>
      </w:r>
      <w:r w:rsidR="00146F94" w:rsidRPr="00C357F2">
        <w:rPr>
          <w:sz w:val="20"/>
          <w:szCs w:val="20"/>
        </w:rPr>
        <w:t>ame of the community represented by the CQE</w:t>
      </w:r>
    </w:p>
    <w:p w:rsidR="00146F94" w:rsidRPr="00C357F2" w:rsidRDefault="00146F94" w:rsidP="00C357F2">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C357F2">
        <w:rPr>
          <w:sz w:val="20"/>
          <w:szCs w:val="20"/>
        </w:rPr>
        <w:tab/>
      </w:r>
      <w:r w:rsidR="00345C50">
        <w:rPr>
          <w:sz w:val="20"/>
          <w:szCs w:val="20"/>
        </w:rPr>
        <w:t>P</w:t>
      </w:r>
      <w:r w:rsidRPr="00C357F2">
        <w:rPr>
          <w:sz w:val="20"/>
          <w:szCs w:val="20"/>
        </w:rPr>
        <w:t>ermanent business mailing address</w:t>
      </w:r>
      <w:r w:rsidR="00345C50">
        <w:rPr>
          <w:sz w:val="20"/>
          <w:szCs w:val="20"/>
        </w:rPr>
        <w:t>, including P.O. Box, street, city, state, and zip code</w:t>
      </w:r>
    </w:p>
    <w:p w:rsidR="00146F94" w:rsidRPr="00C357F2" w:rsidRDefault="00345C50" w:rsidP="00345C50">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r>
      <w:r>
        <w:rPr>
          <w:sz w:val="20"/>
          <w:szCs w:val="20"/>
        </w:rPr>
        <w:tab/>
      </w:r>
      <w:r w:rsidR="00146F94" w:rsidRPr="00C357F2">
        <w:rPr>
          <w:sz w:val="20"/>
          <w:szCs w:val="20"/>
        </w:rPr>
        <w:t xml:space="preserve">If appropriate, temporary business mailing address </w:t>
      </w:r>
    </w:p>
    <w:p w:rsidR="00146F94" w:rsidRPr="00C357F2" w:rsidRDefault="00345C50"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B</w:t>
      </w:r>
      <w:r w:rsidR="00146F94" w:rsidRPr="00C357F2">
        <w:rPr>
          <w:sz w:val="20"/>
          <w:szCs w:val="20"/>
        </w:rPr>
        <w:t>usiness telephone number, business fax number, an</w:t>
      </w:r>
      <w:r w:rsidR="00286FA2">
        <w:rPr>
          <w:sz w:val="20"/>
          <w:szCs w:val="20"/>
        </w:rPr>
        <w:t>d e-mail address (if available)</w:t>
      </w:r>
    </w:p>
    <w:p w:rsidR="00146F94" w:rsidRPr="00345C50" w:rsidRDefault="00345C50"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Pr>
          <w:sz w:val="20"/>
          <w:szCs w:val="20"/>
          <w:u w:val="single"/>
        </w:rPr>
        <w:t>Block C – Questions f</w:t>
      </w:r>
      <w:r w:rsidRPr="00345C50">
        <w:rPr>
          <w:sz w:val="20"/>
          <w:szCs w:val="20"/>
          <w:u w:val="single"/>
        </w:rPr>
        <w:t>or Transferee</w:t>
      </w:r>
    </w:p>
    <w:p w:rsidR="00A564F9" w:rsidRDefault="00A564F9"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sidR="00146F94" w:rsidRPr="00C357F2">
        <w:rPr>
          <w:sz w:val="20"/>
          <w:szCs w:val="20"/>
        </w:rPr>
        <w:t xml:space="preserve">Indicate if </w:t>
      </w:r>
      <w:r>
        <w:rPr>
          <w:sz w:val="20"/>
          <w:szCs w:val="20"/>
        </w:rPr>
        <w:t xml:space="preserve">applicant </w:t>
      </w:r>
      <w:r w:rsidR="00353C8B">
        <w:rPr>
          <w:sz w:val="20"/>
          <w:szCs w:val="20"/>
        </w:rPr>
        <w:t>intends</w:t>
      </w:r>
      <w:r w:rsidR="00146F94" w:rsidRPr="00C357F2">
        <w:rPr>
          <w:sz w:val="20"/>
          <w:szCs w:val="20"/>
        </w:rPr>
        <w:t xml:space="preserve"> </w:t>
      </w:r>
      <w:proofErr w:type="gramStart"/>
      <w:r w:rsidR="00577202">
        <w:rPr>
          <w:sz w:val="20"/>
          <w:szCs w:val="20"/>
        </w:rPr>
        <w:t>this</w:t>
      </w:r>
      <w:proofErr w:type="gramEnd"/>
      <w:r w:rsidR="00577202">
        <w:rPr>
          <w:sz w:val="20"/>
          <w:szCs w:val="20"/>
        </w:rPr>
        <w:t xml:space="preserve"> QS to be included in a </w:t>
      </w:r>
      <w:r w:rsidR="00146F94" w:rsidRPr="00C357F2">
        <w:rPr>
          <w:sz w:val="20"/>
          <w:szCs w:val="20"/>
        </w:rPr>
        <w:t>sweep up</w:t>
      </w:r>
    </w:p>
    <w:p w:rsidR="008E2387" w:rsidRDefault="008E2387"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Pr>
          <w:sz w:val="20"/>
          <w:szCs w:val="20"/>
        </w:rPr>
        <w:tab/>
      </w:r>
      <w:r w:rsidRPr="008E2387">
        <w:rPr>
          <w:b/>
          <w:sz w:val="20"/>
          <w:szCs w:val="20"/>
        </w:rPr>
        <w:t>If YES</w:t>
      </w:r>
      <w:r>
        <w:rPr>
          <w:sz w:val="20"/>
          <w:szCs w:val="20"/>
        </w:rPr>
        <w:t>, list the identifier into which this new piece should be combined</w:t>
      </w:r>
    </w:p>
    <w:p w:rsidR="00577202" w:rsidRDefault="00577202"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b/>
          <w:sz w:val="20"/>
          <w:szCs w:val="20"/>
        </w:rPr>
        <w:tab/>
      </w:r>
      <w:r>
        <w:rPr>
          <w:b/>
          <w:sz w:val="20"/>
          <w:szCs w:val="20"/>
        </w:rPr>
        <w:tab/>
        <w:t xml:space="preserve">Attach </w:t>
      </w:r>
      <w:r w:rsidRPr="00577202">
        <w:rPr>
          <w:sz w:val="20"/>
          <w:szCs w:val="20"/>
        </w:rPr>
        <w:t>the original QS Holder Summary Reports of both the transferor and the transferee</w:t>
      </w:r>
    </w:p>
    <w:p w:rsidR="00146F94" w:rsidRPr="00174A91" w:rsidRDefault="00A564F9"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sidR="00146F94" w:rsidRPr="00174A91">
        <w:rPr>
          <w:sz w:val="20"/>
          <w:szCs w:val="20"/>
        </w:rPr>
        <w:t>If this i</w:t>
      </w:r>
      <w:r w:rsidR="00577202">
        <w:rPr>
          <w:sz w:val="20"/>
          <w:szCs w:val="20"/>
        </w:rPr>
        <w:t xml:space="preserve">s a transfer of Catcher Vessel </w:t>
      </w:r>
      <w:r w:rsidR="00146F94" w:rsidRPr="00174A91">
        <w:rPr>
          <w:sz w:val="20"/>
          <w:szCs w:val="20"/>
        </w:rPr>
        <w:t>CDQ compensation QS</w:t>
      </w:r>
      <w:r w:rsidR="00577202">
        <w:rPr>
          <w:sz w:val="20"/>
          <w:szCs w:val="20"/>
        </w:rPr>
        <w:t xml:space="preserve"> and the vessel category has not </w:t>
      </w:r>
      <w:r w:rsidR="00146F94" w:rsidRPr="00174A91">
        <w:rPr>
          <w:sz w:val="20"/>
          <w:szCs w:val="20"/>
        </w:rPr>
        <w:t xml:space="preserve">been </w:t>
      </w:r>
      <w:r w:rsidR="00577202">
        <w:rPr>
          <w:sz w:val="20"/>
          <w:szCs w:val="20"/>
        </w:rPr>
        <w:t>declared, indicate the</w:t>
      </w:r>
      <w:r w:rsidR="00146F94" w:rsidRPr="00174A91">
        <w:rPr>
          <w:sz w:val="20"/>
          <w:szCs w:val="20"/>
        </w:rPr>
        <w:t xml:space="preserve"> category</w:t>
      </w:r>
      <w:r w:rsidR="00577202">
        <w:rPr>
          <w:sz w:val="20"/>
          <w:szCs w:val="20"/>
        </w:rPr>
        <w:t xml:space="preserve"> </w:t>
      </w:r>
      <w:r w:rsidR="008E2387">
        <w:rPr>
          <w:sz w:val="20"/>
          <w:szCs w:val="20"/>
        </w:rPr>
        <w:t>requested</w:t>
      </w:r>
    </w:p>
    <w:p w:rsidR="00146F94" w:rsidRPr="000B16BB" w:rsidRDefault="000B16BB" w:rsidP="000B16BB">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0B16BB">
        <w:rPr>
          <w:sz w:val="20"/>
          <w:szCs w:val="20"/>
          <w:u w:val="single"/>
        </w:rPr>
        <w:t xml:space="preserve">Block D – Identification </w:t>
      </w:r>
      <w:r>
        <w:rPr>
          <w:sz w:val="20"/>
          <w:szCs w:val="20"/>
          <w:u w:val="single"/>
        </w:rPr>
        <w:t>o</w:t>
      </w:r>
      <w:r w:rsidRPr="000B16BB">
        <w:rPr>
          <w:sz w:val="20"/>
          <w:szCs w:val="20"/>
          <w:u w:val="single"/>
        </w:rPr>
        <w:t xml:space="preserve">f QS </w:t>
      </w:r>
      <w:r>
        <w:rPr>
          <w:sz w:val="20"/>
          <w:szCs w:val="20"/>
          <w:u w:val="single"/>
        </w:rPr>
        <w:t>t</w:t>
      </w:r>
      <w:r w:rsidRPr="000B16BB">
        <w:rPr>
          <w:sz w:val="20"/>
          <w:szCs w:val="20"/>
          <w:u w:val="single"/>
        </w:rPr>
        <w:t xml:space="preserve">o </w:t>
      </w:r>
      <w:r>
        <w:rPr>
          <w:sz w:val="20"/>
          <w:szCs w:val="20"/>
          <w:u w:val="single"/>
        </w:rPr>
        <w:t>b</w:t>
      </w:r>
      <w:r w:rsidRPr="000B16BB">
        <w:rPr>
          <w:sz w:val="20"/>
          <w:szCs w:val="20"/>
          <w:u w:val="single"/>
        </w:rPr>
        <w:t xml:space="preserve">e </w:t>
      </w:r>
      <w:proofErr w:type="gramStart"/>
      <w:r w:rsidRPr="000B16BB">
        <w:rPr>
          <w:sz w:val="20"/>
          <w:szCs w:val="20"/>
          <w:u w:val="single"/>
        </w:rPr>
        <w:t>Transferred</w:t>
      </w:r>
      <w:proofErr w:type="gramEnd"/>
    </w:p>
    <w:p w:rsidR="00CA1803" w:rsidRDefault="00146F94" w:rsidP="008E2387">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174A91">
        <w:rPr>
          <w:b/>
          <w:sz w:val="20"/>
          <w:szCs w:val="20"/>
        </w:rPr>
        <w:tab/>
      </w:r>
      <w:r w:rsidR="00CA1803">
        <w:rPr>
          <w:sz w:val="20"/>
          <w:szCs w:val="20"/>
        </w:rPr>
        <w:t>Quota share to be transferred</w:t>
      </w:r>
      <w:r w:rsidRPr="00174A91">
        <w:rPr>
          <w:sz w:val="20"/>
          <w:szCs w:val="20"/>
        </w:rPr>
        <w:tab/>
      </w:r>
    </w:p>
    <w:p w:rsidR="001B0F0D" w:rsidRDefault="00CA1803"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sidR="000B16BB">
        <w:rPr>
          <w:sz w:val="20"/>
          <w:szCs w:val="20"/>
        </w:rPr>
        <w:t>T</w:t>
      </w:r>
      <w:r w:rsidR="00146F94" w:rsidRPr="00174A91">
        <w:rPr>
          <w:sz w:val="20"/>
          <w:szCs w:val="20"/>
        </w:rPr>
        <w:t xml:space="preserve">otal QS units </w:t>
      </w:r>
    </w:p>
    <w:p w:rsidR="00146F94" w:rsidRPr="00174A91" w:rsidRDefault="001B0F0D"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t>D</w:t>
      </w:r>
      <w:r w:rsidR="00146F94" w:rsidRPr="00174A91">
        <w:rPr>
          <w:sz w:val="20"/>
          <w:szCs w:val="20"/>
        </w:rPr>
        <w:t>esignation of QS units</w:t>
      </w:r>
    </w:p>
    <w:p w:rsidR="00146F94" w:rsidRPr="00F40143" w:rsidRDefault="00F40143" w:rsidP="00174A9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F40143">
        <w:rPr>
          <w:sz w:val="20"/>
          <w:szCs w:val="20"/>
          <w:u w:val="single"/>
        </w:rPr>
        <w:t xml:space="preserve">Block </w:t>
      </w:r>
      <w:r w:rsidR="00511395">
        <w:rPr>
          <w:sz w:val="20"/>
          <w:szCs w:val="20"/>
          <w:u w:val="single"/>
        </w:rPr>
        <w:t>E</w:t>
      </w:r>
      <w:r w:rsidRPr="00F40143">
        <w:rPr>
          <w:sz w:val="20"/>
          <w:szCs w:val="20"/>
          <w:u w:val="single"/>
        </w:rPr>
        <w:t xml:space="preserve"> – Required Transferor Supplemental Information</w:t>
      </w:r>
    </w:p>
    <w:p w:rsidR="00146F94" w:rsidRPr="00174A91" w:rsidRDefault="00F40143" w:rsidP="00D649F9">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sidR="00511395">
        <w:rPr>
          <w:sz w:val="20"/>
          <w:szCs w:val="20"/>
        </w:rPr>
        <w:t>I</w:t>
      </w:r>
      <w:r w:rsidR="00146F94" w:rsidRPr="00174A91">
        <w:rPr>
          <w:sz w:val="20"/>
          <w:szCs w:val="20"/>
        </w:rPr>
        <w:t>ndicate the reason(s) transfer is being proposed.  Check all that apply and expla</w:t>
      </w:r>
      <w:r w:rsidR="00D649F9">
        <w:rPr>
          <w:sz w:val="20"/>
          <w:szCs w:val="20"/>
        </w:rPr>
        <w:t>i</w:t>
      </w:r>
      <w:r w:rsidR="00146F94" w:rsidRPr="00174A91">
        <w:rPr>
          <w:sz w:val="20"/>
          <w:szCs w:val="20"/>
        </w:rPr>
        <w:t>n</w:t>
      </w:r>
    </w:p>
    <w:p w:rsidR="00146F94" w:rsidRPr="00174A91" w:rsidRDefault="00146F94" w:rsidP="00511395">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 xml:space="preserve">Price per </w:t>
      </w:r>
      <w:r w:rsidR="00511395">
        <w:rPr>
          <w:sz w:val="20"/>
          <w:szCs w:val="20"/>
        </w:rPr>
        <w:t>unit of QS</w:t>
      </w:r>
    </w:p>
    <w:p w:rsidR="00146F94" w:rsidRPr="00174A91" w:rsidRDefault="00F40143" w:rsidP="00174A91">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T</w:t>
      </w:r>
      <w:r w:rsidR="00146F94" w:rsidRPr="00174A91">
        <w:rPr>
          <w:sz w:val="20"/>
          <w:szCs w:val="20"/>
        </w:rPr>
        <w:t>otal amount paid for the QS/IFQ in this t</w:t>
      </w:r>
      <w:r>
        <w:rPr>
          <w:sz w:val="20"/>
          <w:szCs w:val="20"/>
        </w:rPr>
        <w:t>ransaction, including all fees</w:t>
      </w:r>
    </w:p>
    <w:p w:rsidR="00146F94" w:rsidRPr="00174A91" w:rsidRDefault="00F40143" w:rsidP="00174A91">
      <w:pPr>
        <w:numPr>
          <w:ilvl w:val="12"/>
          <w:numId w:val="0"/>
        </w:numPr>
        <w:tabs>
          <w:tab w:val="left" w:pos="-1560"/>
          <w:tab w:val="left" w:pos="-780"/>
          <w:tab w:val="left" w:pos="-12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00146F94" w:rsidRPr="00174A91">
        <w:rPr>
          <w:sz w:val="20"/>
          <w:szCs w:val="20"/>
        </w:rPr>
        <w:t>Indicate whether a broker is used for this transaction</w:t>
      </w:r>
    </w:p>
    <w:p w:rsidR="00146F94" w:rsidRPr="00174A91" w:rsidRDefault="00146F94"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r>
      <w:r w:rsidRPr="00174A91">
        <w:rPr>
          <w:sz w:val="20"/>
          <w:szCs w:val="20"/>
        </w:rPr>
        <w:tab/>
      </w:r>
      <w:r w:rsidRPr="00174A91">
        <w:rPr>
          <w:b/>
          <w:sz w:val="20"/>
          <w:szCs w:val="20"/>
        </w:rPr>
        <w:t>If YES</w:t>
      </w:r>
      <w:r w:rsidRPr="00174A91">
        <w:rPr>
          <w:sz w:val="20"/>
          <w:szCs w:val="20"/>
        </w:rPr>
        <w:t>, indicate amount paid in brokerage fees or percentage of total price.</w:t>
      </w:r>
    </w:p>
    <w:p w:rsidR="00146F94" w:rsidRPr="00174A91" w:rsidRDefault="00146F94" w:rsidP="00F4014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Indicate reason(s) for transferring QS/IFQ (check all that apply)</w:t>
      </w:r>
    </w:p>
    <w:p w:rsidR="00146F94" w:rsidRPr="00F40143" w:rsidRDefault="00511395" w:rsidP="00174A91">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Pr>
          <w:sz w:val="20"/>
          <w:szCs w:val="20"/>
          <w:u w:val="single"/>
        </w:rPr>
        <w:t>Block F</w:t>
      </w:r>
      <w:r w:rsidR="00F40143" w:rsidRPr="00F40143">
        <w:rPr>
          <w:sz w:val="20"/>
          <w:szCs w:val="20"/>
          <w:u w:val="single"/>
        </w:rPr>
        <w:t xml:space="preserve"> – Required Transferee Supplemental Information</w:t>
      </w:r>
    </w:p>
    <w:p w:rsidR="00146F94" w:rsidRPr="00174A91" w:rsidRDefault="00F40143"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00146F94" w:rsidRPr="00174A91">
        <w:rPr>
          <w:sz w:val="20"/>
          <w:szCs w:val="20"/>
        </w:rPr>
        <w:t>Indicate whether the QS/IFQ will have a lien attached</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r>
      <w:r w:rsidRPr="00174A91">
        <w:rPr>
          <w:sz w:val="20"/>
          <w:szCs w:val="20"/>
        </w:rPr>
        <w:tab/>
      </w:r>
      <w:r w:rsidRPr="00174A91">
        <w:rPr>
          <w:b/>
          <w:sz w:val="20"/>
          <w:szCs w:val="20"/>
        </w:rPr>
        <w:t>If YES</w:t>
      </w:r>
      <w:r w:rsidRPr="00174A91">
        <w:rPr>
          <w:sz w:val="20"/>
          <w:szCs w:val="20"/>
        </w:rPr>
        <w:t>, identify the person who will hold the lien</w:t>
      </w:r>
    </w:p>
    <w:p w:rsidR="00146F94" w:rsidRPr="00174A91" w:rsidRDefault="00C72C30"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00D649F9">
        <w:rPr>
          <w:sz w:val="20"/>
          <w:szCs w:val="20"/>
        </w:rPr>
        <w:t>P</w:t>
      </w:r>
      <w:r w:rsidR="00146F94" w:rsidRPr="00174A91">
        <w:rPr>
          <w:sz w:val="20"/>
          <w:szCs w:val="20"/>
        </w:rPr>
        <w:t>rimary source of financing for this transfer (check one)</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r>
      <w:r w:rsidR="00FC79EE">
        <w:rPr>
          <w:sz w:val="20"/>
          <w:szCs w:val="20"/>
        </w:rPr>
        <w:t>Indicate h</w:t>
      </w:r>
      <w:r w:rsidRPr="00174A91">
        <w:rPr>
          <w:sz w:val="20"/>
          <w:szCs w:val="20"/>
        </w:rPr>
        <w:t>ow the QS/IFQ was located (check all that apply)</w:t>
      </w:r>
    </w:p>
    <w:p w:rsidR="00146F94" w:rsidRPr="00174A91" w:rsidRDefault="00D649F9"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R</w:t>
      </w:r>
      <w:r w:rsidR="00146F94" w:rsidRPr="00174A91">
        <w:rPr>
          <w:sz w:val="20"/>
          <w:szCs w:val="20"/>
        </w:rPr>
        <w:t>elationship to the transferor (check all that apply)</w:t>
      </w:r>
    </w:p>
    <w:p w:rsidR="00D649F9" w:rsidRDefault="00146F94" w:rsidP="00D649F9">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174A91">
        <w:rPr>
          <w:sz w:val="20"/>
          <w:szCs w:val="20"/>
        </w:rPr>
        <w:tab/>
        <w:t>Indicate whether an agreement exists to return the QS to</w:t>
      </w:r>
      <w:r w:rsidR="00D649F9">
        <w:rPr>
          <w:sz w:val="20"/>
          <w:szCs w:val="20"/>
        </w:rPr>
        <w:t xml:space="preserve"> </w:t>
      </w:r>
      <w:r w:rsidRPr="00174A91">
        <w:rPr>
          <w:sz w:val="20"/>
          <w:szCs w:val="20"/>
        </w:rPr>
        <w:t>the transferor or</w:t>
      </w:r>
      <w:r w:rsidR="00D649F9">
        <w:rPr>
          <w:sz w:val="20"/>
          <w:szCs w:val="20"/>
        </w:rPr>
        <w:t xml:space="preserve"> a condition place</w:t>
      </w:r>
      <w:r w:rsidR="00FC79EE">
        <w:rPr>
          <w:sz w:val="20"/>
          <w:szCs w:val="20"/>
        </w:rPr>
        <w:t>d</w:t>
      </w:r>
      <w:r w:rsidR="00D649F9">
        <w:rPr>
          <w:sz w:val="20"/>
          <w:szCs w:val="20"/>
        </w:rPr>
        <w:t xml:space="preserve"> on resale</w:t>
      </w:r>
    </w:p>
    <w:p w:rsidR="00146F94" w:rsidRPr="00174A91" w:rsidRDefault="00146F94" w:rsidP="00D649F9">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174A91">
        <w:rPr>
          <w:sz w:val="20"/>
          <w:szCs w:val="20"/>
        </w:rPr>
        <w:tab/>
      </w:r>
      <w:r w:rsidRPr="00174A91">
        <w:rPr>
          <w:sz w:val="20"/>
          <w:szCs w:val="20"/>
        </w:rPr>
        <w:tab/>
      </w:r>
      <w:r w:rsidRPr="00174A91">
        <w:rPr>
          <w:b/>
          <w:sz w:val="20"/>
          <w:szCs w:val="20"/>
        </w:rPr>
        <w:t>If YES</w:t>
      </w:r>
      <w:r w:rsidRPr="00174A91">
        <w:rPr>
          <w:sz w:val="20"/>
          <w:szCs w:val="20"/>
        </w:rPr>
        <w:t>, explain</w:t>
      </w:r>
    </w:p>
    <w:p w:rsidR="00146F94" w:rsidRPr="00C72C30" w:rsidRDefault="00C72C30"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C72C30">
        <w:rPr>
          <w:sz w:val="20"/>
          <w:szCs w:val="20"/>
          <w:u w:val="single"/>
        </w:rPr>
        <w:t xml:space="preserve">Block </w:t>
      </w:r>
      <w:r w:rsidR="00EC1B94">
        <w:rPr>
          <w:sz w:val="20"/>
          <w:szCs w:val="20"/>
          <w:u w:val="single"/>
        </w:rPr>
        <w:t>G</w:t>
      </w:r>
      <w:r w:rsidRPr="00C72C30">
        <w:rPr>
          <w:sz w:val="20"/>
          <w:szCs w:val="20"/>
          <w:u w:val="single"/>
        </w:rPr>
        <w:t xml:space="preserve"> -- Certification </w:t>
      </w:r>
      <w:r>
        <w:rPr>
          <w:sz w:val="20"/>
          <w:szCs w:val="20"/>
          <w:u w:val="single"/>
        </w:rPr>
        <w:t>o</w:t>
      </w:r>
      <w:r w:rsidRPr="00C72C30">
        <w:rPr>
          <w:sz w:val="20"/>
          <w:szCs w:val="20"/>
          <w:u w:val="single"/>
        </w:rPr>
        <w:t>f Transferor</w:t>
      </w:r>
    </w:p>
    <w:p w:rsidR="00146F94" w:rsidRPr="00174A91" w:rsidRDefault="00146F94"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r>
      <w:r w:rsidR="00C72C30">
        <w:rPr>
          <w:sz w:val="20"/>
          <w:szCs w:val="20"/>
        </w:rPr>
        <w:t>P</w:t>
      </w:r>
      <w:r w:rsidRPr="00174A91">
        <w:rPr>
          <w:sz w:val="20"/>
          <w:szCs w:val="20"/>
        </w:rPr>
        <w:t>rinted name and signature of Transferor and date signed</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 xml:space="preserve">If completed by </w:t>
      </w:r>
      <w:r w:rsidR="00C72C30">
        <w:rPr>
          <w:sz w:val="20"/>
          <w:szCs w:val="20"/>
        </w:rPr>
        <w:t>representative</w:t>
      </w:r>
      <w:r w:rsidRPr="00174A91">
        <w:rPr>
          <w:sz w:val="20"/>
          <w:szCs w:val="20"/>
        </w:rPr>
        <w:t xml:space="preserve">, </w:t>
      </w:r>
      <w:r w:rsidRPr="00C72C30">
        <w:rPr>
          <w:b/>
          <w:sz w:val="20"/>
          <w:szCs w:val="20"/>
        </w:rPr>
        <w:t>attach</w:t>
      </w:r>
      <w:r w:rsidRPr="00174A91">
        <w:rPr>
          <w:sz w:val="20"/>
          <w:szCs w:val="20"/>
        </w:rPr>
        <w:t xml:space="preserve"> authorization</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Signature, commission expiration date, and stamp of notary public</w:t>
      </w:r>
    </w:p>
    <w:p w:rsidR="00146F94" w:rsidRPr="00C72C30" w:rsidRDefault="00C72C30"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C72C30">
        <w:rPr>
          <w:sz w:val="20"/>
          <w:szCs w:val="20"/>
          <w:u w:val="single"/>
        </w:rPr>
        <w:t xml:space="preserve">Block </w:t>
      </w:r>
      <w:r w:rsidR="00EC1B94">
        <w:rPr>
          <w:sz w:val="20"/>
          <w:szCs w:val="20"/>
          <w:u w:val="single"/>
        </w:rPr>
        <w:t>H</w:t>
      </w:r>
      <w:r w:rsidRPr="00C72C30">
        <w:rPr>
          <w:sz w:val="20"/>
          <w:szCs w:val="20"/>
          <w:u w:val="single"/>
        </w:rPr>
        <w:t xml:space="preserve"> -- Certification </w:t>
      </w:r>
      <w:r>
        <w:rPr>
          <w:sz w:val="20"/>
          <w:szCs w:val="20"/>
          <w:u w:val="single"/>
        </w:rPr>
        <w:t>o</w:t>
      </w:r>
      <w:r w:rsidRPr="00C72C30">
        <w:rPr>
          <w:sz w:val="20"/>
          <w:szCs w:val="20"/>
          <w:u w:val="single"/>
        </w:rPr>
        <w:t xml:space="preserve">f Transferee </w:t>
      </w:r>
    </w:p>
    <w:p w:rsidR="00146F94" w:rsidRPr="00174A91" w:rsidRDefault="00C72C30"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00146F94" w:rsidRPr="00174A91">
        <w:rPr>
          <w:sz w:val="20"/>
          <w:szCs w:val="20"/>
        </w:rPr>
        <w:t>rinted name and signature of Transferee and date signed</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 xml:space="preserve">If completed by </w:t>
      </w:r>
      <w:r w:rsidR="00C72C30">
        <w:rPr>
          <w:sz w:val="20"/>
          <w:szCs w:val="20"/>
        </w:rPr>
        <w:t>representative</w:t>
      </w:r>
      <w:r w:rsidRPr="00174A91">
        <w:rPr>
          <w:sz w:val="20"/>
          <w:szCs w:val="20"/>
        </w:rPr>
        <w:t xml:space="preserve">, </w:t>
      </w:r>
      <w:r w:rsidRPr="00C72C30">
        <w:rPr>
          <w:b/>
          <w:sz w:val="20"/>
          <w:szCs w:val="20"/>
        </w:rPr>
        <w:t>attach</w:t>
      </w:r>
      <w:r w:rsidRPr="00174A91">
        <w:rPr>
          <w:sz w:val="20"/>
          <w:szCs w:val="20"/>
        </w:rPr>
        <w:t xml:space="preserve"> authorization</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Signature, commission expiration date, and stamp of notary public</w:t>
      </w:r>
    </w:p>
    <w:p w:rsidR="0015548E" w:rsidRDefault="0015548E">
      <w:pPr>
        <w:spacing w:after="200" w:line="276" w:lineRule="auto"/>
        <w:rPr>
          <w:sz w:val="20"/>
          <w:szCs w:val="20"/>
          <w:u w:val="single"/>
        </w:rPr>
      </w:pPr>
      <w:r>
        <w:rPr>
          <w:sz w:val="20"/>
          <w:szCs w:val="20"/>
          <w:u w:val="single"/>
        </w:rPr>
        <w:br w:type="page"/>
      </w:r>
    </w:p>
    <w:p w:rsidR="00146F94" w:rsidRPr="00C72C30" w:rsidRDefault="00644206"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C72C30">
        <w:rPr>
          <w:sz w:val="20"/>
          <w:szCs w:val="20"/>
          <w:u w:val="single"/>
        </w:rPr>
        <w:lastRenderedPageBreak/>
        <w:t xml:space="preserve">Block </w:t>
      </w:r>
      <w:r w:rsidR="00EC1B94">
        <w:rPr>
          <w:sz w:val="20"/>
          <w:szCs w:val="20"/>
          <w:u w:val="single"/>
        </w:rPr>
        <w:t>I</w:t>
      </w:r>
      <w:r w:rsidRPr="00C72C30">
        <w:rPr>
          <w:sz w:val="20"/>
          <w:szCs w:val="20"/>
          <w:u w:val="single"/>
        </w:rPr>
        <w:t xml:space="preserve"> -- </w:t>
      </w:r>
      <w:r w:rsidR="00C72C30" w:rsidRPr="00C72C30">
        <w:rPr>
          <w:sz w:val="20"/>
          <w:szCs w:val="20"/>
          <w:u w:val="single"/>
        </w:rPr>
        <w:t xml:space="preserve">Certification </w:t>
      </w:r>
      <w:r w:rsidR="00C72C30">
        <w:rPr>
          <w:sz w:val="20"/>
          <w:szCs w:val="20"/>
          <w:u w:val="single"/>
        </w:rPr>
        <w:t>o</w:t>
      </w:r>
      <w:r w:rsidR="00C72C30" w:rsidRPr="00C72C30">
        <w:rPr>
          <w:sz w:val="20"/>
          <w:szCs w:val="20"/>
          <w:u w:val="single"/>
        </w:rPr>
        <w:t>f C</w:t>
      </w:r>
      <w:r w:rsidR="00C72C30">
        <w:rPr>
          <w:sz w:val="20"/>
          <w:szCs w:val="20"/>
          <w:u w:val="single"/>
        </w:rPr>
        <w:t>QE</w:t>
      </w:r>
      <w:r w:rsidR="00C72C30" w:rsidRPr="00C72C30">
        <w:rPr>
          <w:sz w:val="20"/>
          <w:szCs w:val="20"/>
          <w:u w:val="single"/>
        </w:rPr>
        <w:t xml:space="preserve"> Community Representative</w:t>
      </w:r>
    </w:p>
    <w:p w:rsidR="00146F94" w:rsidRPr="00174A91" w:rsidRDefault="00C72C30" w:rsidP="00174A9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S</w:t>
      </w:r>
      <w:r w:rsidR="00146F94" w:rsidRPr="00174A91">
        <w:rPr>
          <w:sz w:val="20"/>
          <w:szCs w:val="20"/>
        </w:rPr>
        <w:t>ignature of Community Representative and date signed</w:t>
      </w:r>
    </w:p>
    <w:p w:rsidR="00146F94" w:rsidRPr="00174A91"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r>
      <w:r w:rsidR="00C72C30">
        <w:rPr>
          <w:sz w:val="20"/>
          <w:szCs w:val="20"/>
        </w:rPr>
        <w:t>P</w:t>
      </w:r>
      <w:r w:rsidRPr="00174A91">
        <w:rPr>
          <w:sz w:val="20"/>
          <w:szCs w:val="20"/>
        </w:rPr>
        <w:t xml:space="preserve">rinted name and title of Community Representative  </w:t>
      </w:r>
    </w:p>
    <w:p w:rsidR="00A7322D" w:rsidRDefault="00146F94" w:rsidP="00174A91">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174A91">
        <w:rPr>
          <w:sz w:val="20"/>
          <w:szCs w:val="20"/>
        </w:rPr>
        <w:tab/>
        <w:t>Signature, commission expiration date, and stamp of notary public</w:t>
      </w:r>
    </w:p>
    <w:p w:rsidR="0015548E" w:rsidRDefault="0015548E">
      <w:pPr>
        <w:spacing w:after="200" w:line="276" w:lineRule="auto"/>
        <w:rPr>
          <w:sz w:val="20"/>
          <w:szCs w:val="20"/>
        </w:rPr>
      </w:pPr>
    </w:p>
    <w:p w:rsidR="00932CEE" w:rsidRDefault="0057445E">
      <w:pPr>
        <w:spacing w:after="200" w:line="276" w:lineRule="auto"/>
      </w:pPr>
      <w:r w:rsidRPr="0057445E">
        <w:t>The</w:t>
      </w:r>
      <w:r w:rsidR="004474F5">
        <w:t xml:space="preserve">re </w:t>
      </w:r>
      <w:r w:rsidRPr="0057445E">
        <w:t>current</w:t>
      </w:r>
      <w:r w:rsidR="004474F5">
        <w:t xml:space="preserve">ly are 31 </w:t>
      </w:r>
      <w:r w:rsidRPr="0057445E">
        <w:t xml:space="preserve">CQEs </w:t>
      </w:r>
      <w:r>
        <w:t>(see</w:t>
      </w:r>
      <w:r w:rsidR="004474F5">
        <w:t xml:space="preserve"> </w:t>
      </w:r>
      <w:hyperlink r:id="rId11" w:history="1">
        <w:r w:rsidRPr="00CF3BF2">
          <w:rPr>
            <w:rStyle w:val="Hyperlink"/>
          </w:rPr>
          <w:t>http://alaskafisheries.noaa.gov/ram/daily/cqenamescontacts.pdf</w:t>
        </w:r>
      </w:hyperlink>
      <w:r w:rsidR="00286FA2">
        <w:t>)</w:t>
      </w:r>
      <w:r>
        <w:t xml:space="preserve">; </w:t>
      </w:r>
      <w:r w:rsidRPr="0057445E">
        <w:t>this action adds one CQE for the Aleutian Islands</w:t>
      </w:r>
      <w:r>
        <w:t xml:space="preserve"> which totals 32 CQEs</w:t>
      </w:r>
      <w:r w:rsidRPr="0057445E">
        <w:t>.</w:t>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C72C30" w:rsidRPr="00D7184F" w:rsidTr="00C72C30">
        <w:trPr>
          <w:jc w:val="center"/>
        </w:trPr>
        <w:tc>
          <w:tcPr>
            <w:tcW w:w="4986" w:type="dxa"/>
            <w:gridSpan w:val="2"/>
          </w:tcPr>
          <w:p w:rsidR="00C72C30" w:rsidRPr="00D7184F" w:rsidRDefault="00932CEE" w:rsidP="000357A9">
            <w:pPr>
              <w:rPr>
                <w:b/>
                <w:sz w:val="20"/>
                <w:szCs w:val="20"/>
              </w:rPr>
            </w:pPr>
            <w:r>
              <w:br w:type="page"/>
            </w:r>
            <w:r w:rsidR="00C72C30">
              <w:rPr>
                <w:b/>
                <w:sz w:val="20"/>
                <w:szCs w:val="20"/>
              </w:rPr>
              <w:t xml:space="preserve">Application for </w:t>
            </w:r>
            <w:r w:rsidR="000357A9">
              <w:rPr>
                <w:b/>
                <w:sz w:val="20"/>
                <w:szCs w:val="20"/>
              </w:rPr>
              <w:t xml:space="preserve">Transfer of QS/IFQ to or from a </w:t>
            </w:r>
            <w:r w:rsidR="00C72C30">
              <w:rPr>
                <w:b/>
                <w:sz w:val="20"/>
                <w:szCs w:val="20"/>
              </w:rPr>
              <w:t>CQE</w:t>
            </w:r>
            <w:r w:rsidR="00C72C30" w:rsidRPr="00D7184F">
              <w:rPr>
                <w:b/>
                <w:sz w:val="20"/>
                <w:szCs w:val="20"/>
              </w:rPr>
              <w:t>, Respondent</w:t>
            </w:r>
          </w:p>
        </w:tc>
      </w:tr>
      <w:tr w:rsidR="00C72C30" w:rsidRPr="00D7184F" w:rsidTr="00C72C30">
        <w:trPr>
          <w:jc w:val="center"/>
        </w:trPr>
        <w:tc>
          <w:tcPr>
            <w:tcW w:w="3933" w:type="dxa"/>
          </w:tcPr>
          <w:p w:rsidR="00C72C30" w:rsidRDefault="00C72C30" w:rsidP="00C72C30">
            <w:pPr>
              <w:rPr>
                <w:b/>
                <w:sz w:val="20"/>
                <w:szCs w:val="20"/>
              </w:rPr>
            </w:pPr>
            <w:r w:rsidRPr="00AF5BFB">
              <w:rPr>
                <w:b/>
                <w:sz w:val="20"/>
                <w:szCs w:val="20"/>
              </w:rPr>
              <w:t>Estimated number of respondents</w:t>
            </w:r>
          </w:p>
          <w:p w:rsidR="00C72C30" w:rsidRPr="00AF5BFB" w:rsidRDefault="00C72C30" w:rsidP="00C72C30">
            <w:pPr>
              <w:rPr>
                <w:b/>
                <w:sz w:val="20"/>
                <w:szCs w:val="20"/>
              </w:rPr>
            </w:pPr>
            <w:r w:rsidRPr="00AF5BFB">
              <w:rPr>
                <w:b/>
                <w:sz w:val="20"/>
                <w:szCs w:val="20"/>
              </w:rPr>
              <w:t>Total annual responses</w:t>
            </w:r>
          </w:p>
          <w:p w:rsidR="00C72C30" w:rsidRPr="00D7184F" w:rsidRDefault="00C72C30" w:rsidP="00C72C30">
            <w:pPr>
              <w:rPr>
                <w:sz w:val="20"/>
                <w:szCs w:val="20"/>
              </w:rPr>
            </w:pPr>
            <w:r w:rsidRPr="00D7184F">
              <w:rPr>
                <w:sz w:val="20"/>
                <w:szCs w:val="20"/>
              </w:rPr>
              <w:t xml:space="preserve">   Response per respondent =</w:t>
            </w:r>
            <w:r w:rsidR="00BE4E34">
              <w:rPr>
                <w:sz w:val="20"/>
                <w:szCs w:val="20"/>
              </w:rPr>
              <w:t xml:space="preserve"> 2</w:t>
            </w:r>
            <w:r w:rsidRPr="00D7184F">
              <w:rPr>
                <w:sz w:val="20"/>
                <w:szCs w:val="20"/>
              </w:rPr>
              <w:t xml:space="preserve"> </w:t>
            </w:r>
          </w:p>
          <w:p w:rsidR="00C72C30" w:rsidRPr="00D7184F" w:rsidRDefault="00C72C30" w:rsidP="00C72C30">
            <w:pPr>
              <w:rPr>
                <w:b/>
                <w:sz w:val="20"/>
                <w:szCs w:val="20"/>
              </w:rPr>
            </w:pPr>
            <w:r w:rsidRPr="00D7184F">
              <w:rPr>
                <w:b/>
                <w:sz w:val="20"/>
                <w:szCs w:val="20"/>
              </w:rPr>
              <w:t>Total burden hours</w:t>
            </w:r>
          </w:p>
          <w:p w:rsidR="00C72C30" w:rsidRDefault="00C72C30" w:rsidP="00C72C30">
            <w:pPr>
              <w:rPr>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sidR="005E74B1">
              <w:rPr>
                <w:sz w:val="20"/>
                <w:szCs w:val="20"/>
              </w:rPr>
              <w:t>2 hr</w:t>
            </w:r>
          </w:p>
          <w:p w:rsidR="00C72C30" w:rsidRPr="00D7184F" w:rsidRDefault="00C72C30" w:rsidP="00C72C30">
            <w:pPr>
              <w:rPr>
                <w:sz w:val="20"/>
                <w:szCs w:val="20"/>
              </w:rPr>
            </w:pPr>
            <w:r w:rsidRPr="00D7184F">
              <w:rPr>
                <w:b/>
                <w:sz w:val="20"/>
                <w:szCs w:val="20"/>
              </w:rPr>
              <w:t xml:space="preserve">Total personnel cost </w:t>
            </w:r>
            <w:r w:rsidRPr="00D7184F">
              <w:rPr>
                <w:sz w:val="20"/>
                <w:szCs w:val="20"/>
              </w:rPr>
              <w:t xml:space="preserve"> </w:t>
            </w:r>
            <w:r w:rsidR="00BE4E34">
              <w:rPr>
                <w:sz w:val="20"/>
                <w:szCs w:val="20"/>
              </w:rPr>
              <w:t>(</w:t>
            </w:r>
            <w:r>
              <w:rPr>
                <w:sz w:val="20"/>
                <w:szCs w:val="20"/>
              </w:rPr>
              <w:t>$</w:t>
            </w:r>
            <w:r w:rsidR="005E74B1">
              <w:rPr>
                <w:sz w:val="20"/>
                <w:szCs w:val="20"/>
              </w:rPr>
              <w:t>37</w:t>
            </w:r>
            <w:r>
              <w:rPr>
                <w:sz w:val="20"/>
                <w:szCs w:val="20"/>
              </w:rPr>
              <w:t>/hr</w:t>
            </w:r>
            <w:r w:rsidR="00BE4E34">
              <w:rPr>
                <w:sz w:val="20"/>
                <w:szCs w:val="20"/>
              </w:rPr>
              <w:t xml:space="preserve"> x 128)</w:t>
            </w:r>
          </w:p>
          <w:p w:rsidR="00C72C30" w:rsidRDefault="00C72C30" w:rsidP="00C72C30">
            <w:pPr>
              <w:rPr>
                <w:sz w:val="20"/>
                <w:szCs w:val="20"/>
              </w:rPr>
            </w:pPr>
            <w:r w:rsidRPr="00D7184F">
              <w:rPr>
                <w:b/>
                <w:sz w:val="20"/>
                <w:szCs w:val="20"/>
              </w:rPr>
              <w:t xml:space="preserve">Total miscellaneous costs </w:t>
            </w:r>
            <w:r w:rsidRPr="00B15C34">
              <w:rPr>
                <w:sz w:val="20"/>
                <w:szCs w:val="20"/>
              </w:rPr>
              <w:t>(</w:t>
            </w:r>
            <w:r w:rsidR="00BE4E34">
              <w:rPr>
                <w:sz w:val="20"/>
                <w:szCs w:val="20"/>
              </w:rPr>
              <w:t>383.80</w:t>
            </w:r>
            <w:r w:rsidR="00694F57">
              <w:rPr>
                <w:sz w:val="20"/>
                <w:szCs w:val="20"/>
              </w:rPr>
              <w:t>)</w:t>
            </w:r>
          </w:p>
          <w:p w:rsidR="00C72C30" w:rsidRDefault="00C72C30" w:rsidP="00C72C30">
            <w:pPr>
              <w:rPr>
                <w:sz w:val="20"/>
                <w:szCs w:val="20"/>
              </w:rPr>
            </w:pPr>
            <w:r w:rsidRPr="00D7184F">
              <w:rPr>
                <w:sz w:val="20"/>
                <w:szCs w:val="20"/>
              </w:rPr>
              <w:t xml:space="preserve">   Photocopy</w:t>
            </w:r>
            <w:r>
              <w:rPr>
                <w:sz w:val="20"/>
                <w:szCs w:val="20"/>
              </w:rPr>
              <w:t xml:space="preserve"> ( </w:t>
            </w:r>
            <w:r w:rsidR="005E74B1">
              <w:rPr>
                <w:sz w:val="20"/>
                <w:szCs w:val="20"/>
              </w:rPr>
              <w:t xml:space="preserve">4 </w:t>
            </w:r>
            <w:r>
              <w:rPr>
                <w:sz w:val="20"/>
                <w:szCs w:val="20"/>
              </w:rPr>
              <w:t>pp x .05 x</w:t>
            </w:r>
            <w:r w:rsidR="005E74B1">
              <w:rPr>
                <w:sz w:val="20"/>
                <w:szCs w:val="20"/>
              </w:rPr>
              <w:t xml:space="preserve"> </w:t>
            </w:r>
            <w:r w:rsidR="00BE4E34">
              <w:rPr>
                <w:sz w:val="20"/>
                <w:szCs w:val="20"/>
              </w:rPr>
              <w:t>64</w:t>
            </w:r>
            <w:r w:rsidR="005E74B1">
              <w:rPr>
                <w:sz w:val="20"/>
                <w:szCs w:val="20"/>
              </w:rPr>
              <w:t xml:space="preserve"> = </w:t>
            </w:r>
            <w:r w:rsidR="00BE4E34">
              <w:rPr>
                <w:sz w:val="20"/>
                <w:szCs w:val="20"/>
              </w:rPr>
              <w:t>12</w:t>
            </w:r>
            <w:r w:rsidR="005E74B1">
              <w:rPr>
                <w:sz w:val="20"/>
                <w:szCs w:val="20"/>
              </w:rPr>
              <w:t>.80)</w:t>
            </w:r>
            <w:r>
              <w:rPr>
                <w:sz w:val="20"/>
                <w:szCs w:val="20"/>
              </w:rPr>
              <w:t xml:space="preserve"> </w:t>
            </w:r>
          </w:p>
          <w:p w:rsidR="00C72C30" w:rsidRDefault="00C72C30" w:rsidP="00C72C30">
            <w:pPr>
              <w:rPr>
                <w:sz w:val="20"/>
                <w:szCs w:val="20"/>
              </w:rPr>
            </w:pPr>
            <w:r w:rsidRPr="00D7184F">
              <w:rPr>
                <w:sz w:val="20"/>
                <w:szCs w:val="20"/>
              </w:rPr>
              <w:t xml:space="preserve">   Postage</w:t>
            </w:r>
            <w:r>
              <w:rPr>
                <w:sz w:val="20"/>
                <w:szCs w:val="20"/>
              </w:rPr>
              <w:t xml:space="preserve"> (0.45 x </w:t>
            </w:r>
            <w:r w:rsidR="00BE4E34">
              <w:rPr>
                <w:sz w:val="20"/>
                <w:szCs w:val="20"/>
              </w:rPr>
              <w:t>60</w:t>
            </w:r>
            <w:r w:rsidR="005E74B1">
              <w:rPr>
                <w:sz w:val="20"/>
                <w:szCs w:val="20"/>
              </w:rPr>
              <w:t xml:space="preserve"> =</w:t>
            </w:r>
            <w:r w:rsidR="00694F57">
              <w:rPr>
                <w:sz w:val="20"/>
                <w:szCs w:val="20"/>
              </w:rPr>
              <w:t xml:space="preserve"> </w:t>
            </w:r>
            <w:r w:rsidR="00BE4E34">
              <w:rPr>
                <w:sz w:val="20"/>
                <w:szCs w:val="20"/>
              </w:rPr>
              <w:t>27</w:t>
            </w:r>
            <w:r w:rsidR="00694F57">
              <w:rPr>
                <w:sz w:val="20"/>
                <w:szCs w:val="20"/>
              </w:rPr>
              <w:t>)</w:t>
            </w:r>
          </w:p>
          <w:p w:rsidR="00C72C30" w:rsidRDefault="00C72C30" w:rsidP="00C72C30">
            <w:pPr>
              <w:rPr>
                <w:sz w:val="20"/>
                <w:szCs w:val="20"/>
              </w:rPr>
            </w:pPr>
            <w:r>
              <w:rPr>
                <w:sz w:val="20"/>
                <w:szCs w:val="20"/>
              </w:rPr>
              <w:t xml:space="preserve">   </w:t>
            </w:r>
            <w:r w:rsidR="00BE4E34">
              <w:rPr>
                <w:sz w:val="20"/>
                <w:szCs w:val="20"/>
              </w:rPr>
              <w:t>C</w:t>
            </w:r>
            <w:r>
              <w:rPr>
                <w:sz w:val="20"/>
                <w:szCs w:val="20"/>
              </w:rPr>
              <w:t xml:space="preserve">ourier ($6  x </w:t>
            </w:r>
            <w:r w:rsidR="00BE4E34">
              <w:rPr>
                <w:sz w:val="20"/>
                <w:szCs w:val="20"/>
              </w:rPr>
              <w:t>4</w:t>
            </w:r>
            <w:r w:rsidR="00694F57">
              <w:rPr>
                <w:sz w:val="20"/>
                <w:szCs w:val="20"/>
              </w:rPr>
              <w:t xml:space="preserve"> = </w:t>
            </w:r>
            <w:r w:rsidR="00BE4E34">
              <w:rPr>
                <w:sz w:val="20"/>
                <w:szCs w:val="20"/>
              </w:rPr>
              <w:t>24</w:t>
            </w:r>
            <w:r w:rsidR="00694F57">
              <w:rPr>
                <w:sz w:val="20"/>
                <w:szCs w:val="20"/>
              </w:rPr>
              <w:t>)</w:t>
            </w:r>
          </w:p>
          <w:p w:rsidR="00694F57" w:rsidRPr="00D7184F" w:rsidRDefault="00694F57" w:rsidP="00C72C30">
            <w:pPr>
              <w:rPr>
                <w:b/>
                <w:sz w:val="20"/>
                <w:szCs w:val="20"/>
              </w:rPr>
            </w:pPr>
            <w:r>
              <w:rPr>
                <w:sz w:val="20"/>
                <w:szCs w:val="20"/>
              </w:rPr>
              <w:t xml:space="preserve">   </w:t>
            </w:r>
            <w:r w:rsidR="00BE4E34">
              <w:rPr>
                <w:sz w:val="20"/>
                <w:szCs w:val="20"/>
              </w:rPr>
              <w:t>Notary ($5 x 64 = 3</w:t>
            </w:r>
            <w:r>
              <w:rPr>
                <w:sz w:val="20"/>
                <w:szCs w:val="20"/>
              </w:rPr>
              <w:t>20)</w:t>
            </w:r>
          </w:p>
        </w:tc>
        <w:tc>
          <w:tcPr>
            <w:tcW w:w="1053" w:type="dxa"/>
          </w:tcPr>
          <w:p w:rsidR="00C72C30" w:rsidRDefault="0057445E" w:rsidP="00C72C30">
            <w:pPr>
              <w:jc w:val="right"/>
              <w:rPr>
                <w:b/>
                <w:sz w:val="20"/>
                <w:szCs w:val="20"/>
              </w:rPr>
            </w:pPr>
            <w:r>
              <w:rPr>
                <w:b/>
                <w:sz w:val="20"/>
                <w:szCs w:val="20"/>
              </w:rPr>
              <w:t>3</w:t>
            </w:r>
            <w:r w:rsidR="005E74B1">
              <w:rPr>
                <w:b/>
                <w:sz w:val="20"/>
                <w:szCs w:val="20"/>
              </w:rPr>
              <w:t>2</w:t>
            </w:r>
          </w:p>
          <w:p w:rsidR="005E74B1" w:rsidRDefault="00BE4E34" w:rsidP="00C72C30">
            <w:pPr>
              <w:jc w:val="right"/>
              <w:rPr>
                <w:b/>
                <w:sz w:val="20"/>
                <w:szCs w:val="20"/>
              </w:rPr>
            </w:pPr>
            <w:r>
              <w:rPr>
                <w:b/>
                <w:sz w:val="20"/>
                <w:szCs w:val="20"/>
              </w:rPr>
              <w:t>64</w:t>
            </w:r>
          </w:p>
          <w:p w:rsidR="005E74B1" w:rsidRDefault="005E74B1" w:rsidP="00C72C30">
            <w:pPr>
              <w:jc w:val="right"/>
              <w:rPr>
                <w:b/>
                <w:sz w:val="20"/>
                <w:szCs w:val="20"/>
              </w:rPr>
            </w:pPr>
          </w:p>
          <w:p w:rsidR="005E74B1" w:rsidRDefault="00BE4E34" w:rsidP="00C72C30">
            <w:pPr>
              <w:jc w:val="right"/>
              <w:rPr>
                <w:b/>
                <w:sz w:val="20"/>
                <w:szCs w:val="20"/>
              </w:rPr>
            </w:pPr>
            <w:r>
              <w:rPr>
                <w:b/>
                <w:sz w:val="20"/>
                <w:szCs w:val="20"/>
              </w:rPr>
              <w:t>128</w:t>
            </w:r>
            <w:r w:rsidR="005E74B1">
              <w:rPr>
                <w:b/>
                <w:sz w:val="20"/>
                <w:szCs w:val="20"/>
              </w:rPr>
              <w:t xml:space="preserve"> hr</w:t>
            </w:r>
          </w:p>
          <w:p w:rsidR="005E74B1" w:rsidRDefault="005E74B1" w:rsidP="00C72C30">
            <w:pPr>
              <w:jc w:val="right"/>
              <w:rPr>
                <w:b/>
                <w:sz w:val="20"/>
                <w:szCs w:val="20"/>
              </w:rPr>
            </w:pPr>
          </w:p>
          <w:p w:rsidR="005E74B1" w:rsidRDefault="005E74B1" w:rsidP="00C72C30">
            <w:pPr>
              <w:jc w:val="right"/>
              <w:rPr>
                <w:b/>
                <w:sz w:val="20"/>
                <w:szCs w:val="20"/>
              </w:rPr>
            </w:pPr>
            <w:r>
              <w:rPr>
                <w:b/>
                <w:sz w:val="20"/>
                <w:szCs w:val="20"/>
              </w:rPr>
              <w:t>$</w:t>
            </w:r>
            <w:r w:rsidR="00BE4E34">
              <w:rPr>
                <w:b/>
                <w:sz w:val="20"/>
                <w:szCs w:val="20"/>
              </w:rPr>
              <w:t>4,736</w:t>
            </w:r>
          </w:p>
          <w:p w:rsidR="005E74B1" w:rsidRDefault="00694F57" w:rsidP="00C72C30">
            <w:pPr>
              <w:jc w:val="right"/>
              <w:rPr>
                <w:b/>
                <w:sz w:val="20"/>
                <w:szCs w:val="20"/>
              </w:rPr>
            </w:pPr>
            <w:r>
              <w:rPr>
                <w:b/>
                <w:sz w:val="20"/>
                <w:szCs w:val="20"/>
              </w:rPr>
              <w:t>$</w:t>
            </w:r>
            <w:r w:rsidR="008C192D">
              <w:rPr>
                <w:b/>
                <w:sz w:val="20"/>
                <w:szCs w:val="20"/>
              </w:rPr>
              <w:t>384</w:t>
            </w:r>
          </w:p>
          <w:p w:rsidR="005E74B1" w:rsidRDefault="005E74B1" w:rsidP="00C72C30">
            <w:pPr>
              <w:jc w:val="right"/>
              <w:rPr>
                <w:b/>
                <w:sz w:val="20"/>
                <w:szCs w:val="20"/>
              </w:rPr>
            </w:pPr>
          </w:p>
          <w:p w:rsidR="00C72C30" w:rsidRDefault="00C72C30" w:rsidP="00C72C30">
            <w:pPr>
              <w:jc w:val="right"/>
              <w:rPr>
                <w:b/>
                <w:sz w:val="20"/>
                <w:szCs w:val="20"/>
              </w:rPr>
            </w:pPr>
          </w:p>
          <w:p w:rsidR="00C72C30" w:rsidRPr="00AF5BFB" w:rsidRDefault="00C72C30" w:rsidP="00C72C30">
            <w:pPr>
              <w:jc w:val="right"/>
              <w:rPr>
                <w:b/>
                <w:sz w:val="20"/>
                <w:szCs w:val="20"/>
              </w:rPr>
            </w:pPr>
          </w:p>
        </w:tc>
      </w:tr>
    </w:tbl>
    <w:p w:rsidR="00932CEE" w:rsidRDefault="00932CEE" w:rsidP="00C72C30">
      <w:pPr>
        <w:tabs>
          <w:tab w:val="left" w:pos="2112"/>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C72C30" w:rsidRPr="00D7184F" w:rsidTr="00C72C30">
        <w:trPr>
          <w:jc w:val="center"/>
        </w:trPr>
        <w:tc>
          <w:tcPr>
            <w:tcW w:w="4995" w:type="dxa"/>
            <w:gridSpan w:val="2"/>
          </w:tcPr>
          <w:p w:rsidR="00C72C30" w:rsidRPr="00D7184F" w:rsidRDefault="00C72C30" w:rsidP="000357A9">
            <w:pPr>
              <w:rPr>
                <w:b/>
                <w:sz w:val="20"/>
                <w:szCs w:val="20"/>
              </w:rPr>
            </w:pPr>
            <w:r>
              <w:rPr>
                <w:b/>
                <w:sz w:val="20"/>
                <w:szCs w:val="20"/>
              </w:rPr>
              <w:t xml:space="preserve">Application for </w:t>
            </w:r>
            <w:r w:rsidR="000357A9">
              <w:rPr>
                <w:b/>
                <w:sz w:val="20"/>
                <w:szCs w:val="20"/>
              </w:rPr>
              <w:t xml:space="preserve">Transfer of QS/IFQ to or from a </w:t>
            </w:r>
            <w:r>
              <w:rPr>
                <w:b/>
                <w:sz w:val="20"/>
                <w:szCs w:val="20"/>
              </w:rPr>
              <w:t>CQE</w:t>
            </w:r>
            <w:r w:rsidRPr="00D7184F">
              <w:rPr>
                <w:b/>
                <w:sz w:val="20"/>
                <w:szCs w:val="20"/>
              </w:rPr>
              <w:t>,  Federal Government</w:t>
            </w:r>
          </w:p>
        </w:tc>
      </w:tr>
      <w:tr w:rsidR="00C72C30" w:rsidRPr="00D7184F" w:rsidTr="00C72C30">
        <w:trPr>
          <w:jc w:val="center"/>
        </w:trPr>
        <w:tc>
          <w:tcPr>
            <w:tcW w:w="3938" w:type="dxa"/>
          </w:tcPr>
          <w:p w:rsidR="00C72C30" w:rsidRPr="00D7184F" w:rsidRDefault="00C72C30" w:rsidP="00C72C30">
            <w:pPr>
              <w:rPr>
                <w:b/>
                <w:sz w:val="20"/>
                <w:szCs w:val="20"/>
              </w:rPr>
            </w:pPr>
            <w:r w:rsidRPr="00D7184F">
              <w:rPr>
                <w:b/>
                <w:sz w:val="20"/>
                <w:szCs w:val="20"/>
              </w:rPr>
              <w:t>Total annual responses</w:t>
            </w:r>
          </w:p>
          <w:p w:rsidR="00516B60" w:rsidRDefault="00C72C30" w:rsidP="00C72C30">
            <w:pPr>
              <w:rPr>
                <w:b/>
                <w:sz w:val="20"/>
                <w:szCs w:val="20"/>
              </w:rPr>
            </w:pPr>
            <w:r w:rsidRPr="00D7184F">
              <w:rPr>
                <w:b/>
                <w:sz w:val="20"/>
                <w:szCs w:val="20"/>
              </w:rPr>
              <w:t xml:space="preserve">Total </w:t>
            </w:r>
            <w:r w:rsidR="00516B60">
              <w:rPr>
                <w:b/>
                <w:sz w:val="20"/>
                <w:szCs w:val="20"/>
              </w:rPr>
              <w:t xml:space="preserve">Time </w:t>
            </w:r>
            <w:r w:rsidRPr="00D7184F">
              <w:rPr>
                <w:b/>
                <w:sz w:val="20"/>
                <w:szCs w:val="20"/>
              </w:rPr>
              <w:t>burden</w:t>
            </w:r>
          </w:p>
          <w:p w:rsidR="00C72C30" w:rsidRPr="00013FD7" w:rsidRDefault="00516B60" w:rsidP="00C72C30">
            <w:pPr>
              <w:rPr>
                <w:sz w:val="20"/>
                <w:szCs w:val="20"/>
              </w:rPr>
            </w:pPr>
            <w:r>
              <w:rPr>
                <w:b/>
                <w:sz w:val="20"/>
                <w:szCs w:val="20"/>
              </w:rPr>
              <w:t xml:space="preserve">   </w:t>
            </w:r>
            <w:r w:rsidRPr="00013FD7">
              <w:rPr>
                <w:sz w:val="20"/>
                <w:szCs w:val="20"/>
              </w:rPr>
              <w:t xml:space="preserve">Time per response = </w:t>
            </w:r>
            <w:r w:rsidR="00013FD7" w:rsidRPr="00013FD7">
              <w:rPr>
                <w:sz w:val="20"/>
                <w:szCs w:val="20"/>
              </w:rPr>
              <w:t>30 minutes</w:t>
            </w:r>
            <w:r w:rsidR="00C72C30" w:rsidRPr="00013FD7">
              <w:rPr>
                <w:sz w:val="20"/>
                <w:szCs w:val="20"/>
              </w:rPr>
              <w:t xml:space="preserve">  </w:t>
            </w:r>
          </w:p>
          <w:p w:rsidR="00C72C30" w:rsidRPr="00D7184F" w:rsidRDefault="00C72C30" w:rsidP="00C72C30">
            <w:pPr>
              <w:rPr>
                <w:sz w:val="20"/>
                <w:szCs w:val="20"/>
              </w:rPr>
            </w:pPr>
            <w:r w:rsidRPr="00D7184F">
              <w:rPr>
                <w:b/>
                <w:sz w:val="20"/>
                <w:szCs w:val="20"/>
              </w:rPr>
              <w:t xml:space="preserve">Total personnel cost </w:t>
            </w:r>
            <w:r w:rsidR="00694F57">
              <w:rPr>
                <w:sz w:val="20"/>
                <w:szCs w:val="20"/>
              </w:rPr>
              <w:t xml:space="preserve"> </w:t>
            </w:r>
            <w:r w:rsidR="008C192D">
              <w:rPr>
                <w:sz w:val="20"/>
                <w:szCs w:val="20"/>
              </w:rPr>
              <w:t>(</w:t>
            </w:r>
            <w:r w:rsidR="00694F57">
              <w:rPr>
                <w:sz w:val="20"/>
                <w:szCs w:val="20"/>
              </w:rPr>
              <w:t>$37</w:t>
            </w:r>
            <w:r>
              <w:rPr>
                <w:sz w:val="20"/>
                <w:szCs w:val="20"/>
              </w:rPr>
              <w:t>/hr</w:t>
            </w:r>
            <w:r w:rsidR="008C192D">
              <w:rPr>
                <w:sz w:val="20"/>
                <w:szCs w:val="20"/>
              </w:rPr>
              <w:t xml:space="preserve"> x 32)</w:t>
            </w:r>
          </w:p>
          <w:p w:rsidR="00C72C30" w:rsidRPr="00D7184F" w:rsidRDefault="00C72C30" w:rsidP="00C72C30">
            <w:pPr>
              <w:rPr>
                <w:sz w:val="20"/>
                <w:szCs w:val="20"/>
              </w:rPr>
            </w:pPr>
            <w:r w:rsidRPr="00D7184F">
              <w:rPr>
                <w:b/>
                <w:sz w:val="20"/>
                <w:szCs w:val="20"/>
              </w:rPr>
              <w:t>Total miscellaneous cost</w:t>
            </w:r>
            <w:r w:rsidRPr="00D7184F">
              <w:rPr>
                <w:sz w:val="20"/>
                <w:szCs w:val="20"/>
              </w:rPr>
              <w:t xml:space="preserve">   </w:t>
            </w:r>
          </w:p>
        </w:tc>
        <w:tc>
          <w:tcPr>
            <w:tcW w:w="1057" w:type="dxa"/>
          </w:tcPr>
          <w:p w:rsidR="00C72C30" w:rsidRDefault="008C192D" w:rsidP="00C72C30">
            <w:pPr>
              <w:jc w:val="right"/>
              <w:rPr>
                <w:b/>
                <w:sz w:val="20"/>
                <w:szCs w:val="20"/>
              </w:rPr>
            </w:pPr>
            <w:r>
              <w:rPr>
                <w:b/>
                <w:sz w:val="20"/>
                <w:szCs w:val="20"/>
              </w:rPr>
              <w:t>6</w:t>
            </w:r>
            <w:r w:rsidR="00694F57">
              <w:rPr>
                <w:b/>
                <w:sz w:val="20"/>
                <w:szCs w:val="20"/>
              </w:rPr>
              <w:t>4</w:t>
            </w:r>
          </w:p>
          <w:p w:rsidR="00694F57" w:rsidRDefault="008C192D" w:rsidP="00C72C30">
            <w:pPr>
              <w:jc w:val="right"/>
              <w:rPr>
                <w:b/>
                <w:sz w:val="20"/>
                <w:szCs w:val="20"/>
              </w:rPr>
            </w:pPr>
            <w:r>
              <w:rPr>
                <w:b/>
                <w:sz w:val="20"/>
                <w:szCs w:val="20"/>
              </w:rPr>
              <w:t>3</w:t>
            </w:r>
            <w:r w:rsidR="00013FD7">
              <w:rPr>
                <w:b/>
                <w:sz w:val="20"/>
                <w:szCs w:val="20"/>
              </w:rPr>
              <w:t>2 hr</w:t>
            </w:r>
          </w:p>
          <w:p w:rsidR="00013FD7" w:rsidRDefault="00013FD7" w:rsidP="00C72C30">
            <w:pPr>
              <w:jc w:val="right"/>
              <w:rPr>
                <w:b/>
                <w:sz w:val="20"/>
                <w:szCs w:val="20"/>
              </w:rPr>
            </w:pPr>
          </w:p>
          <w:p w:rsidR="00013FD7" w:rsidRDefault="00013FD7" w:rsidP="00C72C30">
            <w:pPr>
              <w:jc w:val="right"/>
              <w:rPr>
                <w:b/>
                <w:sz w:val="20"/>
                <w:szCs w:val="20"/>
              </w:rPr>
            </w:pPr>
            <w:r>
              <w:rPr>
                <w:b/>
                <w:sz w:val="20"/>
                <w:szCs w:val="20"/>
              </w:rPr>
              <w:t>$</w:t>
            </w:r>
            <w:r w:rsidR="008C192D">
              <w:rPr>
                <w:b/>
                <w:sz w:val="20"/>
                <w:szCs w:val="20"/>
              </w:rPr>
              <w:t>1,184</w:t>
            </w:r>
          </w:p>
          <w:p w:rsidR="00013FD7" w:rsidRPr="00D7184F" w:rsidRDefault="00013FD7" w:rsidP="00C72C30">
            <w:pPr>
              <w:jc w:val="right"/>
              <w:rPr>
                <w:b/>
                <w:sz w:val="20"/>
                <w:szCs w:val="20"/>
              </w:rPr>
            </w:pPr>
            <w:r>
              <w:rPr>
                <w:b/>
                <w:sz w:val="20"/>
                <w:szCs w:val="20"/>
              </w:rPr>
              <w:t>0</w:t>
            </w:r>
          </w:p>
        </w:tc>
      </w:tr>
    </w:tbl>
    <w:p w:rsidR="00C72C30" w:rsidRDefault="00C72C30" w:rsidP="00C72C30">
      <w:pPr>
        <w:tabs>
          <w:tab w:val="left" w:pos="360"/>
          <w:tab w:val="left" w:pos="720"/>
          <w:tab w:val="left" w:pos="1080"/>
        </w:tabs>
        <w:ind w:left="720" w:hanging="720"/>
        <w:rPr>
          <w:sz w:val="20"/>
          <w:szCs w:val="20"/>
        </w:rPr>
      </w:pPr>
    </w:p>
    <w:p w:rsidR="00B56262" w:rsidRDefault="001805A3" w:rsidP="00B56262">
      <w:pPr>
        <w:rPr>
          <w:b/>
        </w:rPr>
      </w:pPr>
      <w:proofErr w:type="gramStart"/>
      <w:r>
        <w:rPr>
          <w:b/>
        </w:rPr>
        <w:t>c</w:t>
      </w:r>
      <w:r w:rsidR="00B56262">
        <w:rPr>
          <w:b/>
        </w:rPr>
        <w:t>.</w:t>
      </w:r>
      <w:r w:rsidR="00B56262" w:rsidRPr="00B56262">
        <w:rPr>
          <w:b/>
        </w:rPr>
        <w:t xml:space="preserve">  </w:t>
      </w:r>
      <w:r w:rsidR="008873EB">
        <w:rPr>
          <w:b/>
        </w:rPr>
        <w:t>Application</w:t>
      </w:r>
      <w:proofErr w:type="gramEnd"/>
      <w:r w:rsidR="008873EB">
        <w:rPr>
          <w:b/>
        </w:rPr>
        <w:t xml:space="preserve"> </w:t>
      </w:r>
      <w:r w:rsidR="00827764" w:rsidRPr="008873EB">
        <w:rPr>
          <w:b/>
        </w:rPr>
        <w:t xml:space="preserve">for a </w:t>
      </w:r>
      <w:r w:rsidR="00FA6E21" w:rsidRPr="008873EB">
        <w:rPr>
          <w:b/>
        </w:rPr>
        <w:t>CQE to transfer IFQ to an eligible comm</w:t>
      </w:r>
      <w:r w:rsidR="00EB7A79">
        <w:rPr>
          <w:b/>
        </w:rPr>
        <w:t xml:space="preserve">unity resident or non-resident </w:t>
      </w:r>
      <w:r w:rsidR="00B56262" w:rsidRPr="008873EB">
        <w:rPr>
          <w:b/>
        </w:rPr>
        <w:t>[</w:t>
      </w:r>
      <w:r w:rsidR="00D36946">
        <w:rPr>
          <w:b/>
        </w:rPr>
        <w:t>NEW</w:t>
      </w:r>
      <w:r w:rsidR="00573FAC">
        <w:rPr>
          <w:b/>
        </w:rPr>
        <w:t>]</w:t>
      </w:r>
    </w:p>
    <w:p w:rsidR="00B56262" w:rsidRDefault="00B56262" w:rsidP="00B56262">
      <w:pPr>
        <w:rPr>
          <w:b/>
        </w:rPr>
      </w:pPr>
    </w:p>
    <w:p w:rsidR="00C90112" w:rsidRDefault="001555E3" w:rsidP="0001277C">
      <w:r>
        <w:t xml:space="preserve">Once </w:t>
      </w:r>
      <w:r w:rsidRPr="001555E3">
        <w:t>NMFS approve</w:t>
      </w:r>
      <w:r>
        <w:t>s</w:t>
      </w:r>
      <w:r w:rsidRPr="001555E3">
        <w:t xml:space="preserve"> the transfer of QS </w:t>
      </w:r>
      <w:r w:rsidR="002C4EF3">
        <w:t xml:space="preserve">to </w:t>
      </w:r>
      <w:r w:rsidRPr="001555E3">
        <w:t>CQE</w:t>
      </w:r>
      <w:r w:rsidR="002C4EF3">
        <w:t xml:space="preserve">, the CQE may </w:t>
      </w:r>
      <w:r w:rsidR="008A7A5D" w:rsidRPr="008A7A5D">
        <w:t xml:space="preserve">transfer halibut and sablefish IFQ </w:t>
      </w:r>
      <w:r w:rsidR="00C90112" w:rsidRPr="005E1824">
        <w:t>to individual</w:t>
      </w:r>
      <w:r w:rsidR="002F4B25">
        <w:t>,</w:t>
      </w:r>
      <w:r w:rsidR="00C90112" w:rsidRPr="005E1824">
        <w:t xml:space="preserve"> </w:t>
      </w:r>
      <w:r w:rsidR="002F4B25">
        <w:t xml:space="preserve">eligible </w:t>
      </w:r>
      <w:r w:rsidR="00C90112" w:rsidRPr="005E1824">
        <w:t>community residents</w:t>
      </w:r>
      <w:r w:rsidR="00C90112">
        <w:t xml:space="preserve"> and non-residents</w:t>
      </w:r>
      <w:r w:rsidR="00C90112" w:rsidRPr="005E1824">
        <w:t xml:space="preserve">.  The CQE Program also promotes QS ownership by individual community residents.  Individuals who lease annual IFQ from the CQE could use IFQ revenue to purchase their own QS.  </w:t>
      </w:r>
    </w:p>
    <w:p w:rsidR="00C90112" w:rsidRDefault="00C90112" w:rsidP="008C192D"/>
    <w:p w:rsidR="002F4B25" w:rsidRDefault="002557B0" w:rsidP="002557B0">
      <w:r>
        <w:t xml:space="preserve">An </w:t>
      </w:r>
      <w:r w:rsidR="002F4B25" w:rsidRPr="00A809FE">
        <w:t xml:space="preserve">Aleutian Islands CQE </w:t>
      </w:r>
      <w:r>
        <w:t xml:space="preserve">could </w:t>
      </w:r>
      <w:r w:rsidR="002F4B25" w:rsidRPr="00A809FE">
        <w:t>lease any IFQ derived from their QS to either eligible community residents of Adak or non-residents for a period of up to 5 years after the effective date of the final rule.  After the 5 year period, the CQE would be required to lease the annual IFQ derived from QS it holds only to eligible community residents of Adak.</w:t>
      </w:r>
    </w:p>
    <w:p w:rsidR="002557B0" w:rsidRDefault="002557B0" w:rsidP="001805A3"/>
    <w:p w:rsidR="00BB5A57" w:rsidRDefault="00BB5A57" w:rsidP="00BB5A57">
      <w:r>
        <w:t>Those persons applying to receive QS or IFQ by transfer must submit an Application for Eligibility to Receive QS/IFQ containing accurate information to the Regional Administrator, to obtain a TEC.  To be eligible, persons must have 150 or more days of experience working as part of a harvesting crew in any U.S. commercial fishery. Work in support of harvesting but not directly related to it is not considered harvesting crew work.</w:t>
      </w:r>
    </w:p>
    <w:p w:rsidR="00BB5A57" w:rsidRDefault="00BB5A57" w:rsidP="001805A3"/>
    <w:p w:rsidR="00537229" w:rsidRDefault="00455DBF" w:rsidP="001805A3">
      <w:r>
        <w:lastRenderedPageBreak/>
        <w:t>A</w:t>
      </w:r>
      <w:r w:rsidR="00537229" w:rsidRPr="00537229">
        <w:t>n eligible community resident receiving IFQ from an Aleutian Islands CQE would have to hold a TEC, but NMFS would not apply the 150-day criteria for the eligible community resident to receive th</w:t>
      </w:r>
      <w:r w:rsidR="002557B0">
        <w:t>e TEC</w:t>
      </w:r>
      <w:r w:rsidR="00537229" w:rsidRPr="00537229">
        <w:t xml:space="preserve">.  </w:t>
      </w:r>
    </w:p>
    <w:p w:rsidR="008C192D" w:rsidRDefault="008C192D" w:rsidP="001805A3"/>
    <w:p w:rsidR="0054345F" w:rsidRDefault="00914DA1" w:rsidP="00914DA1">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pPr>
      <w:r>
        <w:t>Due to the notary requirement, w</w:t>
      </w:r>
      <w:r w:rsidR="0054345F">
        <w:t xml:space="preserve">hen completed, the original application may </w:t>
      </w:r>
      <w:r>
        <w:t xml:space="preserve">only </w:t>
      </w:r>
      <w:r w:rsidR="0054345F">
        <w:t xml:space="preserve">be submitted: </w:t>
      </w:r>
    </w:p>
    <w:p w:rsidR="0054345F" w:rsidRDefault="0054345F" w:rsidP="00BB5A57">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t>By mail to:</w:t>
      </w:r>
      <w:r>
        <w:tab/>
        <w:t>Alaska Region, National Marine Fisheries Service</w:t>
      </w:r>
    </w:p>
    <w:p w:rsidR="0054345F" w:rsidRDefault="0054345F" w:rsidP="0054345F">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Restricted Access Management (RAM)</w:t>
      </w:r>
    </w:p>
    <w:p w:rsidR="0054345F" w:rsidRDefault="0054345F" w:rsidP="0054345F">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P.O. Box 21668</w:t>
      </w:r>
    </w:p>
    <w:p w:rsidR="0054345F" w:rsidRDefault="0054345F" w:rsidP="0054345F">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Juneau, AK 99802-1668</w:t>
      </w:r>
    </w:p>
    <w:p w:rsidR="001239F1" w:rsidRDefault="001239F1" w:rsidP="0054345F">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p>
    <w:p w:rsidR="0054345F" w:rsidRDefault="001239F1" w:rsidP="0054345F">
      <w:pPr>
        <w:numPr>
          <w:ilvl w:val="12"/>
          <w:numId w:val="0"/>
        </w:numPr>
        <w:tabs>
          <w:tab w:val="left" w:pos="-156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rsidR="0054345F">
        <w:t>Or, deliver to:</w:t>
      </w:r>
      <w:r w:rsidR="0054345F">
        <w:tab/>
        <w:t>Room 713, Federal Building</w:t>
      </w:r>
    </w:p>
    <w:p w:rsidR="0054345F" w:rsidRDefault="0054345F" w:rsidP="0054345F">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709 West 9th Street</w:t>
      </w:r>
    </w:p>
    <w:p w:rsidR="0015548E" w:rsidRDefault="0015548E" w:rsidP="0054345F">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r>
        <w:tab/>
      </w:r>
      <w:r>
        <w:tab/>
      </w:r>
      <w:r>
        <w:tab/>
      </w:r>
      <w:r>
        <w:tab/>
      </w:r>
      <w:r>
        <w:tab/>
        <w:t>Juneau, AK</w:t>
      </w:r>
    </w:p>
    <w:p w:rsidR="00BA2B95" w:rsidRDefault="00BA2B95" w:rsidP="0054345F">
      <w:pPr>
        <w:numPr>
          <w:ilvl w:val="12"/>
          <w:numId w:val="0"/>
        </w:numPr>
        <w:tabs>
          <w:tab w:val="left" w:pos="-1560"/>
          <w:tab w:val="left" w:pos="-780"/>
          <w:tab w:val="left" w:pos="-120"/>
          <w:tab w:val="left" w:pos="360"/>
          <w:tab w:val="left" w:pos="720"/>
          <w:tab w:val="left" w:pos="1080"/>
          <w:tab w:val="left" w:pos="1440"/>
          <w:tab w:val="left" w:pos="2760"/>
          <w:tab w:val="left" w:pos="3480"/>
          <w:tab w:val="left" w:pos="4200"/>
          <w:tab w:val="left" w:pos="4920"/>
          <w:tab w:val="left" w:pos="5640"/>
          <w:tab w:val="left" w:pos="6360"/>
          <w:tab w:val="left" w:pos="7080"/>
          <w:tab w:val="left" w:pos="7800"/>
          <w:tab w:val="left" w:pos="8520"/>
          <w:tab w:val="left" w:pos="9240"/>
        </w:tabs>
        <w:ind w:right="-270"/>
        <w:jc w:val="both"/>
      </w:pPr>
    </w:p>
    <w:p w:rsidR="00CC20D8" w:rsidRPr="00CC20D8" w:rsidRDefault="00CC20D8"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b/>
          <w:sz w:val="20"/>
          <w:szCs w:val="20"/>
        </w:rPr>
      </w:pPr>
      <w:r w:rsidRPr="00CC20D8">
        <w:rPr>
          <w:b/>
          <w:sz w:val="20"/>
          <w:szCs w:val="20"/>
        </w:rPr>
        <w:t xml:space="preserve">Application for </w:t>
      </w:r>
      <w:r w:rsidR="008873EB">
        <w:rPr>
          <w:b/>
          <w:sz w:val="20"/>
          <w:szCs w:val="20"/>
        </w:rPr>
        <w:t xml:space="preserve">a CQE to </w:t>
      </w:r>
      <w:r w:rsidRPr="00CC20D8">
        <w:rPr>
          <w:b/>
          <w:sz w:val="20"/>
          <w:szCs w:val="20"/>
        </w:rPr>
        <w:t xml:space="preserve">Transfer IFQ </w:t>
      </w:r>
      <w:r w:rsidR="008873EB">
        <w:rPr>
          <w:b/>
          <w:sz w:val="20"/>
          <w:szCs w:val="20"/>
        </w:rPr>
        <w:t>to an eligible community resident or non-resident</w:t>
      </w:r>
    </w:p>
    <w:p w:rsidR="006375F3" w:rsidRPr="006A1FF8" w:rsidRDefault="006A1FF8"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6A1FF8">
        <w:rPr>
          <w:sz w:val="20"/>
          <w:szCs w:val="20"/>
          <w:u w:val="single"/>
        </w:rPr>
        <w:t xml:space="preserve">Block </w:t>
      </w:r>
      <w:proofErr w:type="gramStart"/>
      <w:r w:rsidRPr="006A1FF8">
        <w:rPr>
          <w:sz w:val="20"/>
          <w:szCs w:val="20"/>
          <w:u w:val="single"/>
        </w:rPr>
        <w:t>A  –</w:t>
      </w:r>
      <w:proofErr w:type="gramEnd"/>
      <w:r w:rsidRPr="006A1FF8">
        <w:rPr>
          <w:sz w:val="20"/>
          <w:szCs w:val="20"/>
          <w:u w:val="single"/>
        </w:rPr>
        <w:t xml:space="preserve"> Transferor (Seller) Information</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sidRPr="006375F3">
        <w:rPr>
          <w:sz w:val="20"/>
          <w:szCs w:val="20"/>
        </w:rPr>
        <w:tab/>
        <w:t xml:space="preserve">Name of </w:t>
      </w:r>
      <w:r w:rsidR="00CC20D8">
        <w:rPr>
          <w:sz w:val="20"/>
          <w:szCs w:val="20"/>
        </w:rPr>
        <w:t xml:space="preserve">transferor </w:t>
      </w:r>
      <w:r w:rsidRPr="006375F3">
        <w:rPr>
          <w:sz w:val="20"/>
          <w:szCs w:val="20"/>
        </w:rPr>
        <w:t>as it appears on the QS Holder Summary Report or TEC</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t xml:space="preserve">NMFS Person ID </w:t>
      </w:r>
    </w:p>
    <w:p w:rsidR="006375F3" w:rsidRPr="006375F3" w:rsidRDefault="006375F3" w:rsidP="006375F3">
      <w:pPr>
        <w:tabs>
          <w:tab w:val="left" w:pos="360"/>
          <w:tab w:val="left" w:pos="720"/>
          <w:tab w:val="left" w:pos="1080"/>
          <w:tab w:val="left" w:pos="1440"/>
        </w:tabs>
        <w:ind w:left="720" w:hanging="720"/>
        <w:rPr>
          <w:sz w:val="20"/>
          <w:szCs w:val="20"/>
        </w:rPr>
      </w:pPr>
      <w:r w:rsidRPr="006375F3">
        <w:rPr>
          <w:sz w:val="20"/>
          <w:szCs w:val="20"/>
        </w:rPr>
        <w:tab/>
      </w:r>
      <w:r w:rsidR="006A1FF8">
        <w:rPr>
          <w:sz w:val="20"/>
          <w:szCs w:val="20"/>
        </w:rPr>
        <w:t>N</w:t>
      </w:r>
      <w:r w:rsidRPr="006375F3">
        <w:rPr>
          <w:sz w:val="20"/>
          <w:szCs w:val="20"/>
        </w:rPr>
        <w:t xml:space="preserve">ame of the community </w:t>
      </w:r>
      <w:r w:rsidR="00105E9C">
        <w:rPr>
          <w:sz w:val="20"/>
          <w:szCs w:val="20"/>
        </w:rPr>
        <w:t xml:space="preserve">represented by </w:t>
      </w:r>
      <w:r w:rsidRPr="006375F3">
        <w:rPr>
          <w:sz w:val="20"/>
          <w:szCs w:val="20"/>
        </w:rPr>
        <w:t>the CQE</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proofErr w:type="gramStart"/>
      <w:r w:rsidRPr="006375F3">
        <w:rPr>
          <w:sz w:val="20"/>
          <w:szCs w:val="20"/>
        </w:rPr>
        <w:t>Business mailing address.</w:t>
      </w:r>
      <w:proofErr w:type="gramEnd"/>
      <w:r w:rsidRPr="006375F3">
        <w:rPr>
          <w:sz w:val="20"/>
          <w:szCs w:val="20"/>
        </w:rPr>
        <w:t xml:space="preserve">  Indicate whether</w:t>
      </w:r>
      <w:r w:rsidR="00CC20D8">
        <w:rPr>
          <w:sz w:val="20"/>
          <w:szCs w:val="20"/>
        </w:rPr>
        <w:t xml:space="preserve"> permanent or temporary address</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r w:rsidRPr="006375F3">
        <w:rPr>
          <w:sz w:val="20"/>
          <w:szCs w:val="20"/>
        </w:rPr>
        <w:tab/>
        <w:t>If permanent address, include street or P.O. Box, city, state, and zip code</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0"/>
          <w:szCs w:val="20"/>
        </w:rPr>
      </w:pPr>
      <w:r w:rsidRPr="006375F3">
        <w:rPr>
          <w:sz w:val="20"/>
          <w:szCs w:val="20"/>
        </w:rPr>
        <w:tab/>
      </w:r>
      <w:r w:rsidRPr="006375F3">
        <w:rPr>
          <w:sz w:val="20"/>
          <w:szCs w:val="20"/>
        </w:rPr>
        <w:tab/>
        <w:t>If temporary, include street or P.O. Box, city, state, and zip code</w:t>
      </w:r>
    </w:p>
    <w:p w:rsidR="006375F3" w:rsidRPr="006375F3" w:rsidRDefault="006A1FF8"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B</w:t>
      </w:r>
      <w:r w:rsidR="006375F3" w:rsidRPr="006375F3">
        <w:rPr>
          <w:sz w:val="20"/>
          <w:szCs w:val="20"/>
        </w:rPr>
        <w:t>usiness telephone number, business fax number, and e-mail address (if available).</w:t>
      </w:r>
    </w:p>
    <w:p w:rsidR="006375F3" w:rsidRPr="006A1FF8" w:rsidRDefault="006A1FF8"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u w:val="single"/>
        </w:rPr>
      </w:pPr>
      <w:r w:rsidRPr="006A1FF8">
        <w:rPr>
          <w:sz w:val="20"/>
          <w:szCs w:val="20"/>
          <w:u w:val="single"/>
        </w:rPr>
        <w:t>Block B – Transferee (Buyer) Information</w:t>
      </w:r>
    </w:p>
    <w:p w:rsidR="006375F3" w:rsidRPr="006375F3" w:rsidRDefault="006A1FF8"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Pr>
          <w:sz w:val="20"/>
          <w:szCs w:val="20"/>
        </w:rPr>
        <w:tab/>
      </w:r>
      <w:r w:rsidR="006375F3" w:rsidRPr="006375F3">
        <w:rPr>
          <w:sz w:val="20"/>
          <w:szCs w:val="20"/>
        </w:rPr>
        <w:t>Name of t</w:t>
      </w:r>
      <w:r>
        <w:rPr>
          <w:sz w:val="20"/>
          <w:szCs w:val="20"/>
        </w:rPr>
        <w:t>ransferee</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t>NMFS Person ID (as set out on the QS Holder Summary Report or the TEC)</w:t>
      </w:r>
    </w:p>
    <w:p w:rsidR="006375F3" w:rsidRPr="006375F3" w:rsidRDefault="006375F3" w:rsidP="006375F3">
      <w:pPr>
        <w:tabs>
          <w:tab w:val="left" w:pos="360"/>
          <w:tab w:val="left" w:pos="720"/>
          <w:tab w:val="left" w:pos="1080"/>
          <w:tab w:val="left" w:pos="1440"/>
        </w:tabs>
        <w:rPr>
          <w:sz w:val="20"/>
          <w:szCs w:val="20"/>
        </w:rPr>
      </w:pPr>
      <w:r w:rsidRPr="006375F3">
        <w:rPr>
          <w:sz w:val="20"/>
          <w:szCs w:val="20"/>
        </w:rPr>
        <w:tab/>
      </w:r>
      <w:proofErr w:type="gramStart"/>
      <w:r w:rsidRPr="006375F3">
        <w:rPr>
          <w:sz w:val="20"/>
          <w:szCs w:val="20"/>
        </w:rPr>
        <w:t>Business mailing address.</w:t>
      </w:r>
      <w:proofErr w:type="gramEnd"/>
      <w:r w:rsidRPr="006375F3">
        <w:rPr>
          <w:sz w:val="20"/>
          <w:szCs w:val="20"/>
        </w:rPr>
        <w:t xml:space="preserve">  Indicate whether permanent or temporary address.</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r w:rsidRPr="006375F3">
        <w:rPr>
          <w:sz w:val="20"/>
          <w:szCs w:val="20"/>
        </w:rPr>
        <w:tab/>
        <w:t>If permanent address, include street or P.O. Box, city, state, and zip code.</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1080" w:hanging="1080"/>
        <w:rPr>
          <w:sz w:val="20"/>
          <w:szCs w:val="20"/>
        </w:rPr>
      </w:pPr>
      <w:r w:rsidRPr="006375F3">
        <w:rPr>
          <w:sz w:val="20"/>
          <w:szCs w:val="20"/>
        </w:rPr>
        <w:tab/>
      </w:r>
      <w:r w:rsidRPr="006375F3">
        <w:rPr>
          <w:sz w:val="20"/>
          <w:szCs w:val="20"/>
        </w:rPr>
        <w:tab/>
        <w:t>If temporary, include street or P.O. Box, city, state, and zip code.  This address will be used to send the transfer documentation, if different from the permanent address.</w:t>
      </w:r>
    </w:p>
    <w:p w:rsidR="006375F3" w:rsidRPr="006375F3" w:rsidRDefault="006A1FF8"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B</w:t>
      </w:r>
      <w:r w:rsidR="006375F3" w:rsidRPr="006375F3">
        <w:rPr>
          <w:sz w:val="20"/>
          <w:szCs w:val="20"/>
        </w:rPr>
        <w:t>usiness telephone number, business fax number, and e-mail address (if available).</w:t>
      </w:r>
    </w:p>
    <w:p w:rsidR="00105E9C" w:rsidRPr="00914DA1" w:rsidRDefault="006A1FF8" w:rsidP="006375F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6A1FF8">
        <w:rPr>
          <w:sz w:val="20"/>
          <w:szCs w:val="20"/>
          <w:u w:val="single"/>
        </w:rPr>
        <w:t xml:space="preserve">Block C -- Transfer (Lease) </w:t>
      </w:r>
      <w:r>
        <w:rPr>
          <w:sz w:val="20"/>
          <w:szCs w:val="20"/>
          <w:u w:val="single"/>
        </w:rPr>
        <w:t>o</w:t>
      </w:r>
      <w:r w:rsidRPr="006A1FF8">
        <w:rPr>
          <w:sz w:val="20"/>
          <w:szCs w:val="20"/>
          <w:u w:val="single"/>
        </w:rPr>
        <w:t>f I</w:t>
      </w:r>
      <w:r>
        <w:rPr>
          <w:sz w:val="20"/>
          <w:szCs w:val="20"/>
          <w:u w:val="single"/>
        </w:rPr>
        <w:t>FQ</w:t>
      </w:r>
      <w:r w:rsidR="006375F3" w:rsidRPr="006A1FF8">
        <w:rPr>
          <w:sz w:val="20"/>
          <w:szCs w:val="20"/>
          <w:u w:val="single"/>
        </w:rPr>
        <w:t xml:space="preserve"> </w:t>
      </w:r>
    </w:p>
    <w:p w:rsidR="006375F3" w:rsidRPr="006375F3" w:rsidRDefault="006375F3" w:rsidP="000B12CB">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b/>
          <w:sz w:val="20"/>
          <w:szCs w:val="20"/>
        </w:rPr>
        <w:t>Note:</w:t>
      </w:r>
      <w:r w:rsidRPr="006375F3">
        <w:rPr>
          <w:sz w:val="20"/>
          <w:szCs w:val="20"/>
        </w:rPr>
        <w:t xml:space="preserve">  in the case of the city of Adak, the transferee does not need to be a community resident for the first five years of the program.</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Identify IFQ to be transferred by entering the IFQ Permit Number(s) and Year</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r>
      <w:r w:rsidR="006A1FF8">
        <w:rPr>
          <w:sz w:val="20"/>
          <w:szCs w:val="20"/>
        </w:rPr>
        <w:t>N</w:t>
      </w:r>
      <w:r w:rsidRPr="006375F3">
        <w:rPr>
          <w:sz w:val="20"/>
          <w:szCs w:val="20"/>
        </w:rPr>
        <w:t>ame of the community to which IFQ are currently assigned</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 xml:space="preserve">Indicate if a resident of the </w:t>
      </w:r>
      <w:r w:rsidR="007F0470">
        <w:rPr>
          <w:sz w:val="20"/>
          <w:szCs w:val="20"/>
        </w:rPr>
        <w:t>Aleutian Islands</w:t>
      </w:r>
    </w:p>
    <w:p w:rsidR="007E55F1"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sidRPr="006375F3">
        <w:rPr>
          <w:sz w:val="20"/>
          <w:szCs w:val="20"/>
        </w:rPr>
        <w:tab/>
      </w:r>
      <w:r w:rsidRPr="006375F3">
        <w:rPr>
          <w:sz w:val="20"/>
          <w:szCs w:val="20"/>
        </w:rPr>
        <w:tab/>
      </w:r>
      <w:r w:rsidRPr="006375F3">
        <w:rPr>
          <w:b/>
          <w:sz w:val="20"/>
          <w:szCs w:val="20"/>
        </w:rPr>
        <w:t>If NO</w:t>
      </w:r>
      <w:r w:rsidRPr="006375F3">
        <w:rPr>
          <w:sz w:val="20"/>
          <w:szCs w:val="20"/>
        </w:rPr>
        <w:t xml:space="preserve">, enter city and state </w:t>
      </w:r>
      <w:r w:rsidR="00914DA1">
        <w:rPr>
          <w:sz w:val="20"/>
          <w:szCs w:val="20"/>
        </w:rPr>
        <w:t>of residence</w:t>
      </w:r>
    </w:p>
    <w:p w:rsidR="00914DA1" w:rsidRDefault="007E55F1"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r>
      <w:r>
        <w:rPr>
          <w:sz w:val="20"/>
          <w:szCs w:val="20"/>
        </w:rPr>
        <w:tab/>
      </w:r>
      <w:r w:rsidR="006375F3" w:rsidRPr="006375F3">
        <w:rPr>
          <w:b/>
          <w:sz w:val="20"/>
          <w:szCs w:val="20"/>
        </w:rPr>
        <w:t>Note:</w:t>
      </w:r>
      <w:r w:rsidR="006375F3" w:rsidRPr="006375F3">
        <w:rPr>
          <w:sz w:val="20"/>
          <w:szCs w:val="20"/>
        </w:rPr>
        <w:t xml:space="preserve">  </w:t>
      </w:r>
      <w:r w:rsidR="00914DA1">
        <w:rPr>
          <w:sz w:val="20"/>
          <w:szCs w:val="20"/>
        </w:rPr>
        <w:t>Transferee mu</w:t>
      </w:r>
      <w:r w:rsidR="006375F3" w:rsidRPr="006375F3">
        <w:rPr>
          <w:sz w:val="20"/>
          <w:szCs w:val="20"/>
        </w:rPr>
        <w:t>st be a resident of the community</w:t>
      </w:r>
      <w:r>
        <w:rPr>
          <w:sz w:val="20"/>
          <w:szCs w:val="20"/>
        </w:rPr>
        <w:t xml:space="preserve"> </w:t>
      </w:r>
      <w:r w:rsidR="006375F3" w:rsidRPr="006375F3">
        <w:rPr>
          <w:sz w:val="20"/>
          <w:szCs w:val="20"/>
        </w:rPr>
        <w:t xml:space="preserve">represented by the CQE unless that community </w:t>
      </w:r>
    </w:p>
    <w:p w:rsidR="006375F3" w:rsidRDefault="00914DA1"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r>
      <w:r>
        <w:rPr>
          <w:sz w:val="20"/>
          <w:szCs w:val="20"/>
        </w:rPr>
        <w:tab/>
      </w:r>
      <w:r>
        <w:rPr>
          <w:sz w:val="20"/>
          <w:szCs w:val="20"/>
        </w:rPr>
        <w:tab/>
      </w:r>
      <w:proofErr w:type="gramStart"/>
      <w:r w:rsidR="006375F3" w:rsidRPr="006375F3">
        <w:rPr>
          <w:sz w:val="20"/>
          <w:szCs w:val="20"/>
        </w:rPr>
        <w:t>is</w:t>
      </w:r>
      <w:proofErr w:type="gramEnd"/>
      <w:r w:rsidR="006375F3" w:rsidRPr="006375F3">
        <w:rPr>
          <w:sz w:val="20"/>
          <w:szCs w:val="20"/>
        </w:rPr>
        <w:t xml:space="preserve"> Adak</w:t>
      </w:r>
    </w:p>
    <w:p w:rsidR="00DA6530" w:rsidRPr="006375F3" w:rsidRDefault="00DA6530"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rPr>
          <w:sz w:val="20"/>
          <w:szCs w:val="20"/>
        </w:rPr>
      </w:pPr>
      <w:r>
        <w:rPr>
          <w:sz w:val="20"/>
          <w:szCs w:val="20"/>
        </w:rPr>
        <w:tab/>
        <w:t>Name of city and state</w:t>
      </w:r>
    </w:p>
    <w:p w:rsidR="006375F3" w:rsidRPr="007E55F1" w:rsidRDefault="007E55F1" w:rsidP="006375F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7E55F1">
        <w:rPr>
          <w:sz w:val="20"/>
          <w:szCs w:val="20"/>
          <w:u w:val="single"/>
        </w:rPr>
        <w:t>Block D – Required Transferor Supplemental Information</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ind w:left="720" w:hanging="720"/>
        <w:rPr>
          <w:sz w:val="20"/>
          <w:szCs w:val="20"/>
        </w:rPr>
      </w:pPr>
      <w:r w:rsidRPr="006375F3">
        <w:rPr>
          <w:sz w:val="20"/>
          <w:szCs w:val="20"/>
        </w:rPr>
        <w:tab/>
        <w:t>P</w:t>
      </w:r>
      <w:r w:rsidR="007E55F1">
        <w:rPr>
          <w:sz w:val="20"/>
          <w:szCs w:val="20"/>
        </w:rPr>
        <w:t>rice per pound of IFQ</w:t>
      </w:r>
    </w:p>
    <w:p w:rsidR="006375F3" w:rsidRPr="006375F3" w:rsidRDefault="006375F3" w:rsidP="000B12CB">
      <w:pPr>
        <w:numPr>
          <w:ilvl w:val="12"/>
          <w:numId w:val="0"/>
        </w:numPr>
        <w:tabs>
          <w:tab w:val="left" w:pos="-1560"/>
          <w:tab w:val="left" w:pos="360"/>
          <w:tab w:val="left" w:pos="720"/>
          <w:tab w:val="left" w:pos="108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Indicate whether a broker is used for this transaction.</w:t>
      </w:r>
    </w:p>
    <w:p w:rsidR="006375F3" w:rsidRPr="006375F3" w:rsidRDefault="006375F3"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r>
      <w:r w:rsidRPr="006375F3">
        <w:rPr>
          <w:sz w:val="20"/>
          <w:szCs w:val="20"/>
        </w:rPr>
        <w:tab/>
      </w:r>
      <w:r w:rsidRPr="006375F3">
        <w:rPr>
          <w:b/>
          <w:sz w:val="20"/>
          <w:szCs w:val="20"/>
        </w:rPr>
        <w:t>If YES</w:t>
      </w:r>
      <w:r w:rsidRPr="006375F3">
        <w:rPr>
          <w:sz w:val="20"/>
          <w:szCs w:val="20"/>
        </w:rPr>
        <w:t>, indicate amount paid in brokerage fees or percentage of total price.</w:t>
      </w:r>
    </w:p>
    <w:p w:rsidR="006375F3" w:rsidRPr="007E55F1" w:rsidRDefault="007E55F1" w:rsidP="006375F3">
      <w:pPr>
        <w:numPr>
          <w:ilvl w:val="12"/>
          <w:numId w:val="0"/>
        </w:numPr>
        <w:tabs>
          <w:tab w:val="left" w:pos="-1560"/>
          <w:tab w:val="left" w:pos="-780"/>
          <w:tab w:val="left" w:pos="-120"/>
          <w:tab w:val="left" w:pos="24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sidRPr="007E55F1">
        <w:rPr>
          <w:sz w:val="20"/>
          <w:szCs w:val="20"/>
          <w:u w:val="single"/>
        </w:rPr>
        <w:t xml:space="preserve">Block E – Certification </w:t>
      </w:r>
      <w:r>
        <w:rPr>
          <w:sz w:val="20"/>
          <w:szCs w:val="20"/>
          <w:u w:val="single"/>
        </w:rPr>
        <w:t>o</w:t>
      </w:r>
      <w:r w:rsidRPr="007E55F1">
        <w:rPr>
          <w:sz w:val="20"/>
          <w:szCs w:val="20"/>
          <w:u w:val="single"/>
        </w:rPr>
        <w:t>f Transferor</w:t>
      </w:r>
    </w:p>
    <w:p w:rsidR="006375F3" w:rsidRPr="006375F3" w:rsidRDefault="007E55F1"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006375F3" w:rsidRPr="006375F3">
        <w:rPr>
          <w:sz w:val="20"/>
          <w:szCs w:val="20"/>
        </w:rPr>
        <w:t>rinted name and signature of Transferor and date signed</w:t>
      </w:r>
    </w:p>
    <w:p w:rsidR="006375F3" w:rsidRPr="006375F3" w:rsidRDefault="007E55F1"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006375F3" w:rsidRPr="006375F3">
        <w:rPr>
          <w:sz w:val="20"/>
          <w:szCs w:val="20"/>
        </w:rPr>
        <w:t xml:space="preserve">If completed by representative, </w:t>
      </w:r>
      <w:r w:rsidR="006375F3" w:rsidRPr="007E55F1">
        <w:rPr>
          <w:b/>
          <w:sz w:val="20"/>
          <w:szCs w:val="20"/>
        </w:rPr>
        <w:t>attach</w:t>
      </w:r>
      <w:r w:rsidR="006375F3" w:rsidRPr="006375F3">
        <w:rPr>
          <w:sz w:val="20"/>
          <w:szCs w:val="20"/>
        </w:rPr>
        <w:t xml:space="preserve"> authorization</w:t>
      </w:r>
    </w:p>
    <w:p w:rsidR="000B12CB" w:rsidRDefault="006375F3"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Signature, commission expiration date, and stamp of notary public</w:t>
      </w:r>
    </w:p>
    <w:p w:rsidR="006375F3" w:rsidRPr="007E55F1" w:rsidRDefault="007E55F1"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u w:val="single"/>
        </w:rPr>
      </w:pPr>
      <w:r>
        <w:rPr>
          <w:sz w:val="20"/>
          <w:szCs w:val="20"/>
          <w:u w:val="single"/>
        </w:rPr>
        <w:t>Block F -- Certification o</w:t>
      </w:r>
      <w:r w:rsidRPr="007E55F1">
        <w:rPr>
          <w:sz w:val="20"/>
          <w:szCs w:val="20"/>
          <w:u w:val="single"/>
        </w:rPr>
        <w:t>f Resident Transferee</w:t>
      </w:r>
      <w:r w:rsidR="006375F3" w:rsidRPr="007E55F1">
        <w:rPr>
          <w:sz w:val="20"/>
          <w:szCs w:val="20"/>
          <w:u w:val="single"/>
        </w:rPr>
        <w:t xml:space="preserve"> </w:t>
      </w:r>
    </w:p>
    <w:p w:rsidR="006375F3" w:rsidRPr="006375F3" w:rsidRDefault="007E55F1"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006375F3" w:rsidRPr="006375F3">
        <w:rPr>
          <w:sz w:val="20"/>
          <w:szCs w:val="20"/>
        </w:rPr>
        <w:t>rinted name and signature of resident transferee and date signed</w:t>
      </w:r>
    </w:p>
    <w:p w:rsidR="006375F3" w:rsidRPr="006375F3" w:rsidRDefault="007E55F1"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006375F3" w:rsidRPr="006375F3">
        <w:rPr>
          <w:sz w:val="20"/>
          <w:szCs w:val="20"/>
        </w:rPr>
        <w:t xml:space="preserve">If completed by representative, </w:t>
      </w:r>
      <w:r w:rsidR="006375F3" w:rsidRPr="007E55F1">
        <w:rPr>
          <w:b/>
          <w:sz w:val="20"/>
          <w:szCs w:val="20"/>
        </w:rPr>
        <w:t>attach</w:t>
      </w:r>
      <w:r w:rsidR="006375F3" w:rsidRPr="006375F3">
        <w:rPr>
          <w:sz w:val="20"/>
          <w:szCs w:val="20"/>
        </w:rPr>
        <w:t xml:space="preserve"> authorization</w:t>
      </w:r>
    </w:p>
    <w:p w:rsidR="006375F3" w:rsidRPr="006375F3" w:rsidRDefault="006375F3"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Signature, commission expiration date, and stamp of notary public</w:t>
      </w:r>
    </w:p>
    <w:p w:rsidR="0015548E" w:rsidRDefault="0015548E">
      <w:pPr>
        <w:spacing w:after="200" w:line="276" w:lineRule="auto"/>
        <w:rPr>
          <w:sz w:val="20"/>
          <w:szCs w:val="20"/>
          <w:u w:val="single"/>
        </w:rPr>
      </w:pPr>
      <w:r>
        <w:rPr>
          <w:sz w:val="20"/>
          <w:szCs w:val="20"/>
          <w:u w:val="single"/>
        </w:rPr>
        <w:br w:type="page"/>
      </w:r>
    </w:p>
    <w:p w:rsidR="007E55F1" w:rsidRPr="0036486A" w:rsidRDefault="007E55F1" w:rsidP="0036486A">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color w:val="0000FF"/>
          <w:sz w:val="20"/>
          <w:szCs w:val="20"/>
          <w:u w:val="single"/>
        </w:rPr>
      </w:pPr>
      <w:r>
        <w:rPr>
          <w:sz w:val="20"/>
          <w:szCs w:val="20"/>
          <w:u w:val="single"/>
        </w:rPr>
        <w:lastRenderedPageBreak/>
        <w:t>Block G -- Certification o</w:t>
      </w:r>
      <w:r w:rsidRPr="007E55F1">
        <w:rPr>
          <w:sz w:val="20"/>
          <w:szCs w:val="20"/>
          <w:u w:val="single"/>
        </w:rPr>
        <w:t>f Non-Resident Transferee</w:t>
      </w:r>
      <w:r w:rsidR="0036486A">
        <w:rPr>
          <w:color w:val="0000FF"/>
          <w:sz w:val="20"/>
          <w:szCs w:val="20"/>
          <w:u w:val="single"/>
        </w:rPr>
        <w:t xml:space="preserve"> </w:t>
      </w:r>
      <w:r w:rsidR="006375F3" w:rsidRPr="006375F3">
        <w:rPr>
          <w:sz w:val="20"/>
          <w:szCs w:val="20"/>
        </w:rPr>
        <w:t xml:space="preserve">  </w:t>
      </w:r>
    </w:p>
    <w:p w:rsidR="006375F3" w:rsidRPr="006375F3" w:rsidRDefault="007E55F1" w:rsidP="006375F3">
      <w:pPr>
        <w:numPr>
          <w:ilvl w:val="12"/>
          <w:numId w:val="0"/>
        </w:numPr>
        <w:tabs>
          <w:tab w:val="left" w:pos="-156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t>P</w:t>
      </w:r>
      <w:r w:rsidR="006375F3" w:rsidRPr="006375F3">
        <w:rPr>
          <w:sz w:val="20"/>
          <w:szCs w:val="20"/>
        </w:rPr>
        <w:t>rinted name and signature of Transferee and date signed</w:t>
      </w:r>
    </w:p>
    <w:p w:rsidR="006375F3" w:rsidRPr="006375F3" w:rsidRDefault="007E55F1"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Pr>
          <w:sz w:val="20"/>
          <w:szCs w:val="20"/>
        </w:rPr>
        <w:tab/>
      </w:r>
      <w:r w:rsidR="006375F3" w:rsidRPr="006375F3">
        <w:rPr>
          <w:sz w:val="20"/>
          <w:szCs w:val="20"/>
        </w:rPr>
        <w:t xml:space="preserve">If completed by representative, </w:t>
      </w:r>
      <w:r w:rsidR="006375F3" w:rsidRPr="007E55F1">
        <w:rPr>
          <w:b/>
          <w:sz w:val="20"/>
          <w:szCs w:val="20"/>
        </w:rPr>
        <w:t>attach</w:t>
      </w:r>
      <w:r w:rsidR="006375F3" w:rsidRPr="006375F3">
        <w:rPr>
          <w:sz w:val="20"/>
          <w:szCs w:val="20"/>
        </w:rPr>
        <w:t xml:space="preserve"> authorization</w:t>
      </w:r>
    </w:p>
    <w:p w:rsidR="00097F20" w:rsidRDefault="006375F3" w:rsidP="006375F3">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r w:rsidRPr="006375F3">
        <w:rPr>
          <w:sz w:val="20"/>
          <w:szCs w:val="20"/>
        </w:rPr>
        <w:tab/>
        <w:t>Signature, commission expiration date, and stamp of notary public</w:t>
      </w:r>
    </w:p>
    <w:p w:rsidR="00097F20" w:rsidRDefault="00097F20">
      <w:pPr>
        <w:spacing w:after="200" w:line="276" w:lineRule="auto"/>
        <w:rPr>
          <w:sz w:val="20"/>
          <w:szCs w:val="20"/>
        </w:rPr>
      </w:pPr>
    </w:p>
    <w:p w:rsidR="00BB5A57" w:rsidRDefault="00097F20">
      <w:pPr>
        <w:spacing w:after="200" w:line="276" w:lineRule="auto"/>
      </w:pPr>
      <w:r w:rsidRPr="00097F20">
        <w:t xml:space="preserve">It is estimated that the </w:t>
      </w:r>
      <w:r w:rsidR="00BB5A57">
        <w:t xml:space="preserve">Aleutian Islands </w:t>
      </w:r>
      <w:r w:rsidRPr="00097F20">
        <w:t>CQE will request 10 IFQ leases to eligible community residents or non-residents per year.</w:t>
      </w:r>
    </w:p>
    <w:p w:rsidR="000C1389" w:rsidRPr="003E21E7" w:rsidRDefault="000C1389" w:rsidP="003E21E7">
      <w:pPr>
        <w:rPr>
          <w:b/>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0C1389" w:rsidRPr="00D7184F" w:rsidTr="000C1389">
        <w:trPr>
          <w:jc w:val="center"/>
        </w:trPr>
        <w:tc>
          <w:tcPr>
            <w:tcW w:w="4986" w:type="dxa"/>
            <w:gridSpan w:val="2"/>
          </w:tcPr>
          <w:p w:rsidR="000C1389" w:rsidRPr="00D7184F" w:rsidRDefault="000C1389" w:rsidP="00742A9E">
            <w:pPr>
              <w:keepNext/>
              <w:rPr>
                <w:b/>
                <w:sz w:val="20"/>
                <w:szCs w:val="20"/>
              </w:rPr>
            </w:pPr>
            <w:proofErr w:type="spellStart"/>
            <w:r>
              <w:rPr>
                <w:b/>
                <w:sz w:val="20"/>
                <w:szCs w:val="20"/>
              </w:rPr>
              <w:t>Appln</w:t>
            </w:r>
            <w:proofErr w:type="spellEnd"/>
            <w:r>
              <w:rPr>
                <w:b/>
                <w:sz w:val="20"/>
                <w:szCs w:val="20"/>
              </w:rPr>
              <w:t xml:space="preserve"> for </w:t>
            </w:r>
            <w:r w:rsidR="00311648">
              <w:rPr>
                <w:b/>
                <w:sz w:val="20"/>
                <w:szCs w:val="20"/>
              </w:rPr>
              <w:t xml:space="preserve">CQE </w:t>
            </w:r>
            <w:r>
              <w:rPr>
                <w:b/>
                <w:sz w:val="20"/>
                <w:szCs w:val="20"/>
              </w:rPr>
              <w:t xml:space="preserve">Transfer IFQ </w:t>
            </w:r>
            <w:r w:rsidR="00311648">
              <w:rPr>
                <w:b/>
                <w:sz w:val="20"/>
                <w:szCs w:val="20"/>
              </w:rPr>
              <w:t xml:space="preserve">to </w:t>
            </w:r>
            <w:proofErr w:type="spellStart"/>
            <w:r w:rsidR="00311648">
              <w:rPr>
                <w:b/>
                <w:sz w:val="20"/>
                <w:szCs w:val="20"/>
              </w:rPr>
              <w:t>cmty</w:t>
            </w:r>
            <w:proofErr w:type="spellEnd"/>
            <w:r w:rsidR="00311648">
              <w:rPr>
                <w:b/>
                <w:sz w:val="20"/>
                <w:szCs w:val="20"/>
              </w:rPr>
              <w:t xml:space="preserve"> </w:t>
            </w:r>
            <w:r w:rsidR="00742A9E">
              <w:rPr>
                <w:b/>
                <w:sz w:val="20"/>
                <w:szCs w:val="20"/>
              </w:rPr>
              <w:t>resident</w:t>
            </w:r>
            <w:r w:rsidRPr="00D7184F">
              <w:rPr>
                <w:b/>
                <w:sz w:val="20"/>
                <w:szCs w:val="20"/>
              </w:rPr>
              <w:t xml:space="preserve"> Respondent</w:t>
            </w:r>
          </w:p>
        </w:tc>
      </w:tr>
      <w:tr w:rsidR="000C1389" w:rsidRPr="00D7184F" w:rsidTr="000C1389">
        <w:trPr>
          <w:jc w:val="center"/>
        </w:trPr>
        <w:tc>
          <w:tcPr>
            <w:tcW w:w="3933" w:type="dxa"/>
          </w:tcPr>
          <w:p w:rsidR="000C1389" w:rsidRDefault="000C1389" w:rsidP="00742A9E">
            <w:pPr>
              <w:keepNext/>
              <w:rPr>
                <w:b/>
                <w:sz w:val="20"/>
                <w:szCs w:val="20"/>
              </w:rPr>
            </w:pPr>
            <w:r w:rsidRPr="00AF5BFB">
              <w:rPr>
                <w:b/>
                <w:sz w:val="20"/>
                <w:szCs w:val="20"/>
              </w:rPr>
              <w:t>Estimated number of respondents</w:t>
            </w:r>
          </w:p>
          <w:p w:rsidR="000C1389" w:rsidRPr="00AF5BFB" w:rsidRDefault="000C1389" w:rsidP="00742A9E">
            <w:pPr>
              <w:keepNext/>
              <w:rPr>
                <w:b/>
                <w:sz w:val="20"/>
                <w:szCs w:val="20"/>
              </w:rPr>
            </w:pPr>
            <w:r w:rsidRPr="00AF5BFB">
              <w:rPr>
                <w:b/>
                <w:sz w:val="20"/>
                <w:szCs w:val="20"/>
              </w:rPr>
              <w:t>Total annual responses</w:t>
            </w:r>
          </w:p>
          <w:p w:rsidR="000C1389" w:rsidRPr="00D7184F" w:rsidRDefault="000C1389" w:rsidP="00742A9E">
            <w:pPr>
              <w:keepNext/>
              <w:rPr>
                <w:sz w:val="20"/>
                <w:szCs w:val="20"/>
              </w:rPr>
            </w:pPr>
            <w:r w:rsidRPr="00D7184F">
              <w:rPr>
                <w:sz w:val="20"/>
                <w:szCs w:val="20"/>
              </w:rPr>
              <w:t xml:space="preserve">   Response per respondent =</w:t>
            </w:r>
            <w:r>
              <w:rPr>
                <w:sz w:val="20"/>
                <w:szCs w:val="20"/>
              </w:rPr>
              <w:t xml:space="preserve"> 1</w:t>
            </w:r>
            <w:r w:rsidRPr="00D7184F">
              <w:rPr>
                <w:sz w:val="20"/>
                <w:szCs w:val="20"/>
              </w:rPr>
              <w:t xml:space="preserve"> </w:t>
            </w:r>
          </w:p>
          <w:p w:rsidR="000C1389" w:rsidRPr="00D7184F" w:rsidRDefault="000C1389" w:rsidP="00742A9E">
            <w:pPr>
              <w:keepNext/>
              <w:rPr>
                <w:b/>
                <w:sz w:val="20"/>
                <w:szCs w:val="20"/>
              </w:rPr>
            </w:pPr>
            <w:r w:rsidRPr="00D7184F">
              <w:rPr>
                <w:b/>
                <w:sz w:val="20"/>
                <w:szCs w:val="20"/>
              </w:rPr>
              <w:t>Total burden hours</w:t>
            </w:r>
          </w:p>
          <w:p w:rsidR="000C1389" w:rsidRDefault="000C1389" w:rsidP="00742A9E">
            <w:pPr>
              <w:keepNext/>
              <w:rPr>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sidR="00311648">
              <w:rPr>
                <w:sz w:val="20"/>
                <w:szCs w:val="20"/>
              </w:rPr>
              <w:t>2 hr</w:t>
            </w:r>
          </w:p>
          <w:p w:rsidR="000C1389" w:rsidRPr="00D7184F" w:rsidRDefault="000C1389" w:rsidP="00742A9E">
            <w:pPr>
              <w:keepNext/>
              <w:rPr>
                <w:sz w:val="20"/>
                <w:szCs w:val="20"/>
              </w:rPr>
            </w:pPr>
            <w:r w:rsidRPr="00D7184F">
              <w:rPr>
                <w:b/>
                <w:sz w:val="20"/>
                <w:szCs w:val="20"/>
              </w:rPr>
              <w:t xml:space="preserve">Total personnel cost </w:t>
            </w:r>
            <w:r w:rsidRPr="00D7184F">
              <w:rPr>
                <w:sz w:val="20"/>
                <w:szCs w:val="20"/>
              </w:rPr>
              <w:t xml:space="preserve">= </w:t>
            </w:r>
            <w:r>
              <w:rPr>
                <w:sz w:val="20"/>
                <w:szCs w:val="20"/>
              </w:rPr>
              <w:t>$</w:t>
            </w:r>
            <w:r w:rsidR="00311648">
              <w:rPr>
                <w:sz w:val="20"/>
                <w:szCs w:val="20"/>
              </w:rPr>
              <w:t>37</w:t>
            </w:r>
            <w:r>
              <w:rPr>
                <w:sz w:val="20"/>
                <w:szCs w:val="20"/>
              </w:rPr>
              <w:t>/hr</w:t>
            </w:r>
          </w:p>
          <w:p w:rsidR="000C1389" w:rsidRDefault="000C1389" w:rsidP="00742A9E">
            <w:pPr>
              <w:keepNext/>
              <w:rPr>
                <w:sz w:val="20"/>
                <w:szCs w:val="20"/>
              </w:rPr>
            </w:pPr>
            <w:r w:rsidRPr="00D7184F">
              <w:rPr>
                <w:b/>
                <w:sz w:val="20"/>
                <w:szCs w:val="20"/>
              </w:rPr>
              <w:t xml:space="preserve">Total miscellaneous costs </w:t>
            </w:r>
            <w:r w:rsidRPr="00B15C34">
              <w:rPr>
                <w:sz w:val="20"/>
                <w:szCs w:val="20"/>
              </w:rPr>
              <w:t>(</w:t>
            </w:r>
            <w:r w:rsidR="00B6612B">
              <w:rPr>
                <w:sz w:val="20"/>
                <w:szCs w:val="20"/>
              </w:rPr>
              <w:t>5.50)</w:t>
            </w:r>
          </w:p>
          <w:p w:rsidR="000C1389" w:rsidRDefault="000C1389" w:rsidP="00742A9E">
            <w:pPr>
              <w:keepNext/>
              <w:rPr>
                <w:sz w:val="20"/>
                <w:szCs w:val="20"/>
              </w:rPr>
            </w:pPr>
            <w:r w:rsidRPr="00D7184F">
              <w:rPr>
                <w:sz w:val="20"/>
                <w:szCs w:val="20"/>
              </w:rPr>
              <w:t xml:space="preserve">   Photocopy</w:t>
            </w:r>
            <w:r>
              <w:rPr>
                <w:sz w:val="20"/>
                <w:szCs w:val="20"/>
              </w:rPr>
              <w:t xml:space="preserve"> ( </w:t>
            </w:r>
            <w:r w:rsidR="00311648">
              <w:rPr>
                <w:sz w:val="20"/>
                <w:szCs w:val="20"/>
              </w:rPr>
              <w:t xml:space="preserve">2 </w:t>
            </w:r>
            <w:r>
              <w:rPr>
                <w:sz w:val="20"/>
                <w:szCs w:val="20"/>
              </w:rPr>
              <w:t>pp x .05 x</w:t>
            </w:r>
            <w:r w:rsidR="00311648">
              <w:rPr>
                <w:sz w:val="20"/>
                <w:szCs w:val="20"/>
              </w:rPr>
              <w:t xml:space="preserve"> 10 = 1)</w:t>
            </w:r>
            <w:r>
              <w:rPr>
                <w:sz w:val="20"/>
                <w:szCs w:val="20"/>
              </w:rPr>
              <w:t xml:space="preserve"> </w:t>
            </w:r>
          </w:p>
          <w:p w:rsidR="000C1389" w:rsidRDefault="000C1389" w:rsidP="00742A9E">
            <w:pPr>
              <w:keepNext/>
              <w:rPr>
                <w:sz w:val="20"/>
                <w:szCs w:val="20"/>
              </w:rPr>
            </w:pPr>
            <w:r w:rsidRPr="00D7184F">
              <w:rPr>
                <w:sz w:val="20"/>
                <w:szCs w:val="20"/>
              </w:rPr>
              <w:t xml:space="preserve">   Postage</w:t>
            </w:r>
            <w:r>
              <w:rPr>
                <w:sz w:val="20"/>
                <w:szCs w:val="20"/>
              </w:rPr>
              <w:t xml:space="preserve"> (0.45 x </w:t>
            </w:r>
            <w:r w:rsidR="00B6612B">
              <w:rPr>
                <w:sz w:val="20"/>
                <w:szCs w:val="20"/>
              </w:rPr>
              <w:t>10 = 4.50)</w:t>
            </w:r>
            <w:r>
              <w:rPr>
                <w:sz w:val="20"/>
                <w:szCs w:val="20"/>
              </w:rPr>
              <w:t xml:space="preserve"> </w:t>
            </w:r>
          </w:p>
          <w:p w:rsidR="005E1D61" w:rsidRPr="00B6612B" w:rsidRDefault="005E1D61" w:rsidP="00742A9E">
            <w:pPr>
              <w:keepNext/>
              <w:rPr>
                <w:sz w:val="20"/>
                <w:szCs w:val="20"/>
              </w:rPr>
            </w:pPr>
            <w:r>
              <w:rPr>
                <w:sz w:val="20"/>
                <w:szCs w:val="20"/>
              </w:rPr>
              <w:t xml:space="preserve">   Notary (5.00 x 10) = 50</w:t>
            </w:r>
          </w:p>
        </w:tc>
        <w:tc>
          <w:tcPr>
            <w:tcW w:w="1053" w:type="dxa"/>
          </w:tcPr>
          <w:p w:rsidR="000C1389" w:rsidRDefault="00311648" w:rsidP="000C1389">
            <w:pPr>
              <w:jc w:val="right"/>
              <w:rPr>
                <w:b/>
                <w:sz w:val="20"/>
                <w:szCs w:val="20"/>
              </w:rPr>
            </w:pPr>
            <w:r>
              <w:rPr>
                <w:b/>
                <w:sz w:val="20"/>
                <w:szCs w:val="20"/>
              </w:rPr>
              <w:t>10</w:t>
            </w:r>
          </w:p>
          <w:p w:rsidR="000C1389" w:rsidRDefault="00311648" w:rsidP="000C1389">
            <w:pPr>
              <w:jc w:val="right"/>
              <w:rPr>
                <w:b/>
                <w:sz w:val="20"/>
                <w:szCs w:val="20"/>
              </w:rPr>
            </w:pPr>
            <w:r>
              <w:rPr>
                <w:b/>
                <w:sz w:val="20"/>
                <w:szCs w:val="20"/>
              </w:rPr>
              <w:t>10</w:t>
            </w:r>
          </w:p>
          <w:p w:rsidR="00311648" w:rsidRDefault="00311648" w:rsidP="000C1389">
            <w:pPr>
              <w:jc w:val="right"/>
              <w:rPr>
                <w:b/>
                <w:sz w:val="20"/>
                <w:szCs w:val="20"/>
              </w:rPr>
            </w:pPr>
          </w:p>
          <w:p w:rsidR="00311648" w:rsidRDefault="00311648" w:rsidP="000C1389">
            <w:pPr>
              <w:jc w:val="right"/>
              <w:rPr>
                <w:b/>
                <w:sz w:val="20"/>
                <w:szCs w:val="20"/>
              </w:rPr>
            </w:pPr>
            <w:r>
              <w:rPr>
                <w:b/>
                <w:sz w:val="20"/>
                <w:szCs w:val="20"/>
              </w:rPr>
              <w:t>20 hr</w:t>
            </w:r>
          </w:p>
          <w:p w:rsidR="00311648" w:rsidRDefault="00311648" w:rsidP="000C1389">
            <w:pPr>
              <w:jc w:val="right"/>
              <w:rPr>
                <w:b/>
                <w:sz w:val="20"/>
                <w:szCs w:val="20"/>
              </w:rPr>
            </w:pPr>
          </w:p>
          <w:p w:rsidR="00311648" w:rsidRDefault="00311648" w:rsidP="000C1389">
            <w:pPr>
              <w:jc w:val="right"/>
              <w:rPr>
                <w:b/>
                <w:sz w:val="20"/>
                <w:szCs w:val="20"/>
              </w:rPr>
            </w:pPr>
            <w:r>
              <w:rPr>
                <w:b/>
                <w:sz w:val="20"/>
                <w:szCs w:val="20"/>
              </w:rPr>
              <w:t>$740</w:t>
            </w:r>
          </w:p>
          <w:p w:rsidR="00311648" w:rsidRDefault="00B6612B" w:rsidP="000C1389">
            <w:pPr>
              <w:jc w:val="right"/>
              <w:rPr>
                <w:b/>
                <w:sz w:val="20"/>
                <w:szCs w:val="20"/>
              </w:rPr>
            </w:pPr>
            <w:r>
              <w:rPr>
                <w:b/>
                <w:sz w:val="20"/>
                <w:szCs w:val="20"/>
              </w:rPr>
              <w:t>$</w:t>
            </w:r>
            <w:r w:rsidR="005E1D61">
              <w:rPr>
                <w:b/>
                <w:sz w:val="20"/>
                <w:szCs w:val="20"/>
              </w:rPr>
              <w:t>5</w:t>
            </w:r>
            <w:r>
              <w:rPr>
                <w:b/>
                <w:sz w:val="20"/>
                <w:szCs w:val="20"/>
              </w:rPr>
              <w:t>6</w:t>
            </w:r>
          </w:p>
          <w:p w:rsidR="000C1389" w:rsidRPr="00AF5BFB" w:rsidRDefault="000C1389" w:rsidP="000C1389">
            <w:pPr>
              <w:jc w:val="right"/>
              <w:rPr>
                <w:b/>
                <w:sz w:val="20"/>
                <w:szCs w:val="20"/>
              </w:rPr>
            </w:pPr>
          </w:p>
        </w:tc>
      </w:tr>
    </w:tbl>
    <w:p w:rsidR="000C1389" w:rsidRDefault="000C1389" w:rsidP="000C1389">
      <w:pPr>
        <w:tabs>
          <w:tab w:val="left" w:pos="2112"/>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0C1389" w:rsidRPr="00D7184F" w:rsidTr="000C1389">
        <w:trPr>
          <w:jc w:val="center"/>
        </w:trPr>
        <w:tc>
          <w:tcPr>
            <w:tcW w:w="4995" w:type="dxa"/>
            <w:gridSpan w:val="2"/>
          </w:tcPr>
          <w:p w:rsidR="000C1389" w:rsidRPr="00D7184F" w:rsidRDefault="000C1389" w:rsidP="005947EB">
            <w:pPr>
              <w:rPr>
                <w:b/>
                <w:sz w:val="20"/>
                <w:szCs w:val="20"/>
              </w:rPr>
            </w:pPr>
            <w:proofErr w:type="spellStart"/>
            <w:r>
              <w:rPr>
                <w:b/>
                <w:sz w:val="20"/>
                <w:szCs w:val="20"/>
              </w:rPr>
              <w:t>Appl</w:t>
            </w:r>
            <w:r w:rsidR="005947EB">
              <w:rPr>
                <w:b/>
                <w:sz w:val="20"/>
                <w:szCs w:val="20"/>
              </w:rPr>
              <w:t>n</w:t>
            </w:r>
            <w:proofErr w:type="spellEnd"/>
            <w:r>
              <w:rPr>
                <w:b/>
                <w:sz w:val="20"/>
                <w:szCs w:val="20"/>
              </w:rPr>
              <w:t xml:space="preserve"> for </w:t>
            </w:r>
            <w:r w:rsidR="005947EB">
              <w:rPr>
                <w:b/>
                <w:sz w:val="20"/>
                <w:szCs w:val="20"/>
              </w:rPr>
              <w:t xml:space="preserve">CQE </w:t>
            </w:r>
            <w:r>
              <w:rPr>
                <w:b/>
                <w:sz w:val="20"/>
                <w:szCs w:val="20"/>
              </w:rPr>
              <w:t xml:space="preserve">Transfer IFQ </w:t>
            </w:r>
            <w:r w:rsidR="005947EB">
              <w:rPr>
                <w:b/>
                <w:sz w:val="20"/>
                <w:szCs w:val="20"/>
              </w:rPr>
              <w:t xml:space="preserve">to </w:t>
            </w:r>
            <w:proofErr w:type="spellStart"/>
            <w:r w:rsidR="005947EB">
              <w:rPr>
                <w:b/>
                <w:sz w:val="20"/>
                <w:szCs w:val="20"/>
              </w:rPr>
              <w:t>cmty</w:t>
            </w:r>
            <w:proofErr w:type="spellEnd"/>
            <w:r w:rsidR="005947EB">
              <w:rPr>
                <w:b/>
                <w:sz w:val="20"/>
                <w:szCs w:val="20"/>
              </w:rPr>
              <w:t xml:space="preserve"> res</w:t>
            </w:r>
            <w:r w:rsidR="00742A9E">
              <w:rPr>
                <w:b/>
                <w:sz w:val="20"/>
                <w:szCs w:val="20"/>
              </w:rPr>
              <w:t>i</w:t>
            </w:r>
            <w:r w:rsidR="005947EB">
              <w:rPr>
                <w:b/>
                <w:sz w:val="20"/>
                <w:szCs w:val="20"/>
              </w:rPr>
              <w:t>d</w:t>
            </w:r>
            <w:r w:rsidR="00742A9E">
              <w:rPr>
                <w:b/>
                <w:sz w:val="20"/>
                <w:szCs w:val="20"/>
              </w:rPr>
              <w:t>e</w:t>
            </w:r>
            <w:r w:rsidR="005947EB">
              <w:rPr>
                <w:b/>
                <w:sz w:val="20"/>
                <w:szCs w:val="20"/>
              </w:rPr>
              <w:t>nt</w:t>
            </w:r>
            <w:r w:rsidR="00742A9E">
              <w:rPr>
                <w:b/>
                <w:sz w:val="20"/>
                <w:szCs w:val="20"/>
              </w:rPr>
              <w:t>,</w:t>
            </w:r>
            <w:r w:rsidRPr="00D7184F">
              <w:rPr>
                <w:b/>
                <w:sz w:val="20"/>
                <w:szCs w:val="20"/>
              </w:rPr>
              <w:t xml:space="preserve"> Federal Government</w:t>
            </w:r>
          </w:p>
        </w:tc>
      </w:tr>
      <w:tr w:rsidR="000C1389" w:rsidRPr="00D7184F" w:rsidTr="000C1389">
        <w:trPr>
          <w:jc w:val="center"/>
        </w:trPr>
        <w:tc>
          <w:tcPr>
            <w:tcW w:w="3938" w:type="dxa"/>
          </w:tcPr>
          <w:p w:rsidR="000C1389" w:rsidRPr="00D7184F" w:rsidRDefault="000C1389" w:rsidP="000C1389">
            <w:pPr>
              <w:rPr>
                <w:b/>
                <w:sz w:val="20"/>
                <w:szCs w:val="20"/>
              </w:rPr>
            </w:pPr>
            <w:r w:rsidRPr="00D7184F">
              <w:rPr>
                <w:b/>
                <w:sz w:val="20"/>
                <w:szCs w:val="20"/>
              </w:rPr>
              <w:t>Total annual responses</w:t>
            </w:r>
          </w:p>
          <w:p w:rsidR="000C1389" w:rsidRPr="00D7184F" w:rsidRDefault="000C1389" w:rsidP="000C1389">
            <w:pPr>
              <w:rPr>
                <w:sz w:val="20"/>
                <w:szCs w:val="20"/>
              </w:rPr>
            </w:pPr>
            <w:r w:rsidRPr="00D7184F">
              <w:rPr>
                <w:b/>
                <w:sz w:val="20"/>
                <w:szCs w:val="20"/>
              </w:rPr>
              <w:t xml:space="preserve">Total burden hours </w:t>
            </w:r>
            <w:r w:rsidR="00B6612B">
              <w:rPr>
                <w:b/>
                <w:sz w:val="20"/>
                <w:szCs w:val="20"/>
              </w:rPr>
              <w:t>(</w:t>
            </w:r>
            <w:r w:rsidR="00B6612B">
              <w:rPr>
                <w:sz w:val="20"/>
                <w:szCs w:val="20"/>
              </w:rPr>
              <w:t>30 minutes)</w:t>
            </w:r>
          </w:p>
          <w:p w:rsidR="000C1389" w:rsidRPr="00D7184F" w:rsidRDefault="000C1389" w:rsidP="000C1389">
            <w:pPr>
              <w:rPr>
                <w:sz w:val="20"/>
                <w:szCs w:val="20"/>
              </w:rPr>
            </w:pPr>
            <w:r w:rsidRPr="00D7184F">
              <w:rPr>
                <w:b/>
                <w:sz w:val="20"/>
                <w:szCs w:val="20"/>
              </w:rPr>
              <w:t xml:space="preserve">Total personnel cost </w:t>
            </w:r>
            <w:r w:rsidRPr="00D7184F">
              <w:rPr>
                <w:sz w:val="20"/>
                <w:szCs w:val="20"/>
              </w:rPr>
              <w:t>=</w:t>
            </w:r>
            <w:r>
              <w:rPr>
                <w:sz w:val="20"/>
                <w:szCs w:val="20"/>
              </w:rPr>
              <w:t xml:space="preserve"> $</w:t>
            </w:r>
            <w:r w:rsidR="00B6612B">
              <w:rPr>
                <w:sz w:val="20"/>
                <w:szCs w:val="20"/>
              </w:rPr>
              <w:t>37</w:t>
            </w:r>
            <w:r>
              <w:rPr>
                <w:sz w:val="20"/>
                <w:szCs w:val="20"/>
              </w:rPr>
              <w:t>/hr</w:t>
            </w:r>
          </w:p>
          <w:p w:rsidR="000C1389" w:rsidRPr="00D7184F" w:rsidRDefault="000C1389" w:rsidP="000C1389">
            <w:pPr>
              <w:rPr>
                <w:sz w:val="20"/>
                <w:szCs w:val="20"/>
              </w:rPr>
            </w:pPr>
            <w:r w:rsidRPr="00D7184F">
              <w:rPr>
                <w:b/>
                <w:sz w:val="20"/>
                <w:szCs w:val="20"/>
              </w:rPr>
              <w:t>Total miscellaneous cost</w:t>
            </w:r>
            <w:r w:rsidRPr="00D7184F">
              <w:rPr>
                <w:sz w:val="20"/>
                <w:szCs w:val="20"/>
              </w:rPr>
              <w:t xml:space="preserve">   </w:t>
            </w:r>
          </w:p>
        </w:tc>
        <w:tc>
          <w:tcPr>
            <w:tcW w:w="1057" w:type="dxa"/>
          </w:tcPr>
          <w:p w:rsidR="000C1389" w:rsidRDefault="00B6612B" w:rsidP="000C1389">
            <w:pPr>
              <w:jc w:val="right"/>
              <w:rPr>
                <w:b/>
                <w:sz w:val="20"/>
                <w:szCs w:val="20"/>
              </w:rPr>
            </w:pPr>
            <w:r>
              <w:rPr>
                <w:b/>
                <w:sz w:val="20"/>
                <w:szCs w:val="20"/>
              </w:rPr>
              <w:t>10</w:t>
            </w:r>
          </w:p>
          <w:p w:rsidR="00B6612B" w:rsidRDefault="00B6612B" w:rsidP="000C1389">
            <w:pPr>
              <w:jc w:val="right"/>
              <w:rPr>
                <w:b/>
                <w:sz w:val="20"/>
                <w:szCs w:val="20"/>
              </w:rPr>
            </w:pPr>
            <w:r>
              <w:rPr>
                <w:b/>
                <w:sz w:val="20"/>
                <w:szCs w:val="20"/>
              </w:rPr>
              <w:t>5 hr</w:t>
            </w:r>
          </w:p>
          <w:p w:rsidR="00B6612B" w:rsidRDefault="00B6612B" w:rsidP="000C1389">
            <w:pPr>
              <w:jc w:val="right"/>
              <w:rPr>
                <w:b/>
                <w:sz w:val="20"/>
                <w:szCs w:val="20"/>
              </w:rPr>
            </w:pPr>
            <w:r>
              <w:rPr>
                <w:b/>
                <w:sz w:val="20"/>
                <w:szCs w:val="20"/>
              </w:rPr>
              <w:t>$185</w:t>
            </w:r>
          </w:p>
          <w:p w:rsidR="00B6612B" w:rsidRPr="00D7184F" w:rsidRDefault="00B6612B" w:rsidP="000C1389">
            <w:pPr>
              <w:jc w:val="right"/>
              <w:rPr>
                <w:b/>
                <w:sz w:val="20"/>
                <w:szCs w:val="20"/>
              </w:rPr>
            </w:pPr>
            <w:r>
              <w:rPr>
                <w:b/>
                <w:sz w:val="20"/>
                <w:szCs w:val="20"/>
              </w:rPr>
              <w:t>0</w:t>
            </w:r>
          </w:p>
        </w:tc>
      </w:tr>
    </w:tbl>
    <w:p w:rsidR="000C1389" w:rsidRDefault="000C1389" w:rsidP="000C1389">
      <w:pPr>
        <w:tabs>
          <w:tab w:val="left" w:pos="360"/>
          <w:tab w:val="left" w:pos="720"/>
          <w:tab w:val="left" w:pos="1080"/>
        </w:tabs>
        <w:ind w:left="720" w:hanging="720"/>
        <w:rPr>
          <w:sz w:val="20"/>
          <w:szCs w:val="20"/>
        </w:rPr>
      </w:pPr>
    </w:p>
    <w:p w:rsidR="00052F14" w:rsidRDefault="00437456" w:rsidP="00052F14">
      <w:pPr>
        <w:rPr>
          <w:b/>
        </w:rPr>
      </w:pPr>
      <w:proofErr w:type="gramStart"/>
      <w:r>
        <w:rPr>
          <w:b/>
        </w:rPr>
        <w:t>d</w:t>
      </w:r>
      <w:r w:rsidR="00052F14" w:rsidRPr="00052F14">
        <w:rPr>
          <w:b/>
        </w:rPr>
        <w:t>.  Application</w:t>
      </w:r>
      <w:proofErr w:type="gramEnd"/>
      <w:r w:rsidR="00052F14" w:rsidRPr="00052F14">
        <w:rPr>
          <w:b/>
        </w:rPr>
        <w:t xml:space="preserve"> </w:t>
      </w:r>
      <w:r w:rsidR="00052F14">
        <w:rPr>
          <w:b/>
        </w:rPr>
        <w:t>f</w:t>
      </w:r>
      <w:r w:rsidR="00052F14" w:rsidRPr="00052F14">
        <w:rPr>
          <w:b/>
        </w:rPr>
        <w:t>or Community Charter Halibut Permit (C</w:t>
      </w:r>
      <w:r w:rsidR="0014640A">
        <w:rPr>
          <w:b/>
        </w:rPr>
        <w:t xml:space="preserve">ommunity </w:t>
      </w:r>
      <w:r w:rsidR="00052F14" w:rsidRPr="00052F14">
        <w:rPr>
          <w:b/>
        </w:rPr>
        <w:t xml:space="preserve">CHP) </w:t>
      </w:r>
    </w:p>
    <w:p w:rsidR="002C7EC7" w:rsidRPr="0014640A" w:rsidRDefault="002C7EC7" w:rsidP="00052F14"/>
    <w:p w:rsidR="009011EF" w:rsidRDefault="0014640A" w:rsidP="00052F14">
      <w:r w:rsidRPr="0014640A">
        <w:t>The C</w:t>
      </w:r>
      <w:r>
        <w:t xml:space="preserve">harter </w:t>
      </w:r>
      <w:r w:rsidRPr="0014640A">
        <w:t>H</w:t>
      </w:r>
      <w:r>
        <w:t xml:space="preserve">alibut </w:t>
      </w:r>
      <w:r w:rsidRPr="0014640A">
        <w:t>L</w:t>
      </w:r>
      <w:r>
        <w:t xml:space="preserve">imited </w:t>
      </w:r>
      <w:r w:rsidRPr="0014640A">
        <w:t>A</w:t>
      </w:r>
      <w:r>
        <w:t xml:space="preserve">ccess </w:t>
      </w:r>
      <w:r w:rsidRPr="0014640A">
        <w:t>P</w:t>
      </w:r>
      <w:r>
        <w:t>rogram</w:t>
      </w:r>
      <w:r w:rsidRPr="0014640A">
        <w:t xml:space="preserve"> established new </w:t>
      </w:r>
      <w:r>
        <w:t>F</w:t>
      </w:r>
      <w:r w:rsidRPr="0014640A">
        <w:t xml:space="preserve">ederal Charter Halibut Permits (CHPs) for operators in the charter halibut fishery in Regulatory Areas 2C (Southeast Alaska) and 3A (South Central Alaska). The Program also provides a limited number of permits issuable on request to nonprofit corporations representing specified rural communities. </w:t>
      </w:r>
    </w:p>
    <w:p w:rsidR="009011EF" w:rsidRDefault="009011EF" w:rsidP="00052F14"/>
    <w:p w:rsidR="002C7EC7" w:rsidRDefault="00DD7E4B" w:rsidP="002C7EC7">
      <w:r>
        <w:t>A</w:t>
      </w:r>
      <w:r w:rsidR="0014640A" w:rsidRPr="0014640A">
        <w:t xml:space="preserve">ll vessel operators in </w:t>
      </w:r>
      <w:r>
        <w:t xml:space="preserve">IPHC </w:t>
      </w:r>
      <w:r w:rsidR="0014640A" w:rsidRPr="0014640A">
        <w:t>Areas 2C and 3A with charter anglers onboard must have an original, valid permit onboard during every charter vessel fishing trip on which Pacific halibut are caught and retained. CHPs are endorsed for the appropriate regulatory area and the number of anglers that may catch and retain charter halibut on a trip.</w:t>
      </w:r>
      <w:r w:rsidR="00E83362">
        <w:t xml:space="preserve">  </w:t>
      </w:r>
      <w:r w:rsidR="00E83362" w:rsidRPr="00E83362">
        <w:t>There</w:t>
      </w:r>
      <w:r w:rsidR="002C7EC7">
        <w:t xml:space="preserve"> is no deadline for application. </w:t>
      </w:r>
    </w:p>
    <w:p w:rsidR="002C7EC7" w:rsidRDefault="002C7EC7" w:rsidP="002C7EC7"/>
    <w:p w:rsidR="008D7BF1" w:rsidRDefault="007F0470" w:rsidP="002C7EC7">
      <w:r>
        <w:t xml:space="preserve">An eligible community must form a </w:t>
      </w:r>
      <w:r w:rsidR="0036486A">
        <w:t>CQE</w:t>
      </w:r>
      <w:r>
        <w:t xml:space="preserve"> to represent it prior to applying for a Community C</w:t>
      </w:r>
      <w:r w:rsidR="00DD7E4B">
        <w:t>H</w:t>
      </w:r>
      <w:r>
        <w:t xml:space="preserve">P.  This </w:t>
      </w:r>
      <w:r w:rsidR="0036486A">
        <w:t>CQE</w:t>
      </w:r>
      <w:r w:rsidR="00452C8C">
        <w:t xml:space="preserve"> must be approved by NMFS.  </w:t>
      </w:r>
      <w:r w:rsidR="006E3532" w:rsidRPr="00C46D0E">
        <w:t xml:space="preserve">A CQE </w:t>
      </w:r>
      <w:r w:rsidR="006E3532">
        <w:t xml:space="preserve">that </w:t>
      </w:r>
      <w:r w:rsidR="006E3532" w:rsidRPr="00C46D0E">
        <w:t>represent</w:t>
      </w:r>
      <w:r w:rsidR="006E3532">
        <w:t>s</w:t>
      </w:r>
      <w:r w:rsidR="006E3532" w:rsidRPr="00C46D0E">
        <w:t xml:space="preserve"> an eligible community may receive one or more </w:t>
      </w:r>
      <w:r w:rsidR="00DD7E4B">
        <w:t>Community CHPs</w:t>
      </w:r>
      <w:r w:rsidR="006E3532" w:rsidRPr="00C46D0E">
        <w:t xml:space="preserve">. </w:t>
      </w:r>
      <w:r w:rsidR="006E3532">
        <w:t xml:space="preserve"> </w:t>
      </w:r>
      <w:r w:rsidR="00452C8C" w:rsidRPr="00C46D0E">
        <w:t xml:space="preserve">The CQE must use a separate application for each community </w:t>
      </w:r>
      <w:r w:rsidR="006E3532">
        <w:t xml:space="preserve">that it represents.  </w:t>
      </w:r>
    </w:p>
    <w:p w:rsidR="00452C8C" w:rsidRDefault="00452C8C" w:rsidP="007F0470">
      <w:pPr>
        <w:tabs>
          <w:tab w:val="left" w:pos="360"/>
          <w:tab w:val="left" w:pos="720"/>
          <w:tab w:val="left" w:pos="1080"/>
          <w:tab w:val="left" w:pos="1440"/>
        </w:tabs>
      </w:pPr>
    </w:p>
    <w:p w:rsidR="00803DD2" w:rsidRDefault="00F774A9" w:rsidP="006E3532">
      <w:pPr>
        <w:tabs>
          <w:tab w:val="left" w:pos="360"/>
          <w:tab w:val="left" w:pos="720"/>
          <w:tab w:val="left" w:pos="1080"/>
        </w:tabs>
      </w:pPr>
      <w:r w:rsidRPr="00C46D0E">
        <w:t xml:space="preserve">Only the following communities are eligible to obtain </w:t>
      </w:r>
      <w:r w:rsidR="00DD7E4B">
        <w:t>Community CHPs</w:t>
      </w:r>
      <w:r w:rsidRPr="00C46D0E">
        <w:t xml:space="preserve"> in the area designated for the community</w:t>
      </w:r>
      <w:r w:rsidR="00DD7E4B">
        <w:t xml:space="preserve"> (see also Table 21 to part 679)</w:t>
      </w:r>
      <w:r w:rsidRPr="00C46D0E">
        <w:t>.</w:t>
      </w:r>
    </w:p>
    <w:p w:rsidR="00F774A9" w:rsidRPr="00F20C61" w:rsidRDefault="00F774A9" w:rsidP="00803DD2">
      <w:pPr>
        <w:pStyle w:val="Default"/>
        <w:rPr>
          <w:sz w:val="22"/>
          <w:szCs w:val="22"/>
        </w:rPr>
      </w:pPr>
    </w:p>
    <w:tbl>
      <w:tblPr>
        <w:tblW w:w="7380" w:type="dxa"/>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tblGrid>
      <w:tr w:rsidR="00F774A9" w:rsidRPr="00DD7E17" w:rsidTr="00F774A9">
        <w:trPr>
          <w:jc w:val="center"/>
        </w:trPr>
        <w:tc>
          <w:tcPr>
            <w:tcW w:w="3780" w:type="dxa"/>
          </w:tcPr>
          <w:p w:rsidR="00F774A9" w:rsidRPr="00AD5662" w:rsidRDefault="00F774A9" w:rsidP="00742A9E">
            <w:pPr>
              <w:pStyle w:val="Default"/>
              <w:keepNext/>
              <w:jc w:val="center"/>
              <w:rPr>
                <w:sz w:val="20"/>
                <w:szCs w:val="20"/>
              </w:rPr>
            </w:pPr>
            <w:r w:rsidRPr="00AD5662">
              <w:rPr>
                <w:sz w:val="20"/>
                <w:szCs w:val="20"/>
              </w:rPr>
              <w:lastRenderedPageBreak/>
              <w:t>Eligible Communities for 2C</w:t>
            </w:r>
          </w:p>
          <w:p w:rsidR="00F774A9" w:rsidRPr="00AD5662" w:rsidRDefault="00F774A9" w:rsidP="00742A9E">
            <w:pPr>
              <w:pStyle w:val="Default"/>
              <w:keepNext/>
              <w:jc w:val="center"/>
              <w:rPr>
                <w:sz w:val="20"/>
                <w:szCs w:val="20"/>
              </w:rPr>
            </w:pPr>
            <w:r w:rsidRPr="00AD5662">
              <w:rPr>
                <w:sz w:val="20"/>
                <w:szCs w:val="20"/>
              </w:rPr>
              <w:t>C</w:t>
            </w:r>
            <w:r w:rsidR="006E3532" w:rsidRPr="00AD5662">
              <w:rPr>
                <w:sz w:val="20"/>
                <w:szCs w:val="20"/>
              </w:rPr>
              <w:t xml:space="preserve">ommunity </w:t>
            </w:r>
            <w:r w:rsidRPr="00AD5662">
              <w:rPr>
                <w:sz w:val="20"/>
                <w:szCs w:val="20"/>
              </w:rPr>
              <w:t>Charter Halibut Permits</w:t>
            </w:r>
          </w:p>
        </w:tc>
        <w:tc>
          <w:tcPr>
            <w:tcW w:w="3600" w:type="dxa"/>
          </w:tcPr>
          <w:p w:rsidR="00F774A9" w:rsidRPr="00AD5662" w:rsidRDefault="00F774A9" w:rsidP="00742A9E">
            <w:pPr>
              <w:pStyle w:val="Default"/>
              <w:keepNext/>
              <w:jc w:val="center"/>
              <w:rPr>
                <w:sz w:val="20"/>
                <w:szCs w:val="20"/>
              </w:rPr>
            </w:pPr>
            <w:r w:rsidRPr="00AD5662">
              <w:rPr>
                <w:sz w:val="20"/>
                <w:szCs w:val="20"/>
              </w:rPr>
              <w:t>Eligible Communities for 3A</w:t>
            </w:r>
          </w:p>
          <w:p w:rsidR="00F774A9" w:rsidRPr="00AD5662" w:rsidRDefault="00F774A9" w:rsidP="00742A9E">
            <w:pPr>
              <w:pStyle w:val="Default"/>
              <w:keepNext/>
              <w:jc w:val="center"/>
              <w:rPr>
                <w:sz w:val="20"/>
                <w:szCs w:val="20"/>
              </w:rPr>
            </w:pPr>
            <w:r w:rsidRPr="00AD5662">
              <w:rPr>
                <w:sz w:val="20"/>
                <w:szCs w:val="20"/>
              </w:rPr>
              <w:t>Community Charter Halibut Permits</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Angoon</w:t>
            </w:r>
          </w:p>
        </w:tc>
        <w:tc>
          <w:tcPr>
            <w:tcW w:w="3600" w:type="dxa"/>
          </w:tcPr>
          <w:p w:rsidR="00F774A9" w:rsidRPr="00AD5662" w:rsidRDefault="00F774A9" w:rsidP="00742A9E">
            <w:pPr>
              <w:pStyle w:val="Default"/>
              <w:keepNext/>
              <w:rPr>
                <w:sz w:val="20"/>
                <w:szCs w:val="20"/>
              </w:rPr>
            </w:pPr>
            <w:r w:rsidRPr="00AD5662">
              <w:rPr>
                <w:sz w:val="20"/>
                <w:szCs w:val="20"/>
              </w:rPr>
              <w:t>Akhiok</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Coffman Cove</w:t>
            </w:r>
          </w:p>
        </w:tc>
        <w:tc>
          <w:tcPr>
            <w:tcW w:w="3600" w:type="dxa"/>
          </w:tcPr>
          <w:p w:rsidR="00F774A9" w:rsidRPr="00AD5662" w:rsidRDefault="00F774A9" w:rsidP="00742A9E">
            <w:pPr>
              <w:pStyle w:val="Default"/>
              <w:keepNext/>
              <w:rPr>
                <w:sz w:val="20"/>
                <w:szCs w:val="20"/>
              </w:rPr>
            </w:pPr>
            <w:r w:rsidRPr="00AD5662">
              <w:rPr>
                <w:sz w:val="20"/>
                <w:szCs w:val="20"/>
              </w:rPr>
              <w:t>Chenega</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Edna bay</w:t>
            </w:r>
          </w:p>
        </w:tc>
        <w:tc>
          <w:tcPr>
            <w:tcW w:w="3600" w:type="dxa"/>
          </w:tcPr>
          <w:p w:rsidR="00F774A9" w:rsidRPr="00AD5662" w:rsidRDefault="00F774A9" w:rsidP="00742A9E">
            <w:pPr>
              <w:pStyle w:val="Default"/>
              <w:keepNext/>
              <w:rPr>
                <w:sz w:val="20"/>
                <w:szCs w:val="20"/>
              </w:rPr>
            </w:pPr>
            <w:r w:rsidRPr="00AD5662">
              <w:rPr>
                <w:sz w:val="20"/>
                <w:szCs w:val="20"/>
              </w:rPr>
              <w:t>Halibut Cove</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Hollis</w:t>
            </w:r>
          </w:p>
        </w:tc>
        <w:tc>
          <w:tcPr>
            <w:tcW w:w="3600" w:type="dxa"/>
          </w:tcPr>
          <w:p w:rsidR="00F774A9" w:rsidRPr="00AD5662" w:rsidRDefault="00F774A9" w:rsidP="00742A9E">
            <w:pPr>
              <w:pStyle w:val="Default"/>
              <w:keepNext/>
              <w:rPr>
                <w:sz w:val="20"/>
                <w:szCs w:val="20"/>
              </w:rPr>
            </w:pPr>
            <w:r w:rsidRPr="00AD5662">
              <w:rPr>
                <w:sz w:val="20"/>
                <w:szCs w:val="20"/>
              </w:rPr>
              <w:t>Karluk</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Hoonah</w:t>
            </w:r>
          </w:p>
        </w:tc>
        <w:tc>
          <w:tcPr>
            <w:tcW w:w="3600" w:type="dxa"/>
          </w:tcPr>
          <w:p w:rsidR="00F774A9" w:rsidRPr="00AD5662" w:rsidRDefault="00F774A9" w:rsidP="00742A9E">
            <w:pPr>
              <w:pStyle w:val="Default"/>
              <w:keepNext/>
              <w:rPr>
                <w:sz w:val="20"/>
                <w:szCs w:val="20"/>
              </w:rPr>
            </w:pPr>
            <w:r w:rsidRPr="00AD5662">
              <w:rPr>
                <w:sz w:val="20"/>
                <w:szCs w:val="20"/>
              </w:rPr>
              <w:t>Larsen Bay</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Hydaburg</w:t>
            </w:r>
          </w:p>
        </w:tc>
        <w:tc>
          <w:tcPr>
            <w:tcW w:w="3600" w:type="dxa"/>
          </w:tcPr>
          <w:p w:rsidR="00F774A9" w:rsidRPr="00AD5662" w:rsidRDefault="00F774A9" w:rsidP="00742A9E">
            <w:pPr>
              <w:pStyle w:val="Default"/>
              <w:keepNext/>
              <w:rPr>
                <w:sz w:val="20"/>
                <w:szCs w:val="20"/>
              </w:rPr>
            </w:pPr>
            <w:r w:rsidRPr="00AD5662">
              <w:rPr>
                <w:sz w:val="20"/>
                <w:szCs w:val="20"/>
              </w:rPr>
              <w:t>Nanwalek</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Kake</w:t>
            </w:r>
          </w:p>
        </w:tc>
        <w:tc>
          <w:tcPr>
            <w:tcW w:w="3600" w:type="dxa"/>
          </w:tcPr>
          <w:p w:rsidR="00F774A9" w:rsidRPr="00AD5662" w:rsidRDefault="00F774A9" w:rsidP="00742A9E">
            <w:pPr>
              <w:pStyle w:val="Default"/>
              <w:keepNext/>
              <w:rPr>
                <w:sz w:val="20"/>
                <w:szCs w:val="20"/>
              </w:rPr>
            </w:pPr>
            <w:r w:rsidRPr="00AD5662">
              <w:rPr>
                <w:sz w:val="20"/>
                <w:szCs w:val="20"/>
              </w:rPr>
              <w:t>Old Harbor</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proofErr w:type="spellStart"/>
            <w:r w:rsidRPr="00AD5662">
              <w:rPr>
                <w:sz w:val="20"/>
                <w:szCs w:val="20"/>
              </w:rPr>
              <w:t>Kassan</w:t>
            </w:r>
            <w:proofErr w:type="spellEnd"/>
          </w:p>
        </w:tc>
        <w:tc>
          <w:tcPr>
            <w:tcW w:w="3600" w:type="dxa"/>
          </w:tcPr>
          <w:p w:rsidR="00F774A9" w:rsidRPr="00AD5662" w:rsidRDefault="00F774A9" w:rsidP="00742A9E">
            <w:pPr>
              <w:pStyle w:val="Default"/>
              <w:keepNext/>
              <w:rPr>
                <w:sz w:val="20"/>
                <w:szCs w:val="20"/>
              </w:rPr>
            </w:pPr>
            <w:r w:rsidRPr="00AD5662">
              <w:rPr>
                <w:sz w:val="20"/>
                <w:szCs w:val="20"/>
              </w:rPr>
              <w:t>Ouzinkie</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Klawock</w:t>
            </w:r>
          </w:p>
        </w:tc>
        <w:tc>
          <w:tcPr>
            <w:tcW w:w="3600" w:type="dxa"/>
          </w:tcPr>
          <w:p w:rsidR="00F774A9" w:rsidRPr="00AD5662" w:rsidRDefault="00F774A9" w:rsidP="00742A9E">
            <w:pPr>
              <w:pStyle w:val="Default"/>
              <w:keepNext/>
              <w:rPr>
                <w:sz w:val="20"/>
                <w:szCs w:val="20"/>
              </w:rPr>
            </w:pPr>
            <w:r w:rsidRPr="00AD5662">
              <w:rPr>
                <w:sz w:val="20"/>
                <w:szCs w:val="20"/>
              </w:rPr>
              <w:t>Port Graham</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Metlakatla</w:t>
            </w:r>
          </w:p>
        </w:tc>
        <w:tc>
          <w:tcPr>
            <w:tcW w:w="3600" w:type="dxa"/>
          </w:tcPr>
          <w:p w:rsidR="00F774A9" w:rsidRPr="00AD5662" w:rsidRDefault="00F774A9" w:rsidP="00742A9E">
            <w:pPr>
              <w:pStyle w:val="Default"/>
              <w:keepNext/>
              <w:rPr>
                <w:sz w:val="20"/>
                <w:szCs w:val="20"/>
              </w:rPr>
            </w:pPr>
            <w:r w:rsidRPr="00AD5662">
              <w:rPr>
                <w:sz w:val="20"/>
                <w:szCs w:val="20"/>
              </w:rPr>
              <w:t>Port Lions</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Meyers Chuck</w:t>
            </w:r>
          </w:p>
        </w:tc>
        <w:tc>
          <w:tcPr>
            <w:tcW w:w="3600" w:type="dxa"/>
          </w:tcPr>
          <w:p w:rsidR="00F774A9" w:rsidRPr="00AD5662" w:rsidRDefault="00F774A9" w:rsidP="00742A9E">
            <w:pPr>
              <w:pStyle w:val="Default"/>
              <w:keepNext/>
              <w:rPr>
                <w:sz w:val="20"/>
                <w:szCs w:val="20"/>
              </w:rPr>
            </w:pPr>
            <w:r w:rsidRPr="00AD5662">
              <w:rPr>
                <w:sz w:val="20"/>
                <w:szCs w:val="20"/>
              </w:rPr>
              <w:t>Seldovia</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Pelican</w:t>
            </w:r>
          </w:p>
        </w:tc>
        <w:tc>
          <w:tcPr>
            <w:tcW w:w="3600" w:type="dxa"/>
          </w:tcPr>
          <w:p w:rsidR="00F774A9" w:rsidRPr="00AD5662" w:rsidRDefault="00F774A9" w:rsidP="00742A9E">
            <w:pPr>
              <w:pStyle w:val="Default"/>
              <w:keepNext/>
              <w:rPr>
                <w:sz w:val="20"/>
                <w:szCs w:val="20"/>
              </w:rPr>
            </w:pPr>
            <w:r w:rsidRPr="00AD5662">
              <w:rPr>
                <w:sz w:val="20"/>
                <w:szCs w:val="20"/>
              </w:rPr>
              <w:t>Tatitlek</w:t>
            </w:r>
          </w:p>
        </w:tc>
      </w:tr>
      <w:tr w:rsidR="00F774A9" w:rsidRPr="00DD7E17" w:rsidTr="00F774A9">
        <w:trPr>
          <w:jc w:val="center"/>
        </w:trPr>
        <w:tc>
          <w:tcPr>
            <w:tcW w:w="3780" w:type="dxa"/>
          </w:tcPr>
          <w:p w:rsidR="00F774A9" w:rsidRPr="00AD5662" w:rsidRDefault="00F774A9" w:rsidP="00742A9E">
            <w:pPr>
              <w:pStyle w:val="Default"/>
              <w:keepNext/>
              <w:rPr>
                <w:sz w:val="20"/>
                <w:szCs w:val="20"/>
              </w:rPr>
            </w:pPr>
            <w:r w:rsidRPr="00AD5662">
              <w:rPr>
                <w:sz w:val="20"/>
                <w:szCs w:val="20"/>
              </w:rPr>
              <w:t>Point Baker</w:t>
            </w:r>
          </w:p>
        </w:tc>
        <w:tc>
          <w:tcPr>
            <w:tcW w:w="3600" w:type="dxa"/>
          </w:tcPr>
          <w:p w:rsidR="00F774A9" w:rsidRPr="00AD5662" w:rsidRDefault="00F774A9" w:rsidP="00742A9E">
            <w:pPr>
              <w:pStyle w:val="Default"/>
              <w:keepNext/>
              <w:rPr>
                <w:sz w:val="20"/>
                <w:szCs w:val="20"/>
              </w:rPr>
            </w:pPr>
            <w:r w:rsidRPr="00AD5662">
              <w:rPr>
                <w:sz w:val="20"/>
                <w:szCs w:val="20"/>
              </w:rPr>
              <w:t>Tyonek</w:t>
            </w:r>
          </w:p>
        </w:tc>
      </w:tr>
      <w:tr w:rsidR="00F774A9" w:rsidRPr="00DD7E17" w:rsidTr="00582C4A">
        <w:trPr>
          <w:jc w:val="center"/>
        </w:trPr>
        <w:tc>
          <w:tcPr>
            <w:tcW w:w="3780" w:type="dxa"/>
          </w:tcPr>
          <w:p w:rsidR="00F774A9" w:rsidRPr="00AD5662" w:rsidRDefault="00F774A9" w:rsidP="00742A9E">
            <w:pPr>
              <w:pStyle w:val="Default"/>
              <w:keepNext/>
              <w:rPr>
                <w:sz w:val="20"/>
                <w:szCs w:val="20"/>
              </w:rPr>
            </w:pPr>
            <w:r w:rsidRPr="00AD5662">
              <w:rPr>
                <w:sz w:val="20"/>
                <w:szCs w:val="20"/>
              </w:rPr>
              <w:t>Port Alexander</w:t>
            </w:r>
          </w:p>
        </w:tc>
        <w:tc>
          <w:tcPr>
            <w:tcW w:w="3600" w:type="dxa"/>
            <w:tcBorders>
              <w:bottom w:val="single" w:sz="4" w:space="0" w:color="auto"/>
            </w:tcBorders>
          </w:tcPr>
          <w:p w:rsidR="00F774A9" w:rsidRPr="00AD5662" w:rsidRDefault="00F774A9" w:rsidP="00742A9E">
            <w:pPr>
              <w:pStyle w:val="Default"/>
              <w:keepNext/>
              <w:rPr>
                <w:sz w:val="20"/>
                <w:szCs w:val="20"/>
              </w:rPr>
            </w:pPr>
            <w:r w:rsidRPr="00AD5662">
              <w:rPr>
                <w:sz w:val="20"/>
                <w:szCs w:val="20"/>
              </w:rPr>
              <w:t>Yakutat</w:t>
            </w:r>
          </w:p>
        </w:tc>
      </w:tr>
      <w:tr w:rsidR="00F774A9" w:rsidRPr="00DD7E17" w:rsidTr="00582C4A">
        <w:trPr>
          <w:jc w:val="center"/>
        </w:trPr>
        <w:tc>
          <w:tcPr>
            <w:tcW w:w="3780" w:type="dxa"/>
          </w:tcPr>
          <w:p w:rsidR="00F774A9" w:rsidRPr="00AD5662" w:rsidRDefault="00F774A9" w:rsidP="00742A9E">
            <w:pPr>
              <w:pStyle w:val="Default"/>
              <w:keepNext/>
              <w:rPr>
                <w:sz w:val="20"/>
                <w:szCs w:val="20"/>
              </w:rPr>
            </w:pPr>
            <w:r w:rsidRPr="00AD5662">
              <w:rPr>
                <w:sz w:val="20"/>
                <w:szCs w:val="20"/>
              </w:rPr>
              <w:t>Port Protection</w:t>
            </w:r>
          </w:p>
        </w:tc>
        <w:tc>
          <w:tcPr>
            <w:tcW w:w="3600" w:type="dxa"/>
            <w:vMerge w:val="restart"/>
            <w:tcBorders>
              <w:bottom w:val="nil"/>
              <w:right w:val="nil"/>
            </w:tcBorders>
          </w:tcPr>
          <w:p w:rsidR="00F774A9" w:rsidRPr="00DD7E17" w:rsidRDefault="00F774A9" w:rsidP="00742A9E">
            <w:pPr>
              <w:pStyle w:val="Default"/>
              <w:keepNext/>
              <w:rPr>
                <w:sz w:val="22"/>
                <w:szCs w:val="22"/>
              </w:rPr>
            </w:pPr>
          </w:p>
        </w:tc>
      </w:tr>
      <w:tr w:rsidR="00F774A9" w:rsidRPr="00DD7E17" w:rsidTr="00582C4A">
        <w:trPr>
          <w:jc w:val="center"/>
        </w:trPr>
        <w:tc>
          <w:tcPr>
            <w:tcW w:w="3780" w:type="dxa"/>
          </w:tcPr>
          <w:p w:rsidR="00F774A9" w:rsidRPr="00AD5662" w:rsidRDefault="00F774A9" w:rsidP="00742A9E">
            <w:pPr>
              <w:pStyle w:val="Default"/>
              <w:keepNext/>
              <w:rPr>
                <w:sz w:val="20"/>
                <w:szCs w:val="20"/>
              </w:rPr>
            </w:pPr>
            <w:r w:rsidRPr="00AD5662">
              <w:rPr>
                <w:sz w:val="20"/>
                <w:szCs w:val="20"/>
              </w:rPr>
              <w:t>Tenakee</w:t>
            </w:r>
          </w:p>
        </w:tc>
        <w:tc>
          <w:tcPr>
            <w:tcW w:w="3600" w:type="dxa"/>
            <w:vMerge/>
            <w:tcBorders>
              <w:bottom w:val="nil"/>
              <w:right w:val="nil"/>
            </w:tcBorders>
          </w:tcPr>
          <w:p w:rsidR="00F774A9" w:rsidRPr="00DD7E17" w:rsidRDefault="00F774A9" w:rsidP="00742A9E">
            <w:pPr>
              <w:pStyle w:val="Default"/>
              <w:keepNext/>
              <w:rPr>
                <w:sz w:val="22"/>
                <w:szCs w:val="22"/>
              </w:rPr>
            </w:pPr>
          </w:p>
        </w:tc>
      </w:tr>
      <w:tr w:rsidR="00F774A9" w:rsidRPr="00DD7E17" w:rsidTr="00582C4A">
        <w:trPr>
          <w:jc w:val="center"/>
        </w:trPr>
        <w:tc>
          <w:tcPr>
            <w:tcW w:w="3780" w:type="dxa"/>
          </w:tcPr>
          <w:p w:rsidR="00F774A9" w:rsidRPr="00AD5662" w:rsidRDefault="00F774A9" w:rsidP="00742A9E">
            <w:pPr>
              <w:pStyle w:val="Default"/>
              <w:keepNext/>
              <w:rPr>
                <w:sz w:val="20"/>
                <w:szCs w:val="20"/>
              </w:rPr>
            </w:pPr>
            <w:r w:rsidRPr="00AD5662">
              <w:rPr>
                <w:sz w:val="20"/>
                <w:szCs w:val="20"/>
              </w:rPr>
              <w:t>Thorne Bay</w:t>
            </w:r>
          </w:p>
        </w:tc>
        <w:tc>
          <w:tcPr>
            <w:tcW w:w="3600" w:type="dxa"/>
            <w:vMerge/>
            <w:tcBorders>
              <w:bottom w:val="nil"/>
              <w:right w:val="nil"/>
            </w:tcBorders>
          </w:tcPr>
          <w:p w:rsidR="00F774A9" w:rsidRPr="00DD7E17" w:rsidRDefault="00F774A9" w:rsidP="00742A9E">
            <w:pPr>
              <w:pStyle w:val="Default"/>
              <w:keepNext/>
              <w:rPr>
                <w:sz w:val="22"/>
                <w:szCs w:val="22"/>
              </w:rPr>
            </w:pPr>
          </w:p>
        </w:tc>
      </w:tr>
      <w:tr w:rsidR="00F774A9" w:rsidRPr="00DD7E17" w:rsidTr="00582C4A">
        <w:trPr>
          <w:jc w:val="center"/>
        </w:trPr>
        <w:tc>
          <w:tcPr>
            <w:tcW w:w="3780" w:type="dxa"/>
          </w:tcPr>
          <w:p w:rsidR="00F774A9" w:rsidRPr="00AD5662" w:rsidRDefault="00F774A9" w:rsidP="00742A9E">
            <w:pPr>
              <w:pStyle w:val="Default"/>
              <w:keepNext/>
              <w:rPr>
                <w:sz w:val="20"/>
                <w:szCs w:val="20"/>
              </w:rPr>
            </w:pPr>
            <w:r w:rsidRPr="00AD5662">
              <w:rPr>
                <w:sz w:val="20"/>
                <w:szCs w:val="20"/>
              </w:rPr>
              <w:t>Whale Pass</w:t>
            </w:r>
          </w:p>
        </w:tc>
        <w:tc>
          <w:tcPr>
            <w:tcW w:w="3600" w:type="dxa"/>
            <w:vMerge/>
            <w:tcBorders>
              <w:bottom w:val="nil"/>
              <w:right w:val="nil"/>
            </w:tcBorders>
          </w:tcPr>
          <w:p w:rsidR="00F774A9" w:rsidRPr="00DD7E17" w:rsidRDefault="00F774A9" w:rsidP="00742A9E">
            <w:pPr>
              <w:pStyle w:val="Default"/>
              <w:keepNext/>
              <w:rPr>
                <w:sz w:val="22"/>
                <w:szCs w:val="22"/>
              </w:rPr>
            </w:pPr>
          </w:p>
        </w:tc>
      </w:tr>
    </w:tbl>
    <w:p w:rsidR="00420AAE" w:rsidRDefault="00420AAE" w:rsidP="00742A9E">
      <w:pPr>
        <w:keepNext/>
        <w:tabs>
          <w:tab w:val="left" w:pos="360"/>
          <w:tab w:val="left" w:pos="720"/>
          <w:tab w:val="left" w:pos="1080"/>
          <w:tab w:val="left" w:pos="1440"/>
        </w:tabs>
        <w:rPr>
          <w:u w:val="single"/>
        </w:rPr>
      </w:pPr>
    </w:p>
    <w:p w:rsidR="006957D0" w:rsidRPr="00C46D0E" w:rsidRDefault="006957D0" w:rsidP="00F774A9">
      <w:r w:rsidRPr="00C46D0E">
        <w:t xml:space="preserve">When completed, the application </w:t>
      </w:r>
      <w:r w:rsidR="00F774A9" w:rsidRPr="00C46D0E">
        <w:t xml:space="preserve">may be submitted to NMFS </w:t>
      </w:r>
      <w:r w:rsidRPr="00C46D0E">
        <w:t>by</w:t>
      </w:r>
      <w:r w:rsidR="00F774A9" w:rsidRPr="00C46D0E">
        <w:t xml:space="preserve"> mail, fax, or delivery.</w:t>
      </w:r>
    </w:p>
    <w:p w:rsidR="00F774A9" w:rsidRPr="00C46D0E" w:rsidRDefault="00F774A9" w:rsidP="00F774A9">
      <w:pPr>
        <w:rPr>
          <w:b/>
        </w:rPr>
      </w:pPr>
    </w:p>
    <w:p w:rsidR="00F774A9" w:rsidRPr="00F774A9" w:rsidRDefault="00F774A9" w:rsidP="006957D0">
      <w:pPr>
        <w:rPr>
          <w:b/>
          <w:sz w:val="20"/>
          <w:szCs w:val="20"/>
        </w:rPr>
      </w:pPr>
      <w:r w:rsidRPr="00F774A9">
        <w:rPr>
          <w:b/>
          <w:sz w:val="20"/>
          <w:szCs w:val="20"/>
        </w:rPr>
        <w:t xml:space="preserve">Application for Community Charter Halibut Permit (CCHP) </w:t>
      </w:r>
    </w:p>
    <w:p w:rsidR="006957D0" w:rsidRPr="00C46D0E" w:rsidRDefault="00F774A9" w:rsidP="00C46D0E">
      <w:pPr>
        <w:tabs>
          <w:tab w:val="left" w:pos="360"/>
          <w:tab w:val="left" w:pos="720"/>
          <w:tab w:val="left" w:pos="1080"/>
          <w:tab w:val="left" w:pos="1440"/>
        </w:tabs>
        <w:rPr>
          <w:sz w:val="20"/>
          <w:szCs w:val="20"/>
          <w:u w:val="single"/>
        </w:rPr>
      </w:pPr>
      <w:r w:rsidRPr="00C46D0E">
        <w:rPr>
          <w:sz w:val="20"/>
          <w:szCs w:val="20"/>
          <w:u w:val="single"/>
        </w:rPr>
        <w:t xml:space="preserve">Block </w:t>
      </w:r>
      <w:proofErr w:type="gramStart"/>
      <w:r w:rsidRPr="00C46D0E">
        <w:rPr>
          <w:sz w:val="20"/>
          <w:szCs w:val="20"/>
          <w:u w:val="single"/>
        </w:rPr>
        <w:t>A—</w:t>
      </w:r>
      <w:proofErr w:type="gramEnd"/>
      <w:r w:rsidRPr="00C46D0E">
        <w:rPr>
          <w:sz w:val="20"/>
          <w:szCs w:val="20"/>
          <w:u w:val="single"/>
        </w:rPr>
        <w:t>Type of Permit(S)</w:t>
      </w:r>
    </w:p>
    <w:p w:rsidR="006957D0" w:rsidRPr="00C46D0E" w:rsidRDefault="00AA177E" w:rsidP="00AA177E">
      <w:pPr>
        <w:tabs>
          <w:tab w:val="left" w:pos="360"/>
          <w:tab w:val="left" w:pos="720"/>
          <w:tab w:val="left" w:pos="1080"/>
          <w:tab w:val="left" w:pos="1440"/>
        </w:tabs>
        <w:rPr>
          <w:sz w:val="20"/>
          <w:szCs w:val="20"/>
        </w:rPr>
      </w:pPr>
      <w:r>
        <w:rPr>
          <w:sz w:val="20"/>
          <w:szCs w:val="20"/>
        </w:rPr>
        <w:tab/>
      </w:r>
      <w:r w:rsidR="006957D0" w:rsidRPr="00C46D0E">
        <w:rPr>
          <w:sz w:val="20"/>
          <w:szCs w:val="20"/>
        </w:rPr>
        <w:t>Indicate the type of</w:t>
      </w:r>
      <w:r w:rsidR="00BC7443">
        <w:rPr>
          <w:sz w:val="20"/>
          <w:szCs w:val="20"/>
        </w:rPr>
        <w:t xml:space="preserve"> permit(s) for which applying</w:t>
      </w:r>
    </w:p>
    <w:p w:rsidR="006957D0" w:rsidRPr="00C46D0E" w:rsidRDefault="00AA177E" w:rsidP="00C46D0E">
      <w:pPr>
        <w:tabs>
          <w:tab w:val="left" w:pos="360"/>
          <w:tab w:val="left" w:pos="720"/>
          <w:tab w:val="left" w:pos="1080"/>
          <w:tab w:val="left" w:pos="1440"/>
        </w:tabs>
        <w:rPr>
          <w:sz w:val="20"/>
          <w:szCs w:val="20"/>
        </w:rPr>
      </w:pPr>
      <w:r>
        <w:rPr>
          <w:sz w:val="20"/>
          <w:szCs w:val="20"/>
        </w:rPr>
        <w:tab/>
      </w:r>
      <w:r w:rsidR="006957D0" w:rsidRPr="00C46D0E">
        <w:rPr>
          <w:sz w:val="20"/>
          <w:szCs w:val="20"/>
        </w:rPr>
        <w:t xml:space="preserve">If a CQE </w:t>
      </w:r>
      <w:r w:rsidR="0054291E">
        <w:rPr>
          <w:sz w:val="20"/>
          <w:szCs w:val="20"/>
        </w:rPr>
        <w:t xml:space="preserve">applying for </w:t>
      </w:r>
      <w:r w:rsidR="006957D0" w:rsidRPr="00C46D0E">
        <w:rPr>
          <w:sz w:val="20"/>
          <w:szCs w:val="20"/>
        </w:rPr>
        <w:t xml:space="preserve">Community CHP, enter the name of the community </w:t>
      </w:r>
    </w:p>
    <w:p w:rsidR="006957D0" w:rsidRPr="00AA177E" w:rsidRDefault="00AA177E" w:rsidP="00C46D0E">
      <w:pPr>
        <w:tabs>
          <w:tab w:val="left" w:pos="360"/>
          <w:tab w:val="left" w:pos="720"/>
          <w:tab w:val="left" w:pos="1080"/>
          <w:tab w:val="left" w:pos="1440"/>
        </w:tabs>
        <w:rPr>
          <w:sz w:val="20"/>
          <w:szCs w:val="20"/>
          <w:u w:val="single"/>
        </w:rPr>
      </w:pPr>
      <w:r w:rsidRPr="00AA177E">
        <w:rPr>
          <w:sz w:val="20"/>
          <w:szCs w:val="20"/>
          <w:u w:val="single"/>
        </w:rPr>
        <w:t>Block B –Applicant Information</w:t>
      </w:r>
    </w:p>
    <w:p w:rsidR="006957D0" w:rsidRPr="00C46D0E" w:rsidRDefault="006957D0" w:rsidP="00C46D0E">
      <w:pPr>
        <w:tabs>
          <w:tab w:val="left" w:pos="360"/>
          <w:tab w:val="left" w:pos="720"/>
          <w:tab w:val="left" w:pos="900"/>
          <w:tab w:val="left" w:pos="1080"/>
          <w:tab w:val="left" w:pos="1440"/>
        </w:tabs>
        <w:rPr>
          <w:sz w:val="20"/>
          <w:szCs w:val="20"/>
        </w:rPr>
      </w:pPr>
      <w:r w:rsidRPr="00C46D0E">
        <w:rPr>
          <w:sz w:val="20"/>
          <w:szCs w:val="20"/>
        </w:rPr>
        <w:tab/>
        <w:t>Applicant’s name</w:t>
      </w:r>
    </w:p>
    <w:p w:rsidR="006957D0" w:rsidRPr="00C46D0E" w:rsidRDefault="006957D0" w:rsidP="00C46D0E">
      <w:pPr>
        <w:tabs>
          <w:tab w:val="left" w:pos="360"/>
          <w:tab w:val="left" w:pos="720"/>
          <w:tab w:val="left" w:pos="900"/>
          <w:tab w:val="left" w:pos="1080"/>
          <w:tab w:val="left" w:pos="1440"/>
        </w:tabs>
        <w:rPr>
          <w:sz w:val="20"/>
          <w:szCs w:val="20"/>
        </w:rPr>
      </w:pPr>
      <w:r w:rsidRPr="00C46D0E">
        <w:rPr>
          <w:sz w:val="20"/>
          <w:szCs w:val="20"/>
        </w:rPr>
        <w:tab/>
      </w:r>
      <w:r w:rsidR="00335830">
        <w:rPr>
          <w:sz w:val="20"/>
          <w:szCs w:val="20"/>
        </w:rPr>
        <w:t>Permanent b</w:t>
      </w:r>
      <w:r w:rsidRPr="00C46D0E">
        <w:rPr>
          <w:sz w:val="20"/>
          <w:szCs w:val="20"/>
        </w:rPr>
        <w:t>usiness mailing address</w:t>
      </w:r>
      <w:r w:rsidR="00335830">
        <w:rPr>
          <w:sz w:val="20"/>
          <w:szCs w:val="20"/>
        </w:rPr>
        <w:t>, including P.O. Box or street, city, state, zip code</w:t>
      </w:r>
    </w:p>
    <w:p w:rsidR="006957D0" w:rsidRPr="00C46D0E" w:rsidRDefault="006957D0" w:rsidP="00C46D0E">
      <w:pPr>
        <w:tabs>
          <w:tab w:val="left" w:pos="360"/>
          <w:tab w:val="left" w:pos="720"/>
          <w:tab w:val="left" w:pos="900"/>
          <w:tab w:val="left" w:pos="1080"/>
          <w:tab w:val="left" w:pos="1440"/>
        </w:tabs>
        <w:rPr>
          <w:sz w:val="20"/>
          <w:szCs w:val="20"/>
        </w:rPr>
      </w:pPr>
      <w:r w:rsidRPr="00C46D0E">
        <w:rPr>
          <w:sz w:val="20"/>
          <w:szCs w:val="20"/>
        </w:rPr>
        <w:tab/>
        <w:t>Business telephone number, business fax number, and business e-mail address</w:t>
      </w:r>
    </w:p>
    <w:p w:rsidR="006957D0" w:rsidRPr="00335830" w:rsidRDefault="00335830" w:rsidP="00C46D0E">
      <w:pPr>
        <w:tabs>
          <w:tab w:val="left" w:pos="360"/>
          <w:tab w:val="left" w:pos="720"/>
          <w:tab w:val="left" w:pos="900"/>
          <w:tab w:val="left" w:pos="1080"/>
          <w:tab w:val="left" w:pos="1440"/>
        </w:tabs>
        <w:rPr>
          <w:sz w:val="20"/>
          <w:szCs w:val="20"/>
          <w:u w:val="single"/>
        </w:rPr>
      </w:pPr>
      <w:r w:rsidRPr="00335830">
        <w:rPr>
          <w:sz w:val="20"/>
          <w:szCs w:val="20"/>
          <w:u w:val="single"/>
        </w:rPr>
        <w:t>Block C – C</w:t>
      </w:r>
      <w:r>
        <w:rPr>
          <w:sz w:val="20"/>
          <w:szCs w:val="20"/>
          <w:u w:val="single"/>
        </w:rPr>
        <w:t>ommunity CHP</w:t>
      </w:r>
      <w:r w:rsidRPr="00335830">
        <w:rPr>
          <w:sz w:val="20"/>
          <w:szCs w:val="20"/>
          <w:u w:val="single"/>
        </w:rPr>
        <w:t xml:space="preserve"> Request</w:t>
      </w:r>
    </w:p>
    <w:p w:rsidR="006957D0" w:rsidRPr="00C46D0E" w:rsidRDefault="006957D0" w:rsidP="00C46D0E">
      <w:pPr>
        <w:tabs>
          <w:tab w:val="left" w:pos="360"/>
          <w:tab w:val="left" w:pos="720"/>
          <w:tab w:val="left" w:pos="900"/>
          <w:tab w:val="left" w:pos="1080"/>
          <w:tab w:val="left" w:pos="1440"/>
        </w:tabs>
        <w:ind w:right="-1620"/>
        <w:rPr>
          <w:sz w:val="20"/>
          <w:szCs w:val="20"/>
        </w:rPr>
      </w:pPr>
      <w:r w:rsidRPr="00C46D0E">
        <w:rPr>
          <w:sz w:val="20"/>
          <w:szCs w:val="20"/>
        </w:rPr>
        <w:tab/>
      </w:r>
      <w:r w:rsidR="00335830">
        <w:rPr>
          <w:sz w:val="20"/>
          <w:szCs w:val="20"/>
        </w:rPr>
        <w:t>N</w:t>
      </w:r>
      <w:r w:rsidRPr="00C46D0E">
        <w:rPr>
          <w:sz w:val="20"/>
          <w:szCs w:val="20"/>
        </w:rPr>
        <w:t>ame(s) of the co</w:t>
      </w:r>
      <w:r w:rsidR="00335830">
        <w:rPr>
          <w:sz w:val="20"/>
          <w:szCs w:val="20"/>
        </w:rPr>
        <w:t>mmunity that the CQE represents</w:t>
      </w:r>
    </w:p>
    <w:p w:rsidR="006957D0" w:rsidRDefault="00335830" w:rsidP="00C46D0E">
      <w:pPr>
        <w:tabs>
          <w:tab w:val="left" w:pos="360"/>
          <w:tab w:val="left" w:pos="720"/>
          <w:tab w:val="left" w:pos="900"/>
          <w:tab w:val="left" w:pos="1080"/>
          <w:tab w:val="left" w:pos="1440"/>
        </w:tabs>
        <w:ind w:right="-1620"/>
        <w:rPr>
          <w:sz w:val="20"/>
          <w:szCs w:val="20"/>
        </w:rPr>
      </w:pPr>
      <w:r>
        <w:rPr>
          <w:sz w:val="20"/>
          <w:szCs w:val="20"/>
        </w:rPr>
        <w:tab/>
      </w:r>
      <w:r w:rsidR="006957D0" w:rsidRPr="00C46D0E">
        <w:rPr>
          <w:sz w:val="20"/>
          <w:szCs w:val="20"/>
        </w:rPr>
        <w:t xml:space="preserve">List the number of </w:t>
      </w:r>
      <w:r w:rsidR="009E2BF5">
        <w:rPr>
          <w:sz w:val="20"/>
          <w:szCs w:val="20"/>
        </w:rPr>
        <w:t>CHPs</w:t>
      </w:r>
      <w:r w:rsidR="006957D0" w:rsidRPr="00C46D0E">
        <w:rPr>
          <w:sz w:val="20"/>
          <w:szCs w:val="20"/>
        </w:rPr>
        <w:t xml:space="preserve"> </w:t>
      </w:r>
      <w:r>
        <w:rPr>
          <w:sz w:val="20"/>
          <w:szCs w:val="20"/>
        </w:rPr>
        <w:t>request</w:t>
      </w:r>
      <w:r w:rsidR="0054291E">
        <w:rPr>
          <w:sz w:val="20"/>
          <w:szCs w:val="20"/>
        </w:rPr>
        <w:t>ed</w:t>
      </w:r>
      <w:r>
        <w:rPr>
          <w:sz w:val="20"/>
          <w:szCs w:val="20"/>
        </w:rPr>
        <w:t xml:space="preserve"> for this community</w:t>
      </w:r>
    </w:p>
    <w:p w:rsidR="006957D0" w:rsidRPr="00C46D0E" w:rsidRDefault="00335830" w:rsidP="00335830">
      <w:pPr>
        <w:tabs>
          <w:tab w:val="left" w:pos="360"/>
          <w:tab w:val="left" w:pos="720"/>
          <w:tab w:val="left" w:pos="900"/>
          <w:tab w:val="left" w:pos="1080"/>
          <w:tab w:val="left" w:pos="1440"/>
        </w:tabs>
        <w:ind w:right="-1620"/>
        <w:rPr>
          <w:color w:val="000000"/>
          <w:sz w:val="20"/>
          <w:szCs w:val="20"/>
        </w:rPr>
      </w:pPr>
      <w:r>
        <w:rPr>
          <w:sz w:val="20"/>
          <w:szCs w:val="20"/>
        </w:rPr>
        <w:tab/>
      </w:r>
      <w:r w:rsidR="006957D0" w:rsidRPr="00C46D0E">
        <w:rPr>
          <w:color w:val="000000"/>
          <w:sz w:val="20"/>
          <w:szCs w:val="20"/>
        </w:rPr>
        <w:t>List location boundaries of community, including latitude and longitude, where all trips w</w:t>
      </w:r>
      <w:r>
        <w:rPr>
          <w:color w:val="000000"/>
          <w:sz w:val="20"/>
          <w:szCs w:val="20"/>
        </w:rPr>
        <w:t>ill begin or end</w:t>
      </w:r>
    </w:p>
    <w:p w:rsidR="006957D0" w:rsidRPr="00335830" w:rsidRDefault="00335830" w:rsidP="00C46D0E">
      <w:pPr>
        <w:tabs>
          <w:tab w:val="left" w:pos="360"/>
          <w:tab w:val="left" w:pos="720"/>
          <w:tab w:val="left" w:pos="900"/>
          <w:tab w:val="left" w:pos="1080"/>
          <w:tab w:val="left" w:pos="1440"/>
        </w:tabs>
        <w:rPr>
          <w:sz w:val="20"/>
          <w:szCs w:val="20"/>
          <w:u w:val="single"/>
        </w:rPr>
      </w:pPr>
      <w:r w:rsidRPr="00335830">
        <w:rPr>
          <w:sz w:val="20"/>
          <w:szCs w:val="20"/>
          <w:u w:val="single"/>
        </w:rPr>
        <w:t xml:space="preserve">Block </w:t>
      </w:r>
      <w:proofErr w:type="gramStart"/>
      <w:r w:rsidRPr="00335830">
        <w:rPr>
          <w:sz w:val="20"/>
          <w:szCs w:val="20"/>
          <w:u w:val="single"/>
        </w:rPr>
        <w:t>D  –</w:t>
      </w:r>
      <w:proofErr w:type="gramEnd"/>
      <w:r w:rsidRPr="00335830">
        <w:rPr>
          <w:sz w:val="20"/>
          <w:szCs w:val="20"/>
          <w:u w:val="single"/>
        </w:rPr>
        <w:t xml:space="preserve"> C</w:t>
      </w:r>
      <w:r>
        <w:rPr>
          <w:sz w:val="20"/>
          <w:szCs w:val="20"/>
          <w:u w:val="single"/>
        </w:rPr>
        <w:t>QE</w:t>
      </w:r>
      <w:r w:rsidRPr="00335830">
        <w:rPr>
          <w:sz w:val="20"/>
          <w:szCs w:val="20"/>
          <w:u w:val="single"/>
        </w:rPr>
        <w:t xml:space="preserve"> Applicant Signature</w:t>
      </w:r>
    </w:p>
    <w:p w:rsidR="00335830" w:rsidRDefault="00335830" w:rsidP="00C46D0E">
      <w:pPr>
        <w:tabs>
          <w:tab w:val="left" w:pos="360"/>
          <w:tab w:val="left" w:pos="720"/>
          <w:tab w:val="left" w:pos="1080"/>
          <w:tab w:val="left" w:pos="1440"/>
        </w:tabs>
        <w:rPr>
          <w:sz w:val="20"/>
          <w:szCs w:val="20"/>
        </w:rPr>
      </w:pPr>
      <w:r>
        <w:rPr>
          <w:sz w:val="20"/>
          <w:szCs w:val="20"/>
        </w:rPr>
        <w:tab/>
        <w:t>P</w:t>
      </w:r>
      <w:r w:rsidR="006957D0" w:rsidRPr="00C46D0E">
        <w:rPr>
          <w:sz w:val="20"/>
          <w:szCs w:val="20"/>
        </w:rPr>
        <w:t>rint name</w:t>
      </w:r>
      <w:r>
        <w:rPr>
          <w:sz w:val="20"/>
          <w:szCs w:val="20"/>
        </w:rPr>
        <w:t xml:space="preserve"> and </w:t>
      </w:r>
      <w:r w:rsidR="006957D0" w:rsidRPr="00C46D0E">
        <w:rPr>
          <w:sz w:val="20"/>
          <w:szCs w:val="20"/>
        </w:rPr>
        <w:t>title,</w:t>
      </w:r>
      <w:r>
        <w:rPr>
          <w:sz w:val="20"/>
          <w:szCs w:val="20"/>
        </w:rPr>
        <w:t xml:space="preserve"> </w:t>
      </w:r>
      <w:r w:rsidR="006957D0" w:rsidRPr="00C46D0E">
        <w:rPr>
          <w:sz w:val="20"/>
          <w:szCs w:val="20"/>
        </w:rPr>
        <w:t>sign</w:t>
      </w:r>
      <w:r>
        <w:rPr>
          <w:sz w:val="20"/>
          <w:szCs w:val="20"/>
        </w:rPr>
        <w:t>ature</w:t>
      </w:r>
      <w:r w:rsidR="006957D0" w:rsidRPr="00C46D0E">
        <w:rPr>
          <w:sz w:val="20"/>
          <w:szCs w:val="20"/>
        </w:rPr>
        <w:t xml:space="preserve"> and date </w:t>
      </w:r>
      <w:r>
        <w:rPr>
          <w:sz w:val="20"/>
          <w:szCs w:val="20"/>
        </w:rPr>
        <w:t>signed</w:t>
      </w:r>
    </w:p>
    <w:p w:rsidR="006957D0" w:rsidRPr="00C46D0E" w:rsidRDefault="00335830" w:rsidP="00C46D0E">
      <w:pPr>
        <w:tabs>
          <w:tab w:val="left" w:pos="360"/>
          <w:tab w:val="left" w:pos="720"/>
          <w:tab w:val="left" w:pos="1080"/>
          <w:tab w:val="left" w:pos="1440"/>
        </w:tabs>
        <w:rPr>
          <w:sz w:val="20"/>
          <w:szCs w:val="20"/>
        </w:rPr>
      </w:pPr>
      <w:r>
        <w:rPr>
          <w:sz w:val="20"/>
          <w:szCs w:val="20"/>
        </w:rPr>
        <w:tab/>
        <w:t>M</w:t>
      </w:r>
      <w:r w:rsidR="006957D0" w:rsidRPr="00C46D0E">
        <w:rPr>
          <w:sz w:val="20"/>
          <w:szCs w:val="20"/>
        </w:rPr>
        <w:t>ay be required to provid</w:t>
      </w:r>
      <w:r>
        <w:rPr>
          <w:sz w:val="20"/>
          <w:szCs w:val="20"/>
        </w:rPr>
        <w:t>e documentation demonstrate authori</w:t>
      </w:r>
      <w:r w:rsidR="0054291E">
        <w:rPr>
          <w:sz w:val="20"/>
          <w:szCs w:val="20"/>
        </w:rPr>
        <w:t>zation</w:t>
      </w:r>
    </w:p>
    <w:p w:rsidR="00024E3D" w:rsidRDefault="00024E3D" w:rsidP="00024E3D">
      <w:pPr>
        <w:numPr>
          <w:ilvl w:val="12"/>
          <w:numId w:val="0"/>
        </w:numPr>
        <w:tabs>
          <w:tab w:val="left" w:pos="-1560"/>
          <w:tab w:val="left" w:pos="-780"/>
          <w:tab w:val="left" w:pos="-120"/>
          <w:tab w:val="left" w:pos="360"/>
          <w:tab w:val="left" w:pos="720"/>
          <w:tab w:val="left" w:pos="1080"/>
          <w:tab w:val="left" w:pos="144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s>
        <w:jc w:val="both"/>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024E3D" w:rsidRPr="00D7184F" w:rsidTr="00024E3D">
        <w:trPr>
          <w:jc w:val="center"/>
        </w:trPr>
        <w:tc>
          <w:tcPr>
            <w:tcW w:w="4986" w:type="dxa"/>
            <w:gridSpan w:val="2"/>
          </w:tcPr>
          <w:p w:rsidR="00024E3D" w:rsidRPr="00D7184F" w:rsidRDefault="00024E3D" w:rsidP="00B5270F">
            <w:pPr>
              <w:keepNext/>
              <w:rPr>
                <w:b/>
                <w:sz w:val="20"/>
                <w:szCs w:val="20"/>
              </w:rPr>
            </w:pPr>
            <w:r>
              <w:rPr>
                <w:b/>
                <w:sz w:val="20"/>
                <w:szCs w:val="20"/>
              </w:rPr>
              <w:t>Application for Community C</w:t>
            </w:r>
            <w:r w:rsidR="00E83362">
              <w:rPr>
                <w:b/>
                <w:sz w:val="20"/>
                <w:szCs w:val="20"/>
              </w:rPr>
              <w:t>HP</w:t>
            </w:r>
            <w:r w:rsidRPr="00D7184F">
              <w:rPr>
                <w:b/>
                <w:sz w:val="20"/>
                <w:szCs w:val="20"/>
              </w:rPr>
              <w:t>, Respondent</w:t>
            </w:r>
          </w:p>
        </w:tc>
      </w:tr>
      <w:tr w:rsidR="00024E3D" w:rsidRPr="00D7184F" w:rsidTr="00024E3D">
        <w:trPr>
          <w:jc w:val="center"/>
        </w:trPr>
        <w:tc>
          <w:tcPr>
            <w:tcW w:w="3933" w:type="dxa"/>
          </w:tcPr>
          <w:p w:rsidR="00E83362" w:rsidRPr="007B3DA0" w:rsidRDefault="00024E3D" w:rsidP="00742A9E">
            <w:pPr>
              <w:keepNext/>
              <w:rPr>
                <w:b/>
                <w:sz w:val="20"/>
                <w:szCs w:val="20"/>
              </w:rPr>
            </w:pPr>
            <w:r w:rsidRPr="00AF5BFB">
              <w:rPr>
                <w:b/>
                <w:sz w:val="20"/>
                <w:szCs w:val="20"/>
              </w:rPr>
              <w:t>Estimated number of respondents</w:t>
            </w:r>
          </w:p>
          <w:p w:rsidR="00024E3D" w:rsidRPr="00AF5BFB" w:rsidRDefault="00024E3D" w:rsidP="00742A9E">
            <w:pPr>
              <w:keepNext/>
              <w:rPr>
                <w:b/>
                <w:sz w:val="20"/>
                <w:szCs w:val="20"/>
              </w:rPr>
            </w:pPr>
            <w:r w:rsidRPr="00AF5BFB">
              <w:rPr>
                <w:b/>
                <w:sz w:val="20"/>
                <w:szCs w:val="20"/>
              </w:rPr>
              <w:t>Total annual responses</w:t>
            </w:r>
          </w:p>
          <w:p w:rsidR="00024E3D" w:rsidRPr="00D7184F" w:rsidRDefault="00024E3D" w:rsidP="00742A9E">
            <w:pPr>
              <w:keepNext/>
              <w:rPr>
                <w:sz w:val="20"/>
                <w:szCs w:val="20"/>
              </w:rPr>
            </w:pPr>
            <w:r w:rsidRPr="00D7184F">
              <w:rPr>
                <w:sz w:val="20"/>
                <w:szCs w:val="20"/>
              </w:rPr>
              <w:t xml:space="preserve">   Response per respondent =</w:t>
            </w:r>
            <w:r>
              <w:rPr>
                <w:sz w:val="20"/>
                <w:szCs w:val="20"/>
              </w:rPr>
              <w:t xml:space="preserve"> 1</w:t>
            </w:r>
            <w:r w:rsidRPr="00D7184F">
              <w:rPr>
                <w:sz w:val="20"/>
                <w:szCs w:val="20"/>
              </w:rPr>
              <w:t xml:space="preserve"> </w:t>
            </w:r>
          </w:p>
          <w:p w:rsidR="00024E3D" w:rsidRPr="00D7184F" w:rsidRDefault="00024E3D" w:rsidP="00742A9E">
            <w:pPr>
              <w:keepNext/>
              <w:rPr>
                <w:b/>
                <w:sz w:val="20"/>
                <w:szCs w:val="20"/>
              </w:rPr>
            </w:pPr>
            <w:r w:rsidRPr="00D7184F">
              <w:rPr>
                <w:b/>
                <w:sz w:val="20"/>
                <w:szCs w:val="20"/>
              </w:rPr>
              <w:t>Total burden hours</w:t>
            </w:r>
          </w:p>
          <w:p w:rsidR="00024E3D" w:rsidRDefault="00024E3D" w:rsidP="00742A9E">
            <w:pPr>
              <w:keepNext/>
              <w:rPr>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sidR="007B3DA0">
              <w:rPr>
                <w:sz w:val="20"/>
                <w:szCs w:val="20"/>
              </w:rPr>
              <w:t>1 hr</w:t>
            </w:r>
          </w:p>
          <w:p w:rsidR="00024E3D" w:rsidRPr="00D7184F" w:rsidRDefault="00024E3D" w:rsidP="00742A9E">
            <w:pPr>
              <w:keepNext/>
              <w:rPr>
                <w:sz w:val="20"/>
                <w:szCs w:val="20"/>
              </w:rPr>
            </w:pPr>
            <w:r w:rsidRPr="00D7184F">
              <w:rPr>
                <w:b/>
                <w:sz w:val="20"/>
                <w:szCs w:val="20"/>
              </w:rPr>
              <w:t xml:space="preserve">Total personnel cost </w:t>
            </w:r>
            <w:r w:rsidRPr="00D7184F">
              <w:rPr>
                <w:sz w:val="20"/>
                <w:szCs w:val="20"/>
              </w:rPr>
              <w:t xml:space="preserve">= </w:t>
            </w:r>
            <w:r>
              <w:rPr>
                <w:sz w:val="20"/>
                <w:szCs w:val="20"/>
              </w:rPr>
              <w:t>$25/hr</w:t>
            </w:r>
          </w:p>
          <w:p w:rsidR="00024E3D" w:rsidRDefault="00024E3D" w:rsidP="00742A9E">
            <w:pPr>
              <w:keepNext/>
              <w:rPr>
                <w:sz w:val="20"/>
                <w:szCs w:val="20"/>
              </w:rPr>
            </w:pPr>
            <w:r w:rsidRPr="00D7184F">
              <w:rPr>
                <w:b/>
                <w:sz w:val="20"/>
                <w:szCs w:val="20"/>
              </w:rPr>
              <w:t xml:space="preserve">Total miscellaneous costs </w:t>
            </w:r>
            <w:r w:rsidRPr="00B15C34">
              <w:rPr>
                <w:sz w:val="20"/>
                <w:szCs w:val="20"/>
              </w:rPr>
              <w:t>(</w:t>
            </w:r>
            <w:r w:rsidR="00753672">
              <w:rPr>
                <w:sz w:val="20"/>
                <w:szCs w:val="20"/>
              </w:rPr>
              <w:t>20.80)</w:t>
            </w:r>
          </w:p>
          <w:p w:rsidR="00024E3D" w:rsidRDefault="00024E3D" w:rsidP="00742A9E">
            <w:pPr>
              <w:keepNext/>
              <w:rPr>
                <w:sz w:val="20"/>
                <w:szCs w:val="20"/>
              </w:rPr>
            </w:pPr>
            <w:r w:rsidRPr="00D7184F">
              <w:rPr>
                <w:sz w:val="20"/>
                <w:szCs w:val="20"/>
              </w:rPr>
              <w:t xml:space="preserve">   Photocopy</w:t>
            </w:r>
            <w:r w:rsidR="00987283">
              <w:rPr>
                <w:sz w:val="20"/>
                <w:szCs w:val="20"/>
              </w:rPr>
              <w:t xml:space="preserve"> (4</w:t>
            </w:r>
            <w:r>
              <w:rPr>
                <w:sz w:val="20"/>
                <w:szCs w:val="20"/>
              </w:rPr>
              <w:t xml:space="preserve">pp x .05 x </w:t>
            </w:r>
            <w:r w:rsidR="00753672">
              <w:rPr>
                <w:sz w:val="20"/>
                <w:szCs w:val="20"/>
              </w:rPr>
              <w:t>32</w:t>
            </w:r>
            <w:r w:rsidR="00987283">
              <w:rPr>
                <w:sz w:val="20"/>
                <w:szCs w:val="20"/>
              </w:rPr>
              <w:t xml:space="preserve"> = </w:t>
            </w:r>
            <w:r w:rsidR="00753672">
              <w:rPr>
                <w:sz w:val="20"/>
                <w:szCs w:val="20"/>
              </w:rPr>
              <w:t>6.40</w:t>
            </w:r>
            <w:r w:rsidR="00987283">
              <w:rPr>
                <w:sz w:val="20"/>
                <w:szCs w:val="20"/>
              </w:rPr>
              <w:t>)</w:t>
            </w:r>
          </w:p>
          <w:p w:rsidR="00024E3D" w:rsidRPr="00987283" w:rsidRDefault="00024E3D" w:rsidP="00742A9E">
            <w:pPr>
              <w:keepNext/>
              <w:rPr>
                <w:sz w:val="20"/>
                <w:szCs w:val="20"/>
              </w:rPr>
            </w:pPr>
            <w:r w:rsidRPr="00D7184F">
              <w:rPr>
                <w:sz w:val="20"/>
                <w:szCs w:val="20"/>
              </w:rPr>
              <w:t xml:space="preserve">   Postage</w:t>
            </w:r>
            <w:r>
              <w:rPr>
                <w:sz w:val="20"/>
                <w:szCs w:val="20"/>
              </w:rPr>
              <w:t xml:space="preserve"> (0.45 x</w:t>
            </w:r>
            <w:r w:rsidR="00987283">
              <w:rPr>
                <w:sz w:val="20"/>
                <w:szCs w:val="20"/>
              </w:rPr>
              <w:t xml:space="preserve"> </w:t>
            </w:r>
            <w:r w:rsidR="00753672">
              <w:rPr>
                <w:sz w:val="20"/>
                <w:szCs w:val="20"/>
              </w:rPr>
              <w:t xml:space="preserve">32 </w:t>
            </w:r>
            <w:r w:rsidR="00987283">
              <w:rPr>
                <w:sz w:val="20"/>
                <w:szCs w:val="20"/>
              </w:rPr>
              <w:t xml:space="preserve">= </w:t>
            </w:r>
            <w:r w:rsidR="00753672">
              <w:rPr>
                <w:sz w:val="20"/>
                <w:szCs w:val="20"/>
              </w:rPr>
              <w:t>14.40</w:t>
            </w:r>
            <w:r w:rsidR="00987283">
              <w:rPr>
                <w:sz w:val="20"/>
                <w:szCs w:val="20"/>
              </w:rPr>
              <w:t>)</w:t>
            </w:r>
            <w:r>
              <w:rPr>
                <w:sz w:val="20"/>
                <w:szCs w:val="20"/>
              </w:rPr>
              <w:t xml:space="preserve"> </w:t>
            </w:r>
          </w:p>
        </w:tc>
        <w:tc>
          <w:tcPr>
            <w:tcW w:w="1053" w:type="dxa"/>
          </w:tcPr>
          <w:p w:rsidR="00024E3D" w:rsidRDefault="00A86541" w:rsidP="00742A9E">
            <w:pPr>
              <w:keepNext/>
              <w:jc w:val="right"/>
              <w:rPr>
                <w:b/>
                <w:sz w:val="20"/>
                <w:szCs w:val="20"/>
              </w:rPr>
            </w:pPr>
            <w:r>
              <w:rPr>
                <w:b/>
                <w:sz w:val="20"/>
                <w:szCs w:val="20"/>
              </w:rPr>
              <w:t>32</w:t>
            </w:r>
          </w:p>
          <w:p w:rsidR="007B3DA0" w:rsidRDefault="00A86541" w:rsidP="00742A9E">
            <w:pPr>
              <w:keepNext/>
              <w:jc w:val="right"/>
              <w:rPr>
                <w:b/>
                <w:sz w:val="20"/>
                <w:szCs w:val="20"/>
              </w:rPr>
            </w:pPr>
            <w:r>
              <w:rPr>
                <w:b/>
                <w:sz w:val="20"/>
                <w:szCs w:val="20"/>
              </w:rPr>
              <w:t>32</w:t>
            </w:r>
          </w:p>
          <w:p w:rsidR="00024E3D" w:rsidRDefault="00024E3D" w:rsidP="00742A9E">
            <w:pPr>
              <w:keepNext/>
              <w:jc w:val="right"/>
              <w:rPr>
                <w:b/>
                <w:sz w:val="20"/>
                <w:szCs w:val="20"/>
              </w:rPr>
            </w:pPr>
          </w:p>
          <w:p w:rsidR="00024E3D" w:rsidRDefault="00A86541" w:rsidP="00742A9E">
            <w:pPr>
              <w:keepNext/>
              <w:jc w:val="right"/>
              <w:rPr>
                <w:b/>
                <w:sz w:val="20"/>
                <w:szCs w:val="20"/>
              </w:rPr>
            </w:pPr>
            <w:r>
              <w:rPr>
                <w:b/>
                <w:sz w:val="20"/>
                <w:szCs w:val="20"/>
              </w:rPr>
              <w:t xml:space="preserve">32 </w:t>
            </w:r>
            <w:r w:rsidR="007B3DA0">
              <w:rPr>
                <w:b/>
                <w:sz w:val="20"/>
                <w:szCs w:val="20"/>
              </w:rPr>
              <w:t>hr</w:t>
            </w:r>
          </w:p>
          <w:p w:rsidR="007B3DA0" w:rsidRDefault="007B3DA0" w:rsidP="00742A9E">
            <w:pPr>
              <w:keepNext/>
              <w:jc w:val="right"/>
              <w:rPr>
                <w:b/>
                <w:sz w:val="20"/>
                <w:szCs w:val="20"/>
              </w:rPr>
            </w:pPr>
          </w:p>
          <w:p w:rsidR="007B3DA0" w:rsidRDefault="007B3DA0" w:rsidP="00742A9E">
            <w:pPr>
              <w:keepNext/>
              <w:jc w:val="right"/>
              <w:rPr>
                <w:b/>
                <w:sz w:val="20"/>
                <w:szCs w:val="20"/>
              </w:rPr>
            </w:pPr>
            <w:r>
              <w:rPr>
                <w:b/>
                <w:sz w:val="20"/>
                <w:szCs w:val="20"/>
              </w:rPr>
              <w:t>$</w:t>
            </w:r>
            <w:r w:rsidR="00A86541">
              <w:rPr>
                <w:b/>
                <w:sz w:val="20"/>
                <w:szCs w:val="20"/>
              </w:rPr>
              <w:t>800</w:t>
            </w:r>
          </w:p>
          <w:p w:rsidR="007B3DA0" w:rsidRPr="00AF5BFB" w:rsidRDefault="007B3DA0" w:rsidP="00742A9E">
            <w:pPr>
              <w:keepNext/>
              <w:jc w:val="right"/>
              <w:rPr>
                <w:b/>
                <w:sz w:val="20"/>
                <w:szCs w:val="20"/>
              </w:rPr>
            </w:pPr>
            <w:r>
              <w:rPr>
                <w:b/>
                <w:sz w:val="20"/>
                <w:szCs w:val="20"/>
              </w:rPr>
              <w:t>$</w:t>
            </w:r>
            <w:r w:rsidR="00753672">
              <w:rPr>
                <w:b/>
                <w:sz w:val="20"/>
                <w:szCs w:val="20"/>
              </w:rPr>
              <w:t>21</w:t>
            </w:r>
          </w:p>
        </w:tc>
      </w:tr>
    </w:tbl>
    <w:p w:rsidR="00D54B1C" w:rsidRDefault="00D54B1C" w:rsidP="00024E3D">
      <w:pPr>
        <w:tabs>
          <w:tab w:val="left" w:pos="2112"/>
        </w:tabs>
        <w:rPr>
          <w:sz w:val="20"/>
          <w:szCs w:val="20"/>
        </w:rPr>
      </w:pPr>
    </w:p>
    <w:p w:rsidR="00E82788" w:rsidRDefault="00E82788" w:rsidP="00024E3D">
      <w:pPr>
        <w:tabs>
          <w:tab w:val="left" w:pos="2112"/>
        </w:tabs>
        <w:rPr>
          <w:sz w:val="20"/>
          <w:szCs w:val="20"/>
        </w:rPr>
      </w:pPr>
    </w:p>
    <w:p w:rsidR="00E82788" w:rsidRDefault="00E82788" w:rsidP="00024E3D">
      <w:pPr>
        <w:tabs>
          <w:tab w:val="left" w:pos="2112"/>
        </w:tabs>
        <w:rPr>
          <w:sz w:val="20"/>
          <w:szCs w:val="20"/>
        </w:rPr>
      </w:pPr>
    </w:p>
    <w:p w:rsidR="00E82788" w:rsidRDefault="00E82788" w:rsidP="00024E3D">
      <w:pPr>
        <w:tabs>
          <w:tab w:val="left" w:pos="2112"/>
        </w:tabs>
        <w:rPr>
          <w:sz w:val="20"/>
          <w:szCs w:val="20"/>
        </w:rPr>
      </w:pPr>
    </w:p>
    <w:p w:rsidR="00E82788" w:rsidRDefault="00E82788" w:rsidP="00024E3D">
      <w:pPr>
        <w:tabs>
          <w:tab w:val="left" w:pos="2112"/>
        </w:tabs>
        <w:rPr>
          <w:sz w:val="20"/>
          <w:szCs w:val="20"/>
        </w:rPr>
      </w:pPr>
    </w:p>
    <w:p w:rsidR="00E82788" w:rsidRDefault="00E82788">
      <w:pPr>
        <w:spacing w:after="200" w:line="276" w:lineRule="auto"/>
        <w:rPr>
          <w:sz w:val="20"/>
          <w:szCs w:val="20"/>
        </w:rPr>
      </w:pPr>
      <w:r>
        <w:rPr>
          <w:sz w:val="20"/>
          <w:szCs w:val="20"/>
        </w:rPr>
        <w:br w:type="page"/>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024E3D" w:rsidRPr="00D7184F" w:rsidTr="00024E3D">
        <w:trPr>
          <w:jc w:val="center"/>
        </w:trPr>
        <w:tc>
          <w:tcPr>
            <w:tcW w:w="4995" w:type="dxa"/>
            <w:gridSpan w:val="2"/>
          </w:tcPr>
          <w:p w:rsidR="00024E3D" w:rsidRPr="00D7184F" w:rsidRDefault="00024E3D" w:rsidP="00B5270F">
            <w:pPr>
              <w:rPr>
                <w:b/>
                <w:sz w:val="20"/>
                <w:szCs w:val="20"/>
              </w:rPr>
            </w:pPr>
            <w:r>
              <w:rPr>
                <w:b/>
                <w:sz w:val="20"/>
                <w:szCs w:val="20"/>
              </w:rPr>
              <w:lastRenderedPageBreak/>
              <w:t>Application for Community Charter</w:t>
            </w:r>
            <w:r w:rsidRPr="00D7184F">
              <w:rPr>
                <w:b/>
                <w:sz w:val="20"/>
                <w:szCs w:val="20"/>
              </w:rPr>
              <w:t>,  Federal Government</w:t>
            </w:r>
          </w:p>
        </w:tc>
      </w:tr>
      <w:tr w:rsidR="00024E3D" w:rsidRPr="00D7184F" w:rsidTr="00024E3D">
        <w:trPr>
          <w:jc w:val="center"/>
        </w:trPr>
        <w:tc>
          <w:tcPr>
            <w:tcW w:w="3938" w:type="dxa"/>
          </w:tcPr>
          <w:p w:rsidR="00024E3D" w:rsidRPr="00D7184F" w:rsidRDefault="00024E3D" w:rsidP="00024E3D">
            <w:pPr>
              <w:rPr>
                <w:b/>
                <w:sz w:val="20"/>
                <w:szCs w:val="20"/>
              </w:rPr>
            </w:pPr>
            <w:r w:rsidRPr="00D7184F">
              <w:rPr>
                <w:b/>
                <w:sz w:val="20"/>
                <w:szCs w:val="20"/>
              </w:rPr>
              <w:t>Total annual responses</w:t>
            </w:r>
          </w:p>
          <w:p w:rsidR="00024E3D" w:rsidRPr="00D7184F" w:rsidRDefault="00024E3D" w:rsidP="00024E3D">
            <w:pPr>
              <w:rPr>
                <w:sz w:val="20"/>
                <w:szCs w:val="20"/>
              </w:rPr>
            </w:pPr>
            <w:r w:rsidRPr="00D7184F">
              <w:rPr>
                <w:b/>
                <w:sz w:val="20"/>
                <w:szCs w:val="20"/>
              </w:rPr>
              <w:t xml:space="preserve">Total burden hours </w:t>
            </w:r>
            <w:r w:rsidR="00DB38FF">
              <w:rPr>
                <w:sz w:val="20"/>
                <w:szCs w:val="20"/>
              </w:rPr>
              <w:t>(30 minutes)</w:t>
            </w:r>
          </w:p>
          <w:p w:rsidR="00024E3D" w:rsidRPr="00D7184F" w:rsidRDefault="00024E3D" w:rsidP="00024E3D">
            <w:pPr>
              <w:rPr>
                <w:sz w:val="20"/>
                <w:szCs w:val="20"/>
              </w:rPr>
            </w:pPr>
            <w:r w:rsidRPr="00D7184F">
              <w:rPr>
                <w:b/>
                <w:sz w:val="20"/>
                <w:szCs w:val="20"/>
              </w:rPr>
              <w:t xml:space="preserve">Total personnel cost </w:t>
            </w:r>
            <w:r w:rsidRPr="00D7184F">
              <w:rPr>
                <w:sz w:val="20"/>
                <w:szCs w:val="20"/>
              </w:rPr>
              <w:t>=</w:t>
            </w:r>
            <w:r>
              <w:rPr>
                <w:sz w:val="20"/>
                <w:szCs w:val="20"/>
              </w:rPr>
              <w:t xml:space="preserve"> $25/hr</w:t>
            </w:r>
          </w:p>
          <w:p w:rsidR="00024E3D" w:rsidRPr="00D7184F" w:rsidRDefault="00024E3D" w:rsidP="00024E3D">
            <w:pPr>
              <w:rPr>
                <w:sz w:val="20"/>
                <w:szCs w:val="20"/>
              </w:rPr>
            </w:pPr>
            <w:r w:rsidRPr="00D7184F">
              <w:rPr>
                <w:b/>
                <w:sz w:val="20"/>
                <w:szCs w:val="20"/>
              </w:rPr>
              <w:t>Total miscellaneous cost</w:t>
            </w:r>
            <w:r w:rsidRPr="00D7184F">
              <w:rPr>
                <w:sz w:val="20"/>
                <w:szCs w:val="20"/>
              </w:rPr>
              <w:t xml:space="preserve">   </w:t>
            </w:r>
          </w:p>
        </w:tc>
        <w:tc>
          <w:tcPr>
            <w:tcW w:w="1057" w:type="dxa"/>
          </w:tcPr>
          <w:p w:rsidR="00024E3D" w:rsidRDefault="008D7BF1" w:rsidP="00024E3D">
            <w:pPr>
              <w:jc w:val="right"/>
              <w:rPr>
                <w:b/>
                <w:sz w:val="20"/>
                <w:szCs w:val="20"/>
              </w:rPr>
            </w:pPr>
            <w:r>
              <w:rPr>
                <w:b/>
                <w:sz w:val="20"/>
                <w:szCs w:val="20"/>
              </w:rPr>
              <w:t>32</w:t>
            </w:r>
          </w:p>
          <w:p w:rsidR="007B3DA0" w:rsidRDefault="008D7BF1" w:rsidP="00024E3D">
            <w:pPr>
              <w:jc w:val="right"/>
              <w:rPr>
                <w:b/>
                <w:sz w:val="20"/>
                <w:szCs w:val="20"/>
              </w:rPr>
            </w:pPr>
            <w:r>
              <w:rPr>
                <w:b/>
                <w:sz w:val="20"/>
                <w:szCs w:val="20"/>
              </w:rPr>
              <w:t xml:space="preserve">16 </w:t>
            </w:r>
            <w:r w:rsidR="00DB38FF">
              <w:rPr>
                <w:b/>
                <w:sz w:val="20"/>
                <w:szCs w:val="20"/>
              </w:rPr>
              <w:t>hr</w:t>
            </w:r>
          </w:p>
          <w:p w:rsidR="007B3DA0" w:rsidRDefault="007B3DA0" w:rsidP="00024E3D">
            <w:pPr>
              <w:jc w:val="right"/>
              <w:rPr>
                <w:b/>
                <w:sz w:val="20"/>
                <w:szCs w:val="20"/>
              </w:rPr>
            </w:pPr>
            <w:r>
              <w:rPr>
                <w:b/>
                <w:sz w:val="20"/>
                <w:szCs w:val="20"/>
              </w:rPr>
              <w:t>$</w:t>
            </w:r>
            <w:r w:rsidR="008D7BF1">
              <w:rPr>
                <w:b/>
                <w:sz w:val="20"/>
                <w:szCs w:val="20"/>
              </w:rPr>
              <w:t>400</w:t>
            </w:r>
          </w:p>
          <w:p w:rsidR="007B3DA0" w:rsidRPr="00D7184F" w:rsidRDefault="007B3DA0" w:rsidP="00024E3D">
            <w:pPr>
              <w:jc w:val="right"/>
              <w:rPr>
                <w:b/>
                <w:sz w:val="20"/>
                <w:szCs w:val="20"/>
              </w:rPr>
            </w:pPr>
            <w:r>
              <w:rPr>
                <w:b/>
                <w:sz w:val="20"/>
                <w:szCs w:val="20"/>
              </w:rPr>
              <w:t>0</w:t>
            </w:r>
          </w:p>
        </w:tc>
      </w:tr>
    </w:tbl>
    <w:p w:rsidR="00024E3D" w:rsidRDefault="00024E3D" w:rsidP="00024E3D">
      <w:pPr>
        <w:tabs>
          <w:tab w:val="left" w:pos="360"/>
          <w:tab w:val="left" w:pos="720"/>
          <w:tab w:val="left" w:pos="1080"/>
        </w:tabs>
        <w:ind w:left="720" w:hanging="720"/>
        <w:rPr>
          <w:sz w:val="20"/>
          <w:szCs w:val="20"/>
        </w:rPr>
      </w:pPr>
    </w:p>
    <w:p w:rsidR="006016EF" w:rsidRDefault="006016EF" w:rsidP="00742A9E">
      <w:pPr>
        <w:rPr>
          <w:b/>
        </w:rPr>
      </w:pPr>
    </w:p>
    <w:p w:rsidR="00433917" w:rsidRDefault="005F1D91" w:rsidP="00742A9E">
      <w:pPr>
        <w:rPr>
          <w:b/>
        </w:rPr>
      </w:pPr>
      <w:proofErr w:type="gramStart"/>
      <w:r>
        <w:rPr>
          <w:b/>
        </w:rPr>
        <w:t>e</w:t>
      </w:r>
      <w:r w:rsidR="00433917" w:rsidRPr="00D33C23">
        <w:rPr>
          <w:b/>
        </w:rPr>
        <w:t>.  Application</w:t>
      </w:r>
      <w:proofErr w:type="gramEnd"/>
      <w:r w:rsidR="00433917" w:rsidRPr="00D33C23">
        <w:rPr>
          <w:b/>
        </w:rPr>
        <w:t xml:space="preserve"> for a CQE to Receive a Non-trawl Groundfish</w:t>
      </w:r>
      <w:r w:rsidR="00433917">
        <w:rPr>
          <w:b/>
        </w:rPr>
        <w:t xml:space="preserve"> </w:t>
      </w:r>
      <w:r w:rsidR="00433917" w:rsidRPr="00D33C23">
        <w:rPr>
          <w:b/>
        </w:rPr>
        <w:t>LLP License</w:t>
      </w:r>
      <w:r w:rsidR="00433917">
        <w:rPr>
          <w:b/>
        </w:rPr>
        <w:t xml:space="preserve"> [NO CHANGES]</w:t>
      </w:r>
    </w:p>
    <w:p w:rsidR="00433917" w:rsidRDefault="00433917" w:rsidP="00433917">
      <w:pPr>
        <w:tabs>
          <w:tab w:val="left" w:pos="360"/>
          <w:tab w:val="left" w:pos="720"/>
          <w:tab w:val="left" w:pos="1080"/>
        </w:tabs>
        <w:ind w:left="720" w:hanging="720"/>
        <w:rPr>
          <w:b/>
        </w:rPr>
      </w:pPr>
    </w:p>
    <w:p w:rsidR="00433917" w:rsidRDefault="00433917" w:rsidP="00433917">
      <w:r w:rsidRPr="00D94A24">
        <w:t xml:space="preserve">Each CQE that is approved by the Regional Administrator to represent a community may apply to receive a groundfish </w:t>
      </w:r>
      <w:r w:rsidR="001E01E6">
        <w:t xml:space="preserve">LLP </w:t>
      </w:r>
      <w:r w:rsidRPr="00D94A24">
        <w:t xml:space="preserve">license on behalf of any of the communities listed in Table </w:t>
      </w:r>
      <w:r>
        <w:t>21</w:t>
      </w:r>
      <w:r w:rsidRPr="00D94A24">
        <w:t xml:space="preserve"> to</w:t>
      </w:r>
      <w:r>
        <w:t xml:space="preserve"> part 679</w:t>
      </w:r>
      <w:r w:rsidRPr="00D94A24">
        <w:t>.  A CQE may not apply for</w:t>
      </w:r>
      <w:r>
        <w:t xml:space="preserve"> </w:t>
      </w:r>
      <w:r w:rsidRPr="00D94A24">
        <w:t>more than the maximum amount of groundfish licenses designated in the regulatory area specified for a community listed.</w:t>
      </w:r>
      <w:r>
        <w:t xml:space="preserve">  </w:t>
      </w:r>
      <w:r w:rsidR="00263102">
        <w:t>This application</w:t>
      </w:r>
      <w:r w:rsidR="0023550C">
        <w:t xml:space="preserve"> need be </w:t>
      </w:r>
      <w:r w:rsidR="00263102">
        <w:t>submitted and approved only once.</w:t>
      </w:r>
    </w:p>
    <w:p w:rsidR="001E01E6" w:rsidRDefault="001E01E6" w:rsidP="00433917"/>
    <w:p w:rsidR="00263102" w:rsidRDefault="00433917" w:rsidP="00807FF9">
      <w:pPr>
        <w:tabs>
          <w:tab w:val="left" w:pos="0"/>
          <w:tab w:val="left" w:pos="360"/>
          <w:tab w:val="left" w:pos="720"/>
          <w:tab w:val="left" w:pos="1080"/>
          <w:tab w:val="left" w:pos="1440"/>
        </w:tabs>
      </w:pPr>
      <w:r w:rsidRPr="00114B54">
        <w:t xml:space="preserve">A groundfish </w:t>
      </w:r>
      <w:r w:rsidR="001E01E6">
        <w:t xml:space="preserve">LLP </w:t>
      </w:r>
      <w:r w:rsidRPr="00114B54">
        <w:t>license approved for issuance to a CQE by the Regional Administrator for an eligible community</w:t>
      </w:r>
      <w:r>
        <w:t xml:space="preserve"> will </w:t>
      </w:r>
      <w:r w:rsidRPr="00114B54">
        <w:t>have only a catcher vessel designation</w:t>
      </w:r>
      <w:r w:rsidR="001E01E6">
        <w:t xml:space="preserve">, </w:t>
      </w:r>
      <w:r w:rsidRPr="00114B54">
        <w:t>a non-trawl gear endorsement</w:t>
      </w:r>
      <w:r w:rsidR="001E01E6">
        <w:t>,</w:t>
      </w:r>
      <w:r>
        <w:t xml:space="preserve"> and w</w:t>
      </w:r>
      <w:r w:rsidRPr="00114B54">
        <w:t>ill be assigned a Pacific cod endorsement with a non-trawl gear designation.</w:t>
      </w:r>
      <w:r w:rsidR="00611EB4">
        <w:t xml:space="preserve">  </w:t>
      </w:r>
      <w:r w:rsidRPr="00F241DE">
        <w:t xml:space="preserve">The </w:t>
      </w:r>
      <w:r>
        <w:t>CQE</w:t>
      </w:r>
      <w:r w:rsidRPr="00F241DE">
        <w:t xml:space="preserve"> applying to receive a non-trawl groundfish LLP license must provide all of the </w:t>
      </w:r>
      <w:r>
        <w:t xml:space="preserve">required </w:t>
      </w:r>
      <w:r w:rsidRPr="00F241DE">
        <w:t xml:space="preserve">documentation.  </w:t>
      </w:r>
      <w:r w:rsidRPr="00114B54">
        <w:t>The CQEs, representing specific communities in the Central GOA and Western GOA, would need to submit</w:t>
      </w:r>
      <w:r w:rsidR="00807FF9">
        <w:t xml:space="preserve"> in addition to an </w:t>
      </w:r>
      <w:r w:rsidRPr="00114B54">
        <w:t>application to receive a fixed</w:t>
      </w:r>
      <w:r w:rsidR="00611EB4">
        <w:t>-</w:t>
      </w:r>
      <w:r w:rsidRPr="00114B54">
        <w:t>gear LLP li</w:t>
      </w:r>
      <w:r w:rsidR="00263102">
        <w:t>cense endorsed for Pacific cod:</w:t>
      </w:r>
    </w:p>
    <w:p w:rsidR="00263102" w:rsidRDefault="00263102" w:rsidP="00807FF9">
      <w:pPr>
        <w:tabs>
          <w:tab w:val="left" w:pos="0"/>
          <w:tab w:val="left" w:pos="360"/>
          <w:tab w:val="left" w:pos="720"/>
          <w:tab w:val="left" w:pos="1080"/>
          <w:tab w:val="left" w:pos="1440"/>
        </w:tabs>
      </w:pPr>
    </w:p>
    <w:p w:rsidR="00263102" w:rsidRDefault="00263102" w:rsidP="00807FF9">
      <w:pPr>
        <w:tabs>
          <w:tab w:val="left" w:pos="0"/>
          <w:tab w:val="left" w:pos="360"/>
          <w:tab w:val="left" w:pos="720"/>
          <w:tab w:val="left" w:pos="1080"/>
          <w:tab w:val="left" w:pos="1440"/>
        </w:tabs>
      </w:pPr>
      <w:r>
        <w:tab/>
        <w:t>♦</w:t>
      </w:r>
      <w:r>
        <w:tab/>
      </w:r>
      <w:proofErr w:type="gramStart"/>
      <w:r>
        <w:t>T</w:t>
      </w:r>
      <w:r w:rsidR="00433917" w:rsidRPr="00114B54">
        <w:t>he</w:t>
      </w:r>
      <w:proofErr w:type="gramEnd"/>
      <w:r w:rsidR="00433917" w:rsidRPr="00114B54">
        <w:t xml:space="preserve"> selection of fixed gear type by CQEs in the Central </w:t>
      </w:r>
      <w:r w:rsidR="00611EB4">
        <w:t>GOA</w:t>
      </w:r>
      <w:r w:rsidR="0023550C">
        <w:t>.</w:t>
      </w:r>
    </w:p>
    <w:p w:rsidR="00263102" w:rsidRDefault="00263102" w:rsidP="00807FF9">
      <w:pPr>
        <w:tabs>
          <w:tab w:val="left" w:pos="0"/>
          <w:tab w:val="left" w:pos="360"/>
          <w:tab w:val="left" w:pos="720"/>
          <w:tab w:val="left" w:pos="1080"/>
          <w:tab w:val="left" w:pos="1440"/>
        </w:tabs>
      </w:pPr>
    </w:p>
    <w:p w:rsidR="00433917" w:rsidRPr="00114B54" w:rsidRDefault="00263102" w:rsidP="00807FF9">
      <w:pPr>
        <w:tabs>
          <w:tab w:val="left" w:pos="0"/>
          <w:tab w:val="left" w:pos="360"/>
          <w:tab w:val="left" w:pos="720"/>
          <w:tab w:val="left" w:pos="1080"/>
          <w:tab w:val="left" w:pos="1440"/>
        </w:tabs>
      </w:pPr>
      <w:r>
        <w:tab/>
        <w:t>♦</w:t>
      </w:r>
      <w:r>
        <w:tab/>
      </w:r>
      <w:proofErr w:type="gramStart"/>
      <w:r>
        <w:t>A</w:t>
      </w:r>
      <w:proofErr w:type="gramEnd"/>
      <w:r w:rsidR="00433917" w:rsidRPr="00114B54">
        <w:t xml:space="preserve"> description of the methods used to assign any fixed gear LLP licenses received</w:t>
      </w:r>
      <w:r w:rsidR="0023550C">
        <w:t>.</w:t>
      </w:r>
      <w:r w:rsidR="00433917" w:rsidRPr="00114B54">
        <w:t xml:space="preserve"> </w:t>
      </w:r>
    </w:p>
    <w:p w:rsidR="00433917" w:rsidRPr="00114B54" w:rsidRDefault="00433917" w:rsidP="00433917">
      <w:pPr>
        <w:tabs>
          <w:tab w:val="left" w:pos="0"/>
          <w:tab w:val="left" w:pos="360"/>
          <w:tab w:val="left" w:pos="720"/>
          <w:tab w:val="left" w:pos="1080"/>
          <w:tab w:val="left" w:pos="1440"/>
        </w:tabs>
      </w:pPr>
    </w:p>
    <w:p w:rsidR="00433917" w:rsidRPr="00114B54" w:rsidRDefault="00433917" w:rsidP="00433917">
      <w:pPr>
        <w:tabs>
          <w:tab w:val="left" w:pos="0"/>
          <w:tab w:val="left" w:pos="360"/>
          <w:tab w:val="left" w:pos="720"/>
          <w:tab w:val="left" w:pos="1080"/>
          <w:tab w:val="left" w:pos="1440"/>
        </w:tabs>
      </w:pPr>
      <w:r w:rsidRPr="00114B54">
        <w:tab/>
        <w:t>♦</w:t>
      </w:r>
      <w:r w:rsidRPr="00114B54">
        <w:tab/>
      </w:r>
      <w:proofErr w:type="gramStart"/>
      <w:r w:rsidRPr="00114B54">
        <w:t>A</w:t>
      </w:r>
      <w:proofErr w:type="gramEnd"/>
      <w:r w:rsidRPr="00114B54">
        <w:t xml:space="preserve"> letter of authorization for persons using LLP</w:t>
      </w:r>
      <w:r w:rsidR="0023550C">
        <w:t xml:space="preserve"> licenses assigned to a CQE.</w:t>
      </w:r>
    </w:p>
    <w:p w:rsidR="00433917" w:rsidRPr="00114B54" w:rsidRDefault="00433917" w:rsidP="00433917">
      <w:pPr>
        <w:tabs>
          <w:tab w:val="left" w:pos="0"/>
          <w:tab w:val="left" w:pos="360"/>
          <w:tab w:val="left" w:pos="720"/>
          <w:tab w:val="left" w:pos="1080"/>
          <w:tab w:val="left" w:pos="1440"/>
        </w:tabs>
      </w:pPr>
    </w:p>
    <w:p w:rsidR="00433917" w:rsidRPr="00114B54" w:rsidRDefault="00433917" w:rsidP="00433917">
      <w:pPr>
        <w:tabs>
          <w:tab w:val="left" w:pos="0"/>
          <w:tab w:val="left" w:pos="360"/>
          <w:tab w:val="left" w:pos="720"/>
          <w:tab w:val="left" w:pos="1080"/>
          <w:tab w:val="left" w:pos="1440"/>
        </w:tabs>
      </w:pPr>
      <w:r w:rsidRPr="00114B54">
        <w:tab/>
        <w:t>♦</w:t>
      </w:r>
      <w:r w:rsidRPr="00114B54">
        <w:tab/>
      </w:r>
      <w:proofErr w:type="gramStart"/>
      <w:r w:rsidRPr="00114B54">
        <w:t>An</w:t>
      </w:r>
      <w:proofErr w:type="gramEnd"/>
      <w:r w:rsidRPr="00114B54">
        <w:t xml:space="preserve"> annual report detailing the distribution and use of LLP licenses. </w:t>
      </w:r>
    </w:p>
    <w:p w:rsidR="00433917" w:rsidRPr="00114B54" w:rsidRDefault="00433917" w:rsidP="00433917">
      <w:pPr>
        <w:tabs>
          <w:tab w:val="left" w:pos="0"/>
          <w:tab w:val="left" w:pos="360"/>
          <w:tab w:val="left" w:pos="720"/>
          <w:tab w:val="left" w:pos="1080"/>
          <w:tab w:val="left" w:pos="1440"/>
        </w:tabs>
      </w:pPr>
    </w:p>
    <w:p w:rsidR="00B00F1E" w:rsidRDefault="00433917" w:rsidP="00433917">
      <w:pPr>
        <w:tabs>
          <w:tab w:val="left" w:pos="0"/>
          <w:tab w:val="left" w:pos="360"/>
          <w:tab w:val="left" w:pos="720"/>
          <w:tab w:val="left" w:pos="1080"/>
          <w:tab w:val="left" w:pos="1440"/>
        </w:tabs>
      </w:pPr>
      <w:r w:rsidRPr="00114B54">
        <w:t xml:space="preserve">To receive a groundfish </w:t>
      </w:r>
      <w:r w:rsidR="00611EB4">
        <w:t xml:space="preserve">LLP </w:t>
      </w:r>
      <w:r w:rsidRPr="00114B54">
        <w:t>license a CQE must submit a</w:t>
      </w:r>
      <w:r>
        <w:t xml:space="preserve">n original, </w:t>
      </w:r>
      <w:r w:rsidRPr="00114B54">
        <w:t>complete</w:t>
      </w:r>
      <w:r>
        <w:t>d</w:t>
      </w:r>
      <w:r w:rsidRPr="00114B54">
        <w:t xml:space="preserve"> application for a groundfish license </w:t>
      </w:r>
      <w:r w:rsidR="00611EB4">
        <w:t xml:space="preserve">by mail or courier </w:t>
      </w:r>
      <w:r w:rsidRPr="00114B54">
        <w:t xml:space="preserve">to the Regional Administrator, NMFS, </w:t>
      </w:r>
      <w:proofErr w:type="gramStart"/>
      <w:r w:rsidRPr="00114B54">
        <w:t>P.O</w:t>
      </w:r>
      <w:proofErr w:type="gramEnd"/>
      <w:r w:rsidRPr="00114B54">
        <w:t>. Box 21668, Juneau, AK 99802.</w:t>
      </w:r>
    </w:p>
    <w:p w:rsidR="00B00F1E" w:rsidRDefault="00B00F1E" w:rsidP="00433917">
      <w:pPr>
        <w:tabs>
          <w:tab w:val="left" w:pos="0"/>
          <w:tab w:val="left" w:pos="360"/>
          <w:tab w:val="left" w:pos="720"/>
          <w:tab w:val="left" w:pos="1080"/>
          <w:tab w:val="left" w:pos="1440"/>
        </w:tabs>
      </w:pPr>
    </w:p>
    <w:p w:rsidR="00807FF9" w:rsidRPr="00807FF9" w:rsidRDefault="00807FF9" w:rsidP="00807FF9">
      <w:pPr>
        <w:tabs>
          <w:tab w:val="left" w:pos="0"/>
          <w:tab w:val="left" w:pos="360"/>
          <w:tab w:val="left" w:pos="720"/>
          <w:tab w:val="left" w:pos="1080"/>
          <w:tab w:val="left" w:pos="1440"/>
        </w:tabs>
        <w:rPr>
          <w:b/>
          <w:sz w:val="20"/>
          <w:szCs w:val="20"/>
        </w:rPr>
      </w:pPr>
      <w:r w:rsidRPr="00807FF9">
        <w:rPr>
          <w:b/>
          <w:sz w:val="20"/>
          <w:szCs w:val="20"/>
        </w:rPr>
        <w:t xml:space="preserve">Application for a CQE to Receive a Non-trawl Groundfish LLP License </w:t>
      </w:r>
    </w:p>
    <w:p w:rsidR="00807FF9" w:rsidRPr="00807FF9" w:rsidRDefault="00807FF9" w:rsidP="00807FF9">
      <w:pPr>
        <w:tabs>
          <w:tab w:val="left" w:pos="0"/>
          <w:tab w:val="left" w:pos="360"/>
          <w:tab w:val="left" w:pos="720"/>
          <w:tab w:val="left" w:pos="1080"/>
          <w:tab w:val="left" w:pos="1440"/>
        </w:tabs>
        <w:rPr>
          <w:sz w:val="20"/>
          <w:szCs w:val="20"/>
          <w:u w:val="single"/>
        </w:rPr>
      </w:pPr>
      <w:r w:rsidRPr="00807FF9">
        <w:rPr>
          <w:sz w:val="20"/>
          <w:szCs w:val="20"/>
          <w:u w:val="single"/>
        </w:rPr>
        <w:t>Block A - Identification of applicant</w:t>
      </w:r>
    </w:p>
    <w:p w:rsidR="00807FF9" w:rsidRDefault="00807FF9" w:rsidP="00807FF9">
      <w:pPr>
        <w:tabs>
          <w:tab w:val="left" w:pos="0"/>
          <w:tab w:val="left" w:pos="360"/>
          <w:tab w:val="left" w:pos="720"/>
          <w:tab w:val="left" w:pos="1080"/>
          <w:tab w:val="left" w:pos="1440"/>
        </w:tabs>
        <w:rPr>
          <w:sz w:val="20"/>
          <w:szCs w:val="20"/>
        </w:rPr>
      </w:pPr>
      <w:r>
        <w:rPr>
          <w:sz w:val="20"/>
          <w:szCs w:val="20"/>
        </w:rPr>
        <w:tab/>
      </w:r>
      <w:r w:rsidRPr="00807FF9">
        <w:rPr>
          <w:sz w:val="20"/>
          <w:szCs w:val="20"/>
        </w:rPr>
        <w:t>Name of Non-Profit (CQE) Organization</w:t>
      </w:r>
    </w:p>
    <w:p w:rsidR="00807FF9" w:rsidRDefault="00807FF9" w:rsidP="00807FF9">
      <w:pPr>
        <w:tabs>
          <w:tab w:val="left" w:pos="0"/>
          <w:tab w:val="left" w:pos="360"/>
          <w:tab w:val="left" w:pos="720"/>
          <w:tab w:val="left" w:pos="1080"/>
          <w:tab w:val="left" w:pos="1440"/>
        </w:tabs>
        <w:rPr>
          <w:sz w:val="20"/>
          <w:szCs w:val="20"/>
        </w:rPr>
      </w:pPr>
      <w:r>
        <w:rPr>
          <w:sz w:val="20"/>
          <w:szCs w:val="20"/>
        </w:rPr>
        <w:tab/>
      </w:r>
      <w:r w:rsidRPr="00807FF9">
        <w:rPr>
          <w:sz w:val="20"/>
          <w:szCs w:val="20"/>
        </w:rPr>
        <w:t>Name of CQE Contact Person</w:t>
      </w:r>
    </w:p>
    <w:p w:rsidR="00807FF9" w:rsidRPr="00807FF9" w:rsidRDefault="00807FF9" w:rsidP="00807FF9">
      <w:pPr>
        <w:tabs>
          <w:tab w:val="left" w:pos="0"/>
          <w:tab w:val="left" w:pos="360"/>
          <w:tab w:val="left" w:pos="720"/>
          <w:tab w:val="left" w:pos="1080"/>
          <w:tab w:val="left" w:pos="1440"/>
        </w:tabs>
        <w:rPr>
          <w:sz w:val="20"/>
          <w:szCs w:val="20"/>
        </w:rPr>
      </w:pPr>
      <w:r>
        <w:rPr>
          <w:sz w:val="20"/>
          <w:szCs w:val="20"/>
        </w:rPr>
        <w:tab/>
      </w:r>
      <w:r w:rsidR="00BD7D9B">
        <w:rPr>
          <w:sz w:val="20"/>
          <w:szCs w:val="20"/>
        </w:rPr>
        <w:t>CQE NMFS Person ID</w:t>
      </w:r>
    </w:p>
    <w:p w:rsidR="00807FF9" w:rsidRPr="00807FF9" w:rsidRDefault="00807FF9" w:rsidP="00807FF9">
      <w:pPr>
        <w:tabs>
          <w:tab w:val="left" w:pos="0"/>
          <w:tab w:val="left" w:pos="360"/>
          <w:tab w:val="left" w:pos="720"/>
          <w:tab w:val="left" w:pos="1080"/>
          <w:tab w:val="left" w:pos="1440"/>
        </w:tabs>
        <w:rPr>
          <w:sz w:val="20"/>
          <w:szCs w:val="20"/>
        </w:rPr>
      </w:pPr>
      <w:r w:rsidRPr="00807FF9">
        <w:rPr>
          <w:sz w:val="20"/>
          <w:szCs w:val="20"/>
        </w:rPr>
        <w:tab/>
        <w:t>Name of Community on whose behalf the CQE is applying for an LLP(s)</w:t>
      </w:r>
    </w:p>
    <w:p w:rsidR="00807FF9" w:rsidRPr="00807FF9" w:rsidRDefault="00BD7D9B" w:rsidP="00807FF9">
      <w:pPr>
        <w:tabs>
          <w:tab w:val="left" w:pos="0"/>
          <w:tab w:val="left" w:pos="360"/>
          <w:tab w:val="left" w:pos="720"/>
          <w:tab w:val="left" w:pos="1080"/>
          <w:tab w:val="left" w:pos="1440"/>
        </w:tabs>
        <w:rPr>
          <w:sz w:val="20"/>
          <w:szCs w:val="20"/>
        </w:rPr>
      </w:pPr>
      <w:r>
        <w:rPr>
          <w:sz w:val="20"/>
          <w:szCs w:val="20"/>
        </w:rPr>
        <w:tab/>
      </w:r>
      <w:r w:rsidR="00807FF9" w:rsidRPr="00807FF9">
        <w:rPr>
          <w:sz w:val="20"/>
          <w:szCs w:val="20"/>
        </w:rPr>
        <w:t>Permanent Business Mailing Address</w:t>
      </w:r>
    </w:p>
    <w:p w:rsidR="00BD7D9B" w:rsidRDefault="00BD7D9B" w:rsidP="00807FF9">
      <w:pPr>
        <w:tabs>
          <w:tab w:val="left" w:pos="0"/>
          <w:tab w:val="left" w:pos="360"/>
          <w:tab w:val="left" w:pos="720"/>
          <w:tab w:val="left" w:pos="1080"/>
          <w:tab w:val="left" w:pos="1440"/>
        </w:tabs>
        <w:rPr>
          <w:sz w:val="20"/>
          <w:szCs w:val="20"/>
        </w:rPr>
      </w:pPr>
      <w:r>
        <w:rPr>
          <w:sz w:val="20"/>
          <w:szCs w:val="20"/>
        </w:rPr>
        <w:tab/>
      </w:r>
      <w:r w:rsidR="00807FF9" w:rsidRPr="00807FF9">
        <w:rPr>
          <w:sz w:val="20"/>
          <w:szCs w:val="20"/>
        </w:rPr>
        <w:t>Business Telephone Number</w:t>
      </w:r>
    </w:p>
    <w:p w:rsidR="00BD7D9B" w:rsidRDefault="00BD7D9B" w:rsidP="00807FF9">
      <w:pPr>
        <w:tabs>
          <w:tab w:val="left" w:pos="0"/>
          <w:tab w:val="left" w:pos="360"/>
          <w:tab w:val="left" w:pos="720"/>
          <w:tab w:val="left" w:pos="1080"/>
          <w:tab w:val="left" w:pos="1440"/>
        </w:tabs>
        <w:rPr>
          <w:sz w:val="20"/>
          <w:szCs w:val="20"/>
        </w:rPr>
      </w:pPr>
      <w:r>
        <w:rPr>
          <w:sz w:val="20"/>
          <w:szCs w:val="20"/>
        </w:rPr>
        <w:tab/>
      </w:r>
      <w:r w:rsidR="00807FF9" w:rsidRPr="00807FF9">
        <w:rPr>
          <w:sz w:val="20"/>
          <w:szCs w:val="20"/>
        </w:rPr>
        <w:t>Business Fax Number</w:t>
      </w:r>
    </w:p>
    <w:p w:rsidR="00807FF9" w:rsidRDefault="00BD7D9B" w:rsidP="00807FF9">
      <w:pPr>
        <w:tabs>
          <w:tab w:val="left" w:pos="0"/>
          <w:tab w:val="left" w:pos="360"/>
          <w:tab w:val="left" w:pos="720"/>
          <w:tab w:val="left" w:pos="1080"/>
          <w:tab w:val="left" w:pos="1440"/>
        </w:tabs>
        <w:rPr>
          <w:sz w:val="20"/>
          <w:szCs w:val="20"/>
        </w:rPr>
      </w:pPr>
      <w:r>
        <w:rPr>
          <w:sz w:val="20"/>
          <w:szCs w:val="20"/>
        </w:rPr>
        <w:tab/>
      </w:r>
      <w:r w:rsidR="00807FF9" w:rsidRPr="00807FF9">
        <w:rPr>
          <w:sz w:val="20"/>
          <w:szCs w:val="20"/>
        </w:rPr>
        <w:t>Business E-mail Address</w:t>
      </w:r>
    </w:p>
    <w:p w:rsidR="00A94953" w:rsidRDefault="00A94953" w:rsidP="0087792C">
      <w:pPr>
        <w:tabs>
          <w:tab w:val="left" w:pos="0"/>
          <w:tab w:val="left" w:pos="360"/>
          <w:tab w:val="left" w:pos="720"/>
          <w:tab w:val="left" w:pos="1080"/>
          <w:tab w:val="left" w:pos="1440"/>
        </w:tabs>
        <w:rPr>
          <w:sz w:val="20"/>
          <w:szCs w:val="20"/>
          <w:u w:val="single"/>
        </w:rPr>
      </w:pPr>
    </w:p>
    <w:p w:rsidR="00A94953" w:rsidRDefault="00A94953" w:rsidP="0087792C">
      <w:pPr>
        <w:tabs>
          <w:tab w:val="left" w:pos="0"/>
          <w:tab w:val="left" w:pos="360"/>
          <w:tab w:val="left" w:pos="720"/>
          <w:tab w:val="left" w:pos="1080"/>
          <w:tab w:val="left" w:pos="1440"/>
        </w:tabs>
        <w:rPr>
          <w:sz w:val="20"/>
          <w:szCs w:val="20"/>
          <w:u w:val="single"/>
        </w:rPr>
      </w:pPr>
    </w:p>
    <w:p w:rsidR="00A94953" w:rsidRDefault="00A94953" w:rsidP="0087792C">
      <w:pPr>
        <w:tabs>
          <w:tab w:val="left" w:pos="0"/>
          <w:tab w:val="left" w:pos="360"/>
          <w:tab w:val="left" w:pos="720"/>
          <w:tab w:val="left" w:pos="1080"/>
          <w:tab w:val="left" w:pos="1440"/>
        </w:tabs>
        <w:rPr>
          <w:sz w:val="20"/>
          <w:szCs w:val="20"/>
          <w:u w:val="single"/>
        </w:rPr>
      </w:pPr>
    </w:p>
    <w:p w:rsidR="00A94953" w:rsidRDefault="00A94953">
      <w:pPr>
        <w:spacing w:after="200" w:line="276" w:lineRule="auto"/>
        <w:rPr>
          <w:sz w:val="20"/>
          <w:szCs w:val="20"/>
          <w:u w:val="single"/>
        </w:rPr>
      </w:pPr>
      <w:r>
        <w:rPr>
          <w:sz w:val="20"/>
          <w:szCs w:val="20"/>
          <w:u w:val="single"/>
        </w:rPr>
        <w:br w:type="page"/>
      </w:r>
    </w:p>
    <w:p w:rsidR="0087792C" w:rsidRPr="0087792C" w:rsidRDefault="0087792C" w:rsidP="0087792C">
      <w:pPr>
        <w:tabs>
          <w:tab w:val="left" w:pos="0"/>
          <w:tab w:val="left" w:pos="360"/>
          <w:tab w:val="left" w:pos="720"/>
          <w:tab w:val="left" w:pos="1080"/>
          <w:tab w:val="left" w:pos="1440"/>
        </w:tabs>
        <w:rPr>
          <w:sz w:val="20"/>
          <w:szCs w:val="20"/>
          <w:u w:val="single"/>
        </w:rPr>
      </w:pPr>
      <w:r w:rsidRPr="0087792C">
        <w:rPr>
          <w:sz w:val="20"/>
          <w:szCs w:val="20"/>
          <w:u w:val="single"/>
        </w:rPr>
        <w:lastRenderedPageBreak/>
        <w:t>Block B – GOA Non-trawl LLP licenses &amp; non-trawl gear designations</w:t>
      </w:r>
    </w:p>
    <w:p w:rsidR="0087792C" w:rsidRPr="0087792C" w:rsidRDefault="0087792C" w:rsidP="0087792C">
      <w:pPr>
        <w:tabs>
          <w:tab w:val="left" w:pos="0"/>
          <w:tab w:val="left" w:pos="360"/>
          <w:tab w:val="left" w:pos="720"/>
          <w:tab w:val="left" w:pos="1080"/>
          <w:tab w:val="left" w:pos="1440"/>
        </w:tabs>
        <w:rPr>
          <w:sz w:val="20"/>
          <w:szCs w:val="20"/>
        </w:rPr>
      </w:pPr>
      <w:r>
        <w:rPr>
          <w:sz w:val="20"/>
          <w:szCs w:val="20"/>
        </w:rPr>
        <w:tab/>
        <w:t>T</w:t>
      </w:r>
      <w:r w:rsidRPr="0087792C">
        <w:rPr>
          <w:sz w:val="20"/>
          <w:szCs w:val="20"/>
        </w:rPr>
        <w:t>otal number of LLP groun</w:t>
      </w:r>
      <w:r>
        <w:rPr>
          <w:sz w:val="20"/>
          <w:szCs w:val="20"/>
        </w:rPr>
        <w:t>dfish licenses being requested</w:t>
      </w:r>
    </w:p>
    <w:p w:rsidR="0087792C" w:rsidRPr="0087792C" w:rsidRDefault="0087792C" w:rsidP="0087792C">
      <w:pPr>
        <w:tabs>
          <w:tab w:val="left" w:pos="0"/>
          <w:tab w:val="left" w:pos="360"/>
          <w:tab w:val="left" w:pos="720"/>
          <w:tab w:val="left" w:pos="1080"/>
          <w:tab w:val="left" w:pos="1440"/>
        </w:tabs>
        <w:rPr>
          <w:sz w:val="20"/>
          <w:szCs w:val="20"/>
        </w:rPr>
      </w:pPr>
      <w:r>
        <w:rPr>
          <w:sz w:val="20"/>
          <w:szCs w:val="20"/>
        </w:rPr>
        <w:tab/>
        <w:t>N</w:t>
      </w:r>
      <w:r w:rsidRPr="0087792C">
        <w:rPr>
          <w:sz w:val="20"/>
          <w:szCs w:val="20"/>
        </w:rPr>
        <w:t>on-trawl gear type to be designated on ea</w:t>
      </w:r>
      <w:r>
        <w:rPr>
          <w:sz w:val="20"/>
          <w:szCs w:val="20"/>
        </w:rPr>
        <w:t>ch groundfish license requested</w:t>
      </w:r>
    </w:p>
    <w:p w:rsidR="00772248" w:rsidRDefault="00772248" w:rsidP="0087792C">
      <w:pPr>
        <w:tabs>
          <w:tab w:val="left" w:pos="0"/>
          <w:tab w:val="left" w:pos="360"/>
          <w:tab w:val="left" w:pos="720"/>
          <w:tab w:val="left" w:pos="1080"/>
          <w:tab w:val="left" w:pos="1440"/>
        </w:tabs>
        <w:rPr>
          <w:sz w:val="20"/>
          <w:szCs w:val="20"/>
        </w:rPr>
      </w:pPr>
      <w:r>
        <w:rPr>
          <w:sz w:val="20"/>
          <w:szCs w:val="20"/>
        </w:rPr>
        <w:tab/>
      </w:r>
      <w:r w:rsidR="0087792C" w:rsidRPr="0087792C">
        <w:rPr>
          <w:sz w:val="20"/>
          <w:szCs w:val="20"/>
        </w:rPr>
        <w:t>License</w:t>
      </w:r>
      <w:r w:rsidR="0087792C" w:rsidRPr="0087792C">
        <w:rPr>
          <w:sz w:val="20"/>
          <w:szCs w:val="20"/>
        </w:rPr>
        <w:tab/>
      </w:r>
    </w:p>
    <w:p w:rsidR="0087792C" w:rsidRDefault="00772248" w:rsidP="0087792C">
      <w:pPr>
        <w:tabs>
          <w:tab w:val="left" w:pos="0"/>
          <w:tab w:val="left" w:pos="360"/>
          <w:tab w:val="left" w:pos="720"/>
          <w:tab w:val="left" w:pos="1080"/>
          <w:tab w:val="left" w:pos="1440"/>
        </w:tabs>
        <w:rPr>
          <w:sz w:val="20"/>
          <w:szCs w:val="20"/>
        </w:rPr>
      </w:pPr>
      <w:r>
        <w:rPr>
          <w:sz w:val="20"/>
          <w:szCs w:val="20"/>
        </w:rPr>
        <w:tab/>
      </w:r>
      <w:r w:rsidR="0087792C" w:rsidRPr="0087792C">
        <w:rPr>
          <w:sz w:val="20"/>
          <w:szCs w:val="20"/>
        </w:rPr>
        <w:t xml:space="preserve">Gear </w:t>
      </w:r>
      <w:r>
        <w:rPr>
          <w:sz w:val="20"/>
          <w:szCs w:val="20"/>
        </w:rPr>
        <w:t>t</w:t>
      </w:r>
      <w:r w:rsidR="0087792C" w:rsidRPr="0087792C">
        <w:rPr>
          <w:sz w:val="20"/>
          <w:szCs w:val="20"/>
        </w:rPr>
        <w:t>ype</w:t>
      </w:r>
    </w:p>
    <w:p w:rsidR="007E258D" w:rsidRPr="00BD6409" w:rsidRDefault="007E258D" w:rsidP="007E258D">
      <w:pPr>
        <w:tabs>
          <w:tab w:val="left" w:pos="0"/>
          <w:tab w:val="left" w:pos="360"/>
          <w:tab w:val="left" w:pos="720"/>
          <w:tab w:val="left" w:pos="1080"/>
          <w:tab w:val="left" w:pos="1440"/>
        </w:tabs>
        <w:rPr>
          <w:sz w:val="20"/>
          <w:szCs w:val="20"/>
          <w:u w:val="single"/>
        </w:rPr>
      </w:pPr>
      <w:r w:rsidRPr="00BD6409">
        <w:rPr>
          <w:sz w:val="20"/>
          <w:szCs w:val="20"/>
          <w:u w:val="single"/>
        </w:rPr>
        <w:t>Block C – Attachments</w:t>
      </w:r>
    </w:p>
    <w:p w:rsidR="007E258D" w:rsidRPr="007E258D" w:rsidRDefault="007E258D" w:rsidP="007E258D">
      <w:pPr>
        <w:tabs>
          <w:tab w:val="left" w:pos="0"/>
          <w:tab w:val="left" w:pos="360"/>
          <w:tab w:val="left" w:pos="720"/>
          <w:tab w:val="left" w:pos="1080"/>
          <w:tab w:val="left" w:pos="1440"/>
        </w:tabs>
        <w:rPr>
          <w:sz w:val="20"/>
          <w:szCs w:val="20"/>
        </w:rPr>
      </w:pPr>
      <w:r w:rsidRPr="007E258D">
        <w:rPr>
          <w:sz w:val="20"/>
          <w:szCs w:val="20"/>
        </w:rPr>
        <w:tab/>
        <w:t>A statement describing:</w:t>
      </w:r>
    </w:p>
    <w:p w:rsidR="007E258D" w:rsidRPr="007E258D" w:rsidRDefault="007E258D" w:rsidP="007E258D">
      <w:pPr>
        <w:tabs>
          <w:tab w:val="left" w:pos="0"/>
          <w:tab w:val="left" w:pos="360"/>
          <w:tab w:val="left" w:pos="720"/>
          <w:tab w:val="left" w:pos="1080"/>
          <w:tab w:val="left" w:pos="1440"/>
        </w:tabs>
        <w:rPr>
          <w:sz w:val="20"/>
          <w:szCs w:val="20"/>
        </w:rPr>
      </w:pPr>
      <w:r w:rsidRPr="007E258D">
        <w:rPr>
          <w:sz w:val="20"/>
          <w:szCs w:val="20"/>
        </w:rPr>
        <w:tab/>
      </w:r>
      <w:r w:rsidRPr="007E258D">
        <w:rPr>
          <w:sz w:val="20"/>
          <w:szCs w:val="20"/>
        </w:rPr>
        <w:tab/>
      </w:r>
      <w:r>
        <w:rPr>
          <w:sz w:val="20"/>
          <w:szCs w:val="20"/>
        </w:rPr>
        <w:t>P</w:t>
      </w:r>
      <w:r w:rsidRPr="007E258D">
        <w:rPr>
          <w:sz w:val="20"/>
          <w:szCs w:val="20"/>
        </w:rPr>
        <w:t xml:space="preserve">rocedures the CQE used to determine the distribution of LLP licenses to residents of the community </w:t>
      </w:r>
    </w:p>
    <w:p w:rsidR="007E258D" w:rsidRPr="007E258D" w:rsidRDefault="007E258D" w:rsidP="007E258D">
      <w:pPr>
        <w:tabs>
          <w:tab w:val="left" w:pos="0"/>
          <w:tab w:val="left" w:pos="360"/>
          <w:tab w:val="left" w:pos="720"/>
          <w:tab w:val="left" w:pos="1080"/>
          <w:tab w:val="left" w:pos="1440"/>
        </w:tabs>
        <w:rPr>
          <w:sz w:val="20"/>
          <w:szCs w:val="20"/>
        </w:rPr>
      </w:pPr>
      <w:r w:rsidRPr="007E258D">
        <w:rPr>
          <w:sz w:val="20"/>
          <w:szCs w:val="20"/>
        </w:rPr>
        <w:tab/>
      </w:r>
      <w:r w:rsidRPr="007E258D">
        <w:rPr>
          <w:sz w:val="20"/>
          <w:szCs w:val="20"/>
        </w:rPr>
        <w:tab/>
      </w:r>
      <w:r>
        <w:rPr>
          <w:sz w:val="20"/>
          <w:szCs w:val="20"/>
        </w:rPr>
        <w:t>P</w:t>
      </w:r>
      <w:r w:rsidRPr="007E258D">
        <w:rPr>
          <w:sz w:val="20"/>
          <w:szCs w:val="20"/>
        </w:rPr>
        <w:t>rocedures the CQE used to solicit requests from resident</w:t>
      </w:r>
      <w:r>
        <w:rPr>
          <w:sz w:val="20"/>
          <w:szCs w:val="20"/>
        </w:rPr>
        <w:t>s to be assigned an LLP license</w:t>
      </w:r>
    </w:p>
    <w:p w:rsidR="001A052A" w:rsidRDefault="007E258D" w:rsidP="007E258D">
      <w:pPr>
        <w:tabs>
          <w:tab w:val="left" w:pos="0"/>
          <w:tab w:val="left" w:pos="360"/>
          <w:tab w:val="left" w:pos="720"/>
          <w:tab w:val="left" w:pos="1080"/>
          <w:tab w:val="left" w:pos="1440"/>
        </w:tabs>
        <w:rPr>
          <w:sz w:val="20"/>
          <w:szCs w:val="20"/>
        </w:rPr>
      </w:pPr>
      <w:r w:rsidRPr="007E258D">
        <w:rPr>
          <w:sz w:val="20"/>
          <w:szCs w:val="20"/>
        </w:rPr>
        <w:tab/>
      </w:r>
      <w:r w:rsidRPr="007E258D">
        <w:rPr>
          <w:sz w:val="20"/>
          <w:szCs w:val="20"/>
        </w:rPr>
        <w:tab/>
      </w:r>
      <w:r>
        <w:rPr>
          <w:sz w:val="20"/>
          <w:szCs w:val="20"/>
        </w:rPr>
        <w:t>C</w:t>
      </w:r>
      <w:r w:rsidRPr="007E258D">
        <w:rPr>
          <w:sz w:val="20"/>
          <w:szCs w:val="20"/>
        </w:rPr>
        <w:t xml:space="preserve">riteria the CQE used to determine the distribution of the </w:t>
      </w:r>
      <w:proofErr w:type="gramStart"/>
      <w:r w:rsidRPr="007E258D">
        <w:rPr>
          <w:sz w:val="20"/>
          <w:szCs w:val="20"/>
        </w:rPr>
        <w:t>use  of</w:t>
      </w:r>
      <w:proofErr w:type="gramEnd"/>
      <w:r w:rsidRPr="007E258D">
        <w:rPr>
          <w:sz w:val="20"/>
          <w:szCs w:val="20"/>
        </w:rPr>
        <w:t xml:space="preserve"> LLP licenses among qualified community</w:t>
      </w:r>
    </w:p>
    <w:p w:rsidR="007E258D" w:rsidRDefault="001A052A" w:rsidP="007E258D">
      <w:pPr>
        <w:tabs>
          <w:tab w:val="left" w:pos="0"/>
          <w:tab w:val="left" w:pos="360"/>
          <w:tab w:val="left" w:pos="720"/>
          <w:tab w:val="left" w:pos="1080"/>
          <w:tab w:val="left" w:pos="1440"/>
        </w:tabs>
        <w:rPr>
          <w:sz w:val="20"/>
          <w:szCs w:val="20"/>
        </w:rPr>
      </w:pPr>
      <w:r>
        <w:rPr>
          <w:sz w:val="20"/>
          <w:szCs w:val="20"/>
        </w:rPr>
        <w:tab/>
      </w:r>
      <w:r>
        <w:rPr>
          <w:sz w:val="20"/>
          <w:szCs w:val="20"/>
        </w:rPr>
        <w:tab/>
      </w:r>
      <w:r>
        <w:rPr>
          <w:sz w:val="20"/>
          <w:szCs w:val="20"/>
        </w:rPr>
        <w:tab/>
      </w:r>
      <w:proofErr w:type="gramStart"/>
      <w:r w:rsidR="007E258D" w:rsidRPr="007E258D">
        <w:rPr>
          <w:sz w:val="20"/>
          <w:szCs w:val="20"/>
        </w:rPr>
        <w:t>residents</w:t>
      </w:r>
      <w:proofErr w:type="gramEnd"/>
      <w:r w:rsidR="007E258D" w:rsidRPr="007E258D">
        <w:rPr>
          <w:sz w:val="20"/>
          <w:szCs w:val="20"/>
        </w:rPr>
        <w:t xml:space="preserve"> and the relative weighting of those criteria.</w:t>
      </w:r>
    </w:p>
    <w:p w:rsidR="00D4147E" w:rsidRDefault="00D4147E" w:rsidP="00D4147E">
      <w:pPr>
        <w:tabs>
          <w:tab w:val="left" w:pos="0"/>
          <w:tab w:val="left" w:pos="360"/>
          <w:tab w:val="left" w:pos="720"/>
          <w:tab w:val="left" w:pos="1080"/>
          <w:tab w:val="left" w:pos="1440"/>
        </w:tabs>
        <w:rPr>
          <w:sz w:val="20"/>
          <w:szCs w:val="20"/>
        </w:rPr>
      </w:pPr>
      <w:r w:rsidRPr="00D4147E">
        <w:rPr>
          <w:sz w:val="20"/>
          <w:szCs w:val="20"/>
          <w:u w:val="single"/>
        </w:rPr>
        <w:t>Block D - CQE certification</w:t>
      </w:r>
      <w:r w:rsidRPr="00D4147E">
        <w:rPr>
          <w:sz w:val="20"/>
          <w:szCs w:val="20"/>
          <w:u w:val="single"/>
        </w:rPr>
        <w:cr/>
      </w:r>
      <w:r w:rsidRPr="00D4147E">
        <w:rPr>
          <w:sz w:val="20"/>
          <w:szCs w:val="20"/>
        </w:rPr>
        <w:tab/>
        <w:t xml:space="preserve">Signature </w:t>
      </w:r>
      <w:r>
        <w:rPr>
          <w:sz w:val="20"/>
          <w:szCs w:val="20"/>
        </w:rPr>
        <w:t xml:space="preserve">and printed name </w:t>
      </w:r>
      <w:r w:rsidRPr="00D4147E">
        <w:rPr>
          <w:sz w:val="20"/>
          <w:szCs w:val="20"/>
        </w:rPr>
        <w:t xml:space="preserve">of </w:t>
      </w:r>
      <w:r>
        <w:rPr>
          <w:sz w:val="20"/>
          <w:szCs w:val="20"/>
        </w:rPr>
        <w:t>a</w:t>
      </w:r>
      <w:r w:rsidRPr="00D4147E">
        <w:rPr>
          <w:sz w:val="20"/>
          <w:szCs w:val="20"/>
        </w:rPr>
        <w:t>pplicant or Authorized Representative</w:t>
      </w:r>
      <w:r>
        <w:rPr>
          <w:sz w:val="20"/>
          <w:szCs w:val="20"/>
        </w:rPr>
        <w:t xml:space="preserve"> and date signed</w:t>
      </w:r>
    </w:p>
    <w:p w:rsidR="001931F7" w:rsidRDefault="00D4147E" w:rsidP="00D4147E">
      <w:pPr>
        <w:tabs>
          <w:tab w:val="left" w:pos="0"/>
          <w:tab w:val="left" w:pos="360"/>
          <w:tab w:val="left" w:pos="720"/>
          <w:tab w:val="left" w:pos="1080"/>
          <w:tab w:val="left" w:pos="1440"/>
        </w:tabs>
        <w:rPr>
          <w:sz w:val="20"/>
          <w:szCs w:val="20"/>
        </w:rPr>
      </w:pPr>
      <w:r>
        <w:rPr>
          <w:sz w:val="20"/>
          <w:szCs w:val="20"/>
        </w:rPr>
        <w:tab/>
      </w:r>
      <w:r w:rsidRPr="00D4147E">
        <w:rPr>
          <w:sz w:val="20"/>
          <w:szCs w:val="20"/>
        </w:rPr>
        <w:t xml:space="preserve">If representative, </w:t>
      </w:r>
      <w:r w:rsidRPr="00D4147E">
        <w:rPr>
          <w:b/>
          <w:sz w:val="20"/>
          <w:szCs w:val="20"/>
        </w:rPr>
        <w:t>attach</w:t>
      </w:r>
      <w:r w:rsidRPr="00D4147E">
        <w:rPr>
          <w:sz w:val="20"/>
          <w:szCs w:val="20"/>
        </w:rPr>
        <w:t xml:space="preserve"> authorization.</w:t>
      </w:r>
    </w:p>
    <w:p w:rsidR="0087792C" w:rsidRPr="0087792C" w:rsidRDefault="0087792C" w:rsidP="0087792C">
      <w:pPr>
        <w:tabs>
          <w:tab w:val="left" w:pos="0"/>
          <w:tab w:val="left" w:pos="360"/>
          <w:tab w:val="left" w:pos="720"/>
          <w:tab w:val="left" w:pos="1080"/>
          <w:tab w:val="left" w:pos="1440"/>
        </w:tabs>
        <w:rPr>
          <w:sz w:val="20"/>
          <w:szCs w:val="20"/>
        </w:rPr>
      </w:pPr>
      <w:r w:rsidRPr="0087792C">
        <w:rPr>
          <w:sz w:val="20"/>
          <w:szCs w:val="20"/>
        </w:rPr>
        <w:tab/>
      </w:r>
      <w:r w:rsidRPr="0087792C">
        <w:rPr>
          <w:sz w:val="20"/>
          <w:szCs w:val="20"/>
        </w:rPr>
        <w:tab/>
      </w:r>
      <w:r w:rsidRPr="0087792C">
        <w:rPr>
          <w:sz w:val="20"/>
          <w:szCs w:val="20"/>
        </w:rPr>
        <w:tab/>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433917" w:rsidRPr="00D7184F" w:rsidTr="007A303F">
        <w:trPr>
          <w:jc w:val="center"/>
        </w:trPr>
        <w:tc>
          <w:tcPr>
            <w:tcW w:w="4986" w:type="dxa"/>
            <w:gridSpan w:val="2"/>
          </w:tcPr>
          <w:p w:rsidR="00433917" w:rsidRPr="00D7184F" w:rsidRDefault="00013FD7" w:rsidP="007A303F">
            <w:pPr>
              <w:rPr>
                <w:b/>
                <w:sz w:val="20"/>
                <w:szCs w:val="20"/>
              </w:rPr>
            </w:pPr>
            <w:r>
              <w:br w:type="page"/>
            </w:r>
            <w:r w:rsidR="00433917">
              <w:rPr>
                <w:b/>
                <w:sz w:val="20"/>
                <w:szCs w:val="20"/>
              </w:rPr>
              <w:t>Application for CQE to receive non-trawl groundfish LLP</w:t>
            </w:r>
            <w:r w:rsidR="00433917" w:rsidRPr="00D7184F">
              <w:rPr>
                <w:b/>
                <w:sz w:val="20"/>
                <w:szCs w:val="20"/>
              </w:rPr>
              <w:t>, Respondent</w:t>
            </w:r>
          </w:p>
        </w:tc>
      </w:tr>
      <w:tr w:rsidR="00433917" w:rsidRPr="00D7184F" w:rsidTr="007A303F">
        <w:trPr>
          <w:jc w:val="center"/>
        </w:trPr>
        <w:tc>
          <w:tcPr>
            <w:tcW w:w="3933" w:type="dxa"/>
          </w:tcPr>
          <w:p w:rsidR="00433917" w:rsidRDefault="00433917" w:rsidP="007A303F">
            <w:pPr>
              <w:rPr>
                <w:b/>
                <w:sz w:val="20"/>
                <w:szCs w:val="20"/>
              </w:rPr>
            </w:pPr>
            <w:r w:rsidRPr="00AF5BFB">
              <w:rPr>
                <w:b/>
                <w:sz w:val="20"/>
                <w:szCs w:val="20"/>
              </w:rPr>
              <w:t>Estimated number of respondents</w:t>
            </w:r>
          </w:p>
          <w:p w:rsidR="00433917" w:rsidRPr="00AF5BFB" w:rsidRDefault="00433917" w:rsidP="007A303F">
            <w:pPr>
              <w:rPr>
                <w:b/>
                <w:sz w:val="20"/>
                <w:szCs w:val="20"/>
              </w:rPr>
            </w:pPr>
            <w:r w:rsidRPr="00AF5BFB">
              <w:rPr>
                <w:b/>
                <w:sz w:val="20"/>
                <w:szCs w:val="20"/>
              </w:rPr>
              <w:t>Total annual responses</w:t>
            </w:r>
            <w:r w:rsidR="00013FD7">
              <w:rPr>
                <w:b/>
                <w:sz w:val="20"/>
                <w:szCs w:val="20"/>
              </w:rPr>
              <w:t xml:space="preserve"> = 1</w:t>
            </w:r>
          </w:p>
          <w:p w:rsidR="00433917" w:rsidRPr="00D7184F" w:rsidRDefault="00433917" w:rsidP="007A303F">
            <w:pPr>
              <w:rPr>
                <w:sz w:val="20"/>
                <w:szCs w:val="20"/>
              </w:rPr>
            </w:pPr>
            <w:r w:rsidRPr="00D7184F">
              <w:rPr>
                <w:sz w:val="20"/>
                <w:szCs w:val="20"/>
              </w:rPr>
              <w:t xml:space="preserve">   </w:t>
            </w:r>
            <w:r w:rsidR="00013FD7">
              <w:rPr>
                <w:sz w:val="20"/>
                <w:szCs w:val="20"/>
              </w:rPr>
              <w:t>Frequency of r</w:t>
            </w:r>
            <w:r w:rsidRPr="00D7184F">
              <w:rPr>
                <w:sz w:val="20"/>
                <w:szCs w:val="20"/>
              </w:rPr>
              <w:t>esponse =</w:t>
            </w:r>
            <w:r>
              <w:rPr>
                <w:sz w:val="20"/>
                <w:szCs w:val="20"/>
              </w:rPr>
              <w:t xml:space="preserve"> </w:t>
            </w:r>
            <w:r w:rsidR="00013FD7">
              <w:rPr>
                <w:sz w:val="20"/>
                <w:szCs w:val="20"/>
              </w:rPr>
              <w:t>initial application</w:t>
            </w:r>
            <w:r w:rsidRPr="00D7184F">
              <w:rPr>
                <w:sz w:val="20"/>
                <w:szCs w:val="20"/>
              </w:rPr>
              <w:t xml:space="preserve"> </w:t>
            </w:r>
          </w:p>
          <w:p w:rsidR="00433917" w:rsidRPr="00D7184F" w:rsidRDefault="00433917" w:rsidP="007A303F">
            <w:pPr>
              <w:rPr>
                <w:b/>
                <w:sz w:val="20"/>
                <w:szCs w:val="20"/>
              </w:rPr>
            </w:pPr>
            <w:r w:rsidRPr="00D7184F">
              <w:rPr>
                <w:b/>
                <w:sz w:val="20"/>
                <w:szCs w:val="20"/>
              </w:rPr>
              <w:t>Total burden hours</w:t>
            </w:r>
          </w:p>
          <w:p w:rsidR="00433917" w:rsidRDefault="00433917" w:rsidP="007A303F">
            <w:pPr>
              <w:rPr>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sidR="00013FD7">
              <w:rPr>
                <w:sz w:val="20"/>
                <w:szCs w:val="20"/>
              </w:rPr>
              <w:t>20 hr</w:t>
            </w:r>
          </w:p>
          <w:p w:rsidR="00433917" w:rsidRPr="00D7184F" w:rsidRDefault="00433917" w:rsidP="007A303F">
            <w:pPr>
              <w:rPr>
                <w:sz w:val="20"/>
                <w:szCs w:val="20"/>
              </w:rPr>
            </w:pPr>
            <w:r w:rsidRPr="00D7184F">
              <w:rPr>
                <w:b/>
                <w:sz w:val="20"/>
                <w:szCs w:val="20"/>
              </w:rPr>
              <w:t xml:space="preserve">Total personnel cost </w:t>
            </w:r>
            <w:r w:rsidRPr="00D7184F">
              <w:rPr>
                <w:sz w:val="20"/>
                <w:szCs w:val="20"/>
              </w:rPr>
              <w:t xml:space="preserve">= </w:t>
            </w:r>
            <w:r>
              <w:rPr>
                <w:sz w:val="20"/>
                <w:szCs w:val="20"/>
              </w:rPr>
              <w:t>$25/hr</w:t>
            </w:r>
          </w:p>
          <w:p w:rsidR="00433917" w:rsidRDefault="00433917" w:rsidP="007A303F">
            <w:pPr>
              <w:rPr>
                <w:sz w:val="20"/>
                <w:szCs w:val="20"/>
              </w:rPr>
            </w:pPr>
            <w:r w:rsidRPr="00D7184F">
              <w:rPr>
                <w:b/>
                <w:sz w:val="20"/>
                <w:szCs w:val="20"/>
              </w:rPr>
              <w:t xml:space="preserve">Total miscellaneous costs </w:t>
            </w:r>
            <w:r w:rsidRPr="00B15C34">
              <w:rPr>
                <w:sz w:val="20"/>
                <w:szCs w:val="20"/>
              </w:rPr>
              <w:t>(</w:t>
            </w:r>
            <w:r w:rsidR="00F10DEF">
              <w:rPr>
                <w:sz w:val="20"/>
                <w:szCs w:val="20"/>
              </w:rPr>
              <w:t>7.60)</w:t>
            </w:r>
          </w:p>
          <w:p w:rsidR="00433917" w:rsidRDefault="00433917" w:rsidP="007A303F">
            <w:pPr>
              <w:rPr>
                <w:sz w:val="20"/>
                <w:szCs w:val="20"/>
              </w:rPr>
            </w:pPr>
            <w:r w:rsidRPr="00D7184F">
              <w:rPr>
                <w:sz w:val="20"/>
                <w:szCs w:val="20"/>
              </w:rPr>
              <w:t xml:space="preserve">   Photocopy</w:t>
            </w:r>
            <w:r>
              <w:rPr>
                <w:sz w:val="20"/>
                <w:szCs w:val="20"/>
              </w:rPr>
              <w:t xml:space="preserve"> ( </w:t>
            </w:r>
            <w:r w:rsidR="007A541A">
              <w:rPr>
                <w:sz w:val="20"/>
                <w:szCs w:val="20"/>
              </w:rPr>
              <w:t xml:space="preserve">10 </w:t>
            </w:r>
            <w:r>
              <w:rPr>
                <w:sz w:val="20"/>
                <w:szCs w:val="20"/>
              </w:rPr>
              <w:t>pp x .05 x</w:t>
            </w:r>
            <w:r w:rsidR="007A541A">
              <w:rPr>
                <w:sz w:val="20"/>
                <w:szCs w:val="20"/>
              </w:rPr>
              <w:t xml:space="preserve"> 8 = 4)</w:t>
            </w:r>
            <w:r>
              <w:rPr>
                <w:sz w:val="20"/>
                <w:szCs w:val="20"/>
              </w:rPr>
              <w:t xml:space="preserve"> </w:t>
            </w:r>
          </w:p>
          <w:p w:rsidR="00433917" w:rsidRPr="007A541A" w:rsidRDefault="00433917" w:rsidP="007A303F">
            <w:pPr>
              <w:rPr>
                <w:sz w:val="20"/>
                <w:szCs w:val="20"/>
              </w:rPr>
            </w:pPr>
            <w:r w:rsidRPr="00D7184F">
              <w:rPr>
                <w:sz w:val="20"/>
                <w:szCs w:val="20"/>
              </w:rPr>
              <w:t xml:space="preserve">   Postage</w:t>
            </w:r>
            <w:r>
              <w:rPr>
                <w:sz w:val="20"/>
                <w:szCs w:val="20"/>
              </w:rPr>
              <w:t xml:space="preserve"> (0.45 x </w:t>
            </w:r>
            <w:r w:rsidR="007A541A">
              <w:rPr>
                <w:sz w:val="20"/>
                <w:szCs w:val="20"/>
              </w:rPr>
              <w:t>8 = 3.60)</w:t>
            </w:r>
          </w:p>
        </w:tc>
        <w:tc>
          <w:tcPr>
            <w:tcW w:w="1053" w:type="dxa"/>
          </w:tcPr>
          <w:p w:rsidR="00433917" w:rsidRDefault="00013FD7" w:rsidP="007A303F">
            <w:pPr>
              <w:jc w:val="right"/>
              <w:rPr>
                <w:b/>
                <w:sz w:val="20"/>
                <w:szCs w:val="20"/>
              </w:rPr>
            </w:pPr>
            <w:r>
              <w:rPr>
                <w:b/>
                <w:sz w:val="20"/>
                <w:szCs w:val="20"/>
              </w:rPr>
              <w:t>8</w:t>
            </w:r>
          </w:p>
          <w:p w:rsidR="00013FD7" w:rsidRDefault="00013FD7" w:rsidP="007A303F">
            <w:pPr>
              <w:jc w:val="right"/>
              <w:rPr>
                <w:b/>
                <w:sz w:val="20"/>
                <w:szCs w:val="20"/>
              </w:rPr>
            </w:pPr>
            <w:r>
              <w:rPr>
                <w:b/>
                <w:sz w:val="20"/>
                <w:szCs w:val="20"/>
              </w:rPr>
              <w:t>8</w:t>
            </w:r>
          </w:p>
          <w:p w:rsidR="00433917" w:rsidRDefault="00433917" w:rsidP="007A303F">
            <w:pPr>
              <w:jc w:val="right"/>
              <w:rPr>
                <w:b/>
                <w:sz w:val="20"/>
                <w:szCs w:val="20"/>
              </w:rPr>
            </w:pPr>
          </w:p>
          <w:p w:rsidR="00433917" w:rsidRDefault="007A541A" w:rsidP="007A303F">
            <w:pPr>
              <w:jc w:val="right"/>
              <w:rPr>
                <w:b/>
                <w:sz w:val="20"/>
                <w:szCs w:val="20"/>
              </w:rPr>
            </w:pPr>
            <w:r>
              <w:rPr>
                <w:b/>
                <w:sz w:val="20"/>
                <w:szCs w:val="20"/>
              </w:rPr>
              <w:t>160 hr</w:t>
            </w:r>
          </w:p>
          <w:p w:rsidR="007A541A" w:rsidRDefault="007A541A" w:rsidP="007A303F">
            <w:pPr>
              <w:jc w:val="right"/>
              <w:rPr>
                <w:b/>
                <w:sz w:val="20"/>
                <w:szCs w:val="20"/>
              </w:rPr>
            </w:pPr>
          </w:p>
          <w:p w:rsidR="007A541A" w:rsidRDefault="007A541A" w:rsidP="007A303F">
            <w:pPr>
              <w:jc w:val="right"/>
              <w:rPr>
                <w:b/>
                <w:sz w:val="20"/>
                <w:szCs w:val="20"/>
              </w:rPr>
            </w:pPr>
            <w:r>
              <w:rPr>
                <w:b/>
                <w:sz w:val="20"/>
                <w:szCs w:val="20"/>
              </w:rPr>
              <w:t>$4,000</w:t>
            </w:r>
          </w:p>
          <w:p w:rsidR="007A541A" w:rsidRPr="00AF5BFB" w:rsidRDefault="00DB38FF" w:rsidP="007A303F">
            <w:pPr>
              <w:jc w:val="right"/>
              <w:rPr>
                <w:b/>
                <w:sz w:val="20"/>
                <w:szCs w:val="20"/>
              </w:rPr>
            </w:pPr>
            <w:r>
              <w:rPr>
                <w:b/>
                <w:sz w:val="20"/>
                <w:szCs w:val="20"/>
              </w:rPr>
              <w:t>$8</w:t>
            </w:r>
          </w:p>
        </w:tc>
      </w:tr>
    </w:tbl>
    <w:p w:rsidR="00760F26" w:rsidRDefault="00433917" w:rsidP="00433917">
      <w:pPr>
        <w:tabs>
          <w:tab w:val="left" w:pos="2112"/>
        </w:tabs>
        <w:rPr>
          <w:sz w:val="20"/>
          <w:szCs w:val="20"/>
        </w:rPr>
      </w:pPr>
      <w:r w:rsidRPr="00D7184F">
        <w:rPr>
          <w:vanish/>
          <w:sz w:val="20"/>
          <w:szCs w:val="20"/>
        </w:rPr>
        <w:cr/>
        <w:t>Halibut CDQ and PSQ transfer request</w:t>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sidRPr="00D7184F">
        <w:rPr>
          <w:vanish/>
          <w:sz w:val="20"/>
          <w:szCs w:val="20"/>
        </w:rPr>
        <w:pgNum/>
      </w:r>
      <w:r>
        <w:rPr>
          <w:sz w:val="20"/>
          <w:szCs w:val="20"/>
        </w:rPr>
        <w:tab/>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433917" w:rsidRPr="00D7184F" w:rsidTr="007A303F">
        <w:trPr>
          <w:jc w:val="center"/>
        </w:trPr>
        <w:tc>
          <w:tcPr>
            <w:tcW w:w="4995" w:type="dxa"/>
            <w:gridSpan w:val="2"/>
          </w:tcPr>
          <w:p w:rsidR="00433917" w:rsidRPr="00D7184F" w:rsidRDefault="00760F26" w:rsidP="007A303F">
            <w:pPr>
              <w:rPr>
                <w:b/>
                <w:sz w:val="20"/>
                <w:szCs w:val="20"/>
              </w:rPr>
            </w:pPr>
            <w:r>
              <w:rPr>
                <w:sz w:val="20"/>
                <w:szCs w:val="20"/>
              </w:rPr>
              <w:br w:type="page"/>
            </w:r>
            <w:r w:rsidR="00433917">
              <w:rPr>
                <w:sz w:val="20"/>
                <w:szCs w:val="20"/>
              </w:rPr>
              <w:br w:type="page"/>
            </w:r>
            <w:r w:rsidR="00433917">
              <w:rPr>
                <w:b/>
                <w:sz w:val="20"/>
                <w:szCs w:val="20"/>
              </w:rPr>
              <w:t>Application for CQE to receive non-trawl groundfish LLP</w:t>
            </w:r>
            <w:r w:rsidR="00433917" w:rsidRPr="00D7184F">
              <w:rPr>
                <w:b/>
                <w:sz w:val="20"/>
                <w:szCs w:val="20"/>
              </w:rPr>
              <w:t>,  Federal Government</w:t>
            </w:r>
          </w:p>
        </w:tc>
      </w:tr>
      <w:tr w:rsidR="00433917" w:rsidRPr="00D7184F" w:rsidTr="007A303F">
        <w:trPr>
          <w:jc w:val="center"/>
        </w:trPr>
        <w:tc>
          <w:tcPr>
            <w:tcW w:w="3938" w:type="dxa"/>
          </w:tcPr>
          <w:p w:rsidR="00433917" w:rsidRPr="00D7184F" w:rsidRDefault="00433917" w:rsidP="007A303F">
            <w:pPr>
              <w:rPr>
                <w:b/>
                <w:sz w:val="20"/>
                <w:szCs w:val="20"/>
              </w:rPr>
            </w:pPr>
            <w:r w:rsidRPr="00D7184F">
              <w:rPr>
                <w:b/>
                <w:sz w:val="20"/>
                <w:szCs w:val="20"/>
              </w:rPr>
              <w:t>Total annual responses</w:t>
            </w:r>
          </w:p>
          <w:p w:rsidR="00AD1C21" w:rsidRDefault="00433917" w:rsidP="007A303F">
            <w:pPr>
              <w:rPr>
                <w:b/>
                <w:sz w:val="20"/>
                <w:szCs w:val="20"/>
              </w:rPr>
            </w:pPr>
            <w:r w:rsidRPr="00D7184F">
              <w:rPr>
                <w:b/>
                <w:sz w:val="20"/>
                <w:szCs w:val="20"/>
              </w:rPr>
              <w:t>Total burden hours</w:t>
            </w:r>
          </w:p>
          <w:p w:rsidR="00433917" w:rsidRPr="00AD1C21" w:rsidRDefault="00AD1C21" w:rsidP="007A303F">
            <w:pPr>
              <w:rPr>
                <w:sz w:val="20"/>
                <w:szCs w:val="20"/>
              </w:rPr>
            </w:pPr>
            <w:r>
              <w:rPr>
                <w:b/>
                <w:sz w:val="20"/>
                <w:szCs w:val="20"/>
              </w:rPr>
              <w:t xml:space="preserve">   </w:t>
            </w:r>
            <w:r w:rsidRPr="00AD1C21">
              <w:rPr>
                <w:sz w:val="20"/>
                <w:szCs w:val="20"/>
              </w:rPr>
              <w:t>Time per response = 4 hr</w:t>
            </w:r>
            <w:r w:rsidR="00433917" w:rsidRPr="00AD1C21">
              <w:rPr>
                <w:sz w:val="20"/>
                <w:szCs w:val="20"/>
              </w:rPr>
              <w:t xml:space="preserve"> </w:t>
            </w:r>
          </w:p>
          <w:p w:rsidR="00433917" w:rsidRPr="00D7184F" w:rsidRDefault="00433917" w:rsidP="007A303F">
            <w:pPr>
              <w:rPr>
                <w:sz w:val="20"/>
                <w:szCs w:val="20"/>
              </w:rPr>
            </w:pPr>
            <w:r w:rsidRPr="00D7184F">
              <w:rPr>
                <w:b/>
                <w:sz w:val="20"/>
                <w:szCs w:val="20"/>
              </w:rPr>
              <w:t xml:space="preserve">Total personnel cost </w:t>
            </w:r>
            <w:r>
              <w:rPr>
                <w:sz w:val="20"/>
                <w:szCs w:val="20"/>
              </w:rPr>
              <w:t xml:space="preserve"> </w:t>
            </w:r>
            <w:r w:rsidR="00AD1C21">
              <w:rPr>
                <w:sz w:val="20"/>
                <w:szCs w:val="20"/>
              </w:rPr>
              <w:t>(</w:t>
            </w:r>
            <w:r>
              <w:rPr>
                <w:sz w:val="20"/>
                <w:szCs w:val="20"/>
              </w:rPr>
              <w:t>$25/hr</w:t>
            </w:r>
            <w:r w:rsidR="00AD1C21">
              <w:rPr>
                <w:sz w:val="20"/>
                <w:szCs w:val="20"/>
              </w:rPr>
              <w:t xml:space="preserve"> x 32)</w:t>
            </w:r>
          </w:p>
          <w:p w:rsidR="00433917" w:rsidRPr="00D7184F" w:rsidRDefault="00433917" w:rsidP="007A303F">
            <w:pPr>
              <w:rPr>
                <w:sz w:val="20"/>
                <w:szCs w:val="20"/>
              </w:rPr>
            </w:pPr>
            <w:r w:rsidRPr="00D7184F">
              <w:rPr>
                <w:b/>
                <w:sz w:val="20"/>
                <w:szCs w:val="20"/>
              </w:rPr>
              <w:t>Total miscellaneous cost</w:t>
            </w:r>
            <w:r w:rsidRPr="00D7184F">
              <w:rPr>
                <w:sz w:val="20"/>
                <w:szCs w:val="20"/>
              </w:rPr>
              <w:t xml:space="preserve">   </w:t>
            </w:r>
          </w:p>
        </w:tc>
        <w:tc>
          <w:tcPr>
            <w:tcW w:w="1057" w:type="dxa"/>
          </w:tcPr>
          <w:p w:rsidR="00433917" w:rsidRDefault="007A541A" w:rsidP="007A303F">
            <w:pPr>
              <w:jc w:val="right"/>
              <w:rPr>
                <w:b/>
                <w:sz w:val="20"/>
                <w:szCs w:val="20"/>
              </w:rPr>
            </w:pPr>
            <w:r>
              <w:rPr>
                <w:b/>
                <w:sz w:val="20"/>
                <w:szCs w:val="20"/>
              </w:rPr>
              <w:t>8</w:t>
            </w:r>
          </w:p>
          <w:p w:rsidR="007A541A" w:rsidRDefault="007A541A" w:rsidP="007A303F">
            <w:pPr>
              <w:jc w:val="right"/>
              <w:rPr>
                <w:b/>
                <w:sz w:val="20"/>
                <w:szCs w:val="20"/>
              </w:rPr>
            </w:pPr>
            <w:r>
              <w:rPr>
                <w:b/>
                <w:sz w:val="20"/>
                <w:szCs w:val="20"/>
              </w:rPr>
              <w:t>32 hr</w:t>
            </w:r>
          </w:p>
          <w:p w:rsidR="00AD1C21" w:rsidRDefault="00AD1C21" w:rsidP="007A303F">
            <w:pPr>
              <w:jc w:val="right"/>
              <w:rPr>
                <w:b/>
                <w:sz w:val="20"/>
                <w:szCs w:val="20"/>
              </w:rPr>
            </w:pPr>
          </w:p>
          <w:p w:rsidR="00AD1C21" w:rsidRDefault="00AD1C21" w:rsidP="007A303F">
            <w:pPr>
              <w:jc w:val="right"/>
              <w:rPr>
                <w:b/>
                <w:sz w:val="20"/>
                <w:szCs w:val="20"/>
              </w:rPr>
            </w:pPr>
            <w:r>
              <w:rPr>
                <w:b/>
                <w:sz w:val="20"/>
                <w:szCs w:val="20"/>
              </w:rPr>
              <w:t>$800</w:t>
            </w:r>
          </w:p>
          <w:p w:rsidR="00AD1C21" w:rsidRPr="00D7184F" w:rsidRDefault="00AD1C21" w:rsidP="007A303F">
            <w:pPr>
              <w:jc w:val="right"/>
              <w:rPr>
                <w:b/>
                <w:sz w:val="20"/>
                <w:szCs w:val="20"/>
              </w:rPr>
            </w:pPr>
            <w:r>
              <w:rPr>
                <w:b/>
                <w:sz w:val="20"/>
                <w:szCs w:val="20"/>
              </w:rPr>
              <w:t>0</w:t>
            </w:r>
          </w:p>
        </w:tc>
      </w:tr>
    </w:tbl>
    <w:p w:rsidR="00433917" w:rsidRDefault="00433917" w:rsidP="00433917">
      <w:pPr>
        <w:tabs>
          <w:tab w:val="left" w:pos="360"/>
          <w:tab w:val="left" w:pos="720"/>
          <w:tab w:val="left" w:pos="1080"/>
        </w:tabs>
        <w:ind w:left="720" w:hanging="720"/>
        <w:rPr>
          <w:sz w:val="20"/>
          <w:szCs w:val="20"/>
        </w:rPr>
      </w:pPr>
    </w:p>
    <w:p w:rsidR="00523284" w:rsidRDefault="00523284" w:rsidP="00024E3D">
      <w:pPr>
        <w:rPr>
          <w:b/>
          <w:sz w:val="20"/>
          <w:szCs w:val="20"/>
        </w:rPr>
      </w:pPr>
    </w:p>
    <w:p w:rsidR="00CC1D42" w:rsidRPr="00CC1D42" w:rsidRDefault="00713304" w:rsidP="00024E3D">
      <w:pPr>
        <w:rPr>
          <w:b/>
        </w:rPr>
      </w:pPr>
      <w:proofErr w:type="gramStart"/>
      <w:r w:rsidRPr="00523284">
        <w:rPr>
          <w:b/>
        </w:rPr>
        <w:t>f</w:t>
      </w:r>
      <w:r w:rsidR="00CC1D42" w:rsidRPr="00523284">
        <w:rPr>
          <w:b/>
        </w:rPr>
        <w:t xml:space="preserve">.  </w:t>
      </w:r>
      <w:r w:rsidR="00326FFA">
        <w:rPr>
          <w:b/>
        </w:rPr>
        <w:t>Community</w:t>
      </w:r>
      <w:proofErr w:type="gramEnd"/>
      <w:r w:rsidR="00326FFA">
        <w:rPr>
          <w:b/>
        </w:rPr>
        <w:t xml:space="preserve"> Entity Quota (</w:t>
      </w:r>
      <w:r w:rsidR="00EF61D7">
        <w:rPr>
          <w:b/>
        </w:rPr>
        <w:t>CQE</w:t>
      </w:r>
      <w:r w:rsidR="00326FFA">
        <w:rPr>
          <w:b/>
        </w:rPr>
        <w:t>) Program</w:t>
      </w:r>
      <w:r w:rsidR="00EF61D7">
        <w:rPr>
          <w:b/>
        </w:rPr>
        <w:t xml:space="preserve"> </w:t>
      </w:r>
      <w:r w:rsidR="00326FFA">
        <w:rPr>
          <w:b/>
        </w:rPr>
        <w:t>A</w:t>
      </w:r>
      <w:r w:rsidR="00CC1D42" w:rsidRPr="00CC1D42">
        <w:rPr>
          <w:b/>
        </w:rPr>
        <w:t xml:space="preserve">nnual </w:t>
      </w:r>
      <w:r w:rsidR="00EF61D7">
        <w:rPr>
          <w:b/>
        </w:rPr>
        <w:t>R</w:t>
      </w:r>
      <w:r w:rsidR="00CC1D42" w:rsidRPr="00CC1D42">
        <w:rPr>
          <w:b/>
        </w:rPr>
        <w:t>eport</w:t>
      </w:r>
      <w:r w:rsidR="00EB7A79">
        <w:rPr>
          <w:b/>
        </w:rPr>
        <w:t xml:space="preserve"> </w:t>
      </w:r>
      <w:r w:rsidR="003D3585">
        <w:rPr>
          <w:b/>
        </w:rPr>
        <w:t>[</w:t>
      </w:r>
      <w:r w:rsidR="0028618A">
        <w:rPr>
          <w:b/>
        </w:rPr>
        <w:t>REVISED</w:t>
      </w:r>
      <w:r w:rsidR="003D3585">
        <w:rPr>
          <w:b/>
        </w:rPr>
        <w:t>]</w:t>
      </w:r>
    </w:p>
    <w:p w:rsidR="00CC1D42" w:rsidRDefault="00CC1D42" w:rsidP="00111979">
      <w:pPr>
        <w:tabs>
          <w:tab w:val="left" w:pos="720"/>
        </w:tabs>
      </w:pPr>
    </w:p>
    <w:p w:rsidR="00A92B2A" w:rsidRDefault="00844612" w:rsidP="00111979">
      <w:pPr>
        <w:tabs>
          <w:tab w:val="left" w:pos="720"/>
        </w:tabs>
      </w:pPr>
      <w:r w:rsidRPr="00844612">
        <w:t>Consistent with current annual reporting requirements applicable to GOA CQEs</w:t>
      </w:r>
      <w:r w:rsidR="00BD6409">
        <w:t xml:space="preserve">, </w:t>
      </w:r>
      <w:r w:rsidRPr="00844612">
        <w:t xml:space="preserve">the Aleutian Islands CQE would need to submit an annual report by January 31 to NMFS and to the governing body for the community represented by the CQE (i.e., City of Adak), detailing the use of QS and IFQ by the CQE and fishery participants during the previous year’s fishing season.  </w:t>
      </w:r>
    </w:p>
    <w:p w:rsidR="00A92B2A" w:rsidRDefault="00A92B2A" w:rsidP="00111979">
      <w:pPr>
        <w:tabs>
          <w:tab w:val="left" w:pos="720"/>
        </w:tabs>
      </w:pPr>
    </w:p>
    <w:p w:rsidR="00C3529F" w:rsidRDefault="00C3529F" w:rsidP="00111979">
      <w:pPr>
        <w:tabs>
          <w:tab w:val="left" w:pos="720"/>
        </w:tabs>
      </w:pPr>
      <w:r>
        <w:t xml:space="preserve">The </w:t>
      </w:r>
      <w:r w:rsidR="00A92B2A">
        <w:t xml:space="preserve">Aleutian Islands </w:t>
      </w:r>
      <w:r w:rsidR="00844612" w:rsidRPr="00844612">
        <w:t xml:space="preserve">CQE </w:t>
      </w:r>
      <w:r>
        <w:t xml:space="preserve">must </w:t>
      </w:r>
      <w:r w:rsidR="00844612" w:rsidRPr="00844612">
        <w:t xml:space="preserve">provide a description of the process used to solicit applications from eligible community residents and non-residents; the total number of eligible community residents and non-residents who applied to use IFQ; a detailed description of the criteria used by the CQE to distribute IFQ among eligible community residents and non-residents who applied to use IFQ; and any payments made to the CQE for use of the IFQ by eligible community residents and non-residents. </w:t>
      </w:r>
    </w:p>
    <w:p w:rsidR="00C3529F" w:rsidRDefault="00C3529F" w:rsidP="00111979">
      <w:pPr>
        <w:tabs>
          <w:tab w:val="left" w:pos="720"/>
        </w:tabs>
      </w:pPr>
    </w:p>
    <w:p w:rsidR="0023550C" w:rsidRDefault="00C3529F" w:rsidP="00111979">
      <w:pPr>
        <w:tabs>
          <w:tab w:val="left" w:pos="720"/>
        </w:tabs>
      </w:pPr>
      <w:r w:rsidRPr="00C3529F">
        <w:t xml:space="preserve">Consistent with regulations applicable to the GOA CQE Program, an individual who receives IFQ derived from QS held by a CQE may not designate a hired master to fish the community IFQ: the individual must be on board the vessel when the IFQ is being fished.  This provision is </w:t>
      </w:r>
      <w:r w:rsidRPr="00C3529F">
        <w:lastRenderedPageBreak/>
        <w:t xml:space="preserve">intended to ensure that the potential benefits of QS held by communities would be realized by the IFQ lease holder.  </w:t>
      </w:r>
    </w:p>
    <w:p w:rsidR="0023550C" w:rsidRDefault="0023550C" w:rsidP="00111979">
      <w:pPr>
        <w:tabs>
          <w:tab w:val="left" w:pos="720"/>
        </w:tabs>
      </w:pPr>
    </w:p>
    <w:p w:rsidR="00C3529F" w:rsidRDefault="00C3529F" w:rsidP="00111979">
      <w:pPr>
        <w:tabs>
          <w:tab w:val="left" w:pos="720"/>
        </w:tabs>
      </w:pPr>
      <w:r w:rsidRPr="00C3529F">
        <w:t xml:space="preserve">Individuals who hold leases of IFQ from communities would be considered IFQ permit holders and would be subject to the regulations that govern other permit holders, including the payment of annual </w:t>
      </w:r>
      <w:r>
        <w:t xml:space="preserve">IFQ cost recovery </w:t>
      </w:r>
      <w:r w:rsidRPr="00C3529F">
        <w:t>fees as required under § 679.45.</w:t>
      </w:r>
    </w:p>
    <w:p w:rsidR="0023550C" w:rsidRDefault="0023550C" w:rsidP="00111979">
      <w:pPr>
        <w:tabs>
          <w:tab w:val="left" w:pos="720"/>
        </w:tabs>
      </w:pPr>
    </w:p>
    <w:p w:rsidR="00C3529F" w:rsidRDefault="00623A2A" w:rsidP="00111979">
      <w:pPr>
        <w:tabs>
          <w:tab w:val="left" w:pos="720"/>
        </w:tabs>
      </w:pPr>
      <w:r w:rsidRPr="00623A2A">
        <w:t xml:space="preserve">The Aleutian Islands CQE </w:t>
      </w:r>
      <w:r>
        <w:t>could</w:t>
      </w:r>
      <w:r w:rsidRPr="00623A2A">
        <w:t xml:space="preserve"> lease any IFQ derived from their QS to either eligible community residents of Adak or non-residents for a period of up to 5 years after the effective date o</w:t>
      </w:r>
      <w:r>
        <w:t>f the final rule</w:t>
      </w:r>
      <w:r w:rsidRPr="00623A2A">
        <w:t>.  After the 5 year period, the CQE would be required to lease the annual IFQ derived from QS it holds only to eligible community residents of Adak.</w:t>
      </w:r>
    </w:p>
    <w:p w:rsidR="004D16F0" w:rsidRDefault="00844612" w:rsidP="00A67E02">
      <w:pPr>
        <w:tabs>
          <w:tab w:val="left" w:pos="720"/>
        </w:tabs>
      </w:pPr>
      <w:r w:rsidRPr="00844612">
        <w:t xml:space="preserve"> </w:t>
      </w:r>
    </w:p>
    <w:p w:rsidR="000C1563" w:rsidRDefault="000C1563" w:rsidP="004D16F0">
      <w:pPr>
        <w:tabs>
          <w:tab w:val="left" w:pos="360"/>
          <w:tab w:val="left" w:pos="720"/>
          <w:tab w:val="left" w:pos="1080"/>
        </w:tabs>
      </w:pPr>
      <w:r w:rsidRPr="000C1563">
        <w:t>The</w:t>
      </w:r>
      <w:r w:rsidR="00A67E02">
        <w:t xml:space="preserve"> Aleutian Islands CQE annual report </w:t>
      </w:r>
      <w:r w:rsidRPr="000C1563">
        <w:t>would gather information on the use of IFQ by persons who are not residents of Adak during the first 5 years after the effective date of th</w:t>
      </w:r>
      <w:r w:rsidR="00A67E02">
        <w:t xml:space="preserve">e final rule.  </w:t>
      </w:r>
      <w:r w:rsidRPr="000C1563">
        <w:t>These provisions would not affect GOA CQEs because existing regulations at § 679.42(e)(8) and (f)(7) prohibit persons other than eligible community residents from fishing the IFQ held by GOA CQEs; therefore, no additional reporting of information on non-residents would be required from GOA CQEs.</w:t>
      </w:r>
    </w:p>
    <w:p w:rsidR="00A67E02" w:rsidRDefault="00A67E02" w:rsidP="004D16F0">
      <w:pPr>
        <w:tabs>
          <w:tab w:val="left" w:pos="360"/>
          <w:tab w:val="left" w:pos="720"/>
          <w:tab w:val="left" w:pos="1080"/>
        </w:tabs>
      </w:pPr>
    </w:p>
    <w:p w:rsidR="00A92B2A" w:rsidRDefault="00A92B2A" w:rsidP="004D16F0">
      <w:pPr>
        <w:tabs>
          <w:tab w:val="left" w:pos="360"/>
          <w:tab w:val="left" w:pos="720"/>
          <w:tab w:val="left" w:pos="1080"/>
        </w:tabs>
      </w:pPr>
      <w:r>
        <w:t>I</w:t>
      </w:r>
      <w:r w:rsidR="00AB522E" w:rsidRPr="00AB522E">
        <w:t xml:space="preserve">f an Aleutian Islands CQE fails to submit a timely and complete annual report, or if other information indicates that the CQE is not adhering to the procedures for distributing or managing QS and IFQ on behalf of a community as established under its application, then NMFS would initiate an administrative action to suspend the ability of the CQE to transfer QS and IFQ, and to receive additional QS by transfer.  This action would be implemented consistent with the administrative review procedures provided at § 679.43.  </w:t>
      </w:r>
    </w:p>
    <w:p w:rsidR="00A92B2A" w:rsidRDefault="00A92B2A" w:rsidP="004D16F0">
      <w:pPr>
        <w:tabs>
          <w:tab w:val="left" w:pos="360"/>
          <w:tab w:val="left" w:pos="720"/>
          <w:tab w:val="left" w:pos="1080"/>
        </w:tabs>
      </w:pPr>
    </w:p>
    <w:p w:rsidR="00AB522E" w:rsidRDefault="00AB522E" w:rsidP="004D16F0">
      <w:pPr>
        <w:tabs>
          <w:tab w:val="left" w:pos="360"/>
          <w:tab w:val="left" w:pos="720"/>
          <w:tab w:val="left" w:pos="1080"/>
        </w:tabs>
      </w:pPr>
      <w:r w:rsidRPr="00AB522E">
        <w:t>To ensure that the CQE acts in the best interest of the community and fulfills all the requirements established in its application for eligibility and the regulations for this program, an eligible community is encouraged to provide a CQE monitoring mechanism.</w:t>
      </w:r>
    </w:p>
    <w:p w:rsidR="00AB522E" w:rsidRDefault="00AB522E" w:rsidP="004D16F0">
      <w:pPr>
        <w:tabs>
          <w:tab w:val="left" w:pos="360"/>
          <w:tab w:val="left" w:pos="720"/>
          <w:tab w:val="left" w:pos="1080"/>
        </w:tabs>
      </w:pPr>
    </w:p>
    <w:p w:rsidR="004D16F0" w:rsidRDefault="004D16F0" w:rsidP="004D16F0">
      <w:pPr>
        <w:tabs>
          <w:tab w:val="left" w:pos="360"/>
          <w:tab w:val="left" w:pos="720"/>
          <w:tab w:val="left" w:pos="1080"/>
        </w:tabs>
      </w:pPr>
      <w:r>
        <w:t>The CQE may combine annual reports about its holdings of community</w:t>
      </w:r>
      <w:r w:rsidR="001014AC">
        <w:t xml:space="preserve"> CHP</w:t>
      </w:r>
      <w:r>
        <w:t xml:space="preserve"> permits, IFQ, and LLPs in one report.  A CQE must submit annual report data for the community</w:t>
      </w:r>
      <w:r w:rsidR="001014AC">
        <w:t xml:space="preserve"> CHP</w:t>
      </w:r>
      <w:r>
        <w:t xml:space="preserve"> permit, IFQ, and LLP permits it held during the calendar year.  A CQE is not required to submit an annual report for any calendar year in which it did not hold any community charter halibut permits, IFQ, or LLPs.</w:t>
      </w:r>
    </w:p>
    <w:p w:rsidR="004D16F0" w:rsidRDefault="004D16F0" w:rsidP="004D16F0">
      <w:pPr>
        <w:tabs>
          <w:tab w:val="left" w:pos="360"/>
          <w:tab w:val="left" w:pos="720"/>
          <w:tab w:val="left" w:pos="1080"/>
        </w:tabs>
      </w:pPr>
    </w:p>
    <w:p w:rsidR="004D16F0" w:rsidRDefault="004D16F0" w:rsidP="004D16F0">
      <w:pPr>
        <w:tabs>
          <w:tab w:val="left" w:pos="360"/>
          <w:tab w:val="left" w:pos="720"/>
          <w:tab w:val="left" w:pos="1080"/>
        </w:tabs>
      </w:pPr>
      <w:r>
        <w:t>By January 31, the CQE must submit a complete annual report for the prior calendar year to the Regional Administrator, National Marine Fisheries Service, P.O. Box 21668, Juneau, AK 99802, and to the governing body of each community represented by the CQE as identified in Table 21 to part</w:t>
      </w:r>
      <w:r w:rsidR="00BD6409">
        <w:t xml:space="preserve"> 679</w:t>
      </w:r>
      <w:r>
        <w:t>.</w:t>
      </w:r>
    </w:p>
    <w:p w:rsidR="0023550C" w:rsidRDefault="0023550C" w:rsidP="002A2974"/>
    <w:p w:rsidR="00326FFA" w:rsidRDefault="00326FFA" w:rsidP="002A2974">
      <w:r>
        <w:t xml:space="preserve">A complete annual report </w:t>
      </w:r>
      <w:r w:rsidR="00F66D5E">
        <w:t xml:space="preserve">must </w:t>
      </w:r>
      <w:r>
        <w:t>contain all general report requirements and all program specific report requirements applicable to the CQE</w:t>
      </w:r>
      <w:r w:rsidR="00B77B60">
        <w:t>, as follows:</w:t>
      </w:r>
      <w:r w:rsidR="00A36AF1" w:rsidRPr="00A36AF1">
        <w:t xml:space="preserve"> </w:t>
      </w:r>
    </w:p>
    <w:p w:rsidR="002A2974" w:rsidRDefault="002A2974" w:rsidP="002A2974"/>
    <w:p w:rsidR="002A2974" w:rsidRPr="002A2974" w:rsidRDefault="002A2974" w:rsidP="002A2974">
      <w:pPr>
        <w:tabs>
          <w:tab w:val="left" w:pos="360"/>
          <w:tab w:val="left" w:pos="720"/>
          <w:tab w:val="left" w:pos="1080"/>
        </w:tabs>
        <w:rPr>
          <w:sz w:val="20"/>
          <w:szCs w:val="20"/>
        </w:rPr>
      </w:pPr>
      <w:r w:rsidRPr="002A2974">
        <w:rPr>
          <w:b/>
          <w:sz w:val="20"/>
          <w:szCs w:val="20"/>
        </w:rPr>
        <w:t xml:space="preserve">Community Entity Quota (CQE) Program Annual Report  </w:t>
      </w:r>
    </w:p>
    <w:p w:rsidR="007309BD" w:rsidRPr="007309BD" w:rsidRDefault="007309BD" w:rsidP="007309BD">
      <w:pPr>
        <w:tabs>
          <w:tab w:val="left" w:pos="360"/>
          <w:tab w:val="left" w:pos="720"/>
          <w:tab w:val="left" w:pos="1080"/>
        </w:tabs>
        <w:rPr>
          <w:sz w:val="20"/>
          <w:szCs w:val="20"/>
          <w:u w:val="single"/>
        </w:rPr>
      </w:pPr>
      <w:r w:rsidRPr="007309BD">
        <w:rPr>
          <w:sz w:val="20"/>
          <w:szCs w:val="20"/>
          <w:u w:val="single"/>
        </w:rPr>
        <w:t>General report requirements</w:t>
      </w:r>
    </w:p>
    <w:p w:rsidR="00156394" w:rsidRPr="007309BD" w:rsidRDefault="00156394" w:rsidP="00156394">
      <w:pPr>
        <w:tabs>
          <w:tab w:val="left" w:pos="360"/>
          <w:tab w:val="left" w:pos="720"/>
          <w:tab w:val="left" w:pos="1080"/>
        </w:tabs>
        <w:ind w:left="720" w:hanging="720"/>
        <w:rPr>
          <w:sz w:val="20"/>
          <w:szCs w:val="20"/>
        </w:rPr>
      </w:pPr>
      <w:r w:rsidRPr="007309BD">
        <w:rPr>
          <w:sz w:val="20"/>
          <w:szCs w:val="20"/>
        </w:rPr>
        <w:t xml:space="preserve">Each CQE must report </w:t>
      </w:r>
      <w:r w:rsidR="001F50AE">
        <w:rPr>
          <w:sz w:val="20"/>
          <w:szCs w:val="20"/>
        </w:rPr>
        <w:t>the following</w:t>
      </w:r>
    </w:p>
    <w:p w:rsidR="00791F2A" w:rsidRDefault="007309BD" w:rsidP="007309BD">
      <w:pPr>
        <w:tabs>
          <w:tab w:val="left" w:pos="360"/>
          <w:tab w:val="left" w:pos="720"/>
          <w:tab w:val="left" w:pos="1080"/>
        </w:tabs>
        <w:rPr>
          <w:sz w:val="20"/>
          <w:szCs w:val="20"/>
        </w:rPr>
      </w:pPr>
      <w:r>
        <w:rPr>
          <w:sz w:val="20"/>
          <w:szCs w:val="20"/>
        </w:rPr>
        <w:tab/>
      </w:r>
      <w:r w:rsidR="00265882">
        <w:rPr>
          <w:sz w:val="20"/>
          <w:szCs w:val="20"/>
        </w:rPr>
        <w:t>E</w:t>
      </w:r>
      <w:r w:rsidR="00326FFA" w:rsidRPr="002A2974">
        <w:rPr>
          <w:sz w:val="20"/>
          <w:szCs w:val="20"/>
        </w:rPr>
        <w:t>l</w:t>
      </w:r>
      <w:r w:rsidR="002A2974">
        <w:rPr>
          <w:sz w:val="20"/>
          <w:szCs w:val="20"/>
        </w:rPr>
        <w:t>igible community or communities</w:t>
      </w:r>
      <w:r w:rsidR="001F50AE">
        <w:rPr>
          <w:sz w:val="20"/>
          <w:szCs w:val="20"/>
        </w:rPr>
        <w:t xml:space="preserve"> represented by the CQE</w:t>
      </w:r>
    </w:p>
    <w:p w:rsidR="002A2974" w:rsidRDefault="002A2974" w:rsidP="007309BD">
      <w:pPr>
        <w:tabs>
          <w:tab w:val="left" w:pos="360"/>
          <w:tab w:val="left" w:pos="720"/>
          <w:tab w:val="left" w:pos="1080"/>
        </w:tabs>
        <w:rPr>
          <w:sz w:val="20"/>
          <w:szCs w:val="20"/>
        </w:rPr>
      </w:pPr>
      <w:r>
        <w:rPr>
          <w:sz w:val="20"/>
          <w:szCs w:val="20"/>
        </w:rPr>
        <w:lastRenderedPageBreak/>
        <w:tab/>
        <w:t>A</w:t>
      </w:r>
      <w:r w:rsidR="00326FFA" w:rsidRPr="002A2974">
        <w:rPr>
          <w:sz w:val="20"/>
          <w:szCs w:val="20"/>
        </w:rPr>
        <w:t>ny new communities</w:t>
      </w:r>
    </w:p>
    <w:p w:rsidR="00326FFA" w:rsidRPr="002A2974" w:rsidRDefault="002A2974" w:rsidP="007309BD">
      <w:pPr>
        <w:tabs>
          <w:tab w:val="left" w:pos="360"/>
          <w:tab w:val="left" w:pos="720"/>
          <w:tab w:val="left" w:pos="1080"/>
        </w:tabs>
        <w:rPr>
          <w:sz w:val="20"/>
          <w:szCs w:val="20"/>
        </w:rPr>
      </w:pPr>
      <w:r>
        <w:rPr>
          <w:sz w:val="20"/>
          <w:szCs w:val="20"/>
        </w:rPr>
        <w:tab/>
        <w:t>Any withdrawn communities</w:t>
      </w:r>
    </w:p>
    <w:p w:rsidR="00326FFA" w:rsidRPr="002A2974" w:rsidRDefault="00326FFA" w:rsidP="007309BD">
      <w:pPr>
        <w:tabs>
          <w:tab w:val="left" w:pos="360"/>
          <w:tab w:val="left" w:pos="720"/>
          <w:tab w:val="left" w:pos="1080"/>
        </w:tabs>
        <w:rPr>
          <w:sz w:val="20"/>
          <w:szCs w:val="20"/>
        </w:rPr>
      </w:pPr>
      <w:r w:rsidRPr="002A2974">
        <w:rPr>
          <w:sz w:val="20"/>
          <w:szCs w:val="20"/>
        </w:rPr>
        <w:tab/>
        <w:t>Any changes in the bylaws of the CQE, board of directors, or oth</w:t>
      </w:r>
      <w:r w:rsidR="001F50AE">
        <w:rPr>
          <w:sz w:val="20"/>
          <w:szCs w:val="20"/>
        </w:rPr>
        <w:t>er key management personnel</w:t>
      </w:r>
    </w:p>
    <w:p w:rsidR="00326FFA" w:rsidRDefault="00326FFA" w:rsidP="007309BD">
      <w:pPr>
        <w:tabs>
          <w:tab w:val="left" w:pos="360"/>
          <w:tab w:val="left" w:pos="720"/>
          <w:tab w:val="left" w:pos="1080"/>
        </w:tabs>
        <w:ind w:left="720" w:hanging="720"/>
        <w:rPr>
          <w:sz w:val="20"/>
          <w:szCs w:val="20"/>
        </w:rPr>
      </w:pPr>
      <w:r w:rsidRPr="002A2974">
        <w:rPr>
          <w:sz w:val="20"/>
          <w:szCs w:val="20"/>
        </w:rPr>
        <w:tab/>
      </w:r>
      <w:r w:rsidR="00202001" w:rsidRPr="00202001">
        <w:rPr>
          <w:b/>
          <w:sz w:val="20"/>
          <w:szCs w:val="20"/>
        </w:rPr>
        <w:t>Attach</w:t>
      </w:r>
      <w:r w:rsidR="00202001">
        <w:rPr>
          <w:sz w:val="20"/>
          <w:szCs w:val="20"/>
        </w:rPr>
        <w:t xml:space="preserve"> c</w:t>
      </w:r>
      <w:r w:rsidRPr="002A2974">
        <w:rPr>
          <w:sz w:val="20"/>
          <w:szCs w:val="20"/>
        </w:rPr>
        <w:t>opies of minutes and other relevant decision making documents from all CQE board meetings held</w:t>
      </w:r>
      <w:r w:rsidR="007309BD">
        <w:rPr>
          <w:sz w:val="20"/>
          <w:szCs w:val="20"/>
        </w:rPr>
        <w:t xml:space="preserve"> during the prior calendar year</w:t>
      </w:r>
    </w:p>
    <w:p w:rsidR="00633707" w:rsidRDefault="00633707" w:rsidP="007309BD">
      <w:pPr>
        <w:tabs>
          <w:tab w:val="left" w:pos="360"/>
          <w:tab w:val="left" w:pos="720"/>
          <w:tab w:val="left" w:pos="1080"/>
        </w:tabs>
        <w:ind w:left="720" w:hanging="720"/>
        <w:rPr>
          <w:sz w:val="20"/>
          <w:szCs w:val="20"/>
          <w:u w:val="single"/>
        </w:rPr>
      </w:pPr>
    </w:p>
    <w:p w:rsidR="00202001" w:rsidRDefault="007309BD" w:rsidP="007309BD">
      <w:pPr>
        <w:tabs>
          <w:tab w:val="left" w:pos="360"/>
          <w:tab w:val="left" w:pos="720"/>
          <w:tab w:val="left" w:pos="1080"/>
        </w:tabs>
        <w:ind w:left="720" w:hanging="720"/>
        <w:rPr>
          <w:sz w:val="20"/>
          <w:szCs w:val="20"/>
        </w:rPr>
      </w:pPr>
      <w:r w:rsidRPr="00202001">
        <w:rPr>
          <w:sz w:val="20"/>
          <w:szCs w:val="20"/>
          <w:u w:val="single"/>
        </w:rPr>
        <w:t xml:space="preserve">Charter Halibut </w:t>
      </w:r>
      <w:r w:rsidR="00DE1997">
        <w:rPr>
          <w:sz w:val="20"/>
          <w:szCs w:val="20"/>
          <w:u w:val="single"/>
        </w:rPr>
        <w:t xml:space="preserve">Permit (CHP) </w:t>
      </w:r>
      <w:r w:rsidRPr="00202001">
        <w:rPr>
          <w:sz w:val="20"/>
          <w:szCs w:val="20"/>
          <w:u w:val="single"/>
        </w:rPr>
        <w:t>Limited Access Program</w:t>
      </w:r>
    </w:p>
    <w:p w:rsidR="007309BD" w:rsidRPr="00EB7A79" w:rsidRDefault="001F50AE" w:rsidP="00265882">
      <w:pPr>
        <w:tabs>
          <w:tab w:val="left" w:pos="360"/>
          <w:tab w:val="left" w:pos="720"/>
          <w:tab w:val="left" w:pos="1080"/>
        </w:tabs>
        <w:ind w:left="360" w:hanging="360"/>
        <w:rPr>
          <w:b/>
          <w:sz w:val="20"/>
          <w:szCs w:val="20"/>
        </w:rPr>
      </w:pPr>
      <w:r w:rsidRPr="00C651BD">
        <w:rPr>
          <w:b/>
          <w:sz w:val="20"/>
          <w:szCs w:val="20"/>
        </w:rPr>
        <w:t>For each community represented by the CQE, the program specific report for charter halibut permits held by a</w:t>
      </w:r>
      <w:r w:rsidR="00010E21" w:rsidRPr="00C651BD">
        <w:rPr>
          <w:b/>
          <w:sz w:val="20"/>
          <w:szCs w:val="20"/>
        </w:rPr>
        <w:t xml:space="preserve"> CQE</w:t>
      </w:r>
    </w:p>
    <w:p w:rsidR="00265882" w:rsidRDefault="007309BD" w:rsidP="007309BD">
      <w:pPr>
        <w:tabs>
          <w:tab w:val="left" w:pos="360"/>
          <w:tab w:val="left" w:pos="720"/>
          <w:tab w:val="left" w:pos="1080"/>
        </w:tabs>
        <w:ind w:left="720" w:hanging="720"/>
        <w:rPr>
          <w:sz w:val="20"/>
          <w:szCs w:val="20"/>
        </w:rPr>
      </w:pPr>
      <w:r w:rsidRPr="007309BD">
        <w:rPr>
          <w:sz w:val="20"/>
          <w:szCs w:val="20"/>
        </w:rPr>
        <w:tab/>
        <w:t xml:space="preserve">Total number of </w:t>
      </w:r>
      <w:r w:rsidR="00DE1997">
        <w:rPr>
          <w:sz w:val="20"/>
          <w:szCs w:val="20"/>
        </w:rPr>
        <w:t>CHP</w:t>
      </w:r>
      <w:r w:rsidRPr="007309BD">
        <w:rPr>
          <w:sz w:val="20"/>
          <w:szCs w:val="20"/>
        </w:rPr>
        <w:t xml:space="preserve">s held by the CQE </w:t>
      </w:r>
    </w:p>
    <w:p w:rsidR="00265882" w:rsidRDefault="00265882"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at</w:t>
      </w:r>
      <w:proofErr w:type="gramEnd"/>
      <w:r w:rsidR="007309BD" w:rsidRPr="007309BD">
        <w:rPr>
          <w:sz w:val="20"/>
          <w:szCs w:val="20"/>
        </w:rPr>
        <w:t xml:space="preserve"> the start of the calendar year</w:t>
      </w:r>
    </w:p>
    <w:p w:rsidR="00265882" w:rsidRDefault="00265882"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at</w:t>
      </w:r>
      <w:proofErr w:type="gramEnd"/>
      <w:r w:rsidR="007309BD" w:rsidRPr="007309BD">
        <w:rPr>
          <w:sz w:val="20"/>
          <w:szCs w:val="20"/>
        </w:rPr>
        <w:t xml:space="preserve"> the end of the calendar year</w:t>
      </w:r>
    </w:p>
    <w:p w:rsidR="007309BD" w:rsidRPr="007309BD" w:rsidRDefault="00265882"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projected</w:t>
      </w:r>
      <w:proofErr w:type="gramEnd"/>
      <w:r w:rsidR="007309BD" w:rsidRPr="007309BD">
        <w:rPr>
          <w:sz w:val="20"/>
          <w:szCs w:val="20"/>
        </w:rPr>
        <w:t xml:space="preserve"> to be held in the next calendar year</w:t>
      </w:r>
    </w:p>
    <w:p w:rsidR="00DE1997" w:rsidRDefault="00265882" w:rsidP="007309BD">
      <w:pPr>
        <w:tabs>
          <w:tab w:val="left" w:pos="360"/>
          <w:tab w:val="left" w:pos="720"/>
          <w:tab w:val="left" w:pos="1080"/>
        </w:tabs>
        <w:ind w:left="720" w:hanging="720"/>
        <w:rPr>
          <w:sz w:val="20"/>
          <w:szCs w:val="20"/>
        </w:rPr>
      </w:pPr>
      <w:r>
        <w:rPr>
          <w:sz w:val="20"/>
          <w:szCs w:val="20"/>
        </w:rPr>
        <w:tab/>
      </w:r>
      <w:r w:rsidR="00DE1997">
        <w:rPr>
          <w:sz w:val="20"/>
          <w:szCs w:val="20"/>
        </w:rPr>
        <w:t>P</w:t>
      </w:r>
      <w:r w:rsidR="007309BD" w:rsidRPr="007309BD">
        <w:rPr>
          <w:sz w:val="20"/>
          <w:szCs w:val="20"/>
        </w:rPr>
        <w:t xml:space="preserve">rocess used by the CQE to solicit applications from persons to use </w:t>
      </w:r>
      <w:r w:rsidR="00DE1997">
        <w:rPr>
          <w:sz w:val="20"/>
          <w:szCs w:val="20"/>
        </w:rPr>
        <w:t>CHP</w:t>
      </w:r>
      <w:r w:rsidR="007309BD" w:rsidRPr="007309BD">
        <w:rPr>
          <w:sz w:val="20"/>
          <w:szCs w:val="20"/>
        </w:rPr>
        <w:t>s</w:t>
      </w:r>
    </w:p>
    <w:p w:rsidR="007309BD" w:rsidRPr="007309BD" w:rsidRDefault="00DE1997"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Total number of persons who applied to use one or more </w:t>
      </w:r>
      <w:r>
        <w:rPr>
          <w:sz w:val="20"/>
          <w:szCs w:val="20"/>
        </w:rPr>
        <w:t>CHP</w:t>
      </w:r>
      <w:r w:rsidR="007309BD" w:rsidRPr="007309BD">
        <w:rPr>
          <w:sz w:val="20"/>
          <w:szCs w:val="20"/>
        </w:rPr>
        <w:t>s</w:t>
      </w:r>
    </w:p>
    <w:p w:rsidR="007309BD" w:rsidRPr="007309BD" w:rsidRDefault="00DE1997"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Name, business address, city and state, and number of </w:t>
      </w:r>
      <w:r>
        <w:rPr>
          <w:sz w:val="20"/>
          <w:szCs w:val="20"/>
        </w:rPr>
        <w:t>CHP</w:t>
      </w:r>
      <w:r w:rsidR="007309BD" w:rsidRPr="007309BD">
        <w:rPr>
          <w:sz w:val="20"/>
          <w:szCs w:val="20"/>
        </w:rPr>
        <w:t>s requested by each person who applied</w:t>
      </w:r>
    </w:p>
    <w:p w:rsidR="007309BD" w:rsidRPr="007309BD" w:rsidRDefault="00DE1997" w:rsidP="007309BD">
      <w:pPr>
        <w:tabs>
          <w:tab w:val="left" w:pos="360"/>
          <w:tab w:val="left" w:pos="720"/>
          <w:tab w:val="left" w:pos="1080"/>
        </w:tabs>
        <w:ind w:left="720" w:hanging="720"/>
        <w:rPr>
          <w:sz w:val="20"/>
          <w:szCs w:val="20"/>
        </w:rPr>
      </w:pPr>
      <w:r>
        <w:rPr>
          <w:sz w:val="20"/>
          <w:szCs w:val="20"/>
        </w:rPr>
        <w:tab/>
        <w:t>C</w:t>
      </w:r>
      <w:r w:rsidR="007309BD" w:rsidRPr="007309BD">
        <w:rPr>
          <w:sz w:val="20"/>
          <w:szCs w:val="20"/>
        </w:rPr>
        <w:t xml:space="preserve">riteria used by the CQE to distribute </w:t>
      </w:r>
      <w:r>
        <w:rPr>
          <w:sz w:val="20"/>
          <w:szCs w:val="20"/>
        </w:rPr>
        <w:t>CHP</w:t>
      </w:r>
      <w:r w:rsidR="007309BD" w:rsidRPr="007309BD">
        <w:rPr>
          <w:sz w:val="20"/>
          <w:szCs w:val="20"/>
        </w:rPr>
        <w:t xml:space="preserve">s among persons who applied to use one or more </w:t>
      </w:r>
      <w:r>
        <w:rPr>
          <w:sz w:val="20"/>
          <w:szCs w:val="20"/>
        </w:rPr>
        <w:t>CHP</w:t>
      </w:r>
      <w:r w:rsidR="007309BD" w:rsidRPr="007309BD">
        <w:rPr>
          <w:sz w:val="20"/>
          <w:szCs w:val="20"/>
        </w:rPr>
        <w:t>s</w:t>
      </w:r>
    </w:p>
    <w:p w:rsidR="00B77B60" w:rsidRDefault="00B77B60"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For each person issued one or more </w:t>
      </w:r>
      <w:r w:rsidR="00DE1997">
        <w:rPr>
          <w:sz w:val="20"/>
          <w:szCs w:val="20"/>
        </w:rPr>
        <w:t>CHP</w:t>
      </w:r>
      <w:r w:rsidR="007309BD" w:rsidRPr="007309BD">
        <w:rPr>
          <w:sz w:val="20"/>
          <w:szCs w:val="20"/>
        </w:rPr>
        <w:t xml:space="preserve">s, provide </w:t>
      </w:r>
    </w:p>
    <w:p w:rsidR="00B77B60" w:rsidRDefault="00B77B60"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N</w:t>
      </w:r>
      <w:r w:rsidR="007309BD" w:rsidRPr="007309BD">
        <w:rPr>
          <w:sz w:val="20"/>
          <w:szCs w:val="20"/>
        </w:rPr>
        <w:t xml:space="preserve">ame </w:t>
      </w:r>
    </w:p>
    <w:p w:rsidR="00B77B60" w:rsidRDefault="00B77B60"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B</w:t>
      </w:r>
      <w:r w:rsidR="007309BD" w:rsidRPr="007309BD">
        <w:rPr>
          <w:sz w:val="20"/>
          <w:szCs w:val="20"/>
        </w:rPr>
        <w:t>u</w:t>
      </w:r>
      <w:r w:rsidR="000A4910">
        <w:rPr>
          <w:sz w:val="20"/>
          <w:szCs w:val="20"/>
        </w:rPr>
        <w:t>siness address, city and state</w:t>
      </w:r>
    </w:p>
    <w:p w:rsidR="00B77B60" w:rsidRDefault="00B77B60"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ADF&amp;G logbook number(s)</w:t>
      </w:r>
    </w:p>
    <w:p w:rsidR="000A4910" w:rsidRDefault="00B77B60" w:rsidP="00B77B60">
      <w:pPr>
        <w:tabs>
          <w:tab w:val="left" w:pos="360"/>
          <w:tab w:val="left" w:pos="720"/>
          <w:tab w:val="left" w:pos="1080"/>
        </w:tabs>
        <w:ind w:left="1080" w:hanging="1080"/>
        <w:rPr>
          <w:sz w:val="20"/>
          <w:szCs w:val="20"/>
        </w:rPr>
      </w:pPr>
      <w:r>
        <w:rPr>
          <w:sz w:val="20"/>
          <w:szCs w:val="20"/>
        </w:rPr>
        <w:tab/>
      </w:r>
      <w:r>
        <w:rPr>
          <w:sz w:val="20"/>
          <w:szCs w:val="20"/>
        </w:rPr>
        <w:tab/>
      </w:r>
      <w:r w:rsidR="000A4910">
        <w:rPr>
          <w:sz w:val="20"/>
          <w:szCs w:val="20"/>
        </w:rPr>
        <w:t>N</w:t>
      </w:r>
      <w:r w:rsidR="007309BD" w:rsidRPr="007309BD">
        <w:rPr>
          <w:sz w:val="20"/>
          <w:szCs w:val="20"/>
        </w:rPr>
        <w:t xml:space="preserve">umber(s) of </w:t>
      </w:r>
      <w:r w:rsidR="00DE1997">
        <w:rPr>
          <w:sz w:val="20"/>
          <w:szCs w:val="20"/>
        </w:rPr>
        <w:t>CHP</w:t>
      </w:r>
      <w:r w:rsidR="007309BD" w:rsidRPr="007309BD">
        <w:rPr>
          <w:sz w:val="20"/>
          <w:szCs w:val="20"/>
        </w:rPr>
        <w:t xml:space="preserve">s authorized to use </w:t>
      </w:r>
    </w:p>
    <w:p w:rsidR="009804A2" w:rsidRDefault="000A4910" w:rsidP="00B77B60">
      <w:pPr>
        <w:tabs>
          <w:tab w:val="left" w:pos="360"/>
          <w:tab w:val="left" w:pos="720"/>
          <w:tab w:val="left" w:pos="1080"/>
        </w:tabs>
        <w:ind w:left="1080" w:hanging="1080"/>
        <w:rPr>
          <w:sz w:val="20"/>
          <w:szCs w:val="20"/>
        </w:rPr>
      </w:pPr>
      <w:r>
        <w:rPr>
          <w:sz w:val="20"/>
          <w:szCs w:val="20"/>
        </w:rPr>
        <w:tab/>
      </w:r>
      <w:r>
        <w:rPr>
          <w:sz w:val="20"/>
          <w:szCs w:val="20"/>
        </w:rPr>
        <w:tab/>
      </w:r>
      <w:r>
        <w:rPr>
          <w:sz w:val="20"/>
          <w:szCs w:val="20"/>
        </w:rPr>
        <w:tab/>
      </w:r>
      <w:proofErr w:type="gramStart"/>
      <w:r w:rsidR="007309BD" w:rsidRPr="007309BD">
        <w:rPr>
          <w:sz w:val="20"/>
          <w:szCs w:val="20"/>
        </w:rPr>
        <w:t>with</w:t>
      </w:r>
      <w:proofErr w:type="gramEnd"/>
      <w:r w:rsidR="007309BD" w:rsidRPr="007309BD">
        <w:rPr>
          <w:sz w:val="20"/>
          <w:szCs w:val="20"/>
        </w:rPr>
        <w:t xml:space="preserve"> the corresponding regulatory area endorsement </w:t>
      </w:r>
    </w:p>
    <w:p w:rsidR="007309BD" w:rsidRPr="007309BD" w:rsidRDefault="009804A2" w:rsidP="00B77B60">
      <w:pPr>
        <w:tabs>
          <w:tab w:val="left" w:pos="360"/>
          <w:tab w:val="left" w:pos="720"/>
          <w:tab w:val="left" w:pos="1080"/>
        </w:tabs>
        <w:ind w:left="1080" w:hanging="1080"/>
        <w:rPr>
          <w:sz w:val="20"/>
          <w:szCs w:val="20"/>
        </w:rPr>
      </w:pPr>
      <w:r>
        <w:rPr>
          <w:sz w:val="20"/>
          <w:szCs w:val="20"/>
        </w:rPr>
        <w:tab/>
      </w:r>
      <w:r>
        <w:rPr>
          <w:sz w:val="20"/>
          <w:szCs w:val="20"/>
        </w:rPr>
        <w:tab/>
      </w:r>
      <w:r>
        <w:rPr>
          <w:sz w:val="20"/>
          <w:szCs w:val="20"/>
        </w:rPr>
        <w:tab/>
      </w:r>
      <w:proofErr w:type="gramStart"/>
      <w:r w:rsidR="007309BD" w:rsidRPr="007309BD">
        <w:rPr>
          <w:sz w:val="20"/>
          <w:szCs w:val="20"/>
        </w:rPr>
        <w:t>and</w:t>
      </w:r>
      <w:proofErr w:type="gramEnd"/>
      <w:r w:rsidR="007309BD" w:rsidRPr="007309BD">
        <w:rPr>
          <w:sz w:val="20"/>
          <w:szCs w:val="20"/>
        </w:rPr>
        <w:t xml:space="preserve"> angler endorsement</w:t>
      </w:r>
    </w:p>
    <w:p w:rsidR="009804A2" w:rsidRDefault="007309BD" w:rsidP="007309BD">
      <w:pPr>
        <w:tabs>
          <w:tab w:val="left" w:pos="360"/>
          <w:tab w:val="left" w:pos="720"/>
          <w:tab w:val="left" w:pos="1080"/>
        </w:tabs>
        <w:ind w:left="720" w:hanging="720"/>
        <w:rPr>
          <w:sz w:val="20"/>
          <w:szCs w:val="20"/>
        </w:rPr>
      </w:pPr>
      <w:r w:rsidRPr="007309BD">
        <w:rPr>
          <w:sz w:val="20"/>
          <w:szCs w:val="20"/>
        </w:rPr>
        <w:tab/>
        <w:t xml:space="preserve">For each vessel authorized to participate in the charter halibut fishery using one or more </w:t>
      </w:r>
      <w:r w:rsidR="00DE1997">
        <w:rPr>
          <w:sz w:val="20"/>
          <w:szCs w:val="20"/>
        </w:rPr>
        <w:t>CHP</w:t>
      </w:r>
      <w:r w:rsidRPr="007309BD">
        <w:rPr>
          <w:sz w:val="20"/>
          <w:szCs w:val="20"/>
        </w:rPr>
        <w:t xml:space="preserve">s, provide </w:t>
      </w:r>
    </w:p>
    <w:p w:rsidR="009804A2"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Vessel name</w:t>
      </w:r>
    </w:p>
    <w:p w:rsidR="009804A2"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AD</w:t>
      </w:r>
      <w:r w:rsidR="000A4910">
        <w:rPr>
          <w:sz w:val="20"/>
          <w:szCs w:val="20"/>
        </w:rPr>
        <w:t>F&amp;G vessel registration number</w:t>
      </w:r>
    </w:p>
    <w:p w:rsidR="009804A2"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USCG documentation number</w:t>
      </w:r>
    </w:p>
    <w:p w:rsidR="009804A2"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L</w:t>
      </w:r>
      <w:r w:rsidR="007309BD" w:rsidRPr="007309BD">
        <w:rPr>
          <w:sz w:val="20"/>
          <w:szCs w:val="20"/>
        </w:rPr>
        <w:t>en</w:t>
      </w:r>
      <w:r w:rsidR="000A4910">
        <w:rPr>
          <w:sz w:val="20"/>
          <w:szCs w:val="20"/>
        </w:rPr>
        <w:t>gth overall</w:t>
      </w:r>
    </w:p>
    <w:p w:rsidR="009804A2"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H</w:t>
      </w:r>
      <w:r w:rsidR="007309BD" w:rsidRPr="007309BD">
        <w:rPr>
          <w:sz w:val="20"/>
          <w:szCs w:val="20"/>
        </w:rPr>
        <w:t xml:space="preserve">ome port </w:t>
      </w:r>
    </w:p>
    <w:p w:rsidR="007309BD" w:rsidRPr="007309BD"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DE1997">
        <w:rPr>
          <w:sz w:val="20"/>
          <w:szCs w:val="20"/>
        </w:rPr>
        <w:t>CHP</w:t>
      </w:r>
      <w:r w:rsidR="007309BD" w:rsidRPr="007309BD">
        <w:rPr>
          <w:sz w:val="20"/>
          <w:szCs w:val="20"/>
        </w:rPr>
        <w:t xml:space="preserve"> number held by the CQE and used onboard the vessel</w:t>
      </w:r>
    </w:p>
    <w:p w:rsidR="009804A2" w:rsidRDefault="007309BD" w:rsidP="007309BD">
      <w:pPr>
        <w:tabs>
          <w:tab w:val="left" w:pos="360"/>
          <w:tab w:val="left" w:pos="720"/>
          <w:tab w:val="left" w:pos="1080"/>
        </w:tabs>
        <w:ind w:left="720" w:hanging="720"/>
        <w:rPr>
          <w:sz w:val="20"/>
          <w:szCs w:val="20"/>
        </w:rPr>
      </w:pPr>
      <w:r w:rsidRPr="007309BD">
        <w:rPr>
          <w:sz w:val="20"/>
          <w:szCs w:val="20"/>
        </w:rPr>
        <w:tab/>
      </w:r>
      <w:r w:rsidR="009804A2">
        <w:rPr>
          <w:sz w:val="20"/>
          <w:szCs w:val="20"/>
        </w:rPr>
        <w:tab/>
      </w:r>
      <w:r w:rsidR="000A4910">
        <w:rPr>
          <w:sz w:val="20"/>
          <w:szCs w:val="20"/>
        </w:rPr>
        <w:t>S</w:t>
      </w:r>
      <w:r w:rsidRPr="007309BD">
        <w:rPr>
          <w:sz w:val="20"/>
          <w:szCs w:val="20"/>
        </w:rPr>
        <w:t>et of ports from which the vessel departed and to which it returned</w:t>
      </w:r>
    </w:p>
    <w:p w:rsidR="007309BD" w:rsidRPr="007309BD" w:rsidRDefault="009804A2" w:rsidP="007309BD">
      <w:pPr>
        <w:tabs>
          <w:tab w:val="left" w:pos="360"/>
          <w:tab w:val="left" w:pos="720"/>
          <w:tab w:val="left" w:pos="1080"/>
        </w:tabs>
        <w:ind w:left="720" w:hanging="720"/>
        <w:rPr>
          <w:sz w:val="20"/>
          <w:szCs w:val="20"/>
        </w:rPr>
      </w:pPr>
      <w:r>
        <w:rPr>
          <w:sz w:val="20"/>
          <w:szCs w:val="20"/>
        </w:rPr>
        <w:tab/>
      </w:r>
      <w:r>
        <w:rPr>
          <w:sz w:val="20"/>
          <w:szCs w:val="20"/>
        </w:rPr>
        <w:tab/>
      </w:r>
      <w:r w:rsidR="000A4910">
        <w:rPr>
          <w:sz w:val="20"/>
          <w:szCs w:val="20"/>
        </w:rPr>
        <w:t>T</w:t>
      </w:r>
      <w:r w:rsidR="007309BD" w:rsidRPr="007309BD">
        <w:rPr>
          <w:sz w:val="20"/>
          <w:szCs w:val="20"/>
        </w:rPr>
        <w:t>otal number of trips that occurred to and from each set of ports</w:t>
      </w:r>
    </w:p>
    <w:p w:rsidR="009804A2" w:rsidRDefault="009804A2"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For each community represented by the CQE, provide </w:t>
      </w:r>
    </w:p>
    <w:p w:rsidR="007309BD" w:rsidRPr="007309BD" w:rsidRDefault="009804A2"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any</w:t>
      </w:r>
      <w:proofErr w:type="gramEnd"/>
      <w:r w:rsidR="007309BD" w:rsidRPr="007309BD">
        <w:rPr>
          <w:sz w:val="20"/>
          <w:szCs w:val="20"/>
        </w:rPr>
        <w:t xml:space="preserve"> payments made to the CQE for use of the </w:t>
      </w:r>
      <w:r w:rsidR="00DE1997">
        <w:rPr>
          <w:sz w:val="20"/>
          <w:szCs w:val="20"/>
        </w:rPr>
        <w:t>CHP</w:t>
      </w:r>
      <w:r w:rsidR="007309BD" w:rsidRPr="007309BD">
        <w:rPr>
          <w:sz w:val="20"/>
          <w:szCs w:val="20"/>
        </w:rPr>
        <w:t>s.</w:t>
      </w:r>
    </w:p>
    <w:p w:rsidR="009715A1" w:rsidRDefault="009715A1" w:rsidP="007309BD">
      <w:pPr>
        <w:tabs>
          <w:tab w:val="left" w:pos="360"/>
          <w:tab w:val="left" w:pos="720"/>
          <w:tab w:val="left" w:pos="1080"/>
        </w:tabs>
        <w:ind w:left="720" w:hanging="720"/>
        <w:rPr>
          <w:sz w:val="20"/>
          <w:szCs w:val="20"/>
          <w:u w:val="single"/>
        </w:rPr>
      </w:pPr>
    </w:p>
    <w:p w:rsidR="00A01B3B" w:rsidRDefault="007309BD" w:rsidP="007309BD">
      <w:pPr>
        <w:tabs>
          <w:tab w:val="left" w:pos="360"/>
          <w:tab w:val="left" w:pos="720"/>
          <w:tab w:val="left" w:pos="1080"/>
        </w:tabs>
        <w:ind w:left="720" w:hanging="720"/>
        <w:rPr>
          <w:sz w:val="20"/>
          <w:szCs w:val="20"/>
        </w:rPr>
      </w:pPr>
      <w:r w:rsidRPr="00A01B3B">
        <w:rPr>
          <w:sz w:val="20"/>
          <w:szCs w:val="20"/>
          <w:u w:val="single"/>
        </w:rPr>
        <w:t>Individual Fishing Quota Program</w:t>
      </w:r>
    </w:p>
    <w:p w:rsidR="007309BD" w:rsidRPr="00C651BD" w:rsidRDefault="00010E21" w:rsidP="007309BD">
      <w:pPr>
        <w:tabs>
          <w:tab w:val="left" w:pos="360"/>
          <w:tab w:val="left" w:pos="720"/>
          <w:tab w:val="left" w:pos="1080"/>
        </w:tabs>
        <w:ind w:left="720" w:hanging="720"/>
        <w:rPr>
          <w:b/>
          <w:sz w:val="20"/>
          <w:szCs w:val="20"/>
        </w:rPr>
      </w:pPr>
      <w:r w:rsidRPr="00C651BD">
        <w:rPr>
          <w:b/>
          <w:sz w:val="20"/>
          <w:szCs w:val="20"/>
        </w:rPr>
        <w:t xml:space="preserve">For each community represented by the CQE, the program </w:t>
      </w:r>
      <w:r w:rsidR="007309BD" w:rsidRPr="00C651BD">
        <w:rPr>
          <w:b/>
          <w:sz w:val="20"/>
          <w:szCs w:val="20"/>
        </w:rPr>
        <w:t xml:space="preserve">specific report </w:t>
      </w:r>
      <w:r w:rsidRPr="00C651BD">
        <w:rPr>
          <w:b/>
          <w:sz w:val="20"/>
          <w:szCs w:val="20"/>
        </w:rPr>
        <w:t>for halibut IFQ or sablefish IFQ</w:t>
      </w:r>
      <w:r w:rsidR="007309BD" w:rsidRPr="00C651BD">
        <w:rPr>
          <w:b/>
          <w:sz w:val="20"/>
          <w:szCs w:val="20"/>
        </w:rPr>
        <w:t>:</w:t>
      </w:r>
    </w:p>
    <w:p w:rsidR="006F05AE" w:rsidRPr="00C651BD" w:rsidRDefault="006F05AE" w:rsidP="007309BD">
      <w:pPr>
        <w:tabs>
          <w:tab w:val="left" w:pos="360"/>
          <w:tab w:val="left" w:pos="720"/>
          <w:tab w:val="left" w:pos="1080"/>
        </w:tabs>
        <w:ind w:left="720" w:hanging="720"/>
        <w:rPr>
          <w:sz w:val="20"/>
          <w:szCs w:val="20"/>
        </w:rPr>
      </w:pPr>
      <w:r w:rsidRPr="00C651BD">
        <w:rPr>
          <w:sz w:val="20"/>
          <w:szCs w:val="20"/>
        </w:rPr>
        <w:tab/>
      </w:r>
      <w:r w:rsidR="007309BD" w:rsidRPr="00C651BD">
        <w:rPr>
          <w:sz w:val="20"/>
          <w:szCs w:val="20"/>
        </w:rPr>
        <w:t>Total amount of halibut QS and total amount of sablefish QS held by the CQE</w:t>
      </w:r>
    </w:p>
    <w:p w:rsidR="006F05AE" w:rsidRDefault="006F05AE"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at</w:t>
      </w:r>
      <w:proofErr w:type="gramEnd"/>
      <w:r w:rsidR="007309BD" w:rsidRPr="007309BD">
        <w:rPr>
          <w:sz w:val="20"/>
          <w:szCs w:val="20"/>
        </w:rPr>
        <w:t xml:space="preserve"> </w:t>
      </w:r>
      <w:r>
        <w:rPr>
          <w:sz w:val="20"/>
          <w:szCs w:val="20"/>
        </w:rPr>
        <w:t>the start of the calendar year</w:t>
      </w:r>
    </w:p>
    <w:p w:rsidR="006F05AE" w:rsidRDefault="006F05AE"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at</w:t>
      </w:r>
      <w:proofErr w:type="gramEnd"/>
      <w:r w:rsidR="007309BD" w:rsidRPr="007309BD">
        <w:rPr>
          <w:sz w:val="20"/>
          <w:szCs w:val="20"/>
        </w:rPr>
        <w:t xml:space="preserve"> the end of the calendar year</w:t>
      </w:r>
    </w:p>
    <w:p w:rsidR="007309BD" w:rsidRPr="007309BD" w:rsidRDefault="006F05AE"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projected</w:t>
      </w:r>
      <w:proofErr w:type="gramEnd"/>
      <w:r w:rsidR="007309BD" w:rsidRPr="007309BD">
        <w:rPr>
          <w:sz w:val="20"/>
          <w:szCs w:val="20"/>
        </w:rPr>
        <w:t xml:space="preserve"> to be held in the next calendar year</w:t>
      </w:r>
    </w:p>
    <w:p w:rsidR="00DB517C" w:rsidRPr="00C651BD" w:rsidRDefault="00DB517C" w:rsidP="007309BD">
      <w:pPr>
        <w:tabs>
          <w:tab w:val="left" w:pos="360"/>
          <w:tab w:val="left" w:pos="720"/>
          <w:tab w:val="left" w:pos="1080"/>
        </w:tabs>
        <w:ind w:left="720" w:hanging="720"/>
        <w:rPr>
          <w:sz w:val="20"/>
          <w:szCs w:val="20"/>
        </w:rPr>
      </w:pPr>
      <w:r>
        <w:rPr>
          <w:sz w:val="20"/>
          <w:szCs w:val="20"/>
        </w:rPr>
        <w:tab/>
        <w:t>P</w:t>
      </w:r>
      <w:r w:rsidR="007309BD" w:rsidRPr="007309BD">
        <w:rPr>
          <w:sz w:val="20"/>
          <w:szCs w:val="20"/>
        </w:rPr>
        <w:t xml:space="preserve">rocess used by the CQE to solicit applications from eligible community </w:t>
      </w:r>
      <w:r w:rsidR="007309BD" w:rsidRPr="00C651BD">
        <w:rPr>
          <w:sz w:val="20"/>
          <w:szCs w:val="20"/>
        </w:rPr>
        <w:t xml:space="preserve">residents </w:t>
      </w:r>
      <w:r w:rsidR="00C80CFA" w:rsidRPr="00C651BD">
        <w:rPr>
          <w:sz w:val="20"/>
          <w:szCs w:val="20"/>
        </w:rPr>
        <w:t xml:space="preserve">and non-residents </w:t>
      </w:r>
      <w:r w:rsidR="007309BD" w:rsidRPr="00C651BD">
        <w:rPr>
          <w:sz w:val="20"/>
          <w:szCs w:val="20"/>
        </w:rPr>
        <w:t>to use IFQ</w:t>
      </w:r>
      <w:r w:rsidR="00AC38D0">
        <w:rPr>
          <w:sz w:val="20"/>
          <w:szCs w:val="20"/>
        </w:rPr>
        <w:t xml:space="preserve"> that is derived from QS </w:t>
      </w:r>
      <w:proofErr w:type="gramStart"/>
      <w:r w:rsidR="00AC38D0">
        <w:rPr>
          <w:sz w:val="20"/>
          <w:szCs w:val="20"/>
        </w:rPr>
        <w:t>that</w:t>
      </w:r>
      <w:r w:rsidR="007309BD" w:rsidRPr="00C651BD">
        <w:rPr>
          <w:sz w:val="20"/>
          <w:szCs w:val="20"/>
        </w:rPr>
        <w:t xml:space="preserve"> </w:t>
      </w:r>
      <w:r w:rsidR="00AC38D0">
        <w:rPr>
          <w:sz w:val="20"/>
          <w:szCs w:val="20"/>
        </w:rPr>
        <w:t xml:space="preserve"> the</w:t>
      </w:r>
      <w:proofErr w:type="gramEnd"/>
      <w:r w:rsidRPr="00C651BD">
        <w:rPr>
          <w:sz w:val="20"/>
          <w:szCs w:val="20"/>
        </w:rPr>
        <w:t xml:space="preserve"> </w:t>
      </w:r>
      <w:r w:rsidR="007309BD" w:rsidRPr="00C651BD">
        <w:rPr>
          <w:sz w:val="20"/>
          <w:szCs w:val="20"/>
        </w:rPr>
        <w:t>CQE</w:t>
      </w:r>
      <w:r w:rsidR="00AC38D0">
        <w:rPr>
          <w:sz w:val="20"/>
          <w:szCs w:val="20"/>
        </w:rPr>
        <w:t xml:space="preserve"> is holding on behalf of the community</w:t>
      </w:r>
    </w:p>
    <w:p w:rsidR="007309BD" w:rsidRPr="00C651BD" w:rsidRDefault="00DB517C" w:rsidP="007309BD">
      <w:pPr>
        <w:tabs>
          <w:tab w:val="left" w:pos="360"/>
          <w:tab w:val="left" w:pos="720"/>
          <w:tab w:val="left" w:pos="1080"/>
        </w:tabs>
        <w:ind w:left="720" w:hanging="720"/>
        <w:rPr>
          <w:sz w:val="20"/>
          <w:szCs w:val="20"/>
        </w:rPr>
      </w:pPr>
      <w:r w:rsidRPr="00C651BD">
        <w:rPr>
          <w:sz w:val="20"/>
          <w:szCs w:val="20"/>
        </w:rPr>
        <w:tab/>
      </w:r>
      <w:r w:rsidR="006F05AE" w:rsidRPr="00C651BD">
        <w:rPr>
          <w:sz w:val="20"/>
          <w:szCs w:val="20"/>
        </w:rPr>
        <w:t>T</w:t>
      </w:r>
      <w:r w:rsidR="007309BD" w:rsidRPr="00C651BD">
        <w:rPr>
          <w:sz w:val="20"/>
          <w:szCs w:val="20"/>
        </w:rPr>
        <w:t xml:space="preserve">otal number of </w:t>
      </w:r>
      <w:r w:rsidR="00AC38D0">
        <w:rPr>
          <w:sz w:val="20"/>
          <w:szCs w:val="20"/>
        </w:rPr>
        <w:t xml:space="preserve">eligible </w:t>
      </w:r>
      <w:r w:rsidR="007309BD" w:rsidRPr="00C651BD">
        <w:rPr>
          <w:sz w:val="20"/>
          <w:szCs w:val="20"/>
        </w:rPr>
        <w:t xml:space="preserve">community residents </w:t>
      </w:r>
      <w:r w:rsidR="00C80CFA" w:rsidRPr="00C651BD">
        <w:rPr>
          <w:sz w:val="20"/>
          <w:szCs w:val="20"/>
        </w:rPr>
        <w:t xml:space="preserve">and non-residents </w:t>
      </w:r>
      <w:r w:rsidR="007309BD" w:rsidRPr="00C651BD">
        <w:rPr>
          <w:sz w:val="20"/>
          <w:szCs w:val="20"/>
        </w:rPr>
        <w:t xml:space="preserve">who applied to use IFQ </w:t>
      </w:r>
      <w:r w:rsidRPr="00C651BD">
        <w:rPr>
          <w:sz w:val="20"/>
          <w:szCs w:val="20"/>
        </w:rPr>
        <w:t>held by the CQE</w:t>
      </w:r>
    </w:p>
    <w:p w:rsidR="006F05AE" w:rsidRPr="00C651BD" w:rsidRDefault="007309BD" w:rsidP="007309BD">
      <w:pPr>
        <w:tabs>
          <w:tab w:val="left" w:pos="360"/>
          <w:tab w:val="left" w:pos="720"/>
          <w:tab w:val="left" w:pos="1080"/>
        </w:tabs>
        <w:ind w:left="720" w:hanging="720"/>
        <w:rPr>
          <w:sz w:val="20"/>
          <w:szCs w:val="20"/>
        </w:rPr>
      </w:pPr>
      <w:r w:rsidRPr="00C651BD">
        <w:rPr>
          <w:sz w:val="20"/>
          <w:szCs w:val="20"/>
        </w:rPr>
        <w:tab/>
        <w:t>Name, business address, city and state, and amount of IFQ requested by ea</w:t>
      </w:r>
      <w:r w:rsidR="006F05AE" w:rsidRPr="00C651BD">
        <w:rPr>
          <w:sz w:val="20"/>
          <w:szCs w:val="20"/>
        </w:rPr>
        <w:t>ch person who applied to use IFQ</w:t>
      </w:r>
    </w:p>
    <w:p w:rsidR="007309BD" w:rsidRPr="007309BD" w:rsidRDefault="006F05AE" w:rsidP="007309BD">
      <w:pPr>
        <w:tabs>
          <w:tab w:val="left" w:pos="360"/>
          <w:tab w:val="left" w:pos="720"/>
          <w:tab w:val="left" w:pos="1080"/>
        </w:tabs>
        <w:ind w:left="720" w:hanging="720"/>
        <w:rPr>
          <w:sz w:val="20"/>
          <w:szCs w:val="20"/>
        </w:rPr>
      </w:pPr>
      <w:r w:rsidRPr="00C651BD">
        <w:rPr>
          <w:sz w:val="20"/>
          <w:szCs w:val="20"/>
        </w:rPr>
        <w:tab/>
      </w:r>
      <w:r w:rsidR="00DB517C" w:rsidRPr="00C651BD">
        <w:rPr>
          <w:sz w:val="20"/>
          <w:szCs w:val="20"/>
        </w:rPr>
        <w:t>C</w:t>
      </w:r>
      <w:r w:rsidR="007309BD" w:rsidRPr="00C651BD">
        <w:rPr>
          <w:sz w:val="20"/>
          <w:szCs w:val="20"/>
        </w:rPr>
        <w:t xml:space="preserve">riteria used by the CQE to distribute IFQ among eligible community residents </w:t>
      </w:r>
      <w:r w:rsidR="00C80CFA" w:rsidRPr="00C651BD">
        <w:rPr>
          <w:sz w:val="20"/>
          <w:szCs w:val="20"/>
        </w:rPr>
        <w:t xml:space="preserve">and non-residents </w:t>
      </w:r>
      <w:r w:rsidR="007309BD" w:rsidRPr="00C651BD">
        <w:rPr>
          <w:sz w:val="20"/>
          <w:szCs w:val="20"/>
        </w:rPr>
        <w:t xml:space="preserve">who applied </w:t>
      </w:r>
      <w:r w:rsidR="007309BD" w:rsidRPr="007309BD">
        <w:rPr>
          <w:sz w:val="20"/>
          <w:szCs w:val="20"/>
        </w:rPr>
        <w:t xml:space="preserve">to use IFQ </w:t>
      </w:r>
    </w:p>
    <w:p w:rsidR="006F05AE" w:rsidRDefault="007309BD" w:rsidP="00C651BD">
      <w:pPr>
        <w:rPr>
          <w:sz w:val="20"/>
          <w:szCs w:val="20"/>
        </w:rPr>
      </w:pPr>
      <w:r w:rsidRPr="007309BD">
        <w:rPr>
          <w:sz w:val="20"/>
          <w:szCs w:val="20"/>
        </w:rPr>
        <w:tab/>
        <w:t xml:space="preserve">For each person who leased IFQ derived from QS held by the CQE </w:t>
      </w:r>
    </w:p>
    <w:p w:rsidR="006F05AE" w:rsidRDefault="006F05AE" w:rsidP="00C651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Name</w:t>
      </w:r>
    </w:p>
    <w:p w:rsidR="006F05AE" w:rsidRDefault="006F05AE" w:rsidP="007309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B</w:t>
      </w:r>
      <w:r w:rsidR="007309BD" w:rsidRPr="007309BD">
        <w:rPr>
          <w:sz w:val="20"/>
          <w:szCs w:val="20"/>
        </w:rPr>
        <w:t xml:space="preserve">usiness address, city and state </w:t>
      </w:r>
    </w:p>
    <w:p w:rsidR="006F05AE" w:rsidRDefault="006F05AE"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 xml:space="preserve">IFQ permit number </w:t>
      </w:r>
    </w:p>
    <w:p w:rsidR="006F05AE" w:rsidRDefault="006F05AE" w:rsidP="007309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T</w:t>
      </w:r>
      <w:r w:rsidR="007309BD" w:rsidRPr="007309BD">
        <w:rPr>
          <w:sz w:val="20"/>
          <w:szCs w:val="20"/>
        </w:rPr>
        <w:t>otal pounds of halibut IFQ</w:t>
      </w:r>
      <w:r w:rsidR="005B3B9B">
        <w:rPr>
          <w:sz w:val="20"/>
          <w:szCs w:val="20"/>
        </w:rPr>
        <w:t xml:space="preserve"> </w:t>
      </w:r>
      <w:r w:rsidR="005B3B9B" w:rsidRPr="007309BD">
        <w:rPr>
          <w:sz w:val="20"/>
          <w:szCs w:val="20"/>
        </w:rPr>
        <w:t xml:space="preserve">authorized </w:t>
      </w:r>
      <w:r w:rsidR="00B7716E">
        <w:rPr>
          <w:sz w:val="20"/>
          <w:szCs w:val="20"/>
        </w:rPr>
        <w:t xml:space="preserve">by </w:t>
      </w:r>
      <w:r w:rsidR="005B3B9B" w:rsidRPr="007309BD">
        <w:rPr>
          <w:sz w:val="20"/>
          <w:szCs w:val="20"/>
        </w:rPr>
        <w:t>each IFQ permit number</w:t>
      </w:r>
    </w:p>
    <w:p w:rsidR="007309BD" w:rsidRPr="007309BD" w:rsidRDefault="006F05AE" w:rsidP="007309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T</w:t>
      </w:r>
      <w:r w:rsidR="007309BD" w:rsidRPr="007309BD">
        <w:rPr>
          <w:sz w:val="20"/>
          <w:szCs w:val="20"/>
        </w:rPr>
        <w:t xml:space="preserve">otal pounds of sablefish IFQ authorized </w:t>
      </w:r>
      <w:r w:rsidR="00B7716E">
        <w:rPr>
          <w:sz w:val="20"/>
          <w:szCs w:val="20"/>
        </w:rPr>
        <w:t xml:space="preserve">by </w:t>
      </w:r>
      <w:r w:rsidR="007309BD" w:rsidRPr="007309BD">
        <w:rPr>
          <w:sz w:val="20"/>
          <w:szCs w:val="20"/>
        </w:rPr>
        <w:t>each IFQ permit number;</w:t>
      </w:r>
    </w:p>
    <w:p w:rsidR="005B3B9B" w:rsidRDefault="005B3B9B"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For each vessel used to harvest IFQ held by the CQE, provide </w:t>
      </w:r>
    </w:p>
    <w:p w:rsidR="005B3B9B" w:rsidRDefault="005B3B9B" w:rsidP="007309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V</w:t>
      </w:r>
      <w:r w:rsidR="007309BD" w:rsidRPr="007309BD">
        <w:rPr>
          <w:sz w:val="20"/>
          <w:szCs w:val="20"/>
        </w:rPr>
        <w:t xml:space="preserve">essel name </w:t>
      </w:r>
    </w:p>
    <w:p w:rsidR="005B3B9B" w:rsidRDefault="005B3B9B"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ADF&amp;G vessel registration number</w:t>
      </w:r>
    </w:p>
    <w:p w:rsidR="005B3B9B" w:rsidRDefault="005B3B9B" w:rsidP="007309BD">
      <w:pPr>
        <w:tabs>
          <w:tab w:val="left" w:pos="360"/>
          <w:tab w:val="left" w:pos="720"/>
          <w:tab w:val="left" w:pos="1080"/>
        </w:tabs>
        <w:ind w:left="720" w:hanging="720"/>
        <w:rPr>
          <w:sz w:val="20"/>
          <w:szCs w:val="20"/>
        </w:rPr>
      </w:pPr>
      <w:r>
        <w:rPr>
          <w:sz w:val="20"/>
          <w:szCs w:val="20"/>
        </w:rPr>
        <w:lastRenderedPageBreak/>
        <w:tab/>
      </w:r>
      <w:r>
        <w:rPr>
          <w:sz w:val="20"/>
          <w:szCs w:val="20"/>
        </w:rPr>
        <w:tab/>
      </w:r>
      <w:r w:rsidR="007309BD" w:rsidRPr="007309BD">
        <w:rPr>
          <w:sz w:val="20"/>
          <w:szCs w:val="20"/>
        </w:rPr>
        <w:t>USCG documentation number</w:t>
      </w:r>
    </w:p>
    <w:p w:rsidR="005B3B9B" w:rsidRDefault="005B3B9B" w:rsidP="007309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L</w:t>
      </w:r>
      <w:r w:rsidR="007309BD" w:rsidRPr="007309BD">
        <w:rPr>
          <w:sz w:val="20"/>
          <w:szCs w:val="20"/>
        </w:rPr>
        <w:t>ength overall</w:t>
      </w:r>
    </w:p>
    <w:p w:rsidR="005B3B9B" w:rsidRDefault="005B3B9B" w:rsidP="007309BD">
      <w:pPr>
        <w:tabs>
          <w:tab w:val="left" w:pos="360"/>
          <w:tab w:val="left" w:pos="720"/>
          <w:tab w:val="left" w:pos="1080"/>
        </w:tabs>
        <w:ind w:left="720" w:hanging="720"/>
        <w:rPr>
          <w:sz w:val="20"/>
          <w:szCs w:val="20"/>
        </w:rPr>
      </w:pPr>
      <w:r>
        <w:rPr>
          <w:sz w:val="20"/>
          <w:szCs w:val="20"/>
        </w:rPr>
        <w:tab/>
      </w:r>
      <w:r>
        <w:rPr>
          <w:sz w:val="20"/>
          <w:szCs w:val="20"/>
        </w:rPr>
        <w:tab/>
      </w:r>
      <w:r w:rsidR="00DB517C">
        <w:rPr>
          <w:sz w:val="20"/>
          <w:szCs w:val="20"/>
        </w:rPr>
        <w:t>H</w:t>
      </w:r>
      <w:r w:rsidR="007309BD" w:rsidRPr="007309BD">
        <w:rPr>
          <w:sz w:val="20"/>
          <w:szCs w:val="20"/>
        </w:rPr>
        <w:t>ome port</w:t>
      </w:r>
    </w:p>
    <w:p w:rsidR="007309BD" w:rsidRPr="007309BD" w:rsidRDefault="005B3B9B"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IF</w:t>
      </w:r>
      <w:r>
        <w:rPr>
          <w:sz w:val="20"/>
          <w:szCs w:val="20"/>
        </w:rPr>
        <w:t>Q permit number(s) used onboard</w:t>
      </w:r>
    </w:p>
    <w:p w:rsidR="007309BD" w:rsidRPr="007309BD" w:rsidRDefault="007309BD" w:rsidP="007309BD">
      <w:pPr>
        <w:tabs>
          <w:tab w:val="left" w:pos="360"/>
          <w:tab w:val="left" w:pos="720"/>
          <w:tab w:val="left" w:pos="1080"/>
        </w:tabs>
        <w:ind w:left="720" w:hanging="720"/>
        <w:rPr>
          <w:sz w:val="20"/>
          <w:szCs w:val="20"/>
        </w:rPr>
      </w:pPr>
      <w:r w:rsidRPr="007309BD">
        <w:rPr>
          <w:sz w:val="20"/>
          <w:szCs w:val="20"/>
        </w:rPr>
        <w:tab/>
      </w:r>
      <w:r w:rsidR="00156394">
        <w:rPr>
          <w:sz w:val="20"/>
          <w:szCs w:val="20"/>
        </w:rPr>
        <w:tab/>
      </w:r>
      <w:r w:rsidR="00F66D5E">
        <w:rPr>
          <w:sz w:val="20"/>
          <w:szCs w:val="20"/>
        </w:rPr>
        <w:t>CQE e</w:t>
      </w:r>
      <w:r w:rsidRPr="007309BD">
        <w:rPr>
          <w:sz w:val="20"/>
          <w:szCs w:val="20"/>
        </w:rPr>
        <w:t>fforts to ensure crew members onboard to harvest the IFQ are</w:t>
      </w:r>
      <w:r w:rsidR="00505E95">
        <w:rPr>
          <w:sz w:val="20"/>
          <w:szCs w:val="20"/>
        </w:rPr>
        <w:t xml:space="preserve"> </w:t>
      </w:r>
      <w:r w:rsidRPr="007309BD">
        <w:rPr>
          <w:sz w:val="20"/>
          <w:szCs w:val="20"/>
        </w:rPr>
        <w:t>residents of the</w:t>
      </w:r>
      <w:r w:rsidR="00F66D5E">
        <w:rPr>
          <w:sz w:val="20"/>
          <w:szCs w:val="20"/>
        </w:rPr>
        <w:t xml:space="preserve"> </w:t>
      </w:r>
      <w:r w:rsidRPr="007309BD">
        <w:rPr>
          <w:sz w:val="20"/>
          <w:szCs w:val="20"/>
        </w:rPr>
        <w:t>eligible community</w:t>
      </w:r>
    </w:p>
    <w:p w:rsidR="008D6B71" w:rsidRDefault="007309BD" w:rsidP="007309BD">
      <w:pPr>
        <w:tabs>
          <w:tab w:val="left" w:pos="360"/>
          <w:tab w:val="left" w:pos="720"/>
          <w:tab w:val="left" w:pos="1080"/>
        </w:tabs>
        <w:ind w:left="720" w:hanging="720"/>
        <w:rPr>
          <w:sz w:val="20"/>
          <w:szCs w:val="20"/>
        </w:rPr>
      </w:pPr>
      <w:r w:rsidRPr="007309BD">
        <w:rPr>
          <w:sz w:val="20"/>
          <w:szCs w:val="20"/>
        </w:rPr>
        <w:tab/>
      </w:r>
      <w:r w:rsidR="00156394">
        <w:rPr>
          <w:sz w:val="20"/>
          <w:szCs w:val="20"/>
        </w:rPr>
        <w:tab/>
      </w:r>
      <w:r w:rsidR="008D6B71">
        <w:rPr>
          <w:sz w:val="20"/>
          <w:szCs w:val="20"/>
        </w:rPr>
        <w:t>For each person employed as a crew member</w:t>
      </w:r>
    </w:p>
    <w:p w:rsidR="008D6B71" w:rsidRDefault="008D6B71" w:rsidP="007309BD">
      <w:pPr>
        <w:tabs>
          <w:tab w:val="left" w:pos="360"/>
          <w:tab w:val="left" w:pos="720"/>
          <w:tab w:val="left" w:pos="1080"/>
        </w:tabs>
        <w:ind w:left="720" w:hanging="720"/>
        <w:rPr>
          <w:sz w:val="20"/>
          <w:szCs w:val="20"/>
        </w:rPr>
      </w:pPr>
      <w:r>
        <w:rPr>
          <w:sz w:val="20"/>
          <w:szCs w:val="20"/>
        </w:rPr>
        <w:tab/>
      </w:r>
      <w:r>
        <w:rPr>
          <w:sz w:val="20"/>
          <w:szCs w:val="20"/>
        </w:rPr>
        <w:tab/>
      </w:r>
      <w:r>
        <w:rPr>
          <w:sz w:val="20"/>
          <w:szCs w:val="20"/>
        </w:rPr>
        <w:tab/>
      </w:r>
      <w:r w:rsidR="007309BD" w:rsidRPr="007309BD">
        <w:rPr>
          <w:sz w:val="20"/>
          <w:szCs w:val="20"/>
        </w:rPr>
        <w:t>Name</w:t>
      </w:r>
    </w:p>
    <w:p w:rsidR="008D6B71" w:rsidRDefault="008D6B71" w:rsidP="007309BD">
      <w:pPr>
        <w:tabs>
          <w:tab w:val="left" w:pos="360"/>
          <w:tab w:val="left" w:pos="720"/>
          <w:tab w:val="left" w:pos="1080"/>
        </w:tabs>
        <w:ind w:left="720" w:hanging="720"/>
        <w:rPr>
          <w:sz w:val="20"/>
          <w:szCs w:val="20"/>
        </w:rPr>
      </w:pPr>
      <w:r>
        <w:rPr>
          <w:sz w:val="20"/>
          <w:szCs w:val="20"/>
        </w:rPr>
        <w:tab/>
      </w:r>
      <w:r>
        <w:rPr>
          <w:sz w:val="20"/>
          <w:szCs w:val="20"/>
        </w:rPr>
        <w:tab/>
      </w:r>
      <w:r>
        <w:rPr>
          <w:sz w:val="20"/>
          <w:szCs w:val="20"/>
        </w:rPr>
        <w:tab/>
        <w:t>R</w:t>
      </w:r>
      <w:r w:rsidR="007309BD" w:rsidRPr="007309BD">
        <w:rPr>
          <w:sz w:val="20"/>
          <w:szCs w:val="20"/>
        </w:rPr>
        <w:t>esident city and state</w:t>
      </w:r>
    </w:p>
    <w:p w:rsidR="007309BD" w:rsidRPr="007309BD" w:rsidRDefault="008D6B71" w:rsidP="008D6B71">
      <w:pPr>
        <w:tabs>
          <w:tab w:val="left" w:pos="360"/>
          <w:tab w:val="left" w:pos="720"/>
          <w:tab w:val="left" w:pos="1080"/>
        </w:tabs>
        <w:ind w:left="720" w:hanging="720"/>
        <w:rPr>
          <w:sz w:val="20"/>
          <w:szCs w:val="20"/>
        </w:rPr>
      </w:pPr>
      <w:r>
        <w:rPr>
          <w:sz w:val="20"/>
          <w:szCs w:val="20"/>
        </w:rPr>
        <w:tab/>
      </w:r>
      <w:r>
        <w:rPr>
          <w:sz w:val="20"/>
          <w:szCs w:val="20"/>
        </w:rPr>
        <w:tab/>
      </w:r>
      <w:r>
        <w:rPr>
          <w:sz w:val="20"/>
          <w:szCs w:val="20"/>
        </w:rPr>
        <w:tab/>
        <w:t>B</w:t>
      </w:r>
      <w:r w:rsidR="007309BD" w:rsidRPr="007309BD">
        <w:rPr>
          <w:sz w:val="20"/>
          <w:szCs w:val="20"/>
        </w:rPr>
        <w:t xml:space="preserve">usiness address </w:t>
      </w:r>
    </w:p>
    <w:p w:rsidR="007309BD" w:rsidRDefault="007309BD" w:rsidP="007309BD">
      <w:pPr>
        <w:tabs>
          <w:tab w:val="left" w:pos="360"/>
          <w:tab w:val="left" w:pos="720"/>
          <w:tab w:val="left" w:pos="1080"/>
        </w:tabs>
        <w:ind w:left="720" w:hanging="720"/>
        <w:rPr>
          <w:sz w:val="20"/>
          <w:szCs w:val="20"/>
        </w:rPr>
      </w:pPr>
      <w:r w:rsidRPr="007309BD">
        <w:rPr>
          <w:sz w:val="20"/>
          <w:szCs w:val="20"/>
        </w:rPr>
        <w:tab/>
        <w:t xml:space="preserve">For each community </w:t>
      </w:r>
      <w:r w:rsidRPr="00DC4C24">
        <w:rPr>
          <w:sz w:val="20"/>
          <w:szCs w:val="20"/>
        </w:rPr>
        <w:t xml:space="preserve">whose </w:t>
      </w:r>
      <w:r w:rsidR="00C37A60" w:rsidRPr="00DC4C24">
        <w:rPr>
          <w:sz w:val="20"/>
          <w:szCs w:val="20"/>
        </w:rPr>
        <w:t xml:space="preserve">eligible community </w:t>
      </w:r>
      <w:r w:rsidRPr="00DC4C24">
        <w:rPr>
          <w:sz w:val="20"/>
          <w:szCs w:val="20"/>
        </w:rPr>
        <w:t xml:space="preserve">residents </w:t>
      </w:r>
      <w:r w:rsidR="00C37A60" w:rsidRPr="00DC4C24">
        <w:rPr>
          <w:sz w:val="20"/>
          <w:szCs w:val="20"/>
        </w:rPr>
        <w:t xml:space="preserve">and non-residents </w:t>
      </w:r>
      <w:r w:rsidRPr="00DC4C24">
        <w:rPr>
          <w:sz w:val="20"/>
          <w:szCs w:val="20"/>
        </w:rPr>
        <w:t xml:space="preserve">landed IFQ, </w:t>
      </w:r>
      <w:r w:rsidR="008D6B71" w:rsidRPr="00DC4C24">
        <w:rPr>
          <w:sz w:val="20"/>
          <w:szCs w:val="20"/>
        </w:rPr>
        <w:t xml:space="preserve">describe </w:t>
      </w:r>
      <w:r w:rsidRPr="00DC4C24">
        <w:rPr>
          <w:sz w:val="20"/>
          <w:szCs w:val="20"/>
        </w:rPr>
        <w:t>payments made to the CQE for use of the</w:t>
      </w:r>
      <w:r w:rsidRPr="00C651BD">
        <w:rPr>
          <w:sz w:val="20"/>
          <w:szCs w:val="20"/>
        </w:rPr>
        <w:t xml:space="preserve"> </w:t>
      </w:r>
      <w:r w:rsidRPr="007309BD">
        <w:rPr>
          <w:sz w:val="20"/>
          <w:szCs w:val="20"/>
        </w:rPr>
        <w:t>IFQ</w:t>
      </w:r>
    </w:p>
    <w:p w:rsidR="00156394" w:rsidRPr="007309BD" w:rsidRDefault="00156394" w:rsidP="007309BD">
      <w:pPr>
        <w:tabs>
          <w:tab w:val="left" w:pos="360"/>
          <w:tab w:val="left" w:pos="720"/>
          <w:tab w:val="left" w:pos="1080"/>
        </w:tabs>
        <w:ind w:left="720" w:hanging="720"/>
        <w:rPr>
          <w:sz w:val="20"/>
          <w:szCs w:val="20"/>
        </w:rPr>
      </w:pPr>
    </w:p>
    <w:p w:rsidR="00156394" w:rsidRDefault="007309BD" w:rsidP="007309BD">
      <w:pPr>
        <w:tabs>
          <w:tab w:val="left" w:pos="360"/>
          <w:tab w:val="left" w:pos="720"/>
          <w:tab w:val="left" w:pos="1080"/>
        </w:tabs>
        <w:ind w:left="720" w:hanging="720"/>
        <w:rPr>
          <w:sz w:val="20"/>
          <w:szCs w:val="20"/>
        </w:rPr>
      </w:pPr>
      <w:r w:rsidRPr="00156394">
        <w:rPr>
          <w:sz w:val="20"/>
          <w:szCs w:val="20"/>
          <w:u w:val="single"/>
        </w:rPr>
        <w:t>License Limitation Program</w:t>
      </w:r>
    </w:p>
    <w:p w:rsidR="00777564" w:rsidRPr="00DC4C24" w:rsidRDefault="00777564" w:rsidP="007309BD">
      <w:pPr>
        <w:tabs>
          <w:tab w:val="left" w:pos="360"/>
          <w:tab w:val="left" w:pos="720"/>
          <w:tab w:val="left" w:pos="1080"/>
        </w:tabs>
        <w:ind w:left="720" w:hanging="720"/>
        <w:rPr>
          <w:b/>
          <w:sz w:val="20"/>
          <w:szCs w:val="20"/>
        </w:rPr>
      </w:pPr>
      <w:r w:rsidRPr="00DC4C24">
        <w:rPr>
          <w:b/>
          <w:sz w:val="20"/>
          <w:szCs w:val="20"/>
        </w:rPr>
        <w:t xml:space="preserve">For each </w:t>
      </w:r>
      <w:r w:rsidR="00633707" w:rsidRPr="00DC4C24">
        <w:rPr>
          <w:b/>
          <w:sz w:val="20"/>
          <w:szCs w:val="20"/>
        </w:rPr>
        <w:t xml:space="preserve">community </w:t>
      </w:r>
      <w:r w:rsidRPr="00DC4C24">
        <w:rPr>
          <w:b/>
          <w:sz w:val="20"/>
          <w:szCs w:val="20"/>
        </w:rPr>
        <w:t>represented by the CQE, the program specific report for GOA Pacific cod endorsed non-trawl groundfish licenses held by a CQE</w:t>
      </w:r>
    </w:p>
    <w:p w:rsidR="00633707" w:rsidRDefault="00633707"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Total number of LLP groundfish licenses by gear type endorsement held by the CQE</w:t>
      </w:r>
    </w:p>
    <w:p w:rsidR="00633707" w:rsidRDefault="00633707"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at</w:t>
      </w:r>
      <w:proofErr w:type="gramEnd"/>
      <w:r w:rsidR="007309BD" w:rsidRPr="007309BD">
        <w:rPr>
          <w:sz w:val="20"/>
          <w:szCs w:val="20"/>
        </w:rPr>
        <w:t xml:space="preserve"> the start of the calendar year</w:t>
      </w:r>
    </w:p>
    <w:p w:rsidR="00633707" w:rsidRDefault="00633707"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at</w:t>
      </w:r>
      <w:proofErr w:type="gramEnd"/>
      <w:r w:rsidR="007309BD" w:rsidRPr="007309BD">
        <w:rPr>
          <w:sz w:val="20"/>
          <w:szCs w:val="20"/>
        </w:rPr>
        <w:t xml:space="preserve"> the end of the calendar year</w:t>
      </w:r>
    </w:p>
    <w:p w:rsidR="007309BD" w:rsidRPr="007309BD" w:rsidRDefault="00633707" w:rsidP="007309BD">
      <w:pPr>
        <w:tabs>
          <w:tab w:val="left" w:pos="360"/>
          <w:tab w:val="left" w:pos="720"/>
          <w:tab w:val="left" w:pos="1080"/>
        </w:tabs>
        <w:ind w:left="720" w:hanging="720"/>
        <w:rPr>
          <w:sz w:val="20"/>
          <w:szCs w:val="20"/>
        </w:rPr>
      </w:pPr>
      <w:r>
        <w:rPr>
          <w:sz w:val="20"/>
          <w:szCs w:val="20"/>
        </w:rPr>
        <w:tab/>
      </w:r>
      <w:r>
        <w:rPr>
          <w:sz w:val="20"/>
          <w:szCs w:val="20"/>
        </w:rPr>
        <w:tab/>
      </w:r>
      <w:proofErr w:type="gramStart"/>
      <w:r w:rsidR="007309BD" w:rsidRPr="007309BD">
        <w:rPr>
          <w:sz w:val="20"/>
          <w:szCs w:val="20"/>
        </w:rPr>
        <w:t>projected</w:t>
      </w:r>
      <w:proofErr w:type="gramEnd"/>
      <w:r w:rsidR="007309BD" w:rsidRPr="007309BD">
        <w:rPr>
          <w:sz w:val="20"/>
          <w:szCs w:val="20"/>
        </w:rPr>
        <w:t xml:space="preserve"> to be held in the next calendar year</w:t>
      </w:r>
    </w:p>
    <w:p w:rsidR="008D6B71" w:rsidRDefault="00633707" w:rsidP="007309BD">
      <w:pPr>
        <w:tabs>
          <w:tab w:val="left" w:pos="360"/>
          <w:tab w:val="left" w:pos="720"/>
          <w:tab w:val="left" w:pos="1080"/>
        </w:tabs>
        <w:ind w:left="720" w:hanging="720"/>
        <w:rPr>
          <w:sz w:val="20"/>
          <w:szCs w:val="20"/>
        </w:rPr>
      </w:pPr>
      <w:r>
        <w:rPr>
          <w:sz w:val="20"/>
          <w:szCs w:val="20"/>
        </w:rPr>
        <w:tab/>
      </w:r>
      <w:r w:rsidR="008D6B71">
        <w:rPr>
          <w:sz w:val="20"/>
          <w:szCs w:val="20"/>
        </w:rPr>
        <w:t>CQE p</w:t>
      </w:r>
      <w:r w:rsidR="007309BD" w:rsidRPr="007309BD">
        <w:rPr>
          <w:sz w:val="20"/>
          <w:szCs w:val="20"/>
        </w:rPr>
        <w:t>rocess used to solicit applications from residents of the eligible community to use LLP groundfish</w:t>
      </w:r>
    </w:p>
    <w:p w:rsidR="007309BD" w:rsidRPr="007309BD" w:rsidRDefault="008D6B71"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 xml:space="preserve"> </w:t>
      </w:r>
      <w:proofErr w:type="gramStart"/>
      <w:r w:rsidR="007309BD" w:rsidRPr="007309BD">
        <w:rPr>
          <w:sz w:val="20"/>
          <w:szCs w:val="20"/>
        </w:rPr>
        <w:t>license(s)</w:t>
      </w:r>
      <w:proofErr w:type="gramEnd"/>
      <w:r w:rsidR="007309BD" w:rsidRPr="007309BD">
        <w:rPr>
          <w:sz w:val="20"/>
          <w:szCs w:val="20"/>
        </w:rPr>
        <w:t xml:space="preserve"> </w:t>
      </w:r>
      <w:r>
        <w:rPr>
          <w:sz w:val="20"/>
          <w:szCs w:val="20"/>
        </w:rPr>
        <w:t xml:space="preserve">held by </w:t>
      </w:r>
      <w:r w:rsidR="007309BD" w:rsidRPr="007309BD">
        <w:rPr>
          <w:sz w:val="20"/>
          <w:szCs w:val="20"/>
        </w:rPr>
        <w:t>the CQE</w:t>
      </w:r>
    </w:p>
    <w:p w:rsidR="007309BD" w:rsidRPr="007309BD" w:rsidRDefault="00633707"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Total number of community residents who applied to use an LLP groundfish license </w:t>
      </w:r>
    </w:p>
    <w:p w:rsidR="00A9171C" w:rsidRDefault="007309BD" w:rsidP="007309BD">
      <w:pPr>
        <w:tabs>
          <w:tab w:val="left" w:pos="360"/>
          <w:tab w:val="left" w:pos="720"/>
          <w:tab w:val="left" w:pos="1080"/>
        </w:tabs>
        <w:ind w:left="720" w:hanging="720"/>
        <w:rPr>
          <w:sz w:val="20"/>
          <w:szCs w:val="20"/>
        </w:rPr>
      </w:pPr>
      <w:r w:rsidRPr="007309BD">
        <w:rPr>
          <w:sz w:val="20"/>
          <w:szCs w:val="20"/>
        </w:rPr>
        <w:tab/>
      </w:r>
      <w:r w:rsidR="00A9171C">
        <w:rPr>
          <w:sz w:val="20"/>
          <w:szCs w:val="20"/>
        </w:rPr>
        <w:t>For each person who applied to use a LLP groundfish license</w:t>
      </w:r>
    </w:p>
    <w:p w:rsidR="00A9171C" w:rsidRDefault="00A9171C"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Name</w:t>
      </w:r>
    </w:p>
    <w:p w:rsidR="00A9171C" w:rsidRDefault="00A9171C" w:rsidP="007309BD">
      <w:pPr>
        <w:tabs>
          <w:tab w:val="left" w:pos="360"/>
          <w:tab w:val="left" w:pos="720"/>
          <w:tab w:val="left" w:pos="1080"/>
        </w:tabs>
        <w:ind w:left="720" w:hanging="720"/>
        <w:rPr>
          <w:sz w:val="20"/>
          <w:szCs w:val="20"/>
        </w:rPr>
      </w:pPr>
      <w:r>
        <w:rPr>
          <w:sz w:val="20"/>
          <w:szCs w:val="20"/>
        </w:rPr>
        <w:tab/>
      </w:r>
      <w:r>
        <w:rPr>
          <w:sz w:val="20"/>
          <w:szCs w:val="20"/>
        </w:rPr>
        <w:tab/>
        <w:t>B</w:t>
      </w:r>
      <w:r w:rsidR="007309BD" w:rsidRPr="007309BD">
        <w:rPr>
          <w:sz w:val="20"/>
          <w:szCs w:val="20"/>
        </w:rPr>
        <w:t>usiness address</w:t>
      </w:r>
      <w:r w:rsidR="00595077">
        <w:rPr>
          <w:sz w:val="20"/>
          <w:szCs w:val="20"/>
        </w:rPr>
        <w:t>, city and state</w:t>
      </w:r>
    </w:p>
    <w:p w:rsidR="007309BD" w:rsidRPr="007309BD" w:rsidRDefault="00A9171C" w:rsidP="007309BD">
      <w:pPr>
        <w:tabs>
          <w:tab w:val="left" w:pos="360"/>
          <w:tab w:val="left" w:pos="720"/>
          <w:tab w:val="left" w:pos="1080"/>
        </w:tabs>
        <w:ind w:left="720" w:hanging="720"/>
        <w:rPr>
          <w:sz w:val="20"/>
          <w:szCs w:val="20"/>
        </w:rPr>
      </w:pPr>
      <w:r>
        <w:rPr>
          <w:sz w:val="20"/>
          <w:szCs w:val="20"/>
        </w:rPr>
        <w:tab/>
      </w:r>
      <w:r>
        <w:rPr>
          <w:sz w:val="20"/>
          <w:szCs w:val="20"/>
        </w:rPr>
        <w:tab/>
        <w:t>N</w:t>
      </w:r>
      <w:r w:rsidR="007309BD" w:rsidRPr="007309BD">
        <w:rPr>
          <w:sz w:val="20"/>
          <w:szCs w:val="20"/>
        </w:rPr>
        <w:t>umber of LLP groundfish licenses requested</w:t>
      </w:r>
    </w:p>
    <w:p w:rsidR="007309BD" w:rsidRPr="007309BD" w:rsidRDefault="00A9171C" w:rsidP="007309BD">
      <w:pPr>
        <w:tabs>
          <w:tab w:val="left" w:pos="360"/>
          <w:tab w:val="left" w:pos="720"/>
          <w:tab w:val="left" w:pos="1080"/>
        </w:tabs>
        <w:ind w:left="720" w:hanging="720"/>
        <w:rPr>
          <w:sz w:val="20"/>
          <w:szCs w:val="20"/>
        </w:rPr>
      </w:pPr>
      <w:r>
        <w:rPr>
          <w:sz w:val="20"/>
          <w:szCs w:val="20"/>
        </w:rPr>
        <w:tab/>
        <w:t>CQE c</w:t>
      </w:r>
      <w:r w:rsidR="007309BD" w:rsidRPr="007309BD">
        <w:rPr>
          <w:sz w:val="20"/>
          <w:szCs w:val="20"/>
        </w:rPr>
        <w:t>riteria to distribute LLP groundfish licenses among eligible community resident</w:t>
      </w:r>
      <w:r>
        <w:rPr>
          <w:sz w:val="20"/>
          <w:szCs w:val="20"/>
        </w:rPr>
        <w:t>s who applied to use LLP</w:t>
      </w:r>
    </w:p>
    <w:p w:rsidR="0011388D" w:rsidRDefault="0011388D" w:rsidP="007309BD">
      <w:pPr>
        <w:tabs>
          <w:tab w:val="left" w:pos="360"/>
          <w:tab w:val="left" w:pos="720"/>
          <w:tab w:val="left" w:pos="1080"/>
        </w:tabs>
        <w:ind w:left="720" w:hanging="720"/>
        <w:rPr>
          <w:sz w:val="20"/>
          <w:szCs w:val="20"/>
        </w:rPr>
      </w:pPr>
      <w:r>
        <w:rPr>
          <w:sz w:val="20"/>
          <w:szCs w:val="20"/>
        </w:rPr>
        <w:tab/>
        <w:t xml:space="preserve">For each person </w:t>
      </w:r>
      <w:r w:rsidR="007309BD" w:rsidRPr="007309BD">
        <w:rPr>
          <w:sz w:val="20"/>
          <w:szCs w:val="20"/>
        </w:rPr>
        <w:t>assigned one or more LLP groundfish li</w:t>
      </w:r>
      <w:r w:rsidR="00A9171C">
        <w:rPr>
          <w:sz w:val="20"/>
          <w:szCs w:val="20"/>
        </w:rPr>
        <w:t>censes held by the CQE</w:t>
      </w:r>
    </w:p>
    <w:p w:rsidR="00A9171C"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A9171C">
        <w:rPr>
          <w:sz w:val="20"/>
          <w:szCs w:val="20"/>
        </w:rPr>
        <w:t>N</w:t>
      </w:r>
      <w:r w:rsidR="007309BD" w:rsidRPr="007309BD">
        <w:rPr>
          <w:sz w:val="20"/>
          <w:szCs w:val="20"/>
        </w:rPr>
        <w:t>ame</w:t>
      </w:r>
    </w:p>
    <w:p w:rsidR="0011388D" w:rsidRDefault="00A9171C" w:rsidP="007309BD">
      <w:pPr>
        <w:tabs>
          <w:tab w:val="left" w:pos="360"/>
          <w:tab w:val="left" w:pos="720"/>
          <w:tab w:val="left" w:pos="1080"/>
        </w:tabs>
        <w:ind w:left="720" w:hanging="720"/>
        <w:rPr>
          <w:sz w:val="20"/>
          <w:szCs w:val="20"/>
        </w:rPr>
      </w:pPr>
      <w:r>
        <w:rPr>
          <w:sz w:val="20"/>
          <w:szCs w:val="20"/>
        </w:rPr>
        <w:tab/>
      </w:r>
      <w:r>
        <w:rPr>
          <w:sz w:val="20"/>
          <w:szCs w:val="20"/>
        </w:rPr>
        <w:tab/>
        <w:t>B</w:t>
      </w:r>
      <w:r w:rsidR="007309BD" w:rsidRPr="007309BD">
        <w:rPr>
          <w:sz w:val="20"/>
          <w:szCs w:val="20"/>
        </w:rPr>
        <w:t>usiness address, city and state</w:t>
      </w:r>
    </w:p>
    <w:p w:rsidR="007309BD" w:rsidRPr="007309B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LLP groundfish license numbers of each gear endorsement t</w:t>
      </w:r>
      <w:r>
        <w:rPr>
          <w:sz w:val="20"/>
          <w:szCs w:val="20"/>
        </w:rPr>
        <w:t>ype they were authorized to use</w:t>
      </w:r>
    </w:p>
    <w:p w:rsidR="0011388D" w:rsidRDefault="0011388D"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For each vessel authorized to harvest LLP groundfish using LLP groundfish li</w:t>
      </w:r>
      <w:r w:rsidR="00CD33EA">
        <w:rPr>
          <w:sz w:val="20"/>
          <w:szCs w:val="20"/>
        </w:rPr>
        <w:t>censes held by the CQE</w:t>
      </w:r>
    </w:p>
    <w:p w:rsidR="0011388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CD33EA">
        <w:rPr>
          <w:sz w:val="20"/>
          <w:szCs w:val="20"/>
        </w:rPr>
        <w:t>V</w:t>
      </w:r>
      <w:r w:rsidR="007309BD" w:rsidRPr="007309BD">
        <w:rPr>
          <w:sz w:val="20"/>
          <w:szCs w:val="20"/>
        </w:rPr>
        <w:t>essel name</w:t>
      </w:r>
    </w:p>
    <w:p w:rsidR="0011388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ADF&amp;G vessel registration number</w:t>
      </w:r>
    </w:p>
    <w:p w:rsidR="0011388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USCG documentation number</w:t>
      </w:r>
    </w:p>
    <w:p w:rsidR="0011388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CD33EA">
        <w:rPr>
          <w:sz w:val="20"/>
          <w:szCs w:val="20"/>
        </w:rPr>
        <w:t>L</w:t>
      </w:r>
      <w:r w:rsidR="007309BD" w:rsidRPr="007309BD">
        <w:rPr>
          <w:sz w:val="20"/>
          <w:szCs w:val="20"/>
        </w:rPr>
        <w:t>ength overall</w:t>
      </w:r>
    </w:p>
    <w:p w:rsidR="0011388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CD33EA">
        <w:rPr>
          <w:sz w:val="20"/>
          <w:szCs w:val="20"/>
        </w:rPr>
        <w:t>H</w:t>
      </w:r>
      <w:r w:rsidR="007309BD" w:rsidRPr="007309BD">
        <w:rPr>
          <w:sz w:val="20"/>
          <w:szCs w:val="20"/>
        </w:rPr>
        <w:t>ome port</w:t>
      </w:r>
    </w:p>
    <w:p w:rsidR="007309BD" w:rsidRPr="007309B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7309BD" w:rsidRPr="007309BD">
        <w:rPr>
          <w:sz w:val="20"/>
          <w:szCs w:val="20"/>
        </w:rPr>
        <w:t>LLP groundf</w:t>
      </w:r>
      <w:r>
        <w:rPr>
          <w:sz w:val="20"/>
          <w:szCs w:val="20"/>
        </w:rPr>
        <w:t>ish license number used onboard</w:t>
      </w:r>
    </w:p>
    <w:p w:rsidR="007309B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CD33EA">
        <w:rPr>
          <w:sz w:val="20"/>
          <w:szCs w:val="20"/>
        </w:rPr>
        <w:t xml:space="preserve">CQE </w:t>
      </w:r>
      <w:r w:rsidR="007309BD" w:rsidRPr="007309BD">
        <w:rPr>
          <w:sz w:val="20"/>
          <w:szCs w:val="20"/>
        </w:rPr>
        <w:t>efforts to ensure crew members onboard the vessels are residents of the eligible community</w:t>
      </w:r>
    </w:p>
    <w:p w:rsidR="0011388D" w:rsidRDefault="00AA36ED" w:rsidP="007309BD">
      <w:pPr>
        <w:tabs>
          <w:tab w:val="left" w:pos="360"/>
          <w:tab w:val="left" w:pos="720"/>
          <w:tab w:val="left" w:pos="1080"/>
        </w:tabs>
        <w:ind w:left="720" w:hanging="720"/>
        <w:rPr>
          <w:sz w:val="20"/>
          <w:szCs w:val="20"/>
        </w:rPr>
      </w:pPr>
      <w:r>
        <w:rPr>
          <w:sz w:val="20"/>
          <w:szCs w:val="20"/>
        </w:rPr>
        <w:tab/>
        <w:t xml:space="preserve">For </w:t>
      </w:r>
      <w:r w:rsidRPr="007309BD">
        <w:rPr>
          <w:sz w:val="20"/>
          <w:szCs w:val="20"/>
        </w:rPr>
        <w:t xml:space="preserve">each person employed as a crew member on each vessel using LLP groundfish licenses held by the CQE </w:t>
      </w:r>
      <w:r w:rsidR="00CD33EA">
        <w:rPr>
          <w:sz w:val="20"/>
          <w:szCs w:val="20"/>
        </w:rPr>
        <w:t>N</w:t>
      </w:r>
      <w:r w:rsidR="007309BD" w:rsidRPr="007309BD">
        <w:rPr>
          <w:sz w:val="20"/>
          <w:szCs w:val="20"/>
        </w:rPr>
        <w:t>ame</w:t>
      </w:r>
    </w:p>
    <w:p w:rsidR="0011388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CD33EA">
        <w:rPr>
          <w:sz w:val="20"/>
          <w:szCs w:val="20"/>
        </w:rPr>
        <w:t>R</w:t>
      </w:r>
      <w:r w:rsidR="007309BD" w:rsidRPr="007309BD">
        <w:rPr>
          <w:sz w:val="20"/>
          <w:szCs w:val="20"/>
        </w:rPr>
        <w:t>esident city and state</w:t>
      </w:r>
    </w:p>
    <w:p w:rsidR="00AA36ED" w:rsidRDefault="0011388D" w:rsidP="007309BD">
      <w:pPr>
        <w:tabs>
          <w:tab w:val="left" w:pos="360"/>
          <w:tab w:val="left" w:pos="720"/>
          <w:tab w:val="left" w:pos="1080"/>
        </w:tabs>
        <w:ind w:left="720" w:hanging="720"/>
        <w:rPr>
          <w:sz w:val="20"/>
          <w:szCs w:val="20"/>
        </w:rPr>
      </w:pPr>
      <w:r>
        <w:rPr>
          <w:sz w:val="20"/>
          <w:szCs w:val="20"/>
        </w:rPr>
        <w:tab/>
      </w:r>
      <w:r>
        <w:rPr>
          <w:sz w:val="20"/>
          <w:szCs w:val="20"/>
        </w:rPr>
        <w:tab/>
      </w:r>
      <w:r w:rsidR="00CD33EA">
        <w:rPr>
          <w:sz w:val="20"/>
          <w:szCs w:val="20"/>
        </w:rPr>
        <w:t>B</w:t>
      </w:r>
      <w:r w:rsidR="007309BD" w:rsidRPr="007309BD">
        <w:rPr>
          <w:sz w:val="20"/>
          <w:szCs w:val="20"/>
        </w:rPr>
        <w:t>usiness address, city and state</w:t>
      </w:r>
    </w:p>
    <w:p w:rsidR="00AD1C21" w:rsidRDefault="00AA36ED" w:rsidP="007309BD">
      <w:pPr>
        <w:tabs>
          <w:tab w:val="left" w:pos="360"/>
          <w:tab w:val="left" w:pos="720"/>
          <w:tab w:val="left" w:pos="1080"/>
        </w:tabs>
        <w:ind w:left="720" w:hanging="720"/>
        <w:rPr>
          <w:sz w:val="20"/>
          <w:szCs w:val="20"/>
        </w:rPr>
      </w:pPr>
      <w:r>
        <w:rPr>
          <w:sz w:val="20"/>
          <w:szCs w:val="20"/>
        </w:rPr>
        <w:tab/>
      </w:r>
      <w:r w:rsidR="007309BD" w:rsidRPr="007309BD">
        <w:rPr>
          <w:sz w:val="20"/>
          <w:szCs w:val="20"/>
        </w:rPr>
        <w:t xml:space="preserve">For each community whose residents made landings using LLP groundfish licenses held by the CQE </w:t>
      </w:r>
      <w:r w:rsidR="00CD33EA">
        <w:rPr>
          <w:sz w:val="20"/>
          <w:szCs w:val="20"/>
        </w:rPr>
        <w:t>list</w:t>
      </w:r>
      <w:r w:rsidR="007309BD" w:rsidRPr="007309BD">
        <w:rPr>
          <w:sz w:val="20"/>
          <w:szCs w:val="20"/>
        </w:rPr>
        <w:t xml:space="preserve"> payments made to the CQE for use</w:t>
      </w:r>
      <w:r w:rsidR="00CD33EA">
        <w:rPr>
          <w:sz w:val="20"/>
          <w:szCs w:val="20"/>
        </w:rPr>
        <w:t xml:space="preserve"> of the LLP groundfish licenses</w:t>
      </w:r>
    </w:p>
    <w:p w:rsidR="00713304" w:rsidRDefault="00713304" w:rsidP="00231D82">
      <w:pPr>
        <w:rPr>
          <w:sz w:val="20"/>
          <w:szCs w:val="20"/>
          <w:u w:val="single"/>
        </w:rPr>
      </w:pPr>
    </w:p>
    <w:p w:rsidR="00231D82" w:rsidRPr="00231D82" w:rsidRDefault="00231D82" w:rsidP="00231D82">
      <w:pPr>
        <w:rPr>
          <w:sz w:val="20"/>
          <w:szCs w:val="20"/>
          <w:u w:val="single"/>
        </w:rPr>
      </w:pPr>
      <w:r w:rsidRPr="00231D82">
        <w:rPr>
          <w:sz w:val="20"/>
          <w:szCs w:val="20"/>
          <w:u w:val="single"/>
        </w:rPr>
        <w:t>Aleutian Islands CQE Program</w:t>
      </w:r>
    </w:p>
    <w:p w:rsidR="00231D82" w:rsidRPr="0028618A" w:rsidRDefault="00231D82" w:rsidP="00231D82">
      <w:pPr>
        <w:rPr>
          <w:b/>
          <w:sz w:val="20"/>
          <w:szCs w:val="20"/>
        </w:rPr>
      </w:pPr>
      <w:r w:rsidRPr="0028618A">
        <w:rPr>
          <w:b/>
          <w:sz w:val="20"/>
          <w:szCs w:val="20"/>
        </w:rPr>
        <w:t>For each Aleutian Islands community represented by the CQE, the program specific report</w:t>
      </w:r>
    </w:p>
    <w:p w:rsidR="00231D82" w:rsidRDefault="00231D82" w:rsidP="00231D82">
      <w:pPr>
        <w:tabs>
          <w:tab w:val="left" w:pos="360"/>
          <w:tab w:val="left" w:pos="720"/>
          <w:tab w:val="left" w:pos="1080"/>
          <w:tab w:val="left" w:pos="1440"/>
        </w:tabs>
        <w:rPr>
          <w:sz w:val="20"/>
          <w:szCs w:val="20"/>
        </w:rPr>
      </w:pPr>
      <w:r>
        <w:rPr>
          <w:sz w:val="20"/>
          <w:szCs w:val="20"/>
        </w:rPr>
        <w:tab/>
        <w:t>D</w:t>
      </w:r>
      <w:r w:rsidRPr="00231D82">
        <w:rPr>
          <w:sz w:val="20"/>
          <w:szCs w:val="20"/>
        </w:rPr>
        <w:t>escription of the process used to solicit applications from eligible community residents and non-residents</w:t>
      </w:r>
    </w:p>
    <w:p w:rsidR="00231D82" w:rsidRDefault="00231D82" w:rsidP="00231D82">
      <w:pPr>
        <w:tabs>
          <w:tab w:val="left" w:pos="360"/>
          <w:tab w:val="left" w:pos="720"/>
          <w:tab w:val="left" w:pos="1080"/>
          <w:tab w:val="left" w:pos="1440"/>
        </w:tabs>
        <w:rPr>
          <w:sz w:val="20"/>
          <w:szCs w:val="20"/>
        </w:rPr>
      </w:pPr>
      <w:r>
        <w:rPr>
          <w:sz w:val="20"/>
          <w:szCs w:val="20"/>
        </w:rPr>
        <w:tab/>
        <w:t>T</w:t>
      </w:r>
      <w:r w:rsidRPr="00231D82">
        <w:rPr>
          <w:sz w:val="20"/>
          <w:szCs w:val="20"/>
        </w:rPr>
        <w:t>otal number of eligible community residents and non-residents who applied to use IFQ</w:t>
      </w:r>
    </w:p>
    <w:p w:rsidR="0028618A" w:rsidRDefault="00231D82" w:rsidP="00231D82">
      <w:pPr>
        <w:tabs>
          <w:tab w:val="left" w:pos="360"/>
          <w:tab w:val="left" w:pos="720"/>
          <w:tab w:val="left" w:pos="1080"/>
          <w:tab w:val="left" w:pos="1440"/>
        </w:tabs>
        <w:rPr>
          <w:sz w:val="20"/>
          <w:szCs w:val="20"/>
        </w:rPr>
      </w:pPr>
      <w:r>
        <w:rPr>
          <w:sz w:val="20"/>
          <w:szCs w:val="20"/>
        </w:rPr>
        <w:tab/>
      </w:r>
      <w:r w:rsidR="0028618A">
        <w:rPr>
          <w:sz w:val="20"/>
          <w:szCs w:val="20"/>
        </w:rPr>
        <w:t>C</w:t>
      </w:r>
      <w:r w:rsidRPr="00231D82">
        <w:rPr>
          <w:sz w:val="20"/>
          <w:szCs w:val="20"/>
        </w:rPr>
        <w:t>riteria used by the CQE to distribute IFQ among eligible community residents and non-residents who applied</w:t>
      </w:r>
    </w:p>
    <w:p w:rsidR="0028618A" w:rsidRDefault="0028618A" w:rsidP="00231D82">
      <w:pPr>
        <w:tabs>
          <w:tab w:val="left" w:pos="360"/>
          <w:tab w:val="left" w:pos="720"/>
          <w:tab w:val="left" w:pos="1080"/>
          <w:tab w:val="left" w:pos="1440"/>
        </w:tabs>
        <w:rPr>
          <w:sz w:val="20"/>
          <w:szCs w:val="20"/>
        </w:rPr>
      </w:pPr>
      <w:r>
        <w:rPr>
          <w:sz w:val="20"/>
          <w:szCs w:val="20"/>
        </w:rPr>
        <w:tab/>
      </w:r>
      <w:r>
        <w:rPr>
          <w:sz w:val="20"/>
          <w:szCs w:val="20"/>
        </w:rPr>
        <w:tab/>
      </w:r>
      <w:proofErr w:type="gramStart"/>
      <w:r w:rsidR="00231D82" w:rsidRPr="00231D82">
        <w:rPr>
          <w:sz w:val="20"/>
          <w:szCs w:val="20"/>
        </w:rPr>
        <w:t>to</w:t>
      </w:r>
      <w:proofErr w:type="gramEnd"/>
      <w:r w:rsidR="00231D82" w:rsidRPr="00231D82">
        <w:rPr>
          <w:sz w:val="20"/>
          <w:szCs w:val="20"/>
        </w:rPr>
        <w:t xml:space="preserve"> use IFQ</w:t>
      </w:r>
    </w:p>
    <w:p w:rsidR="00AD1C21" w:rsidRDefault="0028618A" w:rsidP="00231D82">
      <w:pPr>
        <w:tabs>
          <w:tab w:val="left" w:pos="360"/>
          <w:tab w:val="left" w:pos="720"/>
          <w:tab w:val="left" w:pos="1080"/>
          <w:tab w:val="left" w:pos="1440"/>
        </w:tabs>
        <w:rPr>
          <w:sz w:val="20"/>
          <w:szCs w:val="20"/>
        </w:rPr>
      </w:pPr>
      <w:r>
        <w:rPr>
          <w:sz w:val="20"/>
          <w:szCs w:val="20"/>
        </w:rPr>
        <w:tab/>
        <w:t>A</w:t>
      </w:r>
      <w:r w:rsidR="00231D82" w:rsidRPr="00231D82">
        <w:rPr>
          <w:sz w:val="20"/>
          <w:szCs w:val="20"/>
        </w:rPr>
        <w:t xml:space="preserve">ny payments made to the CQE for use of the IFQ by eligible community residents and non-residents.  </w:t>
      </w:r>
    </w:p>
    <w:p w:rsidR="006016EF" w:rsidRDefault="006016EF">
      <w:pPr>
        <w:spacing w:after="200" w:line="276" w:lineRule="auto"/>
        <w:rPr>
          <w:sz w:val="20"/>
          <w:szCs w:val="20"/>
        </w:rPr>
      </w:pPr>
      <w:r>
        <w:rPr>
          <w:sz w:val="20"/>
          <w:szCs w:val="20"/>
        </w:rPr>
        <w:br w:type="page"/>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3"/>
        <w:gridCol w:w="1053"/>
      </w:tblGrid>
      <w:tr w:rsidR="00D45386" w:rsidRPr="00D7184F" w:rsidTr="00D45386">
        <w:trPr>
          <w:jc w:val="center"/>
        </w:trPr>
        <w:tc>
          <w:tcPr>
            <w:tcW w:w="4986" w:type="dxa"/>
            <w:gridSpan w:val="2"/>
          </w:tcPr>
          <w:p w:rsidR="00D45386" w:rsidRPr="00D7184F" w:rsidRDefault="00CD33EA" w:rsidP="00D45386">
            <w:pPr>
              <w:rPr>
                <w:b/>
                <w:sz w:val="20"/>
                <w:szCs w:val="20"/>
              </w:rPr>
            </w:pPr>
            <w:r>
              <w:rPr>
                <w:sz w:val="20"/>
                <w:szCs w:val="20"/>
              </w:rPr>
              <w:lastRenderedPageBreak/>
              <w:br w:type="page"/>
            </w:r>
            <w:r w:rsidR="00D45386">
              <w:rPr>
                <w:b/>
                <w:sz w:val="20"/>
                <w:szCs w:val="20"/>
              </w:rPr>
              <w:t>CQE Annual Report</w:t>
            </w:r>
            <w:r w:rsidR="00D45386" w:rsidRPr="00D7184F">
              <w:rPr>
                <w:b/>
                <w:sz w:val="20"/>
                <w:szCs w:val="20"/>
              </w:rPr>
              <w:t>, Respondent</w:t>
            </w:r>
          </w:p>
        </w:tc>
      </w:tr>
      <w:tr w:rsidR="00D45386" w:rsidRPr="00D7184F" w:rsidTr="00D45386">
        <w:trPr>
          <w:jc w:val="center"/>
        </w:trPr>
        <w:tc>
          <w:tcPr>
            <w:tcW w:w="3933" w:type="dxa"/>
          </w:tcPr>
          <w:p w:rsidR="00D45386" w:rsidRDefault="00D45386" w:rsidP="00D45386">
            <w:pPr>
              <w:rPr>
                <w:b/>
                <w:sz w:val="20"/>
                <w:szCs w:val="20"/>
              </w:rPr>
            </w:pPr>
            <w:r w:rsidRPr="00AF5BFB">
              <w:rPr>
                <w:b/>
                <w:sz w:val="20"/>
                <w:szCs w:val="20"/>
              </w:rPr>
              <w:t>Estimated number of respondents</w:t>
            </w:r>
          </w:p>
          <w:p w:rsidR="00D45386" w:rsidRPr="00AF5BFB" w:rsidRDefault="00D45386" w:rsidP="00D45386">
            <w:pPr>
              <w:rPr>
                <w:b/>
                <w:sz w:val="20"/>
                <w:szCs w:val="20"/>
              </w:rPr>
            </w:pPr>
            <w:r w:rsidRPr="00AF5BFB">
              <w:rPr>
                <w:b/>
                <w:sz w:val="20"/>
                <w:szCs w:val="20"/>
              </w:rPr>
              <w:t>Total annual responses</w:t>
            </w:r>
          </w:p>
          <w:p w:rsidR="00D45386" w:rsidRPr="00D7184F" w:rsidRDefault="00D45386" w:rsidP="00D45386">
            <w:pPr>
              <w:rPr>
                <w:sz w:val="20"/>
                <w:szCs w:val="20"/>
              </w:rPr>
            </w:pPr>
            <w:r w:rsidRPr="00D7184F">
              <w:rPr>
                <w:sz w:val="20"/>
                <w:szCs w:val="20"/>
              </w:rPr>
              <w:t xml:space="preserve">   Response per respondent =</w:t>
            </w:r>
            <w:r>
              <w:rPr>
                <w:sz w:val="20"/>
                <w:szCs w:val="20"/>
              </w:rPr>
              <w:t xml:space="preserve"> 1</w:t>
            </w:r>
            <w:r w:rsidRPr="00D7184F">
              <w:rPr>
                <w:sz w:val="20"/>
                <w:szCs w:val="20"/>
              </w:rPr>
              <w:t xml:space="preserve"> </w:t>
            </w:r>
          </w:p>
          <w:p w:rsidR="00D45386" w:rsidRPr="00D7184F" w:rsidRDefault="00D45386" w:rsidP="00D45386">
            <w:pPr>
              <w:rPr>
                <w:b/>
                <w:sz w:val="20"/>
                <w:szCs w:val="20"/>
              </w:rPr>
            </w:pPr>
            <w:r w:rsidRPr="00D7184F">
              <w:rPr>
                <w:b/>
                <w:sz w:val="20"/>
                <w:szCs w:val="20"/>
              </w:rPr>
              <w:t>Total burden hours</w:t>
            </w:r>
          </w:p>
          <w:p w:rsidR="00D45386" w:rsidRPr="00D7184F" w:rsidRDefault="00D45386" w:rsidP="00D45386">
            <w:pPr>
              <w:rPr>
                <w:b/>
                <w:sz w:val="20"/>
                <w:szCs w:val="20"/>
              </w:rPr>
            </w:pPr>
            <w:r w:rsidRPr="00D7184F">
              <w:rPr>
                <w:b/>
                <w:sz w:val="20"/>
                <w:szCs w:val="20"/>
              </w:rPr>
              <w:t xml:space="preserve">   </w:t>
            </w:r>
            <w:r w:rsidRPr="00D7184F">
              <w:rPr>
                <w:sz w:val="20"/>
                <w:szCs w:val="20"/>
              </w:rPr>
              <w:t>Time per response</w:t>
            </w:r>
            <w:r w:rsidRPr="00D7184F">
              <w:rPr>
                <w:b/>
                <w:sz w:val="20"/>
                <w:szCs w:val="20"/>
              </w:rPr>
              <w:t xml:space="preserve"> </w:t>
            </w:r>
            <w:r w:rsidRPr="00D7184F">
              <w:rPr>
                <w:sz w:val="20"/>
                <w:szCs w:val="20"/>
              </w:rPr>
              <w:t xml:space="preserve">= </w:t>
            </w:r>
            <w:r>
              <w:rPr>
                <w:sz w:val="20"/>
                <w:szCs w:val="20"/>
              </w:rPr>
              <w:t>40 hr</w:t>
            </w:r>
          </w:p>
          <w:p w:rsidR="00D45386" w:rsidRPr="00D7184F" w:rsidRDefault="00D45386" w:rsidP="00D45386">
            <w:pPr>
              <w:rPr>
                <w:sz w:val="20"/>
                <w:szCs w:val="20"/>
              </w:rPr>
            </w:pPr>
            <w:r w:rsidRPr="00D7184F">
              <w:rPr>
                <w:b/>
                <w:sz w:val="20"/>
                <w:szCs w:val="20"/>
              </w:rPr>
              <w:t xml:space="preserve">Total personnel cost </w:t>
            </w:r>
            <w:r w:rsidRPr="00D7184F">
              <w:rPr>
                <w:sz w:val="20"/>
                <w:szCs w:val="20"/>
              </w:rPr>
              <w:t xml:space="preserve">= </w:t>
            </w:r>
            <w:r>
              <w:rPr>
                <w:sz w:val="20"/>
                <w:szCs w:val="20"/>
              </w:rPr>
              <w:t>$</w:t>
            </w:r>
            <w:r w:rsidR="00961080">
              <w:rPr>
                <w:sz w:val="20"/>
                <w:szCs w:val="20"/>
              </w:rPr>
              <w:t>37</w:t>
            </w:r>
            <w:r>
              <w:rPr>
                <w:sz w:val="20"/>
                <w:szCs w:val="20"/>
              </w:rPr>
              <w:t>/hr</w:t>
            </w:r>
          </w:p>
          <w:p w:rsidR="00D45386" w:rsidRPr="00D7184F" w:rsidRDefault="00D45386" w:rsidP="00D45386">
            <w:pPr>
              <w:rPr>
                <w:sz w:val="20"/>
                <w:szCs w:val="20"/>
              </w:rPr>
            </w:pPr>
            <w:r w:rsidRPr="00D7184F">
              <w:rPr>
                <w:b/>
                <w:sz w:val="20"/>
                <w:szCs w:val="20"/>
              </w:rPr>
              <w:t xml:space="preserve">Total miscellaneous costs </w:t>
            </w:r>
            <w:r w:rsidRPr="00B15C34">
              <w:rPr>
                <w:sz w:val="20"/>
                <w:szCs w:val="20"/>
              </w:rPr>
              <w:t>(</w:t>
            </w:r>
            <w:r w:rsidR="00713304">
              <w:rPr>
                <w:sz w:val="20"/>
                <w:szCs w:val="20"/>
              </w:rPr>
              <w:t>102.30</w:t>
            </w:r>
            <w:r w:rsidRPr="00B15C34">
              <w:rPr>
                <w:sz w:val="20"/>
                <w:szCs w:val="20"/>
              </w:rPr>
              <w:t>)</w:t>
            </w:r>
          </w:p>
          <w:p w:rsidR="00D45386" w:rsidRDefault="00D45386" w:rsidP="00D45386">
            <w:pPr>
              <w:rPr>
                <w:sz w:val="20"/>
                <w:szCs w:val="20"/>
              </w:rPr>
            </w:pPr>
            <w:r w:rsidRPr="00D7184F">
              <w:rPr>
                <w:sz w:val="20"/>
                <w:szCs w:val="20"/>
              </w:rPr>
              <w:t xml:space="preserve">   Photocopy</w:t>
            </w:r>
            <w:r w:rsidR="00961080">
              <w:rPr>
                <w:sz w:val="20"/>
                <w:szCs w:val="20"/>
              </w:rPr>
              <w:t xml:space="preserve"> (10 pp x .05 x </w:t>
            </w:r>
            <w:r w:rsidR="00713304">
              <w:rPr>
                <w:sz w:val="20"/>
                <w:szCs w:val="20"/>
              </w:rPr>
              <w:t>32</w:t>
            </w:r>
            <w:r>
              <w:rPr>
                <w:sz w:val="20"/>
                <w:szCs w:val="20"/>
              </w:rPr>
              <w:t xml:space="preserve"> x 3</w:t>
            </w:r>
            <w:r w:rsidR="00961080">
              <w:rPr>
                <w:sz w:val="20"/>
                <w:szCs w:val="20"/>
              </w:rPr>
              <w:t>cc</w:t>
            </w:r>
            <w:r>
              <w:rPr>
                <w:sz w:val="20"/>
                <w:szCs w:val="20"/>
              </w:rPr>
              <w:t xml:space="preserve"> = </w:t>
            </w:r>
            <w:r w:rsidR="00713304">
              <w:rPr>
                <w:sz w:val="20"/>
                <w:szCs w:val="20"/>
              </w:rPr>
              <w:t>48</w:t>
            </w:r>
            <w:r>
              <w:rPr>
                <w:sz w:val="20"/>
                <w:szCs w:val="20"/>
              </w:rPr>
              <w:t>)</w:t>
            </w:r>
          </w:p>
          <w:p w:rsidR="00D45386" w:rsidRDefault="00D45386" w:rsidP="00D45386">
            <w:pPr>
              <w:rPr>
                <w:sz w:val="20"/>
                <w:szCs w:val="20"/>
              </w:rPr>
            </w:pPr>
            <w:r>
              <w:rPr>
                <w:sz w:val="20"/>
                <w:szCs w:val="20"/>
              </w:rPr>
              <w:t xml:space="preserve">      1 cc to NMFS</w:t>
            </w:r>
          </w:p>
          <w:p w:rsidR="00D45386" w:rsidRDefault="00D45386" w:rsidP="00D45386">
            <w:pPr>
              <w:rPr>
                <w:sz w:val="20"/>
                <w:szCs w:val="20"/>
              </w:rPr>
            </w:pPr>
            <w:r>
              <w:rPr>
                <w:sz w:val="20"/>
                <w:szCs w:val="20"/>
              </w:rPr>
              <w:t xml:space="preserve">      1 cc to community</w:t>
            </w:r>
          </w:p>
          <w:p w:rsidR="00D45386" w:rsidRPr="00D7184F" w:rsidRDefault="00D45386" w:rsidP="00D45386">
            <w:pPr>
              <w:rPr>
                <w:sz w:val="20"/>
                <w:szCs w:val="20"/>
              </w:rPr>
            </w:pPr>
            <w:r>
              <w:rPr>
                <w:sz w:val="20"/>
                <w:szCs w:val="20"/>
              </w:rPr>
              <w:t xml:space="preserve">      1 cc to CQE</w:t>
            </w:r>
          </w:p>
          <w:p w:rsidR="00D45386" w:rsidRDefault="00D45386" w:rsidP="00D45386">
            <w:pPr>
              <w:rPr>
                <w:sz w:val="20"/>
                <w:szCs w:val="20"/>
              </w:rPr>
            </w:pPr>
            <w:r w:rsidRPr="00D7184F">
              <w:rPr>
                <w:sz w:val="20"/>
                <w:szCs w:val="20"/>
              </w:rPr>
              <w:t xml:space="preserve">   Postage</w:t>
            </w:r>
            <w:r>
              <w:rPr>
                <w:sz w:val="20"/>
                <w:szCs w:val="20"/>
              </w:rPr>
              <w:t xml:space="preserve"> (0.90 x </w:t>
            </w:r>
            <w:r w:rsidR="00961080">
              <w:rPr>
                <w:sz w:val="20"/>
                <w:szCs w:val="20"/>
              </w:rPr>
              <w:t>2</w:t>
            </w:r>
            <w:r w:rsidR="00713304">
              <w:rPr>
                <w:sz w:val="20"/>
                <w:szCs w:val="20"/>
              </w:rPr>
              <w:t>7</w:t>
            </w:r>
            <w:r>
              <w:rPr>
                <w:sz w:val="20"/>
                <w:szCs w:val="20"/>
              </w:rPr>
              <w:t xml:space="preserve">= </w:t>
            </w:r>
            <w:r w:rsidR="00713304">
              <w:rPr>
                <w:sz w:val="20"/>
                <w:szCs w:val="20"/>
              </w:rPr>
              <w:t>24.30</w:t>
            </w:r>
            <w:r>
              <w:rPr>
                <w:sz w:val="20"/>
                <w:szCs w:val="20"/>
              </w:rPr>
              <w:t>)</w:t>
            </w:r>
          </w:p>
          <w:p w:rsidR="00D45386" w:rsidRPr="00D7184F" w:rsidRDefault="00D45386" w:rsidP="00961080">
            <w:pPr>
              <w:rPr>
                <w:b/>
                <w:sz w:val="20"/>
                <w:szCs w:val="20"/>
              </w:rPr>
            </w:pPr>
            <w:r>
              <w:rPr>
                <w:sz w:val="20"/>
                <w:szCs w:val="20"/>
              </w:rPr>
              <w:t xml:space="preserve">   </w:t>
            </w:r>
            <w:r w:rsidR="00961080">
              <w:rPr>
                <w:sz w:val="20"/>
                <w:szCs w:val="20"/>
              </w:rPr>
              <w:t>C</w:t>
            </w:r>
            <w:r>
              <w:rPr>
                <w:sz w:val="20"/>
                <w:szCs w:val="20"/>
              </w:rPr>
              <w:t xml:space="preserve">ourier ($6  x </w:t>
            </w:r>
            <w:r w:rsidR="00961080">
              <w:rPr>
                <w:sz w:val="20"/>
                <w:szCs w:val="20"/>
              </w:rPr>
              <w:t>5</w:t>
            </w:r>
            <w:r w:rsidRPr="00D7184F">
              <w:rPr>
                <w:sz w:val="20"/>
                <w:szCs w:val="20"/>
              </w:rPr>
              <w:t xml:space="preserve"> </w:t>
            </w:r>
            <w:r>
              <w:rPr>
                <w:sz w:val="20"/>
                <w:szCs w:val="20"/>
              </w:rPr>
              <w:t xml:space="preserve">= </w:t>
            </w:r>
            <w:r w:rsidR="00961080">
              <w:rPr>
                <w:sz w:val="20"/>
                <w:szCs w:val="20"/>
              </w:rPr>
              <w:t>30</w:t>
            </w:r>
            <w:r>
              <w:rPr>
                <w:sz w:val="20"/>
                <w:szCs w:val="20"/>
              </w:rPr>
              <w:t>)</w:t>
            </w:r>
          </w:p>
        </w:tc>
        <w:tc>
          <w:tcPr>
            <w:tcW w:w="1053" w:type="dxa"/>
          </w:tcPr>
          <w:p w:rsidR="00D45386" w:rsidRDefault="0028618A" w:rsidP="00D45386">
            <w:pPr>
              <w:jc w:val="right"/>
              <w:rPr>
                <w:b/>
                <w:sz w:val="20"/>
                <w:szCs w:val="20"/>
              </w:rPr>
            </w:pPr>
            <w:r>
              <w:rPr>
                <w:b/>
                <w:sz w:val="20"/>
                <w:szCs w:val="20"/>
              </w:rPr>
              <w:t>32</w:t>
            </w:r>
          </w:p>
          <w:p w:rsidR="00D45386" w:rsidRDefault="0028618A" w:rsidP="00D45386">
            <w:pPr>
              <w:jc w:val="right"/>
              <w:rPr>
                <w:b/>
                <w:sz w:val="20"/>
                <w:szCs w:val="20"/>
              </w:rPr>
            </w:pPr>
            <w:r>
              <w:rPr>
                <w:b/>
                <w:sz w:val="20"/>
                <w:szCs w:val="20"/>
              </w:rPr>
              <w:t>32</w:t>
            </w:r>
          </w:p>
          <w:p w:rsidR="00D45386" w:rsidRDefault="00D45386" w:rsidP="00D45386">
            <w:pPr>
              <w:jc w:val="right"/>
              <w:rPr>
                <w:b/>
                <w:sz w:val="20"/>
                <w:szCs w:val="20"/>
              </w:rPr>
            </w:pPr>
          </w:p>
          <w:p w:rsidR="00D45386" w:rsidRDefault="00DB38FF" w:rsidP="00D45386">
            <w:pPr>
              <w:jc w:val="right"/>
              <w:rPr>
                <w:b/>
                <w:sz w:val="20"/>
                <w:szCs w:val="20"/>
              </w:rPr>
            </w:pPr>
            <w:r>
              <w:rPr>
                <w:b/>
                <w:sz w:val="20"/>
                <w:szCs w:val="20"/>
              </w:rPr>
              <w:t>1,</w:t>
            </w:r>
            <w:r w:rsidR="0028618A">
              <w:rPr>
                <w:b/>
                <w:sz w:val="20"/>
                <w:szCs w:val="20"/>
              </w:rPr>
              <w:t>280</w:t>
            </w:r>
            <w:r w:rsidR="00D45386">
              <w:rPr>
                <w:b/>
                <w:sz w:val="20"/>
                <w:szCs w:val="20"/>
              </w:rPr>
              <w:t xml:space="preserve"> hr</w:t>
            </w:r>
          </w:p>
          <w:p w:rsidR="00D45386" w:rsidRDefault="00D45386" w:rsidP="00D45386">
            <w:pPr>
              <w:jc w:val="right"/>
              <w:rPr>
                <w:b/>
                <w:sz w:val="20"/>
                <w:szCs w:val="20"/>
              </w:rPr>
            </w:pPr>
          </w:p>
          <w:p w:rsidR="00D45386" w:rsidRDefault="00D45386" w:rsidP="00D45386">
            <w:pPr>
              <w:jc w:val="right"/>
              <w:rPr>
                <w:b/>
                <w:sz w:val="20"/>
                <w:szCs w:val="20"/>
              </w:rPr>
            </w:pPr>
            <w:r>
              <w:rPr>
                <w:b/>
                <w:sz w:val="20"/>
                <w:szCs w:val="20"/>
              </w:rPr>
              <w:t>$</w:t>
            </w:r>
            <w:r w:rsidR="00D034AC">
              <w:rPr>
                <w:b/>
                <w:sz w:val="20"/>
                <w:szCs w:val="20"/>
              </w:rPr>
              <w:t>47,360</w:t>
            </w:r>
          </w:p>
          <w:p w:rsidR="00D45386" w:rsidRDefault="00D45386" w:rsidP="00D45386">
            <w:pPr>
              <w:jc w:val="right"/>
              <w:rPr>
                <w:b/>
                <w:sz w:val="20"/>
                <w:szCs w:val="20"/>
              </w:rPr>
            </w:pPr>
            <w:r>
              <w:rPr>
                <w:b/>
                <w:sz w:val="20"/>
                <w:szCs w:val="20"/>
              </w:rPr>
              <w:t>$</w:t>
            </w:r>
            <w:r w:rsidR="00713304">
              <w:rPr>
                <w:b/>
                <w:sz w:val="20"/>
                <w:szCs w:val="20"/>
              </w:rPr>
              <w:t>102</w:t>
            </w:r>
          </w:p>
          <w:p w:rsidR="00D45386" w:rsidRDefault="00D45386" w:rsidP="00D45386">
            <w:pPr>
              <w:jc w:val="right"/>
              <w:rPr>
                <w:b/>
                <w:sz w:val="20"/>
                <w:szCs w:val="20"/>
              </w:rPr>
            </w:pPr>
          </w:p>
          <w:p w:rsidR="00D45386" w:rsidRPr="00AF5BFB" w:rsidRDefault="00D45386" w:rsidP="00D45386">
            <w:pPr>
              <w:jc w:val="right"/>
              <w:rPr>
                <w:b/>
                <w:sz w:val="20"/>
                <w:szCs w:val="20"/>
              </w:rPr>
            </w:pPr>
          </w:p>
        </w:tc>
      </w:tr>
    </w:tbl>
    <w:p w:rsidR="00D45386" w:rsidRDefault="00D45386" w:rsidP="00D45386">
      <w:pPr>
        <w:tabs>
          <w:tab w:val="left" w:pos="2112"/>
        </w:tabs>
        <w:rPr>
          <w:vanish/>
          <w:sz w:val="20"/>
          <w:szCs w:val="20"/>
        </w:rPr>
      </w:pPr>
      <w:r w:rsidRPr="00D7184F">
        <w:rPr>
          <w:vanish/>
          <w:sz w:val="20"/>
          <w:szCs w:val="20"/>
        </w:rPr>
        <w:cr/>
        <w:t>Halibut CDQ and PSQ transfer request</w:t>
      </w:r>
    </w:p>
    <w:p w:rsidR="00EB7A79" w:rsidRDefault="00EB7A79" w:rsidP="00D45386">
      <w:pPr>
        <w:tabs>
          <w:tab w:val="left" w:pos="2112"/>
        </w:tabs>
        <w:rPr>
          <w:sz w:val="20"/>
          <w:szCs w:val="20"/>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8"/>
        <w:gridCol w:w="1057"/>
      </w:tblGrid>
      <w:tr w:rsidR="00D45386" w:rsidRPr="00D7184F" w:rsidTr="00D45386">
        <w:trPr>
          <w:jc w:val="center"/>
        </w:trPr>
        <w:tc>
          <w:tcPr>
            <w:tcW w:w="4995" w:type="dxa"/>
            <w:gridSpan w:val="2"/>
          </w:tcPr>
          <w:p w:rsidR="00D45386" w:rsidRPr="00D7184F" w:rsidRDefault="00D45386" w:rsidP="00D45386">
            <w:pPr>
              <w:rPr>
                <w:b/>
                <w:sz w:val="20"/>
                <w:szCs w:val="20"/>
              </w:rPr>
            </w:pPr>
            <w:r>
              <w:rPr>
                <w:b/>
                <w:sz w:val="20"/>
                <w:szCs w:val="20"/>
              </w:rPr>
              <w:t>CQE Annual Report</w:t>
            </w:r>
            <w:r w:rsidRPr="00D7184F">
              <w:rPr>
                <w:b/>
                <w:sz w:val="20"/>
                <w:szCs w:val="20"/>
              </w:rPr>
              <w:t>,  Federal Government</w:t>
            </w:r>
          </w:p>
        </w:tc>
      </w:tr>
      <w:tr w:rsidR="00D45386" w:rsidRPr="00D7184F" w:rsidTr="00D45386">
        <w:trPr>
          <w:jc w:val="center"/>
        </w:trPr>
        <w:tc>
          <w:tcPr>
            <w:tcW w:w="3938" w:type="dxa"/>
          </w:tcPr>
          <w:p w:rsidR="00D45386" w:rsidRPr="00D7184F" w:rsidRDefault="00D45386" w:rsidP="00D45386">
            <w:pPr>
              <w:rPr>
                <w:b/>
                <w:sz w:val="20"/>
                <w:szCs w:val="20"/>
              </w:rPr>
            </w:pPr>
            <w:r w:rsidRPr="00D7184F">
              <w:rPr>
                <w:b/>
                <w:sz w:val="20"/>
                <w:szCs w:val="20"/>
              </w:rPr>
              <w:t>Total annual responses</w:t>
            </w:r>
          </w:p>
          <w:p w:rsidR="00D45386" w:rsidRPr="00D7184F" w:rsidRDefault="00D45386" w:rsidP="00D45386">
            <w:pPr>
              <w:rPr>
                <w:sz w:val="20"/>
                <w:szCs w:val="20"/>
              </w:rPr>
            </w:pPr>
            <w:r w:rsidRPr="00D7184F">
              <w:rPr>
                <w:b/>
                <w:sz w:val="20"/>
                <w:szCs w:val="20"/>
              </w:rPr>
              <w:t xml:space="preserve">Total burden hours </w:t>
            </w:r>
            <w:r>
              <w:rPr>
                <w:sz w:val="20"/>
                <w:szCs w:val="20"/>
              </w:rPr>
              <w:t xml:space="preserve">= 4 hr </w:t>
            </w:r>
          </w:p>
          <w:p w:rsidR="00D45386" w:rsidRPr="00D7184F" w:rsidRDefault="00D45386" w:rsidP="00D45386">
            <w:pPr>
              <w:rPr>
                <w:sz w:val="20"/>
                <w:szCs w:val="20"/>
              </w:rPr>
            </w:pPr>
            <w:r w:rsidRPr="00D7184F">
              <w:rPr>
                <w:b/>
                <w:sz w:val="20"/>
                <w:szCs w:val="20"/>
              </w:rPr>
              <w:t xml:space="preserve">Total personnel cost </w:t>
            </w:r>
            <w:r>
              <w:rPr>
                <w:sz w:val="20"/>
                <w:szCs w:val="20"/>
              </w:rPr>
              <w:t xml:space="preserve"> </w:t>
            </w:r>
            <w:r w:rsidR="00713304">
              <w:rPr>
                <w:sz w:val="20"/>
                <w:szCs w:val="20"/>
              </w:rPr>
              <w:t>(</w:t>
            </w:r>
            <w:r>
              <w:rPr>
                <w:sz w:val="20"/>
                <w:szCs w:val="20"/>
              </w:rPr>
              <w:t>$</w:t>
            </w:r>
            <w:r w:rsidR="00320B42">
              <w:rPr>
                <w:sz w:val="20"/>
                <w:szCs w:val="20"/>
              </w:rPr>
              <w:t>37</w:t>
            </w:r>
            <w:r>
              <w:rPr>
                <w:sz w:val="20"/>
                <w:szCs w:val="20"/>
              </w:rPr>
              <w:t>/hr</w:t>
            </w:r>
            <w:r w:rsidR="00713304">
              <w:rPr>
                <w:sz w:val="20"/>
                <w:szCs w:val="20"/>
              </w:rPr>
              <w:t xml:space="preserve">  x 128)</w:t>
            </w:r>
          </w:p>
          <w:p w:rsidR="00D45386" w:rsidRPr="00D7184F" w:rsidRDefault="00D45386" w:rsidP="00D45386">
            <w:pPr>
              <w:rPr>
                <w:sz w:val="20"/>
                <w:szCs w:val="20"/>
              </w:rPr>
            </w:pPr>
            <w:r w:rsidRPr="00D7184F">
              <w:rPr>
                <w:b/>
                <w:sz w:val="20"/>
                <w:szCs w:val="20"/>
              </w:rPr>
              <w:t>Total miscellaneous cost</w:t>
            </w:r>
            <w:r w:rsidRPr="00D7184F">
              <w:rPr>
                <w:sz w:val="20"/>
                <w:szCs w:val="20"/>
              </w:rPr>
              <w:t xml:space="preserve">   </w:t>
            </w:r>
          </w:p>
        </w:tc>
        <w:tc>
          <w:tcPr>
            <w:tcW w:w="1057" w:type="dxa"/>
          </w:tcPr>
          <w:p w:rsidR="00D45386" w:rsidRDefault="00713304" w:rsidP="00D45386">
            <w:pPr>
              <w:jc w:val="right"/>
              <w:rPr>
                <w:b/>
                <w:sz w:val="20"/>
                <w:szCs w:val="20"/>
              </w:rPr>
            </w:pPr>
            <w:r>
              <w:rPr>
                <w:b/>
                <w:sz w:val="20"/>
                <w:szCs w:val="20"/>
              </w:rPr>
              <w:t>32</w:t>
            </w:r>
          </w:p>
          <w:p w:rsidR="00D45386" w:rsidRDefault="00D45386" w:rsidP="00D45386">
            <w:pPr>
              <w:jc w:val="right"/>
              <w:rPr>
                <w:b/>
                <w:sz w:val="20"/>
                <w:szCs w:val="20"/>
              </w:rPr>
            </w:pPr>
            <w:r>
              <w:rPr>
                <w:b/>
                <w:sz w:val="20"/>
                <w:szCs w:val="20"/>
              </w:rPr>
              <w:t>1</w:t>
            </w:r>
            <w:r w:rsidR="00713304">
              <w:rPr>
                <w:b/>
                <w:sz w:val="20"/>
                <w:szCs w:val="20"/>
              </w:rPr>
              <w:t xml:space="preserve">28 </w:t>
            </w:r>
            <w:r>
              <w:rPr>
                <w:b/>
                <w:sz w:val="20"/>
                <w:szCs w:val="20"/>
              </w:rPr>
              <w:t>hr</w:t>
            </w:r>
          </w:p>
          <w:p w:rsidR="00D45386" w:rsidRDefault="00D45386" w:rsidP="00D45386">
            <w:pPr>
              <w:jc w:val="right"/>
              <w:rPr>
                <w:b/>
                <w:sz w:val="20"/>
                <w:szCs w:val="20"/>
              </w:rPr>
            </w:pPr>
            <w:r>
              <w:rPr>
                <w:b/>
                <w:sz w:val="20"/>
                <w:szCs w:val="20"/>
              </w:rPr>
              <w:t>$</w:t>
            </w:r>
            <w:r w:rsidR="00713304">
              <w:rPr>
                <w:b/>
                <w:sz w:val="20"/>
                <w:szCs w:val="20"/>
              </w:rPr>
              <w:t>4,736</w:t>
            </w:r>
          </w:p>
          <w:p w:rsidR="00D45386" w:rsidRPr="00D7184F" w:rsidRDefault="00D45386" w:rsidP="00D45386">
            <w:pPr>
              <w:jc w:val="right"/>
              <w:rPr>
                <w:b/>
                <w:sz w:val="20"/>
                <w:szCs w:val="20"/>
              </w:rPr>
            </w:pPr>
            <w:r>
              <w:rPr>
                <w:b/>
                <w:sz w:val="20"/>
                <w:szCs w:val="20"/>
              </w:rPr>
              <w:t>0</w:t>
            </w:r>
          </w:p>
        </w:tc>
      </w:tr>
    </w:tbl>
    <w:p w:rsidR="00623A2A" w:rsidRDefault="00623A2A" w:rsidP="00D77D3F">
      <w:pPr>
        <w:tabs>
          <w:tab w:val="left" w:pos="720"/>
        </w:tabs>
        <w:rPr>
          <w:b/>
        </w:rPr>
      </w:pPr>
    </w:p>
    <w:p w:rsidR="00320B42" w:rsidRPr="00996DAF" w:rsidRDefault="00713304" w:rsidP="00D77D3F">
      <w:pPr>
        <w:tabs>
          <w:tab w:val="left" w:pos="720"/>
        </w:tabs>
        <w:rPr>
          <w:b/>
        </w:rPr>
      </w:pPr>
      <w:proofErr w:type="gramStart"/>
      <w:r>
        <w:rPr>
          <w:b/>
        </w:rPr>
        <w:t>g</w:t>
      </w:r>
      <w:r w:rsidR="00D77D3F" w:rsidRPr="00114B54">
        <w:rPr>
          <w:b/>
        </w:rPr>
        <w:t xml:space="preserve">.  </w:t>
      </w:r>
      <w:r w:rsidR="00753672">
        <w:rPr>
          <w:b/>
        </w:rPr>
        <w:t>Annual</w:t>
      </w:r>
      <w:proofErr w:type="gramEnd"/>
      <w:r w:rsidR="00753672">
        <w:rPr>
          <w:b/>
        </w:rPr>
        <w:t xml:space="preserve"> </w:t>
      </w:r>
      <w:r w:rsidR="00D77D3F" w:rsidRPr="00114B54">
        <w:rPr>
          <w:b/>
        </w:rPr>
        <w:t xml:space="preserve">CQE LLP </w:t>
      </w:r>
      <w:r w:rsidR="00275591">
        <w:rPr>
          <w:b/>
        </w:rPr>
        <w:t xml:space="preserve">Letter of </w:t>
      </w:r>
      <w:r w:rsidR="00D77D3F" w:rsidRPr="00114B54">
        <w:rPr>
          <w:b/>
        </w:rPr>
        <w:t xml:space="preserve">Authorization </w:t>
      </w:r>
      <w:r w:rsidR="00996DAF">
        <w:rPr>
          <w:b/>
        </w:rPr>
        <w:t>[</w:t>
      </w:r>
      <w:r w:rsidR="00F54583">
        <w:rPr>
          <w:b/>
        </w:rPr>
        <w:t>NO CHANGES</w:t>
      </w:r>
      <w:r w:rsidR="00996DAF">
        <w:rPr>
          <w:b/>
        </w:rPr>
        <w:t>]</w:t>
      </w:r>
    </w:p>
    <w:p w:rsidR="00D77D3F" w:rsidRPr="00114B54" w:rsidRDefault="00D77D3F" w:rsidP="00D77D3F">
      <w:pPr>
        <w:tabs>
          <w:tab w:val="left" w:pos="360"/>
          <w:tab w:val="left" w:pos="1080"/>
        </w:tabs>
      </w:pPr>
    </w:p>
    <w:p w:rsidR="00B7716E" w:rsidRDefault="00D77D3F" w:rsidP="00D77D3F">
      <w:pPr>
        <w:pStyle w:val="Default"/>
        <w:rPr>
          <w:color w:val="auto"/>
        </w:rPr>
      </w:pPr>
      <w:r w:rsidRPr="00114B54">
        <w:rPr>
          <w:color w:val="auto"/>
        </w:rPr>
        <w:t>The LLP is issued to the CQE</w:t>
      </w:r>
      <w:r w:rsidR="001177AF">
        <w:rPr>
          <w:color w:val="auto"/>
        </w:rPr>
        <w:t>,</w:t>
      </w:r>
      <w:r w:rsidRPr="00114B54">
        <w:rPr>
          <w:color w:val="auto"/>
        </w:rPr>
        <w:t xml:space="preserve"> and the CQE designates the vessel to which the LLP license is assigned.  Prior to requesting an LLP, the CQE shall provide NMFS with a detailed plan for soliciting and determining recipients of the CQE permit.</w:t>
      </w:r>
    </w:p>
    <w:p w:rsidR="00D77D3F" w:rsidRPr="00114B54" w:rsidRDefault="00D77D3F" w:rsidP="00D77D3F">
      <w:pPr>
        <w:pStyle w:val="Default"/>
        <w:rPr>
          <w:color w:val="auto"/>
        </w:rPr>
      </w:pPr>
      <w:r w:rsidRPr="00114B54">
        <w:rPr>
          <w:color w:val="auto"/>
        </w:rPr>
        <w:t xml:space="preserve">  </w:t>
      </w:r>
    </w:p>
    <w:p w:rsidR="005A5C8A" w:rsidRDefault="00D77D3F" w:rsidP="00D77D3F">
      <w:pPr>
        <w:pStyle w:val="Default"/>
        <w:rPr>
          <w:color w:val="auto"/>
        </w:rPr>
      </w:pPr>
      <w:r w:rsidRPr="00114B54">
        <w:rPr>
          <w:color w:val="auto"/>
        </w:rPr>
        <w:t xml:space="preserve">Upon receipt of the LLPs from NMFS, the CQE shall determine who may use the LLP license and provide them with a letter of authorization.  The LLP license issued cannot designate more than one vessel per LLP per calendar year.  The CQE must provide an authorization letter assigning each community LLP to a specific vessel and designating the vessel operator.  </w:t>
      </w:r>
    </w:p>
    <w:p w:rsidR="005A5C8A" w:rsidRDefault="005A5C8A" w:rsidP="00D77D3F">
      <w:pPr>
        <w:pStyle w:val="Default"/>
        <w:rPr>
          <w:color w:val="auto"/>
        </w:rPr>
      </w:pPr>
    </w:p>
    <w:p w:rsidR="00D77D3F" w:rsidRPr="00114B54" w:rsidRDefault="005A5C8A" w:rsidP="00D77D3F">
      <w:pPr>
        <w:pStyle w:val="Default"/>
        <w:rPr>
          <w:color w:val="auto"/>
        </w:rPr>
      </w:pPr>
      <w:r w:rsidRPr="00114B54">
        <w:rPr>
          <w:color w:val="auto"/>
        </w:rPr>
        <w:t xml:space="preserve">The authorization letter must be sent to the authorized vessel, and the copy of that letter must be maintained onboard the vessel.  This would help to ensure that only those persons and vessels that have been vetted through the CQE would be able to use the LLP license.  </w:t>
      </w:r>
      <w:r w:rsidR="00D77D3F" w:rsidRPr="00114B54">
        <w:rPr>
          <w:color w:val="auto"/>
        </w:rPr>
        <w:t xml:space="preserve">The person specified for an LLP groundfish license in an </w:t>
      </w:r>
      <w:r w:rsidR="00D77D3F" w:rsidRPr="00753672">
        <w:rPr>
          <w:color w:val="auto"/>
        </w:rPr>
        <w:t xml:space="preserve">annual CQE authorization letter </w:t>
      </w:r>
      <w:r w:rsidR="00D77D3F" w:rsidRPr="00114B54">
        <w:rPr>
          <w:color w:val="auto"/>
        </w:rPr>
        <w:t>must be on</w:t>
      </w:r>
      <w:r w:rsidR="00D77D3F">
        <w:rPr>
          <w:color w:val="auto"/>
        </w:rPr>
        <w:t xml:space="preserve"> </w:t>
      </w:r>
      <w:r w:rsidR="00D77D3F" w:rsidRPr="00114B54">
        <w:rPr>
          <w:color w:val="auto"/>
        </w:rPr>
        <w:t>board the vessel during directed fishing.  The CQE must send a copy of each letter to NMFS, and must maintain a copy.</w:t>
      </w:r>
    </w:p>
    <w:p w:rsidR="00D77D3F" w:rsidRPr="00114B54" w:rsidRDefault="00D77D3F" w:rsidP="00D77D3F">
      <w:pPr>
        <w:pStyle w:val="Default"/>
        <w:rPr>
          <w:color w:val="auto"/>
        </w:rPr>
      </w:pPr>
    </w:p>
    <w:p w:rsidR="00D77D3F" w:rsidRPr="00114B54" w:rsidRDefault="00D77D3F" w:rsidP="00D77D3F">
      <w:pPr>
        <w:pStyle w:val="Default"/>
        <w:rPr>
          <w:color w:val="auto"/>
        </w:rPr>
      </w:pPr>
      <w:r w:rsidRPr="00114B54">
        <w:rPr>
          <w:color w:val="auto"/>
        </w:rPr>
        <w:t xml:space="preserve">As part of the authorization letter, NMFS requires that the CQE attest that the authorized representative using a groundfish license issued to a CQE:  </w:t>
      </w:r>
    </w:p>
    <w:p w:rsidR="00D77D3F" w:rsidRPr="00114B54" w:rsidRDefault="00D77D3F" w:rsidP="00D77D3F">
      <w:pPr>
        <w:pStyle w:val="Default"/>
        <w:rPr>
          <w:color w:val="auto"/>
        </w:rPr>
      </w:pPr>
    </w:p>
    <w:p w:rsidR="00D77D3F" w:rsidRPr="00114B54" w:rsidRDefault="00D77D3F" w:rsidP="00D77D3F">
      <w:pPr>
        <w:pStyle w:val="Default"/>
        <w:tabs>
          <w:tab w:val="left" w:pos="360"/>
          <w:tab w:val="left" w:pos="720"/>
        </w:tabs>
        <w:rPr>
          <w:color w:val="auto"/>
        </w:rPr>
      </w:pPr>
      <w:r w:rsidRPr="00114B54">
        <w:rPr>
          <w:color w:val="auto"/>
        </w:rPr>
        <w:tab/>
        <w:t>♦</w:t>
      </w:r>
      <w:r w:rsidRPr="00114B54">
        <w:rPr>
          <w:color w:val="auto"/>
        </w:rPr>
        <w:tab/>
      </w:r>
      <w:proofErr w:type="gramStart"/>
      <w:r w:rsidRPr="00114B54">
        <w:rPr>
          <w:color w:val="auto"/>
        </w:rPr>
        <w:t>Is</w:t>
      </w:r>
      <w:proofErr w:type="gramEnd"/>
      <w:r w:rsidRPr="00114B54">
        <w:rPr>
          <w:color w:val="auto"/>
        </w:rPr>
        <w:t xml:space="preserve"> a citizen of the United States; </w:t>
      </w:r>
    </w:p>
    <w:p w:rsidR="00D77D3F" w:rsidRPr="00114B54" w:rsidRDefault="00D77D3F" w:rsidP="00D77D3F">
      <w:pPr>
        <w:pStyle w:val="Default"/>
        <w:tabs>
          <w:tab w:val="left" w:pos="360"/>
          <w:tab w:val="left" w:pos="720"/>
        </w:tabs>
        <w:rPr>
          <w:color w:val="auto"/>
        </w:rPr>
      </w:pPr>
    </w:p>
    <w:p w:rsidR="00D77D3F" w:rsidRPr="00114B54" w:rsidRDefault="00D77D3F" w:rsidP="00D77D3F">
      <w:pPr>
        <w:tabs>
          <w:tab w:val="left" w:pos="360"/>
          <w:tab w:val="left" w:pos="720"/>
        </w:tabs>
        <w:ind w:left="720" w:hanging="720"/>
      </w:pPr>
      <w:r w:rsidRPr="00114B54">
        <w:tab/>
        <w:t>♦</w:t>
      </w:r>
      <w:r w:rsidRPr="00114B54">
        <w:tab/>
        <w:t xml:space="preserve">Has maintained a domicile in a CQE community in the Central GOA or Western GOA eligible to receive an LLP license endorsed for Pacific cod for the 12 consecutive months immediately preceding the time when the assertion of residence is made; and </w:t>
      </w:r>
    </w:p>
    <w:p w:rsidR="00D77D3F" w:rsidRPr="00114B54" w:rsidRDefault="00D77D3F" w:rsidP="00D77D3F">
      <w:pPr>
        <w:pStyle w:val="Default"/>
        <w:tabs>
          <w:tab w:val="left" w:pos="360"/>
          <w:tab w:val="left" w:pos="720"/>
        </w:tabs>
        <w:rPr>
          <w:color w:val="auto"/>
        </w:rPr>
      </w:pPr>
    </w:p>
    <w:p w:rsidR="00D77D3F" w:rsidRPr="00114B54" w:rsidRDefault="00D77D3F" w:rsidP="00D77D3F">
      <w:pPr>
        <w:pStyle w:val="Default"/>
        <w:tabs>
          <w:tab w:val="left" w:pos="360"/>
          <w:tab w:val="left" w:pos="720"/>
        </w:tabs>
        <w:ind w:left="720" w:hanging="720"/>
        <w:rPr>
          <w:color w:val="auto"/>
        </w:rPr>
      </w:pPr>
      <w:r w:rsidRPr="00114B54">
        <w:rPr>
          <w:color w:val="auto"/>
        </w:rPr>
        <w:tab/>
        <w:t>♦</w:t>
      </w:r>
      <w:r w:rsidRPr="00114B54">
        <w:rPr>
          <w:color w:val="auto"/>
        </w:rPr>
        <w:tab/>
      </w:r>
      <w:proofErr w:type="gramStart"/>
      <w:r w:rsidRPr="00114B54">
        <w:rPr>
          <w:color w:val="auto"/>
        </w:rPr>
        <w:t>Is</w:t>
      </w:r>
      <w:proofErr w:type="gramEnd"/>
      <w:r w:rsidRPr="00114B54">
        <w:rPr>
          <w:color w:val="auto"/>
        </w:rPr>
        <w:t xml:space="preserve"> not claiming residency in another community, state, territory, or country, except that residents of the Village of Seldovia shall be considered to be eligible community </w:t>
      </w:r>
      <w:r w:rsidRPr="00114B54">
        <w:rPr>
          <w:color w:val="auto"/>
        </w:rPr>
        <w:lastRenderedPageBreak/>
        <w:t xml:space="preserve">residents of the City of Seldovia for the purposes of eligibility to serve as an authorized vessel operator. </w:t>
      </w:r>
    </w:p>
    <w:p w:rsidR="00D77D3F" w:rsidRPr="00114B54" w:rsidRDefault="00D77D3F" w:rsidP="00D77D3F">
      <w:pPr>
        <w:pStyle w:val="Default"/>
        <w:tabs>
          <w:tab w:val="left" w:pos="360"/>
          <w:tab w:val="left" w:pos="720"/>
        </w:tabs>
        <w:rPr>
          <w:color w:val="auto"/>
        </w:rPr>
      </w:pPr>
    </w:p>
    <w:p w:rsidR="00D77D3F" w:rsidRPr="00114B54" w:rsidRDefault="00D77D3F" w:rsidP="00D77D3F">
      <w:pPr>
        <w:pStyle w:val="Default"/>
        <w:tabs>
          <w:tab w:val="left" w:pos="360"/>
          <w:tab w:val="left" w:pos="720"/>
        </w:tabs>
        <w:rPr>
          <w:color w:val="auto"/>
        </w:rPr>
      </w:pPr>
      <w:r w:rsidRPr="00114B54">
        <w:rPr>
          <w:color w:val="auto"/>
        </w:rPr>
        <w:t xml:space="preserve">The residency requirements for a vessel operator using a CQE license ensures that residents of a specific community actively participate in the Pacific cod fishery consistent with the overall goal the Council established for CQE LLP licenses.  </w:t>
      </w:r>
    </w:p>
    <w:p w:rsidR="00D77D3F" w:rsidRPr="00114B54" w:rsidRDefault="00D77D3F" w:rsidP="00D77D3F">
      <w:pPr>
        <w:pStyle w:val="Default"/>
        <w:tabs>
          <w:tab w:val="left" w:pos="360"/>
          <w:tab w:val="left" w:pos="720"/>
        </w:tabs>
        <w:rPr>
          <w:color w:val="auto"/>
        </w:rPr>
      </w:pPr>
    </w:p>
    <w:p w:rsidR="00D77D3F" w:rsidRDefault="00D77D3F" w:rsidP="00D77D3F">
      <w:pPr>
        <w:pStyle w:val="Default"/>
        <w:tabs>
          <w:tab w:val="left" w:pos="360"/>
          <w:tab w:val="left" w:pos="720"/>
        </w:tabs>
        <w:rPr>
          <w:color w:val="auto"/>
        </w:rPr>
      </w:pPr>
      <w:r w:rsidRPr="00114B54">
        <w:rPr>
          <w:color w:val="auto"/>
        </w:rPr>
        <w:t xml:space="preserve">The authorization letter would require that the CQE attest to individuals’ residency, but would not require individuals to submit proof of residency to NMFS in order to use the LLP license issued to the CQE.  This approach would reduce potential administrative burdens on NMFS that could be required to determine the residency of a specific person.  In many cases, particularly in smaller communities, the representatives of CQEs are likely to have specific local knowledge that can be used to assess a person’s claim of residency in a particular community. </w:t>
      </w:r>
    </w:p>
    <w:p w:rsidR="005A5C8A" w:rsidRPr="00114B54" w:rsidRDefault="005A5C8A" w:rsidP="005A5C8A">
      <w:pPr>
        <w:pStyle w:val="Default"/>
        <w:rPr>
          <w:color w:val="auto"/>
        </w:rPr>
      </w:pPr>
    </w:p>
    <w:p w:rsidR="005A5C8A" w:rsidRPr="00114B54" w:rsidRDefault="005A5C8A" w:rsidP="005A5C8A">
      <w:pPr>
        <w:pStyle w:val="Default"/>
        <w:rPr>
          <w:color w:val="auto"/>
        </w:rPr>
      </w:pPr>
      <w:r w:rsidRPr="00114B54">
        <w:rPr>
          <w:color w:val="auto"/>
        </w:rPr>
        <w:t xml:space="preserve">If an amendment is made to the annual CQE authorization letter, copies of the revised CQE authorization letter must be sent to the designated vessels.  </w:t>
      </w:r>
      <w:r w:rsidR="008D07BC">
        <w:rPr>
          <w:color w:val="auto"/>
        </w:rPr>
        <w:t xml:space="preserve"> </w:t>
      </w:r>
      <w:r w:rsidR="008D07BC" w:rsidRPr="008D07BC">
        <w:rPr>
          <w:color w:val="auto"/>
        </w:rPr>
        <w:t xml:space="preserve">There are potentially a total of 46 IFQ and QS halibut and sablefish eligible communities (including Adak), </w:t>
      </w:r>
      <w:r w:rsidR="00B2057D">
        <w:rPr>
          <w:color w:val="auto"/>
        </w:rPr>
        <w:t xml:space="preserve">some </w:t>
      </w:r>
      <w:r w:rsidR="008D07BC" w:rsidRPr="008D07BC">
        <w:rPr>
          <w:color w:val="auto"/>
        </w:rPr>
        <w:t>of which are also CQE eligible communities, 32 charter halibut eligible communities, and 2</w:t>
      </w:r>
      <w:r w:rsidR="00B2057D">
        <w:rPr>
          <w:color w:val="auto"/>
        </w:rPr>
        <w:t>4</w:t>
      </w:r>
      <w:r w:rsidR="008D07BC" w:rsidRPr="008D07BC">
        <w:rPr>
          <w:color w:val="auto"/>
        </w:rPr>
        <w:t xml:space="preserve"> License Limitation Program (LLP) communities.</w:t>
      </w:r>
    </w:p>
    <w:p w:rsidR="005A5C8A" w:rsidRPr="00114B54" w:rsidRDefault="005A5C8A" w:rsidP="005A5C8A">
      <w:pPr>
        <w:pStyle w:val="Default"/>
        <w:rPr>
          <w:color w:val="auto"/>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32"/>
      </w:tblGrid>
      <w:tr w:rsidR="00D77D3F" w:rsidRPr="00114B54" w:rsidTr="00800DCE">
        <w:trPr>
          <w:jc w:val="center"/>
        </w:trPr>
        <w:tc>
          <w:tcPr>
            <w:tcW w:w="5762" w:type="dxa"/>
            <w:gridSpan w:val="2"/>
          </w:tcPr>
          <w:p w:rsidR="00D77D3F" w:rsidRPr="00114B54" w:rsidRDefault="00D77D3F" w:rsidP="00996DAF">
            <w:pPr>
              <w:keepNext/>
              <w:tabs>
                <w:tab w:val="left" w:pos="0"/>
                <w:tab w:val="left" w:pos="360"/>
                <w:tab w:val="left" w:pos="720"/>
                <w:tab w:val="left" w:pos="1080"/>
                <w:tab w:val="left" w:pos="1440"/>
              </w:tabs>
              <w:rPr>
                <w:b/>
                <w:sz w:val="20"/>
                <w:szCs w:val="20"/>
              </w:rPr>
            </w:pPr>
            <w:r w:rsidRPr="00114B54">
              <w:rPr>
                <w:b/>
                <w:sz w:val="20"/>
                <w:szCs w:val="20"/>
              </w:rPr>
              <w:t xml:space="preserve">CQE </w:t>
            </w:r>
            <w:r w:rsidR="00800DCE">
              <w:rPr>
                <w:b/>
                <w:sz w:val="20"/>
                <w:szCs w:val="20"/>
              </w:rPr>
              <w:t xml:space="preserve">LLP </w:t>
            </w:r>
            <w:r w:rsidRPr="00114B54">
              <w:rPr>
                <w:b/>
                <w:sz w:val="20"/>
                <w:szCs w:val="20"/>
              </w:rPr>
              <w:t>Letter of authorization, Respondent</w:t>
            </w:r>
          </w:p>
        </w:tc>
      </w:tr>
      <w:tr w:rsidR="00D77D3F" w:rsidRPr="00114B54" w:rsidTr="00800DCE">
        <w:trPr>
          <w:jc w:val="center"/>
        </w:trPr>
        <w:tc>
          <w:tcPr>
            <w:tcW w:w="4230" w:type="dxa"/>
          </w:tcPr>
          <w:p w:rsidR="00D77D3F" w:rsidRPr="00114B54" w:rsidRDefault="00D77D3F" w:rsidP="00D77D3F">
            <w:pPr>
              <w:keepNext/>
              <w:tabs>
                <w:tab w:val="left" w:pos="360"/>
                <w:tab w:val="left" w:pos="720"/>
                <w:tab w:val="left" w:pos="1080"/>
                <w:tab w:val="left" w:pos="1440"/>
              </w:tabs>
              <w:ind w:left="720" w:hanging="720"/>
              <w:rPr>
                <w:b/>
                <w:sz w:val="20"/>
                <w:szCs w:val="20"/>
              </w:rPr>
            </w:pPr>
            <w:r w:rsidRPr="00114B54">
              <w:rPr>
                <w:b/>
                <w:sz w:val="20"/>
                <w:szCs w:val="20"/>
              </w:rPr>
              <w:t>Total respondents</w:t>
            </w:r>
          </w:p>
          <w:p w:rsidR="00D77D3F" w:rsidRPr="00114B54" w:rsidRDefault="00D77D3F" w:rsidP="00D77D3F">
            <w:pPr>
              <w:keepNext/>
              <w:tabs>
                <w:tab w:val="left" w:pos="360"/>
                <w:tab w:val="left" w:pos="720"/>
                <w:tab w:val="left" w:pos="1080"/>
                <w:tab w:val="left" w:pos="1440"/>
              </w:tabs>
              <w:ind w:left="720" w:hanging="720"/>
              <w:rPr>
                <w:b/>
                <w:sz w:val="20"/>
                <w:szCs w:val="20"/>
              </w:rPr>
            </w:pPr>
            <w:r w:rsidRPr="00114B54">
              <w:rPr>
                <w:b/>
                <w:sz w:val="20"/>
                <w:szCs w:val="20"/>
              </w:rPr>
              <w:t>Total responses = 1</w:t>
            </w:r>
          </w:p>
          <w:p w:rsidR="00D77D3F" w:rsidRPr="00114B54" w:rsidRDefault="00D77D3F" w:rsidP="00D77D3F">
            <w:pPr>
              <w:keepNext/>
              <w:tabs>
                <w:tab w:val="left" w:pos="360"/>
                <w:tab w:val="left" w:pos="720"/>
                <w:tab w:val="left" w:pos="1080"/>
                <w:tab w:val="left" w:pos="1440"/>
              </w:tabs>
              <w:ind w:left="720" w:hanging="720"/>
              <w:rPr>
                <w:sz w:val="20"/>
                <w:szCs w:val="20"/>
              </w:rPr>
            </w:pPr>
            <w:r w:rsidRPr="00114B54">
              <w:rPr>
                <w:sz w:val="20"/>
                <w:szCs w:val="20"/>
              </w:rPr>
              <w:t xml:space="preserve">   Frequency of response = 1</w:t>
            </w:r>
          </w:p>
          <w:p w:rsidR="00D77D3F" w:rsidRPr="00114B54" w:rsidRDefault="00D77D3F" w:rsidP="00D77D3F">
            <w:pPr>
              <w:keepNext/>
              <w:tabs>
                <w:tab w:val="left" w:pos="360"/>
                <w:tab w:val="left" w:pos="720"/>
                <w:tab w:val="left" w:pos="1080"/>
                <w:tab w:val="left" w:pos="1440"/>
              </w:tabs>
              <w:ind w:left="720" w:hanging="720"/>
              <w:rPr>
                <w:sz w:val="20"/>
                <w:szCs w:val="20"/>
              </w:rPr>
            </w:pPr>
            <w:r w:rsidRPr="00114B54">
              <w:rPr>
                <w:b/>
                <w:sz w:val="20"/>
                <w:szCs w:val="20"/>
              </w:rPr>
              <w:t xml:space="preserve">Total burden hours </w:t>
            </w:r>
          </w:p>
          <w:p w:rsidR="00D77D3F" w:rsidRPr="00114B54" w:rsidRDefault="00D77D3F" w:rsidP="00D77D3F">
            <w:pPr>
              <w:keepNext/>
              <w:tabs>
                <w:tab w:val="left" w:pos="360"/>
                <w:tab w:val="left" w:pos="720"/>
                <w:tab w:val="left" w:pos="1080"/>
                <w:tab w:val="left" w:pos="1440"/>
              </w:tabs>
              <w:ind w:left="720" w:hanging="720"/>
              <w:rPr>
                <w:sz w:val="20"/>
                <w:szCs w:val="20"/>
              </w:rPr>
            </w:pPr>
            <w:r w:rsidRPr="00114B54">
              <w:rPr>
                <w:sz w:val="20"/>
                <w:szCs w:val="20"/>
              </w:rPr>
              <w:t xml:space="preserve">   Time per response = 1 hr</w:t>
            </w:r>
          </w:p>
          <w:p w:rsidR="00D77D3F" w:rsidRPr="00114B54" w:rsidRDefault="00D77D3F" w:rsidP="00D77D3F">
            <w:pPr>
              <w:keepNext/>
              <w:tabs>
                <w:tab w:val="left" w:pos="360"/>
                <w:tab w:val="left" w:pos="720"/>
                <w:tab w:val="left" w:pos="1080"/>
                <w:tab w:val="left" w:pos="1440"/>
              </w:tabs>
              <w:ind w:left="720" w:hanging="720"/>
              <w:rPr>
                <w:sz w:val="20"/>
                <w:szCs w:val="20"/>
              </w:rPr>
            </w:pPr>
            <w:r w:rsidRPr="00114B54">
              <w:rPr>
                <w:b/>
                <w:sz w:val="20"/>
                <w:szCs w:val="20"/>
              </w:rPr>
              <w:t>Total personnel cost</w:t>
            </w:r>
            <w:r w:rsidRPr="00114B54">
              <w:rPr>
                <w:sz w:val="20"/>
                <w:szCs w:val="20"/>
              </w:rPr>
              <w:t xml:space="preserve"> ($</w:t>
            </w:r>
            <w:r w:rsidR="00340D3D">
              <w:rPr>
                <w:sz w:val="20"/>
                <w:szCs w:val="20"/>
              </w:rPr>
              <w:t>25</w:t>
            </w:r>
            <w:r w:rsidR="00DC4C24">
              <w:rPr>
                <w:sz w:val="20"/>
                <w:szCs w:val="20"/>
              </w:rPr>
              <w:t>/hr</w:t>
            </w:r>
            <w:r w:rsidRPr="00114B54">
              <w:rPr>
                <w:sz w:val="20"/>
                <w:szCs w:val="20"/>
              </w:rPr>
              <w:t xml:space="preserve"> x </w:t>
            </w:r>
            <w:r w:rsidR="005543C4">
              <w:rPr>
                <w:sz w:val="20"/>
                <w:szCs w:val="20"/>
              </w:rPr>
              <w:t>24</w:t>
            </w:r>
            <w:r w:rsidRPr="00114B54">
              <w:rPr>
                <w:sz w:val="20"/>
                <w:szCs w:val="20"/>
              </w:rPr>
              <w:t>)</w:t>
            </w:r>
          </w:p>
          <w:p w:rsidR="00D77D3F" w:rsidRPr="00114B54" w:rsidRDefault="00D77D3F" w:rsidP="00D77D3F">
            <w:pPr>
              <w:keepNext/>
              <w:tabs>
                <w:tab w:val="left" w:pos="360"/>
                <w:tab w:val="left" w:pos="720"/>
                <w:tab w:val="left" w:pos="1080"/>
                <w:tab w:val="left" w:pos="1440"/>
              </w:tabs>
              <w:rPr>
                <w:sz w:val="20"/>
                <w:szCs w:val="20"/>
              </w:rPr>
            </w:pPr>
            <w:r w:rsidRPr="00114B54">
              <w:rPr>
                <w:b/>
                <w:sz w:val="20"/>
                <w:szCs w:val="20"/>
              </w:rPr>
              <w:t>Total miscellaneous costs</w:t>
            </w:r>
            <w:r w:rsidRPr="00114B54">
              <w:rPr>
                <w:sz w:val="20"/>
                <w:szCs w:val="20"/>
              </w:rPr>
              <w:t xml:space="preserve">  (</w:t>
            </w:r>
            <w:r w:rsidR="00B2057D">
              <w:rPr>
                <w:sz w:val="20"/>
                <w:szCs w:val="20"/>
              </w:rPr>
              <w:t>1</w:t>
            </w:r>
            <w:r w:rsidR="00927FB1">
              <w:rPr>
                <w:sz w:val="20"/>
                <w:szCs w:val="20"/>
              </w:rPr>
              <w:t>2</w:t>
            </w:r>
            <w:r w:rsidRPr="00114B54">
              <w:rPr>
                <w:sz w:val="20"/>
                <w:szCs w:val="20"/>
              </w:rPr>
              <w:t xml:space="preserve">) </w:t>
            </w:r>
          </w:p>
          <w:p w:rsidR="00D77D3F" w:rsidRDefault="00D77D3F" w:rsidP="00D77D3F">
            <w:pPr>
              <w:keepNext/>
              <w:tabs>
                <w:tab w:val="left" w:pos="360"/>
                <w:tab w:val="left" w:pos="720"/>
                <w:tab w:val="left" w:pos="1080"/>
                <w:tab w:val="left" w:pos="1440"/>
              </w:tabs>
              <w:rPr>
                <w:sz w:val="20"/>
                <w:szCs w:val="20"/>
              </w:rPr>
            </w:pPr>
            <w:r w:rsidRPr="00114B54">
              <w:rPr>
                <w:sz w:val="20"/>
                <w:szCs w:val="20"/>
              </w:rPr>
              <w:t xml:space="preserve">   Postage  (0.4</w:t>
            </w:r>
            <w:r w:rsidR="00927FB1">
              <w:rPr>
                <w:sz w:val="20"/>
                <w:szCs w:val="20"/>
              </w:rPr>
              <w:t>5</w:t>
            </w:r>
            <w:r w:rsidRPr="00114B54">
              <w:rPr>
                <w:sz w:val="20"/>
                <w:szCs w:val="20"/>
              </w:rPr>
              <w:t xml:space="preserve"> x </w:t>
            </w:r>
            <w:r w:rsidR="005543C4">
              <w:rPr>
                <w:sz w:val="20"/>
                <w:szCs w:val="20"/>
              </w:rPr>
              <w:t>2</w:t>
            </w:r>
            <w:r w:rsidR="00340D3D">
              <w:rPr>
                <w:sz w:val="20"/>
                <w:szCs w:val="20"/>
              </w:rPr>
              <w:t>4</w:t>
            </w:r>
            <w:r w:rsidR="005543C4" w:rsidRPr="00114B54">
              <w:rPr>
                <w:sz w:val="20"/>
                <w:szCs w:val="20"/>
              </w:rPr>
              <w:t xml:space="preserve"> </w:t>
            </w:r>
            <w:r w:rsidRPr="00114B54">
              <w:rPr>
                <w:sz w:val="20"/>
                <w:szCs w:val="20"/>
              </w:rPr>
              <w:t xml:space="preserve">= </w:t>
            </w:r>
            <w:r w:rsidR="00927FB1">
              <w:rPr>
                <w:sz w:val="20"/>
                <w:szCs w:val="20"/>
              </w:rPr>
              <w:t>10.80</w:t>
            </w:r>
            <w:r w:rsidRPr="00114B54">
              <w:rPr>
                <w:sz w:val="20"/>
                <w:szCs w:val="20"/>
              </w:rPr>
              <w:t>)</w:t>
            </w:r>
          </w:p>
          <w:p w:rsidR="00D77D3F" w:rsidRPr="00114B54" w:rsidRDefault="00800DCE" w:rsidP="00B2057D">
            <w:pPr>
              <w:keepNext/>
              <w:tabs>
                <w:tab w:val="left" w:pos="360"/>
                <w:tab w:val="left" w:pos="720"/>
                <w:tab w:val="left" w:pos="1080"/>
                <w:tab w:val="left" w:pos="1440"/>
              </w:tabs>
              <w:rPr>
                <w:sz w:val="20"/>
                <w:szCs w:val="20"/>
              </w:rPr>
            </w:pPr>
            <w:r>
              <w:rPr>
                <w:sz w:val="20"/>
                <w:szCs w:val="20"/>
              </w:rPr>
              <w:t xml:space="preserve">   </w:t>
            </w:r>
            <w:r w:rsidR="00D77D3F">
              <w:rPr>
                <w:sz w:val="20"/>
                <w:szCs w:val="20"/>
              </w:rPr>
              <w:t>Photoc</w:t>
            </w:r>
            <w:r w:rsidR="00BB5A96">
              <w:rPr>
                <w:sz w:val="20"/>
                <w:szCs w:val="20"/>
              </w:rPr>
              <w:t>opy (0.05 x 1</w:t>
            </w:r>
            <w:r w:rsidR="00D77D3F" w:rsidRPr="00114B54">
              <w:rPr>
                <w:sz w:val="20"/>
                <w:szCs w:val="20"/>
              </w:rPr>
              <w:t xml:space="preserve">pp x </w:t>
            </w:r>
            <w:r w:rsidR="005543C4">
              <w:rPr>
                <w:sz w:val="20"/>
                <w:szCs w:val="20"/>
              </w:rPr>
              <w:t>24</w:t>
            </w:r>
            <w:r w:rsidR="005543C4" w:rsidRPr="00114B54">
              <w:rPr>
                <w:sz w:val="20"/>
                <w:szCs w:val="20"/>
              </w:rPr>
              <w:t xml:space="preserve"> </w:t>
            </w:r>
            <w:r w:rsidR="00D77D3F" w:rsidRPr="00114B54">
              <w:rPr>
                <w:sz w:val="20"/>
                <w:szCs w:val="20"/>
              </w:rPr>
              <w:t xml:space="preserve">= </w:t>
            </w:r>
            <w:r w:rsidR="005543C4">
              <w:rPr>
                <w:sz w:val="20"/>
                <w:szCs w:val="20"/>
              </w:rPr>
              <w:t>1.20</w:t>
            </w:r>
            <w:r w:rsidR="00D77D3F" w:rsidRPr="00114B54">
              <w:rPr>
                <w:sz w:val="20"/>
                <w:szCs w:val="20"/>
              </w:rPr>
              <w:t>)</w:t>
            </w:r>
          </w:p>
        </w:tc>
        <w:tc>
          <w:tcPr>
            <w:tcW w:w="1532" w:type="dxa"/>
          </w:tcPr>
          <w:p w:rsidR="00D77D3F" w:rsidRPr="00114B54" w:rsidRDefault="005A0378" w:rsidP="00D77D3F">
            <w:pPr>
              <w:keepNext/>
              <w:tabs>
                <w:tab w:val="left" w:pos="360"/>
                <w:tab w:val="left" w:pos="720"/>
                <w:tab w:val="left" w:pos="1080"/>
                <w:tab w:val="left" w:pos="1440"/>
              </w:tabs>
              <w:ind w:left="720" w:hanging="720"/>
              <w:jc w:val="right"/>
              <w:rPr>
                <w:b/>
                <w:sz w:val="20"/>
                <w:szCs w:val="20"/>
              </w:rPr>
            </w:pPr>
            <w:r>
              <w:rPr>
                <w:b/>
                <w:sz w:val="20"/>
                <w:szCs w:val="20"/>
              </w:rPr>
              <w:t>24</w:t>
            </w:r>
          </w:p>
          <w:p w:rsidR="00D77D3F" w:rsidRPr="00114B54" w:rsidRDefault="005A0378" w:rsidP="00D77D3F">
            <w:pPr>
              <w:keepNext/>
              <w:tabs>
                <w:tab w:val="left" w:pos="360"/>
                <w:tab w:val="left" w:pos="720"/>
                <w:tab w:val="left" w:pos="1080"/>
                <w:tab w:val="left" w:pos="1440"/>
              </w:tabs>
              <w:ind w:left="720" w:hanging="720"/>
              <w:jc w:val="right"/>
              <w:rPr>
                <w:b/>
                <w:sz w:val="20"/>
                <w:szCs w:val="20"/>
              </w:rPr>
            </w:pPr>
            <w:r>
              <w:rPr>
                <w:b/>
                <w:sz w:val="20"/>
                <w:szCs w:val="20"/>
              </w:rPr>
              <w:t>24</w:t>
            </w:r>
          </w:p>
          <w:p w:rsidR="00D77D3F" w:rsidRPr="00114B54" w:rsidRDefault="00D77D3F" w:rsidP="00D77D3F">
            <w:pPr>
              <w:keepNext/>
              <w:tabs>
                <w:tab w:val="left" w:pos="360"/>
                <w:tab w:val="left" w:pos="720"/>
                <w:tab w:val="left" w:pos="1080"/>
                <w:tab w:val="left" w:pos="1440"/>
              </w:tabs>
              <w:ind w:left="720" w:hanging="720"/>
              <w:jc w:val="right"/>
              <w:rPr>
                <w:b/>
                <w:sz w:val="20"/>
                <w:szCs w:val="20"/>
              </w:rPr>
            </w:pPr>
          </w:p>
          <w:p w:rsidR="00D77D3F" w:rsidRPr="00114B54" w:rsidRDefault="005543C4" w:rsidP="00D77D3F">
            <w:pPr>
              <w:keepNext/>
              <w:tabs>
                <w:tab w:val="left" w:pos="360"/>
                <w:tab w:val="left" w:pos="720"/>
                <w:tab w:val="left" w:pos="1080"/>
                <w:tab w:val="left" w:pos="1440"/>
              </w:tabs>
              <w:ind w:left="720" w:hanging="720"/>
              <w:jc w:val="right"/>
              <w:rPr>
                <w:b/>
                <w:sz w:val="20"/>
                <w:szCs w:val="20"/>
              </w:rPr>
            </w:pPr>
            <w:r>
              <w:rPr>
                <w:b/>
                <w:sz w:val="20"/>
                <w:szCs w:val="20"/>
              </w:rPr>
              <w:t>24</w:t>
            </w:r>
            <w:r w:rsidRPr="00114B54">
              <w:rPr>
                <w:b/>
                <w:sz w:val="20"/>
                <w:szCs w:val="20"/>
              </w:rPr>
              <w:t xml:space="preserve"> </w:t>
            </w:r>
            <w:r w:rsidR="00D77D3F" w:rsidRPr="00114B54">
              <w:rPr>
                <w:b/>
                <w:sz w:val="20"/>
                <w:szCs w:val="20"/>
              </w:rPr>
              <w:t>hr</w:t>
            </w:r>
          </w:p>
          <w:p w:rsidR="00D77D3F" w:rsidRPr="00114B54" w:rsidRDefault="00D77D3F" w:rsidP="00D77D3F">
            <w:pPr>
              <w:keepNext/>
              <w:tabs>
                <w:tab w:val="left" w:pos="360"/>
                <w:tab w:val="left" w:pos="720"/>
                <w:tab w:val="left" w:pos="1080"/>
                <w:tab w:val="left" w:pos="1440"/>
              </w:tabs>
              <w:ind w:left="720" w:hanging="720"/>
              <w:jc w:val="right"/>
              <w:rPr>
                <w:b/>
                <w:sz w:val="20"/>
                <w:szCs w:val="20"/>
              </w:rPr>
            </w:pPr>
          </w:p>
          <w:p w:rsidR="00D77D3F" w:rsidRPr="00114B54" w:rsidRDefault="00D77D3F" w:rsidP="00D77D3F">
            <w:pPr>
              <w:keepNext/>
              <w:tabs>
                <w:tab w:val="left" w:pos="360"/>
                <w:tab w:val="left" w:pos="720"/>
                <w:tab w:val="left" w:pos="1080"/>
                <w:tab w:val="left" w:pos="1440"/>
              </w:tabs>
              <w:ind w:left="720" w:hanging="720"/>
              <w:jc w:val="right"/>
              <w:rPr>
                <w:b/>
                <w:sz w:val="20"/>
              </w:rPr>
            </w:pPr>
            <w:r w:rsidRPr="00114B54">
              <w:rPr>
                <w:b/>
                <w:sz w:val="20"/>
                <w:szCs w:val="20"/>
              </w:rPr>
              <w:t>$</w:t>
            </w:r>
            <w:r w:rsidR="005543C4">
              <w:rPr>
                <w:b/>
                <w:sz w:val="20"/>
                <w:szCs w:val="20"/>
              </w:rPr>
              <w:t>600</w:t>
            </w:r>
          </w:p>
          <w:p w:rsidR="00D77D3F" w:rsidRPr="00114B54" w:rsidRDefault="00D77D3F" w:rsidP="00D77D3F">
            <w:pPr>
              <w:keepNext/>
              <w:tabs>
                <w:tab w:val="left" w:pos="360"/>
                <w:tab w:val="left" w:pos="720"/>
                <w:tab w:val="left" w:pos="1080"/>
                <w:tab w:val="left" w:pos="1440"/>
              </w:tabs>
              <w:ind w:left="720" w:hanging="720"/>
              <w:jc w:val="right"/>
              <w:rPr>
                <w:sz w:val="20"/>
                <w:szCs w:val="20"/>
              </w:rPr>
            </w:pPr>
            <w:r w:rsidRPr="00114B54">
              <w:rPr>
                <w:b/>
                <w:sz w:val="20"/>
                <w:szCs w:val="20"/>
              </w:rPr>
              <w:t>$</w:t>
            </w:r>
            <w:r w:rsidR="005543C4">
              <w:rPr>
                <w:b/>
                <w:sz w:val="20"/>
                <w:szCs w:val="20"/>
              </w:rPr>
              <w:t>12</w:t>
            </w:r>
          </w:p>
          <w:p w:rsidR="00D77D3F" w:rsidRPr="00114B54" w:rsidRDefault="00D77D3F" w:rsidP="00D77D3F">
            <w:pPr>
              <w:keepNext/>
              <w:tabs>
                <w:tab w:val="left" w:pos="360"/>
                <w:tab w:val="left" w:pos="720"/>
                <w:tab w:val="left" w:pos="1080"/>
                <w:tab w:val="left" w:pos="1440"/>
              </w:tabs>
              <w:ind w:left="720" w:hanging="720"/>
              <w:rPr>
                <w:sz w:val="20"/>
                <w:szCs w:val="20"/>
              </w:rPr>
            </w:pPr>
          </w:p>
        </w:tc>
      </w:tr>
    </w:tbl>
    <w:p w:rsidR="00D77D3F" w:rsidRDefault="00D77D3F" w:rsidP="00D77D3F">
      <w:pPr>
        <w:rPr>
          <w:sz w:val="20"/>
          <w:szCs w:val="20"/>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32"/>
      </w:tblGrid>
      <w:tr w:rsidR="00D77D3F" w:rsidRPr="00114B54" w:rsidTr="00275591">
        <w:trPr>
          <w:jc w:val="center"/>
        </w:trPr>
        <w:tc>
          <w:tcPr>
            <w:tcW w:w="5762" w:type="dxa"/>
            <w:gridSpan w:val="2"/>
          </w:tcPr>
          <w:p w:rsidR="00D77D3F" w:rsidRPr="00114B54" w:rsidRDefault="00D77D3F" w:rsidP="00EB7A79">
            <w:pPr>
              <w:keepNext/>
              <w:tabs>
                <w:tab w:val="left" w:pos="360"/>
                <w:tab w:val="left" w:pos="720"/>
                <w:tab w:val="left" w:pos="1080"/>
                <w:tab w:val="left" w:pos="1440"/>
              </w:tabs>
              <w:rPr>
                <w:b/>
                <w:sz w:val="20"/>
                <w:szCs w:val="20"/>
              </w:rPr>
            </w:pPr>
            <w:r w:rsidRPr="00114B54">
              <w:rPr>
                <w:b/>
                <w:sz w:val="20"/>
                <w:szCs w:val="20"/>
              </w:rPr>
              <w:t xml:space="preserve">CQE </w:t>
            </w:r>
            <w:r w:rsidR="00800DCE">
              <w:rPr>
                <w:b/>
                <w:sz w:val="20"/>
                <w:szCs w:val="20"/>
              </w:rPr>
              <w:t xml:space="preserve">LLP </w:t>
            </w:r>
            <w:r w:rsidRPr="00114B54">
              <w:rPr>
                <w:b/>
                <w:sz w:val="20"/>
                <w:szCs w:val="20"/>
              </w:rPr>
              <w:t>Letter of authorization,  Federal Government</w:t>
            </w:r>
          </w:p>
        </w:tc>
      </w:tr>
      <w:tr w:rsidR="00D77D3F" w:rsidRPr="00114B54" w:rsidTr="00275591">
        <w:trPr>
          <w:jc w:val="center"/>
        </w:trPr>
        <w:tc>
          <w:tcPr>
            <w:tcW w:w="4230" w:type="dxa"/>
          </w:tcPr>
          <w:p w:rsidR="00D77D3F" w:rsidRPr="00114B54" w:rsidRDefault="00D77D3F" w:rsidP="00EB7A79">
            <w:pPr>
              <w:keepNext/>
              <w:tabs>
                <w:tab w:val="left" w:pos="360"/>
                <w:tab w:val="left" w:pos="720"/>
                <w:tab w:val="left" w:pos="1080"/>
                <w:tab w:val="left" w:pos="1440"/>
              </w:tabs>
              <w:ind w:left="720" w:hanging="720"/>
              <w:rPr>
                <w:sz w:val="20"/>
                <w:szCs w:val="20"/>
              </w:rPr>
            </w:pPr>
            <w:r w:rsidRPr="00114B54">
              <w:rPr>
                <w:b/>
                <w:sz w:val="20"/>
                <w:szCs w:val="20"/>
              </w:rPr>
              <w:t>Total responses</w:t>
            </w:r>
            <w:r w:rsidRPr="00114B54">
              <w:rPr>
                <w:sz w:val="20"/>
                <w:szCs w:val="20"/>
              </w:rPr>
              <w:t xml:space="preserve"> </w:t>
            </w:r>
          </w:p>
          <w:p w:rsidR="00D77D3F" w:rsidRPr="00114B54" w:rsidRDefault="00D77D3F" w:rsidP="00EB7A79">
            <w:pPr>
              <w:keepNext/>
              <w:tabs>
                <w:tab w:val="left" w:pos="360"/>
                <w:tab w:val="left" w:pos="720"/>
                <w:tab w:val="left" w:pos="1080"/>
                <w:tab w:val="left" w:pos="1440"/>
              </w:tabs>
              <w:ind w:left="720" w:hanging="720"/>
              <w:rPr>
                <w:sz w:val="20"/>
                <w:szCs w:val="20"/>
              </w:rPr>
            </w:pPr>
            <w:r w:rsidRPr="00114B54">
              <w:rPr>
                <w:b/>
                <w:sz w:val="20"/>
                <w:szCs w:val="20"/>
              </w:rPr>
              <w:t>Total burden hours</w:t>
            </w:r>
            <w:r w:rsidRPr="00114B54">
              <w:rPr>
                <w:sz w:val="20"/>
                <w:szCs w:val="20"/>
              </w:rPr>
              <w:t xml:space="preserve"> = 1 hr</w:t>
            </w:r>
          </w:p>
          <w:p w:rsidR="00D77D3F" w:rsidRPr="00114B54" w:rsidRDefault="00D77D3F" w:rsidP="00EB7A79">
            <w:pPr>
              <w:keepNext/>
              <w:tabs>
                <w:tab w:val="left" w:pos="360"/>
                <w:tab w:val="left" w:pos="720"/>
                <w:tab w:val="left" w:pos="1080"/>
                <w:tab w:val="left" w:pos="1440"/>
              </w:tabs>
              <w:rPr>
                <w:sz w:val="20"/>
                <w:szCs w:val="20"/>
              </w:rPr>
            </w:pPr>
            <w:r w:rsidRPr="00114B54">
              <w:rPr>
                <w:b/>
                <w:sz w:val="20"/>
                <w:szCs w:val="20"/>
              </w:rPr>
              <w:t>Total personnel costs</w:t>
            </w:r>
            <w:r w:rsidRPr="00114B54">
              <w:rPr>
                <w:sz w:val="20"/>
                <w:szCs w:val="20"/>
              </w:rPr>
              <w:t xml:space="preserve">  ($</w:t>
            </w:r>
            <w:r w:rsidR="00340D3D">
              <w:rPr>
                <w:sz w:val="20"/>
                <w:szCs w:val="20"/>
              </w:rPr>
              <w:t>25</w:t>
            </w:r>
            <w:r w:rsidRPr="00114B54">
              <w:rPr>
                <w:sz w:val="20"/>
                <w:szCs w:val="20"/>
              </w:rPr>
              <w:t>/hr</w:t>
            </w:r>
            <w:r w:rsidR="00BB5A96">
              <w:rPr>
                <w:sz w:val="20"/>
                <w:szCs w:val="20"/>
              </w:rPr>
              <w:t xml:space="preserve"> x </w:t>
            </w:r>
            <w:r w:rsidR="00340D3D">
              <w:rPr>
                <w:sz w:val="20"/>
                <w:szCs w:val="20"/>
              </w:rPr>
              <w:t>24</w:t>
            </w:r>
            <w:r w:rsidRPr="00114B54">
              <w:rPr>
                <w:sz w:val="20"/>
                <w:szCs w:val="20"/>
              </w:rPr>
              <w:t>)</w:t>
            </w:r>
          </w:p>
          <w:p w:rsidR="00D77D3F" w:rsidRPr="00114B54" w:rsidRDefault="00D77D3F" w:rsidP="00EB7A79">
            <w:pPr>
              <w:keepNext/>
              <w:tabs>
                <w:tab w:val="left" w:pos="360"/>
                <w:tab w:val="left" w:pos="720"/>
                <w:tab w:val="left" w:pos="1080"/>
                <w:tab w:val="left" w:pos="1440"/>
              </w:tabs>
              <w:rPr>
                <w:b/>
                <w:sz w:val="20"/>
                <w:szCs w:val="20"/>
              </w:rPr>
            </w:pPr>
            <w:r w:rsidRPr="00114B54">
              <w:rPr>
                <w:b/>
                <w:sz w:val="20"/>
                <w:szCs w:val="20"/>
              </w:rPr>
              <w:t>Total miscellaneous costs</w:t>
            </w:r>
          </w:p>
        </w:tc>
        <w:tc>
          <w:tcPr>
            <w:tcW w:w="1532" w:type="dxa"/>
          </w:tcPr>
          <w:p w:rsidR="00D77D3F" w:rsidRPr="00114B54" w:rsidRDefault="00340D3D" w:rsidP="00996DAF">
            <w:pPr>
              <w:tabs>
                <w:tab w:val="left" w:pos="360"/>
                <w:tab w:val="left" w:pos="720"/>
                <w:tab w:val="left" w:pos="1080"/>
                <w:tab w:val="left" w:pos="1440"/>
              </w:tabs>
              <w:ind w:left="720" w:hanging="720"/>
              <w:jc w:val="right"/>
              <w:rPr>
                <w:b/>
                <w:sz w:val="20"/>
                <w:szCs w:val="20"/>
              </w:rPr>
            </w:pPr>
            <w:r>
              <w:rPr>
                <w:b/>
                <w:sz w:val="20"/>
                <w:szCs w:val="20"/>
              </w:rPr>
              <w:t>24</w:t>
            </w:r>
          </w:p>
          <w:p w:rsidR="00D77D3F" w:rsidRPr="00114B54" w:rsidRDefault="00340D3D" w:rsidP="00996DAF">
            <w:pPr>
              <w:tabs>
                <w:tab w:val="left" w:pos="360"/>
                <w:tab w:val="left" w:pos="720"/>
                <w:tab w:val="left" w:pos="1080"/>
                <w:tab w:val="left" w:pos="1440"/>
              </w:tabs>
              <w:ind w:left="720" w:hanging="720"/>
              <w:jc w:val="right"/>
              <w:rPr>
                <w:b/>
                <w:sz w:val="20"/>
                <w:szCs w:val="20"/>
              </w:rPr>
            </w:pPr>
            <w:r>
              <w:rPr>
                <w:b/>
                <w:sz w:val="20"/>
                <w:szCs w:val="20"/>
              </w:rPr>
              <w:t>24</w:t>
            </w:r>
          </w:p>
          <w:p w:rsidR="00D77D3F" w:rsidRPr="00114B54" w:rsidRDefault="00D77D3F" w:rsidP="00996DAF">
            <w:pPr>
              <w:tabs>
                <w:tab w:val="left" w:pos="360"/>
                <w:tab w:val="left" w:pos="720"/>
                <w:tab w:val="left" w:pos="1080"/>
                <w:tab w:val="left" w:pos="1440"/>
              </w:tabs>
              <w:ind w:left="720" w:hanging="720"/>
              <w:jc w:val="right"/>
              <w:rPr>
                <w:b/>
                <w:sz w:val="20"/>
                <w:szCs w:val="20"/>
              </w:rPr>
            </w:pPr>
            <w:r w:rsidRPr="00114B54">
              <w:rPr>
                <w:b/>
                <w:sz w:val="20"/>
                <w:szCs w:val="20"/>
              </w:rPr>
              <w:t>$</w:t>
            </w:r>
            <w:r w:rsidR="00340D3D">
              <w:rPr>
                <w:b/>
                <w:sz w:val="20"/>
                <w:szCs w:val="20"/>
              </w:rPr>
              <w:t>600</w:t>
            </w:r>
          </w:p>
          <w:p w:rsidR="00D77D3F" w:rsidRPr="00114B54" w:rsidRDefault="00D77D3F" w:rsidP="00996DAF">
            <w:pPr>
              <w:tabs>
                <w:tab w:val="left" w:pos="360"/>
                <w:tab w:val="left" w:pos="720"/>
                <w:tab w:val="left" w:pos="1080"/>
                <w:tab w:val="left" w:pos="1440"/>
              </w:tabs>
              <w:ind w:left="720" w:hanging="720"/>
              <w:jc w:val="right"/>
              <w:rPr>
                <w:sz w:val="20"/>
                <w:szCs w:val="20"/>
              </w:rPr>
            </w:pPr>
            <w:r w:rsidRPr="00114B54">
              <w:rPr>
                <w:b/>
                <w:sz w:val="20"/>
                <w:szCs w:val="20"/>
              </w:rPr>
              <w:t>0</w:t>
            </w:r>
          </w:p>
        </w:tc>
      </w:tr>
    </w:tbl>
    <w:p w:rsidR="00D45386" w:rsidRDefault="00D45386" w:rsidP="00F9575D"/>
    <w:p w:rsidR="00996DAF" w:rsidRDefault="002C45EB" w:rsidP="002C45EB">
      <w:pPr>
        <w:tabs>
          <w:tab w:val="left" w:pos="360"/>
          <w:tab w:val="left" w:pos="720"/>
          <w:tab w:val="left" w:pos="1080"/>
          <w:tab w:val="left" w:pos="1440"/>
        </w:tabs>
        <w:rPr>
          <w:b/>
        </w:rPr>
      </w:pPr>
      <w:proofErr w:type="gramStart"/>
      <w:r>
        <w:rPr>
          <w:b/>
        </w:rPr>
        <w:t>g</w:t>
      </w:r>
      <w:r w:rsidR="00EB7A79">
        <w:rPr>
          <w:b/>
        </w:rPr>
        <w:t xml:space="preserve">.  </w:t>
      </w:r>
      <w:r w:rsidRPr="006E7B3F">
        <w:rPr>
          <w:b/>
        </w:rPr>
        <w:t>Application</w:t>
      </w:r>
      <w:proofErr w:type="gramEnd"/>
      <w:r w:rsidRPr="006E7B3F">
        <w:rPr>
          <w:b/>
        </w:rPr>
        <w:t xml:space="preserve"> for Transfer Between IFQ and </w:t>
      </w:r>
      <w:r w:rsidR="00FB1A6C">
        <w:rPr>
          <w:b/>
        </w:rPr>
        <w:t>Guided Angler Fish (</w:t>
      </w:r>
      <w:r w:rsidRPr="006E7B3F">
        <w:rPr>
          <w:b/>
        </w:rPr>
        <w:t>GAF</w:t>
      </w:r>
      <w:r w:rsidR="00FB1A6C">
        <w:rPr>
          <w:b/>
        </w:rPr>
        <w:t>)</w:t>
      </w:r>
      <w:r w:rsidRPr="006E7B3F">
        <w:rPr>
          <w:b/>
        </w:rPr>
        <w:t xml:space="preserve"> by a Community Quota Entity (CQE)</w:t>
      </w:r>
      <w:r w:rsidR="00EB7A79">
        <w:rPr>
          <w:b/>
        </w:rPr>
        <w:t xml:space="preserve"> </w:t>
      </w:r>
      <w:r w:rsidR="00996DAF">
        <w:rPr>
          <w:b/>
        </w:rPr>
        <w:t>[</w:t>
      </w:r>
      <w:r w:rsidR="005926EB">
        <w:rPr>
          <w:b/>
        </w:rPr>
        <w:t>NO CHANGES]</w:t>
      </w:r>
    </w:p>
    <w:p w:rsidR="002C45EB" w:rsidRPr="006E7B3F" w:rsidRDefault="002C45EB" w:rsidP="002C45EB">
      <w:pPr>
        <w:tabs>
          <w:tab w:val="left" w:pos="360"/>
          <w:tab w:val="left" w:pos="720"/>
          <w:tab w:val="left" w:pos="1080"/>
          <w:tab w:val="left" w:pos="1440"/>
        </w:tabs>
        <w:rPr>
          <w:b/>
        </w:rPr>
      </w:pPr>
    </w:p>
    <w:p w:rsidR="00081192" w:rsidRDefault="00081192" w:rsidP="00677861">
      <w:pPr>
        <w:tabs>
          <w:tab w:val="left" w:pos="360"/>
          <w:tab w:val="left" w:pos="720"/>
          <w:tab w:val="left" w:pos="1080"/>
          <w:tab w:val="left" w:pos="1440"/>
        </w:tabs>
      </w:pPr>
      <w:r>
        <w:t xml:space="preserve">This application </w:t>
      </w:r>
      <w:r w:rsidR="00B2057D">
        <w:t xml:space="preserve">will be </w:t>
      </w:r>
      <w:r>
        <w:t xml:space="preserve">implemented </w:t>
      </w:r>
      <w:r w:rsidR="00B2057D">
        <w:t xml:space="preserve">by </w:t>
      </w:r>
      <w:r>
        <w:t xml:space="preserve">the halibut catch sharing final rule.  </w:t>
      </w:r>
      <w:r w:rsidR="002C45EB" w:rsidRPr="006E7B3F">
        <w:t>Th</w:t>
      </w:r>
      <w:r w:rsidR="00753672">
        <w:t>e</w:t>
      </w:r>
      <w:r w:rsidR="00996DAF">
        <w:t xml:space="preserve"> application </w:t>
      </w:r>
      <w:r w:rsidR="002C45EB" w:rsidRPr="006E7B3F">
        <w:t xml:space="preserve">is used to transfer annual IPHC Area 2C or 3A commercial IFQ held by a CQE for use as GAF by a community resident holding one or more CHPs for areas 2C or 3A. </w:t>
      </w:r>
      <w:r w:rsidR="00BB5F22">
        <w:t xml:space="preserve"> </w:t>
      </w:r>
      <w:r w:rsidR="002C45EB" w:rsidRPr="006E7B3F">
        <w:t xml:space="preserve">In addition, this application may be used to return unused GAF to the CQE from which it was obtained.  </w:t>
      </w:r>
      <w:r>
        <w:t>The new Aleutian Islands CQE is implemented by a different final rule</w:t>
      </w:r>
      <w:r w:rsidR="009769A9">
        <w:t xml:space="preserve"> so this transfer does not apply to it.</w:t>
      </w:r>
    </w:p>
    <w:p w:rsidR="002C45EB" w:rsidRPr="006E7B3F" w:rsidRDefault="00081192" w:rsidP="00081192">
      <w:r w:rsidDel="00081192">
        <w:rPr>
          <w:rStyle w:val="CommentReference"/>
        </w:rPr>
        <w:t xml:space="preserve"> </w:t>
      </w:r>
    </w:p>
    <w:p w:rsidR="007E75D7" w:rsidRDefault="007E75D7" w:rsidP="00081192">
      <w:pPr>
        <w:tabs>
          <w:tab w:val="left" w:pos="360"/>
          <w:tab w:val="left" w:pos="720"/>
          <w:tab w:val="left" w:pos="1080"/>
          <w:tab w:val="left" w:pos="1440"/>
        </w:tabs>
      </w:pPr>
      <w:r w:rsidRPr="007E75D7">
        <w:t>CQE</w:t>
      </w:r>
      <w:r>
        <w:t>s</w:t>
      </w:r>
      <w:r w:rsidRPr="007E75D7">
        <w:t xml:space="preserve"> that hold quota share are allowed to transfer IFQ as GAF.  The limits on these transfers depend on whether the GAF permit holder is a CQE, an eligible community resident, or a non-resident.</w:t>
      </w:r>
      <w:r>
        <w:t xml:space="preserve">  </w:t>
      </w:r>
    </w:p>
    <w:p w:rsidR="007E75D7" w:rsidRPr="006E7B3F" w:rsidRDefault="007E75D7" w:rsidP="002C45EB">
      <w:pPr>
        <w:tabs>
          <w:tab w:val="left" w:pos="360"/>
          <w:tab w:val="left" w:pos="720"/>
          <w:tab w:val="left" w:pos="1080"/>
          <w:tab w:val="left" w:pos="1440"/>
        </w:tabs>
      </w:pPr>
    </w:p>
    <w:p w:rsidR="002C45EB" w:rsidRPr="006E7B3F" w:rsidRDefault="002C45EB" w:rsidP="002C45EB">
      <w:pPr>
        <w:tabs>
          <w:tab w:val="left" w:pos="360"/>
          <w:tab w:val="left" w:pos="720"/>
          <w:tab w:val="left" w:pos="1080"/>
          <w:tab w:val="left" w:pos="1440"/>
        </w:tabs>
        <w:ind w:left="720" w:hanging="720"/>
      </w:pPr>
      <w:r w:rsidRPr="006E7B3F">
        <w:lastRenderedPageBreak/>
        <w:tab/>
        <w:t>♦</w:t>
      </w:r>
      <w:r w:rsidRPr="006E7B3F">
        <w:tab/>
        <w:t>A CQE applying for a transfer between IFQ and GAF must be eligible to hold IFQ on behalf of an eligible community in Area 2C or Area 3A and have received NMFS’ notification of approval of eligibility to receive IFQ for that community.  In addition,</w:t>
      </w:r>
    </w:p>
    <w:p w:rsidR="002C45EB" w:rsidRPr="006E7B3F" w:rsidRDefault="002C45EB" w:rsidP="002C45EB">
      <w:pPr>
        <w:tabs>
          <w:tab w:val="left" w:pos="360"/>
          <w:tab w:val="left" w:pos="720"/>
          <w:tab w:val="left" w:pos="1080"/>
          <w:tab w:val="left" w:pos="1440"/>
        </w:tabs>
        <w:ind w:left="720" w:hanging="720"/>
      </w:pPr>
    </w:p>
    <w:p w:rsidR="002C45EB" w:rsidRPr="006E7B3F" w:rsidRDefault="002C45EB" w:rsidP="002C45EB">
      <w:pPr>
        <w:tabs>
          <w:tab w:val="left" w:pos="360"/>
          <w:tab w:val="left" w:pos="720"/>
          <w:tab w:val="left" w:pos="1080"/>
          <w:tab w:val="left" w:pos="1440"/>
        </w:tabs>
        <w:ind w:left="720" w:hanging="720"/>
      </w:pPr>
      <w:r w:rsidRPr="006E7B3F">
        <w:tab/>
        <w:t>♦</w:t>
      </w:r>
      <w:r w:rsidRPr="006E7B3F">
        <w:tab/>
        <w:t>An individual applying to receive GAF from Area 2C or Area 3A IFQ held by a CQE must be an eligible community resident of the eligible community in whose name the CQE is holding IFQ.</w:t>
      </w:r>
    </w:p>
    <w:p w:rsidR="002C45EB" w:rsidRPr="006E7B3F" w:rsidRDefault="002C45EB" w:rsidP="002C45EB">
      <w:pPr>
        <w:tabs>
          <w:tab w:val="left" w:pos="360"/>
          <w:tab w:val="left" w:pos="720"/>
          <w:tab w:val="left" w:pos="1080"/>
          <w:tab w:val="left" w:pos="1440"/>
        </w:tabs>
      </w:pPr>
    </w:p>
    <w:p w:rsidR="002C45EB" w:rsidRPr="006E7B3F" w:rsidRDefault="002C45EB" w:rsidP="002C45EB">
      <w:pPr>
        <w:tabs>
          <w:tab w:val="left" w:pos="360"/>
          <w:tab w:val="left" w:pos="720"/>
          <w:tab w:val="left" w:pos="1080"/>
          <w:tab w:val="left" w:pos="1440"/>
        </w:tabs>
      </w:pPr>
      <w:r w:rsidRPr="006E7B3F">
        <w:tab/>
        <w:t>♦</w:t>
      </w:r>
      <w:r w:rsidRPr="006E7B3F">
        <w:tab/>
        <w:t>The CQE applying to receive GAF must hold one or more valid community CHPs.</w:t>
      </w:r>
    </w:p>
    <w:p w:rsidR="002C45EB" w:rsidRPr="006E7B3F" w:rsidRDefault="002C45EB" w:rsidP="002C45EB">
      <w:pPr>
        <w:tabs>
          <w:tab w:val="left" w:pos="360"/>
          <w:tab w:val="left" w:pos="720"/>
          <w:tab w:val="left" w:pos="1080"/>
          <w:tab w:val="left" w:pos="1440"/>
        </w:tabs>
        <w:ind w:left="720" w:hanging="720"/>
      </w:pPr>
    </w:p>
    <w:p w:rsidR="002C45EB" w:rsidRPr="006E7B3F" w:rsidRDefault="002C45EB" w:rsidP="002C45EB">
      <w:pPr>
        <w:tabs>
          <w:tab w:val="left" w:pos="360"/>
          <w:tab w:val="left" w:pos="720"/>
          <w:tab w:val="left" w:pos="1080"/>
          <w:tab w:val="left" w:pos="1440"/>
        </w:tabs>
        <w:ind w:left="720" w:hanging="720"/>
      </w:pPr>
      <w:r w:rsidRPr="006E7B3F">
        <w:tab/>
        <w:t>♦</w:t>
      </w:r>
      <w:r w:rsidRPr="006E7B3F">
        <w:tab/>
        <w:t>The CQE applying to transfer IFQ to GAF must submit a complete annual report(s) as required by 50 CFR part 679.5(l</w:t>
      </w:r>
      <w:proofErr w:type="gramStart"/>
      <w:r w:rsidRPr="006E7B3F">
        <w:t>)(</w:t>
      </w:r>
      <w:proofErr w:type="gramEnd"/>
      <w:r w:rsidRPr="006E7B3F">
        <w:t>8).</w:t>
      </w:r>
    </w:p>
    <w:p w:rsidR="002C45EB" w:rsidRPr="006E7B3F" w:rsidRDefault="002C45EB" w:rsidP="002C45EB">
      <w:pPr>
        <w:tabs>
          <w:tab w:val="left" w:pos="360"/>
          <w:tab w:val="left" w:pos="720"/>
          <w:tab w:val="left" w:pos="1080"/>
          <w:tab w:val="left" w:pos="1440"/>
        </w:tabs>
      </w:pPr>
    </w:p>
    <w:p w:rsidR="002C45EB" w:rsidRPr="006E7B3F" w:rsidRDefault="002C45EB" w:rsidP="002C45EB">
      <w:pPr>
        <w:tabs>
          <w:tab w:val="left" w:pos="360"/>
          <w:tab w:val="left" w:pos="720"/>
          <w:tab w:val="left" w:pos="1080"/>
          <w:tab w:val="left" w:pos="1440"/>
        </w:tabs>
      </w:pPr>
      <w:r w:rsidRPr="006E7B3F">
        <w:t xml:space="preserve">NMFS will not transfer IFQ to GAF after November 1 and will return all unharvested GAF to the CQE on or about November 1 each year.  </w:t>
      </w:r>
    </w:p>
    <w:p w:rsidR="002C45EB" w:rsidRPr="006E7B3F" w:rsidRDefault="002C45EB" w:rsidP="002C45EB">
      <w:pPr>
        <w:tabs>
          <w:tab w:val="left" w:pos="360"/>
          <w:tab w:val="left" w:pos="720"/>
          <w:tab w:val="left" w:pos="1080"/>
          <w:tab w:val="left" w:pos="1440"/>
        </w:tabs>
      </w:pPr>
    </w:p>
    <w:p w:rsidR="002C45EB" w:rsidRPr="006E7B3F" w:rsidRDefault="002C45EB" w:rsidP="002C45EB">
      <w:pPr>
        <w:tabs>
          <w:tab w:val="left" w:pos="360"/>
          <w:tab w:val="left" w:pos="720"/>
          <w:tab w:val="left" w:pos="1080"/>
          <w:tab w:val="left" w:pos="1440"/>
        </w:tabs>
      </w:pPr>
      <w:r w:rsidRPr="006E7B3F">
        <w:t xml:space="preserve">The CQE is responsible for all cost recovery fees (OMB Control No. 0648-0398) resulting from the GAF harvested as a result of this transfer.  Unused GAF will be returned to the CQE from which they were obtained; no fees will be assessed for any unused GAF. </w:t>
      </w:r>
    </w:p>
    <w:p w:rsidR="002C45EB" w:rsidRPr="006E7B3F" w:rsidRDefault="002C45EB" w:rsidP="002C45EB">
      <w:pPr>
        <w:tabs>
          <w:tab w:val="left" w:pos="360"/>
          <w:tab w:val="left" w:pos="720"/>
          <w:tab w:val="left" w:pos="1080"/>
          <w:tab w:val="left" w:pos="1440"/>
        </w:tabs>
      </w:pPr>
    </w:p>
    <w:p w:rsidR="002C45EB" w:rsidRPr="006E7B3F" w:rsidRDefault="002C45EB" w:rsidP="002C45EB">
      <w:pPr>
        <w:tabs>
          <w:tab w:val="left" w:pos="360"/>
          <w:tab w:val="left" w:pos="720"/>
          <w:tab w:val="left" w:pos="1080"/>
          <w:tab w:val="left" w:pos="1440"/>
        </w:tabs>
      </w:pPr>
      <w:r w:rsidRPr="006E7B3F">
        <w:t xml:space="preserve">Applications may be submitted to NMFS </w:t>
      </w:r>
      <w:r w:rsidR="00EB7A79">
        <w:t>by mail or by delivery.</w:t>
      </w:r>
    </w:p>
    <w:p w:rsidR="002C45EB" w:rsidRPr="006E7B3F" w:rsidRDefault="002C45EB" w:rsidP="002C45EB">
      <w:pPr>
        <w:tabs>
          <w:tab w:val="left" w:pos="360"/>
          <w:tab w:val="left" w:pos="720"/>
          <w:tab w:val="left" w:pos="1080"/>
          <w:tab w:val="left" w:pos="1440"/>
        </w:tabs>
        <w:ind w:left="720" w:hanging="720"/>
      </w:pPr>
    </w:p>
    <w:p w:rsidR="002C45EB" w:rsidRPr="00812B20" w:rsidRDefault="002C45EB" w:rsidP="002C45EB">
      <w:pPr>
        <w:tabs>
          <w:tab w:val="left" w:pos="360"/>
          <w:tab w:val="left" w:pos="720"/>
          <w:tab w:val="left" w:pos="1080"/>
          <w:tab w:val="left" w:pos="1440"/>
        </w:tabs>
        <w:ind w:left="720" w:hanging="720"/>
        <w:rPr>
          <w:b/>
          <w:sz w:val="20"/>
          <w:szCs w:val="20"/>
        </w:rPr>
      </w:pPr>
      <w:r w:rsidRPr="00812B20">
        <w:rPr>
          <w:b/>
          <w:sz w:val="20"/>
          <w:szCs w:val="20"/>
        </w:rPr>
        <w:t xml:space="preserve">Application for Transfer </w:t>
      </w:r>
      <w:proofErr w:type="gramStart"/>
      <w:r w:rsidRPr="00812B20">
        <w:rPr>
          <w:b/>
          <w:sz w:val="20"/>
          <w:szCs w:val="20"/>
        </w:rPr>
        <w:t>Between</w:t>
      </w:r>
      <w:proofErr w:type="gramEnd"/>
      <w:r w:rsidRPr="00812B20">
        <w:rPr>
          <w:b/>
          <w:sz w:val="20"/>
          <w:szCs w:val="20"/>
        </w:rPr>
        <w:t xml:space="preserve"> IFQ and GAF by a CQE</w:t>
      </w:r>
    </w:p>
    <w:p w:rsidR="002C45EB" w:rsidRPr="00812B20" w:rsidRDefault="002C45EB" w:rsidP="002C45EB">
      <w:pPr>
        <w:tabs>
          <w:tab w:val="left" w:pos="360"/>
          <w:tab w:val="left" w:pos="720"/>
          <w:tab w:val="left" w:pos="1080"/>
          <w:tab w:val="left" w:pos="1440"/>
        </w:tabs>
        <w:rPr>
          <w:sz w:val="20"/>
          <w:szCs w:val="20"/>
          <w:u w:val="single"/>
        </w:rPr>
      </w:pPr>
      <w:r w:rsidRPr="00812B20">
        <w:rPr>
          <w:sz w:val="20"/>
          <w:szCs w:val="20"/>
          <w:u w:val="single"/>
        </w:rPr>
        <w:t>Attachments</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Completed Application</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 xml:space="preserve">Copy </w:t>
      </w:r>
      <w:proofErr w:type="gramStart"/>
      <w:r w:rsidRPr="00812B20">
        <w:rPr>
          <w:sz w:val="20"/>
          <w:szCs w:val="20"/>
        </w:rPr>
        <w:t>of  IFQ</w:t>
      </w:r>
      <w:proofErr w:type="gramEnd"/>
      <w:r w:rsidRPr="00812B20">
        <w:rPr>
          <w:sz w:val="20"/>
          <w:szCs w:val="20"/>
        </w:rPr>
        <w:t xml:space="preserve"> permit (s) </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 xml:space="preserve">Valid Charter Halibut Permit </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Power of Attorney (if applicable)</w:t>
      </w:r>
    </w:p>
    <w:p w:rsidR="002C45EB" w:rsidRPr="00812B20" w:rsidRDefault="002C45EB" w:rsidP="002C45EB">
      <w:pPr>
        <w:tabs>
          <w:tab w:val="left" w:pos="360"/>
          <w:tab w:val="left" w:pos="720"/>
          <w:tab w:val="left" w:pos="1080"/>
          <w:tab w:val="left" w:pos="1440"/>
        </w:tabs>
        <w:ind w:left="720" w:hanging="720"/>
        <w:rPr>
          <w:sz w:val="20"/>
          <w:szCs w:val="20"/>
          <w:u w:val="single"/>
        </w:rPr>
      </w:pPr>
      <w:r w:rsidRPr="00812B20">
        <w:rPr>
          <w:sz w:val="20"/>
          <w:szCs w:val="20"/>
          <w:u w:val="single"/>
        </w:rPr>
        <w:t xml:space="preserve">Identification of proposed transferor </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Name a</w:t>
      </w:r>
      <w:r w:rsidR="00EB7A79">
        <w:rPr>
          <w:sz w:val="20"/>
          <w:szCs w:val="20"/>
        </w:rPr>
        <w:t>nd NMFS Person ID of Transferor</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 xml:space="preserve"> Name of Community represented by the CQE</w:t>
      </w:r>
      <w:r w:rsidRPr="00812B20">
        <w:rPr>
          <w:sz w:val="20"/>
          <w:szCs w:val="20"/>
        </w:rPr>
        <w:tab/>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Permanent Business Mailing Address and Temporary Business Mailing Address</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Business Telephone No. and Business Fax No</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Business E-mail address (if available)</w:t>
      </w:r>
    </w:p>
    <w:p w:rsidR="002C45EB" w:rsidRPr="00812B20" w:rsidRDefault="002C45EB" w:rsidP="002C45EB">
      <w:pPr>
        <w:tabs>
          <w:tab w:val="left" w:pos="360"/>
          <w:tab w:val="left" w:pos="720"/>
          <w:tab w:val="left" w:pos="1080"/>
          <w:tab w:val="left" w:pos="1440"/>
        </w:tabs>
        <w:ind w:left="720" w:hanging="720"/>
        <w:rPr>
          <w:sz w:val="20"/>
          <w:szCs w:val="20"/>
          <w:u w:val="single"/>
        </w:rPr>
      </w:pPr>
      <w:r w:rsidRPr="00812B20">
        <w:rPr>
          <w:sz w:val="20"/>
          <w:szCs w:val="20"/>
          <w:u w:val="single"/>
        </w:rPr>
        <w:t>Identification of proposed transferee</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 xml:space="preserve"> Name </w:t>
      </w:r>
      <w:proofErr w:type="gramStart"/>
      <w:r w:rsidRPr="00812B20">
        <w:rPr>
          <w:sz w:val="20"/>
          <w:szCs w:val="20"/>
        </w:rPr>
        <w:t>and  NMFS</w:t>
      </w:r>
      <w:proofErr w:type="gramEnd"/>
      <w:r w:rsidRPr="00812B20">
        <w:rPr>
          <w:sz w:val="20"/>
          <w:szCs w:val="20"/>
        </w:rPr>
        <w:t xml:space="preserve"> Person ID of Transferee</w:t>
      </w:r>
      <w:r w:rsidRPr="00812B20">
        <w:rPr>
          <w:sz w:val="20"/>
          <w:szCs w:val="20"/>
        </w:rPr>
        <w:tab/>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 xml:space="preserve"> Name of Community represented by the CQE</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Permanent Business Mailing Address and Temporary Business Mailing Address</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Business Telephone No. and Business Fax No</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Business E-mail address (if available)</w:t>
      </w:r>
    </w:p>
    <w:p w:rsidR="002C45EB" w:rsidRPr="00812B20" w:rsidRDefault="002C45EB" w:rsidP="002C45EB">
      <w:pPr>
        <w:tabs>
          <w:tab w:val="left" w:pos="360"/>
          <w:tab w:val="left" w:pos="720"/>
          <w:tab w:val="left" w:pos="1080"/>
          <w:tab w:val="left" w:pos="1440"/>
        </w:tabs>
        <w:rPr>
          <w:sz w:val="20"/>
          <w:szCs w:val="20"/>
          <w:u w:val="single"/>
        </w:rPr>
      </w:pPr>
      <w:r w:rsidRPr="00812B20">
        <w:rPr>
          <w:sz w:val="20"/>
          <w:szCs w:val="20"/>
          <w:u w:val="single"/>
        </w:rPr>
        <w:t xml:space="preserve">Identification of IFQ and/or GAF </w:t>
      </w:r>
      <w:proofErr w:type="gramStart"/>
      <w:r w:rsidRPr="00812B20">
        <w:rPr>
          <w:sz w:val="20"/>
          <w:szCs w:val="20"/>
          <w:u w:val="single"/>
        </w:rPr>
        <w:t>To</w:t>
      </w:r>
      <w:proofErr w:type="gramEnd"/>
      <w:r w:rsidRPr="00812B20">
        <w:rPr>
          <w:sz w:val="20"/>
          <w:szCs w:val="20"/>
          <w:u w:val="single"/>
        </w:rPr>
        <w:t xml:space="preserve"> be Transferred</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IFQ Permit Number</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IPHC Area</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Charter Halibut Permit Number</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 xml:space="preserve"> </w:t>
      </w:r>
      <w:r w:rsidRPr="00812B20">
        <w:rPr>
          <w:sz w:val="20"/>
          <w:szCs w:val="20"/>
        </w:rPr>
        <w:tab/>
        <w:t>GAF Permit Number (only required when GAF is returning to the IFQ permit holder)</w:t>
      </w:r>
    </w:p>
    <w:p w:rsidR="002C45EB" w:rsidRPr="00812B20" w:rsidRDefault="002C45EB" w:rsidP="002C45EB">
      <w:pPr>
        <w:tabs>
          <w:tab w:val="left" w:pos="360"/>
          <w:tab w:val="left" w:pos="720"/>
          <w:tab w:val="left" w:pos="1080"/>
          <w:tab w:val="left" w:pos="1440"/>
        </w:tabs>
        <w:ind w:left="720" w:hanging="720"/>
        <w:rPr>
          <w:sz w:val="20"/>
          <w:szCs w:val="20"/>
        </w:rPr>
      </w:pPr>
      <w:r w:rsidRPr="00812B20">
        <w:rPr>
          <w:sz w:val="20"/>
          <w:szCs w:val="20"/>
        </w:rPr>
        <w:tab/>
        <w:t>Number of GAF</w:t>
      </w:r>
    </w:p>
    <w:p w:rsidR="0015548E" w:rsidRDefault="0015548E">
      <w:pPr>
        <w:spacing w:after="200" w:line="276" w:lineRule="auto"/>
        <w:rPr>
          <w:sz w:val="20"/>
          <w:szCs w:val="20"/>
          <w:u w:val="single"/>
        </w:rPr>
      </w:pPr>
      <w:r>
        <w:rPr>
          <w:sz w:val="20"/>
          <w:szCs w:val="20"/>
          <w:u w:val="single"/>
        </w:rPr>
        <w:br w:type="page"/>
      </w:r>
    </w:p>
    <w:p w:rsidR="002C45EB" w:rsidRPr="00812B20" w:rsidRDefault="002C45EB" w:rsidP="002C45EB">
      <w:pPr>
        <w:tabs>
          <w:tab w:val="left" w:pos="360"/>
          <w:tab w:val="left" w:pos="720"/>
          <w:tab w:val="left" w:pos="1080"/>
          <w:tab w:val="left" w:pos="1440"/>
        </w:tabs>
        <w:rPr>
          <w:sz w:val="20"/>
          <w:szCs w:val="20"/>
          <w:u w:val="single"/>
        </w:rPr>
      </w:pPr>
      <w:r w:rsidRPr="00812B20">
        <w:rPr>
          <w:sz w:val="20"/>
          <w:szCs w:val="20"/>
          <w:u w:val="single"/>
        </w:rPr>
        <w:lastRenderedPageBreak/>
        <w:t>Notarized certification of proposed transferor</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Signature and printed name of transferor and date signed</w:t>
      </w:r>
      <w:r w:rsidRPr="00812B20">
        <w:rPr>
          <w:sz w:val="20"/>
          <w:szCs w:val="20"/>
        </w:rPr>
        <w:tab/>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 xml:space="preserve">If a representative, </w:t>
      </w:r>
      <w:r w:rsidRPr="00812B20">
        <w:rPr>
          <w:b/>
          <w:sz w:val="20"/>
          <w:szCs w:val="20"/>
        </w:rPr>
        <w:t>attach</w:t>
      </w:r>
      <w:r w:rsidRPr="00812B20">
        <w:rPr>
          <w:sz w:val="20"/>
          <w:szCs w:val="20"/>
        </w:rPr>
        <w:t xml:space="preserve"> authorization</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Signature of notary public, date commission ex</w:t>
      </w:r>
      <w:r w:rsidR="00EB7A79">
        <w:rPr>
          <w:sz w:val="20"/>
          <w:szCs w:val="20"/>
        </w:rPr>
        <w:t>pires, and notary stamp or seal</w:t>
      </w:r>
    </w:p>
    <w:p w:rsidR="002C45EB" w:rsidRPr="00812B20" w:rsidRDefault="002C45EB" w:rsidP="002C45EB">
      <w:pPr>
        <w:tabs>
          <w:tab w:val="left" w:pos="360"/>
          <w:tab w:val="left" w:pos="720"/>
          <w:tab w:val="left" w:pos="1080"/>
          <w:tab w:val="left" w:pos="1440"/>
        </w:tabs>
        <w:rPr>
          <w:sz w:val="20"/>
          <w:szCs w:val="20"/>
          <w:u w:val="single"/>
        </w:rPr>
      </w:pPr>
      <w:r w:rsidRPr="00812B20">
        <w:rPr>
          <w:sz w:val="20"/>
          <w:szCs w:val="20"/>
          <w:u w:val="single"/>
        </w:rPr>
        <w:t>Notarized Certification of proposed transferee</w:t>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Signature and printed name of transferee and date signed</w:t>
      </w:r>
      <w:r w:rsidRPr="00812B20">
        <w:rPr>
          <w:sz w:val="20"/>
          <w:szCs w:val="20"/>
        </w:rPr>
        <w:tab/>
      </w:r>
    </w:p>
    <w:p w:rsidR="002C45EB" w:rsidRPr="00812B20" w:rsidRDefault="002C45EB" w:rsidP="002C45EB">
      <w:pPr>
        <w:tabs>
          <w:tab w:val="left" w:pos="360"/>
          <w:tab w:val="left" w:pos="720"/>
          <w:tab w:val="left" w:pos="1080"/>
          <w:tab w:val="left" w:pos="1440"/>
        </w:tabs>
        <w:rPr>
          <w:sz w:val="20"/>
          <w:szCs w:val="20"/>
        </w:rPr>
      </w:pPr>
      <w:r w:rsidRPr="00812B20">
        <w:rPr>
          <w:sz w:val="20"/>
          <w:szCs w:val="20"/>
        </w:rPr>
        <w:tab/>
        <w:t xml:space="preserve">If a representative, </w:t>
      </w:r>
      <w:r w:rsidRPr="00812B20">
        <w:rPr>
          <w:b/>
          <w:sz w:val="20"/>
          <w:szCs w:val="20"/>
        </w:rPr>
        <w:t>attach</w:t>
      </w:r>
      <w:r w:rsidRPr="00812B20">
        <w:rPr>
          <w:sz w:val="20"/>
          <w:szCs w:val="20"/>
        </w:rPr>
        <w:t xml:space="preserve"> authorization</w:t>
      </w:r>
    </w:p>
    <w:p w:rsidR="002C45EB" w:rsidRPr="006E7B3F" w:rsidRDefault="002C45EB" w:rsidP="002C45EB">
      <w:pPr>
        <w:tabs>
          <w:tab w:val="left" w:pos="360"/>
          <w:tab w:val="left" w:pos="720"/>
          <w:tab w:val="left" w:pos="1080"/>
          <w:tab w:val="left" w:pos="1440"/>
        </w:tabs>
        <w:rPr>
          <w:sz w:val="22"/>
          <w:szCs w:val="22"/>
        </w:rPr>
      </w:pPr>
      <w:r w:rsidRPr="00812B20">
        <w:rPr>
          <w:sz w:val="20"/>
          <w:szCs w:val="20"/>
        </w:rPr>
        <w:tab/>
        <w:t>Signature of notary public, date commission expires, and notary stamp or seal</w:t>
      </w:r>
    </w:p>
    <w:p w:rsidR="002C45EB" w:rsidRPr="00600339" w:rsidRDefault="002C45EB" w:rsidP="00600339">
      <w:pPr>
        <w:tabs>
          <w:tab w:val="left" w:pos="360"/>
          <w:tab w:val="left" w:pos="720"/>
          <w:tab w:val="left" w:pos="1080"/>
          <w:tab w:val="left" w:pos="1440"/>
        </w:tabs>
      </w:pPr>
    </w:p>
    <w:p w:rsidR="002C45EB" w:rsidRPr="00600339" w:rsidRDefault="002C45EB" w:rsidP="00600339">
      <w:pPr>
        <w:tabs>
          <w:tab w:val="left" w:pos="720"/>
          <w:tab w:val="left" w:pos="1080"/>
          <w:tab w:val="left" w:pos="1440"/>
        </w:tabs>
      </w:pPr>
      <w:r w:rsidRPr="00600339">
        <w:t xml:space="preserve">Eighteen Area 2C communities are eligible to each receive up to 4 halibut charter halibut permits at no cost; 14 Area 3A communities are eligible to each receive up to 7 halibut charter halibut permits at no cost.  Note that eligibility for community charter halibut permits is conditioned on the fact that the community must be represented by a </w:t>
      </w:r>
      <w:r w:rsidR="003605E3">
        <w:t>CQE</w:t>
      </w:r>
      <w:r w:rsidRPr="00600339">
        <w:t xml:space="preserve"> approved by NMFS.  Thus, the number of eligible community entities that would be authorized to engage in GAF transfers is a maximum estimate.</w:t>
      </w:r>
    </w:p>
    <w:p w:rsidR="002C45EB" w:rsidRPr="00600339" w:rsidRDefault="002C45EB" w:rsidP="00600339">
      <w:pPr>
        <w:tabs>
          <w:tab w:val="left" w:pos="720"/>
          <w:tab w:val="left" w:pos="1080"/>
          <w:tab w:val="left" w:pos="1440"/>
        </w:tabs>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1"/>
        <w:gridCol w:w="990"/>
      </w:tblGrid>
      <w:tr w:rsidR="002C45EB" w:rsidRPr="006E7B3F" w:rsidTr="00996DAF">
        <w:trPr>
          <w:jc w:val="center"/>
        </w:trPr>
        <w:tc>
          <w:tcPr>
            <w:tcW w:w="4681" w:type="dxa"/>
            <w:gridSpan w:val="2"/>
          </w:tcPr>
          <w:p w:rsidR="002C45EB" w:rsidRPr="009D7A7C" w:rsidRDefault="002C45EB" w:rsidP="00996DAF">
            <w:pPr>
              <w:rPr>
                <w:b/>
                <w:sz w:val="20"/>
                <w:szCs w:val="20"/>
              </w:rPr>
            </w:pPr>
            <w:r w:rsidRPr="009D7A7C">
              <w:rPr>
                <w:b/>
                <w:sz w:val="20"/>
                <w:szCs w:val="20"/>
              </w:rPr>
              <w:t>Application for Transfer Between IFQ and GAF by CQE, Respondent</w:t>
            </w:r>
          </w:p>
        </w:tc>
      </w:tr>
      <w:tr w:rsidR="002C45EB" w:rsidRPr="006E7B3F" w:rsidTr="00996DAF">
        <w:trPr>
          <w:jc w:val="center"/>
        </w:trPr>
        <w:tc>
          <w:tcPr>
            <w:tcW w:w="3691" w:type="dxa"/>
          </w:tcPr>
          <w:p w:rsidR="002C45EB" w:rsidRPr="009D7A7C" w:rsidRDefault="002C45EB" w:rsidP="00996DAF">
            <w:pPr>
              <w:tabs>
                <w:tab w:val="left" w:pos="360"/>
                <w:tab w:val="left" w:pos="720"/>
                <w:tab w:val="left" w:pos="1080"/>
                <w:tab w:val="left" w:pos="1440"/>
                <w:tab w:val="left" w:pos="1800"/>
              </w:tabs>
              <w:rPr>
                <w:b/>
                <w:sz w:val="20"/>
                <w:szCs w:val="20"/>
              </w:rPr>
            </w:pPr>
            <w:r w:rsidRPr="009D7A7C">
              <w:rPr>
                <w:b/>
                <w:sz w:val="20"/>
                <w:szCs w:val="20"/>
              </w:rPr>
              <w:t>Number of respondents</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18 Area 2C</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14 Area 3A</w:t>
            </w:r>
          </w:p>
          <w:p w:rsidR="002C45EB" w:rsidRPr="009D7A7C" w:rsidRDefault="002C45EB" w:rsidP="00996DAF">
            <w:pPr>
              <w:tabs>
                <w:tab w:val="left" w:pos="360"/>
                <w:tab w:val="left" w:pos="720"/>
                <w:tab w:val="left" w:pos="1080"/>
                <w:tab w:val="left" w:pos="1440"/>
                <w:tab w:val="left" w:pos="1800"/>
              </w:tabs>
              <w:rPr>
                <w:sz w:val="20"/>
                <w:szCs w:val="20"/>
              </w:rPr>
            </w:pPr>
            <w:r w:rsidRPr="009D7A7C">
              <w:rPr>
                <w:b/>
                <w:sz w:val="20"/>
                <w:szCs w:val="20"/>
              </w:rPr>
              <w:t xml:space="preserve">Total annualized responses </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Frequency of response  = 1</w:t>
            </w:r>
          </w:p>
          <w:p w:rsidR="002C45EB" w:rsidRPr="009D7A7C" w:rsidRDefault="002C45EB" w:rsidP="00996DAF">
            <w:pPr>
              <w:tabs>
                <w:tab w:val="left" w:pos="360"/>
                <w:tab w:val="left" w:pos="720"/>
                <w:tab w:val="left" w:pos="1080"/>
                <w:tab w:val="left" w:pos="1440"/>
                <w:tab w:val="left" w:pos="1800"/>
              </w:tabs>
              <w:rPr>
                <w:sz w:val="20"/>
                <w:szCs w:val="20"/>
              </w:rPr>
            </w:pPr>
            <w:r w:rsidRPr="009D7A7C">
              <w:rPr>
                <w:b/>
                <w:sz w:val="20"/>
                <w:szCs w:val="20"/>
              </w:rPr>
              <w:t>Total burden hours</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Time per response = 2 hr</w:t>
            </w:r>
          </w:p>
          <w:p w:rsidR="002C45EB" w:rsidRPr="009D7A7C" w:rsidRDefault="002C45EB" w:rsidP="00996DAF">
            <w:pPr>
              <w:tabs>
                <w:tab w:val="left" w:pos="360"/>
                <w:tab w:val="left" w:pos="720"/>
                <w:tab w:val="left" w:pos="1080"/>
                <w:tab w:val="left" w:pos="1440"/>
                <w:tab w:val="left" w:pos="1800"/>
              </w:tabs>
              <w:rPr>
                <w:sz w:val="20"/>
                <w:szCs w:val="20"/>
              </w:rPr>
            </w:pPr>
            <w:r w:rsidRPr="009D7A7C">
              <w:rPr>
                <w:b/>
                <w:sz w:val="20"/>
                <w:szCs w:val="20"/>
              </w:rPr>
              <w:t>Total personnel costs</w:t>
            </w:r>
            <w:r w:rsidRPr="009D7A7C">
              <w:rPr>
                <w:sz w:val="20"/>
                <w:szCs w:val="20"/>
              </w:rPr>
              <w:t xml:space="preserve"> ($25 x 64)</w:t>
            </w:r>
          </w:p>
          <w:p w:rsidR="002C45EB" w:rsidRPr="009D7A7C" w:rsidRDefault="002C45EB" w:rsidP="00996DAF">
            <w:pPr>
              <w:tabs>
                <w:tab w:val="left" w:pos="360"/>
                <w:tab w:val="left" w:pos="720"/>
                <w:tab w:val="left" w:pos="1080"/>
                <w:tab w:val="left" w:pos="1440"/>
                <w:tab w:val="left" w:pos="1800"/>
              </w:tabs>
              <w:rPr>
                <w:b/>
                <w:sz w:val="20"/>
                <w:szCs w:val="20"/>
              </w:rPr>
            </w:pPr>
            <w:r w:rsidRPr="009D7A7C">
              <w:rPr>
                <w:b/>
                <w:sz w:val="20"/>
                <w:szCs w:val="20"/>
              </w:rPr>
              <w:t xml:space="preserve">Total miscellaneous costs </w:t>
            </w:r>
            <w:r w:rsidRPr="009D7A7C">
              <w:rPr>
                <w:sz w:val="20"/>
                <w:szCs w:val="20"/>
              </w:rPr>
              <w:t>(91.60)</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Mail (1.32 x 30 = 39.60) </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Fax (6 x 2 = 12)</w:t>
            </w:r>
          </w:p>
          <w:p w:rsidR="002C45EB" w:rsidRPr="009D7A7C" w:rsidRDefault="002C45EB" w:rsidP="00996DAF">
            <w:pPr>
              <w:rPr>
                <w:b/>
                <w:sz w:val="20"/>
                <w:szCs w:val="20"/>
              </w:rPr>
            </w:pPr>
            <w:r w:rsidRPr="009D7A7C">
              <w:rPr>
                <w:sz w:val="20"/>
                <w:szCs w:val="20"/>
              </w:rPr>
              <w:t xml:space="preserve">   Photocopy (.05 x 25pp x 32 = 40)</w:t>
            </w:r>
          </w:p>
        </w:tc>
        <w:tc>
          <w:tcPr>
            <w:tcW w:w="990" w:type="dxa"/>
          </w:tcPr>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32</w:t>
            </w:r>
          </w:p>
          <w:p w:rsidR="002C45EB" w:rsidRPr="009D7A7C" w:rsidRDefault="002C45EB" w:rsidP="00996DAF">
            <w:pPr>
              <w:tabs>
                <w:tab w:val="left" w:pos="360"/>
                <w:tab w:val="left" w:pos="720"/>
                <w:tab w:val="left" w:pos="1080"/>
                <w:tab w:val="left" w:pos="1440"/>
                <w:tab w:val="left" w:pos="1800"/>
              </w:tabs>
              <w:jc w:val="right"/>
              <w:rPr>
                <w:b/>
                <w:sz w:val="20"/>
                <w:szCs w:val="20"/>
              </w:rPr>
            </w:pPr>
          </w:p>
          <w:p w:rsidR="002C45EB" w:rsidRPr="009D7A7C" w:rsidRDefault="002C45EB" w:rsidP="00996DAF">
            <w:pPr>
              <w:tabs>
                <w:tab w:val="left" w:pos="360"/>
                <w:tab w:val="left" w:pos="720"/>
                <w:tab w:val="left" w:pos="1080"/>
                <w:tab w:val="left" w:pos="1440"/>
                <w:tab w:val="left" w:pos="1800"/>
              </w:tabs>
              <w:jc w:val="right"/>
              <w:rPr>
                <w:b/>
                <w:sz w:val="20"/>
                <w:szCs w:val="20"/>
              </w:rPr>
            </w:pP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32</w:t>
            </w:r>
          </w:p>
          <w:p w:rsidR="002C45EB" w:rsidRPr="009D7A7C" w:rsidRDefault="002C45EB" w:rsidP="00996DAF">
            <w:pPr>
              <w:tabs>
                <w:tab w:val="left" w:pos="360"/>
                <w:tab w:val="left" w:pos="720"/>
                <w:tab w:val="left" w:pos="1080"/>
                <w:tab w:val="left" w:pos="1440"/>
                <w:tab w:val="left" w:pos="1800"/>
              </w:tabs>
              <w:jc w:val="right"/>
              <w:rPr>
                <w:b/>
                <w:sz w:val="20"/>
                <w:szCs w:val="20"/>
              </w:rPr>
            </w:pP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64 hr</w:t>
            </w:r>
          </w:p>
          <w:p w:rsidR="00A11BAA" w:rsidRPr="009D7A7C" w:rsidRDefault="00A11BAA" w:rsidP="00996DAF">
            <w:pPr>
              <w:tabs>
                <w:tab w:val="left" w:pos="360"/>
                <w:tab w:val="left" w:pos="720"/>
                <w:tab w:val="left" w:pos="1080"/>
                <w:tab w:val="left" w:pos="1440"/>
                <w:tab w:val="left" w:pos="1800"/>
              </w:tabs>
              <w:jc w:val="right"/>
              <w:rPr>
                <w:b/>
                <w:sz w:val="20"/>
                <w:szCs w:val="20"/>
              </w:rPr>
            </w:pP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$1,600</w:t>
            </w: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$92</w:t>
            </w:r>
          </w:p>
        </w:tc>
      </w:tr>
    </w:tbl>
    <w:p w:rsidR="002C45EB" w:rsidRDefault="002C45EB" w:rsidP="002C45EB">
      <w:pPr>
        <w:tabs>
          <w:tab w:val="left" w:pos="360"/>
          <w:tab w:val="left" w:pos="720"/>
          <w:tab w:val="left" w:pos="1080"/>
          <w:tab w:val="left" w:pos="1440"/>
          <w:tab w:val="left" w:pos="1800"/>
        </w:tabs>
        <w:rPr>
          <w:sz w:val="22"/>
          <w:szCs w:val="22"/>
        </w:rPr>
      </w:pPr>
    </w:p>
    <w:tbl>
      <w:tblPr>
        <w:tblW w:w="0" w:type="auto"/>
        <w:jc w:val="center"/>
        <w:tblInd w:w="2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990"/>
      </w:tblGrid>
      <w:tr w:rsidR="002C45EB" w:rsidRPr="006E7B3F" w:rsidTr="00996DAF">
        <w:trPr>
          <w:jc w:val="center"/>
        </w:trPr>
        <w:tc>
          <w:tcPr>
            <w:tcW w:w="4592" w:type="dxa"/>
            <w:gridSpan w:val="2"/>
          </w:tcPr>
          <w:p w:rsidR="002C45EB" w:rsidRPr="009D7A7C" w:rsidRDefault="002C45EB" w:rsidP="00996DAF">
            <w:pPr>
              <w:rPr>
                <w:b/>
                <w:sz w:val="20"/>
                <w:szCs w:val="20"/>
              </w:rPr>
            </w:pPr>
            <w:r w:rsidRPr="009D7A7C">
              <w:rPr>
                <w:b/>
                <w:sz w:val="20"/>
                <w:szCs w:val="20"/>
              </w:rPr>
              <w:t>Application for Transfer Between IFQ and GAF by CQE, Federal Government</w:t>
            </w:r>
          </w:p>
        </w:tc>
      </w:tr>
      <w:tr w:rsidR="002C45EB" w:rsidRPr="006E7B3F" w:rsidTr="00996DAF">
        <w:trPr>
          <w:jc w:val="center"/>
        </w:trPr>
        <w:tc>
          <w:tcPr>
            <w:tcW w:w="3602" w:type="dxa"/>
          </w:tcPr>
          <w:p w:rsidR="002C45EB" w:rsidRPr="009D7A7C" w:rsidRDefault="002C45EB" w:rsidP="00996DAF">
            <w:pPr>
              <w:tabs>
                <w:tab w:val="left" w:pos="360"/>
                <w:tab w:val="left" w:pos="720"/>
                <w:tab w:val="left" w:pos="1080"/>
                <w:tab w:val="left" w:pos="1440"/>
                <w:tab w:val="left" w:pos="1800"/>
              </w:tabs>
              <w:rPr>
                <w:b/>
                <w:sz w:val="20"/>
                <w:szCs w:val="20"/>
              </w:rPr>
            </w:pPr>
            <w:r w:rsidRPr="009D7A7C">
              <w:rPr>
                <w:b/>
                <w:sz w:val="20"/>
                <w:szCs w:val="20"/>
              </w:rPr>
              <w:t>Number of responses</w:t>
            </w:r>
          </w:p>
          <w:p w:rsidR="002C45EB" w:rsidRPr="009D7A7C" w:rsidRDefault="002C45EB" w:rsidP="00996DAF">
            <w:pPr>
              <w:tabs>
                <w:tab w:val="left" w:pos="360"/>
                <w:tab w:val="left" w:pos="720"/>
                <w:tab w:val="left" w:pos="1080"/>
                <w:tab w:val="left" w:pos="1440"/>
                <w:tab w:val="left" w:pos="1800"/>
              </w:tabs>
              <w:rPr>
                <w:sz w:val="20"/>
                <w:szCs w:val="20"/>
              </w:rPr>
            </w:pPr>
            <w:r w:rsidRPr="009D7A7C">
              <w:rPr>
                <w:b/>
                <w:sz w:val="20"/>
                <w:szCs w:val="20"/>
              </w:rPr>
              <w:t xml:space="preserve">Total burden hours </w:t>
            </w:r>
            <w:r w:rsidRPr="009D7A7C">
              <w:rPr>
                <w:sz w:val="20"/>
                <w:szCs w:val="20"/>
              </w:rPr>
              <w:t xml:space="preserve"> </w:t>
            </w:r>
          </w:p>
          <w:p w:rsidR="002C45EB" w:rsidRPr="009D7A7C" w:rsidRDefault="002C45EB" w:rsidP="00996DAF">
            <w:pPr>
              <w:tabs>
                <w:tab w:val="left" w:pos="360"/>
                <w:tab w:val="left" w:pos="720"/>
                <w:tab w:val="left" w:pos="1080"/>
                <w:tab w:val="left" w:pos="1440"/>
                <w:tab w:val="left" w:pos="1800"/>
              </w:tabs>
              <w:rPr>
                <w:sz w:val="20"/>
                <w:szCs w:val="20"/>
              </w:rPr>
            </w:pPr>
            <w:r w:rsidRPr="009D7A7C">
              <w:rPr>
                <w:sz w:val="20"/>
                <w:szCs w:val="20"/>
              </w:rPr>
              <w:t xml:space="preserve">   Time per response = 30 min</w:t>
            </w:r>
          </w:p>
          <w:p w:rsidR="002C45EB" w:rsidRPr="009D7A7C" w:rsidRDefault="002C45EB" w:rsidP="00996DAF">
            <w:pPr>
              <w:rPr>
                <w:sz w:val="20"/>
                <w:szCs w:val="20"/>
              </w:rPr>
            </w:pPr>
            <w:r w:rsidRPr="009D7A7C">
              <w:rPr>
                <w:b/>
                <w:sz w:val="20"/>
                <w:szCs w:val="20"/>
              </w:rPr>
              <w:t>Total personnel costs</w:t>
            </w:r>
            <w:r w:rsidRPr="009D7A7C">
              <w:rPr>
                <w:sz w:val="20"/>
                <w:szCs w:val="20"/>
              </w:rPr>
              <w:t xml:space="preserve"> ($25 x </w:t>
            </w:r>
          </w:p>
          <w:p w:rsidR="002C45EB" w:rsidRPr="009D7A7C" w:rsidRDefault="002C45EB" w:rsidP="00996DAF">
            <w:pPr>
              <w:rPr>
                <w:sz w:val="20"/>
                <w:szCs w:val="20"/>
              </w:rPr>
            </w:pPr>
            <w:r w:rsidRPr="009D7A7C">
              <w:rPr>
                <w:b/>
                <w:sz w:val="20"/>
                <w:szCs w:val="20"/>
              </w:rPr>
              <w:t>Total miscellaneous costs</w:t>
            </w:r>
          </w:p>
        </w:tc>
        <w:tc>
          <w:tcPr>
            <w:tcW w:w="990" w:type="dxa"/>
          </w:tcPr>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32</w:t>
            </w: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16</w:t>
            </w:r>
          </w:p>
          <w:p w:rsidR="002C45EB" w:rsidRPr="009D7A7C" w:rsidRDefault="002C45EB" w:rsidP="00996DAF">
            <w:pPr>
              <w:tabs>
                <w:tab w:val="left" w:pos="360"/>
                <w:tab w:val="left" w:pos="720"/>
                <w:tab w:val="left" w:pos="1080"/>
                <w:tab w:val="left" w:pos="1440"/>
                <w:tab w:val="left" w:pos="1800"/>
              </w:tabs>
              <w:jc w:val="right"/>
              <w:rPr>
                <w:b/>
                <w:sz w:val="20"/>
                <w:szCs w:val="20"/>
              </w:rPr>
            </w:pP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$400</w:t>
            </w:r>
          </w:p>
          <w:p w:rsidR="002C45EB" w:rsidRPr="009D7A7C" w:rsidRDefault="002C45EB" w:rsidP="00996DAF">
            <w:pPr>
              <w:tabs>
                <w:tab w:val="left" w:pos="360"/>
                <w:tab w:val="left" w:pos="720"/>
                <w:tab w:val="left" w:pos="1080"/>
                <w:tab w:val="left" w:pos="1440"/>
                <w:tab w:val="left" w:pos="1800"/>
              </w:tabs>
              <w:jc w:val="right"/>
              <w:rPr>
                <w:b/>
                <w:sz w:val="20"/>
                <w:szCs w:val="20"/>
              </w:rPr>
            </w:pPr>
            <w:r w:rsidRPr="009D7A7C">
              <w:rPr>
                <w:b/>
                <w:sz w:val="20"/>
                <w:szCs w:val="20"/>
              </w:rPr>
              <w:t>0</w:t>
            </w:r>
          </w:p>
        </w:tc>
      </w:tr>
    </w:tbl>
    <w:p w:rsidR="00927FB1" w:rsidRDefault="00927FB1" w:rsidP="00F9575D"/>
    <w:p w:rsidR="00F9575D" w:rsidRPr="00460DBF" w:rsidRDefault="00F9575D" w:rsidP="00F9575D">
      <w:r w:rsidRPr="00460DBF">
        <w:t>It is anticipated that the information collected will be disseminated to the public or used to</w:t>
      </w:r>
      <w:r>
        <w:t xml:space="preserve"> </w:t>
      </w:r>
      <w:r w:rsidRPr="00460DBF">
        <w:t xml:space="preserve">support publicly disseminated information. </w:t>
      </w:r>
      <w:r>
        <w:t xml:space="preserve"> </w:t>
      </w:r>
      <w:r w:rsidRPr="00460DBF">
        <w:t>NOAA Fisheries will retain control over the information and</w:t>
      </w:r>
      <w:r>
        <w:t xml:space="preserve"> </w:t>
      </w:r>
      <w:r w:rsidRPr="00460DBF">
        <w:t>safeguard it from improper access, modification, and destruction, consistent with NOAA</w:t>
      </w:r>
      <w:r>
        <w:t xml:space="preserve"> </w:t>
      </w:r>
      <w:r w:rsidRPr="00460DBF">
        <w:t xml:space="preserve">standards for confidentiality, privacy, and electronic information. </w:t>
      </w:r>
      <w:r>
        <w:t xml:space="preserve"> </w:t>
      </w:r>
      <w:r w:rsidRPr="00460DBF">
        <w:t xml:space="preserve">See response </w:t>
      </w:r>
      <w:r>
        <w:t xml:space="preserve">to Question </w:t>
      </w:r>
      <w:r w:rsidRPr="00460DBF">
        <w:t>10 of this</w:t>
      </w:r>
      <w:r>
        <w:t xml:space="preserve"> </w:t>
      </w:r>
      <w:r w:rsidRPr="00460DBF">
        <w:t xml:space="preserve">Supporting Statement for more information on confidentiality and privacy. </w:t>
      </w:r>
      <w:r>
        <w:t xml:space="preserve"> </w:t>
      </w:r>
      <w:r w:rsidRPr="00460DBF">
        <w:t>The information</w:t>
      </w:r>
      <w:r>
        <w:t xml:space="preserve"> </w:t>
      </w:r>
      <w:r w:rsidRPr="00460DBF">
        <w:t xml:space="preserve">collection is designed to yield data that meet all applicable information quality guidelines. </w:t>
      </w:r>
      <w:r>
        <w:t xml:space="preserve"> </w:t>
      </w:r>
      <w:r w:rsidRPr="00460DBF">
        <w:t>Prior</w:t>
      </w:r>
      <w:r>
        <w:t xml:space="preserve"> </w:t>
      </w:r>
      <w:r w:rsidRPr="00460DBF">
        <w:t>to dissemination, the information will be subjected to quality control measures and a</w:t>
      </w:r>
      <w:r>
        <w:t xml:space="preserve"> </w:t>
      </w:r>
      <w:r w:rsidRPr="00460DBF">
        <w:t>pre-dissemination review pursuant to</w:t>
      </w:r>
      <w:hyperlink r:id="rId12" w:history="1">
        <w:r w:rsidRPr="00656ACD">
          <w:rPr>
            <w:rStyle w:val="Hyperlink"/>
          </w:rPr>
          <w:t xml:space="preserve"> Section 515 of Public Law 106-554</w:t>
        </w:r>
      </w:hyperlink>
      <w:r w:rsidRPr="00460DBF">
        <w:t>.</w:t>
      </w:r>
    </w:p>
    <w:p w:rsidR="00F9575D" w:rsidRPr="00460DBF" w:rsidRDefault="00F9575D" w:rsidP="00F9575D"/>
    <w:p w:rsidR="00A94953" w:rsidRDefault="00A94953" w:rsidP="00F9575D">
      <w:pPr>
        <w:rPr>
          <w:b/>
          <w:bCs/>
        </w:rPr>
      </w:pPr>
    </w:p>
    <w:p w:rsidR="00A94953" w:rsidRDefault="00A94953">
      <w:pPr>
        <w:spacing w:after="200" w:line="276" w:lineRule="auto"/>
        <w:rPr>
          <w:b/>
          <w:bCs/>
        </w:rPr>
      </w:pPr>
      <w:r>
        <w:rPr>
          <w:b/>
          <w:bCs/>
        </w:rPr>
        <w:br w:type="page"/>
      </w:r>
    </w:p>
    <w:p w:rsidR="00F9575D" w:rsidRDefault="00F9575D" w:rsidP="00F9575D">
      <w:pPr>
        <w:rPr>
          <w:b/>
          <w:bCs/>
        </w:rPr>
      </w:pPr>
      <w:r>
        <w:rPr>
          <w:b/>
          <w:bCs/>
        </w:rPr>
        <w:lastRenderedPageBreak/>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F9575D" w:rsidRDefault="00F9575D" w:rsidP="00633A0E">
      <w:pPr>
        <w:tabs>
          <w:tab w:val="left" w:pos="720"/>
        </w:tabs>
      </w:pPr>
    </w:p>
    <w:p w:rsidR="00963D0A" w:rsidRPr="00114B54" w:rsidRDefault="00963D0A" w:rsidP="00963D0A">
      <w:r w:rsidRPr="000A7E51">
        <w:t xml:space="preserve">Forms and applications are “fillable” on the computer screen at the NMFS Alaska Region Home Page at </w:t>
      </w:r>
      <w:hyperlink r:id="rId13" w:history="1">
        <w:r w:rsidRPr="000A7E51">
          <w:rPr>
            <w:rStyle w:val="Hyperlink"/>
          </w:rPr>
          <w:t>www.alaskafisheries.noaa.gov</w:t>
        </w:r>
      </w:hyperlink>
      <w:r>
        <w:rPr>
          <w:rStyle w:val="Hyperlink"/>
        </w:rPr>
        <w:t xml:space="preserve">. </w:t>
      </w:r>
      <w:r w:rsidRPr="00114B54">
        <w:t xml:space="preserve">The Application for a CQE to Receive a Non-trawl LLP License and the Application for Transfer of QS-IFQ to a CQE may be submitted to NMFS by mail, courier, or fax.  The Application for a Non-profit Corporation to be </w:t>
      </w:r>
      <w:proofErr w:type="gramStart"/>
      <w:r w:rsidRPr="00114B54">
        <w:t>Designated</w:t>
      </w:r>
      <w:proofErr w:type="gramEnd"/>
      <w:r w:rsidRPr="00114B54">
        <w:t xml:space="preserve"> as a CQE and the Application for Transfer of QS-IFQ to a CQE may be submitted to NMFS by mail or delivery.  Fax submittal is not acceptable due to the Notary requirements.  The CQE final report is a large report with various sizes of pages which must be submitted by mail or in person.  </w:t>
      </w:r>
      <w:r w:rsidR="008B44C6">
        <w:t xml:space="preserve">    </w:t>
      </w:r>
      <w:r w:rsidRPr="00114B54">
        <w:t>The CQE Authorization Letter may be submitted as an attachment to an email.</w:t>
      </w:r>
    </w:p>
    <w:p w:rsidR="00F9575D" w:rsidRDefault="00F9575D" w:rsidP="00633A0E">
      <w:pPr>
        <w:tabs>
          <w:tab w:val="left" w:pos="720"/>
        </w:tabs>
      </w:pPr>
    </w:p>
    <w:p w:rsidR="00F9575D" w:rsidRDefault="00F9575D" w:rsidP="00F9575D">
      <w:r>
        <w:rPr>
          <w:b/>
          <w:bCs/>
        </w:rPr>
        <w:t xml:space="preserve">4.  </w:t>
      </w:r>
      <w:r>
        <w:rPr>
          <w:b/>
          <w:bCs/>
          <w:u w:val="single"/>
        </w:rPr>
        <w:t>Describe efforts to identify duplication</w:t>
      </w:r>
      <w:r>
        <w:rPr>
          <w:b/>
          <w:bCs/>
        </w:rPr>
        <w:t>.</w:t>
      </w:r>
    </w:p>
    <w:p w:rsidR="00F9575D" w:rsidRDefault="00F9575D" w:rsidP="00F9575D"/>
    <w:p w:rsidR="00F9575D" w:rsidRDefault="00F9575D" w:rsidP="00F9575D">
      <w:r w:rsidRPr="003A2A0C">
        <w:t>No duplication exists with other information collections.</w:t>
      </w:r>
    </w:p>
    <w:p w:rsidR="00F9575D" w:rsidRDefault="00F9575D" w:rsidP="00F9575D"/>
    <w:p w:rsidR="00F9575D" w:rsidRDefault="00F9575D" w:rsidP="00F9575D">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F9575D" w:rsidRDefault="00F9575D" w:rsidP="00F9575D"/>
    <w:p w:rsidR="00F10DEE" w:rsidRDefault="00F10DEE" w:rsidP="00963D0A">
      <w:pPr>
        <w:autoSpaceDE w:val="0"/>
        <w:autoSpaceDN w:val="0"/>
        <w:adjustRightInd w:val="0"/>
      </w:pPr>
      <w:r w:rsidRPr="00F10DEE">
        <w:t xml:space="preserve">All available evidence suggests that by the voluntary nature of the CQE Program and the proposed provisions themselves there is no potential for </w:t>
      </w:r>
      <w:r>
        <w:t>this a</w:t>
      </w:r>
      <w:r w:rsidRPr="00F10DEE">
        <w:t>ction to impose significant adverse economic impacts on a substantial number of small entities.</w:t>
      </w:r>
    </w:p>
    <w:p w:rsidR="00963D0A" w:rsidRPr="00114B54" w:rsidRDefault="00963D0A" w:rsidP="00963D0A"/>
    <w:p w:rsidR="00F9575D" w:rsidRDefault="00F9575D" w:rsidP="00F9575D">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F9575D" w:rsidRDefault="00F9575D" w:rsidP="00633A0E">
      <w:pPr>
        <w:tabs>
          <w:tab w:val="left" w:pos="720"/>
        </w:tabs>
      </w:pPr>
    </w:p>
    <w:p w:rsidR="00963D0A" w:rsidRPr="00114B54" w:rsidRDefault="00963D0A" w:rsidP="00963D0A">
      <w:r w:rsidRPr="00114B54">
        <w:t xml:space="preserve">Without the specified reporting scheme described in this Support Statement, the CQE Program would be unable to proceed.    </w:t>
      </w:r>
    </w:p>
    <w:p w:rsidR="00963D0A" w:rsidRPr="00114B54" w:rsidRDefault="00963D0A" w:rsidP="00963D0A"/>
    <w:p w:rsidR="00963D0A" w:rsidRPr="00114B54" w:rsidRDefault="00963D0A" w:rsidP="00963D0A">
      <w:r w:rsidRPr="00114B54">
        <w:t>The lack of adequate information to manage the CQE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CQE fishing industry.</w:t>
      </w:r>
    </w:p>
    <w:p w:rsidR="00BD7A33" w:rsidRDefault="00BD7A33" w:rsidP="00633A0E">
      <w:pPr>
        <w:tabs>
          <w:tab w:val="left" w:pos="720"/>
        </w:tabs>
      </w:pPr>
    </w:p>
    <w:p w:rsidR="00BD7A33" w:rsidRDefault="00BD7A33" w:rsidP="00EB7A79">
      <w:pPr>
        <w:keepNext/>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EB7A79" w:rsidRDefault="00EB7A79" w:rsidP="00EB7A79">
      <w:pPr>
        <w:keepNext/>
      </w:pPr>
    </w:p>
    <w:p w:rsidR="00BD7A33" w:rsidRPr="003A2A0C" w:rsidRDefault="00BD7A33" w:rsidP="00EB7A79">
      <w:pPr>
        <w:keepNext/>
      </w:pPr>
      <w:r w:rsidRPr="003A2A0C">
        <w:t>No special circumstances exist.</w:t>
      </w:r>
    </w:p>
    <w:p w:rsidR="00BD7A33" w:rsidRDefault="00BD7A33" w:rsidP="00BD7A33"/>
    <w:p w:rsidR="00A94953" w:rsidRDefault="00A94953" w:rsidP="00BD7A33"/>
    <w:p w:rsidR="00A94953" w:rsidRDefault="00A94953" w:rsidP="00BD7A33"/>
    <w:p w:rsidR="00A94953" w:rsidRDefault="00A94953" w:rsidP="00BD7A33"/>
    <w:p w:rsidR="00A94953" w:rsidRDefault="00A94953" w:rsidP="00BD7A33"/>
    <w:p w:rsidR="00A94953" w:rsidRDefault="00A94953">
      <w:pPr>
        <w:spacing w:after="200" w:line="276" w:lineRule="auto"/>
      </w:pPr>
      <w:r>
        <w:br w:type="page"/>
      </w:r>
    </w:p>
    <w:p w:rsidR="00BD7A33" w:rsidRDefault="00BD7A33" w:rsidP="00BD7A33">
      <w:r>
        <w:rPr>
          <w:b/>
          <w:bCs/>
        </w:rPr>
        <w:lastRenderedPageBreak/>
        <w:t xml:space="preserve">8.  </w:t>
      </w:r>
      <w:r>
        <w:rPr>
          <w:b/>
          <w:bCs/>
          <w:u w:val="single"/>
        </w:rPr>
        <w:t xml:space="preserve">Provide </w:t>
      </w:r>
      <w:r w:rsidR="00963D0A">
        <w:rPr>
          <w:b/>
          <w:bCs/>
          <w:u w:val="single"/>
        </w:rPr>
        <w:t xml:space="preserve">information on </w:t>
      </w:r>
      <w:r>
        <w:rPr>
          <w:b/>
          <w:bCs/>
          <w:u w:val="single"/>
        </w:rPr>
        <w:t>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BD7A33" w:rsidRDefault="00BD7A33" w:rsidP="00385A6D">
      <w:pPr>
        <w:tabs>
          <w:tab w:val="left" w:pos="720"/>
        </w:tabs>
      </w:pPr>
    </w:p>
    <w:p w:rsidR="00B06DCD" w:rsidRDefault="00B06DCD" w:rsidP="00A56917">
      <w:r w:rsidRPr="00B06DCD">
        <w:t xml:space="preserve">The Council considered comments from the public, NMFS, and the State of Alaska, and incorporated the foundation of the GOA CQE program in its </w:t>
      </w:r>
      <w:r w:rsidR="00423E4B">
        <w:t xml:space="preserve">recommendation for </w:t>
      </w:r>
      <w:r w:rsidRPr="00B06DCD">
        <w:t>the Aleutian Islands CQE Program.  As noted earlier, the GOA CQE Program was developed to provide harvest opportunities for small, remote, coastal communities that lacked access to fishery resources.  The Aleutian Islands CQE Program is intended to meet that same purpose.</w:t>
      </w:r>
    </w:p>
    <w:p w:rsidR="00B06DCD" w:rsidRDefault="00B06DCD" w:rsidP="00A56917"/>
    <w:p w:rsidR="006D6763" w:rsidRDefault="00C72087" w:rsidP="00775D28">
      <w:r w:rsidRPr="00C72087">
        <w:t xml:space="preserve">NMFS Alaska Region published a proposed rule </w:t>
      </w:r>
      <w:r w:rsidR="00B06DCD" w:rsidRPr="00B06DCD">
        <w:t xml:space="preserve">in the </w:t>
      </w:r>
      <w:r w:rsidR="00B06DCD" w:rsidRPr="007578A3">
        <w:rPr>
          <w:u w:val="single"/>
        </w:rPr>
        <w:t xml:space="preserve">Federal Register </w:t>
      </w:r>
      <w:r w:rsidR="00B06DCD" w:rsidRPr="00B06DCD">
        <w:t>on November 14, 2013 (78 FR 68390)</w:t>
      </w:r>
      <w:r>
        <w:t xml:space="preserve"> </w:t>
      </w:r>
      <w:r w:rsidRPr="00C72087">
        <w:t>coincident</w:t>
      </w:r>
      <w:r>
        <w:t>ally</w:t>
      </w:r>
      <w:r w:rsidRPr="00C72087">
        <w:t xml:space="preserve"> with this submission requesting comments from the public.  </w:t>
      </w:r>
      <w:r w:rsidR="00B06DCD" w:rsidRPr="00B06DCD">
        <w:t xml:space="preserve">The 30-day comment period on the proposed rule ended on December 16, 2013.  </w:t>
      </w:r>
    </w:p>
    <w:p w:rsidR="006D6763" w:rsidRDefault="006D6763" w:rsidP="00775D28"/>
    <w:p w:rsidR="00A94953" w:rsidRDefault="00AC2B45" w:rsidP="00762116">
      <w:pPr>
        <w:tabs>
          <w:tab w:val="left" w:pos="360"/>
          <w:tab w:val="left" w:pos="720"/>
          <w:tab w:val="left" w:pos="1080"/>
        </w:tabs>
      </w:pPr>
      <w:r w:rsidRPr="00AC2B45">
        <w:t xml:space="preserve">NMFS received </w:t>
      </w:r>
      <w:r w:rsidR="0028550C">
        <w:t xml:space="preserve">a total of </w:t>
      </w:r>
      <w:r w:rsidRPr="00AC2B45">
        <w:t>nine comment letters</w:t>
      </w:r>
      <w:r w:rsidR="00A56C9D">
        <w:t xml:space="preserve"> on Amendment 102 and the proposed rule during the comment period</w:t>
      </w:r>
      <w:r w:rsidR="00EB4012">
        <w:t>s</w:t>
      </w:r>
      <w:r w:rsidRPr="00AC2B45">
        <w:t xml:space="preserve">.  </w:t>
      </w:r>
    </w:p>
    <w:p w:rsidR="00A94953" w:rsidRDefault="00A94953" w:rsidP="00762116">
      <w:pPr>
        <w:tabs>
          <w:tab w:val="left" w:pos="360"/>
          <w:tab w:val="left" w:pos="720"/>
          <w:tab w:val="left" w:pos="1080"/>
        </w:tabs>
      </w:pPr>
    </w:p>
    <w:p w:rsidR="00762116" w:rsidRDefault="00762116" w:rsidP="0011094E">
      <w:pPr>
        <w:tabs>
          <w:tab w:val="left" w:pos="360"/>
          <w:tab w:val="left" w:pos="720"/>
          <w:tab w:val="left" w:pos="1080"/>
        </w:tabs>
        <w:ind w:left="720" w:hanging="720"/>
      </w:pPr>
      <w:r>
        <w:tab/>
        <w:t>♦</w:t>
      </w:r>
      <w:r>
        <w:tab/>
      </w:r>
      <w:proofErr w:type="gramStart"/>
      <w:r w:rsidR="00CF7F66" w:rsidRPr="00CF7F66">
        <w:t>Two</w:t>
      </w:r>
      <w:proofErr w:type="gramEnd"/>
      <w:r w:rsidR="00CF7F66" w:rsidRPr="00CF7F66">
        <w:t xml:space="preserve"> letters from a member of the public expressed a general dislike of fishery management policies that are outside the scope of this action.  </w:t>
      </w:r>
    </w:p>
    <w:p w:rsidR="00762116" w:rsidRDefault="00762116" w:rsidP="00762116">
      <w:pPr>
        <w:tabs>
          <w:tab w:val="left" w:pos="360"/>
          <w:tab w:val="left" w:pos="720"/>
          <w:tab w:val="left" w:pos="1080"/>
        </w:tabs>
      </w:pPr>
    </w:p>
    <w:p w:rsidR="00762116" w:rsidRPr="00A94953" w:rsidRDefault="00762116" w:rsidP="00A53184">
      <w:pPr>
        <w:tabs>
          <w:tab w:val="left" w:pos="360"/>
          <w:tab w:val="left" w:pos="720"/>
          <w:tab w:val="left" w:pos="1080"/>
        </w:tabs>
        <w:ind w:left="720" w:hanging="720"/>
        <w:rPr>
          <w:b/>
        </w:rPr>
      </w:pPr>
      <w:r>
        <w:tab/>
        <w:t>♦</w:t>
      </w:r>
      <w:r>
        <w:tab/>
      </w:r>
      <w:proofErr w:type="gramStart"/>
      <w:r w:rsidR="00CF7F66" w:rsidRPr="00CF7F66">
        <w:t>Three</w:t>
      </w:r>
      <w:proofErr w:type="gramEnd"/>
      <w:r w:rsidR="00CF7F66" w:rsidRPr="00CF7F66">
        <w:t xml:space="preserve"> comment letters addressed Amendment 102 </w:t>
      </w:r>
      <w:r w:rsidR="0011094E">
        <w:t xml:space="preserve">and the proposed regulations </w:t>
      </w:r>
      <w:r w:rsidR="00EB4012">
        <w:t>for the amendment</w:t>
      </w:r>
      <w:r w:rsidR="00CF7F66" w:rsidRPr="00CF7F66">
        <w:t>.  One letter support</w:t>
      </w:r>
      <w:r w:rsidR="00A53184">
        <w:t>ed</w:t>
      </w:r>
      <w:r w:rsidR="00CF7F66" w:rsidRPr="00CF7F66">
        <w:t xml:space="preserve"> Amendment 102 </w:t>
      </w:r>
      <w:r w:rsidR="00A53184">
        <w:t xml:space="preserve">and the implementation of the final rule.  </w:t>
      </w:r>
      <w:r w:rsidR="00CF7F66" w:rsidRPr="00CF7F66">
        <w:t>Two comment letters did not support Amendment 102</w:t>
      </w:r>
      <w:r w:rsidR="00A53184">
        <w:t xml:space="preserve"> or implementation of </w:t>
      </w:r>
      <w:r w:rsidR="003B717E">
        <w:t>the final rule</w:t>
      </w:r>
      <w:r w:rsidR="00A94953">
        <w:t xml:space="preserve">. The three letters </w:t>
      </w:r>
      <w:r w:rsidR="00A94953" w:rsidRPr="00A94953">
        <w:t>contained six substantive comments.</w:t>
      </w:r>
    </w:p>
    <w:p w:rsidR="00A53184" w:rsidRDefault="00A53184" w:rsidP="00A53184">
      <w:pPr>
        <w:tabs>
          <w:tab w:val="left" w:pos="360"/>
          <w:tab w:val="left" w:pos="720"/>
          <w:tab w:val="left" w:pos="1080"/>
        </w:tabs>
        <w:ind w:left="720" w:hanging="720"/>
      </w:pPr>
    </w:p>
    <w:p w:rsidR="00A94953" w:rsidRDefault="00762116" w:rsidP="00A94953">
      <w:pPr>
        <w:tabs>
          <w:tab w:val="left" w:pos="360"/>
          <w:tab w:val="left" w:pos="720"/>
          <w:tab w:val="left" w:pos="1080"/>
        </w:tabs>
        <w:ind w:left="360" w:hanging="360"/>
      </w:pPr>
      <w:r>
        <w:tab/>
        <w:t>♦</w:t>
      </w:r>
      <w:r>
        <w:tab/>
      </w:r>
      <w:proofErr w:type="gramStart"/>
      <w:r w:rsidR="00CF7F66" w:rsidRPr="00CF7F66">
        <w:t>Four</w:t>
      </w:r>
      <w:proofErr w:type="gramEnd"/>
      <w:r w:rsidR="00CF7F66" w:rsidRPr="00CF7F66">
        <w:t xml:space="preserve"> comment letters supported the proposed action to allow vessel category D QS to be </w:t>
      </w:r>
      <w:r w:rsidR="00A94953">
        <w:tab/>
      </w:r>
      <w:r w:rsidR="00A94953">
        <w:tab/>
      </w:r>
      <w:r w:rsidR="00CF7F66" w:rsidRPr="00CF7F66">
        <w:t>fished on class C vessels</w:t>
      </w:r>
      <w:r w:rsidR="0011094E">
        <w:t xml:space="preserve"> in Area 4B</w:t>
      </w:r>
      <w:r w:rsidR="00CF7F66" w:rsidRPr="00CF7F66">
        <w:t xml:space="preserve">.  </w:t>
      </w:r>
      <w:r w:rsidR="00A94953" w:rsidRPr="00A94953">
        <w:t xml:space="preserve">The letters contained one substantive comment.  </w:t>
      </w:r>
    </w:p>
    <w:p w:rsidR="00F5620F" w:rsidRDefault="00F5620F" w:rsidP="00AC2B45"/>
    <w:p w:rsidR="00AC2B45" w:rsidRDefault="00AC2B45" w:rsidP="00AC2B45">
      <w:r w:rsidRPr="00AC2B45">
        <w:t>No changes were made to th</w:t>
      </w:r>
      <w:r>
        <w:t>e</w:t>
      </w:r>
      <w:r w:rsidRPr="00AC2B45">
        <w:t xml:space="preserve"> final rule</w:t>
      </w:r>
      <w:r>
        <w:t xml:space="preserve"> or OMB support statement </w:t>
      </w:r>
      <w:r w:rsidRPr="00AC2B45">
        <w:t>in response to the comment letters received.  NMFS’ response</w:t>
      </w:r>
      <w:r w:rsidR="00FC0B8E">
        <w:t>s</w:t>
      </w:r>
      <w:r w:rsidRPr="00AC2B45">
        <w:t xml:space="preserve"> to the substantive public comments on Amendment 102 and the proposed rule </w:t>
      </w:r>
      <w:r w:rsidR="00FC0B8E">
        <w:t>are</w:t>
      </w:r>
      <w:r w:rsidRPr="00AC2B45">
        <w:t xml:space="preserve"> presented below.</w:t>
      </w:r>
    </w:p>
    <w:p w:rsidR="00775D28" w:rsidRDefault="00775D28" w:rsidP="00775D28"/>
    <w:p w:rsidR="0078766A" w:rsidRDefault="00311217" w:rsidP="00311217">
      <w:r w:rsidRPr="0078766A">
        <w:rPr>
          <w:b/>
        </w:rPr>
        <w:t>Comment 1</w:t>
      </w:r>
    </w:p>
    <w:p w:rsidR="00311217" w:rsidRDefault="00311217" w:rsidP="00311217">
      <w:r>
        <w:t xml:space="preserve">The </w:t>
      </w:r>
      <w:r w:rsidR="00E76BD3">
        <w:t>commenter</w:t>
      </w:r>
      <w:r w:rsidR="00C21532" w:rsidRPr="00C21532">
        <w:t xml:space="preserve"> supports adoption of the final rule to implement Amendment 102 as soon as possible </w:t>
      </w:r>
      <w:r>
        <w:t>to allow acquisition of QS, preparation of the CQE application</w:t>
      </w:r>
      <w:r w:rsidR="00C21532">
        <w:t>,</w:t>
      </w:r>
      <w:r>
        <w:t xml:space="preserve"> and timely certification of the CQE for the 2014 IFQ fishery season. The </w:t>
      </w:r>
      <w:r w:rsidR="00E76BD3">
        <w:t xml:space="preserve">commenter states that the </w:t>
      </w:r>
      <w:r>
        <w:t>proposed rule correctly captures the intent of the Councils action to create an Aleutian Islands CQE Program.</w:t>
      </w:r>
    </w:p>
    <w:p w:rsidR="0078766A" w:rsidRDefault="0078766A" w:rsidP="00311217"/>
    <w:p w:rsidR="0078766A" w:rsidRDefault="00311217" w:rsidP="00311217">
      <w:r w:rsidRPr="0078766A">
        <w:rPr>
          <w:b/>
        </w:rPr>
        <w:t>Response</w:t>
      </w:r>
    </w:p>
    <w:p w:rsidR="00C21532" w:rsidRDefault="00311217" w:rsidP="00340472">
      <w:r>
        <w:t xml:space="preserve">NMFS </w:t>
      </w:r>
      <w:r w:rsidR="00C21532">
        <w:t>acknowledges the comment</w:t>
      </w:r>
      <w:r>
        <w:t>.</w:t>
      </w:r>
      <w:r w:rsidR="00BE039F">
        <w:t xml:space="preserve">  </w:t>
      </w:r>
    </w:p>
    <w:p w:rsidR="00C21532" w:rsidRDefault="00C21532" w:rsidP="00340472"/>
    <w:p w:rsidR="00A94953" w:rsidRDefault="00A94953" w:rsidP="00340472">
      <w:pPr>
        <w:rPr>
          <w:b/>
        </w:rPr>
      </w:pPr>
    </w:p>
    <w:p w:rsidR="00A94953" w:rsidRDefault="00A94953">
      <w:pPr>
        <w:spacing w:after="200" w:line="276" w:lineRule="auto"/>
        <w:rPr>
          <w:b/>
        </w:rPr>
      </w:pPr>
      <w:r>
        <w:rPr>
          <w:b/>
        </w:rPr>
        <w:br w:type="page"/>
      </w:r>
    </w:p>
    <w:p w:rsidR="00340472" w:rsidRDefault="00C21532" w:rsidP="00340472">
      <w:r w:rsidRPr="00340472">
        <w:rPr>
          <w:b/>
        </w:rPr>
        <w:lastRenderedPageBreak/>
        <w:t>Comment 2</w:t>
      </w:r>
    </w:p>
    <w:p w:rsidR="00C21532" w:rsidRDefault="00C21532" w:rsidP="00340472">
      <w:r>
        <w:t>Amendment 102 ignores National Standard 4 of the Magnuson-Stevens Act, which specifies that conservation and management measures shall not discriminate between residents of different states and that any allocation of fishing privileges must be fair and equitable.  Instead, the proposed action unfairly and unlawfully relies on National Standard 8 of the Magnuson-Stevens Act, which specifies that conservation and management measures shall take into account the importance of fishery resources to fishing communities and provide for the sustained participation of such communities.  Amendment 102 benefits selected Alaskans at the expense of other non-Alaskan residents that participate in the fishery.  This is unfair, discriminatory, and contrary to the requirements of National Standard 4.</w:t>
      </w:r>
    </w:p>
    <w:p w:rsidR="00340472" w:rsidRDefault="00340472" w:rsidP="00340472"/>
    <w:p w:rsidR="00340472" w:rsidRDefault="00C21532" w:rsidP="00340472">
      <w:pPr>
        <w:rPr>
          <w:b/>
        </w:rPr>
      </w:pPr>
      <w:r w:rsidRPr="00340472">
        <w:rPr>
          <w:b/>
        </w:rPr>
        <w:t>Response</w:t>
      </w:r>
    </w:p>
    <w:p w:rsidR="00C21532" w:rsidRDefault="00C21532" w:rsidP="00340472">
      <w:r>
        <w:t>The Council and NMFS have determined that Amendment 102 is consistent with the requirements of the Magnuson-Stevens Act.  As described in section 3.1 of the RIR, Amendment 102</w:t>
      </w:r>
      <w:r w:rsidR="00E76BD3">
        <w:t xml:space="preserve"> and the final rule are</w:t>
      </w:r>
      <w:r>
        <w:t xml:space="preserve"> consistent with National Standard 4 because it provides an opportunity for a non-profit entity representing Adak</w:t>
      </w:r>
      <w:r w:rsidR="00E76BD3">
        <w:t xml:space="preserve"> (i.e., the Aleutian Islands CQE) </w:t>
      </w:r>
      <w:r>
        <w:t xml:space="preserve">to purchase QS on the open market.  </w:t>
      </w:r>
      <w:r w:rsidR="002266BD">
        <w:t xml:space="preserve">If a QS holder is not willing to offer its QS for sale to an Aleutian Islands CQE, no transfer can occur.  Amendment 102 does not constrain transfers among willing QS holders and buyers.  </w:t>
      </w:r>
      <w:r>
        <w:t>Amendment 102</w:t>
      </w:r>
      <w:r w:rsidR="00E76BD3">
        <w:t xml:space="preserve"> </w:t>
      </w:r>
      <w:r>
        <w:t>do</w:t>
      </w:r>
      <w:r w:rsidR="002266BD">
        <w:t>es</w:t>
      </w:r>
      <w:r>
        <w:t xml:space="preserve"> not allocate or assign fishing privileges to the </w:t>
      </w:r>
      <w:r w:rsidR="002266BD">
        <w:t xml:space="preserve">Aleutian Islands CQE </w:t>
      </w:r>
      <w:r>
        <w:t xml:space="preserve">and as a result, does not discriminate between residents of different states. </w:t>
      </w:r>
    </w:p>
    <w:p w:rsidR="00340472" w:rsidRDefault="00340472" w:rsidP="00340472"/>
    <w:p w:rsidR="00C21532" w:rsidRDefault="00C21532" w:rsidP="00E709E2">
      <w:r>
        <w:t>As described in the proposed rule preamble (78 FR 68390, November 14, 2013) and in section 2.1 of the RIR, the</w:t>
      </w:r>
      <w:r w:rsidR="002266BD">
        <w:t xml:space="preserve"> final rule </w:t>
      </w:r>
      <w:r>
        <w:t xml:space="preserve">promotes the Council’s objective to provide an opportunity for Adak to improve access to the commercial halibut and sablefish fisheries in the Aleutian Islands and to provide stability to shoreside processing operations in Adak through a structure similar to the GOA CQE Program.  The Aleut Corporation and the Adak Community Development Corporation have invested significant effort into developing Adak as a commercial center and civilian community with a private sector economy focused heavily on commercial fishing (see section 2.4.5 of the RIR for additional detail).   </w:t>
      </w:r>
      <w:r w:rsidR="00E709E2">
        <w:t xml:space="preserve">Section 2.6.2.4 of the </w:t>
      </w:r>
      <w:r>
        <w:t>RIR notes that residents of Adak were not initially issued halibut and sablefish QS during implementation of the IFQ</w:t>
      </w:r>
      <w:r w:rsidR="00BD5E61">
        <w:t xml:space="preserve"> P</w:t>
      </w:r>
      <w:r>
        <w:t xml:space="preserve">rogram, and the costs of purchasing QS have restricted the ability of residents to participate in the halibut and sablefish IFQ fisheries.  Individuals in small, remote communities </w:t>
      </w:r>
      <w:r w:rsidR="008905D5">
        <w:t xml:space="preserve">such as </w:t>
      </w:r>
      <w:proofErr w:type="gramStart"/>
      <w:r w:rsidR="008905D5">
        <w:t>Adak,</w:t>
      </w:r>
      <w:proofErr w:type="gramEnd"/>
      <w:r w:rsidR="008905D5">
        <w:t xml:space="preserve"> </w:t>
      </w:r>
      <w:r>
        <w:t xml:space="preserve">may realize a higher cost of participation than larger communities with road access to markets (see section 2.6.2.4 of the RIR).  The Council and NMFS intend for Amendment 102 </w:t>
      </w:r>
      <w:r w:rsidR="008905D5">
        <w:t xml:space="preserve">and the final rule </w:t>
      </w:r>
      <w:r>
        <w:t>to provide fishing opportunities for residents of Adak, as well as to minimize the adverse economic impacts of the costs of entering the current IFQ program.</w:t>
      </w:r>
    </w:p>
    <w:p w:rsidR="00340472" w:rsidRDefault="00340472" w:rsidP="00340472"/>
    <w:p w:rsidR="00EC2F4E" w:rsidRDefault="00C21532" w:rsidP="00340472">
      <w:r>
        <w:t xml:space="preserve">The Council and NMFS have determined that Amendment 102 </w:t>
      </w:r>
      <w:r w:rsidR="008905D5">
        <w:t xml:space="preserve">and the final rule </w:t>
      </w:r>
      <w:r>
        <w:t xml:space="preserve">meet the objectives of National Standard 8 by facilitating long-term access to and participation in the commercial halibut and sablefish fisheries by residents of a small, remote, coastal community in the Aleutian Islands.  </w:t>
      </w:r>
      <w:r w:rsidR="008905D5">
        <w:t>The mechanism implemented by the</w:t>
      </w:r>
      <w:r>
        <w:t xml:space="preserve"> final rule to help facilitate participation is to allow </w:t>
      </w:r>
      <w:r w:rsidR="008905D5">
        <w:t xml:space="preserve">the Aleutian Islands CQE </w:t>
      </w:r>
      <w:r>
        <w:t xml:space="preserve">to purchase a limited amount of QS and lease the annual IFQ to community residents.  Amendment 102 </w:t>
      </w:r>
      <w:r w:rsidR="008905D5">
        <w:t>and the final rule are</w:t>
      </w:r>
      <w:r>
        <w:t xml:space="preserve"> intended to benefit one community, Adak, which is the only community in the area with historical participation in the halibut and sablefish fisheries that is not also eligible under the western Alaska Community Development Quota (CDQ) Program</w:t>
      </w:r>
      <w:r w:rsidR="008905D5">
        <w:t>.</w:t>
      </w:r>
      <w:r>
        <w:t xml:space="preserve">  The Council and NMFS determined that under Amendment 102</w:t>
      </w:r>
      <w:r w:rsidR="008905D5">
        <w:t xml:space="preserve"> and the final rule</w:t>
      </w:r>
      <w:r>
        <w:t xml:space="preserve">, individuals residing in communities other than </w:t>
      </w:r>
      <w:r>
        <w:lastRenderedPageBreak/>
        <w:t>Adak will still realize the majority of the benefit from halibut QS in Area 4B and sablefish QS in the Aleutian Islands, but more of the revenues will be captured in the community of Adak than are currently, and less in the larger, more accessible communities, or in communities outside of Alaska, where other QS holders reside (see section 3.1 of the RIR for additional detail).</w:t>
      </w:r>
    </w:p>
    <w:p w:rsidR="00EC2F4E" w:rsidRDefault="00EC2F4E" w:rsidP="00340472"/>
    <w:p w:rsidR="00BD5E61" w:rsidRDefault="00BD5E61" w:rsidP="00BD5E61">
      <w:pPr>
        <w:rPr>
          <w:b/>
        </w:rPr>
      </w:pPr>
      <w:r w:rsidRPr="00BD5E61">
        <w:rPr>
          <w:b/>
        </w:rPr>
        <w:t xml:space="preserve">Comment </w:t>
      </w:r>
      <w:r w:rsidR="00EC2F4E">
        <w:rPr>
          <w:b/>
        </w:rPr>
        <w:t>3</w:t>
      </w:r>
      <w:r w:rsidRPr="00BD5E61">
        <w:rPr>
          <w:b/>
        </w:rPr>
        <w:t>:</w:t>
      </w:r>
    </w:p>
    <w:p w:rsidR="006B49A6" w:rsidRDefault="006B49A6" w:rsidP="006B49A6">
      <w:r>
        <w:t xml:space="preserve">Two commenters asserted that an Aleutian Islands CQE Program was unlikely to provide the intended benefits to the community of Adak.  One commenter stated that Amendment 102 does not guarantee that Adak residents receiving benefits from QS held by the CQE will continue to live in Adak.  The other commenter stated that Adak’s reliance on a fishing economy is not sustainable in the long term.  </w:t>
      </w:r>
    </w:p>
    <w:p w:rsidR="006B49A6" w:rsidRDefault="006B49A6" w:rsidP="006B49A6"/>
    <w:p w:rsidR="006B49A6" w:rsidRDefault="006B49A6" w:rsidP="006B49A6">
      <w:r w:rsidRPr="006B49A6">
        <w:rPr>
          <w:b/>
        </w:rPr>
        <w:t>Response</w:t>
      </w:r>
    </w:p>
    <w:p w:rsidR="006B49A6" w:rsidRDefault="006B49A6" w:rsidP="006B49A6">
      <w:r>
        <w:t>NMFS acknowledges the comments and agrees that Amendment 102 and th</w:t>
      </w:r>
      <w:r w:rsidR="001B74E6">
        <w:t>e</w:t>
      </w:r>
      <w:r>
        <w:t xml:space="preserve"> final rule do not guarantee that the community of Adak or residents of Adak will participate in, or receive benefits, from the IFQ fisheries in the Aleutian Islands.  As described in the response to comment 2, Amendment 102 and th</w:t>
      </w:r>
      <w:r w:rsidR="001B74E6">
        <w:t>e</w:t>
      </w:r>
      <w:r>
        <w:t xml:space="preserve"> final rule provide an opportunity for a non-profit entity representing Adak to purchase QS on the open market.  The Council determined, and NMFS agrees, that Amendment 102 and th</w:t>
      </w:r>
      <w:r w:rsidR="001B74E6">
        <w:t>e</w:t>
      </w:r>
      <w:r>
        <w:t xml:space="preserve"> final rule may provide an opportunity for Adak to improve access to the commercial halibut and sablefish fisheries in the Aleutian Islands and to provide stability to shoreside processing operations in Adak through a structure similar to the GOA CQE Program.</w:t>
      </w:r>
    </w:p>
    <w:p w:rsidR="001B74E6" w:rsidRDefault="001B74E6" w:rsidP="006B49A6"/>
    <w:p w:rsidR="006B49A6" w:rsidRDefault="006B49A6" w:rsidP="00236E56">
      <w:r>
        <w:t xml:space="preserve">NMFS notes that a number of small, remote, coastal communities in Alaska are dependent on commercial fisheries for a significant portion of their economic activity.  This dependence is reasonable given the communities’ proximity to salt water, lack of road access to larger communities, and limited infrastructure.  As described in section 2.4.5 of the RIR and in the response to comment 2, the Aleut Corporation and </w:t>
      </w:r>
      <w:r w:rsidR="001B74E6" w:rsidRPr="001B74E6">
        <w:t>Adak Community Development Corporation</w:t>
      </w:r>
      <w:r w:rsidR="001B74E6">
        <w:t xml:space="preserve"> (</w:t>
      </w:r>
      <w:r>
        <w:t>ACDC</w:t>
      </w:r>
      <w:r w:rsidR="001B74E6">
        <w:t>)</w:t>
      </w:r>
      <w:r>
        <w:t xml:space="preserve"> have pursued a number of strategies to develop community harvesting and processing participation in a broad range of fisheries in the Aleutian Islands.  The Council and NMFS have determined that Amendment 102 and th</w:t>
      </w:r>
      <w:r w:rsidR="00236E56">
        <w:t>e</w:t>
      </w:r>
      <w:r>
        <w:t xml:space="preserve"> final rule may further aid in the development of seafood harvesting and processing activities within Adak.</w:t>
      </w:r>
    </w:p>
    <w:p w:rsidR="00236E56" w:rsidRDefault="00236E56" w:rsidP="00236E56"/>
    <w:p w:rsidR="00236E56" w:rsidRDefault="00236E56" w:rsidP="00236E56">
      <w:pPr>
        <w:rPr>
          <w:b/>
        </w:rPr>
      </w:pPr>
      <w:r w:rsidRPr="00236E56">
        <w:rPr>
          <w:b/>
        </w:rPr>
        <w:t>Comment 4</w:t>
      </w:r>
    </w:p>
    <w:p w:rsidR="00236E56" w:rsidRDefault="00236E56" w:rsidP="00236E56">
      <w:r>
        <w:t>Two commenters did not support the proposed requirement for a non-profit organization (i.e., the Aleutian Islands CQE) to be the designated entity to purchase and hold halibut and sablefish QS for the Aleutian Islands CQE.  One commenter noted that a non-profit CQE is exempt from paying taxes, and this would give the organization a competitive advantage over non-CQE fishermen in purchasing QS.  This advantage could flow to a limited number of eligible lessees of CQE IFQ, who could use their IFQ-derived income to purchase QS.  The second commenter suggested that non-profit organizations may not provide sufficient benefits to warrant their tax-exempt status.</w:t>
      </w:r>
    </w:p>
    <w:p w:rsidR="00CB4A1D" w:rsidRDefault="00CB4A1D" w:rsidP="00CB4A1D">
      <w:pPr>
        <w:rPr>
          <w:u w:val="single"/>
        </w:rPr>
      </w:pPr>
    </w:p>
    <w:p w:rsidR="00CB4A1D" w:rsidRDefault="00236E56" w:rsidP="00CB4A1D">
      <w:pPr>
        <w:rPr>
          <w:b/>
        </w:rPr>
      </w:pPr>
      <w:r w:rsidRPr="00CB4A1D">
        <w:rPr>
          <w:b/>
        </w:rPr>
        <w:t>Response</w:t>
      </w:r>
    </w:p>
    <w:p w:rsidR="00236E56" w:rsidRDefault="00236E56" w:rsidP="00CB4A1D">
      <w:r>
        <w:t xml:space="preserve">The Council and NMFS determined that a non-profit entity is the appropriate type of entity to </w:t>
      </w:r>
      <w:r>
        <w:rPr>
          <w:color w:val="000000"/>
        </w:rPr>
        <w:t xml:space="preserve">hold halibut and sablefish QS on behalf of </w:t>
      </w:r>
      <w:r>
        <w:t xml:space="preserve">Adak for the Aleutian Islands CQE Program.  This </w:t>
      </w:r>
      <w:r>
        <w:lastRenderedPageBreak/>
        <w:t>determination was based on the Council’s consideration of the GOA CQE Program and the objectives for the Aleutian Islands CQE Program.</w:t>
      </w:r>
    </w:p>
    <w:p w:rsidR="003B717E" w:rsidRDefault="003B717E" w:rsidP="003B717E"/>
    <w:p w:rsidR="00236E56" w:rsidRDefault="00236E56" w:rsidP="003B717E">
      <w:r>
        <w:t>The proposed rule to implement the GOA CQE Program describes that the Council selected a non-profit entity as the appropriate holder of QS for communities based on recommendations from GOA communities (68 FR 59564, October 16, 2003).  These recommendations indicated that a non-profit entity could be more flexible and cost-effective than either a for-profit corporation or an existing governmental body.</w:t>
      </w:r>
    </w:p>
    <w:p w:rsidR="003B717E" w:rsidRDefault="003B717E" w:rsidP="003B717E">
      <w:pPr>
        <w:rPr>
          <w:color w:val="000000"/>
        </w:rPr>
      </w:pPr>
    </w:p>
    <w:p w:rsidR="00236E56" w:rsidRDefault="00236E56" w:rsidP="003B717E">
      <w:pPr>
        <w:rPr>
          <w:color w:val="000000"/>
        </w:rPr>
      </w:pPr>
      <w:r>
        <w:rPr>
          <w:color w:val="000000"/>
        </w:rPr>
        <w:t>The preamble to the proposed rule and section 2.6.2.2 of the RIR describe that the GOA CQE Program is premised on the ability of a non-profit entity to purchase and hold halibut and sablefish catcher vessel QS on behalf of a community, for lease to and use by community residents.  The intent is to provide a long-term asset (</w:t>
      </w:r>
      <w:proofErr w:type="spellStart"/>
      <w:r>
        <w:rPr>
          <w:color w:val="000000"/>
        </w:rPr>
        <w:t>i.e</w:t>
      </w:r>
      <w:proofErr w:type="spellEnd"/>
      <w:r>
        <w:rPr>
          <w:color w:val="000000"/>
        </w:rPr>
        <w:t>, halibut or sablefish QS) to use for individual and community benefit, that cannot be sold unless it improves the community’s ability to enhance or expand its participation in the CQE Program (e.g., the CQE could sell some amount of QS at a price that would facilitate the purchase of more QS) (see § 679.41(g</w:t>
      </w:r>
      <w:proofErr w:type="gramStart"/>
      <w:r>
        <w:rPr>
          <w:color w:val="000000"/>
        </w:rPr>
        <w:t>)(</w:t>
      </w:r>
      <w:proofErr w:type="gramEnd"/>
      <w:r>
        <w:rPr>
          <w:color w:val="000000"/>
        </w:rPr>
        <w:t xml:space="preserve">7)).  Individual QS holders and for-profit corporations could leave the community, sell their QS, or otherwise act in their own best interest, rather than in the best interest of the community.  The GOA CQE Program and the Aleutian Islands CQE Program are intended to ensure that some level of access remains for community residents in the long term.   The Council determined, and NMFS agrees, that designating a non-profit entity to hold QS on behalf of the community best meets this objective.  The Aleutian Islands CQE Program is </w:t>
      </w:r>
      <w:r w:rsidRPr="00BB647A">
        <w:rPr>
          <w:color w:val="000000"/>
        </w:rPr>
        <w:t xml:space="preserve">designed after the same concept in the </w:t>
      </w:r>
      <w:r w:rsidRPr="00307248">
        <w:rPr>
          <w:color w:val="000000"/>
        </w:rPr>
        <w:t>GOA</w:t>
      </w:r>
      <w:r w:rsidRPr="007B5AEF">
        <w:rPr>
          <w:color w:val="000000"/>
        </w:rPr>
        <w:t xml:space="preserve"> CQE program.</w:t>
      </w:r>
    </w:p>
    <w:p w:rsidR="003B717E" w:rsidRDefault="003B717E" w:rsidP="003B717E"/>
    <w:p w:rsidR="00236E56" w:rsidRDefault="00236E56" w:rsidP="003B717E">
      <w:r>
        <w:t xml:space="preserve">As described in section 2.6.2.7 of the RIR and in the response to comment 2, </w:t>
      </w:r>
      <w:r w:rsidR="003B717E">
        <w:t>the final rule</w:t>
      </w:r>
      <w:r>
        <w:t xml:space="preserve"> is not anticipated to have significant effects on individual participants in the IFQ fisheries or residents of non-CQE communities.  NMFS expects that th</w:t>
      </w:r>
      <w:r w:rsidR="003B717E">
        <w:t>e</w:t>
      </w:r>
      <w:r>
        <w:t xml:space="preserve"> final rule will allow some redistribution of QS because it is intended to have distributional effects among QS holders by promoting the transfer of QS from existing QS holders to the CQE. </w:t>
      </w:r>
    </w:p>
    <w:p w:rsidR="003B717E" w:rsidRDefault="003B717E" w:rsidP="003B717E"/>
    <w:p w:rsidR="00236E56" w:rsidRDefault="003B717E" w:rsidP="003B717E">
      <w:r>
        <w:t>T</w:t>
      </w:r>
      <w:r w:rsidR="00236E56" w:rsidRPr="007B5AEF">
        <w:t>he Council and NMFS considered the impacts</w:t>
      </w:r>
      <w:r w:rsidR="00236E56">
        <w:t xml:space="preserve"> of Amendment 102</w:t>
      </w:r>
      <w:r w:rsidR="00236E56" w:rsidRPr="007B5AEF">
        <w:t xml:space="preserve"> </w:t>
      </w:r>
      <w:r w:rsidR="00236E56">
        <w:t>and th</w:t>
      </w:r>
      <w:r>
        <w:t>e</w:t>
      </w:r>
      <w:r w:rsidR="00236E56">
        <w:t xml:space="preserve"> final rule </w:t>
      </w:r>
      <w:r w:rsidR="00236E56" w:rsidRPr="007B5AEF">
        <w:t xml:space="preserve">on non-CQE participants in the IFQ fisheries. </w:t>
      </w:r>
      <w:r w:rsidR="00236E56">
        <w:t xml:space="preserve"> </w:t>
      </w:r>
      <w:r w:rsidR="00236E56" w:rsidRPr="007B5AEF">
        <w:t xml:space="preserve">Section  2.6.2.7 of the RIR notes that authorizing a CQE to purchase QS could create the potential for greater competition in the market for purchasing Area 4B halibut QS and Aleutian </w:t>
      </w:r>
      <w:r w:rsidR="00236E56" w:rsidRPr="00BA609C">
        <w:t>I</w:t>
      </w:r>
      <w:r w:rsidR="00236E56" w:rsidRPr="00926FC7">
        <w:t>slands sablefish QS, which could result in a higher QS price.  However,</w:t>
      </w:r>
      <w:r w:rsidR="00236E56" w:rsidRPr="00CC0BE7">
        <w:t xml:space="preserve"> a significant portion of the QS pool remains un</w:t>
      </w:r>
      <w:r w:rsidR="00236E56">
        <w:t>used</w:t>
      </w:r>
      <w:r w:rsidR="00236E56" w:rsidRPr="00444858">
        <w:t xml:space="preserve"> each year in these areas</w:t>
      </w:r>
      <w:r w:rsidR="00236E56">
        <w:t xml:space="preserve"> because the IFQ is not fully harvested</w:t>
      </w:r>
      <w:r w:rsidR="00236E56" w:rsidRPr="00444858">
        <w:t xml:space="preserve">, suggesting there is limited </w:t>
      </w:r>
      <w:r w:rsidR="00236E56">
        <w:t xml:space="preserve">existing </w:t>
      </w:r>
      <w:r w:rsidR="00236E56" w:rsidRPr="00444858">
        <w:t>demand for QS</w:t>
      </w:r>
      <w:r w:rsidR="00236E56">
        <w:t xml:space="preserve">.  Section 2.6.2.3 of the RIR indicates that under the QS use caps implemented by </w:t>
      </w:r>
      <w:r>
        <w:t>the final rule</w:t>
      </w:r>
      <w:r w:rsidR="00236E56">
        <w:t xml:space="preserve">, the Aleutian Islands CQE would be able to purchase QS that is not currently being used.  Therefore, NMFS expects potential competition between individual QS holders and the CQE would be limited. </w:t>
      </w:r>
    </w:p>
    <w:p w:rsidR="003B717E" w:rsidRDefault="003B717E" w:rsidP="003B717E"/>
    <w:p w:rsidR="00236E56" w:rsidRDefault="00236E56" w:rsidP="003B717E">
      <w:r>
        <w:t>S</w:t>
      </w:r>
      <w:r w:rsidRPr="00E62182">
        <w:t xml:space="preserve">everal </w:t>
      </w:r>
      <w:r>
        <w:t xml:space="preserve">other </w:t>
      </w:r>
      <w:r w:rsidRPr="00E62182">
        <w:t xml:space="preserve">factors </w:t>
      </w:r>
      <w:r>
        <w:t xml:space="preserve">are also likely to </w:t>
      </w:r>
      <w:r w:rsidRPr="00E62182">
        <w:t>limit the impact of the</w:t>
      </w:r>
      <w:r>
        <w:t xml:space="preserve"> Aleutian Islands</w:t>
      </w:r>
      <w:r w:rsidRPr="00E62182">
        <w:t xml:space="preserve"> </w:t>
      </w:r>
      <w:r>
        <w:t>CQE Program on non-CQE fishery participants.  T</w:t>
      </w:r>
      <w:r w:rsidRPr="00E62182">
        <w:t xml:space="preserve">he most important </w:t>
      </w:r>
      <w:r>
        <w:t>factors are that the CQE must purchase QS on the open market, only one community is eligible to participate, and the Adak CQE will be subject to QS purchase and use limits.  Section  2.6.2.7 of the RIR notes that the</w:t>
      </w:r>
      <w:r w:rsidRPr="00E62182">
        <w:t xml:space="preserve"> cumulative </w:t>
      </w:r>
      <w:r>
        <w:t>community</w:t>
      </w:r>
      <w:r w:rsidRPr="00E62182">
        <w:t xml:space="preserve"> use cap</w:t>
      </w:r>
      <w:r>
        <w:t>s of 15 percent of the QS pools for halibut and sablefish (see § 679.42 (e)(4)(ii) and (f)(2)(ii))</w:t>
      </w:r>
      <w:r w:rsidRPr="00E62182">
        <w:t xml:space="preserve"> and </w:t>
      </w:r>
      <w:r>
        <w:t xml:space="preserve">the </w:t>
      </w:r>
      <w:r w:rsidRPr="00E62182">
        <w:t>block limit</w:t>
      </w:r>
      <w:r>
        <w:t xml:space="preserve">s (see § </w:t>
      </w:r>
      <w:r w:rsidRPr="00E9327A">
        <w:t>679.41(e)(4) and (5)</w:t>
      </w:r>
      <w:r>
        <w:t xml:space="preserve">) ensure that even if the </w:t>
      </w:r>
      <w:r>
        <w:lastRenderedPageBreak/>
        <w:t xml:space="preserve">Adak CQE purchases QS up to the program limits, non-CQE participants </w:t>
      </w:r>
      <w:r w:rsidRPr="00E62182">
        <w:t>would c</w:t>
      </w:r>
      <w:r>
        <w:t xml:space="preserve">ontinue to have access to the remaining QS pool </w:t>
      </w:r>
      <w:r w:rsidRPr="00E62182">
        <w:t>without p</w:t>
      </w:r>
      <w:r>
        <w:t xml:space="preserve">otential competition from CQEs.  Additionally, the Aleutian Islands CQE Program does not </w:t>
      </w:r>
      <w:r w:rsidRPr="00E62182">
        <w:t xml:space="preserve">affect IFQ participants’ access to QS in areas </w:t>
      </w:r>
      <w:r>
        <w:t>other than Area 4B for halibut and the Aleutian Islands for sablefish</w:t>
      </w:r>
      <w:r w:rsidRPr="00E62182">
        <w:t>.</w:t>
      </w:r>
      <w:r>
        <w:t xml:space="preserve">  </w:t>
      </w:r>
    </w:p>
    <w:p w:rsidR="003B717E" w:rsidRDefault="003B717E" w:rsidP="003B717E"/>
    <w:p w:rsidR="00236E56" w:rsidRPr="00CE38B0" w:rsidRDefault="00236E56" w:rsidP="003B717E">
      <w:r>
        <w:t xml:space="preserve">Section 2.6.4 of the RIR notes that </w:t>
      </w:r>
      <w:r w:rsidRPr="00444858">
        <w:t xml:space="preserve">if an Aleutian Islands CQE is provided the opportunity to purchase QS, the benefits of </w:t>
      </w:r>
      <w:r>
        <w:t xml:space="preserve">the use of the </w:t>
      </w:r>
      <w:r w:rsidRPr="00444858">
        <w:t xml:space="preserve">resulting IFQ will </w:t>
      </w:r>
      <w:r>
        <w:t xml:space="preserve">provide </w:t>
      </w:r>
      <w:r w:rsidRPr="00444858">
        <w:t>econom</w:t>
      </w:r>
      <w:r>
        <w:t>ic benefits that are not currently realized</w:t>
      </w:r>
      <w:r w:rsidRPr="00444858">
        <w:t>.  In addition, because current demand for QS in these areas is relatively low, including a CQE in the market for QS may serve to benefit private</w:t>
      </w:r>
      <w:r w:rsidRPr="00BA609C">
        <w:t xml:space="preserve"> </w:t>
      </w:r>
      <w:r w:rsidRPr="00926FC7">
        <w:t>sellers of QS</w:t>
      </w:r>
      <w:r w:rsidRPr="001A05A3">
        <w:t>.</w:t>
      </w:r>
    </w:p>
    <w:p w:rsidR="007578A3" w:rsidRDefault="007578A3" w:rsidP="00EC2F4E">
      <w:pPr>
        <w:rPr>
          <w:b/>
        </w:rPr>
      </w:pPr>
    </w:p>
    <w:p w:rsidR="00EC2F4E" w:rsidRDefault="00EC2F4E" w:rsidP="00EC2F4E">
      <w:r w:rsidRPr="00EC2F4E">
        <w:rPr>
          <w:b/>
        </w:rPr>
        <w:t xml:space="preserve">Comment </w:t>
      </w:r>
      <w:r w:rsidR="00AF670B">
        <w:rPr>
          <w:b/>
        </w:rPr>
        <w:t>5</w:t>
      </w:r>
    </w:p>
    <w:p w:rsidR="00AF670B" w:rsidRDefault="00AF670B" w:rsidP="00AF670B">
      <w:r>
        <w:t>Individuals that are not qualified to lease IFQ from the Aleutian Islands CQE would be disadvantaged compared to fishermen harvesting CQE-held IFQ because non-CQE fishery participants are subject to more restrictive QS and IFQ transfer and limits.  These include QS block and use limits, vessel category restrictions for harvesting IFQ, and eligibility to lease IFQ.</w:t>
      </w:r>
    </w:p>
    <w:p w:rsidR="00F2301D" w:rsidRDefault="00F2301D" w:rsidP="00AF670B"/>
    <w:p w:rsidR="00F2301D" w:rsidRDefault="00AF670B" w:rsidP="00AF670B">
      <w:pPr>
        <w:rPr>
          <w:b/>
        </w:rPr>
      </w:pPr>
      <w:r w:rsidRPr="00F2301D">
        <w:rPr>
          <w:b/>
        </w:rPr>
        <w:t>Response</w:t>
      </w:r>
    </w:p>
    <w:p w:rsidR="00AF670B" w:rsidRDefault="00AF670B" w:rsidP="00AF670B">
      <w:r>
        <w:t xml:space="preserve">In recommending transfer and use restrictions for the Aleutian Islands CQE Program, the Council balanced the objective of promoting community access to QS and IFQ with its intent to maintain entry-level opportunities for fishermen residing in other fishery-dependent communities, consistent with the goals of the IFQ Program.  The Council and NMFS do not anticipate that the provisions of Amendment 102 implemented by </w:t>
      </w:r>
      <w:r w:rsidR="0097378C">
        <w:t>the final rule</w:t>
      </w:r>
      <w:r>
        <w:t xml:space="preserve"> will have significant effects on individual participants in the IFQ fisheries or residents of non-CQE communities (see the response to comment 4 and section 2.6.2.7 of the RIR for additional detail).</w:t>
      </w:r>
    </w:p>
    <w:p w:rsidR="00F2301D" w:rsidRDefault="00F2301D" w:rsidP="00AF670B"/>
    <w:p w:rsidR="00AF670B" w:rsidRDefault="00AF670B" w:rsidP="00AF670B">
      <w:r>
        <w:t xml:space="preserve">The Council’s rationale for each the transfer and use provisions implemented by </w:t>
      </w:r>
      <w:r w:rsidR="0097378C">
        <w:t>the final rule</w:t>
      </w:r>
      <w:r>
        <w:t xml:space="preserve"> was examined in section 2.6.2.4 of the RIR for the action and described in the Transfer and Use Restrictions section of the proposed rule preamble.  The Council’s rationale for the specific transfer and use provisions referenced by the commenter is summarized here.</w:t>
      </w:r>
    </w:p>
    <w:p w:rsidR="00F54618" w:rsidRDefault="00F54618" w:rsidP="00AF670B"/>
    <w:p w:rsidR="00AF670B" w:rsidRDefault="00AF670B" w:rsidP="00AF670B">
      <w:r>
        <w:t xml:space="preserve">The Council did not recommend restrictions on the size of QS blocks the Aleutian Islands CQE can purchase.  The Council and NMFS reviewed data on the number of and size of QS blocks in Area 4B and the Aleutian Islands and determined that implementing a block size restriction would greatly limit the QS available for purchase by the CQE (see Section xxx of the RIR for additional information).  The Council also recommended retaining the same QS block limits that apply to GOA CQEs for the Aleutian Islands CQE because large portions of the QS in the Aleutian Islands are available only in blocked shares.  Limiting the Aleutian Islands CQE to existing unblocked QS would effectively limit the QS available to a small portion of the QS pool that is typically higher priced than the more available blocked.  The Council also determined that the potential impacts on new entrants to this fishery of its recommended block restrictions would be limited because not all QS is currently being used to harvest halibut and sablefish IFQ in Area 4B and the Aleutian Islands (see </w:t>
      </w:r>
      <w:r w:rsidR="00564AF8">
        <w:t xml:space="preserve">Section A. Block Limits within Section 5. </w:t>
      </w:r>
      <w:proofErr w:type="gramStart"/>
      <w:r w:rsidR="00564AF8">
        <w:t xml:space="preserve">Transfer and Use Restrictions in </w:t>
      </w:r>
      <w:r>
        <w:t>the proposed rule for additional detail).</w:t>
      </w:r>
      <w:proofErr w:type="gramEnd"/>
    </w:p>
    <w:p w:rsidR="00F54618" w:rsidRDefault="00F54618" w:rsidP="00AF670B"/>
    <w:p w:rsidR="00F54618" w:rsidRDefault="00AF670B" w:rsidP="00AF670B">
      <w:r>
        <w:t xml:space="preserve">The Council recommended applying to the Aleutian Islands CQE the same regulations on the vessel categories of QS that currently apply to CQEs in Areas 3A and 3B of the GOA.  Specifically, under </w:t>
      </w:r>
      <w:r w:rsidR="0097378C">
        <w:t>the final rule</w:t>
      </w:r>
      <w:r>
        <w:t xml:space="preserve">, the Aleutian Islands CQE could purchase and hold </w:t>
      </w:r>
    </w:p>
    <w:p w:rsidR="00F54618" w:rsidRDefault="00F54618" w:rsidP="00AF670B"/>
    <w:p w:rsidR="00F54618" w:rsidRDefault="00F54618" w:rsidP="00F54618">
      <w:pPr>
        <w:tabs>
          <w:tab w:val="left" w:pos="360"/>
        </w:tabs>
      </w:pPr>
      <w:r>
        <w:tab/>
        <w:t>♦</w:t>
      </w:r>
      <w:r>
        <w:tab/>
        <w:t>A</w:t>
      </w:r>
      <w:r w:rsidR="00AF670B">
        <w:t xml:space="preserve">ll categories of Area 4B halibut catcher vessel QS (B, C, and D share QS); </w:t>
      </w:r>
    </w:p>
    <w:p w:rsidR="00F54618" w:rsidRDefault="00F54618" w:rsidP="00F54618">
      <w:pPr>
        <w:tabs>
          <w:tab w:val="left" w:pos="360"/>
        </w:tabs>
      </w:pPr>
    </w:p>
    <w:p w:rsidR="00F54618" w:rsidRDefault="00F54618" w:rsidP="00F54618">
      <w:pPr>
        <w:tabs>
          <w:tab w:val="left" w:pos="360"/>
        </w:tabs>
      </w:pPr>
      <w:r>
        <w:tab/>
        <w:t>♦</w:t>
      </w:r>
      <w:r>
        <w:tab/>
        <w:t>A</w:t>
      </w:r>
      <w:r w:rsidR="00AF670B">
        <w:t xml:space="preserve">ll categories of Aleutian Islands sablefish catcher vessel QS (B and C share QS); and </w:t>
      </w:r>
    </w:p>
    <w:p w:rsidR="00F54618" w:rsidRDefault="00F54618" w:rsidP="00F54618">
      <w:pPr>
        <w:tabs>
          <w:tab w:val="left" w:pos="360"/>
        </w:tabs>
      </w:pPr>
    </w:p>
    <w:p w:rsidR="00AF670B" w:rsidRDefault="00F54618" w:rsidP="00F54618">
      <w:pPr>
        <w:tabs>
          <w:tab w:val="left" w:pos="360"/>
          <w:tab w:val="left" w:pos="720"/>
        </w:tabs>
        <w:ind w:left="720" w:hanging="720"/>
      </w:pPr>
      <w:r>
        <w:tab/>
        <w:t>♦</w:t>
      </w:r>
      <w:r>
        <w:tab/>
      </w:r>
      <w:proofErr w:type="gramStart"/>
      <w:r>
        <w:t>A</w:t>
      </w:r>
      <w:r w:rsidR="00AF670B">
        <w:t>ny</w:t>
      </w:r>
      <w:proofErr w:type="gramEnd"/>
      <w:r w:rsidR="00AF670B">
        <w:t xml:space="preserve"> amount of Area 4B catcher vessel D share halibut QS, up to the program limit of 15 percent of the total QS pool.  As described in the proposed rule and section 2.6.2.4 of the RIR, the Council determined that allowing the Aleutian Islands CQE to hold D share QS would not conflict with new entrants in the Aleutian Islands IFQ fisheries because there is likely to be minimal competition between individuals and the Aleutian Islands CQE for D share QS in the Area 4B halibut QS market.  As described in the proposed rule, approximately 70 percent of the D </w:t>
      </w:r>
      <w:proofErr w:type="gramStart"/>
      <w:r w:rsidR="00AF670B">
        <w:t>share</w:t>
      </w:r>
      <w:proofErr w:type="gramEnd"/>
      <w:r w:rsidR="00AF670B">
        <w:t xml:space="preserve"> QS in Area 4B is not used on an annual basis.  This suggests that there is little market demand for D </w:t>
      </w:r>
      <w:proofErr w:type="gramStart"/>
      <w:r w:rsidR="00AF670B">
        <w:t>share</w:t>
      </w:r>
      <w:proofErr w:type="gramEnd"/>
      <w:r w:rsidR="00AF670B">
        <w:t xml:space="preserve"> QS in the Aleutian Islands.</w:t>
      </w:r>
    </w:p>
    <w:p w:rsidR="00F54618" w:rsidRDefault="00F54618" w:rsidP="00AF670B"/>
    <w:p w:rsidR="00AF670B" w:rsidRDefault="0097378C" w:rsidP="00AF670B">
      <w:r>
        <w:t>The final rule</w:t>
      </w:r>
      <w:r w:rsidR="00AF670B">
        <w:t xml:space="preserve"> would allow IFQ derived B and C catcher vessel share QS held by an Aleutian Islands CQE to be fished from a vessel of any size regardless of the QS vessel category from which the IFQ was derived.  This provision is consistent with the same provisions in the GOA CQE Program on which the Al</w:t>
      </w:r>
      <w:r w:rsidR="00F54618">
        <w:t>e</w:t>
      </w:r>
      <w:r w:rsidR="00AF670B">
        <w:t xml:space="preserve">utians Islands CQE is modeled, and would facilitate the use of IFQ on the wide range of vessel types that fish in Aleutian Island communities.  </w:t>
      </w:r>
    </w:p>
    <w:p w:rsidR="00F54618" w:rsidRDefault="00F54618" w:rsidP="00AF670B"/>
    <w:p w:rsidR="00AF670B" w:rsidRDefault="0097378C" w:rsidP="00AF670B">
      <w:r>
        <w:t>The final rule</w:t>
      </w:r>
      <w:r w:rsidR="00AF670B">
        <w:t xml:space="preserve"> establishes limitations on the use of QS and IFQ assigned to an Aleutian Islands CQE.  These limitations are consistent with regulations for the GOA CQE Program, with minor modifications to provide additional flexibility on the use of IFQ derived from QS held by an Aleutian Islands CQE.  </w:t>
      </w:r>
      <w:r>
        <w:t>The final rule</w:t>
      </w:r>
      <w:r w:rsidR="00AF670B">
        <w:t xml:space="preserve"> allows an Aleutian Islands CQE to lease any IFQ derived QS it holds to either eligible community residents of Adak or non-residents for a period of up to 5 years after the effective date of the regulations.  After the 5-year period, the CQE would be required to lease the IFQ derived from QS it holds only to eligible community residents of Adak.  The Council limited the period during which non-residents could lease IFQ from an Aleutian Islands CQE to explicitly tie the potential long-term benefits of QS held by an Aleutian Islands CQE to the residents of Adak.  The five-year time period is intended to provide adequate time to accrue benefits to the community of Adak through IFQ deliveries, provide crew opportunities for residents, and earn revenue that could assist the purchase of additional QS.</w:t>
      </w:r>
    </w:p>
    <w:p w:rsidR="00F54618" w:rsidRDefault="00F54618" w:rsidP="00AF670B"/>
    <w:p w:rsidR="00AF670B" w:rsidRDefault="00AF670B" w:rsidP="00AF670B">
      <w:r>
        <w:t xml:space="preserve">Under </w:t>
      </w:r>
      <w:r w:rsidR="0097378C">
        <w:t>the final rule</w:t>
      </w:r>
      <w:r>
        <w:t>, an eligible community resident of an Aleutian Islands CQE community is relieved from the requirement to have 150 days of experience working as part of the harvesting crew in a U.S. commercial fishery in order to lease IFQ from the Adak CQE.  This provision of the Aleutian Islands CQE Program is not limited to the first five-years of the program like the non-resident IFQ leasing provision.  The Council recommended removing the 150-day experience requirement for eligible community residents of Adak to accommodate younger residents of Adak who may seek employment, but lack the 150 days of experience as a crew member.  Many younger fishermen have experience operating a vessel out of Adak fishing subsistence halibut, but in the western Aleutian Islands there are few commercial fisheries in which they can gain the necessary number of days of experience as crew members, compared to what is available for residents of GOA communities.  This is in part due to fewer fishermen operating out of the Aleutian Islands on whose vessels one might be employed as a crew member.</w:t>
      </w:r>
    </w:p>
    <w:p w:rsidR="00B22A13" w:rsidRDefault="00B22A13" w:rsidP="00AF670B"/>
    <w:p w:rsidR="00730765" w:rsidRDefault="00730765" w:rsidP="00730765">
      <w:r w:rsidRPr="00730765">
        <w:rPr>
          <w:b/>
        </w:rPr>
        <w:lastRenderedPageBreak/>
        <w:t>Comment 6</w:t>
      </w:r>
    </w:p>
    <w:p w:rsidR="00730765" w:rsidRDefault="00730765" w:rsidP="00730765">
      <w:r>
        <w:t>The Aleutian Islands CQE is not required to be an owner onboard, is allowed to lease out its IFQ, and is able to benefit from QS through multiple generations.  In contrast, an individual who was not initially issued QS and purchased their QS is restricted by the owner onboard requirement and is not able to lease their IFQ.  Furthermore, an individual QS holder’s beneficiaries do not receive the long-term benefit of the QS after the death of the QS holder.  The QS holder’s beneficiary may only lease the resulting IFQ for three years and after that time, the beneficiary must meet the eligibility requirements to hold QS and must be onboard the vessel when the IFQ is harvested, or they must transfer the QS.</w:t>
      </w:r>
    </w:p>
    <w:p w:rsidR="00730765" w:rsidRDefault="00730765" w:rsidP="00730765"/>
    <w:p w:rsidR="00730765" w:rsidRDefault="00730765" w:rsidP="00730765">
      <w:r w:rsidRPr="00730765">
        <w:rPr>
          <w:b/>
        </w:rPr>
        <w:t>Response</w:t>
      </w:r>
    </w:p>
    <w:p w:rsidR="00730765" w:rsidRDefault="00730765" w:rsidP="00730765">
      <w:r>
        <w:t xml:space="preserve">The comment refers to IFQ Program regulations at § 679.42(c) that require, with some exceptions, a catcher vessel QS holder to be onboard the vessel during harvest and offloading of IFQ derived from their QS.  As described in the final rule to implement the IFQ Program, this requirement is intended to promote stewardship by providing active fishermen with a vested interest in the long-term productivity of the halibut and sablefish resources (58 FR 59375, November 9, 1993).  By design, CQE community fishermen do not hold QS but instead are allowed to lease IFQ derived from CQE-held QS.  However, the lessee is required by regulations at§ 679.42(c) and § 679.42(h)(5) to be onboard the vessel fishing the IFQ leased from the CQE during harvest and offloading, consistent with the owner onboard objective for the IFQ Program (see the Use Restrictions section of the proposed rule preamble for additional detail).  </w:t>
      </w:r>
    </w:p>
    <w:p w:rsidR="000427D6" w:rsidRDefault="000427D6" w:rsidP="00730765"/>
    <w:p w:rsidR="000427D6" w:rsidRDefault="00730765" w:rsidP="00730765">
      <w:r>
        <w:t xml:space="preserve">The commenter is correct that the Aleutian Islands CQE could lease IFQ to multiple generations of CQE community fishermen.  NMFS notes this is consistent with the CQE Program objective to provide Adak with long-term opportunities to access the halibut and sablefish fisheries, as described in the proposed rule and in section 2.1 of the RIR.  Also see the response to </w:t>
      </w:r>
    </w:p>
    <w:p w:rsidR="00730765" w:rsidRDefault="00730765" w:rsidP="00730765">
      <w:proofErr w:type="gramStart"/>
      <w:r>
        <w:t>comment</w:t>
      </w:r>
      <w:proofErr w:type="gramEnd"/>
      <w:r>
        <w:t xml:space="preserve"> 2.</w:t>
      </w:r>
    </w:p>
    <w:p w:rsidR="00B57326" w:rsidRDefault="00B57326" w:rsidP="00730765"/>
    <w:p w:rsidR="00730765" w:rsidRPr="00FC0B8E" w:rsidRDefault="00730765" w:rsidP="00730765">
      <w:r>
        <w:t xml:space="preserve">The commenter contrasts the Aleutian Islands CQE objective to promote long-term QS holdings by the community entity with regulations at § 679.41(k) that impose a limit on the amount of time a non-CQE QS holder’s beneficiary may hold the QS after the QS holder’s death, if the beneficiary is not otherwise eligible to hold QD under IFQ Program requirements.  The final rule implementing the GOA CQE Program (68 FR 59564, October 16, 2003) and the proposed rule to implement Amendment 102 describe that the Council and NMFS have determined that the CQE Program structure promotes community access to QS to generate participation in, and fishery revenues from, the commercial halibut and sablefish fisheries.  This is consistent with the goals for the IFQ Program (58 FR 59375, November 9, 1993).  NMFS notes that the Council has identified specific objectives for the Aleutian Islands CQE Program and rationale for specific provisions that result in different requirements for CQE and non-CQE participants in the IFQ fisheries (see the proposed rule preamble and section 2.1 of the RIR for additional detail).  NMFS has determined that </w:t>
      </w:r>
      <w:r w:rsidR="003B717E">
        <w:t>the final rule</w:t>
      </w:r>
      <w:r>
        <w:t xml:space="preserve"> meets the Council’s objective to provide the community of Adak with long-term opportunities to access the halibut and sablefish fisheries, is consistent with the goals for the IFQ Program, and is not likely to have significant effects on individual participants in the IFQ fisheries or residents of non-CQE communities.  Also see the response to comment 4.</w:t>
      </w:r>
    </w:p>
    <w:p w:rsidR="00BD5E61" w:rsidRPr="00FC0B8E" w:rsidRDefault="00BD5E61" w:rsidP="00BD5E61"/>
    <w:p w:rsidR="00A94953" w:rsidRDefault="00A94953">
      <w:pPr>
        <w:spacing w:after="200" w:line="276" w:lineRule="auto"/>
        <w:rPr>
          <w:b/>
        </w:rPr>
      </w:pPr>
      <w:r>
        <w:rPr>
          <w:b/>
        </w:rPr>
        <w:br w:type="page"/>
      </w:r>
    </w:p>
    <w:p w:rsidR="00FC0B8E" w:rsidRDefault="00FC0B8E" w:rsidP="00FC0B8E">
      <w:r w:rsidRPr="00FC0B8E">
        <w:rPr>
          <w:b/>
        </w:rPr>
        <w:lastRenderedPageBreak/>
        <w:t>Comment 7</w:t>
      </w:r>
    </w:p>
    <w:p w:rsidR="00FC0B8E" w:rsidRDefault="00FC0B8E" w:rsidP="00FC0B8E">
      <w:r w:rsidRPr="00FC0B8E">
        <w:t xml:space="preserve">Four commenters supported the proposed rule to allow D share IFQ to be fished on category vessels.  The commenters believe that allowing IFQ derived from D share QS to be fished on vessels less than or equal to 60 feet </w:t>
      </w:r>
      <w:r w:rsidR="000427D6">
        <w:t xml:space="preserve">LOA </w:t>
      </w:r>
      <w:r w:rsidRPr="00FC0B8E">
        <w:t>would address the economic hardship and safety concerns resulting from fishing on small vessels in the Aleutian Islands.</w:t>
      </w:r>
    </w:p>
    <w:p w:rsidR="000427D6" w:rsidRDefault="000427D6" w:rsidP="00FC0B8E"/>
    <w:p w:rsidR="000427D6" w:rsidRDefault="000427D6" w:rsidP="000427D6">
      <w:pPr>
        <w:rPr>
          <w:b/>
        </w:rPr>
      </w:pPr>
      <w:r w:rsidRPr="000427D6">
        <w:rPr>
          <w:b/>
        </w:rPr>
        <w:t>Response</w:t>
      </w:r>
    </w:p>
    <w:p w:rsidR="000427D6" w:rsidRPr="00FC0B8E" w:rsidRDefault="000427D6" w:rsidP="000427D6">
      <w:r>
        <w:t>NMFS acknowledges the comment.</w:t>
      </w:r>
    </w:p>
    <w:p w:rsidR="006D6763" w:rsidRDefault="006D6763" w:rsidP="00775D28"/>
    <w:p w:rsidR="00BD7A33" w:rsidRDefault="00BD7A33" w:rsidP="00385A6D">
      <w:r>
        <w:rPr>
          <w:b/>
          <w:bCs/>
        </w:rPr>
        <w:t xml:space="preserve">9.  </w:t>
      </w:r>
      <w:r>
        <w:rPr>
          <w:b/>
          <w:bCs/>
          <w:u w:val="single"/>
        </w:rPr>
        <w:t>Explain any decisions to provide payments or gifts to respondents, other than remuneration of contractors or grantees</w:t>
      </w:r>
      <w:r>
        <w:rPr>
          <w:b/>
          <w:bCs/>
        </w:rPr>
        <w:t>.</w:t>
      </w:r>
    </w:p>
    <w:p w:rsidR="00BD7A33" w:rsidRDefault="00BD7A33" w:rsidP="00BD7A33"/>
    <w:p w:rsidR="00BD7A33" w:rsidRPr="003A2A0C" w:rsidRDefault="00BD7A33" w:rsidP="00BD7A33">
      <w:r w:rsidRPr="003A2A0C">
        <w:t>No payment or gift is provided</w:t>
      </w:r>
      <w:r w:rsidR="000E5A0C">
        <w:t xml:space="preserve"> under this program.</w:t>
      </w:r>
    </w:p>
    <w:p w:rsidR="00BD7A33" w:rsidRDefault="00BD7A33" w:rsidP="00BD7A33"/>
    <w:p w:rsidR="00BD7A33" w:rsidRDefault="00BD7A33" w:rsidP="00BD7A33">
      <w:r>
        <w:rPr>
          <w:b/>
          <w:bCs/>
        </w:rPr>
        <w:t xml:space="preserve">10.  </w:t>
      </w:r>
      <w:r>
        <w:rPr>
          <w:b/>
          <w:bCs/>
          <w:u w:val="single"/>
        </w:rPr>
        <w:t>Describe any assurance of confidentiality provided to respondents and the basis for assurance in statute, regulation, or agency policy</w:t>
      </w:r>
      <w:r>
        <w:rPr>
          <w:b/>
          <w:bCs/>
        </w:rPr>
        <w:t>.</w:t>
      </w:r>
    </w:p>
    <w:p w:rsidR="00BD7A33" w:rsidRDefault="00BD7A33" w:rsidP="00BD7A33"/>
    <w:p w:rsidR="00BD7A33" w:rsidRDefault="00BD7A33" w:rsidP="00BD7A33">
      <w:r>
        <w:rPr>
          <w:lang w:val="en-CA"/>
        </w:rPr>
        <w:fldChar w:fldCharType="begin"/>
      </w:r>
      <w:r>
        <w:rPr>
          <w:lang w:val="en-CA"/>
        </w:rPr>
        <w:instrText xml:space="preserve"> SEQ CHAPTER \h \r 1</w:instrText>
      </w:r>
      <w:r>
        <w:rPr>
          <w:lang w:val="en-CA"/>
        </w:rPr>
        <w:fldChar w:fldCharType="end"/>
      </w:r>
      <w:r w:rsidR="00A94953">
        <w:t>As stated on the forms, t</w:t>
      </w:r>
      <w:r>
        <w:t xml:space="preserve">he information collected is confidential under section 402(b) of the Magnuson-Stevens Act (16 U.S.C. 1801 </w:t>
      </w:r>
      <w:r>
        <w:rPr>
          <w:i/>
          <w:iCs/>
        </w:rPr>
        <w:t>et seq</w:t>
      </w:r>
      <w:r>
        <w:t xml:space="preserve">.); and also under </w:t>
      </w:r>
      <w:hyperlink r:id="rId14" w:history="1">
        <w:r w:rsidRPr="00C918B2">
          <w:rPr>
            <w:rStyle w:val="Hyperlink"/>
          </w:rPr>
          <w:t>NOAA Administrative Order (AO) 216-100</w:t>
        </w:r>
      </w:hyperlink>
      <w:r>
        <w:t>, which sets forth procedures to protect confidentiality of fishery statistics.</w:t>
      </w:r>
    </w:p>
    <w:p w:rsidR="00BD7A33" w:rsidRDefault="00BD7A33" w:rsidP="00BD7A33"/>
    <w:p w:rsidR="000E5A0C" w:rsidRPr="00114B54" w:rsidRDefault="000E5A0C" w:rsidP="000E5A0C">
      <w:r w:rsidRPr="00114B54">
        <w:t>A Privacy Act System of Records Notice</w:t>
      </w:r>
      <w:r>
        <w:t xml:space="preserve"> (SORN)</w:t>
      </w:r>
      <w:r w:rsidRPr="00114B54">
        <w:t xml:space="preserve">, COMMERCE/NOAA System-19, Permits and Registrations for United States Federally Regulated Fisheries, was published in the </w:t>
      </w:r>
      <w:r w:rsidRPr="006A2938">
        <w:rPr>
          <w:u w:val="single"/>
        </w:rPr>
        <w:t xml:space="preserve">Federal Register </w:t>
      </w:r>
      <w:r w:rsidRPr="00114B54">
        <w:t>on April 17, 2008 (73 FR 20914).</w:t>
      </w:r>
      <w:r>
        <w:t xml:space="preserve"> An updated SORN is under DOC review.</w:t>
      </w:r>
    </w:p>
    <w:p w:rsidR="00BD7A33" w:rsidRDefault="00BD7A33" w:rsidP="00BD7A33"/>
    <w:p w:rsidR="00BD7A33" w:rsidRDefault="00BD7A33" w:rsidP="00BD7A33">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BD7A33" w:rsidRDefault="00BD7A33" w:rsidP="00BD7A33"/>
    <w:p w:rsidR="00BD7A33" w:rsidRPr="003A2A0C" w:rsidRDefault="00BD7A33" w:rsidP="00BD7A33">
      <w:r>
        <w:rPr>
          <w:lang w:val="en-CA"/>
        </w:rPr>
        <w:fldChar w:fldCharType="begin"/>
      </w:r>
      <w:r>
        <w:rPr>
          <w:lang w:val="en-CA"/>
        </w:rPr>
        <w:instrText xml:space="preserve"> SEQ CHAPTER \h \r 1</w:instrText>
      </w:r>
      <w:r>
        <w:rPr>
          <w:lang w:val="en-CA"/>
        </w:rPr>
        <w:fldChar w:fldCharType="end"/>
      </w:r>
      <w:r>
        <w:t>This information collection does not involve information of a sensitive nature.</w:t>
      </w:r>
    </w:p>
    <w:p w:rsidR="00BD7A33" w:rsidRDefault="00BD7A33" w:rsidP="00BD7A33">
      <w:pPr>
        <w:rPr>
          <w:b/>
          <w:bCs/>
        </w:rPr>
      </w:pPr>
    </w:p>
    <w:p w:rsidR="00BD7A33" w:rsidRDefault="00BD7A33" w:rsidP="00BD7A33">
      <w:r>
        <w:rPr>
          <w:b/>
          <w:bCs/>
        </w:rPr>
        <w:t xml:space="preserve">12.  </w:t>
      </w:r>
      <w:r>
        <w:rPr>
          <w:b/>
          <w:bCs/>
          <w:u w:val="single"/>
        </w:rPr>
        <w:t>Provide an estimate in hours of the burden of the collection of information</w:t>
      </w:r>
      <w:r>
        <w:rPr>
          <w:b/>
          <w:bCs/>
        </w:rPr>
        <w:t>.</w:t>
      </w:r>
    </w:p>
    <w:p w:rsidR="00BD7A33" w:rsidRDefault="00BD7A33" w:rsidP="00BD7A33"/>
    <w:p w:rsidR="00BD7A33" w:rsidRDefault="00BD7A33" w:rsidP="00BD7A33">
      <w:r>
        <w:t xml:space="preserve">Estimated total respondents:  </w:t>
      </w:r>
      <w:r w:rsidR="00F93DBE">
        <w:t>65</w:t>
      </w:r>
      <w:r>
        <w:t xml:space="preserve">, </w:t>
      </w:r>
      <w:r w:rsidR="00F93DBE">
        <w:t>up</w:t>
      </w:r>
      <w:r>
        <w:t xml:space="preserve"> from </w:t>
      </w:r>
      <w:r w:rsidR="00F93DBE">
        <w:t>64</w:t>
      </w:r>
      <w:r w:rsidR="00C03F96">
        <w:t xml:space="preserve">: </w:t>
      </w:r>
      <w:r w:rsidR="00C03F96">
        <w:rPr>
          <w:rFonts w:ascii="Arial" w:hAnsi="Arial" w:cs="Arial"/>
          <w:color w:val="222222"/>
          <w:sz w:val="20"/>
          <w:szCs w:val="20"/>
          <w:shd w:val="clear" w:color="auto" w:fill="FFFFFF"/>
        </w:rPr>
        <w:t> </w:t>
      </w:r>
      <w:r w:rsidR="00C03F96" w:rsidRPr="00C03F96">
        <w:rPr>
          <w:color w:val="222222"/>
          <w:shd w:val="clear" w:color="auto" w:fill="FFFFFF"/>
        </w:rPr>
        <w:t>32 CQEs, 32 charter halibut permit holders and 1 applicant to become a CQE</w:t>
      </w:r>
      <w:r w:rsidRPr="00C03F96">
        <w:t>.</w:t>
      </w:r>
      <w:r>
        <w:t xml:space="preserve">  Estimated total responses:  </w:t>
      </w:r>
      <w:r w:rsidR="00F93DBE">
        <w:t>2</w:t>
      </w:r>
      <w:r w:rsidR="0058409A">
        <w:t>03</w:t>
      </w:r>
      <w:r>
        <w:t xml:space="preserve">, </w:t>
      </w:r>
      <w:r w:rsidR="00F93DBE">
        <w:t>up f</w:t>
      </w:r>
      <w:r>
        <w:t xml:space="preserve">rom </w:t>
      </w:r>
      <w:r w:rsidR="00F93DBE">
        <w:t>169</w:t>
      </w:r>
      <w:r>
        <w:t xml:space="preserve">.  Estimated total burden:  </w:t>
      </w:r>
      <w:r w:rsidR="00F93DBE">
        <w:t>1</w:t>
      </w:r>
      <w:r w:rsidR="00DC0C02">
        <w:t>,</w:t>
      </w:r>
      <w:r w:rsidR="0058409A">
        <w:t>908</w:t>
      </w:r>
      <w:r>
        <w:t xml:space="preserve">, down from </w:t>
      </w:r>
      <w:r w:rsidR="00F93DBE">
        <w:t>2</w:t>
      </w:r>
      <w:r w:rsidR="00DC0C02">
        <w:t>,</w:t>
      </w:r>
      <w:r w:rsidR="00F93DBE">
        <w:t>724</w:t>
      </w:r>
      <w:r>
        <w:t xml:space="preserve"> hr.  Estimated total </w:t>
      </w:r>
      <w:r w:rsidR="00F93DBE">
        <w:t xml:space="preserve">personnel </w:t>
      </w:r>
      <w:r>
        <w:t>cost:  $</w:t>
      </w:r>
      <w:r w:rsidR="0058409A">
        <w:t>90,486</w:t>
      </w:r>
      <w:r>
        <w:t xml:space="preserve"> down from $</w:t>
      </w:r>
      <w:r w:rsidR="00F93DBE">
        <w:t>243,100</w:t>
      </w:r>
      <w:r>
        <w:t>.</w:t>
      </w:r>
    </w:p>
    <w:p w:rsidR="00BD7A33" w:rsidRDefault="00BD7A33" w:rsidP="00BD7A33"/>
    <w:p w:rsidR="00BD7A33" w:rsidRDefault="00BD7A33" w:rsidP="00BD7A33">
      <w:r>
        <w:rPr>
          <w:b/>
          <w:bCs/>
        </w:rPr>
        <w:t xml:space="preserve">13.  </w:t>
      </w:r>
      <w:r>
        <w:rPr>
          <w:b/>
          <w:bCs/>
          <w:u w:val="single"/>
        </w:rPr>
        <w:t>Provide an estimate of the total annual cost burden to the respondents or record-keepers resulting from the collection (excluding the value of the burden hours in #12 above)</w:t>
      </w:r>
      <w:r>
        <w:rPr>
          <w:b/>
          <w:bCs/>
        </w:rPr>
        <w:t>.</w:t>
      </w:r>
    </w:p>
    <w:p w:rsidR="00BD7A33" w:rsidRDefault="00BD7A33" w:rsidP="00BD7A33"/>
    <w:p w:rsidR="00BD7A33" w:rsidRDefault="00BD7A33" w:rsidP="00BD7A33">
      <w:r>
        <w:t>Estimated total miscellaneous cost:  $</w:t>
      </w:r>
      <w:r w:rsidR="00927FB1">
        <w:t>683</w:t>
      </w:r>
      <w:r>
        <w:t>, up from $</w:t>
      </w:r>
      <w:r w:rsidR="00F93DBE">
        <w:t>538</w:t>
      </w:r>
      <w:r>
        <w:t>.</w:t>
      </w:r>
    </w:p>
    <w:p w:rsidR="00927FB1" w:rsidRDefault="00927FB1" w:rsidP="00BD7A33"/>
    <w:p w:rsidR="00A94953" w:rsidRDefault="00A94953" w:rsidP="00BD7A33">
      <w:pPr>
        <w:rPr>
          <w:b/>
          <w:bCs/>
        </w:rPr>
      </w:pPr>
    </w:p>
    <w:p w:rsidR="00A94953" w:rsidRDefault="00A94953">
      <w:pPr>
        <w:spacing w:after="200" w:line="276" w:lineRule="auto"/>
        <w:rPr>
          <w:b/>
          <w:bCs/>
        </w:rPr>
      </w:pPr>
      <w:r>
        <w:rPr>
          <w:b/>
          <w:bCs/>
        </w:rPr>
        <w:br w:type="page"/>
      </w:r>
    </w:p>
    <w:p w:rsidR="00BD7A33" w:rsidRDefault="00BD7A33" w:rsidP="00BD7A33">
      <w:r>
        <w:rPr>
          <w:b/>
          <w:bCs/>
        </w:rPr>
        <w:lastRenderedPageBreak/>
        <w:t xml:space="preserve">14.  </w:t>
      </w:r>
      <w:r>
        <w:rPr>
          <w:b/>
          <w:bCs/>
          <w:u w:val="single"/>
        </w:rPr>
        <w:t>Provide estimates of annualized cost to the Federal government</w:t>
      </w:r>
      <w:r>
        <w:rPr>
          <w:b/>
          <w:bCs/>
        </w:rPr>
        <w:t>.</w:t>
      </w:r>
    </w:p>
    <w:p w:rsidR="00BD7A33" w:rsidRDefault="00BD7A33" w:rsidP="00BD7A33"/>
    <w:p w:rsidR="00BD7A33" w:rsidRDefault="00BD7A33" w:rsidP="00BD7A33">
      <w:r>
        <w:t xml:space="preserve">Estimated total burden:  </w:t>
      </w:r>
      <w:r w:rsidR="0058409A">
        <w:t>257</w:t>
      </w:r>
      <w:r w:rsidR="00DC0C02">
        <w:t>,</w:t>
      </w:r>
      <w:r>
        <w:t xml:space="preserve"> </w:t>
      </w:r>
      <w:r w:rsidR="00DC0C02">
        <w:t xml:space="preserve">up </w:t>
      </w:r>
      <w:r>
        <w:t xml:space="preserve">from </w:t>
      </w:r>
      <w:r w:rsidR="00DC0C02">
        <w:t>233</w:t>
      </w:r>
      <w:r>
        <w:t xml:space="preserve"> hr.  Estimated total personnel cost:  $</w:t>
      </w:r>
      <w:r w:rsidR="0058409A">
        <w:t>8,453</w:t>
      </w:r>
      <w:r>
        <w:t xml:space="preserve">, </w:t>
      </w:r>
      <w:r w:rsidR="00DC0C02">
        <w:t>up</w:t>
      </w:r>
      <w:r>
        <w:t xml:space="preserve"> from $</w:t>
      </w:r>
      <w:r w:rsidR="00DC0C02">
        <w:t>5,125</w:t>
      </w:r>
      <w:r>
        <w:t xml:space="preserve">.  </w:t>
      </w:r>
    </w:p>
    <w:p w:rsidR="00BD7A33" w:rsidRDefault="00BD7A33" w:rsidP="00BD7A33"/>
    <w:p w:rsidR="00BD7A33" w:rsidRDefault="00BD7A33" w:rsidP="00BD7A33">
      <w:pPr>
        <w:rPr>
          <w:b/>
          <w:bCs/>
        </w:rPr>
      </w:pPr>
      <w:r>
        <w:rPr>
          <w:b/>
          <w:bCs/>
        </w:rPr>
        <w:t xml:space="preserve">15.  </w:t>
      </w:r>
      <w:r>
        <w:rPr>
          <w:b/>
          <w:bCs/>
          <w:u w:val="single"/>
        </w:rPr>
        <w:t>Explain the reasons for any program changes or adjustments</w:t>
      </w:r>
      <w:r>
        <w:rPr>
          <w:b/>
          <w:bCs/>
        </w:rPr>
        <w:t>.</w:t>
      </w:r>
    </w:p>
    <w:p w:rsidR="000E5A0C" w:rsidRDefault="000E5A0C" w:rsidP="00BD7A33">
      <w:pPr>
        <w:rPr>
          <w:b/>
          <w:bCs/>
        </w:rPr>
      </w:pPr>
    </w:p>
    <w:p w:rsidR="000E5A0C" w:rsidRPr="00114B54" w:rsidRDefault="000E5A0C" w:rsidP="000E5A0C">
      <w:r w:rsidRPr="00A07186">
        <w:rPr>
          <w:b/>
        </w:rPr>
        <w:t>Program Change</w:t>
      </w:r>
      <w:r>
        <w:t xml:space="preserve">: </w:t>
      </w:r>
      <w:r w:rsidR="006A2938">
        <w:t xml:space="preserve">A new information collection is </w:t>
      </w:r>
      <w:r w:rsidRPr="00114B54">
        <w:t xml:space="preserve">created by </w:t>
      </w:r>
      <w:r w:rsidR="00573DE8">
        <w:t xml:space="preserve">adding the Aleutian Islands to the CQE Program.  </w:t>
      </w:r>
      <w:r w:rsidRPr="00114B54">
        <w:t xml:space="preserve">Adding </w:t>
      </w:r>
      <w:r w:rsidR="00573DE8">
        <w:t>one</w:t>
      </w:r>
      <w:r w:rsidRPr="00114B54">
        <w:t xml:space="preserve"> new </w:t>
      </w:r>
      <w:r w:rsidR="00DC0C02">
        <w:t>CQE</w:t>
      </w:r>
      <w:r w:rsidRPr="00114B54">
        <w:t xml:space="preserve"> to the CQE Program makes </w:t>
      </w:r>
      <w:r w:rsidR="00DC0C02">
        <w:t>32</w:t>
      </w:r>
      <w:r w:rsidRPr="00114B54">
        <w:t xml:space="preserve"> in total.</w:t>
      </w:r>
      <w:r w:rsidR="0002767D">
        <w:t xml:space="preserve"> </w:t>
      </w:r>
    </w:p>
    <w:p w:rsidR="007B0264" w:rsidRDefault="007B0264" w:rsidP="001765FA">
      <w:pPr>
        <w:tabs>
          <w:tab w:val="left" w:pos="720"/>
        </w:tabs>
      </w:pPr>
    </w:p>
    <w:p w:rsidR="007B0264" w:rsidRDefault="001765FA" w:rsidP="007B0264">
      <w:pPr>
        <w:tabs>
          <w:tab w:val="left" w:pos="720"/>
        </w:tabs>
      </w:pPr>
      <w:r w:rsidRPr="007B0264">
        <w:rPr>
          <w:u w:val="single"/>
        </w:rPr>
        <w:t xml:space="preserve">Application for a Non-profit Corporation to be </w:t>
      </w:r>
      <w:proofErr w:type="gramStart"/>
      <w:r w:rsidRPr="007B0264">
        <w:rPr>
          <w:u w:val="single"/>
        </w:rPr>
        <w:t>Designated</w:t>
      </w:r>
      <w:proofErr w:type="gramEnd"/>
      <w:r w:rsidRPr="007B0264">
        <w:rPr>
          <w:u w:val="single"/>
        </w:rPr>
        <w:t xml:space="preserve"> as a CQE</w:t>
      </w:r>
    </w:p>
    <w:p w:rsidR="008524E9" w:rsidRPr="008524E9" w:rsidRDefault="008524E9" w:rsidP="007B0264">
      <w:pPr>
        <w:tabs>
          <w:tab w:val="left" w:pos="720"/>
        </w:tabs>
      </w:pPr>
      <w:r>
        <w:t>This application is filed only once by the CQE.  Previous CQE</w:t>
      </w:r>
      <w:r w:rsidR="0002767D">
        <w:t xml:space="preserve"> application</w:t>
      </w:r>
      <w:r>
        <w:t>s are not listed.</w:t>
      </w:r>
    </w:p>
    <w:p w:rsidR="007B0264" w:rsidRDefault="007B0264" w:rsidP="007B0264">
      <w:pPr>
        <w:tabs>
          <w:tab w:val="left" w:pos="360"/>
          <w:tab w:val="left" w:pos="720"/>
          <w:tab w:val="left" w:pos="1080"/>
        </w:tabs>
      </w:pPr>
      <w:r>
        <w:tab/>
        <w:t>A decrease of 6 respondents and responses, 1 instead of 7</w:t>
      </w:r>
    </w:p>
    <w:p w:rsidR="007B0264" w:rsidRDefault="007B0264" w:rsidP="007B0264">
      <w:pPr>
        <w:tabs>
          <w:tab w:val="left" w:pos="360"/>
          <w:tab w:val="left" w:pos="720"/>
          <w:tab w:val="left" w:pos="1080"/>
        </w:tabs>
      </w:pPr>
      <w:r>
        <w:tab/>
        <w:t>A decrease of 1,200 hr burden, 200 hr instead of 1,400 hr</w:t>
      </w:r>
    </w:p>
    <w:p w:rsidR="007B0264" w:rsidRDefault="007B0264" w:rsidP="007B0264">
      <w:pPr>
        <w:tabs>
          <w:tab w:val="left" w:pos="360"/>
          <w:tab w:val="left" w:pos="720"/>
          <w:tab w:val="left" w:pos="1080"/>
        </w:tabs>
      </w:pPr>
      <w:r>
        <w:tab/>
        <w:t>A decrease of $18,000 personnel costs, $30,000 instead of $210,000</w:t>
      </w:r>
    </w:p>
    <w:p w:rsidR="007B0264" w:rsidRDefault="007B0264" w:rsidP="007B0264">
      <w:pPr>
        <w:tabs>
          <w:tab w:val="left" w:pos="360"/>
          <w:tab w:val="left" w:pos="720"/>
          <w:tab w:val="left" w:pos="1080"/>
        </w:tabs>
      </w:pPr>
      <w:r>
        <w:tab/>
        <w:t>A</w:t>
      </w:r>
      <w:r w:rsidR="003B405C">
        <w:t xml:space="preserve"> de</w:t>
      </w:r>
      <w:r>
        <w:t>crease of $</w:t>
      </w:r>
      <w:r w:rsidR="003B405C">
        <w:t>48</w:t>
      </w:r>
      <w:r>
        <w:t xml:space="preserve"> miscellaneous costs, $</w:t>
      </w:r>
      <w:r w:rsidR="003B405C">
        <w:t>8</w:t>
      </w:r>
      <w:r>
        <w:t xml:space="preserve"> instead of $</w:t>
      </w:r>
      <w:r w:rsidR="003B405C">
        <w:t>56</w:t>
      </w:r>
    </w:p>
    <w:p w:rsidR="007B0264" w:rsidRDefault="007B0264" w:rsidP="007B0264">
      <w:pPr>
        <w:tabs>
          <w:tab w:val="left" w:pos="360"/>
          <w:tab w:val="left" w:pos="720"/>
          <w:tab w:val="left" w:pos="1080"/>
        </w:tabs>
      </w:pPr>
    </w:p>
    <w:p w:rsidR="00F2300E" w:rsidRDefault="00F2300E" w:rsidP="007B0264">
      <w:pPr>
        <w:tabs>
          <w:tab w:val="left" w:pos="360"/>
          <w:tab w:val="left" w:pos="720"/>
          <w:tab w:val="left" w:pos="1080"/>
        </w:tabs>
        <w:rPr>
          <w:u w:val="single"/>
        </w:rPr>
      </w:pPr>
      <w:r w:rsidRPr="00F2300E">
        <w:rPr>
          <w:u w:val="single"/>
        </w:rPr>
        <w:t>Application to Transfer QS-IFQ to or from a CQE</w:t>
      </w:r>
    </w:p>
    <w:p w:rsidR="00F2300E" w:rsidRDefault="00F2300E" w:rsidP="00F2300E">
      <w:pPr>
        <w:tabs>
          <w:tab w:val="left" w:pos="360"/>
          <w:tab w:val="left" w:pos="720"/>
          <w:tab w:val="left" w:pos="1080"/>
        </w:tabs>
      </w:pPr>
      <w:r>
        <w:tab/>
        <w:t>An increase of 11 respondents, 32 instead of 21</w:t>
      </w:r>
    </w:p>
    <w:p w:rsidR="00F2300E" w:rsidRDefault="00F2300E" w:rsidP="00F2300E">
      <w:pPr>
        <w:tabs>
          <w:tab w:val="left" w:pos="360"/>
          <w:tab w:val="left" w:pos="720"/>
          <w:tab w:val="left" w:pos="1080"/>
        </w:tabs>
      </w:pPr>
      <w:r>
        <w:tab/>
        <w:t>An</w:t>
      </w:r>
      <w:r w:rsidR="00C03F96">
        <w:t xml:space="preserve"> increase of 22 </w:t>
      </w:r>
      <w:r>
        <w:t>responses, 64 instead of 42</w:t>
      </w:r>
    </w:p>
    <w:p w:rsidR="00F2300E" w:rsidRDefault="00F2300E" w:rsidP="00F2300E">
      <w:pPr>
        <w:tabs>
          <w:tab w:val="left" w:pos="360"/>
          <w:tab w:val="left" w:pos="720"/>
          <w:tab w:val="left" w:pos="1080"/>
        </w:tabs>
      </w:pPr>
      <w:r>
        <w:tab/>
        <w:t>A</w:t>
      </w:r>
      <w:r w:rsidR="007B2CB0">
        <w:t>n in</w:t>
      </w:r>
      <w:r>
        <w:t xml:space="preserve">crease of </w:t>
      </w:r>
      <w:r w:rsidR="007B2CB0">
        <w:t>44</w:t>
      </w:r>
      <w:r>
        <w:t xml:space="preserve"> hr burden, </w:t>
      </w:r>
      <w:r w:rsidR="007B2CB0">
        <w:t>128</w:t>
      </w:r>
      <w:r>
        <w:t xml:space="preserve"> hr instead of </w:t>
      </w:r>
      <w:r w:rsidR="007B2CB0">
        <w:t>84</w:t>
      </w:r>
      <w:r>
        <w:t xml:space="preserve"> hr</w:t>
      </w:r>
    </w:p>
    <w:p w:rsidR="00F2300E" w:rsidRDefault="00F2300E" w:rsidP="00F2300E">
      <w:pPr>
        <w:tabs>
          <w:tab w:val="left" w:pos="360"/>
          <w:tab w:val="left" w:pos="720"/>
          <w:tab w:val="left" w:pos="1080"/>
        </w:tabs>
      </w:pPr>
      <w:r>
        <w:tab/>
        <w:t>A</w:t>
      </w:r>
      <w:r w:rsidR="007B2CB0">
        <w:t>n in</w:t>
      </w:r>
      <w:r>
        <w:t>crease of $</w:t>
      </w:r>
      <w:r w:rsidR="007B2CB0">
        <w:t>2,636</w:t>
      </w:r>
      <w:r>
        <w:t xml:space="preserve"> personnel costs, $</w:t>
      </w:r>
      <w:r w:rsidR="007B2CB0">
        <w:t>4,736</w:t>
      </w:r>
      <w:r>
        <w:t xml:space="preserve"> instead of $2</w:t>
      </w:r>
      <w:r w:rsidR="007B2CB0">
        <w:t>,</w:t>
      </w:r>
      <w:r>
        <w:t>100</w:t>
      </w:r>
    </w:p>
    <w:p w:rsidR="00F2300E" w:rsidRDefault="00F2300E" w:rsidP="00F2300E">
      <w:pPr>
        <w:tabs>
          <w:tab w:val="left" w:pos="360"/>
          <w:tab w:val="left" w:pos="720"/>
          <w:tab w:val="left" w:pos="1080"/>
        </w:tabs>
      </w:pPr>
      <w:r>
        <w:tab/>
        <w:t>A</w:t>
      </w:r>
      <w:r w:rsidR="007B2CB0">
        <w:t>n in</w:t>
      </w:r>
      <w:r>
        <w:t>crease of $</w:t>
      </w:r>
      <w:r w:rsidR="007B2CB0">
        <w:t>147</w:t>
      </w:r>
      <w:r>
        <w:t xml:space="preserve"> miscellaneous costs, $</w:t>
      </w:r>
      <w:r w:rsidR="007B2CB0">
        <w:t>3</w:t>
      </w:r>
      <w:r>
        <w:t>8</w:t>
      </w:r>
      <w:r w:rsidR="007B2CB0">
        <w:t>4</w:t>
      </w:r>
      <w:r>
        <w:t xml:space="preserve"> instead of $</w:t>
      </w:r>
      <w:r w:rsidR="007B2CB0">
        <w:t>237</w:t>
      </w:r>
    </w:p>
    <w:p w:rsidR="00F2300E" w:rsidRDefault="00F2300E" w:rsidP="00F2300E">
      <w:pPr>
        <w:tabs>
          <w:tab w:val="left" w:pos="360"/>
          <w:tab w:val="left" w:pos="720"/>
          <w:tab w:val="left" w:pos="1080"/>
        </w:tabs>
      </w:pPr>
    </w:p>
    <w:p w:rsidR="003605E3" w:rsidRPr="008524E9" w:rsidRDefault="003605E3" w:rsidP="007B0264">
      <w:pPr>
        <w:tabs>
          <w:tab w:val="left" w:pos="720"/>
        </w:tabs>
        <w:rPr>
          <w:b/>
          <w:u w:val="single"/>
        </w:rPr>
      </w:pPr>
      <w:r w:rsidRPr="00F04263">
        <w:rPr>
          <w:u w:val="single"/>
        </w:rPr>
        <w:t>Appl</w:t>
      </w:r>
      <w:r w:rsidR="00F04263" w:rsidRPr="00F04263">
        <w:rPr>
          <w:u w:val="single"/>
        </w:rPr>
        <w:t xml:space="preserve">ication for a </w:t>
      </w:r>
      <w:r w:rsidRPr="00F04263">
        <w:rPr>
          <w:u w:val="single"/>
        </w:rPr>
        <w:t xml:space="preserve">CQE to transfer IFQ to </w:t>
      </w:r>
      <w:r w:rsidR="008524E9">
        <w:rPr>
          <w:u w:val="single"/>
        </w:rPr>
        <w:t xml:space="preserve">an eligible </w:t>
      </w:r>
      <w:r w:rsidRPr="00F04263">
        <w:rPr>
          <w:u w:val="single"/>
        </w:rPr>
        <w:t>c</w:t>
      </w:r>
      <w:r w:rsidR="00F04263" w:rsidRPr="00F04263">
        <w:rPr>
          <w:u w:val="single"/>
        </w:rPr>
        <w:t>ommunity</w:t>
      </w:r>
      <w:r w:rsidRPr="00F04263">
        <w:rPr>
          <w:u w:val="single"/>
        </w:rPr>
        <w:t xml:space="preserve"> resident</w:t>
      </w:r>
      <w:r w:rsidR="00F04263" w:rsidRPr="00F04263">
        <w:rPr>
          <w:u w:val="single"/>
        </w:rPr>
        <w:t xml:space="preserve"> or non-resident</w:t>
      </w:r>
      <w:r w:rsidR="008524E9" w:rsidRPr="008524E9">
        <w:t xml:space="preserve"> </w:t>
      </w:r>
      <w:r w:rsidR="008524E9" w:rsidRPr="008524E9">
        <w:rPr>
          <w:b/>
        </w:rPr>
        <w:t>(NEW)</w:t>
      </w:r>
    </w:p>
    <w:p w:rsidR="00F2300E" w:rsidRDefault="00F2300E" w:rsidP="00F2300E">
      <w:pPr>
        <w:tabs>
          <w:tab w:val="left" w:pos="360"/>
          <w:tab w:val="left" w:pos="720"/>
          <w:tab w:val="left" w:pos="1080"/>
        </w:tabs>
      </w:pPr>
      <w:r>
        <w:tab/>
        <w:t>A</w:t>
      </w:r>
      <w:r w:rsidR="00813A87">
        <w:t>n in</w:t>
      </w:r>
      <w:r>
        <w:t xml:space="preserve">crease of </w:t>
      </w:r>
      <w:r w:rsidR="00813A87">
        <w:t>10</w:t>
      </w:r>
      <w:r>
        <w:t xml:space="preserve"> respondents and responses, 1</w:t>
      </w:r>
      <w:r w:rsidR="00813A87">
        <w:t>0</w:t>
      </w:r>
      <w:r>
        <w:t xml:space="preserve"> instead of </w:t>
      </w:r>
      <w:r w:rsidR="00813A87">
        <w:t>0</w:t>
      </w:r>
    </w:p>
    <w:p w:rsidR="00F2300E" w:rsidRDefault="00F2300E" w:rsidP="00F2300E">
      <w:pPr>
        <w:tabs>
          <w:tab w:val="left" w:pos="360"/>
          <w:tab w:val="left" w:pos="720"/>
          <w:tab w:val="left" w:pos="1080"/>
        </w:tabs>
      </w:pPr>
      <w:r>
        <w:tab/>
        <w:t>A</w:t>
      </w:r>
      <w:r w:rsidR="00813A87">
        <w:t>n in</w:t>
      </w:r>
      <w:r>
        <w:t>crease of 20 hr burden, 20 hr instead of 0 hr</w:t>
      </w:r>
    </w:p>
    <w:p w:rsidR="00F2300E" w:rsidRDefault="00F2300E" w:rsidP="00F2300E">
      <w:pPr>
        <w:tabs>
          <w:tab w:val="left" w:pos="360"/>
          <w:tab w:val="left" w:pos="720"/>
          <w:tab w:val="left" w:pos="1080"/>
        </w:tabs>
      </w:pPr>
      <w:r>
        <w:tab/>
        <w:t>A</w:t>
      </w:r>
      <w:r w:rsidR="00813A87">
        <w:t>n in</w:t>
      </w:r>
      <w:r>
        <w:t>crease of $</w:t>
      </w:r>
      <w:r w:rsidR="00813A87">
        <w:t>740</w:t>
      </w:r>
      <w:r>
        <w:t xml:space="preserve"> personnel costs, $</w:t>
      </w:r>
      <w:r w:rsidR="00813A87">
        <w:t>740</w:t>
      </w:r>
      <w:r>
        <w:t xml:space="preserve"> instead of $0</w:t>
      </w:r>
    </w:p>
    <w:p w:rsidR="00F2300E" w:rsidRDefault="00F2300E" w:rsidP="00F2300E">
      <w:pPr>
        <w:tabs>
          <w:tab w:val="left" w:pos="360"/>
          <w:tab w:val="left" w:pos="720"/>
          <w:tab w:val="left" w:pos="1080"/>
        </w:tabs>
      </w:pPr>
      <w:r>
        <w:tab/>
        <w:t>A</w:t>
      </w:r>
      <w:r w:rsidR="00813A87">
        <w:t>n in</w:t>
      </w:r>
      <w:r>
        <w:t>crease of $</w:t>
      </w:r>
      <w:r w:rsidR="00813A87">
        <w:t>6</w:t>
      </w:r>
      <w:r>
        <w:t xml:space="preserve"> miscellaneous costs, $</w:t>
      </w:r>
      <w:r w:rsidR="00813A87">
        <w:t>6</w:t>
      </w:r>
      <w:r>
        <w:t xml:space="preserve"> instead of $</w:t>
      </w:r>
      <w:r w:rsidR="00813A87">
        <w:t>0</w:t>
      </w:r>
    </w:p>
    <w:p w:rsidR="00F2300E" w:rsidRDefault="00F2300E" w:rsidP="00F2300E">
      <w:pPr>
        <w:tabs>
          <w:tab w:val="left" w:pos="360"/>
          <w:tab w:val="left" w:pos="720"/>
          <w:tab w:val="left" w:pos="1080"/>
        </w:tabs>
      </w:pPr>
    </w:p>
    <w:p w:rsidR="001765FA" w:rsidRPr="00F04263" w:rsidRDefault="001765FA" w:rsidP="003605E3">
      <w:pPr>
        <w:tabs>
          <w:tab w:val="left" w:pos="720"/>
        </w:tabs>
        <w:rPr>
          <w:u w:val="single"/>
        </w:rPr>
      </w:pPr>
      <w:r w:rsidRPr="00F04263">
        <w:rPr>
          <w:u w:val="single"/>
        </w:rPr>
        <w:t>CQE Annual Report</w:t>
      </w:r>
    </w:p>
    <w:p w:rsidR="00F2300E" w:rsidRDefault="00F2300E" w:rsidP="00F2300E">
      <w:pPr>
        <w:tabs>
          <w:tab w:val="left" w:pos="360"/>
          <w:tab w:val="left" w:pos="720"/>
          <w:tab w:val="left" w:pos="1080"/>
        </w:tabs>
      </w:pPr>
      <w:r>
        <w:tab/>
        <w:t>A</w:t>
      </w:r>
      <w:r w:rsidR="00813A87">
        <w:t>n in</w:t>
      </w:r>
      <w:r>
        <w:t xml:space="preserve">crease of </w:t>
      </w:r>
      <w:r w:rsidR="0002767D">
        <w:t>1 respondent and response</w:t>
      </w:r>
      <w:r>
        <w:t xml:space="preserve">, </w:t>
      </w:r>
      <w:r w:rsidR="00813A87">
        <w:t>32</w:t>
      </w:r>
      <w:r>
        <w:t xml:space="preserve"> instead of </w:t>
      </w:r>
      <w:r w:rsidR="0002767D">
        <w:t>31</w:t>
      </w:r>
    </w:p>
    <w:p w:rsidR="00F2300E" w:rsidRDefault="00F2300E" w:rsidP="00F2300E">
      <w:pPr>
        <w:tabs>
          <w:tab w:val="left" w:pos="360"/>
          <w:tab w:val="left" w:pos="720"/>
          <w:tab w:val="left" w:pos="1080"/>
        </w:tabs>
      </w:pPr>
      <w:r>
        <w:tab/>
        <w:t>A</w:t>
      </w:r>
      <w:r w:rsidR="00813A87">
        <w:t>n in</w:t>
      </w:r>
      <w:r>
        <w:t xml:space="preserve">crease of </w:t>
      </w:r>
      <w:r w:rsidR="0002767D">
        <w:t>4</w:t>
      </w:r>
      <w:r w:rsidR="00813A87">
        <w:t>0</w:t>
      </w:r>
      <w:r>
        <w:t xml:space="preserve"> hr burden, </w:t>
      </w:r>
      <w:r w:rsidR="00813A87">
        <w:t>1,280</w:t>
      </w:r>
      <w:r>
        <w:t xml:space="preserve"> hr instead of </w:t>
      </w:r>
      <w:r w:rsidR="0002767D">
        <w:t xml:space="preserve">1,240 </w:t>
      </w:r>
      <w:r>
        <w:t>hr</w:t>
      </w:r>
    </w:p>
    <w:p w:rsidR="00F2300E" w:rsidRDefault="00F2300E" w:rsidP="00F2300E">
      <w:pPr>
        <w:tabs>
          <w:tab w:val="left" w:pos="360"/>
          <w:tab w:val="left" w:pos="720"/>
          <w:tab w:val="left" w:pos="1080"/>
        </w:tabs>
      </w:pPr>
      <w:r>
        <w:tab/>
        <w:t>A</w:t>
      </w:r>
      <w:r w:rsidR="002644F7">
        <w:t>n in</w:t>
      </w:r>
      <w:r>
        <w:t>crease of $</w:t>
      </w:r>
      <w:r w:rsidR="0002767D">
        <w:t>1,480</w:t>
      </w:r>
      <w:r>
        <w:t xml:space="preserve"> personnel costs, $</w:t>
      </w:r>
      <w:r w:rsidR="002644F7">
        <w:t>47,360</w:t>
      </w:r>
      <w:r>
        <w:t xml:space="preserve"> instead of $</w:t>
      </w:r>
      <w:r w:rsidR="0002767D">
        <w:t>45,880</w:t>
      </w:r>
    </w:p>
    <w:p w:rsidR="00F2300E" w:rsidRDefault="00F2300E" w:rsidP="00F2300E">
      <w:pPr>
        <w:tabs>
          <w:tab w:val="left" w:pos="360"/>
          <w:tab w:val="left" w:pos="720"/>
          <w:tab w:val="left" w:pos="1080"/>
        </w:tabs>
      </w:pPr>
      <w:r>
        <w:tab/>
        <w:t>A</w:t>
      </w:r>
      <w:r w:rsidR="002644F7">
        <w:t>n in</w:t>
      </w:r>
      <w:r>
        <w:t>crease of $</w:t>
      </w:r>
      <w:r w:rsidR="0002767D">
        <w:t>3</w:t>
      </w:r>
      <w:r>
        <w:t xml:space="preserve"> miscellaneous costs, $</w:t>
      </w:r>
      <w:r w:rsidR="002644F7">
        <w:t>102</w:t>
      </w:r>
      <w:r>
        <w:t xml:space="preserve"> instead of $</w:t>
      </w:r>
      <w:r w:rsidR="0002767D">
        <w:t>99</w:t>
      </w:r>
    </w:p>
    <w:p w:rsidR="0002767D" w:rsidRDefault="0002767D" w:rsidP="00F2300E">
      <w:pPr>
        <w:tabs>
          <w:tab w:val="left" w:pos="360"/>
          <w:tab w:val="left" w:pos="720"/>
          <w:tab w:val="left" w:pos="1080"/>
        </w:tabs>
      </w:pPr>
    </w:p>
    <w:p w:rsidR="00567A3E" w:rsidRDefault="0002767D" w:rsidP="00F2300E">
      <w:pPr>
        <w:tabs>
          <w:tab w:val="left" w:pos="360"/>
          <w:tab w:val="left" w:pos="720"/>
          <w:tab w:val="left" w:pos="1080"/>
        </w:tabs>
        <w:rPr>
          <w:b/>
        </w:rPr>
      </w:pPr>
      <w:r w:rsidRPr="00CC1B7D">
        <w:rPr>
          <w:b/>
        </w:rPr>
        <w:t>Adjustment</w:t>
      </w:r>
      <w:r w:rsidR="00567A3E">
        <w:rPr>
          <w:b/>
        </w:rPr>
        <w:t>s</w:t>
      </w:r>
      <w:r w:rsidR="00CC1B7D">
        <w:rPr>
          <w:b/>
        </w:rPr>
        <w:t xml:space="preserve"> </w:t>
      </w:r>
    </w:p>
    <w:p w:rsidR="00567A3E" w:rsidRDefault="00567A3E" w:rsidP="00F2300E">
      <w:pPr>
        <w:tabs>
          <w:tab w:val="left" w:pos="360"/>
          <w:tab w:val="left" w:pos="720"/>
          <w:tab w:val="left" w:pos="1080"/>
        </w:tabs>
        <w:rPr>
          <w:b/>
        </w:rPr>
      </w:pPr>
    </w:p>
    <w:p w:rsidR="0002767D" w:rsidRDefault="00CC1B7D" w:rsidP="00F2300E">
      <w:pPr>
        <w:tabs>
          <w:tab w:val="left" w:pos="360"/>
          <w:tab w:val="left" w:pos="720"/>
          <w:tab w:val="left" w:pos="1080"/>
        </w:tabs>
        <w:rPr>
          <w:b/>
        </w:rPr>
      </w:pPr>
      <w:r>
        <w:rPr>
          <w:b/>
        </w:rPr>
        <w:t>(</w:t>
      </w:r>
      <w:proofErr w:type="gramStart"/>
      <w:r>
        <w:rPr>
          <w:b/>
        </w:rPr>
        <w:t>correction</w:t>
      </w:r>
      <w:proofErr w:type="gramEnd"/>
      <w:r>
        <w:rPr>
          <w:b/>
        </w:rPr>
        <w:t xml:space="preserve"> to a previously erroneous low count of annual reports)</w:t>
      </w:r>
    </w:p>
    <w:p w:rsidR="00CC1B7D" w:rsidRDefault="00CC1B7D" w:rsidP="00F2300E">
      <w:pPr>
        <w:tabs>
          <w:tab w:val="left" w:pos="360"/>
          <w:tab w:val="left" w:pos="720"/>
          <w:tab w:val="left" w:pos="1080"/>
        </w:tabs>
        <w:rPr>
          <w:u w:val="single"/>
        </w:rPr>
      </w:pPr>
      <w:r w:rsidRPr="00CC1B7D">
        <w:rPr>
          <w:u w:val="single"/>
        </w:rPr>
        <w:t>CQE Annual Report</w:t>
      </w:r>
    </w:p>
    <w:p w:rsidR="00CC1B7D" w:rsidRDefault="00CC1B7D" w:rsidP="00F2300E">
      <w:pPr>
        <w:tabs>
          <w:tab w:val="left" w:pos="360"/>
          <w:tab w:val="left" w:pos="720"/>
          <w:tab w:val="left" w:pos="1080"/>
        </w:tabs>
      </w:pPr>
      <w:r>
        <w:tab/>
        <w:t>An increase of 7 respondents and responses, 31 instead of 24</w:t>
      </w:r>
    </w:p>
    <w:p w:rsidR="00CC1B7D" w:rsidRDefault="00CC1B7D" w:rsidP="00F2300E">
      <w:pPr>
        <w:tabs>
          <w:tab w:val="left" w:pos="360"/>
          <w:tab w:val="left" w:pos="720"/>
          <w:tab w:val="left" w:pos="1080"/>
        </w:tabs>
      </w:pPr>
      <w:r>
        <w:tab/>
      </w:r>
      <w:proofErr w:type="gramStart"/>
      <w:r>
        <w:t>An increase of 280 hours, 1,240 instead of 960.</w:t>
      </w:r>
      <w:proofErr w:type="gramEnd"/>
    </w:p>
    <w:p w:rsidR="00CC1B7D" w:rsidRDefault="00CC1B7D" w:rsidP="00F2300E">
      <w:pPr>
        <w:tabs>
          <w:tab w:val="left" w:pos="360"/>
          <w:tab w:val="left" w:pos="720"/>
          <w:tab w:val="left" w:pos="1080"/>
        </w:tabs>
      </w:pPr>
      <w:r>
        <w:tab/>
        <w:t>An increase of $10,360 personnel costs, $45,880 instead of $35,520</w:t>
      </w:r>
    </w:p>
    <w:p w:rsidR="00CC1B7D" w:rsidRDefault="00CC1B7D" w:rsidP="00F2300E">
      <w:pPr>
        <w:tabs>
          <w:tab w:val="left" w:pos="360"/>
          <w:tab w:val="left" w:pos="720"/>
          <w:tab w:val="left" w:pos="1080"/>
        </w:tabs>
      </w:pPr>
      <w:r>
        <w:tab/>
      </w:r>
      <w:proofErr w:type="gramStart"/>
      <w:r>
        <w:t>An increase of $</w:t>
      </w:r>
      <w:r w:rsidR="00E82788">
        <w:t>76</w:t>
      </w:r>
      <w:r>
        <w:t xml:space="preserve"> miscellaneous costs, $99 instead of </w:t>
      </w:r>
      <w:r w:rsidR="00E82788">
        <w:t>23</w:t>
      </w:r>
      <w:r>
        <w:t>.</w:t>
      </w:r>
      <w:proofErr w:type="gramEnd"/>
    </w:p>
    <w:p w:rsidR="00567A3E" w:rsidRDefault="00567A3E" w:rsidP="00F2300E">
      <w:pPr>
        <w:tabs>
          <w:tab w:val="left" w:pos="360"/>
          <w:tab w:val="left" w:pos="720"/>
          <w:tab w:val="left" w:pos="1080"/>
        </w:tabs>
      </w:pPr>
    </w:p>
    <w:p w:rsidR="00567A3E" w:rsidRDefault="00567A3E" w:rsidP="00F2300E">
      <w:pPr>
        <w:tabs>
          <w:tab w:val="left" w:pos="360"/>
          <w:tab w:val="left" w:pos="720"/>
          <w:tab w:val="left" w:pos="1080"/>
        </w:tabs>
      </w:pPr>
      <w:r>
        <w:t>Application for a Community Charter Halibut Permit</w:t>
      </w:r>
    </w:p>
    <w:p w:rsidR="00567A3E" w:rsidRPr="00CC1B7D" w:rsidRDefault="00567A3E" w:rsidP="00F2300E">
      <w:pPr>
        <w:tabs>
          <w:tab w:val="left" w:pos="360"/>
          <w:tab w:val="left" w:pos="720"/>
          <w:tab w:val="left" w:pos="1080"/>
        </w:tabs>
      </w:pPr>
      <w:r>
        <w:tab/>
      </w:r>
      <w:proofErr w:type="gramStart"/>
      <w:r>
        <w:t>A decrease in costs of $89, $21 instead of $110.</w:t>
      </w:r>
      <w:proofErr w:type="gramEnd"/>
    </w:p>
    <w:p w:rsidR="00F2300E" w:rsidRDefault="00F2300E" w:rsidP="00F2300E">
      <w:pPr>
        <w:tabs>
          <w:tab w:val="left" w:pos="360"/>
          <w:tab w:val="left" w:pos="720"/>
          <w:tab w:val="left" w:pos="1080"/>
        </w:tabs>
      </w:pPr>
    </w:p>
    <w:p w:rsidR="00BD7A33" w:rsidRDefault="00BD7A33" w:rsidP="00BD7A33">
      <w:r>
        <w:rPr>
          <w:b/>
          <w:bCs/>
        </w:rPr>
        <w:t xml:space="preserve">16.  </w:t>
      </w:r>
      <w:r>
        <w:rPr>
          <w:b/>
          <w:bCs/>
          <w:u w:val="single"/>
        </w:rPr>
        <w:t>For collections whose results will be published, outline the plans for tabulation and publication</w:t>
      </w:r>
      <w:r>
        <w:rPr>
          <w:b/>
          <w:bCs/>
        </w:rPr>
        <w:t>.</w:t>
      </w:r>
    </w:p>
    <w:p w:rsidR="00BD7A33" w:rsidRDefault="00BD7A33" w:rsidP="00633A0E">
      <w:pPr>
        <w:tabs>
          <w:tab w:val="left" w:pos="720"/>
        </w:tabs>
      </w:pPr>
    </w:p>
    <w:p w:rsidR="00573DE8" w:rsidRPr="00114B54" w:rsidRDefault="00573DE8" w:rsidP="00573DE8">
      <w:r w:rsidRPr="00114B54">
        <w:t xml:space="preserve">NMFS Alaska Region posts LLP license information on the web at </w:t>
      </w:r>
      <w:hyperlink r:id="rId15" w:anchor="list" w:history="1">
        <w:r w:rsidRPr="00810050">
          <w:rPr>
            <w:rStyle w:val="Hyperlink"/>
            <w:color w:val="auto"/>
          </w:rPr>
          <w:t>http://alaskafisheries.noaa.gov/ram/llp.htm#list</w:t>
        </w:r>
      </w:hyperlink>
      <w:r w:rsidRPr="00114B54">
        <w:t>.  The lists contain LLP groundfish and crab licenses issued as of the indicated preparation date.  Data are sorted alphabetically and are updated daily. Under current regulations, vessels must be designated on the licenses and the identities of original qualifying vessels are provided for reference only.</w:t>
      </w:r>
    </w:p>
    <w:p w:rsidR="00BD7A33" w:rsidRDefault="00BD7A33" w:rsidP="00633A0E">
      <w:pPr>
        <w:tabs>
          <w:tab w:val="left" w:pos="720"/>
        </w:tabs>
      </w:pPr>
    </w:p>
    <w:p w:rsidR="00BD7A33" w:rsidRDefault="00BD7A33" w:rsidP="00BD7A33">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BD7A33" w:rsidRDefault="00BD7A33" w:rsidP="00BD7A33"/>
    <w:p w:rsidR="000B75E8" w:rsidRDefault="00EB7A79" w:rsidP="00BD7A33">
      <w:r>
        <w:t>Not A</w:t>
      </w:r>
      <w:r w:rsidR="000B75E8">
        <w:t>pplicable.</w:t>
      </w:r>
    </w:p>
    <w:p w:rsidR="006A2938" w:rsidRDefault="00BD7A33" w:rsidP="006A2938">
      <w:pPr>
        <w:rPr>
          <w:b/>
          <w:bCs/>
        </w:rPr>
      </w:pPr>
      <w:r>
        <w:rPr>
          <w:b/>
          <w:bCs/>
        </w:rPr>
        <w:t xml:space="preserve">18.  </w:t>
      </w:r>
      <w:r>
        <w:rPr>
          <w:b/>
          <w:bCs/>
          <w:u w:val="single"/>
        </w:rPr>
        <w:t>Explain each exception to the certification statement</w:t>
      </w:r>
      <w:r w:rsidR="006A2938">
        <w:rPr>
          <w:b/>
          <w:bCs/>
          <w:u w:val="single"/>
        </w:rPr>
        <w:t>.</w:t>
      </w:r>
    </w:p>
    <w:p w:rsidR="00BD7A33" w:rsidRDefault="00BD7A33" w:rsidP="00BD7A33"/>
    <w:p w:rsidR="00EB7A79" w:rsidRDefault="00EB7A79" w:rsidP="00EB7A79">
      <w:r>
        <w:t>Not Applicable.</w:t>
      </w:r>
    </w:p>
    <w:p w:rsidR="000B75E8" w:rsidRDefault="000B75E8" w:rsidP="00BD7A33">
      <w:pPr>
        <w:rPr>
          <w:rFonts w:ascii="TimesNewRoman" w:hAnsi="TimesNewRoman" w:cs="TimesNewRoman"/>
        </w:rPr>
      </w:pPr>
    </w:p>
    <w:p w:rsidR="002644F7" w:rsidRPr="00927FB1" w:rsidRDefault="002644F7" w:rsidP="00BD7A33">
      <w:pPr>
        <w:rPr>
          <w:bCs/>
        </w:rPr>
      </w:pPr>
    </w:p>
    <w:p w:rsidR="00BD7A33" w:rsidRDefault="00BD7A33" w:rsidP="00BD7A33">
      <w:r>
        <w:rPr>
          <w:b/>
          <w:bCs/>
        </w:rPr>
        <w:t>B.  COLLECTIONS OF INFORMATION EMPLOYING STATISTICAL METHODS</w:t>
      </w:r>
    </w:p>
    <w:p w:rsidR="00BD7A33" w:rsidRDefault="00BD7A33" w:rsidP="00BD7A33"/>
    <w:p w:rsidR="00BD7A33" w:rsidRPr="00B2353E" w:rsidRDefault="00BD7A33" w:rsidP="00BD7A33">
      <w:r w:rsidRPr="00B2353E">
        <w:t>This collection does not employ statistical methods.</w:t>
      </w:r>
    </w:p>
    <w:p w:rsidR="00BD7A33" w:rsidRDefault="00BD7A33" w:rsidP="00BD7A33">
      <w:bookmarkStart w:id="0" w:name="_GoBack"/>
      <w:bookmarkEnd w:id="0"/>
    </w:p>
    <w:sectPr w:rsidR="00BD7A33" w:rsidSect="00582464">
      <w:footerReference w:type="default" r:id="rId16"/>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DF7" w:rsidRDefault="00477DF7" w:rsidP="00FA4312">
      <w:r>
        <w:separator/>
      </w:r>
    </w:p>
  </w:endnote>
  <w:endnote w:type="continuationSeparator" w:id="0">
    <w:p w:rsidR="00477DF7" w:rsidRDefault="00477DF7" w:rsidP="00FA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011294"/>
      <w:docPartObj>
        <w:docPartGallery w:val="Page Numbers (Bottom of Page)"/>
        <w:docPartUnique/>
      </w:docPartObj>
    </w:sdtPr>
    <w:sdtEndPr>
      <w:rPr>
        <w:noProof/>
      </w:rPr>
    </w:sdtEndPr>
    <w:sdtContent>
      <w:p w:rsidR="00EB4012" w:rsidRDefault="00EB4012">
        <w:pPr>
          <w:pStyle w:val="Footer"/>
          <w:jc w:val="center"/>
        </w:pPr>
        <w:r>
          <w:fldChar w:fldCharType="begin"/>
        </w:r>
        <w:r>
          <w:instrText xml:space="preserve"> PAGE   \* MERGEFORMAT </w:instrText>
        </w:r>
        <w:r>
          <w:fldChar w:fldCharType="separate"/>
        </w:r>
        <w:r w:rsidR="00A94953">
          <w:rPr>
            <w:noProof/>
          </w:rPr>
          <w:t>33</w:t>
        </w:r>
        <w:r>
          <w:rPr>
            <w:noProof/>
          </w:rPr>
          <w:fldChar w:fldCharType="end"/>
        </w:r>
      </w:p>
    </w:sdtContent>
  </w:sdt>
  <w:p w:rsidR="00EB4012" w:rsidRDefault="00EB4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DF7" w:rsidRDefault="00477DF7" w:rsidP="00FA4312">
      <w:r>
        <w:separator/>
      </w:r>
    </w:p>
  </w:footnote>
  <w:footnote w:type="continuationSeparator" w:id="0">
    <w:p w:rsidR="00477DF7" w:rsidRDefault="00477DF7" w:rsidP="00FA4312">
      <w:r>
        <w:continuationSeparator/>
      </w:r>
    </w:p>
  </w:footnote>
  <w:footnote w:id="1">
    <w:p w:rsidR="00EB4012" w:rsidRDefault="00EB4012">
      <w:pPr>
        <w:pStyle w:val="FootnoteText"/>
      </w:pPr>
      <w:r>
        <w:rPr>
          <w:rStyle w:val="FootnoteReference"/>
        </w:rPr>
        <w:footnoteRef/>
      </w:r>
      <w:r>
        <w:t xml:space="preserve"> N</w:t>
      </w:r>
      <w:r w:rsidRPr="00657B20">
        <w:t xml:space="preserve">early all small, remote, coastal communities located in the BSAI participate in the </w:t>
      </w:r>
      <w:r>
        <w:t>CDQ Program</w:t>
      </w:r>
      <w:r w:rsidRPr="00657B20">
        <w:t xml:space="preserve"> that is authorized under section 305(</w:t>
      </w:r>
      <w:proofErr w:type="spellStart"/>
      <w:r w:rsidRPr="00657B20">
        <w:t>i</w:t>
      </w:r>
      <w:proofErr w:type="spellEnd"/>
      <w:r w:rsidRPr="00657B20">
        <w:t xml:space="preserve">) of the Magnuson-Stevens Act.  The CDQ Program allocates a percentage of all BSAI quotas for groundfish, prohibited species, halibut and crab to CDQ groups that represent 65 coastal communities throughout the BSAI.  This allocation allows the distribution of </w:t>
      </w:r>
      <w:r>
        <w:t xml:space="preserve">allocation </w:t>
      </w:r>
      <w:r w:rsidRPr="00657B20">
        <w:t xml:space="preserve">benefits to be shared among the residents of the CDQ Program communities.  In contrast, the CQE Program requires communities to purchase halibut and sablefish QS for use by community residents.  </w:t>
      </w:r>
      <w:r>
        <w:t xml:space="preserve">When </w:t>
      </w:r>
      <w:r w:rsidRPr="00657B20">
        <w:t>the CQE Program for the GOA</w:t>
      </w:r>
      <w:r>
        <w:t xml:space="preserve"> was developed</w:t>
      </w:r>
      <w:r w:rsidRPr="00657B20">
        <w:t xml:space="preserve">, communities located in the BSAI did not meet the geographic scope, or intent, of the CQE Program.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44ACF"/>
    <w:multiLevelType w:val="hybridMultilevel"/>
    <w:tmpl w:val="81C604AE"/>
    <w:lvl w:ilvl="0" w:tplc="6FAEF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F525E"/>
    <w:multiLevelType w:val="multilevel"/>
    <w:tmpl w:val="7EC24B68"/>
    <w:lvl w:ilvl="0">
      <w:start w:val="8"/>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2DCD4FF8"/>
    <w:multiLevelType w:val="multilevel"/>
    <w:tmpl w:val="0409001D"/>
    <w:styleLink w:val="Style1"/>
    <w:lvl w:ilvl="0">
      <w:start w:val="1"/>
      <w:numFmt w:val="decimal"/>
      <w:lvlText w:val="%1)"/>
      <w:lvlJc w:val="left"/>
      <w:pPr>
        <w:ind w:left="360" w:hanging="360"/>
      </w:pPr>
      <w:rPr>
        <w:rFonts w:ascii="Times New Roman" w:hAnsi="Times New Roman"/>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4397484"/>
    <w:multiLevelType w:val="hybridMultilevel"/>
    <w:tmpl w:val="6AA48F58"/>
    <w:lvl w:ilvl="0" w:tplc="D080789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E13D4D"/>
    <w:multiLevelType w:val="multilevel"/>
    <w:tmpl w:val="0409001D"/>
    <w:numStyleLink w:val="Style1"/>
  </w:abstractNum>
  <w:abstractNum w:abstractNumId="5">
    <w:nsid w:val="5B994568"/>
    <w:multiLevelType w:val="hybridMultilevel"/>
    <w:tmpl w:val="CDFC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AE3D54"/>
    <w:multiLevelType w:val="hybridMultilevel"/>
    <w:tmpl w:val="AD868806"/>
    <w:lvl w:ilvl="0" w:tplc="DCDA5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0"/>
  </w:num>
  <w:num w:numId="4">
    <w:abstractNumId w:val="2"/>
  </w:num>
  <w:num w:numId="5">
    <w:abstractNumId w:val="4"/>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312"/>
    <w:rsid w:val="000038BD"/>
    <w:rsid w:val="000045EF"/>
    <w:rsid w:val="0000684B"/>
    <w:rsid w:val="00010E21"/>
    <w:rsid w:val="0001125E"/>
    <w:rsid w:val="0001277C"/>
    <w:rsid w:val="00013FD7"/>
    <w:rsid w:val="00014795"/>
    <w:rsid w:val="00015AD3"/>
    <w:rsid w:val="00020945"/>
    <w:rsid w:val="00022175"/>
    <w:rsid w:val="0002220E"/>
    <w:rsid w:val="00024E3D"/>
    <w:rsid w:val="0002767D"/>
    <w:rsid w:val="000357A9"/>
    <w:rsid w:val="000427D6"/>
    <w:rsid w:val="00044336"/>
    <w:rsid w:val="00044DFC"/>
    <w:rsid w:val="00047775"/>
    <w:rsid w:val="00050A53"/>
    <w:rsid w:val="00052F14"/>
    <w:rsid w:val="00057A34"/>
    <w:rsid w:val="00057B92"/>
    <w:rsid w:val="000611B9"/>
    <w:rsid w:val="00061897"/>
    <w:rsid w:val="00065DD2"/>
    <w:rsid w:val="00071193"/>
    <w:rsid w:val="00074FD0"/>
    <w:rsid w:val="000777B1"/>
    <w:rsid w:val="000810ED"/>
    <w:rsid w:val="00081192"/>
    <w:rsid w:val="00084655"/>
    <w:rsid w:val="0009122A"/>
    <w:rsid w:val="00092931"/>
    <w:rsid w:val="00093960"/>
    <w:rsid w:val="00097F20"/>
    <w:rsid w:val="000A3711"/>
    <w:rsid w:val="000A37F0"/>
    <w:rsid w:val="000A454B"/>
    <w:rsid w:val="000A4910"/>
    <w:rsid w:val="000B0001"/>
    <w:rsid w:val="000B06FF"/>
    <w:rsid w:val="000B0812"/>
    <w:rsid w:val="000B12CB"/>
    <w:rsid w:val="000B16BB"/>
    <w:rsid w:val="000B4530"/>
    <w:rsid w:val="000B5356"/>
    <w:rsid w:val="000B6AF1"/>
    <w:rsid w:val="000B75E8"/>
    <w:rsid w:val="000C1389"/>
    <w:rsid w:val="000C1563"/>
    <w:rsid w:val="000C206E"/>
    <w:rsid w:val="000C546C"/>
    <w:rsid w:val="000C6329"/>
    <w:rsid w:val="000D6C4C"/>
    <w:rsid w:val="000E13BD"/>
    <w:rsid w:val="000E4B7A"/>
    <w:rsid w:val="000E5A0C"/>
    <w:rsid w:val="000E5F00"/>
    <w:rsid w:val="000F28C2"/>
    <w:rsid w:val="000F5981"/>
    <w:rsid w:val="000F5F87"/>
    <w:rsid w:val="000F7070"/>
    <w:rsid w:val="001014AC"/>
    <w:rsid w:val="00101DA9"/>
    <w:rsid w:val="00102C25"/>
    <w:rsid w:val="0010437C"/>
    <w:rsid w:val="00105E9C"/>
    <w:rsid w:val="0011094E"/>
    <w:rsid w:val="00111979"/>
    <w:rsid w:val="0011388D"/>
    <w:rsid w:val="001162E8"/>
    <w:rsid w:val="001177AF"/>
    <w:rsid w:val="00121413"/>
    <w:rsid w:val="00121A99"/>
    <w:rsid w:val="001239F1"/>
    <w:rsid w:val="00133133"/>
    <w:rsid w:val="00135E96"/>
    <w:rsid w:val="00136A7F"/>
    <w:rsid w:val="00140930"/>
    <w:rsid w:val="001424A0"/>
    <w:rsid w:val="001440A0"/>
    <w:rsid w:val="001457C5"/>
    <w:rsid w:val="0014640A"/>
    <w:rsid w:val="00146F94"/>
    <w:rsid w:val="00151BCA"/>
    <w:rsid w:val="0015548E"/>
    <w:rsid w:val="001555E3"/>
    <w:rsid w:val="00156394"/>
    <w:rsid w:val="00157966"/>
    <w:rsid w:val="00160889"/>
    <w:rsid w:val="001608D6"/>
    <w:rsid w:val="00171906"/>
    <w:rsid w:val="00173B99"/>
    <w:rsid w:val="00174A91"/>
    <w:rsid w:val="001765FA"/>
    <w:rsid w:val="00176AB3"/>
    <w:rsid w:val="001777A5"/>
    <w:rsid w:val="00177F66"/>
    <w:rsid w:val="001800F5"/>
    <w:rsid w:val="001805A3"/>
    <w:rsid w:val="0018111B"/>
    <w:rsid w:val="0018156A"/>
    <w:rsid w:val="001901DE"/>
    <w:rsid w:val="001931F7"/>
    <w:rsid w:val="00194375"/>
    <w:rsid w:val="001957AB"/>
    <w:rsid w:val="00196174"/>
    <w:rsid w:val="00197232"/>
    <w:rsid w:val="001A052A"/>
    <w:rsid w:val="001A16AC"/>
    <w:rsid w:val="001B0F0D"/>
    <w:rsid w:val="001B1E63"/>
    <w:rsid w:val="001B74E6"/>
    <w:rsid w:val="001C27C8"/>
    <w:rsid w:val="001D0C00"/>
    <w:rsid w:val="001D4817"/>
    <w:rsid w:val="001D7259"/>
    <w:rsid w:val="001E01E6"/>
    <w:rsid w:val="001E2806"/>
    <w:rsid w:val="001E4522"/>
    <w:rsid w:val="001E7A51"/>
    <w:rsid w:val="001F34CF"/>
    <w:rsid w:val="001F50AE"/>
    <w:rsid w:val="00202001"/>
    <w:rsid w:val="0020563E"/>
    <w:rsid w:val="00205C79"/>
    <w:rsid w:val="00206742"/>
    <w:rsid w:val="00207A40"/>
    <w:rsid w:val="002109DB"/>
    <w:rsid w:val="00212A40"/>
    <w:rsid w:val="00214A70"/>
    <w:rsid w:val="0022016E"/>
    <w:rsid w:val="00221097"/>
    <w:rsid w:val="002213A2"/>
    <w:rsid w:val="00225031"/>
    <w:rsid w:val="00225685"/>
    <w:rsid w:val="002266BD"/>
    <w:rsid w:val="0023069C"/>
    <w:rsid w:val="00231D82"/>
    <w:rsid w:val="002324AB"/>
    <w:rsid w:val="00232651"/>
    <w:rsid w:val="00232888"/>
    <w:rsid w:val="0023550C"/>
    <w:rsid w:val="00236E56"/>
    <w:rsid w:val="00240273"/>
    <w:rsid w:val="002432A0"/>
    <w:rsid w:val="0025147F"/>
    <w:rsid w:val="00251845"/>
    <w:rsid w:val="0025300A"/>
    <w:rsid w:val="002552BB"/>
    <w:rsid w:val="002557B0"/>
    <w:rsid w:val="002575BA"/>
    <w:rsid w:val="0026157F"/>
    <w:rsid w:val="00261D88"/>
    <w:rsid w:val="00263102"/>
    <w:rsid w:val="002644F7"/>
    <w:rsid w:val="00265882"/>
    <w:rsid w:val="002661A1"/>
    <w:rsid w:val="00271043"/>
    <w:rsid w:val="002736B0"/>
    <w:rsid w:val="00275077"/>
    <w:rsid w:val="00275591"/>
    <w:rsid w:val="002811F8"/>
    <w:rsid w:val="00283FC0"/>
    <w:rsid w:val="002845F0"/>
    <w:rsid w:val="0028550C"/>
    <w:rsid w:val="0028618A"/>
    <w:rsid w:val="002864C8"/>
    <w:rsid w:val="00286FA2"/>
    <w:rsid w:val="002874E9"/>
    <w:rsid w:val="002907C3"/>
    <w:rsid w:val="00295CA9"/>
    <w:rsid w:val="002A2974"/>
    <w:rsid w:val="002A60E4"/>
    <w:rsid w:val="002B5A01"/>
    <w:rsid w:val="002B6FC4"/>
    <w:rsid w:val="002C1CA2"/>
    <w:rsid w:val="002C45EB"/>
    <w:rsid w:val="002C4EF3"/>
    <w:rsid w:val="002C7EC7"/>
    <w:rsid w:val="002D38BA"/>
    <w:rsid w:val="002D6BA0"/>
    <w:rsid w:val="002E23C5"/>
    <w:rsid w:val="002E5970"/>
    <w:rsid w:val="002F07F9"/>
    <w:rsid w:val="002F4B25"/>
    <w:rsid w:val="002F5B3F"/>
    <w:rsid w:val="002F729F"/>
    <w:rsid w:val="003026E3"/>
    <w:rsid w:val="00302BBB"/>
    <w:rsid w:val="00304A67"/>
    <w:rsid w:val="00311217"/>
    <w:rsid w:val="00311648"/>
    <w:rsid w:val="003170E9"/>
    <w:rsid w:val="00320B42"/>
    <w:rsid w:val="00321185"/>
    <w:rsid w:val="00321484"/>
    <w:rsid w:val="0032192A"/>
    <w:rsid w:val="00323271"/>
    <w:rsid w:val="003234C8"/>
    <w:rsid w:val="00324D0F"/>
    <w:rsid w:val="00324F52"/>
    <w:rsid w:val="00326FFA"/>
    <w:rsid w:val="0033263E"/>
    <w:rsid w:val="00335830"/>
    <w:rsid w:val="00340472"/>
    <w:rsid w:val="00340D3D"/>
    <w:rsid w:val="00342BAE"/>
    <w:rsid w:val="00344CBC"/>
    <w:rsid w:val="00345C50"/>
    <w:rsid w:val="00353C8B"/>
    <w:rsid w:val="003605E3"/>
    <w:rsid w:val="00360BBD"/>
    <w:rsid w:val="003620E5"/>
    <w:rsid w:val="00362E70"/>
    <w:rsid w:val="003634E7"/>
    <w:rsid w:val="0036486A"/>
    <w:rsid w:val="003667AA"/>
    <w:rsid w:val="00367240"/>
    <w:rsid w:val="00367FF8"/>
    <w:rsid w:val="00370A1C"/>
    <w:rsid w:val="00371D82"/>
    <w:rsid w:val="0037285A"/>
    <w:rsid w:val="00376D19"/>
    <w:rsid w:val="00382033"/>
    <w:rsid w:val="00382A2D"/>
    <w:rsid w:val="0038494B"/>
    <w:rsid w:val="003854B1"/>
    <w:rsid w:val="00385A6D"/>
    <w:rsid w:val="00387D78"/>
    <w:rsid w:val="00390A3C"/>
    <w:rsid w:val="00391081"/>
    <w:rsid w:val="00391823"/>
    <w:rsid w:val="00396F9E"/>
    <w:rsid w:val="00397F8F"/>
    <w:rsid w:val="003A3FE8"/>
    <w:rsid w:val="003A7870"/>
    <w:rsid w:val="003B0D7F"/>
    <w:rsid w:val="003B14ED"/>
    <w:rsid w:val="003B1E81"/>
    <w:rsid w:val="003B405C"/>
    <w:rsid w:val="003B47E7"/>
    <w:rsid w:val="003B5F28"/>
    <w:rsid w:val="003B717E"/>
    <w:rsid w:val="003C22A7"/>
    <w:rsid w:val="003C4016"/>
    <w:rsid w:val="003C67A1"/>
    <w:rsid w:val="003C7CA4"/>
    <w:rsid w:val="003D3467"/>
    <w:rsid w:val="003D3585"/>
    <w:rsid w:val="003D41F4"/>
    <w:rsid w:val="003D4F6B"/>
    <w:rsid w:val="003E0CF6"/>
    <w:rsid w:val="003E0F7F"/>
    <w:rsid w:val="003E21E7"/>
    <w:rsid w:val="003E2786"/>
    <w:rsid w:val="003E5253"/>
    <w:rsid w:val="003E5E63"/>
    <w:rsid w:val="003E7A0F"/>
    <w:rsid w:val="003F3EB9"/>
    <w:rsid w:val="004000F6"/>
    <w:rsid w:val="00404EF4"/>
    <w:rsid w:val="00405473"/>
    <w:rsid w:val="0040786C"/>
    <w:rsid w:val="004140F4"/>
    <w:rsid w:val="00414EAB"/>
    <w:rsid w:val="00420AAE"/>
    <w:rsid w:val="00423E4B"/>
    <w:rsid w:val="004258F9"/>
    <w:rsid w:val="00427B59"/>
    <w:rsid w:val="00427E38"/>
    <w:rsid w:val="00432AE2"/>
    <w:rsid w:val="00433917"/>
    <w:rsid w:val="00436E3A"/>
    <w:rsid w:val="00437456"/>
    <w:rsid w:val="00440EE8"/>
    <w:rsid w:val="004422B0"/>
    <w:rsid w:val="00442332"/>
    <w:rsid w:val="004474F5"/>
    <w:rsid w:val="00450807"/>
    <w:rsid w:val="00451630"/>
    <w:rsid w:val="00451743"/>
    <w:rsid w:val="00452C8C"/>
    <w:rsid w:val="00453E6D"/>
    <w:rsid w:val="00455DBF"/>
    <w:rsid w:val="00462F9B"/>
    <w:rsid w:val="00465672"/>
    <w:rsid w:val="00467F34"/>
    <w:rsid w:val="00471EA5"/>
    <w:rsid w:val="004746CD"/>
    <w:rsid w:val="0047655E"/>
    <w:rsid w:val="00477DF7"/>
    <w:rsid w:val="00480617"/>
    <w:rsid w:val="00482027"/>
    <w:rsid w:val="004850C7"/>
    <w:rsid w:val="0048753A"/>
    <w:rsid w:val="004879DB"/>
    <w:rsid w:val="004908CC"/>
    <w:rsid w:val="0049120D"/>
    <w:rsid w:val="004927E0"/>
    <w:rsid w:val="00492EA7"/>
    <w:rsid w:val="004954EE"/>
    <w:rsid w:val="004963CB"/>
    <w:rsid w:val="00496644"/>
    <w:rsid w:val="004B00DD"/>
    <w:rsid w:val="004B28AF"/>
    <w:rsid w:val="004C03CD"/>
    <w:rsid w:val="004C2220"/>
    <w:rsid w:val="004C5F32"/>
    <w:rsid w:val="004C6FD2"/>
    <w:rsid w:val="004C7042"/>
    <w:rsid w:val="004D16F0"/>
    <w:rsid w:val="004D4FD3"/>
    <w:rsid w:val="004E5744"/>
    <w:rsid w:val="004E6882"/>
    <w:rsid w:val="004F0649"/>
    <w:rsid w:val="004F1981"/>
    <w:rsid w:val="004F4684"/>
    <w:rsid w:val="00503293"/>
    <w:rsid w:val="00505E95"/>
    <w:rsid w:val="00506DD5"/>
    <w:rsid w:val="00507A77"/>
    <w:rsid w:val="00511395"/>
    <w:rsid w:val="00512C04"/>
    <w:rsid w:val="005161AD"/>
    <w:rsid w:val="00516B60"/>
    <w:rsid w:val="00523284"/>
    <w:rsid w:val="005253B6"/>
    <w:rsid w:val="0052721C"/>
    <w:rsid w:val="00530D39"/>
    <w:rsid w:val="0053158B"/>
    <w:rsid w:val="00532DEC"/>
    <w:rsid w:val="0053459A"/>
    <w:rsid w:val="00534C1F"/>
    <w:rsid w:val="005359DB"/>
    <w:rsid w:val="00536C8A"/>
    <w:rsid w:val="00537067"/>
    <w:rsid w:val="00537229"/>
    <w:rsid w:val="0054291E"/>
    <w:rsid w:val="0054345F"/>
    <w:rsid w:val="00546375"/>
    <w:rsid w:val="0054669C"/>
    <w:rsid w:val="005470D2"/>
    <w:rsid w:val="005476D5"/>
    <w:rsid w:val="00551A3E"/>
    <w:rsid w:val="00551DD6"/>
    <w:rsid w:val="005543C4"/>
    <w:rsid w:val="00564AF8"/>
    <w:rsid w:val="00567A3E"/>
    <w:rsid w:val="0057083A"/>
    <w:rsid w:val="00573DE8"/>
    <w:rsid w:val="00573FAC"/>
    <w:rsid w:val="0057445E"/>
    <w:rsid w:val="005757C9"/>
    <w:rsid w:val="00577202"/>
    <w:rsid w:val="005777C2"/>
    <w:rsid w:val="00582464"/>
    <w:rsid w:val="00582C4A"/>
    <w:rsid w:val="00583248"/>
    <w:rsid w:val="0058409A"/>
    <w:rsid w:val="00585DAD"/>
    <w:rsid w:val="005926EB"/>
    <w:rsid w:val="005947EB"/>
    <w:rsid w:val="00594E77"/>
    <w:rsid w:val="00595077"/>
    <w:rsid w:val="005960E2"/>
    <w:rsid w:val="005A0378"/>
    <w:rsid w:val="005A058A"/>
    <w:rsid w:val="005A5C8A"/>
    <w:rsid w:val="005A76C9"/>
    <w:rsid w:val="005A78DE"/>
    <w:rsid w:val="005A7B55"/>
    <w:rsid w:val="005A7DEF"/>
    <w:rsid w:val="005B0FB7"/>
    <w:rsid w:val="005B236E"/>
    <w:rsid w:val="005B3B9B"/>
    <w:rsid w:val="005C104A"/>
    <w:rsid w:val="005C1073"/>
    <w:rsid w:val="005C7DAD"/>
    <w:rsid w:val="005D3BC6"/>
    <w:rsid w:val="005D4DC4"/>
    <w:rsid w:val="005E1824"/>
    <w:rsid w:val="005E1D61"/>
    <w:rsid w:val="005E74B1"/>
    <w:rsid w:val="005F0A73"/>
    <w:rsid w:val="005F1D91"/>
    <w:rsid w:val="005F375A"/>
    <w:rsid w:val="005F41A5"/>
    <w:rsid w:val="005F67DE"/>
    <w:rsid w:val="00600339"/>
    <w:rsid w:val="006009D3"/>
    <w:rsid w:val="006016EF"/>
    <w:rsid w:val="006031DD"/>
    <w:rsid w:val="00611EB4"/>
    <w:rsid w:val="00615877"/>
    <w:rsid w:val="00620687"/>
    <w:rsid w:val="00620E5D"/>
    <w:rsid w:val="00623A2A"/>
    <w:rsid w:val="006269E0"/>
    <w:rsid w:val="006310C9"/>
    <w:rsid w:val="00631304"/>
    <w:rsid w:val="00633707"/>
    <w:rsid w:val="00633A0E"/>
    <w:rsid w:val="006375F3"/>
    <w:rsid w:val="00644206"/>
    <w:rsid w:val="00650395"/>
    <w:rsid w:val="00651D09"/>
    <w:rsid w:val="00656ACD"/>
    <w:rsid w:val="00657B20"/>
    <w:rsid w:val="00660186"/>
    <w:rsid w:val="006673C9"/>
    <w:rsid w:val="006711B3"/>
    <w:rsid w:val="00672D9E"/>
    <w:rsid w:val="006733A5"/>
    <w:rsid w:val="00673EFB"/>
    <w:rsid w:val="00677861"/>
    <w:rsid w:val="006800A4"/>
    <w:rsid w:val="0068040A"/>
    <w:rsid w:val="006840BA"/>
    <w:rsid w:val="0068506A"/>
    <w:rsid w:val="00685648"/>
    <w:rsid w:val="00694F57"/>
    <w:rsid w:val="006957D0"/>
    <w:rsid w:val="006968A4"/>
    <w:rsid w:val="006A0C87"/>
    <w:rsid w:val="006A1FF8"/>
    <w:rsid w:val="006A2938"/>
    <w:rsid w:val="006A4841"/>
    <w:rsid w:val="006A5537"/>
    <w:rsid w:val="006A5EBB"/>
    <w:rsid w:val="006A67EE"/>
    <w:rsid w:val="006A7B00"/>
    <w:rsid w:val="006B0FCA"/>
    <w:rsid w:val="006B2417"/>
    <w:rsid w:val="006B49A6"/>
    <w:rsid w:val="006B511B"/>
    <w:rsid w:val="006C03EE"/>
    <w:rsid w:val="006C0519"/>
    <w:rsid w:val="006C435B"/>
    <w:rsid w:val="006C51B2"/>
    <w:rsid w:val="006C7D3D"/>
    <w:rsid w:val="006D1DB7"/>
    <w:rsid w:val="006D293E"/>
    <w:rsid w:val="006D2BC4"/>
    <w:rsid w:val="006D6763"/>
    <w:rsid w:val="006D6A09"/>
    <w:rsid w:val="006E1DC5"/>
    <w:rsid w:val="006E26EC"/>
    <w:rsid w:val="006E3532"/>
    <w:rsid w:val="006E75E8"/>
    <w:rsid w:val="006E7CE0"/>
    <w:rsid w:val="006F05AE"/>
    <w:rsid w:val="006F202C"/>
    <w:rsid w:val="00702AF6"/>
    <w:rsid w:val="00704AFE"/>
    <w:rsid w:val="0071058C"/>
    <w:rsid w:val="00713304"/>
    <w:rsid w:val="007144CC"/>
    <w:rsid w:val="00714976"/>
    <w:rsid w:val="00715B9A"/>
    <w:rsid w:val="00725688"/>
    <w:rsid w:val="0072740C"/>
    <w:rsid w:val="00730765"/>
    <w:rsid w:val="007309BD"/>
    <w:rsid w:val="00742A9E"/>
    <w:rsid w:val="00743332"/>
    <w:rsid w:val="00744994"/>
    <w:rsid w:val="00746FA3"/>
    <w:rsid w:val="0075010A"/>
    <w:rsid w:val="00751159"/>
    <w:rsid w:val="00753672"/>
    <w:rsid w:val="00753C74"/>
    <w:rsid w:val="00756C5B"/>
    <w:rsid w:val="007578A3"/>
    <w:rsid w:val="00760F26"/>
    <w:rsid w:val="00762116"/>
    <w:rsid w:val="00762B94"/>
    <w:rsid w:val="00772248"/>
    <w:rsid w:val="00775D28"/>
    <w:rsid w:val="00777564"/>
    <w:rsid w:val="00782956"/>
    <w:rsid w:val="00784365"/>
    <w:rsid w:val="00786843"/>
    <w:rsid w:val="0078766A"/>
    <w:rsid w:val="00791F2A"/>
    <w:rsid w:val="007A1494"/>
    <w:rsid w:val="007A303F"/>
    <w:rsid w:val="007A541A"/>
    <w:rsid w:val="007B0264"/>
    <w:rsid w:val="007B2CB0"/>
    <w:rsid w:val="007B2EDA"/>
    <w:rsid w:val="007B37CA"/>
    <w:rsid w:val="007B3DA0"/>
    <w:rsid w:val="007B4C5A"/>
    <w:rsid w:val="007B57E5"/>
    <w:rsid w:val="007B76EC"/>
    <w:rsid w:val="007B799A"/>
    <w:rsid w:val="007C5C58"/>
    <w:rsid w:val="007C72D2"/>
    <w:rsid w:val="007D3FE7"/>
    <w:rsid w:val="007D4688"/>
    <w:rsid w:val="007D6A4C"/>
    <w:rsid w:val="007D7575"/>
    <w:rsid w:val="007E1DE0"/>
    <w:rsid w:val="007E258D"/>
    <w:rsid w:val="007E55F1"/>
    <w:rsid w:val="007E5D96"/>
    <w:rsid w:val="007E72B3"/>
    <w:rsid w:val="007E743F"/>
    <w:rsid w:val="007E75D7"/>
    <w:rsid w:val="007F0470"/>
    <w:rsid w:val="007F073D"/>
    <w:rsid w:val="007F4990"/>
    <w:rsid w:val="007F68F3"/>
    <w:rsid w:val="007F7394"/>
    <w:rsid w:val="007F75FD"/>
    <w:rsid w:val="007F761C"/>
    <w:rsid w:val="007F7FCC"/>
    <w:rsid w:val="00800771"/>
    <w:rsid w:val="00800DCE"/>
    <w:rsid w:val="008021E3"/>
    <w:rsid w:val="00803506"/>
    <w:rsid w:val="00803DD2"/>
    <w:rsid w:val="0080554C"/>
    <w:rsid w:val="00805A72"/>
    <w:rsid w:val="00807FF9"/>
    <w:rsid w:val="00810050"/>
    <w:rsid w:val="00810EFD"/>
    <w:rsid w:val="00811996"/>
    <w:rsid w:val="00811BD0"/>
    <w:rsid w:val="008124FB"/>
    <w:rsid w:val="00813A87"/>
    <w:rsid w:val="00814DD4"/>
    <w:rsid w:val="00815A11"/>
    <w:rsid w:val="00815D0A"/>
    <w:rsid w:val="0081789D"/>
    <w:rsid w:val="00820017"/>
    <w:rsid w:val="00824C7E"/>
    <w:rsid w:val="00827764"/>
    <w:rsid w:val="0083092F"/>
    <w:rsid w:val="008320E1"/>
    <w:rsid w:val="008415D0"/>
    <w:rsid w:val="008422AC"/>
    <w:rsid w:val="0084316B"/>
    <w:rsid w:val="008431C2"/>
    <w:rsid w:val="00844612"/>
    <w:rsid w:val="0084483E"/>
    <w:rsid w:val="00844E49"/>
    <w:rsid w:val="008458C3"/>
    <w:rsid w:val="00846126"/>
    <w:rsid w:val="00847ABA"/>
    <w:rsid w:val="00850F87"/>
    <w:rsid w:val="008516D0"/>
    <w:rsid w:val="008524E9"/>
    <w:rsid w:val="0086303D"/>
    <w:rsid w:val="00865BC1"/>
    <w:rsid w:val="00866880"/>
    <w:rsid w:val="0087042D"/>
    <w:rsid w:val="00871E74"/>
    <w:rsid w:val="00876FE9"/>
    <w:rsid w:val="00877762"/>
    <w:rsid w:val="0087792C"/>
    <w:rsid w:val="00882200"/>
    <w:rsid w:val="00882C7E"/>
    <w:rsid w:val="008863B2"/>
    <w:rsid w:val="00886A41"/>
    <w:rsid w:val="008873EB"/>
    <w:rsid w:val="008905D5"/>
    <w:rsid w:val="008909E6"/>
    <w:rsid w:val="008939F3"/>
    <w:rsid w:val="00895F2E"/>
    <w:rsid w:val="00897521"/>
    <w:rsid w:val="008A1858"/>
    <w:rsid w:val="008A7A5D"/>
    <w:rsid w:val="008B0E6C"/>
    <w:rsid w:val="008B1E98"/>
    <w:rsid w:val="008B2ED5"/>
    <w:rsid w:val="008B44C6"/>
    <w:rsid w:val="008C192D"/>
    <w:rsid w:val="008D07BC"/>
    <w:rsid w:val="008D3B85"/>
    <w:rsid w:val="008D6B71"/>
    <w:rsid w:val="008D7A70"/>
    <w:rsid w:val="008D7BF1"/>
    <w:rsid w:val="008E2044"/>
    <w:rsid w:val="008E2387"/>
    <w:rsid w:val="008E24FF"/>
    <w:rsid w:val="008E47BC"/>
    <w:rsid w:val="008F4D0C"/>
    <w:rsid w:val="008F6A26"/>
    <w:rsid w:val="009011EF"/>
    <w:rsid w:val="0090170E"/>
    <w:rsid w:val="00905420"/>
    <w:rsid w:val="00906FC3"/>
    <w:rsid w:val="00914248"/>
    <w:rsid w:val="00914DA1"/>
    <w:rsid w:val="00914F18"/>
    <w:rsid w:val="0091587E"/>
    <w:rsid w:val="00916789"/>
    <w:rsid w:val="0091728C"/>
    <w:rsid w:val="00920D04"/>
    <w:rsid w:val="00922DB7"/>
    <w:rsid w:val="00923525"/>
    <w:rsid w:val="00926F68"/>
    <w:rsid w:val="00927018"/>
    <w:rsid w:val="00927FB1"/>
    <w:rsid w:val="00930AD0"/>
    <w:rsid w:val="00932CEE"/>
    <w:rsid w:val="00933F84"/>
    <w:rsid w:val="00935AAC"/>
    <w:rsid w:val="00935C0F"/>
    <w:rsid w:val="00936384"/>
    <w:rsid w:val="00941E16"/>
    <w:rsid w:val="00942684"/>
    <w:rsid w:val="00944B82"/>
    <w:rsid w:val="00946E8C"/>
    <w:rsid w:val="00953CFB"/>
    <w:rsid w:val="00954FAE"/>
    <w:rsid w:val="00955A69"/>
    <w:rsid w:val="009569B9"/>
    <w:rsid w:val="00961080"/>
    <w:rsid w:val="009619E7"/>
    <w:rsid w:val="009636D7"/>
    <w:rsid w:val="00963D0A"/>
    <w:rsid w:val="00967B50"/>
    <w:rsid w:val="009715A1"/>
    <w:rsid w:val="0097378C"/>
    <w:rsid w:val="00973BF1"/>
    <w:rsid w:val="009769A9"/>
    <w:rsid w:val="009802FC"/>
    <w:rsid w:val="009804A2"/>
    <w:rsid w:val="0098057D"/>
    <w:rsid w:val="009831D1"/>
    <w:rsid w:val="00984AB8"/>
    <w:rsid w:val="00986FF0"/>
    <w:rsid w:val="00987283"/>
    <w:rsid w:val="00996DAF"/>
    <w:rsid w:val="009A4037"/>
    <w:rsid w:val="009A4E34"/>
    <w:rsid w:val="009B1B18"/>
    <w:rsid w:val="009B21B3"/>
    <w:rsid w:val="009C29EA"/>
    <w:rsid w:val="009C363C"/>
    <w:rsid w:val="009D0B8E"/>
    <w:rsid w:val="009D3720"/>
    <w:rsid w:val="009D40B2"/>
    <w:rsid w:val="009D7A7C"/>
    <w:rsid w:val="009D7AEB"/>
    <w:rsid w:val="009E1154"/>
    <w:rsid w:val="009E1782"/>
    <w:rsid w:val="009E2BF5"/>
    <w:rsid w:val="009E54C1"/>
    <w:rsid w:val="009E6915"/>
    <w:rsid w:val="009F0E57"/>
    <w:rsid w:val="009F2DB5"/>
    <w:rsid w:val="009F474F"/>
    <w:rsid w:val="009F62D9"/>
    <w:rsid w:val="009F7FD2"/>
    <w:rsid w:val="00A01B3B"/>
    <w:rsid w:val="00A029D6"/>
    <w:rsid w:val="00A05BAA"/>
    <w:rsid w:val="00A11BAA"/>
    <w:rsid w:val="00A13967"/>
    <w:rsid w:val="00A13981"/>
    <w:rsid w:val="00A13DA8"/>
    <w:rsid w:val="00A140B0"/>
    <w:rsid w:val="00A15DFA"/>
    <w:rsid w:val="00A21E67"/>
    <w:rsid w:val="00A22741"/>
    <w:rsid w:val="00A234A5"/>
    <w:rsid w:val="00A245EC"/>
    <w:rsid w:val="00A3312A"/>
    <w:rsid w:val="00A33BCD"/>
    <w:rsid w:val="00A36AF1"/>
    <w:rsid w:val="00A43D15"/>
    <w:rsid w:val="00A52247"/>
    <w:rsid w:val="00A53184"/>
    <w:rsid w:val="00A54254"/>
    <w:rsid w:val="00A5617B"/>
    <w:rsid w:val="00A564F9"/>
    <w:rsid w:val="00A56917"/>
    <w:rsid w:val="00A56C9D"/>
    <w:rsid w:val="00A63045"/>
    <w:rsid w:val="00A6483F"/>
    <w:rsid w:val="00A66C6B"/>
    <w:rsid w:val="00A6775D"/>
    <w:rsid w:val="00A67E02"/>
    <w:rsid w:val="00A70DC8"/>
    <w:rsid w:val="00A71D34"/>
    <w:rsid w:val="00A7275A"/>
    <w:rsid w:val="00A7322D"/>
    <w:rsid w:val="00A76126"/>
    <w:rsid w:val="00A767C3"/>
    <w:rsid w:val="00A809FE"/>
    <w:rsid w:val="00A85061"/>
    <w:rsid w:val="00A86541"/>
    <w:rsid w:val="00A91279"/>
    <w:rsid w:val="00A9171C"/>
    <w:rsid w:val="00A92B2A"/>
    <w:rsid w:val="00A92C22"/>
    <w:rsid w:val="00A9305B"/>
    <w:rsid w:val="00A94953"/>
    <w:rsid w:val="00A94CDD"/>
    <w:rsid w:val="00A97B98"/>
    <w:rsid w:val="00AA177E"/>
    <w:rsid w:val="00AA36ED"/>
    <w:rsid w:val="00AA5233"/>
    <w:rsid w:val="00AB3964"/>
    <w:rsid w:val="00AB48DA"/>
    <w:rsid w:val="00AB522E"/>
    <w:rsid w:val="00AB53A0"/>
    <w:rsid w:val="00AC2B45"/>
    <w:rsid w:val="00AC38D0"/>
    <w:rsid w:val="00AC5B23"/>
    <w:rsid w:val="00AC5B9D"/>
    <w:rsid w:val="00AC75C4"/>
    <w:rsid w:val="00AD1C21"/>
    <w:rsid w:val="00AD5662"/>
    <w:rsid w:val="00AD6B09"/>
    <w:rsid w:val="00AE1957"/>
    <w:rsid w:val="00AE5688"/>
    <w:rsid w:val="00AF0360"/>
    <w:rsid w:val="00AF35DD"/>
    <w:rsid w:val="00AF524C"/>
    <w:rsid w:val="00AF56D3"/>
    <w:rsid w:val="00AF5CBB"/>
    <w:rsid w:val="00AF670B"/>
    <w:rsid w:val="00AF6AFC"/>
    <w:rsid w:val="00AF724B"/>
    <w:rsid w:val="00B00F1E"/>
    <w:rsid w:val="00B0448E"/>
    <w:rsid w:val="00B06DCD"/>
    <w:rsid w:val="00B11F32"/>
    <w:rsid w:val="00B12A75"/>
    <w:rsid w:val="00B12BDB"/>
    <w:rsid w:val="00B12D8B"/>
    <w:rsid w:val="00B156D9"/>
    <w:rsid w:val="00B15C34"/>
    <w:rsid w:val="00B1604C"/>
    <w:rsid w:val="00B16BC5"/>
    <w:rsid w:val="00B20167"/>
    <w:rsid w:val="00B2057D"/>
    <w:rsid w:val="00B22A13"/>
    <w:rsid w:val="00B23BFA"/>
    <w:rsid w:val="00B2462C"/>
    <w:rsid w:val="00B247D7"/>
    <w:rsid w:val="00B24973"/>
    <w:rsid w:val="00B255DE"/>
    <w:rsid w:val="00B27C01"/>
    <w:rsid w:val="00B333F3"/>
    <w:rsid w:val="00B33F39"/>
    <w:rsid w:val="00B37DB4"/>
    <w:rsid w:val="00B447E0"/>
    <w:rsid w:val="00B463D6"/>
    <w:rsid w:val="00B47C3A"/>
    <w:rsid w:val="00B5161B"/>
    <w:rsid w:val="00B5270F"/>
    <w:rsid w:val="00B56262"/>
    <w:rsid w:val="00B57326"/>
    <w:rsid w:val="00B6124C"/>
    <w:rsid w:val="00B65374"/>
    <w:rsid w:val="00B6612B"/>
    <w:rsid w:val="00B66CC5"/>
    <w:rsid w:val="00B67ECC"/>
    <w:rsid w:val="00B7150D"/>
    <w:rsid w:val="00B73A4D"/>
    <w:rsid w:val="00B7716E"/>
    <w:rsid w:val="00B77B60"/>
    <w:rsid w:val="00B805EA"/>
    <w:rsid w:val="00B81F21"/>
    <w:rsid w:val="00B84BEC"/>
    <w:rsid w:val="00B85B04"/>
    <w:rsid w:val="00B87672"/>
    <w:rsid w:val="00B92523"/>
    <w:rsid w:val="00BA2B95"/>
    <w:rsid w:val="00BA4088"/>
    <w:rsid w:val="00BA7871"/>
    <w:rsid w:val="00BB2554"/>
    <w:rsid w:val="00BB2620"/>
    <w:rsid w:val="00BB3394"/>
    <w:rsid w:val="00BB4D57"/>
    <w:rsid w:val="00BB5A57"/>
    <w:rsid w:val="00BB5A96"/>
    <w:rsid w:val="00BB5F22"/>
    <w:rsid w:val="00BB6F82"/>
    <w:rsid w:val="00BB75EC"/>
    <w:rsid w:val="00BC12B6"/>
    <w:rsid w:val="00BC2284"/>
    <w:rsid w:val="00BC472F"/>
    <w:rsid w:val="00BC58ED"/>
    <w:rsid w:val="00BC635B"/>
    <w:rsid w:val="00BC7443"/>
    <w:rsid w:val="00BC7B27"/>
    <w:rsid w:val="00BD2113"/>
    <w:rsid w:val="00BD4546"/>
    <w:rsid w:val="00BD54EE"/>
    <w:rsid w:val="00BD5E61"/>
    <w:rsid w:val="00BD6409"/>
    <w:rsid w:val="00BD6E87"/>
    <w:rsid w:val="00BD7343"/>
    <w:rsid w:val="00BD7A33"/>
    <w:rsid w:val="00BD7D9B"/>
    <w:rsid w:val="00BE039F"/>
    <w:rsid w:val="00BE1A99"/>
    <w:rsid w:val="00BE1C50"/>
    <w:rsid w:val="00BE226B"/>
    <w:rsid w:val="00BE4E34"/>
    <w:rsid w:val="00BE52B7"/>
    <w:rsid w:val="00BF2ABD"/>
    <w:rsid w:val="00BF4676"/>
    <w:rsid w:val="00BF6225"/>
    <w:rsid w:val="00BF676A"/>
    <w:rsid w:val="00BF7AE1"/>
    <w:rsid w:val="00BF7FD1"/>
    <w:rsid w:val="00C00A6C"/>
    <w:rsid w:val="00C02527"/>
    <w:rsid w:val="00C034F3"/>
    <w:rsid w:val="00C03F96"/>
    <w:rsid w:val="00C07CC4"/>
    <w:rsid w:val="00C21359"/>
    <w:rsid w:val="00C21532"/>
    <w:rsid w:val="00C218A5"/>
    <w:rsid w:val="00C25318"/>
    <w:rsid w:val="00C31195"/>
    <w:rsid w:val="00C31E60"/>
    <w:rsid w:val="00C32134"/>
    <w:rsid w:val="00C3529F"/>
    <w:rsid w:val="00C357F2"/>
    <w:rsid w:val="00C37A60"/>
    <w:rsid w:val="00C41D4C"/>
    <w:rsid w:val="00C42326"/>
    <w:rsid w:val="00C46D0E"/>
    <w:rsid w:val="00C47828"/>
    <w:rsid w:val="00C47E07"/>
    <w:rsid w:val="00C5047B"/>
    <w:rsid w:val="00C535F1"/>
    <w:rsid w:val="00C5543A"/>
    <w:rsid w:val="00C57CCF"/>
    <w:rsid w:val="00C607DA"/>
    <w:rsid w:val="00C62BEB"/>
    <w:rsid w:val="00C63762"/>
    <w:rsid w:val="00C6378B"/>
    <w:rsid w:val="00C64887"/>
    <w:rsid w:val="00C651BD"/>
    <w:rsid w:val="00C70AD1"/>
    <w:rsid w:val="00C71325"/>
    <w:rsid w:val="00C72087"/>
    <w:rsid w:val="00C72C30"/>
    <w:rsid w:val="00C7431F"/>
    <w:rsid w:val="00C80028"/>
    <w:rsid w:val="00C8026F"/>
    <w:rsid w:val="00C80CFA"/>
    <w:rsid w:val="00C90112"/>
    <w:rsid w:val="00C91E4A"/>
    <w:rsid w:val="00C936BB"/>
    <w:rsid w:val="00C97B9C"/>
    <w:rsid w:val="00CA1803"/>
    <w:rsid w:val="00CB43F8"/>
    <w:rsid w:val="00CB454D"/>
    <w:rsid w:val="00CB4A1D"/>
    <w:rsid w:val="00CB7EEE"/>
    <w:rsid w:val="00CC0996"/>
    <w:rsid w:val="00CC1B7D"/>
    <w:rsid w:val="00CC1D42"/>
    <w:rsid w:val="00CC20D8"/>
    <w:rsid w:val="00CC3B4E"/>
    <w:rsid w:val="00CC6E41"/>
    <w:rsid w:val="00CC7AD4"/>
    <w:rsid w:val="00CC7E65"/>
    <w:rsid w:val="00CD283C"/>
    <w:rsid w:val="00CD33EA"/>
    <w:rsid w:val="00CD5F3F"/>
    <w:rsid w:val="00CD7858"/>
    <w:rsid w:val="00CE2218"/>
    <w:rsid w:val="00CE3DC8"/>
    <w:rsid w:val="00CE64E3"/>
    <w:rsid w:val="00CF1570"/>
    <w:rsid w:val="00CF51D4"/>
    <w:rsid w:val="00CF5372"/>
    <w:rsid w:val="00CF7A70"/>
    <w:rsid w:val="00CF7F66"/>
    <w:rsid w:val="00D006B6"/>
    <w:rsid w:val="00D02BE8"/>
    <w:rsid w:val="00D034AC"/>
    <w:rsid w:val="00D03C1E"/>
    <w:rsid w:val="00D12E54"/>
    <w:rsid w:val="00D13E0C"/>
    <w:rsid w:val="00D14EB4"/>
    <w:rsid w:val="00D15B31"/>
    <w:rsid w:val="00D24C6B"/>
    <w:rsid w:val="00D270BD"/>
    <w:rsid w:val="00D31252"/>
    <w:rsid w:val="00D315B5"/>
    <w:rsid w:val="00D33C23"/>
    <w:rsid w:val="00D36621"/>
    <w:rsid w:val="00D36946"/>
    <w:rsid w:val="00D4147E"/>
    <w:rsid w:val="00D45386"/>
    <w:rsid w:val="00D539B6"/>
    <w:rsid w:val="00D54553"/>
    <w:rsid w:val="00D54B1C"/>
    <w:rsid w:val="00D649F9"/>
    <w:rsid w:val="00D71946"/>
    <w:rsid w:val="00D71ED7"/>
    <w:rsid w:val="00D73156"/>
    <w:rsid w:val="00D74739"/>
    <w:rsid w:val="00D755A0"/>
    <w:rsid w:val="00D755E8"/>
    <w:rsid w:val="00D76FB4"/>
    <w:rsid w:val="00D77C44"/>
    <w:rsid w:val="00D77D3F"/>
    <w:rsid w:val="00D81389"/>
    <w:rsid w:val="00D85AB7"/>
    <w:rsid w:val="00D9204F"/>
    <w:rsid w:val="00D93126"/>
    <w:rsid w:val="00D93162"/>
    <w:rsid w:val="00D94A24"/>
    <w:rsid w:val="00D95322"/>
    <w:rsid w:val="00D95A4E"/>
    <w:rsid w:val="00D96D5D"/>
    <w:rsid w:val="00DA0D3D"/>
    <w:rsid w:val="00DA196D"/>
    <w:rsid w:val="00DA3906"/>
    <w:rsid w:val="00DA6530"/>
    <w:rsid w:val="00DA707D"/>
    <w:rsid w:val="00DB09FC"/>
    <w:rsid w:val="00DB38FF"/>
    <w:rsid w:val="00DB517C"/>
    <w:rsid w:val="00DB70DC"/>
    <w:rsid w:val="00DB79CE"/>
    <w:rsid w:val="00DC0C02"/>
    <w:rsid w:val="00DC15CC"/>
    <w:rsid w:val="00DC276D"/>
    <w:rsid w:val="00DC4C24"/>
    <w:rsid w:val="00DC6892"/>
    <w:rsid w:val="00DD001B"/>
    <w:rsid w:val="00DD0544"/>
    <w:rsid w:val="00DD75A8"/>
    <w:rsid w:val="00DD7E4B"/>
    <w:rsid w:val="00DE00F6"/>
    <w:rsid w:val="00DE1997"/>
    <w:rsid w:val="00DF2A91"/>
    <w:rsid w:val="00DF3AAB"/>
    <w:rsid w:val="00DF5CDD"/>
    <w:rsid w:val="00E01135"/>
    <w:rsid w:val="00E02F76"/>
    <w:rsid w:val="00E063B4"/>
    <w:rsid w:val="00E10ED9"/>
    <w:rsid w:val="00E1311E"/>
    <w:rsid w:val="00E140AB"/>
    <w:rsid w:val="00E14D4A"/>
    <w:rsid w:val="00E15C15"/>
    <w:rsid w:val="00E15E87"/>
    <w:rsid w:val="00E34CB7"/>
    <w:rsid w:val="00E422F6"/>
    <w:rsid w:val="00E476C1"/>
    <w:rsid w:val="00E47D0B"/>
    <w:rsid w:val="00E52B8F"/>
    <w:rsid w:val="00E57A5C"/>
    <w:rsid w:val="00E60776"/>
    <w:rsid w:val="00E664C4"/>
    <w:rsid w:val="00E66754"/>
    <w:rsid w:val="00E67CA2"/>
    <w:rsid w:val="00E709E2"/>
    <w:rsid w:val="00E76BD3"/>
    <w:rsid w:val="00E80ED9"/>
    <w:rsid w:val="00E8191F"/>
    <w:rsid w:val="00E82788"/>
    <w:rsid w:val="00E83362"/>
    <w:rsid w:val="00E84DA5"/>
    <w:rsid w:val="00E8535B"/>
    <w:rsid w:val="00E85FD4"/>
    <w:rsid w:val="00E862C5"/>
    <w:rsid w:val="00E86F09"/>
    <w:rsid w:val="00E94333"/>
    <w:rsid w:val="00E94C95"/>
    <w:rsid w:val="00E963EE"/>
    <w:rsid w:val="00EA3141"/>
    <w:rsid w:val="00EA5521"/>
    <w:rsid w:val="00EB0B7B"/>
    <w:rsid w:val="00EB4012"/>
    <w:rsid w:val="00EB4F61"/>
    <w:rsid w:val="00EB7A79"/>
    <w:rsid w:val="00EC1B94"/>
    <w:rsid w:val="00EC2F4E"/>
    <w:rsid w:val="00EC6B81"/>
    <w:rsid w:val="00EE125C"/>
    <w:rsid w:val="00EE3BD6"/>
    <w:rsid w:val="00EE47EF"/>
    <w:rsid w:val="00EE5004"/>
    <w:rsid w:val="00EE78D8"/>
    <w:rsid w:val="00EF3F8A"/>
    <w:rsid w:val="00EF584A"/>
    <w:rsid w:val="00EF589E"/>
    <w:rsid w:val="00EF5993"/>
    <w:rsid w:val="00EF61D7"/>
    <w:rsid w:val="00F026F0"/>
    <w:rsid w:val="00F04263"/>
    <w:rsid w:val="00F04B30"/>
    <w:rsid w:val="00F054CE"/>
    <w:rsid w:val="00F10DEE"/>
    <w:rsid w:val="00F10DEF"/>
    <w:rsid w:val="00F2010E"/>
    <w:rsid w:val="00F21A90"/>
    <w:rsid w:val="00F22045"/>
    <w:rsid w:val="00F2300E"/>
    <w:rsid w:val="00F2301D"/>
    <w:rsid w:val="00F241DE"/>
    <w:rsid w:val="00F24DDD"/>
    <w:rsid w:val="00F24F0A"/>
    <w:rsid w:val="00F26EBA"/>
    <w:rsid w:val="00F31BD8"/>
    <w:rsid w:val="00F3302B"/>
    <w:rsid w:val="00F3391D"/>
    <w:rsid w:val="00F349E8"/>
    <w:rsid w:val="00F40143"/>
    <w:rsid w:val="00F445CB"/>
    <w:rsid w:val="00F44AAF"/>
    <w:rsid w:val="00F50948"/>
    <w:rsid w:val="00F54583"/>
    <w:rsid w:val="00F54618"/>
    <w:rsid w:val="00F547D6"/>
    <w:rsid w:val="00F5546F"/>
    <w:rsid w:val="00F55611"/>
    <w:rsid w:val="00F55936"/>
    <w:rsid w:val="00F5620F"/>
    <w:rsid w:val="00F609D2"/>
    <w:rsid w:val="00F63821"/>
    <w:rsid w:val="00F65AD2"/>
    <w:rsid w:val="00F66D5E"/>
    <w:rsid w:val="00F67145"/>
    <w:rsid w:val="00F70E4E"/>
    <w:rsid w:val="00F71B9D"/>
    <w:rsid w:val="00F72E6B"/>
    <w:rsid w:val="00F73027"/>
    <w:rsid w:val="00F737B6"/>
    <w:rsid w:val="00F74B4F"/>
    <w:rsid w:val="00F763A2"/>
    <w:rsid w:val="00F7735A"/>
    <w:rsid w:val="00F774A9"/>
    <w:rsid w:val="00F80CE0"/>
    <w:rsid w:val="00F90781"/>
    <w:rsid w:val="00F92579"/>
    <w:rsid w:val="00F92936"/>
    <w:rsid w:val="00F93DBE"/>
    <w:rsid w:val="00F9575D"/>
    <w:rsid w:val="00F9602F"/>
    <w:rsid w:val="00F9774C"/>
    <w:rsid w:val="00FA4312"/>
    <w:rsid w:val="00FA6E21"/>
    <w:rsid w:val="00FB1A6C"/>
    <w:rsid w:val="00FB5764"/>
    <w:rsid w:val="00FC0406"/>
    <w:rsid w:val="00FC0B8E"/>
    <w:rsid w:val="00FC15DE"/>
    <w:rsid w:val="00FC1A9D"/>
    <w:rsid w:val="00FC2AD8"/>
    <w:rsid w:val="00FC46F8"/>
    <w:rsid w:val="00FC79EE"/>
    <w:rsid w:val="00FC7C6B"/>
    <w:rsid w:val="00FD2189"/>
    <w:rsid w:val="00FD509D"/>
    <w:rsid w:val="00FD5A6D"/>
    <w:rsid w:val="00FD6251"/>
    <w:rsid w:val="00FD6609"/>
    <w:rsid w:val="00FD72B2"/>
    <w:rsid w:val="00FE4523"/>
    <w:rsid w:val="00FE57C9"/>
    <w:rsid w:val="00FF3F27"/>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7394"/>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312"/>
  </w:style>
  <w:style w:type="paragraph" w:styleId="Footer">
    <w:name w:val="footer"/>
    <w:basedOn w:val="Normal"/>
    <w:link w:val="Foot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312"/>
  </w:style>
  <w:style w:type="paragraph" w:customStyle="1" w:styleId="Default">
    <w:name w:val="Default"/>
    <w:rsid w:val="00FA4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DA707D"/>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DA707D"/>
    <w:rPr>
      <w:rFonts w:ascii="Tahoma" w:hAnsi="Tahoma" w:cs="Tahoma"/>
      <w:sz w:val="16"/>
      <w:szCs w:val="16"/>
    </w:rPr>
  </w:style>
  <w:style w:type="character" w:customStyle="1" w:styleId="BalloonTextChar">
    <w:name w:val="Balloon Text Char"/>
    <w:basedOn w:val="DefaultParagraphFont"/>
    <w:link w:val="BalloonText"/>
    <w:uiPriority w:val="99"/>
    <w:semiHidden/>
    <w:rsid w:val="00DA707D"/>
    <w:rPr>
      <w:rFonts w:ascii="Tahoma" w:eastAsia="Times New Roman" w:hAnsi="Tahoma" w:cs="Tahoma"/>
      <w:sz w:val="16"/>
      <w:szCs w:val="16"/>
    </w:rPr>
  </w:style>
  <w:style w:type="character" w:styleId="Hyperlink">
    <w:name w:val="Hyperlink"/>
    <w:basedOn w:val="DefaultParagraphFont"/>
    <w:uiPriority w:val="99"/>
    <w:unhideWhenUsed/>
    <w:rsid w:val="00CE3DC8"/>
    <w:rPr>
      <w:color w:val="0000FF" w:themeColor="hyperlink"/>
      <w:u w:val="single"/>
    </w:rPr>
  </w:style>
  <w:style w:type="paragraph" w:customStyle="1" w:styleId="g">
    <w:name w:val="g"/>
    <w:basedOn w:val="Normal"/>
    <w:rsid w:val="008458C3"/>
    <w:pPr>
      <w:spacing w:before="240" w:after="240"/>
    </w:pPr>
  </w:style>
  <w:style w:type="character" w:styleId="CommentReference">
    <w:name w:val="annotation reference"/>
    <w:basedOn w:val="DefaultParagraphFont"/>
    <w:unhideWhenUsed/>
    <w:rsid w:val="00886A41"/>
    <w:rPr>
      <w:sz w:val="16"/>
      <w:szCs w:val="16"/>
    </w:rPr>
  </w:style>
  <w:style w:type="paragraph" w:styleId="CommentText">
    <w:name w:val="annotation text"/>
    <w:basedOn w:val="Normal"/>
    <w:link w:val="CommentTextChar"/>
    <w:unhideWhenUsed/>
    <w:rsid w:val="00886A41"/>
    <w:rPr>
      <w:sz w:val="20"/>
      <w:szCs w:val="20"/>
    </w:rPr>
  </w:style>
  <w:style w:type="character" w:customStyle="1" w:styleId="CommentTextChar">
    <w:name w:val="Comment Text Char"/>
    <w:basedOn w:val="DefaultParagraphFont"/>
    <w:link w:val="CommentText"/>
    <w:rsid w:val="0088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basedOn w:val="CommentTextChar"/>
    <w:link w:val="CommentSubject"/>
    <w:uiPriority w:val="99"/>
    <w:semiHidden/>
    <w:rsid w:val="00886A41"/>
    <w:rPr>
      <w:rFonts w:ascii="Times New Roman" w:eastAsia="Times New Roman" w:hAnsi="Times New Roman" w:cs="Times New Roman"/>
      <w:b/>
      <w:bCs/>
      <w:sz w:val="20"/>
      <w:szCs w:val="20"/>
    </w:rPr>
  </w:style>
  <w:style w:type="paragraph" w:styleId="ListParagraph">
    <w:name w:val="List Paragraph"/>
    <w:basedOn w:val="Normal"/>
    <w:uiPriority w:val="34"/>
    <w:qFormat/>
    <w:rsid w:val="009D40B2"/>
    <w:pPr>
      <w:ind w:left="720"/>
      <w:contextualSpacing/>
    </w:pPr>
  </w:style>
  <w:style w:type="numbering" w:customStyle="1" w:styleId="Style1">
    <w:name w:val="Style1"/>
    <w:rsid w:val="00D33C23"/>
    <w:pPr>
      <w:numPr>
        <w:numId w:val="4"/>
      </w:numPr>
    </w:pPr>
  </w:style>
  <w:style w:type="character" w:customStyle="1" w:styleId="Heading1Char">
    <w:name w:val="Heading 1 Char"/>
    <w:basedOn w:val="DefaultParagraphFont"/>
    <w:link w:val="Heading1"/>
    <w:rsid w:val="007F7394"/>
    <w:rPr>
      <w:rFonts w:ascii="Times New Roman" w:eastAsia="Times New Roman" w:hAnsi="Times New Roman" w:cs="Times New Roman"/>
      <w:b/>
      <w:bCs/>
      <w:smallCaps/>
      <w:sz w:val="24"/>
      <w:szCs w:val="24"/>
    </w:rPr>
  </w:style>
  <w:style w:type="table" w:styleId="TableGrid">
    <w:name w:val="Table Grid"/>
    <w:basedOn w:val="TableNormal"/>
    <w:rsid w:val="00146F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57B20"/>
    <w:rPr>
      <w:sz w:val="20"/>
      <w:szCs w:val="20"/>
    </w:rPr>
  </w:style>
  <w:style w:type="character" w:customStyle="1" w:styleId="FootnoteTextChar">
    <w:name w:val="Footnote Text Char"/>
    <w:basedOn w:val="DefaultParagraphFont"/>
    <w:link w:val="FootnoteText"/>
    <w:uiPriority w:val="99"/>
    <w:semiHidden/>
    <w:rsid w:val="00657B2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B20"/>
    <w:rPr>
      <w:vertAlign w:val="superscript"/>
    </w:rPr>
  </w:style>
  <w:style w:type="character" w:styleId="FollowedHyperlink">
    <w:name w:val="FollowedHyperlink"/>
    <w:basedOn w:val="DefaultParagraphFont"/>
    <w:uiPriority w:val="99"/>
    <w:semiHidden/>
    <w:unhideWhenUsed/>
    <w:rsid w:val="002250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7394"/>
    <w:pPr>
      <w:keepNext/>
      <w:jc w:val="center"/>
      <w:outlineLvl w:val="0"/>
    </w:pPr>
    <w:rPr>
      <w:b/>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A4312"/>
  </w:style>
  <w:style w:type="paragraph" w:styleId="Footer">
    <w:name w:val="footer"/>
    <w:basedOn w:val="Normal"/>
    <w:link w:val="FooterChar"/>
    <w:uiPriority w:val="99"/>
    <w:unhideWhenUsed/>
    <w:rsid w:val="00FA43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A4312"/>
  </w:style>
  <w:style w:type="paragraph" w:customStyle="1" w:styleId="Default">
    <w:name w:val="Default"/>
    <w:rsid w:val="00FA43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1">
    <w:name w:val="s1"/>
    <w:basedOn w:val="DefaultParagraphFont"/>
    <w:rsid w:val="00DA707D"/>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DA707D"/>
    <w:rPr>
      <w:rFonts w:ascii="Tahoma" w:hAnsi="Tahoma" w:cs="Tahoma"/>
      <w:sz w:val="16"/>
      <w:szCs w:val="16"/>
    </w:rPr>
  </w:style>
  <w:style w:type="character" w:customStyle="1" w:styleId="BalloonTextChar">
    <w:name w:val="Balloon Text Char"/>
    <w:basedOn w:val="DefaultParagraphFont"/>
    <w:link w:val="BalloonText"/>
    <w:uiPriority w:val="99"/>
    <w:semiHidden/>
    <w:rsid w:val="00DA707D"/>
    <w:rPr>
      <w:rFonts w:ascii="Tahoma" w:eastAsia="Times New Roman" w:hAnsi="Tahoma" w:cs="Tahoma"/>
      <w:sz w:val="16"/>
      <w:szCs w:val="16"/>
    </w:rPr>
  </w:style>
  <w:style w:type="character" w:styleId="Hyperlink">
    <w:name w:val="Hyperlink"/>
    <w:basedOn w:val="DefaultParagraphFont"/>
    <w:uiPriority w:val="99"/>
    <w:unhideWhenUsed/>
    <w:rsid w:val="00CE3DC8"/>
    <w:rPr>
      <w:color w:val="0000FF" w:themeColor="hyperlink"/>
      <w:u w:val="single"/>
    </w:rPr>
  </w:style>
  <w:style w:type="paragraph" w:customStyle="1" w:styleId="g">
    <w:name w:val="g"/>
    <w:basedOn w:val="Normal"/>
    <w:rsid w:val="008458C3"/>
    <w:pPr>
      <w:spacing w:before="240" w:after="240"/>
    </w:pPr>
  </w:style>
  <w:style w:type="character" w:styleId="CommentReference">
    <w:name w:val="annotation reference"/>
    <w:basedOn w:val="DefaultParagraphFont"/>
    <w:unhideWhenUsed/>
    <w:rsid w:val="00886A41"/>
    <w:rPr>
      <w:sz w:val="16"/>
      <w:szCs w:val="16"/>
    </w:rPr>
  </w:style>
  <w:style w:type="paragraph" w:styleId="CommentText">
    <w:name w:val="annotation text"/>
    <w:basedOn w:val="Normal"/>
    <w:link w:val="CommentTextChar"/>
    <w:unhideWhenUsed/>
    <w:rsid w:val="00886A41"/>
    <w:rPr>
      <w:sz w:val="20"/>
      <w:szCs w:val="20"/>
    </w:rPr>
  </w:style>
  <w:style w:type="character" w:customStyle="1" w:styleId="CommentTextChar">
    <w:name w:val="Comment Text Char"/>
    <w:basedOn w:val="DefaultParagraphFont"/>
    <w:link w:val="CommentText"/>
    <w:rsid w:val="00886A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6A41"/>
    <w:rPr>
      <w:b/>
      <w:bCs/>
    </w:rPr>
  </w:style>
  <w:style w:type="character" w:customStyle="1" w:styleId="CommentSubjectChar">
    <w:name w:val="Comment Subject Char"/>
    <w:basedOn w:val="CommentTextChar"/>
    <w:link w:val="CommentSubject"/>
    <w:uiPriority w:val="99"/>
    <w:semiHidden/>
    <w:rsid w:val="00886A41"/>
    <w:rPr>
      <w:rFonts w:ascii="Times New Roman" w:eastAsia="Times New Roman" w:hAnsi="Times New Roman" w:cs="Times New Roman"/>
      <w:b/>
      <w:bCs/>
      <w:sz w:val="20"/>
      <w:szCs w:val="20"/>
    </w:rPr>
  </w:style>
  <w:style w:type="paragraph" w:styleId="ListParagraph">
    <w:name w:val="List Paragraph"/>
    <w:basedOn w:val="Normal"/>
    <w:uiPriority w:val="34"/>
    <w:qFormat/>
    <w:rsid w:val="009D40B2"/>
    <w:pPr>
      <w:ind w:left="720"/>
      <w:contextualSpacing/>
    </w:pPr>
  </w:style>
  <w:style w:type="numbering" w:customStyle="1" w:styleId="Style1">
    <w:name w:val="Style1"/>
    <w:rsid w:val="00D33C23"/>
    <w:pPr>
      <w:numPr>
        <w:numId w:val="4"/>
      </w:numPr>
    </w:pPr>
  </w:style>
  <w:style w:type="character" w:customStyle="1" w:styleId="Heading1Char">
    <w:name w:val="Heading 1 Char"/>
    <w:basedOn w:val="DefaultParagraphFont"/>
    <w:link w:val="Heading1"/>
    <w:rsid w:val="007F7394"/>
    <w:rPr>
      <w:rFonts w:ascii="Times New Roman" w:eastAsia="Times New Roman" w:hAnsi="Times New Roman" w:cs="Times New Roman"/>
      <w:b/>
      <w:bCs/>
      <w:smallCaps/>
      <w:sz w:val="24"/>
      <w:szCs w:val="24"/>
    </w:rPr>
  </w:style>
  <w:style w:type="table" w:styleId="TableGrid">
    <w:name w:val="Table Grid"/>
    <w:basedOn w:val="TableNormal"/>
    <w:rsid w:val="00146F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57B20"/>
    <w:rPr>
      <w:sz w:val="20"/>
      <w:szCs w:val="20"/>
    </w:rPr>
  </w:style>
  <w:style w:type="character" w:customStyle="1" w:styleId="FootnoteTextChar">
    <w:name w:val="Footnote Text Char"/>
    <w:basedOn w:val="DefaultParagraphFont"/>
    <w:link w:val="FootnoteText"/>
    <w:uiPriority w:val="99"/>
    <w:semiHidden/>
    <w:rsid w:val="00657B2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57B20"/>
    <w:rPr>
      <w:vertAlign w:val="superscript"/>
    </w:rPr>
  </w:style>
  <w:style w:type="character" w:styleId="FollowedHyperlink">
    <w:name w:val="FollowedHyperlink"/>
    <w:basedOn w:val="DefaultParagraphFont"/>
    <w:uiPriority w:val="99"/>
    <w:semiHidden/>
    <w:unhideWhenUsed/>
    <w:rsid w:val="00225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655857">
      <w:bodyDiv w:val="1"/>
      <w:marLeft w:val="0"/>
      <w:marRight w:val="0"/>
      <w:marTop w:val="0"/>
      <w:marBottom w:val="0"/>
      <w:divBdr>
        <w:top w:val="none" w:sz="0" w:space="0" w:color="auto"/>
        <w:left w:val="none" w:sz="0" w:space="0" w:color="auto"/>
        <w:bottom w:val="none" w:sz="0" w:space="0" w:color="auto"/>
        <w:right w:val="none" w:sz="0" w:space="0" w:color="auto"/>
      </w:divBdr>
      <w:divsChild>
        <w:div w:id="1117064373">
          <w:marLeft w:val="0"/>
          <w:marRight w:val="0"/>
          <w:marTop w:val="0"/>
          <w:marBottom w:val="0"/>
          <w:divBdr>
            <w:top w:val="none" w:sz="0" w:space="0" w:color="auto"/>
            <w:left w:val="none" w:sz="0" w:space="0" w:color="auto"/>
            <w:bottom w:val="none" w:sz="0" w:space="0" w:color="auto"/>
            <w:right w:val="none" w:sz="0" w:space="0" w:color="auto"/>
          </w:divBdr>
        </w:div>
        <w:div w:id="195780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askafisheries.noaa.gov/ram/daily/cqenamescontacts.pdf" TargetMode="External"/><Relationship Id="rId5" Type="http://schemas.openxmlformats.org/officeDocument/2006/relationships/settings" Target="settings.xml"/><Relationship Id="rId15" Type="http://schemas.openxmlformats.org/officeDocument/2006/relationships/hyperlink" Target="http://alaskafisheries.noaa.gov/ram/llp.htm" TargetMode="External"/><Relationship Id="rId10" Type="http://schemas.openxmlformats.org/officeDocument/2006/relationships/hyperlink" Target="http://www.ecfr.gov/cgi-bin/text-idx?SID=c3f4a934de419ab9e1d3eaf7cefeab60&amp;tpl=/ecfrbrowse/Title50/50cfr679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NAOs/Chap_216/naos_216_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252D3-BF05-4F61-A7AC-BE939FB13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10590</Words>
  <Characters>73395</Characters>
  <Application>Microsoft Office Word</Application>
  <DocSecurity>0</DocSecurity>
  <Lines>3058</Lines>
  <Paragraphs>1953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5</cp:revision>
  <cp:lastPrinted>2013-10-29T13:21:00Z</cp:lastPrinted>
  <dcterms:created xsi:type="dcterms:W3CDTF">2014-01-16T18:19:00Z</dcterms:created>
  <dcterms:modified xsi:type="dcterms:W3CDTF">2014-01-16T20:07:00Z</dcterms:modified>
</cp:coreProperties>
</file>