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46AA2" w14:textId="77777777" w:rsidR="00132769" w:rsidRPr="00132769" w:rsidRDefault="00132769" w:rsidP="00132769">
      <w:pPr>
        <w:jc w:val="center"/>
        <w:rPr>
          <w:rFonts w:ascii="Times New Roman" w:hAnsi="Times New Roman"/>
          <w:b/>
          <w:smallCaps/>
        </w:rPr>
      </w:pPr>
      <w:bookmarkStart w:id="0" w:name="_GoBack"/>
      <w:bookmarkEnd w:id="0"/>
      <w:r w:rsidRPr="00132769">
        <w:rPr>
          <w:rFonts w:ascii="Times New Roman" w:hAnsi="Times New Roman"/>
          <w:b/>
        </w:rPr>
        <w:t>OMB Supporting Statement</w:t>
      </w:r>
      <w:r w:rsidRPr="00132769">
        <w:rPr>
          <w:rFonts w:ascii="Times New Roman" w:hAnsi="Times New Roman"/>
          <w:b/>
          <w:smallCaps/>
        </w:rPr>
        <w:t xml:space="preserve"> </w:t>
      </w:r>
      <w:r w:rsidRPr="00132769">
        <w:rPr>
          <w:rFonts w:ascii="Times New Roman" w:hAnsi="Times New Roman"/>
          <w:b/>
        </w:rPr>
        <w:t>for</w:t>
      </w:r>
      <w:r w:rsidRPr="00132769">
        <w:rPr>
          <w:rFonts w:ascii="Times New Roman" w:hAnsi="Times New Roman"/>
          <w:b/>
          <w:smallCaps/>
        </w:rPr>
        <w:t xml:space="preserve"> </w:t>
      </w:r>
      <w:r w:rsidRPr="00132769">
        <w:rPr>
          <w:rFonts w:ascii="Times New Roman" w:hAnsi="Times New Roman"/>
          <w:b/>
        </w:rPr>
        <w:t>the</w:t>
      </w:r>
    </w:p>
    <w:p w14:paraId="740B25BF" w14:textId="43D04306" w:rsidR="00C532AE" w:rsidRPr="00132769" w:rsidRDefault="00600F21" w:rsidP="00132769">
      <w:pPr>
        <w:widowControl/>
        <w:tabs>
          <w:tab w:val="left" w:pos="1080"/>
        </w:tabs>
        <w:ind w:left="1080" w:hanging="1080"/>
        <w:jc w:val="center"/>
        <w:rPr>
          <w:rFonts w:ascii="Times New Roman" w:hAnsi="Times New Roman"/>
          <w:b/>
          <w:szCs w:val="24"/>
        </w:rPr>
      </w:pPr>
      <w:r w:rsidRPr="00132769">
        <w:rPr>
          <w:rFonts w:ascii="Times New Roman" w:hAnsi="Times New Roman"/>
          <w:b/>
          <w:szCs w:val="24"/>
        </w:rPr>
        <w:t>Interchange Transaction Fees Surveys</w:t>
      </w:r>
    </w:p>
    <w:p w14:paraId="0BE738B5" w14:textId="59C1427F" w:rsidR="00137E5C" w:rsidRPr="00132769" w:rsidRDefault="00132769" w:rsidP="00132769">
      <w:pPr>
        <w:widowControl/>
        <w:tabs>
          <w:tab w:val="left" w:pos="1080"/>
        </w:tabs>
        <w:ind w:left="1080" w:hanging="1080"/>
        <w:jc w:val="center"/>
        <w:rPr>
          <w:rFonts w:ascii="Times New Roman" w:hAnsi="Times New Roman"/>
          <w:b/>
          <w:szCs w:val="24"/>
        </w:rPr>
      </w:pPr>
      <w:r w:rsidRPr="00132769">
        <w:rPr>
          <w:rFonts w:ascii="Times New Roman" w:hAnsi="Times New Roman"/>
          <w:b/>
          <w:szCs w:val="24"/>
        </w:rPr>
        <w:t>(FR 3064a and 3064b; OMB No. 7100-0344)</w:t>
      </w:r>
    </w:p>
    <w:p w14:paraId="00260A65" w14:textId="77777777" w:rsidR="00132769" w:rsidRPr="00132769" w:rsidRDefault="00132769" w:rsidP="00132769">
      <w:pPr>
        <w:widowControl/>
        <w:tabs>
          <w:tab w:val="left" w:pos="360"/>
        </w:tabs>
        <w:jc w:val="center"/>
        <w:rPr>
          <w:rFonts w:ascii="Times New Roman" w:hAnsi="Times New Roman"/>
          <w:b/>
          <w:szCs w:val="24"/>
        </w:rPr>
      </w:pPr>
    </w:p>
    <w:p w14:paraId="0BE738B9" w14:textId="77777777" w:rsidR="00137E5C" w:rsidRPr="00DA37DD" w:rsidRDefault="00137E5C">
      <w:pPr>
        <w:widowControl/>
        <w:tabs>
          <w:tab w:val="left" w:pos="360"/>
        </w:tabs>
        <w:rPr>
          <w:rFonts w:ascii="Times New Roman" w:hAnsi="Times New Roman"/>
          <w:szCs w:val="24"/>
        </w:rPr>
      </w:pPr>
      <w:r w:rsidRPr="00DA37DD">
        <w:rPr>
          <w:rFonts w:ascii="Times New Roman" w:hAnsi="Times New Roman"/>
          <w:b/>
          <w:szCs w:val="24"/>
        </w:rPr>
        <w:t>Summary</w:t>
      </w:r>
    </w:p>
    <w:p w14:paraId="0BE738BA" w14:textId="77777777" w:rsidR="00137E5C" w:rsidRPr="00DA37DD" w:rsidRDefault="00137E5C">
      <w:pPr>
        <w:widowControl/>
        <w:tabs>
          <w:tab w:val="left" w:pos="360"/>
        </w:tabs>
        <w:rPr>
          <w:rFonts w:ascii="Times New Roman" w:hAnsi="Times New Roman"/>
          <w:szCs w:val="24"/>
        </w:rPr>
      </w:pPr>
    </w:p>
    <w:p w14:paraId="5FE56297" w14:textId="1206F5C5" w:rsidR="002A79CC" w:rsidRPr="00DA37DD" w:rsidRDefault="00132769" w:rsidP="00381E42">
      <w:pPr>
        <w:widowControl/>
        <w:tabs>
          <w:tab w:val="left" w:pos="720"/>
        </w:tabs>
        <w:ind w:firstLine="720"/>
        <w:rPr>
          <w:rFonts w:ascii="Times New Roman" w:hAnsi="Times New Roman"/>
          <w:szCs w:val="24"/>
        </w:rPr>
      </w:pPr>
      <w:r w:rsidRPr="00740634">
        <w:rPr>
          <w:rFonts w:ascii="Times New Roman" w:hAnsi="Times New Roman"/>
        </w:rPr>
        <w:t>The Board of Governors of the Federal Reserve System (Board), under delegated authority from the Office of Management and Budget (OMB), proposes to</w:t>
      </w:r>
      <w:r w:rsidRPr="00DA37DD">
        <w:rPr>
          <w:rFonts w:ascii="Times New Roman" w:hAnsi="Times New Roman"/>
          <w:szCs w:val="24"/>
        </w:rPr>
        <w:t xml:space="preserve"> </w:t>
      </w:r>
      <w:r w:rsidR="009008F3" w:rsidRPr="00DA37DD">
        <w:rPr>
          <w:rFonts w:ascii="Times New Roman" w:hAnsi="Times New Roman"/>
          <w:szCs w:val="24"/>
        </w:rPr>
        <w:t>extend for three years</w:t>
      </w:r>
      <w:r w:rsidR="000E2D92" w:rsidRPr="00DA37DD">
        <w:rPr>
          <w:rFonts w:ascii="Times New Roman" w:hAnsi="Times New Roman"/>
          <w:szCs w:val="24"/>
        </w:rPr>
        <w:t xml:space="preserve">, with revision, </w:t>
      </w:r>
      <w:r w:rsidR="00137E5C" w:rsidRPr="00DA37DD">
        <w:rPr>
          <w:rFonts w:ascii="Times New Roman" w:hAnsi="Times New Roman"/>
          <w:szCs w:val="24"/>
        </w:rPr>
        <w:t>the</w:t>
      </w:r>
      <w:r w:rsidR="002A79CC" w:rsidRPr="00DA37DD">
        <w:rPr>
          <w:rFonts w:ascii="Times New Roman" w:hAnsi="Times New Roman"/>
          <w:szCs w:val="24"/>
        </w:rPr>
        <w:t xml:space="preserve"> following mandatory</w:t>
      </w:r>
      <w:r w:rsidR="000F560C">
        <w:rPr>
          <w:rFonts w:ascii="Times New Roman" w:hAnsi="Times New Roman"/>
          <w:szCs w:val="24"/>
        </w:rPr>
        <w:t xml:space="preserve"> </w:t>
      </w:r>
      <w:r w:rsidR="007110C5" w:rsidRPr="00DA37DD">
        <w:rPr>
          <w:rFonts w:ascii="Times New Roman" w:hAnsi="Times New Roman"/>
          <w:szCs w:val="24"/>
        </w:rPr>
        <w:t xml:space="preserve">interchange transaction fees </w:t>
      </w:r>
      <w:r w:rsidR="002A79CC" w:rsidRPr="00DA37DD">
        <w:rPr>
          <w:rFonts w:ascii="Times New Roman" w:hAnsi="Times New Roman"/>
          <w:szCs w:val="24"/>
        </w:rPr>
        <w:t xml:space="preserve">surveys (FR 3064a and </w:t>
      </w:r>
      <w:r w:rsidR="00F933CC" w:rsidRPr="00DA37DD">
        <w:rPr>
          <w:rFonts w:ascii="Times New Roman" w:hAnsi="Times New Roman"/>
          <w:szCs w:val="24"/>
        </w:rPr>
        <w:t>3064</w:t>
      </w:r>
      <w:r w:rsidR="002A79CC" w:rsidRPr="00DA37DD">
        <w:rPr>
          <w:rFonts w:ascii="Times New Roman" w:hAnsi="Times New Roman"/>
          <w:szCs w:val="24"/>
        </w:rPr>
        <w:t xml:space="preserve">b; </w:t>
      </w:r>
      <w:r w:rsidR="000F560C">
        <w:rPr>
          <w:rFonts w:ascii="Times New Roman" w:hAnsi="Times New Roman"/>
          <w:szCs w:val="24"/>
        </w:rPr>
        <w:t>OMB</w:t>
      </w:r>
      <w:r w:rsidR="000F560C" w:rsidRPr="00DA37DD">
        <w:rPr>
          <w:rFonts w:ascii="Times New Roman" w:hAnsi="Times New Roman"/>
          <w:szCs w:val="24"/>
        </w:rPr>
        <w:t xml:space="preserve"> </w:t>
      </w:r>
      <w:r w:rsidR="002A79CC" w:rsidRPr="00DA37DD">
        <w:rPr>
          <w:rFonts w:ascii="Times New Roman" w:hAnsi="Times New Roman"/>
          <w:szCs w:val="24"/>
        </w:rPr>
        <w:t>No. 7100-0344):</w:t>
      </w:r>
    </w:p>
    <w:p w14:paraId="2498E152" w14:textId="77777777" w:rsidR="007110C5" w:rsidRPr="00DA37DD" w:rsidRDefault="007110C5" w:rsidP="00381E42">
      <w:pPr>
        <w:widowControl/>
        <w:tabs>
          <w:tab w:val="left" w:pos="720"/>
        </w:tabs>
        <w:ind w:firstLine="720"/>
        <w:rPr>
          <w:rFonts w:ascii="Times New Roman" w:hAnsi="Times New Roman"/>
          <w:szCs w:val="24"/>
        </w:rPr>
      </w:pPr>
    </w:p>
    <w:p w14:paraId="4F984123" w14:textId="7973F600" w:rsidR="002A79CC" w:rsidRPr="00DA37DD" w:rsidRDefault="002A79CC" w:rsidP="000549B7">
      <w:pPr>
        <w:pStyle w:val="ListParagraph"/>
        <w:numPr>
          <w:ilvl w:val="0"/>
          <w:numId w:val="4"/>
        </w:numPr>
        <w:rPr>
          <w:rFonts w:ascii="Times New Roman" w:hAnsi="Times New Roman"/>
          <w:color w:val="000000"/>
          <w:sz w:val="24"/>
        </w:rPr>
      </w:pPr>
      <w:r w:rsidRPr="00DA37DD">
        <w:rPr>
          <w:rFonts w:ascii="Times New Roman" w:hAnsi="Times New Roman"/>
          <w:color w:val="000000"/>
          <w:sz w:val="24"/>
        </w:rPr>
        <w:t xml:space="preserve">The </w:t>
      </w:r>
      <w:r w:rsidRPr="00DA37DD">
        <w:rPr>
          <w:rFonts w:ascii="Times New Roman" w:hAnsi="Times New Roman"/>
          <w:b/>
          <w:color w:val="000000"/>
          <w:sz w:val="24"/>
        </w:rPr>
        <w:t>debit card issuer survey (FR 3064a)</w:t>
      </w:r>
      <w:r w:rsidRPr="00DA37DD">
        <w:rPr>
          <w:rFonts w:ascii="Times New Roman" w:hAnsi="Times New Roman"/>
          <w:color w:val="000000"/>
          <w:sz w:val="24"/>
        </w:rPr>
        <w:t xml:space="preserve"> collect</w:t>
      </w:r>
      <w:r w:rsidR="00E45626" w:rsidRPr="00DA37DD">
        <w:rPr>
          <w:rFonts w:ascii="Times New Roman" w:hAnsi="Times New Roman"/>
          <w:color w:val="000000"/>
          <w:sz w:val="24"/>
        </w:rPr>
        <w:t>s</w:t>
      </w:r>
      <w:r w:rsidRPr="00DA37DD">
        <w:rPr>
          <w:rFonts w:ascii="Times New Roman" w:hAnsi="Times New Roman"/>
          <w:color w:val="000000"/>
          <w:sz w:val="24"/>
        </w:rPr>
        <w:t xml:space="preserve"> data from issuers of debit cards (including general-use prepaid cards) that, together with affiliates, have assets of $10 billion or more, including information regarding the volume and value of debit card (including general-use prepaid card) transactions, costs of authorization, clearance, and settlement of debit card transactions, associated interchange fees, payments</w:t>
      </w:r>
      <w:r w:rsidR="00691436" w:rsidRPr="00DA37DD">
        <w:rPr>
          <w:rFonts w:ascii="Times New Roman" w:hAnsi="Times New Roman"/>
          <w:color w:val="000000"/>
          <w:sz w:val="24"/>
        </w:rPr>
        <w:t>,</w:t>
      </w:r>
      <w:r w:rsidRPr="00DA37DD">
        <w:rPr>
          <w:rFonts w:ascii="Times New Roman" w:hAnsi="Times New Roman"/>
          <w:color w:val="000000"/>
          <w:sz w:val="24"/>
        </w:rPr>
        <w:t xml:space="preserve"> and incentives paid by networks to issuers, and the incidence of and losses due to debit card fraud.</w:t>
      </w:r>
    </w:p>
    <w:p w14:paraId="1F07B4BB" w14:textId="77777777" w:rsidR="002A79CC" w:rsidRPr="00DA37DD" w:rsidRDefault="002A79CC" w:rsidP="002A79CC">
      <w:pPr>
        <w:autoSpaceDE w:val="0"/>
        <w:autoSpaceDN w:val="0"/>
        <w:adjustRightInd w:val="0"/>
        <w:ind w:firstLine="720"/>
        <w:rPr>
          <w:rFonts w:ascii="Times New Roman" w:hAnsi="Times New Roman"/>
          <w:snapToGrid/>
          <w:color w:val="000000"/>
          <w:szCs w:val="24"/>
        </w:rPr>
      </w:pPr>
    </w:p>
    <w:p w14:paraId="05AD3BAF" w14:textId="4F64348D" w:rsidR="002A79CC" w:rsidRPr="00DA37DD" w:rsidRDefault="002A79CC" w:rsidP="000549B7">
      <w:pPr>
        <w:pStyle w:val="ListParagraph"/>
        <w:numPr>
          <w:ilvl w:val="0"/>
          <w:numId w:val="4"/>
        </w:numPr>
        <w:rPr>
          <w:rFonts w:ascii="Times New Roman" w:hAnsi="Times New Roman"/>
          <w:color w:val="000000"/>
          <w:sz w:val="24"/>
        </w:rPr>
      </w:pPr>
      <w:r w:rsidRPr="00DA37DD">
        <w:rPr>
          <w:rFonts w:ascii="Times New Roman" w:hAnsi="Times New Roman"/>
          <w:color w:val="000000"/>
          <w:sz w:val="24"/>
        </w:rPr>
        <w:t xml:space="preserve">The </w:t>
      </w:r>
      <w:r w:rsidRPr="00DA37DD">
        <w:rPr>
          <w:rFonts w:ascii="Times New Roman" w:hAnsi="Times New Roman"/>
          <w:b/>
          <w:color w:val="000000"/>
          <w:sz w:val="24"/>
        </w:rPr>
        <w:t>payment card network survey (FR 3064b)</w:t>
      </w:r>
      <w:r w:rsidRPr="00DA37DD">
        <w:rPr>
          <w:rFonts w:ascii="Times New Roman" w:hAnsi="Times New Roman"/>
          <w:color w:val="000000"/>
          <w:sz w:val="24"/>
        </w:rPr>
        <w:t xml:space="preserve"> collect</w:t>
      </w:r>
      <w:r w:rsidR="00E45626" w:rsidRPr="00DA37DD">
        <w:rPr>
          <w:rFonts w:ascii="Times New Roman" w:hAnsi="Times New Roman"/>
          <w:color w:val="000000"/>
          <w:sz w:val="24"/>
        </w:rPr>
        <w:t>s</w:t>
      </w:r>
      <w:r w:rsidRPr="00DA37DD">
        <w:rPr>
          <w:rFonts w:ascii="Times New Roman" w:hAnsi="Times New Roman"/>
          <w:color w:val="000000"/>
          <w:sz w:val="24"/>
        </w:rPr>
        <w:t xml:space="preserve"> data from payment card networks including the volume and value of debit card (including general-use prepaid card) transactions; associated interchange fees; network fees; and payments and incentives paid by networks to acquirers, merchants, and issuers.</w:t>
      </w:r>
    </w:p>
    <w:p w14:paraId="61D76291" w14:textId="77777777" w:rsidR="002A79CC" w:rsidRPr="00DA37DD" w:rsidRDefault="002A79CC" w:rsidP="002A79CC">
      <w:pPr>
        <w:autoSpaceDE w:val="0"/>
        <w:autoSpaceDN w:val="0"/>
        <w:adjustRightInd w:val="0"/>
        <w:ind w:firstLine="720"/>
        <w:rPr>
          <w:rFonts w:ascii="Times New Roman" w:hAnsi="Times New Roman"/>
          <w:snapToGrid/>
          <w:color w:val="000000"/>
          <w:szCs w:val="24"/>
        </w:rPr>
      </w:pPr>
    </w:p>
    <w:p w14:paraId="7D2AC9CF" w14:textId="11BCAB9A" w:rsidR="007110C5" w:rsidRPr="00DA37DD" w:rsidRDefault="002671F5" w:rsidP="00A24AA9">
      <w:pPr>
        <w:pStyle w:val="BodyText"/>
        <w:ind w:firstLine="720"/>
        <w:rPr>
          <w:rFonts w:ascii="Times New Roman" w:hAnsi="Times New Roman"/>
          <w:szCs w:val="24"/>
        </w:rPr>
      </w:pPr>
      <w:r w:rsidRPr="00DA37DD">
        <w:rPr>
          <w:rFonts w:ascii="Times New Roman" w:hAnsi="Times New Roman"/>
          <w:color w:val="000000"/>
          <w:szCs w:val="24"/>
        </w:rPr>
        <w:t xml:space="preserve">The Wall Street Reform and Consumer Protection Act of 2010 (Dodd-Frank Act) requires the Board to disclose, at least every two years, such </w:t>
      </w:r>
      <w:r w:rsidR="007110C5" w:rsidRPr="00DA37DD">
        <w:rPr>
          <w:rFonts w:ascii="Times New Roman" w:hAnsi="Times New Roman"/>
          <w:color w:val="000000"/>
          <w:szCs w:val="24"/>
        </w:rPr>
        <w:t>aggregate or summary information concerning the costs incurred for, and interchange transaction fees received by, issuers with respect to debit card transactions</w:t>
      </w:r>
      <w:r w:rsidRPr="00DA37DD">
        <w:rPr>
          <w:rFonts w:ascii="Times New Roman" w:hAnsi="Times New Roman"/>
          <w:color w:val="000000"/>
          <w:szCs w:val="24"/>
        </w:rPr>
        <w:t xml:space="preserve"> as the Board considers appropriate or in the public interest</w:t>
      </w:r>
      <w:r w:rsidR="007110C5" w:rsidRPr="00DA37DD">
        <w:rPr>
          <w:rFonts w:ascii="Times New Roman" w:hAnsi="Times New Roman"/>
          <w:color w:val="000000"/>
          <w:szCs w:val="24"/>
        </w:rPr>
        <w:t>.</w:t>
      </w:r>
      <w:r w:rsidR="007110C5" w:rsidRPr="00DA37DD">
        <w:rPr>
          <w:rFonts w:ascii="Times New Roman" w:hAnsi="Times New Roman"/>
          <w:szCs w:val="24"/>
        </w:rPr>
        <w:t xml:space="preserve">  </w:t>
      </w:r>
      <w:r w:rsidRPr="00DA37DD">
        <w:rPr>
          <w:rFonts w:ascii="Times New Roman" w:hAnsi="Times New Roman"/>
          <w:szCs w:val="24"/>
        </w:rPr>
        <w:t xml:space="preserve">  The data from these surveys are used in fulfilling that disclosure requirement.  </w:t>
      </w:r>
      <w:r w:rsidR="007110C5" w:rsidRPr="00DA37DD">
        <w:rPr>
          <w:rFonts w:ascii="Times New Roman" w:hAnsi="Times New Roman"/>
          <w:szCs w:val="24"/>
        </w:rPr>
        <w:t xml:space="preserve">In addition, </w:t>
      </w:r>
      <w:r w:rsidRPr="00DA37DD">
        <w:rPr>
          <w:rFonts w:ascii="Times New Roman" w:hAnsi="Times New Roman"/>
          <w:szCs w:val="24"/>
        </w:rPr>
        <w:t xml:space="preserve">the </w:t>
      </w:r>
      <w:r w:rsidR="007110C5" w:rsidRPr="00DA37DD">
        <w:rPr>
          <w:rFonts w:ascii="Times New Roman" w:hAnsi="Times New Roman"/>
          <w:szCs w:val="24"/>
        </w:rPr>
        <w:t>Board use</w:t>
      </w:r>
      <w:r w:rsidRPr="00DA37DD">
        <w:rPr>
          <w:rFonts w:ascii="Times New Roman" w:hAnsi="Times New Roman"/>
          <w:szCs w:val="24"/>
        </w:rPr>
        <w:t>s</w:t>
      </w:r>
      <w:r w:rsidR="007110C5" w:rsidRPr="00DA37DD">
        <w:rPr>
          <w:rFonts w:ascii="Times New Roman" w:hAnsi="Times New Roman"/>
          <w:szCs w:val="24"/>
        </w:rPr>
        <w:t xml:space="preserve"> data from the payment card network survey (FR 3064b) to </w:t>
      </w:r>
      <w:r w:rsidR="004F5231" w:rsidRPr="00DA37DD">
        <w:rPr>
          <w:rFonts w:ascii="Times New Roman" w:hAnsi="Times New Roman"/>
          <w:szCs w:val="24"/>
        </w:rPr>
        <w:t xml:space="preserve">publicly </w:t>
      </w:r>
      <w:r w:rsidR="007110C5" w:rsidRPr="00DA37DD">
        <w:rPr>
          <w:rFonts w:ascii="Times New Roman" w:hAnsi="Times New Roman"/>
          <w:szCs w:val="24"/>
        </w:rPr>
        <w:t xml:space="preserve">report </w:t>
      </w:r>
      <w:r w:rsidR="001C26DF" w:rsidRPr="00DA37DD">
        <w:rPr>
          <w:rFonts w:ascii="Times New Roman" w:hAnsi="Times New Roman"/>
          <w:szCs w:val="24"/>
        </w:rPr>
        <w:t xml:space="preserve">on an annual basis </w:t>
      </w:r>
      <w:r w:rsidR="007110C5" w:rsidRPr="00DA37DD">
        <w:rPr>
          <w:rFonts w:ascii="Times New Roman" w:hAnsi="Times New Roman"/>
          <w:szCs w:val="24"/>
        </w:rPr>
        <w:t>the extent to which networks have established separate interchange fee</w:t>
      </w:r>
      <w:r w:rsidR="004F5231" w:rsidRPr="00DA37DD">
        <w:rPr>
          <w:rFonts w:ascii="Times New Roman" w:hAnsi="Times New Roman"/>
          <w:szCs w:val="24"/>
        </w:rPr>
        <w:t>s</w:t>
      </w:r>
      <w:r w:rsidR="007110C5" w:rsidRPr="00DA37DD">
        <w:rPr>
          <w:rFonts w:ascii="Times New Roman" w:hAnsi="Times New Roman"/>
          <w:szCs w:val="24"/>
        </w:rPr>
        <w:t xml:space="preserve"> for exempt and covered issuers.</w:t>
      </w:r>
      <w:r w:rsidR="009B2211" w:rsidRPr="00DA37DD">
        <w:rPr>
          <w:rStyle w:val="FootnoteReference"/>
          <w:rFonts w:ascii="Times New Roman" w:hAnsi="Times New Roman"/>
          <w:szCs w:val="24"/>
          <w:vertAlign w:val="superscript"/>
        </w:rPr>
        <w:footnoteReference w:id="2"/>
      </w:r>
      <w:r w:rsidR="007110C5" w:rsidRPr="00DA37DD">
        <w:rPr>
          <w:rFonts w:ascii="Times New Roman" w:hAnsi="Times New Roman"/>
          <w:szCs w:val="24"/>
        </w:rPr>
        <w:t xml:space="preserve">  </w:t>
      </w:r>
      <w:r w:rsidRPr="00DA37DD">
        <w:rPr>
          <w:rFonts w:ascii="Times New Roman" w:hAnsi="Times New Roman"/>
          <w:szCs w:val="24"/>
        </w:rPr>
        <w:t xml:space="preserve">Finally, the Board uses the data from these surveys in determining whether to propose revisions to the interchange fee standards in Regulation II (12 CFR Part 235).  </w:t>
      </w:r>
      <w:r w:rsidR="007110C5" w:rsidRPr="00DA37DD">
        <w:rPr>
          <w:rFonts w:ascii="Times New Roman" w:hAnsi="Times New Roman"/>
          <w:szCs w:val="24"/>
        </w:rPr>
        <w:t xml:space="preserve">The Dodd-Frank Act provides the Board with authority to require debit card issuers and payment card networks </w:t>
      </w:r>
      <w:r w:rsidRPr="00DA37DD">
        <w:rPr>
          <w:rFonts w:ascii="Times New Roman" w:hAnsi="Times New Roman"/>
          <w:szCs w:val="24"/>
        </w:rPr>
        <w:t xml:space="preserve">to submit information </w:t>
      </w:r>
      <w:r w:rsidR="007110C5" w:rsidRPr="00DA37DD">
        <w:rPr>
          <w:rFonts w:ascii="Times New Roman" w:hAnsi="Times New Roman"/>
          <w:szCs w:val="24"/>
        </w:rPr>
        <w:t>in order to carry out provisions of the Dodd-Frank Act regarding interchange fee standards.</w:t>
      </w:r>
    </w:p>
    <w:p w14:paraId="0BE738BE" w14:textId="5348BA52" w:rsidR="00137E5C" w:rsidRPr="00DA37DD" w:rsidRDefault="00137E5C" w:rsidP="00381E42">
      <w:pPr>
        <w:widowControl/>
        <w:tabs>
          <w:tab w:val="left" w:pos="720"/>
        </w:tabs>
        <w:rPr>
          <w:rFonts w:ascii="Times New Roman" w:hAnsi="Times New Roman"/>
          <w:szCs w:val="24"/>
        </w:rPr>
      </w:pPr>
    </w:p>
    <w:p w14:paraId="63AA62C0" w14:textId="6575722E" w:rsidR="00541EF5" w:rsidRPr="00DA37DD" w:rsidRDefault="00132769" w:rsidP="001C26DF">
      <w:pPr>
        <w:widowControl/>
        <w:tabs>
          <w:tab w:val="left" w:pos="720"/>
        </w:tabs>
        <w:ind w:firstLine="720"/>
        <w:rPr>
          <w:rFonts w:ascii="Times New Roman" w:hAnsi="Times New Roman"/>
          <w:snapToGrid/>
          <w:color w:val="000000"/>
          <w:szCs w:val="24"/>
          <w:highlight w:val="yellow"/>
        </w:rPr>
      </w:pPr>
      <w:r>
        <w:rPr>
          <w:rFonts w:ascii="Times New Roman" w:hAnsi="Times New Roman"/>
          <w:snapToGrid/>
          <w:color w:val="000000"/>
          <w:szCs w:val="24"/>
        </w:rPr>
        <w:t xml:space="preserve">The Federal Reserve </w:t>
      </w:r>
      <w:r w:rsidR="004F5231" w:rsidRPr="00DA37DD">
        <w:rPr>
          <w:rFonts w:ascii="Times New Roman" w:hAnsi="Times New Roman"/>
          <w:snapToGrid/>
          <w:color w:val="000000"/>
          <w:szCs w:val="24"/>
        </w:rPr>
        <w:t>propose</w:t>
      </w:r>
      <w:r w:rsidR="003E1C8E" w:rsidRPr="00DA37DD">
        <w:rPr>
          <w:rFonts w:ascii="Times New Roman" w:hAnsi="Times New Roman"/>
          <w:snapToGrid/>
          <w:color w:val="000000"/>
          <w:szCs w:val="24"/>
        </w:rPr>
        <w:t>s to</w:t>
      </w:r>
      <w:r w:rsidR="004F5231" w:rsidRPr="00DA37DD">
        <w:rPr>
          <w:rFonts w:ascii="Times New Roman" w:hAnsi="Times New Roman"/>
          <w:snapToGrid/>
          <w:color w:val="000000"/>
          <w:szCs w:val="24"/>
        </w:rPr>
        <w:t xml:space="preserve"> </w:t>
      </w:r>
      <w:r w:rsidR="002671F5" w:rsidRPr="00DA37DD">
        <w:rPr>
          <w:rFonts w:ascii="Times New Roman" w:hAnsi="Times New Roman"/>
          <w:snapToGrid/>
          <w:color w:val="000000"/>
          <w:szCs w:val="24"/>
        </w:rPr>
        <w:t>revis</w:t>
      </w:r>
      <w:r w:rsidR="003E1C8E" w:rsidRPr="00DA37DD">
        <w:rPr>
          <w:rFonts w:ascii="Times New Roman" w:hAnsi="Times New Roman"/>
          <w:snapToGrid/>
          <w:color w:val="000000"/>
          <w:szCs w:val="24"/>
        </w:rPr>
        <w:t>e</w:t>
      </w:r>
      <w:r w:rsidR="002671F5" w:rsidRPr="00DA37DD">
        <w:rPr>
          <w:rFonts w:ascii="Times New Roman" w:hAnsi="Times New Roman"/>
          <w:snapToGrid/>
          <w:color w:val="000000"/>
          <w:szCs w:val="24"/>
        </w:rPr>
        <w:t xml:space="preserve"> the</w:t>
      </w:r>
      <w:r w:rsidR="000549B7" w:rsidRPr="00DA37DD">
        <w:rPr>
          <w:rFonts w:ascii="Times New Roman" w:hAnsi="Times New Roman"/>
          <w:snapToGrid/>
          <w:color w:val="000000"/>
          <w:szCs w:val="24"/>
        </w:rPr>
        <w:t xml:space="preserve"> </w:t>
      </w:r>
      <w:r w:rsidR="00545DD8" w:rsidRPr="00DA37DD">
        <w:rPr>
          <w:rFonts w:ascii="Times New Roman" w:hAnsi="Times New Roman"/>
          <w:snapToGrid/>
          <w:color w:val="000000"/>
          <w:szCs w:val="24"/>
        </w:rPr>
        <w:t>debit card issuer survey (FR 3064a)</w:t>
      </w:r>
      <w:r w:rsidR="00541EF5" w:rsidRPr="00DA37DD">
        <w:rPr>
          <w:rFonts w:ascii="Times New Roman" w:hAnsi="Times New Roman"/>
          <w:snapToGrid/>
          <w:color w:val="000000"/>
          <w:szCs w:val="24"/>
        </w:rPr>
        <w:t xml:space="preserve"> to collect data on costs of authorization, clearance</w:t>
      </w:r>
      <w:r w:rsidR="001C6260" w:rsidRPr="00DA37DD">
        <w:rPr>
          <w:rFonts w:ascii="Times New Roman" w:hAnsi="Times New Roman"/>
          <w:snapToGrid/>
          <w:color w:val="000000"/>
          <w:szCs w:val="24"/>
        </w:rPr>
        <w:t>,</w:t>
      </w:r>
      <w:r w:rsidR="00541EF5" w:rsidRPr="00DA37DD">
        <w:rPr>
          <w:rFonts w:ascii="Times New Roman" w:hAnsi="Times New Roman"/>
          <w:snapToGrid/>
          <w:color w:val="000000"/>
          <w:szCs w:val="24"/>
        </w:rPr>
        <w:t xml:space="preserve"> and settlement broken out </w:t>
      </w:r>
      <w:r w:rsidR="001C6260" w:rsidRPr="00DA37DD">
        <w:rPr>
          <w:rFonts w:ascii="Times New Roman" w:hAnsi="Times New Roman"/>
          <w:snapToGrid/>
          <w:color w:val="000000"/>
          <w:szCs w:val="24"/>
        </w:rPr>
        <w:t xml:space="preserve">by </w:t>
      </w:r>
      <w:r w:rsidR="00541EF5" w:rsidRPr="00DA37DD">
        <w:rPr>
          <w:rFonts w:ascii="Times New Roman" w:hAnsi="Times New Roman"/>
          <w:snapToGrid/>
          <w:color w:val="000000"/>
          <w:szCs w:val="24"/>
        </w:rPr>
        <w:t>variable costs and fixed costs</w:t>
      </w:r>
      <w:r w:rsidR="008F339C" w:rsidRPr="00DA37DD">
        <w:rPr>
          <w:rFonts w:ascii="Times New Roman" w:hAnsi="Times New Roman"/>
          <w:snapToGrid/>
          <w:color w:val="000000"/>
          <w:szCs w:val="24"/>
        </w:rPr>
        <w:t>, and to instruct respondents to exclude transactions monitoring from the calculation of costs of authorization, clearance</w:t>
      </w:r>
      <w:r w:rsidR="00430A73" w:rsidRPr="00DA37DD">
        <w:rPr>
          <w:rFonts w:ascii="Times New Roman" w:hAnsi="Times New Roman"/>
          <w:snapToGrid/>
          <w:color w:val="000000"/>
          <w:szCs w:val="24"/>
        </w:rPr>
        <w:t>,</w:t>
      </w:r>
      <w:r w:rsidR="008F339C" w:rsidRPr="00DA37DD">
        <w:rPr>
          <w:rFonts w:ascii="Times New Roman" w:hAnsi="Times New Roman"/>
          <w:snapToGrid/>
          <w:color w:val="000000"/>
          <w:szCs w:val="24"/>
        </w:rPr>
        <w:t xml:space="preserve"> and settlement</w:t>
      </w:r>
      <w:r w:rsidR="00651134">
        <w:rPr>
          <w:rFonts w:ascii="Times New Roman" w:hAnsi="Times New Roman"/>
          <w:snapToGrid/>
          <w:color w:val="000000"/>
          <w:szCs w:val="24"/>
        </w:rPr>
        <w:t xml:space="preserve">.  </w:t>
      </w:r>
      <w:r w:rsidR="003E1C8E" w:rsidRPr="00DA37DD">
        <w:rPr>
          <w:rFonts w:ascii="Times New Roman" w:hAnsi="Times New Roman"/>
          <w:snapToGrid/>
          <w:color w:val="000000"/>
          <w:szCs w:val="24"/>
        </w:rPr>
        <w:t xml:space="preserve">In addition, </w:t>
      </w:r>
      <w:r>
        <w:rPr>
          <w:rFonts w:ascii="Times New Roman" w:hAnsi="Times New Roman"/>
          <w:snapToGrid/>
          <w:color w:val="000000"/>
          <w:szCs w:val="24"/>
        </w:rPr>
        <w:t xml:space="preserve">the Federal Reserve </w:t>
      </w:r>
      <w:r w:rsidR="003E1C8E" w:rsidRPr="00DA37DD">
        <w:rPr>
          <w:rFonts w:ascii="Times New Roman" w:hAnsi="Times New Roman"/>
          <w:snapToGrid/>
          <w:color w:val="000000"/>
          <w:szCs w:val="24"/>
        </w:rPr>
        <w:t>proposes</w:t>
      </w:r>
      <w:r w:rsidR="00D50D1D" w:rsidRPr="00DA37DD">
        <w:rPr>
          <w:rFonts w:ascii="Times New Roman" w:hAnsi="Times New Roman"/>
          <w:snapToGrid/>
          <w:color w:val="000000"/>
          <w:szCs w:val="24"/>
        </w:rPr>
        <w:t xml:space="preserve"> that, for the data collection for calendar year 2013, the survey be </w:t>
      </w:r>
      <w:r w:rsidR="00CB7EE6" w:rsidRPr="00DA37DD">
        <w:rPr>
          <w:rFonts w:ascii="Times New Roman" w:hAnsi="Times New Roman"/>
          <w:snapToGrid/>
          <w:color w:val="000000"/>
          <w:szCs w:val="24"/>
        </w:rPr>
        <w:t xml:space="preserve">made </w:t>
      </w:r>
      <w:r w:rsidR="00D50D1D" w:rsidRPr="00DA37DD">
        <w:rPr>
          <w:rFonts w:ascii="Times New Roman" w:hAnsi="Times New Roman"/>
          <w:snapToGrid/>
          <w:color w:val="000000"/>
          <w:szCs w:val="24"/>
        </w:rPr>
        <w:t xml:space="preserve">available to respondents </w:t>
      </w:r>
      <w:r w:rsidR="002E13D6" w:rsidRPr="00DA37DD">
        <w:rPr>
          <w:rFonts w:ascii="Times New Roman" w:hAnsi="Times New Roman"/>
          <w:snapToGrid/>
          <w:color w:val="000000"/>
          <w:szCs w:val="24"/>
        </w:rPr>
        <w:t>by</w:t>
      </w:r>
      <w:r w:rsidR="00D50D1D" w:rsidRPr="00DA37DD">
        <w:rPr>
          <w:rFonts w:ascii="Times New Roman" w:hAnsi="Times New Roman"/>
          <w:snapToGrid/>
          <w:color w:val="000000"/>
          <w:szCs w:val="24"/>
        </w:rPr>
        <w:t xml:space="preserve"> February </w:t>
      </w:r>
      <w:r w:rsidR="00814A3C">
        <w:rPr>
          <w:rFonts w:ascii="Times New Roman" w:hAnsi="Times New Roman"/>
          <w:snapToGrid/>
          <w:color w:val="000000"/>
          <w:szCs w:val="24"/>
        </w:rPr>
        <w:t>3</w:t>
      </w:r>
      <w:r w:rsidR="00D50D1D" w:rsidRPr="00DA37DD">
        <w:rPr>
          <w:rFonts w:ascii="Times New Roman" w:hAnsi="Times New Roman"/>
          <w:snapToGrid/>
          <w:color w:val="000000"/>
          <w:szCs w:val="24"/>
        </w:rPr>
        <w:t>, 2014</w:t>
      </w:r>
      <w:r w:rsidR="00E70B15" w:rsidRPr="00DA37DD">
        <w:rPr>
          <w:rFonts w:ascii="Times New Roman" w:hAnsi="Times New Roman"/>
          <w:snapToGrid/>
          <w:color w:val="000000"/>
          <w:szCs w:val="24"/>
        </w:rPr>
        <w:t xml:space="preserve">, with a filing deadline of </w:t>
      </w:r>
      <w:r w:rsidR="00D50D1D" w:rsidRPr="00DA37DD">
        <w:rPr>
          <w:rFonts w:ascii="Times New Roman" w:hAnsi="Times New Roman"/>
          <w:snapToGrid/>
          <w:color w:val="000000"/>
          <w:szCs w:val="24"/>
        </w:rPr>
        <w:t xml:space="preserve">March 17, 2014.  </w:t>
      </w:r>
      <w:r w:rsidR="004F5231" w:rsidRPr="00DA37DD">
        <w:rPr>
          <w:rFonts w:ascii="Times New Roman" w:hAnsi="Times New Roman"/>
          <w:snapToGrid/>
          <w:color w:val="000000"/>
          <w:szCs w:val="24"/>
          <w:highlight w:val="yellow"/>
        </w:rPr>
        <w:t xml:space="preserve">  </w:t>
      </w:r>
      <w:r w:rsidR="000549B7" w:rsidRPr="00DA37DD">
        <w:rPr>
          <w:rFonts w:ascii="Times New Roman" w:hAnsi="Times New Roman"/>
          <w:snapToGrid/>
          <w:color w:val="000000"/>
          <w:szCs w:val="24"/>
          <w:highlight w:val="yellow"/>
        </w:rPr>
        <w:t xml:space="preserve"> </w:t>
      </w:r>
    </w:p>
    <w:p w14:paraId="557228AD" w14:textId="77777777" w:rsidR="00541EF5" w:rsidRPr="00DA37DD" w:rsidRDefault="00541EF5" w:rsidP="001C26DF">
      <w:pPr>
        <w:widowControl/>
        <w:tabs>
          <w:tab w:val="left" w:pos="720"/>
        </w:tabs>
        <w:ind w:firstLine="720"/>
        <w:rPr>
          <w:rFonts w:ascii="Times New Roman" w:hAnsi="Times New Roman"/>
          <w:snapToGrid/>
          <w:color w:val="000000"/>
          <w:szCs w:val="24"/>
          <w:highlight w:val="yellow"/>
        </w:rPr>
      </w:pPr>
    </w:p>
    <w:p w14:paraId="5740B567" w14:textId="306FF8CD" w:rsidR="00A77421" w:rsidRPr="00DA37DD" w:rsidRDefault="00132769" w:rsidP="001C26DF">
      <w:pPr>
        <w:widowControl/>
        <w:tabs>
          <w:tab w:val="left" w:pos="720"/>
        </w:tabs>
        <w:ind w:firstLine="720"/>
        <w:rPr>
          <w:rFonts w:ascii="Times New Roman" w:hAnsi="Times New Roman"/>
          <w:szCs w:val="24"/>
          <w:highlight w:val="yellow"/>
        </w:rPr>
      </w:pPr>
      <w:r>
        <w:rPr>
          <w:rFonts w:ascii="Times New Roman" w:hAnsi="Times New Roman"/>
        </w:rPr>
        <w:t xml:space="preserve">The </w:t>
      </w:r>
      <w:r w:rsidRPr="000D7403">
        <w:rPr>
          <w:rFonts w:ascii="Times New Roman" w:hAnsi="Times New Roman"/>
        </w:rPr>
        <w:t xml:space="preserve">Federal Reserve </w:t>
      </w:r>
      <w:r w:rsidR="000E2D92" w:rsidRPr="00DA37DD">
        <w:rPr>
          <w:rFonts w:ascii="Times New Roman" w:hAnsi="Times New Roman"/>
          <w:szCs w:val="24"/>
        </w:rPr>
        <w:t>propose</w:t>
      </w:r>
      <w:r w:rsidR="00496068" w:rsidRPr="00DA37DD">
        <w:rPr>
          <w:rFonts w:ascii="Times New Roman" w:hAnsi="Times New Roman"/>
          <w:szCs w:val="24"/>
        </w:rPr>
        <w:t>s to</w:t>
      </w:r>
      <w:r w:rsidR="000E2D92" w:rsidRPr="00DA37DD">
        <w:rPr>
          <w:rFonts w:ascii="Times New Roman" w:hAnsi="Times New Roman"/>
          <w:szCs w:val="24"/>
        </w:rPr>
        <w:t xml:space="preserve"> </w:t>
      </w:r>
      <w:r w:rsidR="002671F5" w:rsidRPr="00DA37DD">
        <w:rPr>
          <w:rFonts w:ascii="Times New Roman" w:hAnsi="Times New Roman"/>
          <w:szCs w:val="24"/>
        </w:rPr>
        <w:t>revis</w:t>
      </w:r>
      <w:r w:rsidR="00496068" w:rsidRPr="00DA37DD">
        <w:rPr>
          <w:rFonts w:ascii="Times New Roman" w:hAnsi="Times New Roman"/>
          <w:szCs w:val="24"/>
        </w:rPr>
        <w:t>e</w:t>
      </w:r>
      <w:r w:rsidR="002671F5" w:rsidRPr="00DA37DD">
        <w:rPr>
          <w:rFonts w:ascii="Times New Roman" w:hAnsi="Times New Roman"/>
          <w:szCs w:val="24"/>
        </w:rPr>
        <w:t xml:space="preserve"> the payment card network survey (</w:t>
      </w:r>
      <w:r w:rsidR="0081737B" w:rsidRPr="00DA37DD">
        <w:rPr>
          <w:rFonts w:ascii="Times New Roman" w:hAnsi="Times New Roman"/>
          <w:szCs w:val="24"/>
        </w:rPr>
        <w:t xml:space="preserve">FR </w:t>
      </w:r>
      <w:r w:rsidR="007110C5" w:rsidRPr="00DA37DD">
        <w:rPr>
          <w:rFonts w:ascii="Times New Roman" w:hAnsi="Times New Roman"/>
          <w:szCs w:val="24"/>
        </w:rPr>
        <w:t>3064b</w:t>
      </w:r>
      <w:r w:rsidR="002671F5" w:rsidRPr="00DA37DD">
        <w:rPr>
          <w:rFonts w:ascii="Times New Roman" w:hAnsi="Times New Roman"/>
          <w:szCs w:val="24"/>
        </w:rPr>
        <w:t>)</w:t>
      </w:r>
      <w:r w:rsidR="007110C5" w:rsidRPr="00DA37DD">
        <w:rPr>
          <w:rFonts w:ascii="Times New Roman" w:hAnsi="Times New Roman"/>
          <w:szCs w:val="24"/>
        </w:rPr>
        <w:t xml:space="preserve"> </w:t>
      </w:r>
      <w:r w:rsidR="00016D0F" w:rsidRPr="00DA37DD">
        <w:rPr>
          <w:rFonts w:ascii="Times New Roman" w:hAnsi="Times New Roman"/>
          <w:szCs w:val="24"/>
        </w:rPr>
        <w:t xml:space="preserve">to </w:t>
      </w:r>
      <w:r w:rsidR="00E25901" w:rsidRPr="00DA37DD">
        <w:rPr>
          <w:rFonts w:ascii="Times New Roman" w:hAnsi="Times New Roman"/>
          <w:szCs w:val="24"/>
        </w:rPr>
        <w:t>collect</w:t>
      </w:r>
      <w:r w:rsidR="002F1A8B" w:rsidRPr="00DA37DD">
        <w:rPr>
          <w:rFonts w:ascii="Times New Roman" w:hAnsi="Times New Roman"/>
          <w:szCs w:val="24"/>
        </w:rPr>
        <w:t xml:space="preserve"> </w:t>
      </w:r>
      <w:r w:rsidR="000E2D92" w:rsidRPr="00DA37DD">
        <w:rPr>
          <w:rFonts w:ascii="Times New Roman" w:hAnsi="Times New Roman"/>
          <w:szCs w:val="24"/>
        </w:rPr>
        <w:t>data on</w:t>
      </w:r>
      <w:r w:rsidR="004F5231" w:rsidRPr="00DA37DD">
        <w:rPr>
          <w:rFonts w:ascii="Times New Roman" w:hAnsi="Times New Roman"/>
          <w:szCs w:val="24"/>
        </w:rPr>
        <w:t xml:space="preserve"> exempt</w:t>
      </w:r>
      <w:r w:rsidR="000E2D92" w:rsidRPr="00DA37DD">
        <w:rPr>
          <w:rFonts w:ascii="Times New Roman" w:hAnsi="Times New Roman"/>
          <w:szCs w:val="24"/>
        </w:rPr>
        <w:t xml:space="preserve"> </w:t>
      </w:r>
      <w:r w:rsidR="00C839F1" w:rsidRPr="00DA37DD">
        <w:rPr>
          <w:rFonts w:ascii="Times New Roman" w:hAnsi="Times New Roman"/>
          <w:szCs w:val="24"/>
        </w:rPr>
        <w:t xml:space="preserve">general-use prepaid card transactions </w:t>
      </w:r>
      <w:r w:rsidR="002671F5" w:rsidRPr="00DA37DD">
        <w:rPr>
          <w:rFonts w:ascii="Times New Roman" w:hAnsi="Times New Roman"/>
          <w:szCs w:val="24"/>
        </w:rPr>
        <w:t xml:space="preserve">broken out between transactions using cards </w:t>
      </w:r>
      <w:r w:rsidR="004F5231" w:rsidRPr="00DA37DD">
        <w:rPr>
          <w:rFonts w:ascii="Times New Roman" w:hAnsi="Times New Roman"/>
          <w:szCs w:val="24"/>
        </w:rPr>
        <w:t xml:space="preserve">issued by an </w:t>
      </w:r>
      <w:r w:rsidR="00C839F1" w:rsidRPr="00DA37DD">
        <w:rPr>
          <w:rFonts w:ascii="Times New Roman" w:hAnsi="Times New Roman"/>
          <w:szCs w:val="24"/>
        </w:rPr>
        <w:t>issuer</w:t>
      </w:r>
      <w:r w:rsidR="002671F5" w:rsidRPr="00DA37DD">
        <w:rPr>
          <w:rFonts w:ascii="Times New Roman" w:hAnsi="Times New Roman"/>
          <w:szCs w:val="24"/>
        </w:rPr>
        <w:t xml:space="preserve"> that qualifies for the small issuer exemption and transactions using cards issued by</w:t>
      </w:r>
      <w:r w:rsidR="00C839F1" w:rsidRPr="00DA37DD">
        <w:rPr>
          <w:rFonts w:ascii="Times New Roman" w:hAnsi="Times New Roman"/>
          <w:szCs w:val="24"/>
        </w:rPr>
        <w:t xml:space="preserve"> </w:t>
      </w:r>
      <w:r w:rsidR="004F5231" w:rsidRPr="00DA37DD">
        <w:rPr>
          <w:rFonts w:ascii="Times New Roman" w:hAnsi="Times New Roman"/>
          <w:szCs w:val="24"/>
        </w:rPr>
        <w:t xml:space="preserve">a </w:t>
      </w:r>
      <w:r w:rsidR="00C839F1" w:rsidRPr="00DA37DD">
        <w:rPr>
          <w:rFonts w:ascii="Times New Roman" w:hAnsi="Times New Roman"/>
          <w:szCs w:val="24"/>
        </w:rPr>
        <w:t xml:space="preserve">non-exempt issuer.    </w:t>
      </w:r>
      <w:r w:rsidR="00D477F9" w:rsidRPr="00DA37DD">
        <w:rPr>
          <w:rFonts w:ascii="Times New Roman" w:hAnsi="Times New Roman"/>
          <w:snapToGrid/>
          <w:color w:val="000000"/>
          <w:szCs w:val="24"/>
        </w:rPr>
        <w:t xml:space="preserve">In addition, </w:t>
      </w:r>
      <w:r>
        <w:rPr>
          <w:rFonts w:ascii="Times New Roman" w:hAnsi="Times New Roman"/>
          <w:snapToGrid/>
          <w:color w:val="000000"/>
          <w:szCs w:val="24"/>
        </w:rPr>
        <w:t xml:space="preserve">the Federal Reserve </w:t>
      </w:r>
      <w:r w:rsidRPr="00DA37DD">
        <w:rPr>
          <w:rFonts w:ascii="Times New Roman" w:hAnsi="Times New Roman"/>
          <w:szCs w:val="24"/>
        </w:rPr>
        <w:t>proposes</w:t>
      </w:r>
      <w:r w:rsidR="001C26DF" w:rsidRPr="00DA37DD">
        <w:rPr>
          <w:rFonts w:ascii="Times New Roman" w:hAnsi="Times New Roman"/>
          <w:szCs w:val="24"/>
        </w:rPr>
        <w:t xml:space="preserve"> to modify the confidentiality </w:t>
      </w:r>
      <w:r w:rsidR="00D477F9" w:rsidRPr="00DA37DD">
        <w:rPr>
          <w:rFonts w:ascii="Times New Roman" w:hAnsi="Times New Roman"/>
          <w:szCs w:val="24"/>
        </w:rPr>
        <w:t xml:space="preserve">status of </w:t>
      </w:r>
      <w:r w:rsidR="00E56719" w:rsidRPr="00DA37DD">
        <w:rPr>
          <w:rFonts w:ascii="Times New Roman" w:hAnsi="Times New Roman"/>
          <w:szCs w:val="24"/>
        </w:rPr>
        <w:t xml:space="preserve">the FR 3064b </w:t>
      </w:r>
      <w:r w:rsidR="001C26DF" w:rsidRPr="00DA37DD">
        <w:rPr>
          <w:rFonts w:ascii="Times New Roman" w:hAnsi="Times New Roman"/>
          <w:szCs w:val="24"/>
        </w:rPr>
        <w:t>allow</w:t>
      </w:r>
      <w:r w:rsidR="00D477F9" w:rsidRPr="00DA37DD">
        <w:rPr>
          <w:rFonts w:ascii="Times New Roman" w:hAnsi="Times New Roman"/>
          <w:szCs w:val="24"/>
        </w:rPr>
        <w:t>ing</w:t>
      </w:r>
      <w:r w:rsidR="001C26DF" w:rsidRPr="00DA37DD">
        <w:rPr>
          <w:rFonts w:ascii="Times New Roman" w:hAnsi="Times New Roman"/>
          <w:szCs w:val="24"/>
        </w:rPr>
        <w:t xml:space="preserve"> for the public release of more data at the network level</w:t>
      </w:r>
      <w:r w:rsidR="00A77421" w:rsidRPr="00DA37DD">
        <w:rPr>
          <w:rFonts w:ascii="Times New Roman" w:hAnsi="Times New Roman"/>
          <w:szCs w:val="24"/>
        </w:rPr>
        <w:t xml:space="preserve">, specifically, average transaction values, and proportions of transactions for exempt and not-exempt issuers for each </w:t>
      </w:r>
      <w:r w:rsidR="008F339C" w:rsidRPr="00DA37DD">
        <w:rPr>
          <w:rFonts w:ascii="Times New Roman" w:hAnsi="Times New Roman"/>
          <w:szCs w:val="24"/>
        </w:rPr>
        <w:t>network.</w:t>
      </w:r>
      <w:r w:rsidR="001C26DF" w:rsidRPr="007E202B">
        <w:rPr>
          <w:rFonts w:ascii="Times New Roman" w:hAnsi="Times New Roman"/>
        </w:rPr>
        <w:t xml:space="preserve"> </w:t>
      </w:r>
      <w:r w:rsidR="001C26DF" w:rsidRPr="00DA37DD">
        <w:rPr>
          <w:rFonts w:ascii="Times New Roman" w:hAnsi="Times New Roman"/>
          <w:szCs w:val="24"/>
          <w:highlight w:val="yellow"/>
        </w:rPr>
        <w:t xml:space="preserve">  </w:t>
      </w:r>
    </w:p>
    <w:p w14:paraId="7999B808" w14:textId="77777777" w:rsidR="00A77421" w:rsidRPr="00DA37DD" w:rsidRDefault="00A77421" w:rsidP="001C26DF">
      <w:pPr>
        <w:widowControl/>
        <w:tabs>
          <w:tab w:val="left" w:pos="720"/>
        </w:tabs>
        <w:ind w:firstLine="720"/>
        <w:rPr>
          <w:rFonts w:ascii="Times New Roman" w:hAnsi="Times New Roman"/>
          <w:szCs w:val="24"/>
          <w:highlight w:val="yellow"/>
        </w:rPr>
      </w:pPr>
    </w:p>
    <w:p w14:paraId="3E82CEB0" w14:textId="418C1668" w:rsidR="0042574D" w:rsidRPr="00DA37DD" w:rsidRDefault="0042574D" w:rsidP="001C26DF">
      <w:pPr>
        <w:widowControl/>
        <w:tabs>
          <w:tab w:val="left" w:pos="720"/>
        </w:tabs>
        <w:ind w:firstLine="720"/>
        <w:rPr>
          <w:rFonts w:ascii="Times New Roman" w:hAnsi="Times New Roman"/>
          <w:szCs w:val="24"/>
        </w:rPr>
      </w:pPr>
      <w:r w:rsidRPr="00DA37DD">
        <w:rPr>
          <w:rFonts w:ascii="Times New Roman" w:hAnsi="Times New Roman"/>
          <w:szCs w:val="24"/>
        </w:rPr>
        <w:t xml:space="preserve">Lastly, </w:t>
      </w:r>
      <w:r w:rsidR="00132769">
        <w:rPr>
          <w:rFonts w:ascii="Times New Roman" w:hAnsi="Times New Roman"/>
          <w:snapToGrid/>
          <w:color w:val="000000"/>
          <w:szCs w:val="24"/>
        </w:rPr>
        <w:t xml:space="preserve">the Federal Reserve </w:t>
      </w:r>
      <w:r w:rsidR="0067062D" w:rsidRPr="00DA37DD">
        <w:rPr>
          <w:rFonts w:ascii="Times New Roman" w:hAnsi="Times New Roman"/>
          <w:szCs w:val="24"/>
        </w:rPr>
        <w:t>proposes</w:t>
      </w:r>
      <w:r w:rsidR="00E05640" w:rsidRPr="00DA37DD">
        <w:rPr>
          <w:rFonts w:ascii="Times New Roman" w:hAnsi="Times New Roman"/>
          <w:szCs w:val="24"/>
        </w:rPr>
        <w:t xml:space="preserve"> to </w:t>
      </w:r>
      <w:r w:rsidR="0067062D" w:rsidRPr="00DA37DD">
        <w:rPr>
          <w:rFonts w:ascii="Times New Roman" w:hAnsi="Times New Roman"/>
          <w:szCs w:val="24"/>
        </w:rPr>
        <w:t xml:space="preserve">make several clarifications throughout </w:t>
      </w:r>
      <w:r w:rsidR="00E05640" w:rsidRPr="00DA37DD">
        <w:rPr>
          <w:rFonts w:ascii="Times New Roman" w:hAnsi="Times New Roman"/>
          <w:szCs w:val="24"/>
        </w:rPr>
        <w:t xml:space="preserve">both surveys </w:t>
      </w:r>
      <w:r w:rsidRPr="00DA37DD">
        <w:rPr>
          <w:rFonts w:ascii="Times New Roman" w:hAnsi="Times New Roman"/>
          <w:szCs w:val="24"/>
        </w:rPr>
        <w:t>and delete data items</w:t>
      </w:r>
      <w:r w:rsidR="005763AD" w:rsidRPr="00DA37DD">
        <w:rPr>
          <w:rFonts w:ascii="Times New Roman" w:hAnsi="Times New Roman"/>
          <w:szCs w:val="24"/>
        </w:rPr>
        <w:t xml:space="preserve"> applicable to specific timeframe</w:t>
      </w:r>
      <w:r w:rsidR="003C2BE8">
        <w:rPr>
          <w:rFonts w:ascii="Times New Roman" w:hAnsi="Times New Roman"/>
          <w:szCs w:val="24"/>
        </w:rPr>
        <w:t xml:space="preserve">s </w:t>
      </w:r>
      <w:r w:rsidRPr="00DA37DD">
        <w:rPr>
          <w:rFonts w:ascii="Times New Roman" w:hAnsi="Times New Roman"/>
          <w:szCs w:val="24"/>
        </w:rPr>
        <w:t xml:space="preserve">no longer </w:t>
      </w:r>
      <w:r w:rsidR="005763AD" w:rsidRPr="00DA37DD">
        <w:rPr>
          <w:rFonts w:ascii="Times New Roman" w:hAnsi="Times New Roman"/>
          <w:szCs w:val="24"/>
        </w:rPr>
        <w:t>relevant</w:t>
      </w:r>
      <w:r w:rsidRPr="00DA37DD">
        <w:rPr>
          <w:rFonts w:ascii="Times New Roman" w:hAnsi="Times New Roman"/>
          <w:szCs w:val="24"/>
        </w:rPr>
        <w:t xml:space="preserve">.  </w:t>
      </w:r>
    </w:p>
    <w:p w14:paraId="3B4014DF" w14:textId="77777777" w:rsidR="0042574D" w:rsidRPr="00DA37DD" w:rsidRDefault="0042574D" w:rsidP="001C26DF">
      <w:pPr>
        <w:widowControl/>
        <w:tabs>
          <w:tab w:val="left" w:pos="720"/>
        </w:tabs>
        <w:ind w:firstLine="720"/>
        <w:rPr>
          <w:rFonts w:ascii="Times New Roman" w:hAnsi="Times New Roman"/>
          <w:szCs w:val="24"/>
          <w:highlight w:val="yellow"/>
        </w:rPr>
      </w:pPr>
    </w:p>
    <w:p w14:paraId="17808C3D" w14:textId="6961BC8B" w:rsidR="007F1E05" w:rsidRDefault="00E45626" w:rsidP="001C26DF">
      <w:pPr>
        <w:widowControl/>
        <w:tabs>
          <w:tab w:val="left" w:pos="720"/>
        </w:tabs>
        <w:ind w:firstLine="720"/>
        <w:rPr>
          <w:rFonts w:ascii="Times New Roman" w:hAnsi="Times New Roman"/>
          <w:szCs w:val="24"/>
        </w:rPr>
      </w:pPr>
      <w:r w:rsidRPr="00DA37DD">
        <w:rPr>
          <w:rFonts w:ascii="Times New Roman" w:hAnsi="Times New Roman"/>
          <w:szCs w:val="24"/>
        </w:rPr>
        <w:t xml:space="preserve">The </w:t>
      </w:r>
      <w:r w:rsidR="009A1EB9" w:rsidRPr="00DA37DD">
        <w:rPr>
          <w:rFonts w:ascii="Times New Roman" w:hAnsi="Times New Roman"/>
          <w:szCs w:val="24"/>
        </w:rPr>
        <w:t xml:space="preserve">proposed revisions to </w:t>
      </w:r>
      <w:r w:rsidR="00A77421" w:rsidRPr="00DA37DD">
        <w:rPr>
          <w:rFonts w:ascii="Times New Roman" w:hAnsi="Times New Roman"/>
          <w:szCs w:val="24"/>
        </w:rPr>
        <w:t>both surveys</w:t>
      </w:r>
      <w:r w:rsidRPr="00DA37DD">
        <w:rPr>
          <w:rFonts w:ascii="Times New Roman" w:hAnsi="Times New Roman"/>
          <w:szCs w:val="24"/>
        </w:rPr>
        <w:t xml:space="preserve"> would </w:t>
      </w:r>
      <w:r w:rsidR="009A1EB9" w:rsidRPr="00DA37DD">
        <w:rPr>
          <w:rFonts w:ascii="Times New Roman" w:hAnsi="Times New Roman"/>
          <w:szCs w:val="24"/>
        </w:rPr>
        <w:t xml:space="preserve">be effective for the collection of </w:t>
      </w:r>
      <w:r w:rsidR="00A24AA9" w:rsidRPr="00DA37DD">
        <w:rPr>
          <w:rFonts w:ascii="Times New Roman" w:hAnsi="Times New Roman"/>
          <w:szCs w:val="24"/>
        </w:rPr>
        <w:t>calendar year 2013</w:t>
      </w:r>
      <w:r w:rsidR="009A1EB9" w:rsidRPr="00DA37DD">
        <w:rPr>
          <w:rFonts w:ascii="Times New Roman" w:hAnsi="Times New Roman"/>
          <w:szCs w:val="24"/>
        </w:rPr>
        <w:t xml:space="preserve"> data</w:t>
      </w:r>
      <w:r w:rsidR="00A24AA9" w:rsidRPr="00DA37DD">
        <w:rPr>
          <w:rFonts w:ascii="Times New Roman" w:hAnsi="Times New Roman"/>
          <w:szCs w:val="24"/>
        </w:rPr>
        <w:t xml:space="preserve">, </w:t>
      </w:r>
      <w:r w:rsidRPr="00DA37DD">
        <w:rPr>
          <w:rFonts w:ascii="Times New Roman" w:hAnsi="Times New Roman"/>
          <w:szCs w:val="24"/>
        </w:rPr>
        <w:t>collected as of December 31, 201</w:t>
      </w:r>
      <w:r w:rsidR="00A24AA9" w:rsidRPr="00DA37DD">
        <w:rPr>
          <w:rFonts w:ascii="Times New Roman" w:hAnsi="Times New Roman"/>
          <w:szCs w:val="24"/>
        </w:rPr>
        <w:t>3</w:t>
      </w:r>
      <w:r w:rsidRPr="00DA37DD">
        <w:rPr>
          <w:rFonts w:ascii="Times New Roman" w:hAnsi="Times New Roman"/>
          <w:szCs w:val="24"/>
        </w:rPr>
        <w:t xml:space="preserve">.  </w:t>
      </w:r>
      <w:r w:rsidR="007F1E05">
        <w:rPr>
          <w:rFonts w:ascii="Times New Roman" w:hAnsi="Times New Roman"/>
        </w:rPr>
        <w:t>The total current annual burden is estimated to be 90</w:t>
      </w:r>
      <w:r w:rsidR="007F1E05">
        <w:rPr>
          <w:rFonts w:ascii="Times New Roman" w:hAnsi="Times New Roman"/>
          <w:szCs w:val="24"/>
        </w:rPr>
        <w:t>,630</w:t>
      </w:r>
      <w:r w:rsidR="007F1E05">
        <w:rPr>
          <w:rFonts w:ascii="Times New Roman" w:hAnsi="Times New Roman"/>
        </w:rPr>
        <w:t xml:space="preserve"> hours and is estimated to increase by </w:t>
      </w:r>
      <w:r w:rsidR="00A11DF6">
        <w:rPr>
          <w:rFonts w:ascii="Times New Roman" w:hAnsi="Times New Roman"/>
        </w:rPr>
        <w:t>22</w:t>
      </w:r>
      <w:r w:rsidR="007F1E05">
        <w:rPr>
          <w:rFonts w:ascii="Times New Roman" w:hAnsi="Times New Roman"/>
        </w:rPr>
        <w:t>,</w:t>
      </w:r>
      <w:r w:rsidR="00A11DF6">
        <w:rPr>
          <w:rFonts w:ascii="Times New Roman" w:hAnsi="Times New Roman"/>
        </w:rPr>
        <w:t>3</w:t>
      </w:r>
      <w:r w:rsidR="00C91265">
        <w:rPr>
          <w:rFonts w:ascii="Times New Roman" w:hAnsi="Times New Roman"/>
        </w:rPr>
        <w:t>20</w:t>
      </w:r>
      <w:r w:rsidR="007F1E05">
        <w:rPr>
          <w:rFonts w:ascii="Times New Roman" w:hAnsi="Times New Roman"/>
        </w:rPr>
        <w:t xml:space="preserve"> hours for a proposed annual burden of </w:t>
      </w:r>
      <w:r w:rsidR="00A11DF6">
        <w:rPr>
          <w:rFonts w:ascii="Times New Roman" w:hAnsi="Times New Roman"/>
        </w:rPr>
        <w:t>112</w:t>
      </w:r>
      <w:r w:rsidR="007F1E05">
        <w:rPr>
          <w:rFonts w:ascii="Times New Roman" w:hAnsi="Times New Roman"/>
        </w:rPr>
        <w:t>,</w:t>
      </w:r>
      <w:r w:rsidR="00A11DF6">
        <w:rPr>
          <w:rFonts w:ascii="Times New Roman" w:hAnsi="Times New Roman"/>
        </w:rPr>
        <w:t>9</w:t>
      </w:r>
      <w:r w:rsidR="00C91265">
        <w:rPr>
          <w:rFonts w:ascii="Times New Roman" w:hAnsi="Times New Roman"/>
        </w:rPr>
        <w:t>50</w:t>
      </w:r>
      <w:r w:rsidR="007F1E05">
        <w:rPr>
          <w:rFonts w:ascii="Times New Roman" w:hAnsi="Times New Roman"/>
        </w:rPr>
        <w:t xml:space="preserve"> hours.  </w:t>
      </w:r>
    </w:p>
    <w:p w14:paraId="0BE738C4" w14:textId="77777777" w:rsidR="00FC3953" w:rsidRPr="00DA37DD" w:rsidRDefault="00FC3953" w:rsidP="00707D0D">
      <w:pPr>
        <w:widowControl/>
        <w:rPr>
          <w:rFonts w:ascii="Times New Roman" w:hAnsi="Times New Roman"/>
          <w:szCs w:val="24"/>
        </w:rPr>
      </w:pPr>
    </w:p>
    <w:p w14:paraId="0BE738C5" w14:textId="77777777" w:rsidR="00137E5C" w:rsidRPr="00DA37DD" w:rsidRDefault="00137E5C" w:rsidP="00707D0D">
      <w:pPr>
        <w:widowControl/>
        <w:rPr>
          <w:rFonts w:ascii="Times New Roman" w:hAnsi="Times New Roman"/>
          <w:szCs w:val="24"/>
        </w:rPr>
      </w:pPr>
      <w:r w:rsidRPr="00DA37DD">
        <w:rPr>
          <w:rFonts w:ascii="Times New Roman" w:hAnsi="Times New Roman"/>
          <w:b/>
          <w:szCs w:val="24"/>
        </w:rPr>
        <w:t>Background and Justification</w:t>
      </w:r>
    </w:p>
    <w:p w14:paraId="0BE738C6" w14:textId="77777777" w:rsidR="00137E5C" w:rsidRPr="00DA37DD" w:rsidRDefault="00137E5C">
      <w:pPr>
        <w:widowControl/>
        <w:tabs>
          <w:tab w:val="left" w:pos="360"/>
        </w:tabs>
        <w:rPr>
          <w:rFonts w:ascii="Times New Roman" w:hAnsi="Times New Roman"/>
          <w:szCs w:val="24"/>
        </w:rPr>
      </w:pPr>
    </w:p>
    <w:p w14:paraId="66C53507" w14:textId="1B879FCC" w:rsidR="002A79CC" w:rsidRPr="00DA37DD" w:rsidRDefault="009A1EB9" w:rsidP="00314323">
      <w:pPr>
        <w:widowControl/>
        <w:ind w:firstLine="720"/>
        <w:rPr>
          <w:rFonts w:ascii="Times New Roman" w:hAnsi="Times New Roman"/>
          <w:szCs w:val="24"/>
        </w:rPr>
      </w:pPr>
      <w:proofErr w:type="gramStart"/>
      <w:r w:rsidRPr="00DA37DD">
        <w:rPr>
          <w:rFonts w:ascii="Times New Roman" w:hAnsi="Times New Roman"/>
          <w:color w:val="000000"/>
          <w:szCs w:val="24"/>
        </w:rPr>
        <w:t xml:space="preserve">Section 920(a)(3) of the Electronic Fund Transfer Act, as added by </w:t>
      </w:r>
      <w:r w:rsidR="002A79CC" w:rsidRPr="00DA37DD">
        <w:rPr>
          <w:rFonts w:ascii="Times New Roman" w:hAnsi="Times New Roman"/>
          <w:color w:val="000000"/>
          <w:szCs w:val="24"/>
        </w:rPr>
        <w:t>Section 1075(a)(3) of the Dodd-Frank Act</w:t>
      </w:r>
      <w:r w:rsidRPr="00DA37DD">
        <w:rPr>
          <w:rFonts w:ascii="Times New Roman" w:hAnsi="Times New Roman"/>
          <w:color w:val="000000"/>
          <w:szCs w:val="24"/>
        </w:rPr>
        <w:t>,</w:t>
      </w:r>
      <w:r w:rsidR="002A79CC" w:rsidRPr="00DA37DD">
        <w:rPr>
          <w:rFonts w:ascii="Times New Roman" w:hAnsi="Times New Roman"/>
          <w:color w:val="000000"/>
          <w:szCs w:val="24"/>
        </w:rPr>
        <w:t xml:space="preserve"> provides that the Board shall</w:t>
      </w:r>
      <w:r w:rsidRPr="00DA37DD">
        <w:rPr>
          <w:rFonts w:ascii="Times New Roman" w:hAnsi="Times New Roman"/>
          <w:color w:val="000000"/>
          <w:szCs w:val="24"/>
        </w:rPr>
        <w:t>, on</w:t>
      </w:r>
      <w:r w:rsidR="002A79CC" w:rsidRPr="00DA37DD">
        <w:rPr>
          <w:rFonts w:ascii="Times New Roman" w:hAnsi="Times New Roman"/>
          <w:color w:val="000000"/>
          <w:szCs w:val="24"/>
        </w:rPr>
        <w:t xml:space="preserve"> at least a biennial basis</w:t>
      </w:r>
      <w:r w:rsidRPr="00DA37DD">
        <w:rPr>
          <w:rFonts w:ascii="Times New Roman" w:hAnsi="Times New Roman"/>
          <w:color w:val="000000"/>
          <w:szCs w:val="24"/>
        </w:rPr>
        <w:t>,</w:t>
      </w:r>
      <w:r w:rsidR="002A79CC" w:rsidRPr="00DA37DD">
        <w:rPr>
          <w:rFonts w:ascii="Times New Roman" w:hAnsi="Times New Roman"/>
          <w:color w:val="000000"/>
          <w:szCs w:val="24"/>
        </w:rPr>
        <w:t xml:space="preserve"> disclose </w:t>
      </w:r>
      <w:r w:rsidRPr="00DA37DD">
        <w:rPr>
          <w:rFonts w:ascii="Times New Roman" w:hAnsi="Times New Roman"/>
          <w:color w:val="000000"/>
          <w:szCs w:val="24"/>
        </w:rPr>
        <w:t xml:space="preserve">such </w:t>
      </w:r>
      <w:r w:rsidR="002A79CC" w:rsidRPr="00DA37DD">
        <w:rPr>
          <w:rFonts w:ascii="Times New Roman" w:hAnsi="Times New Roman"/>
          <w:color w:val="000000"/>
          <w:szCs w:val="24"/>
        </w:rPr>
        <w:t>aggregate or summary information concerning the costs incurred, and interchange transaction fees charged or received, by issuers or payment card networks in connection with debit card transactions</w:t>
      </w:r>
      <w:r w:rsidRPr="00DA37DD">
        <w:rPr>
          <w:rFonts w:ascii="Times New Roman" w:hAnsi="Times New Roman"/>
          <w:color w:val="000000"/>
          <w:szCs w:val="24"/>
        </w:rPr>
        <w:t xml:space="preserve"> as the Board considers appropriate and in the public interest</w:t>
      </w:r>
      <w:r w:rsidR="002A79CC" w:rsidRPr="00DA37DD">
        <w:rPr>
          <w:rFonts w:ascii="Times New Roman" w:hAnsi="Times New Roman"/>
          <w:color w:val="000000"/>
          <w:szCs w:val="24"/>
        </w:rPr>
        <w:t>.</w:t>
      </w:r>
      <w:r w:rsidR="002A79CC" w:rsidRPr="00DA37DD">
        <w:rPr>
          <w:rStyle w:val="FootnoteReference"/>
          <w:rFonts w:ascii="Times New Roman" w:hAnsi="Times New Roman"/>
          <w:color w:val="000000"/>
          <w:szCs w:val="24"/>
          <w:vertAlign w:val="superscript"/>
        </w:rPr>
        <w:footnoteReference w:id="3"/>
      </w:r>
      <w:proofErr w:type="gramEnd"/>
      <w:r w:rsidR="002A79CC" w:rsidRPr="00DA37DD">
        <w:rPr>
          <w:rFonts w:ascii="Times New Roman" w:hAnsi="Times New Roman"/>
          <w:szCs w:val="24"/>
        </w:rPr>
        <w:t xml:space="preserve">  </w:t>
      </w:r>
      <w:proofErr w:type="gramStart"/>
      <w:r w:rsidR="002A79CC" w:rsidRPr="00DA37DD">
        <w:rPr>
          <w:rFonts w:ascii="Times New Roman" w:hAnsi="Times New Roman"/>
          <w:szCs w:val="24"/>
        </w:rPr>
        <w:t>When the Board adopted Regulation II setting debit card interchange fee standards, the Board stated that</w:t>
      </w:r>
      <w:r w:rsidRPr="00DA37DD">
        <w:rPr>
          <w:rFonts w:ascii="Times New Roman" w:hAnsi="Times New Roman"/>
          <w:szCs w:val="24"/>
        </w:rPr>
        <w:t>, in order to monitor the effectiveness of the small-issuer exemption from the interchange fee standards, it planned to</w:t>
      </w:r>
      <w:r w:rsidR="002A79CC" w:rsidRPr="00DA37DD">
        <w:rPr>
          <w:rFonts w:ascii="Times New Roman" w:hAnsi="Times New Roman"/>
          <w:szCs w:val="24"/>
        </w:rPr>
        <w:t xml:space="preserve"> </w:t>
      </w:r>
      <w:r w:rsidRPr="00DA37DD">
        <w:rPr>
          <w:rFonts w:ascii="Times New Roman" w:hAnsi="Times New Roman"/>
          <w:szCs w:val="24"/>
        </w:rPr>
        <w:t xml:space="preserve">collect information </w:t>
      </w:r>
      <w:r w:rsidR="002A79CC" w:rsidRPr="00DA37DD">
        <w:rPr>
          <w:rFonts w:ascii="Times New Roman" w:hAnsi="Times New Roman"/>
          <w:szCs w:val="24"/>
        </w:rPr>
        <w:t xml:space="preserve">from payment card networks annually </w:t>
      </w:r>
      <w:r w:rsidRPr="00DA37DD">
        <w:rPr>
          <w:rFonts w:ascii="Times New Roman" w:hAnsi="Times New Roman"/>
          <w:szCs w:val="24"/>
        </w:rPr>
        <w:t>and planned to publish annually a list of the average interchange fees each network provides to its</w:t>
      </w:r>
      <w:r w:rsidR="002A79CC" w:rsidRPr="00DA37DD">
        <w:rPr>
          <w:rFonts w:ascii="Times New Roman" w:hAnsi="Times New Roman"/>
          <w:szCs w:val="24"/>
        </w:rPr>
        <w:t xml:space="preserve"> covered and exempt issuers.</w:t>
      </w:r>
      <w:r w:rsidR="002A79CC" w:rsidRPr="00DA37DD">
        <w:rPr>
          <w:rStyle w:val="FootnoteReference"/>
          <w:rFonts w:ascii="Times New Roman" w:hAnsi="Times New Roman"/>
          <w:szCs w:val="24"/>
          <w:vertAlign w:val="superscript"/>
        </w:rPr>
        <w:footnoteReference w:id="4"/>
      </w:r>
      <w:proofErr w:type="gramEnd"/>
    </w:p>
    <w:p w14:paraId="36902F7A" w14:textId="77777777" w:rsidR="002A79CC" w:rsidRPr="00DA37DD" w:rsidRDefault="002A79CC" w:rsidP="002A79CC">
      <w:pPr>
        <w:ind w:firstLine="720"/>
        <w:rPr>
          <w:rFonts w:ascii="Times New Roman" w:hAnsi="Times New Roman"/>
          <w:szCs w:val="24"/>
        </w:rPr>
      </w:pPr>
    </w:p>
    <w:p w14:paraId="547A1E4E" w14:textId="12F93BF0" w:rsidR="002A79CC" w:rsidRPr="00DA37DD" w:rsidRDefault="00A77421" w:rsidP="002A79CC">
      <w:pPr>
        <w:ind w:firstLine="720"/>
        <w:rPr>
          <w:rFonts w:ascii="Times New Roman" w:hAnsi="Times New Roman"/>
          <w:szCs w:val="24"/>
        </w:rPr>
      </w:pPr>
      <w:r w:rsidRPr="00DA37DD">
        <w:rPr>
          <w:rFonts w:ascii="Times New Roman" w:hAnsi="Times New Roman"/>
          <w:szCs w:val="24"/>
        </w:rPr>
        <w:t xml:space="preserve">In </w:t>
      </w:r>
      <w:r w:rsidR="002A79CC" w:rsidRPr="00DA37DD">
        <w:rPr>
          <w:rFonts w:ascii="Times New Roman" w:hAnsi="Times New Roman"/>
          <w:szCs w:val="24"/>
        </w:rPr>
        <w:t>2010, the Board distributed three surveys to industry participants (an issuer survey, a network survey, and a merchant acquirer survey) designed to gather information to assist the Board in developing Regulation II.</w:t>
      </w:r>
      <w:r w:rsidR="002A79CC" w:rsidRPr="00DA37DD">
        <w:rPr>
          <w:rStyle w:val="FootnoteReference"/>
          <w:rFonts w:ascii="Times New Roman" w:hAnsi="Times New Roman"/>
          <w:szCs w:val="24"/>
          <w:vertAlign w:val="superscript"/>
        </w:rPr>
        <w:footnoteReference w:id="5"/>
      </w:r>
      <w:r w:rsidR="002A79CC" w:rsidRPr="00DA37DD">
        <w:rPr>
          <w:rFonts w:ascii="Times New Roman" w:hAnsi="Times New Roman"/>
          <w:szCs w:val="24"/>
        </w:rPr>
        <w:t xml:space="preserve">  </w:t>
      </w:r>
      <w:r w:rsidR="00944781" w:rsidRPr="00DA37DD">
        <w:rPr>
          <w:rFonts w:ascii="Times New Roman" w:hAnsi="Times New Roman"/>
          <w:szCs w:val="24"/>
        </w:rPr>
        <w:t>In 2011, the Board distributed revised</w:t>
      </w:r>
      <w:r w:rsidR="00E82B49" w:rsidRPr="00DA37DD">
        <w:rPr>
          <w:rFonts w:ascii="Times New Roman" w:hAnsi="Times New Roman"/>
          <w:szCs w:val="24"/>
        </w:rPr>
        <w:t xml:space="preserve"> network and issuer </w:t>
      </w:r>
      <w:r w:rsidR="00944781" w:rsidRPr="00DA37DD">
        <w:rPr>
          <w:rFonts w:ascii="Times New Roman" w:hAnsi="Times New Roman"/>
          <w:szCs w:val="24"/>
        </w:rPr>
        <w:t>surveys to industry participants for comments.  In response to the comments, the two surveys were modified, as appropriate</w:t>
      </w:r>
      <w:r w:rsidRPr="00DA37DD">
        <w:rPr>
          <w:rFonts w:ascii="Times New Roman" w:hAnsi="Times New Roman"/>
          <w:szCs w:val="24"/>
        </w:rPr>
        <w:t xml:space="preserve">, as the current FR 3064a and </w:t>
      </w:r>
      <w:r w:rsidR="00F933CC" w:rsidRPr="00DA37DD">
        <w:rPr>
          <w:rFonts w:ascii="Times New Roman" w:hAnsi="Times New Roman"/>
          <w:szCs w:val="24"/>
        </w:rPr>
        <w:t>3064</w:t>
      </w:r>
      <w:r w:rsidRPr="00DA37DD">
        <w:rPr>
          <w:rFonts w:ascii="Times New Roman" w:hAnsi="Times New Roman"/>
          <w:szCs w:val="24"/>
        </w:rPr>
        <w:t>b</w:t>
      </w:r>
      <w:r w:rsidR="00944781" w:rsidRPr="00DA37DD">
        <w:rPr>
          <w:rFonts w:ascii="Times New Roman" w:hAnsi="Times New Roman"/>
          <w:szCs w:val="24"/>
        </w:rPr>
        <w:t>.</w:t>
      </w:r>
      <w:r w:rsidR="00944781" w:rsidRPr="00DA37DD">
        <w:rPr>
          <w:rStyle w:val="FootnoteReference"/>
          <w:rFonts w:ascii="Times New Roman" w:hAnsi="Times New Roman"/>
          <w:szCs w:val="24"/>
          <w:vertAlign w:val="superscript"/>
        </w:rPr>
        <w:footnoteReference w:id="6"/>
      </w:r>
    </w:p>
    <w:p w14:paraId="0BE738CC" w14:textId="2840F24E" w:rsidR="00434F7A" w:rsidRPr="00DA37DD" w:rsidRDefault="00434F7A">
      <w:pPr>
        <w:pStyle w:val="BodyTextIndent"/>
        <w:tabs>
          <w:tab w:val="clear" w:pos="360"/>
          <w:tab w:val="right" w:pos="9360"/>
        </w:tabs>
        <w:rPr>
          <w:rFonts w:ascii="Times New Roman" w:hAnsi="Times New Roman"/>
          <w:szCs w:val="24"/>
        </w:rPr>
      </w:pPr>
    </w:p>
    <w:p w14:paraId="0BE738CD" w14:textId="77777777" w:rsidR="00137E5C" w:rsidRPr="00DA37DD" w:rsidRDefault="00137E5C">
      <w:pPr>
        <w:widowControl/>
        <w:tabs>
          <w:tab w:val="left" w:pos="360"/>
        </w:tabs>
        <w:rPr>
          <w:rFonts w:ascii="Times New Roman" w:hAnsi="Times New Roman"/>
          <w:szCs w:val="24"/>
        </w:rPr>
      </w:pPr>
      <w:r w:rsidRPr="00DA37DD">
        <w:rPr>
          <w:rFonts w:ascii="Times New Roman" w:hAnsi="Times New Roman"/>
          <w:b/>
          <w:szCs w:val="24"/>
        </w:rPr>
        <w:t>Description of Information Collection</w:t>
      </w:r>
    </w:p>
    <w:p w14:paraId="0BE738CE" w14:textId="77777777" w:rsidR="00137E5C" w:rsidRPr="00DA37DD" w:rsidRDefault="00137E5C">
      <w:pPr>
        <w:widowControl/>
        <w:tabs>
          <w:tab w:val="left" w:pos="360"/>
        </w:tabs>
        <w:rPr>
          <w:rFonts w:ascii="Times New Roman" w:hAnsi="Times New Roman"/>
          <w:szCs w:val="24"/>
        </w:rPr>
      </w:pPr>
    </w:p>
    <w:p w14:paraId="04845924" w14:textId="230C93AB" w:rsidR="002A79CC" w:rsidRPr="00DA37DD" w:rsidRDefault="002A79CC" w:rsidP="002A79CC">
      <w:pPr>
        <w:ind w:firstLine="720"/>
        <w:rPr>
          <w:rFonts w:ascii="Times New Roman" w:hAnsi="Times New Roman"/>
          <w:color w:val="000000"/>
          <w:szCs w:val="24"/>
          <w:vertAlign w:val="superscript"/>
        </w:rPr>
      </w:pPr>
      <w:r w:rsidRPr="00DA37DD">
        <w:rPr>
          <w:rFonts w:ascii="Times New Roman" w:hAnsi="Times New Roman"/>
          <w:color w:val="000000"/>
          <w:szCs w:val="24"/>
        </w:rPr>
        <w:t>The FR 3064 comprise</w:t>
      </w:r>
      <w:r w:rsidR="00914FFA" w:rsidRPr="00DA37DD">
        <w:rPr>
          <w:rFonts w:ascii="Times New Roman" w:hAnsi="Times New Roman"/>
          <w:color w:val="000000"/>
          <w:szCs w:val="24"/>
        </w:rPr>
        <w:t>s</w:t>
      </w:r>
      <w:r w:rsidRPr="00DA37DD">
        <w:rPr>
          <w:rFonts w:ascii="Times New Roman" w:hAnsi="Times New Roman"/>
          <w:color w:val="000000"/>
          <w:szCs w:val="24"/>
        </w:rPr>
        <w:t xml:space="preserve"> two surveys: (1) the debit card issuer survey (FR 3064a) and (2) </w:t>
      </w:r>
      <w:r w:rsidRPr="00DA37DD">
        <w:rPr>
          <w:rFonts w:ascii="Times New Roman" w:hAnsi="Times New Roman"/>
          <w:color w:val="000000"/>
          <w:szCs w:val="24"/>
        </w:rPr>
        <w:lastRenderedPageBreak/>
        <w:t>the payment card network survey (FR 3064b).  A general description of these surveys is provided below.</w:t>
      </w:r>
    </w:p>
    <w:p w14:paraId="645C67EF" w14:textId="77777777" w:rsidR="002A79CC" w:rsidRPr="00DA37DD" w:rsidRDefault="002A79CC" w:rsidP="002A79CC">
      <w:pPr>
        <w:ind w:firstLine="1440"/>
        <w:rPr>
          <w:rFonts w:ascii="Times New Roman" w:hAnsi="Times New Roman"/>
          <w:szCs w:val="24"/>
        </w:rPr>
      </w:pPr>
    </w:p>
    <w:p w14:paraId="480C1BF5" w14:textId="77777777" w:rsidR="002A79CC" w:rsidRPr="00DA37DD" w:rsidRDefault="002A79CC" w:rsidP="002A79CC">
      <w:pPr>
        <w:ind w:firstLine="720"/>
        <w:rPr>
          <w:rFonts w:ascii="Times New Roman" w:hAnsi="Times New Roman"/>
          <w:b/>
          <w:szCs w:val="24"/>
        </w:rPr>
      </w:pPr>
      <w:r w:rsidRPr="00DA37DD">
        <w:rPr>
          <w:rFonts w:ascii="Times New Roman" w:hAnsi="Times New Roman"/>
          <w:b/>
          <w:szCs w:val="24"/>
        </w:rPr>
        <w:t>Debit Card Issuer Survey (FR 3064a)</w:t>
      </w:r>
    </w:p>
    <w:p w14:paraId="13996192" w14:textId="77777777" w:rsidR="002A79CC" w:rsidRPr="00DA37DD" w:rsidRDefault="002A79CC" w:rsidP="002A79CC">
      <w:pPr>
        <w:tabs>
          <w:tab w:val="left" w:pos="1440"/>
        </w:tabs>
        <w:ind w:left="720" w:firstLine="1440"/>
        <w:rPr>
          <w:rFonts w:ascii="Times New Roman" w:hAnsi="Times New Roman"/>
          <w:szCs w:val="24"/>
        </w:rPr>
      </w:pPr>
    </w:p>
    <w:p w14:paraId="7E40D02A" w14:textId="5BE88B8F" w:rsidR="002A79CC" w:rsidRPr="00DA37DD" w:rsidRDefault="002A79CC" w:rsidP="002A79CC">
      <w:pPr>
        <w:widowControl/>
        <w:tabs>
          <w:tab w:val="left" w:pos="1440"/>
        </w:tabs>
        <w:ind w:firstLine="720"/>
        <w:rPr>
          <w:rFonts w:ascii="Times New Roman" w:hAnsi="Times New Roman"/>
          <w:color w:val="000000"/>
          <w:szCs w:val="24"/>
        </w:rPr>
      </w:pPr>
      <w:r w:rsidRPr="00DA37DD">
        <w:rPr>
          <w:rFonts w:ascii="Times New Roman" w:hAnsi="Times New Roman"/>
          <w:color w:val="000000"/>
          <w:szCs w:val="24"/>
        </w:rPr>
        <w:t xml:space="preserve">The debit card issuer survey </w:t>
      </w:r>
      <w:r w:rsidR="008151BA" w:rsidRPr="00DA37DD">
        <w:rPr>
          <w:rFonts w:ascii="Times New Roman" w:hAnsi="Times New Roman"/>
          <w:color w:val="000000"/>
          <w:szCs w:val="24"/>
        </w:rPr>
        <w:t xml:space="preserve">is </w:t>
      </w:r>
      <w:r w:rsidRPr="00DA37DD">
        <w:rPr>
          <w:rFonts w:ascii="Times New Roman" w:hAnsi="Times New Roman"/>
          <w:color w:val="000000"/>
          <w:szCs w:val="24"/>
        </w:rPr>
        <w:t>require</w:t>
      </w:r>
      <w:r w:rsidR="008151BA" w:rsidRPr="00DA37DD">
        <w:rPr>
          <w:rFonts w:ascii="Times New Roman" w:hAnsi="Times New Roman"/>
          <w:color w:val="000000"/>
          <w:szCs w:val="24"/>
        </w:rPr>
        <w:t>d</w:t>
      </w:r>
      <w:r w:rsidRPr="00DA37DD">
        <w:rPr>
          <w:rFonts w:ascii="Times New Roman" w:hAnsi="Times New Roman"/>
          <w:color w:val="000000"/>
          <w:szCs w:val="24"/>
        </w:rPr>
        <w:t xml:space="preserve"> for each debit card issuer that, together with its affiliates, has assets of $10 billion or more.  </w:t>
      </w:r>
      <w:r w:rsidR="009A1EB9" w:rsidRPr="00DA37DD">
        <w:rPr>
          <w:rFonts w:ascii="Times New Roman" w:hAnsi="Times New Roman"/>
          <w:color w:val="000000"/>
          <w:szCs w:val="24"/>
        </w:rPr>
        <w:t>In general, the debit card issuer survey collects information on two types of debit card programs and transaction: dual-message (signature) and single-message (</w:t>
      </w:r>
      <w:r w:rsidR="00691436" w:rsidRPr="00DA37DD">
        <w:rPr>
          <w:rFonts w:ascii="Times New Roman" w:hAnsi="Times New Roman"/>
          <w:color w:val="000000"/>
          <w:szCs w:val="24"/>
        </w:rPr>
        <w:t>p</w:t>
      </w:r>
      <w:r w:rsidR="009A1EB9" w:rsidRPr="00DA37DD">
        <w:rPr>
          <w:rFonts w:ascii="Times New Roman" w:hAnsi="Times New Roman"/>
          <w:color w:val="000000"/>
          <w:szCs w:val="24"/>
        </w:rPr>
        <w:t>ersonal identification number (PIN)).</w:t>
      </w:r>
      <w:r w:rsidR="009A1EB9" w:rsidRPr="00DA37DD">
        <w:rPr>
          <w:rStyle w:val="FootnoteReference"/>
          <w:rFonts w:ascii="Times New Roman" w:hAnsi="Times New Roman"/>
          <w:color w:val="000000"/>
          <w:szCs w:val="24"/>
          <w:vertAlign w:val="superscript"/>
        </w:rPr>
        <w:footnoteReference w:id="7"/>
      </w:r>
      <w:r w:rsidR="009A1EB9" w:rsidRPr="00DA37DD">
        <w:rPr>
          <w:rFonts w:ascii="Times New Roman" w:hAnsi="Times New Roman"/>
          <w:color w:val="000000"/>
          <w:szCs w:val="24"/>
        </w:rPr>
        <w:t xml:space="preserve">  Both programs include general-use prepaid card transactions.  </w:t>
      </w:r>
      <w:r w:rsidRPr="00DA37DD">
        <w:rPr>
          <w:rFonts w:ascii="Times New Roman" w:hAnsi="Times New Roman"/>
          <w:color w:val="000000"/>
          <w:szCs w:val="24"/>
        </w:rPr>
        <w:t>The survey request</w:t>
      </w:r>
      <w:r w:rsidR="008151BA" w:rsidRPr="00DA37DD">
        <w:rPr>
          <w:rFonts w:ascii="Times New Roman" w:hAnsi="Times New Roman"/>
          <w:color w:val="000000"/>
          <w:szCs w:val="24"/>
        </w:rPr>
        <w:t>s</w:t>
      </w:r>
      <w:r w:rsidRPr="00DA37DD">
        <w:rPr>
          <w:rFonts w:ascii="Times New Roman" w:hAnsi="Times New Roman"/>
          <w:color w:val="000000"/>
          <w:szCs w:val="24"/>
        </w:rPr>
        <w:t xml:space="preserve"> information on accounts and cards associated with accounts</w:t>
      </w:r>
      <w:r w:rsidRPr="00DA37DD">
        <w:rPr>
          <w:rFonts w:ascii="Times New Roman" w:hAnsi="Times New Roman"/>
          <w:szCs w:val="24"/>
        </w:rPr>
        <w:t xml:space="preserve"> domiciled in the United States, the District of Columbia, and U.S. territories</w:t>
      </w:r>
      <w:r w:rsidRPr="00DA37DD">
        <w:rPr>
          <w:rFonts w:ascii="Times New Roman" w:hAnsi="Times New Roman"/>
          <w:color w:val="000000"/>
          <w:szCs w:val="24"/>
        </w:rPr>
        <w:t>.</w:t>
      </w:r>
      <w:r w:rsidRPr="00DA37DD">
        <w:rPr>
          <w:rStyle w:val="FootnoteReference"/>
          <w:rFonts w:ascii="Times New Roman" w:hAnsi="Times New Roman"/>
          <w:color w:val="000000"/>
          <w:szCs w:val="24"/>
          <w:vertAlign w:val="superscript"/>
        </w:rPr>
        <w:footnoteReference w:id="8"/>
      </w:r>
      <w:r w:rsidRPr="00DA37DD">
        <w:rPr>
          <w:rFonts w:ascii="Times New Roman" w:hAnsi="Times New Roman"/>
          <w:color w:val="000000"/>
          <w:szCs w:val="24"/>
          <w:vertAlign w:val="superscript"/>
        </w:rPr>
        <w:t xml:space="preserve"> </w:t>
      </w:r>
    </w:p>
    <w:p w14:paraId="177EC8F5" w14:textId="77777777" w:rsidR="002A79CC" w:rsidRPr="00DA37DD" w:rsidRDefault="002A79CC" w:rsidP="002A79CC">
      <w:pPr>
        <w:ind w:firstLine="1440"/>
        <w:rPr>
          <w:rFonts w:ascii="Times New Roman" w:hAnsi="Times New Roman"/>
          <w:color w:val="000000"/>
          <w:szCs w:val="24"/>
        </w:rPr>
      </w:pPr>
    </w:p>
    <w:p w14:paraId="75F00F7B" w14:textId="658B1BE7" w:rsidR="002A79CC" w:rsidRPr="00DA37DD" w:rsidRDefault="002A79CC" w:rsidP="000549B7">
      <w:pPr>
        <w:ind w:firstLine="720"/>
        <w:rPr>
          <w:rFonts w:ascii="Times New Roman" w:hAnsi="Times New Roman"/>
          <w:color w:val="000000"/>
          <w:szCs w:val="24"/>
        </w:rPr>
      </w:pPr>
      <w:r w:rsidRPr="00DA37DD">
        <w:rPr>
          <w:rFonts w:ascii="Times New Roman" w:hAnsi="Times New Roman"/>
          <w:color w:val="000000"/>
          <w:szCs w:val="24"/>
        </w:rPr>
        <w:t>The debit card issuer survey comprise</w:t>
      </w:r>
      <w:r w:rsidR="008151BA" w:rsidRPr="00DA37DD">
        <w:rPr>
          <w:rFonts w:ascii="Times New Roman" w:hAnsi="Times New Roman"/>
          <w:color w:val="000000"/>
          <w:szCs w:val="24"/>
        </w:rPr>
        <w:t>s</w:t>
      </w:r>
      <w:r w:rsidRPr="00DA37DD">
        <w:rPr>
          <w:rFonts w:ascii="Times New Roman" w:hAnsi="Times New Roman"/>
          <w:color w:val="000000"/>
          <w:szCs w:val="24"/>
        </w:rPr>
        <w:t xml:space="preserve"> </w:t>
      </w:r>
      <w:r w:rsidR="00B62554">
        <w:rPr>
          <w:rFonts w:ascii="Times New Roman" w:hAnsi="Times New Roman"/>
          <w:color w:val="000000"/>
          <w:szCs w:val="24"/>
        </w:rPr>
        <w:t>five</w:t>
      </w:r>
      <w:r w:rsidR="00B62554" w:rsidRPr="00DA37DD">
        <w:rPr>
          <w:rFonts w:ascii="Times New Roman" w:hAnsi="Times New Roman"/>
          <w:color w:val="000000"/>
          <w:szCs w:val="24"/>
        </w:rPr>
        <w:t xml:space="preserve"> </w:t>
      </w:r>
      <w:r w:rsidRPr="00DA37DD">
        <w:rPr>
          <w:rFonts w:ascii="Times New Roman" w:hAnsi="Times New Roman"/>
          <w:color w:val="000000"/>
          <w:szCs w:val="24"/>
        </w:rPr>
        <w:t>sections.</w:t>
      </w:r>
    </w:p>
    <w:p w14:paraId="158ECF88" w14:textId="77777777" w:rsidR="002A79CC" w:rsidRPr="00DA37DD" w:rsidRDefault="002A79CC" w:rsidP="002A79CC">
      <w:pPr>
        <w:ind w:firstLine="720"/>
        <w:rPr>
          <w:rFonts w:ascii="Times New Roman" w:hAnsi="Times New Roman"/>
          <w:color w:val="000000"/>
          <w:szCs w:val="24"/>
        </w:rPr>
      </w:pPr>
    </w:p>
    <w:p w14:paraId="22BC52D3" w14:textId="728A21DA" w:rsidR="002A79CC" w:rsidRPr="00DA37DD" w:rsidRDefault="002A79CC" w:rsidP="00545DD8">
      <w:pPr>
        <w:pStyle w:val="ListParagraph"/>
        <w:widowControl/>
        <w:numPr>
          <w:ilvl w:val="0"/>
          <w:numId w:val="2"/>
        </w:numPr>
        <w:ind w:left="900" w:hanging="540"/>
        <w:rPr>
          <w:rFonts w:ascii="Times New Roman" w:hAnsi="Times New Roman"/>
          <w:color w:val="000000"/>
          <w:sz w:val="24"/>
        </w:rPr>
      </w:pPr>
      <w:r w:rsidRPr="00DA37DD">
        <w:rPr>
          <w:rFonts w:ascii="Times New Roman" w:hAnsi="Times New Roman"/>
          <w:b/>
          <w:color w:val="000000"/>
          <w:sz w:val="24"/>
        </w:rPr>
        <w:t>Respondent Information:</w:t>
      </w:r>
      <w:r w:rsidRPr="00DA37DD">
        <w:rPr>
          <w:rFonts w:ascii="Times New Roman" w:hAnsi="Times New Roman"/>
          <w:color w:val="000000"/>
          <w:sz w:val="24"/>
        </w:rPr>
        <w:t xml:space="preserve">  Respondents provide the name of the debit card issuer covered in the response and the contact person(s) name, section of the survey for which they are responsible, e-mail and phone number.</w:t>
      </w:r>
    </w:p>
    <w:p w14:paraId="54CEF09E" w14:textId="10CBE2F6" w:rsidR="002A79CC" w:rsidRPr="00DA37DD" w:rsidRDefault="001F4BD4" w:rsidP="00545DD8">
      <w:pPr>
        <w:pStyle w:val="ListParagraph"/>
        <w:widowControl/>
        <w:numPr>
          <w:ilvl w:val="0"/>
          <w:numId w:val="2"/>
        </w:numPr>
        <w:ind w:left="900" w:hanging="540"/>
        <w:rPr>
          <w:rFonts w:ascii="Times New Roman" w:hAnsi="Times New Roman"/>
          <w:color w:val="000000"/>
          <w:sz w:val="24"/>
        </w:rPr>
      </w:pPr>
      <w:r w:rsidRPr="00DA37DD">
        <w:rPr>
          <w:rFonts w:ascii="Times New Roman" w:hAnsi="Times New Roman"/>
          <w:b/>
          <w:sz w:val="24"/>
        </w:rPr>
        <w:t xml:space="preserve">Information for all </w:t>
      </w:r>
      <w:r w:rsidR="002A79CC" w:rsidRPr="00DA37DD">
        <w:rPr>
          <w:rFonts w:ascii="Times New Roman" w:hAnsi="Times New Roman"/>
          <w:b/>
          <w:sz w:val="24"/>
        </w:rPr>
        <w:t xml:space="preserve">Debit Card Transactions (including general-use prepaid card transactions):  </w:t>
      </w:r>
      <w:r w:rsidR="002A79CC" w:rsidRPr="00DA37DD">
        <w:rPr>
          <w:rFonts w:ascii="Times New Roman" w:hAnsi="Times New Roman"/>
          <w:sz w:val="24"/>
        </w:rPr>
        <w:t xml:space="preserve">Respondents report summary information </w:t>
      </w:r>
      <w:r w:rsidR="002A79CC" w:rsidRPr="00DA37DD">
        <w:rPr>
          <w:rFonts w:ascii="Times New Roman" w:hAnsi="Times New Roman"/>
          <w:color w:val="000000"/>
          <w:sz w:val="24"/>
        </w:rPr>
        <w:t>for</w:t>
      </w:r>
      <w:r w:rsidRPr="00DA37DD">
        <w:rPr>
          <w:rFonts w:ascii="Times New Roman" w:hAnsi="Times New Roman"/>
          <w:color w:val="000000"/>
          <w:sz w:val="24"/>
        </w:rPr>
        <w:t>:</w:t>
      </w:r>
      <w:r w:rsidR="002A79CC" w:rsidRPr="00DA37DD">
        <w:rPr>
          <w:rFonts w:ascii="Times New Roman" w:hAnsi="Times New Roman"/>
          <w:color w:val="000000"/>
          <w:sz w:val="24"/>
        </w:rPr>
        <w:t xml:space="preserve"> debit card (including general-use prepaid card) transaction volume and value</w:t>
      </w:r>
      <w:r w:rsidRPr="00DA37DD">
        <w:rPr>
          <w:rFonts w:ascii="Times New Roman" w:hAnsi="Times New Roman"/>
          <w:color w:val="000000"/>
          <w:sz w:val="24"/>
        </w:rPr>
        <w:t xml:space="preserve">; </w:t>
      </w:r>
      <w:r w:rsidR="002A79CC" w:rsidRPr="00DA37DD">
        <w:rPr>
          <w:rFonts w:ascii="Times New Roman" w:hAnsi="Times New Roman"/>
          <w:color w:val="000000"/>
          <w:sz w:val="24"/>
        </w:rPr>
        <w:t xml:space="preserve">chargebacks to </w:t>
      </w:r>
      <w:r w:rsidR="005218EA" w:rsidRPr="00DA37DD">
        <w:rPr>
          <w:rFonts w:ascii="Times New Roman" w:hAnsi="Times New Roman"/>
          <w:color w:val="000000"/>
          <w:sz w:val="24"/>
        </w:rPr>
        <w:t xml:space="preserve">and returns from </w:t>
      </w:r>
      <w:r w:rsidR="002A79CC" w:rsidRPr="00DA37DD">
        <w:rPr>
          <w:rFonts w:ascii="Times New Roman" w:hAnsi="Times New Roman"/>
          <w:color w:val="000000"/>
          <w:sz w:val="24"/>
        </w:rPr>
        <w:t>acquirers</w:t>
      </w:r>
      <w:r w:rsidRPr="00DA37DD">
        <w:rPr>
          <w:rFonts w:ascii="Times New Roman" w:hAnsi="Times New Roman"/>
          <w:color w:val="000000"/>
          <w:sz w:val="24"/>
        </w:rPr>
        <w:t>;</w:t>
      </w:r>
      <w:r w:rsidR="002A79CC" w:rsidRPr="00DA37DD">
        <w:rPr>
          <w:rFonts w:ascii="Times New Roman" w:hAnsi="Times New Roman"/>
          <w:color w:val="000000"/>
          <w:sz w:val="24"/>
        </w:rPr>
        <w:t xml:space="preserve"> costs of authorization, clearance, and settlement</w:t>
      </w:r>
      <w:r w:rsidRPr="00DA37DD">
        <w:rPr>
          <w:rFonts w:ascii="Times New Roman" w:hAnsi="Times New Roman"/>
          <w:color w:val="000000"/>
          <w:sz w:val="24"/>
        </w:rPr>
        <w:t xml:space="preserve">; </w:t>
      </w:r>
      <w:r w:rsidR="002A79CC" w:rsidRPr="00DA37DD">
        <w:rPr>
          <w:rFonts w:ascii="Times New Roman" w:hAnsi="Times New Roman"/>
          <w:color w:val="000000"/>
          <w:sz w:val="24"/>
        </w:rPr>
        <w:t xml:space="preserve">payments and incentives </w:t>
      </w:r>
      <w:r w:rsidRPr="00DA37DD">
        <w:rPr>
          <w:rFonts w:ascii="Times New Roman" w:hAnsi="Times New Roman"/>
          <w:color w:val="000000"/>
          <w:sz w:val="24"/>
        </w:rPr>
        <w:t xml:space="preserve">received </w:t>
      </w:r>
      <w:r w:rsidR="002A79CC" w:rsidRPr="00DA37DD">
        <w:rPr>
          <w:rFonts w:ascii="Times New Roman" w:hAnsi="Times New Roman"/>
          <w:color w:val="000000"/>
          <w:sz w:val="24"/>
        </w:rPr>
        <w:t>by networks</w:t>
      </w:r>
      <w:r w:rsidRPr="00DA37DD">
        <w:rPr>
          <w:rFonts w:ascii="Times New Roman" w:hAnsi="Times New Roman"/>
          <w:color w:val="000000"/>
          <w:sz w:val="24"/>
        </w:rPr>
        <w:t xml:space="preserve">; </w:t>
      </w:r>
      <w:r w:rsidR="002A79CC" w:rsidRPr="00DA37DD">
        <w:rPr>
          <w:rFonts w:ascii="Times New Roman" w:hAnsi="Times New Roman"/>
          <w:color w:val="000000"/>
          <w:sz w:val="24"/>
        </w:rPr>
        <w:t>costs for fraud prevention and data security</w:t>
      </w:r>
      <w:r w:rsidRPr="00DA37DD">
        <w:rPr>
          <w:rFonts w:ascii="Times New Roman" w:hAnsi="Times New Roman"/>
          <w:color w:val="000000"/>
          <w:sz w:val="24"/>
        </w:rPr>
        <w:t xml:space="preserve">; </w:t>
      </w:r>
      <w:r w:rsidR="002A79CC" w:rsidRPr="00DA37DD">
        <w:rPr>
          <w:rFonts w:ascii="Times New Roman" w:hAnsi="Times New Roman"/>
          <w:color w:val="000000"/>
          <w:sz w:val="24"/>
        </w:rPr>
        <w:t xml:space="preserve">interchange fee revenue, </w:t>
      </w:r>
      <w:r w:rsidRPr="00DA37DD">
        <w:rPr>
          <w:rFonts w:ascii="Times New Roman" w:hAnsi="Times New Roman"/>
          <w:color w:val="000000"/>
          <w:sz w:val="24"/>
        </w:rPr>
        <w:t xml:space="preserve">and </w:t>
      </w:r>
      <w:r w:rsidR="002A79CC" w:rsidRPr="00DA37DD">
        <w:rPr>
          <w:rFonts w:ascii="Times New Roman" w:hAnsi="Times New Roman"/>
          <w:color w:val="000000"/>
          <w:sz w:val="24"/>
        </w:rPr>
        <w:t>fraudulent transactions and fraud losses.</w:t>
      </w:r>
      <w:r w:rsidR="002A79CC" w:rsidRPr="00DA37DD">
        <w:rPr>
          <w:rStyle w:val="FootnoteReference"/>
          <w:rFonts w:ascii="Times New Roman" w:hAnsi="Times New Roman"/>
          <w:color w:val="000000"/>
          <w:sz w:val="24"/>
          <w:vertAlign w:val="superscript"/>
        </w:rPr>
        <w:footnoteReference w:id="9"/>
      </w:r>
      <w:r w:rsidR="002A79CC" w:rsidRPr="00DA37DD">
        <w:rPr>
          <w:rFonts w:ascii="Times New Roman" w:hAnsi="Times New Roman"/>
          <w:color w:val="000000"/>
          <w:sz w:val="24"/>
          <w:vertAlign w:val="superscript"/>
        </w:rPr>
        <w:t xml:space="preserve"> </w:t>
      </w:r>
    </w:p>
    <w:p w14:paraId="21F1C015" w14:textId="1B72467C" w:rsidR="002A79CC" w:rsidRPr="00DA37DD" w:rsidRDefault="001F4BD4" w:rsidP="00545DD8">
      <w:pPr>
        <w:pStyle w:val="ListParagraph"/>
        <w:widowControl/>
        <w:numPr>
          <w:ilvl w:val="0"/>
          <w:numId w:val="2"/>
        </w:numPr>
        <w:ind w:left="900" w:hanging="540"/>
        <w:rPr>
          <w:rFonts w:ascii="Times New Roman" w:hAnsi="Times New Roman"/>
          <w:color w:val="000000"/>
          <w:sz w:val="24"/>
        </w:rPr>
      </w:pPr>
      <w:r w:rsidRPr="00DA37DD">
        <w:rPr>
          <w:rFonts w:ascii="Times New Roman" w:hAnsi="Times New Roman"/>
          <w:b/>
          <w:color w:val="000000"/>
          <w:sz w:val="24"/>
        </w:rPr>
        <w:t xml:space="preserve">Information for </w:t>
      </w:r>
      <w:r w:rsidR="002A79CC" w:rsidRPr="00DA37DD">
        <w:rPr>
          <w:rFonts w:ascii="Times New Roman" w:hAnsi="Times New Roman"/>
          <w:b/>
          <w:color w:val="000000"/>
          <w:sz w:val="24"/>
        </w:rPr>
        <w:t>Single-Message (PIN) Debit Card Transactions (</w:t>
      </w:r>
      <w:r w:rsidR="007147C1">
        <w:rPr>
          <w:rFonts w:ascii="Times New Roman" w:hAnsi="Times New Roman"/>
          <w:b/>
          <w:color w:val="000000"/>
          <w:sz w:val="24"/>
        </w:rPr>
        <w:t>ex</w:t>
      </w:r>
      <w:r w:rsidR="002A79CC" w:rsidRPr="00DA37DD">
        <w:rPr>
          <w:rFonts w:ascii="Times New Roman" w:hAnsi="Times New Roman"/>
          <w:b/>
          <w:color w:val="000000"/>
          <w:sz w:val="24"/>
        </w:rPr>
        <w:t xml:space="preserve">cluding general-use prepaid card transactions):  </w:t>
      </w:r>
      <w:r w:rsidR="002A79CC" w:rsidRPr="00DA37DD">
        <w:rPr>
          <w:rFonts w:ascii="Times New Roman" w:hAnsi="Times New Roman"/>
          <w:color w:val="000000"/>
          <w:sz w:val="24"/>
        </w:rPr>
        <w:t>Respondents submit data for the same set of questions asked in Section II above, but specifically about single</w:t>
      </w:r>
      <w:r w:rsidR="007147C1">
        <w:rPr>
          <w:rFonts w:ascii="Times New Roman" w:hAnsi="Times New Roman"/>
          <w:color w:val="000000"/>
          <w:sz w:val="24"/>
        </w:rPr>
        <w:t>-message debit card programs, ex</w:t>
      </w:r>
      <w:r w:rsidR="002A79CC" w:rsidRPr="00DA37DD">
        <w:rPr>
          <w:rFonts w:ascii="Times New Roman" w:hAnsi="Times New Roman"/>
          <w:color w:val="000000"/>
          <w:sz w:val="24"/>
        </w:rPr>
        <w:t>cluding general-use prepaid cards.</w:t>
      </w:r>
    </w:p>
    <w:p w14:paraId="5262A192" w14:textId="0E69337E" w:rsidR="002A79CC" w:rsidRDefault="001F4BD4" w:rsidP="00545DD8">
      <w:pPr>
        <w:pStyle w:val="ListParagraph"/>
        <w:widowControl/>
        <w:numPr>
          <w:ilvl w:val="0"/>
          <w:numId w:val="2"/>
        </w:numPr>
        <w:ind w:left="900" w:hanging="540"/>
        <w:rPr>
          <w:rFonts w:ascii="Times New Roman" w:hAnsi="Times New Roman"/>
          <w:color w:val="000000"/>
          <w:sz w:val="24"/>
        </w:rPr>
      </w:pPr>
      <w:r w:rsidRPr="00DA37DD">
        <w:rPr>
          <w:rFonts w:ascii="Times New Roman" w:hAnsi="Times New Roman"/>
          <w:b/>
          <w:color w:val="000000"/>
          <w:sz w:val="24"/>
        </w:rPr>
        <w:t xml:space="preserve">Information for </w:t>
      </w:r>
      <w:r w:rsidR="002A79CC" w:rsidRPr="00DA37DD">
        <w:rPr>
          <w:rFonts w:ascii="Times New Roman" w:hAnsi="Times New Roman"/>
          <w:b/>
          <w:color w:val="000000"/>
          <w:sz w:val="24"/>
        </w:rPr>
        <w:t>Dual-Message (Signature) Debit Card Transactions (</w:t>
      </w:r>
      <w:r w:rsidR="007147C1">
        <w:rPr>
          <w:rFonts w:ascii="Times New Roman" w:hAnsi="Times New Roman"/>
          <w:b/>
          <w:color w:val="000000"/>
          <w:sz w:val="24"/>
        </w:rPr>
        <w:t>ex</w:t>
      </w:r>
      <w:r w:rsidR="002A79CC" w:rsidRPr="00DA37DD">
        <w:rPr>
          <w:rFonts w:ascii="Times New Roman" w:hAnsi="Times New Roman"/>
          <w:b/>
          <w:color w:val="000000"/>
          <w:sz w:val="24"/>
        </w:rPr>
        <w:t xml:space="preserve">cluding general-use prepaid card transactions):  </w:t>
      </w:r>
      <w:r w:rsidR="002A79CC" w:rsidRPr="00DA37DD">
        <w:rPr>
          <w:rFonts w:ascii="Times New Roman" w:hAnsi="Times New Roman"/>
          <w:color w:val="000000"/>
          <w:sz w:val="24"/>
        </w:rPr>
        <w:t>Respondents submit data for the same set of questions asked in Section II above, but specifically about dual</w:t>
      </w:r>
      <w:r w:rsidR="007147C1">
        <w:rPr>
          <w:rFonts w:ascii="Times New Roman" w:hAnsi="Times New Roman"/>
          <w:color w:val="000000"/>
          <w:sz w:val="24"/>
        </w:rPr>
        <w:t>-message debit card programs, ex</w:t>
      </w:r>
      <w:r w:rsidR="002A79CC" w:rsidRPr="00DA37DD">
        <w:rPr>
          <w:rFonts w:ascii="Times New Roman" w:hAnsi="Times New Roman"/>
          <w:color w:val="000000"/>
          <w:sz w:val="24"/>
        </w:rPr>
        <w:t>cluding general-use prepaid cards.</w:t>
      </w:r>
    </w:p>
    <w:p w14:paraId="6B42F042" w14:textId="6D66737B" w:rsidR="007147C1" w:rsidRPr="00DA37DD" w:rsidRDefault="007147C1" w:rsidP="00545DD8">
      <w:pPr>
        <w:pStyle w:val="ListParagraph"/>
        <w:widowControl/>
        <w:numPr>
          <w:ilvl w:val="0"/>
          <w:numId w:val="2"/>
        </w:numPr>
        <w:ind w:left="900" w:hanging="540"/>
        <w:rPr>
          <w:rFonts w:ascii="Times New Roman" w:hAnsi="Times New Roman"/>
          <w:color w:val="000000"/>
          <w:sz w:val="24"/>
        </w:rPr>
      </w:pPr>
      <w:r>
        <w:rPr>
          <w:rFonts w:ascii="Times New Roman" w:hAnsi="Times New Roman"/>
          <w:b/>
          <w:color w:val="000000"/>
          <w:sz w:val="24"/>
        </w:rPr>
        <w:t xml:space="preserve">Information for </w:t>
      </w:r>
      <w:r w:rsidRPr="007147C1">
        <w:rPr>
          <w:rFonts w:ascii="Times New Roman" w:hAnsi="Times New Roman"/>
          <w:b/>
          <w:color w:val="000000"/>
          <w:sz w:val="24"/>
        </w:rPr>
        <w:t>General-Use Prepaid Card Transactions:</w:t>
      </w:r>
      <w:r>
        <w:rPr>
          <w:rFonts w:ascii="Times New Roman" w:hAnsi="Times New Roman"/>
          <w:color w:val="000000"/>
          <w:sz w:val="24"/>
        </w:rPr>
        <w:t xml:space="preserve">  Respondents submit data for the same set of questions asked in Section II above, but specifically about general-use prepaid card transactions.</w:t>
      </w:r>
    </w:p>
    <w:p w14:paraId="44EC6C53" w14:textId="77777777" w:rsidR="00F425EF" w:rsidRDefault="00F425EF" w:rsidP="002A79CC">
      <w:pPr>
        <w:widowControl/>
        <w:ind w:firstLine="720"/>
        <w:rPr>
          <w:rFonts w:ascii="Times New Roman" w:hAnsi="Times New Roman"/>
          <w:b/>
          <w:szCs w:val="24"/>
        </w:rPr>
      </w:pPr>
    </w:p>
    <w:p w14:paraId="71E02839" w14:textId="77777777" w:rsidR="00D75474" w:rsidRDefault="00D75474">
      <w:pPr>
        <w:widowControl/>
        <w:rPr>
          <w:rFonts w:ascii="Times New Roman" w:hAnsi="Times New Roman"/>
          <w:b/>
          <w:color w:val="000000"/>
          <w:szCs w:val="24"/>
        </w:rPr>
      </w:pPr>
      <w:r>
        <w:rPr>
          <w:rFonts w:ascii="Times New Roman" w:hAnsi="Times New Roman"/>
          <w:b/>
          <w:color w:val="000000"/>
          <w:szCs w:val="24"/>
        </w:rPr>
        <w:br w:type="page"/>
      </w:r>
    </w:p>
    <w:p w14:paraId="032B19EE" w14:textId="6A9504A5" w:rsidR="00606AD7" w:rsidRPr="00DA37DD" w:rsidRDefault="00606AD7" w:rsidP="00606AD7">
      <w:pPr>
        <w:widowControl/>
        <w:jc w:val="center"/>
        <w:rPr>
          <w:rFonts w:ascii="Times New Roman" w:hAnsi="Times New Roman"/>
          <w:b/>
          <w:szCs w:val="24"/>
        </w:rPr>
      </w:pPr>
      <w:r w:rsidRPr="00DA37DD">
        <w:rPr>
          <w:rFonts w:ascii="Times New Roman" w:hAnsi="Times New Roman"/>
          <w:b/>
          <w:color w:val="000000"/>
          <w:szCs w:val="24"/>
        </w:rPr>
        <w:lastRenderedPageBreak/>
        <w:t xml:space="preserve">Proposed Revisions to </w:t>
      </w:r>
      <w:r>
        <w:rPr>
          <w:rFonts w:ascii="Times New Roman" w:hAnsi="Times New Roman"/>
          <w:b/>
          <w:szCs w:val="24"/>
        </w:rPr>
        <w:t>FR 3064a</w:t>
      </w:r>
    </w:p>
    <w:p w14:paraId="278E78DC" w14:textId="77777777" w:rsidR="00606AD7" w:rsidRPr="00DA37DD" w:rsidRDefault="00606AD7" w:rsidP="00606AD7">
      <w:pPr>
        <w:widowControl/>
        <w:tabs>
          <w:tab w:val="left" w:pos="360"/>
        </w:tabs>
        <w:rPr>
          <w:rFonts w:ascii="Times New Roman" w:hAnsi="Times New Roman"/>
          <w:b/>
          <w:szCs w:val="24"/>
        </w:rPr>
      </w:pPr>
    </w:p>
    <w:p w14:paraId="1FBF48A6" w14:textId="77777777" w:rsidR="00606AD7" w:rsidRPr="00DA37DD" w:rsidRDefault="00606AD7" w:rsidP="00606AD7">
      <w:pPr>
        <w:widowControl/>
        <w:tabs>
          <w:tab w:val="left" w:pos="360"/>
        </w:tabs>
        <w:rPr>
          <w:rFonts w:ascii="Times New Roman" w:hAnsi="Times New Roman"/>
          <w:b/>
          <w:szCs w:val="24"/>
        </w:rPr>
      </w:pPr>
      <w:r w:rsidRPr="00DA37DD">
        <w:rPr>
          <w:rFonts w:ascii="Times New Roman" w:hAnsi="Times New Roman"/>
          <w:b/>
          <w:szCs w:val="24"/>
        </w:rPr>
        <w:tab/>
        <w:t>Section I: Respondent Information:</w:t>
      </w:r>
    </w:p>
    <w:p w14:paraId="0852BFAE" w14:textId="2BEAEBF6" w:rsidR="00606AD7" w:rsidRPr="00DA37DD" w:rsidRDefault="00606AD7" w:rsidP="00606AD7">
      <w:pPr>
        <w:ind w:left="720"/>
        <w:rPr>
          <w:rFonts w:ascii="Times New Roman" w:hAnsi="Times New Roman"/>
          <w:szCs w:val="24"/>
        </w:rPr>
      </w:pPr>
      <w:r w:rsidRPr="00241D34">
        <w:rPr>
          <w:rFonts w:ascii="Times New Roman" w:hAnsi="Times New Roman"/>
          <w:b/>
          <w:szCs w:val="24"/>
        </w:rPr>
        <w:t>Questions 3: Do you have a general-use prepaid card program?</w:t>
      </w:r>
      <w:r>
        <w:rPr>
          <w:rFonts w:ascii="Times New Roman" w:hAnsi="Times New Roman"/>
          <w:szCs w:val="24"/>
        </w:rPr>
        <w:t xml:space="preserve"> -</w:t>
      </w:r>
      <w:r w:rsidRPr="00241D34">
        <w:rPr>
          <w:rFonts w:ascii="Times New Roman" w:hAnsi="Times New Roman"/>
          <w:szCs w:val="24"/>
        </w:rPr>
        <w:t xml:space="preserve"> </w:t>
      </w:r>
      <w:r w:rsidR="00132769">
        <w:rPr>
          <w:rFonts w:ascii="Times New Roman" w:hAnsi="Times New Roman"/>
          <w:szCs w:val="24"/>
        </w:rPr>
        <w:t>T</w:t>
      </w:r>
      <w:r w:rsidR="00132769">
        <w:rPr>
          <w:rFonts w:ascii="Times New Roman" w:hAnsi="Times New Roman"/>
          <w:snapToGrid/>
          <w:color w:val="000000"/>
          <w:szCs w:val="24"/>
        </w:rPr>
        <w:t xml:space="preserve">he Federal Reserve </w:t>
      </w:r>
      <w:r w:rsidRPr="00DA37DD">
        <w:rPr>
          <w:rFonts w:ascii="Times New Roman" w:hAnsi="Times New Roman"/>
          <w:szCs w:val="24"/>
        </w:rPr>
        <w:t>proposes to delete question 3</w:t>
      </w:r>
      <w:r>
        <w:rPr>
          <w:rFonts w:ascii="Times New Roman" w:hAnsi="Times New Roman"/>
          <w:szCs w:val="24"/>
        </w:rPr>
        <w:t xml:space="preserve"> because it is redundant.</w:t>
      </w:r>
    </w:p>
    <w:p w14:paraId="6990329A" w14:textId="77777777" w:rsidR="00606AD7" w:rsidRPr="00DA37DD" w:rsidRDefault="00606AD7" w:rsidP="00606AD7">
      <w:pPr>
        <w:widowControl/>
        <w:tabs>
          <w:tab w:val="left" w:pos="360"/>
        </w:tabs>
        <w:rPr>
          <w:rFonts w:ascii="Times New Roman" w:hAnsi="Times New Roman"/>
          <w:b/>
          <w:szCs w:val="24"/>
        </w:rPr>
      </w:pPr>
    </w:p>
    <w:p w14:paraId="5BF22738" w14:textId="77777777" w:rsidR="00606AD7" w:rsidRPr="00DA37DD" w:rsidRDefault="00606AD7" w:rsidP="00606AD7">
      <w:pPr>
        <w:widowControl/>
        <w:tabs>
          <w:tab w:val="left" w:pos="360"/>
        </w:tabs>
        <w:ind w:left="360"/>
        <w:rPr>
          <w:rFonts w:ascii="Times New Roman" w:hAnsi="Times New Roman"/>
          <w:b/>
          <w:szCs w:val="24"/>
        </w:rPr>
      </w:pPr>
      <w:r w:rsidRPr="00DA37DD">
        <w:rPr>
          <w:rFonts w:ascii="Times New Roman" w:hAnsi="Times New Roman"/>
          <w:b/>
          <w:szCs w:val="24"/>
        </w:rPr>
        <w:t>Section II: All Debit Card Transactions and Section V: General-Use Prepaid Card Transactions</w:t>
      </w:r>
    </w:p>
    <w:p w14:paraId="73D7710C" w14:textId="5DD9A2BE" w:rsidR="00606AD7" w:rsidRPr="00DA37DD" w:rsidRDefault="00606AD7" w:rsidP="00606AD7">
      <w:pPr>
        <w:widowControl/>
        <w:tabs>
          <w:tab w:val="left" w:pos="360"/>
        </w:tabs>
        <w:ind w:left="720"/>
        <w:rPr>
          <w:rFonts w:ascii="Times New Roman" w:hAnsi="Times New Roman"/>
          <w:b/>
          <w:szCs w:val="24"/>
        </w:rPr>
      </w:pPr>
      <w:r w:rsidRPr="00DA37DD">
        <w:rPr>
          <w:rFonts w:ascii="Times New Roman" w:hAnsi="Times New Roman"/>
          <w:b/>
          <w:szCs w:val="24"/>
        </w:rPr>
        <w:t>Question 1: General-use prepaid card exemption: Exempt vs. non-exempt general-use prepaid card transactions</w:t>
      </w:r>
      <w:r w:rsidRPr="00DA37DD">
        <w:rPr>
          <w:rFonts w:ascii="Times New Roman" w:hAnsi="Times New Roman"/>
          <w:szCs w:val="24"/>
        </w:rPr>
        <w:t xml:space="preserve"> - </w:t>
      </w:r>
      <w:r w:rsidR="00132769">
        <w:rPr>
          <w:rFonts w:ascii="Times New Roman" w:hAnsi="Times New Roman"/>
          <w:snapToGrid/>
          <w:color w:val="000000"/>
          <w:szCs w:val="24"/>
        </w:rPr>
        <w:t xml:space="preserve">The Federal Reserve </w:t>
      </w:r>
      <w:r w:rsidRPr="00DA37DD">
        <w:rPr>
          <w:rFonts w:ascii="Times New Roman" w:hAnsi="Times New Roman"/>
          <w:szCs w:val="24"/>
        </w:rPr>
        <w:t>proposes to modify question 1.d by deleting line item 1d.1 (Volume and Value)</w:t>
      </w:r>
      <w:r>
        <w:rPr>
          <w:rFonts w:ascii="Times New Roman" w:hAnsi="Times New Roman"/>
          <w:szCs w:val="24"/>
        </w:rPr>
        <w:t xml:space="preserve">, </w:t>
      </w:r>
      <w:proofErr w:type="gramStart"/>
      <w:r w:rsidRPr="00DA37DD">
        <w:rPr>
          <w:rFonts w:ascii="Times New Roman" w:hAnsi="Times New Roman"/>
          <w:szCs w:val="24"/>
        </w:rPr>
        <w:t>All</w:t>
      </w:r>
      <w:proofErr w:type="gramEnd"/>
      <w:r w:rsidRPr="00DA37DD">
        <w:rPr>
          <w:rFonts w:ascii="Times New Roman" w:hAnsi="Times New Roman"/>
          <w:szCs w:val="24"/>
        </w:rPr>
        <w:t xml:space="preserve"> general-use prepaid card transactions between January 1 and September 30, 2011, as this timeframe is no longer relevant.  Subsequent line items 1d.2 and 1d.3 would be renumbered as 1d.1 and 1d.2.</w:t>
      </w:r>
    </w:p>
    <w:p w14:paraId="2B18D42B" w14:textId="77777777" w:rsidR="00606AD7" w:rsidRPr="00DA37DD" w:rsidRDefault="00606AD7" w:rsidP="00606AD7">
      <w:pPr>
        <w:widowControl/>
        <w:tabs>
          <w:tab w:val="left" w:pos="360"/>
        </w:tabs>
        <w:ind w:left="360"/>
        <w:rPr>
          <w:rFonts w:ascii="Times New Roman" w:hAnsi="Times New Roman"/>
          <w:szCs w:val="24"/>
        </w:rPr>
      </w:pPr>
    </w:p>
    <w:p w14:paraId="7290445E" w14:textId="77777777" w:rsidR="00606AD7" w:rsidRDefault="00606AD7" w:rsidP="00606AD7">
      <w:pPr>
        <w:widowControl/>
        <w:tabs>
          <w:tab w:val="left" w:pos="360"/>
        </w:tabs>
        <w:ind w:left="360"/>
        <w:rPr>
          <w:rFonts w:ascii="Times New Roman" w:hAnsi="Times New Roman"/>
          <w:b/>
          <w:szCs w:val="24"/>
        </w:rPr>
      </w:pPr>
      <w:r w:rsidRPr="000D6296">
        <w:rPr>
          <w:rFonts w:ascii="Times New Roman" w:hAnsi="Times New Roman"/>
          <w:b/>
          <w:szCs w:val="24"/>
        </w:rPr>
        <w:t>Section II: All Debit Card Transactions</w:t>
      </w:r>
      <w:r>
        <w:rPr>
          <w:rFonts w:ascii="Times New Roman" w:hAnsi="Times New Roman"/>
          <w:b/>
          <w:szCs w:val="24"/>
        </w:rPr>
        <w:t>, Section III: All Single-Message (PIN) Debit Card Transactions, Section IV: All Dual-Message (Signature) Debit Card Transactions,</w:t>
      </w:r>
      <w:r w:rsidRPr="000D6296">
        <w:rPr>
          <w:rFonts w:ascii="Times New Roman" w:hAnsi="Times New Roman"/>
          <w:b/>
          <w:szCs w:val="24"/>
        </w:rPr>
        <w:t xml:space="preserve"> and Section V: General-Use Prepaid Card Transactions</w:t>
      </w:r>
    </w:p>
    <w:p w14:paraId="239BC6AE" w14:textId="05F34285" w:rsidR="00606AD7" w:rsidRPr="00DA37DD" w:rsidRDefault="00606AD7" w:rsidP="00606AD7">
      <w:pPr>
        <w:widowControl/>
        <w:tabs>
          <w:tab w:val="left" w:pos="360"/>
        </w:tabs>
        <w:ind w:left="720"/>
        <w:rPr>
          <w:rFonts w:ascii="Times New Roman" w:hAnsi="Times New Roman"/>
          <w:szCs w:val="24"/>
        </w:rPr>
      </w:pPr>
      <w:r w:rsidRPr="00DA37DD">
        <w:rPr>
          <w:rFonts w:ascii="Times New Roman" w:hAnsi="Times New Roman"/>
          <w:b/>
          <w:szCs w:val="24"/>
        </w:rPr>
        <w:t xml:space="preserve">Question 3: Costs of authorization, clearance, and settlement - </w:t>
      </w:r>
      <w:r w:rsidR="00132769" w:rsidRPr="00132769">
        <w:rPr>
          <w:rFonts w:ascii="Times New Roman" w:hAnsi="Times New Roman"/>
          <w:szCs w:val="24"/>
        </w:rPr>
        <w:t>T</w:t>
      </w:r>
      <w:r w:rsidR="00132769">
        <w:rPr>
          <w:rFonts w:ascii="Times New Roman" w:hAnsi="Times New Roman"/>
          <w:snapToGrid/>
          <w:color w:val="000000"/>
          <w:szCs w:val="24"/>
        </w:rPr>
        <w:t xml:space="preserve">he Federal Reserve </w:t>
      </w:r>
      <w:r w:rsidRPr="00DA37DD">
        <w:rPr>
          <w:rFonts w:ascii="Times New Roman" w:hAnsi="Times New Roman"/>
          <w:szCs w:val="24"/>
        </w:rPr>
        <w:t xml:space="preserve">proposes to </w:t>
      </w:r>
      <w:r>
        <w:rPr>
          <w:rFonts w:ascii="Times New Roman" w:hAnsi="Times New Roman"/>
          <w:szCs w:val="24"/>
        </w:rPr>
        <w:t xml:space="preserve">add questions 3e and 3f to </w:t>
      </w:r>
      <w:r w:rsidRPr="00DA37DD">
        <w:rPr>
          <w:rFonts w:ascii="Times New Roman" w:hAnsi="Times New Roman"/>
          <w:szCs w:val="24"/>
        </w:rPr>
        <w:t>break out the fixed and variable cost components for line items 3b.1 In-house costs and 3b.2 Third-party processing fees</w:t>
      </w:r>
      <w:r>
        <w:rPr>
          <w:rFonts w:ascii="Times New Roman" w:hAnsi="Times New Roman"/>
          <w:szCs w:val="24"/>
        </w:rPr>
        <w:t>, respectively</w:t>
      </w:r>
      <w:r w:rsidRPr="00DA37DD">
        <w:rPr>
          <w:rFonts w:ascii="Times New Roman" w:hAnsi="Times New Roman"/>
          <w:szCs w:val="24"/>
        </w:rPr>
        <w:t>.  Definitions for variable and fixed costs would be added to the instructions.</w:t>
      </w:r>
      <w:r w:rsidRPr="00DA37DD">
        <w:rPr>
          <w:rStyle w:val="FootnoteReference"/>
          <w:rFonts w:ascii="Times New Roman" w:hAnsi="Times New Roman"/>
          <w:szCs w:val="24"/>
          <w:vertAlign w:val="superscript"/>
        </w:rPr>
        <w:footnoteReference w:id="10"/>
      </w:r>
      <w:r w:rsidRPr="00DA37DD">
        <w:rPr>
          <w:rFonts w:ascii="Times New Roman" w:hAnsi="Times New Roman"/>
          <w:szCs w:val="24"/>
        </w:rPr>
        <w:t xml:space="preserve">  A break out of variable and fixed costs </w:t>
      </w:r>
      <w:r>
        <w:rPr>
          <w:rFonts w:ascii="Times New Roman" w:hAnsi="Times New Roman"/>
          <w:szCs w:val="24"/>
        </w:rPr>
        <w:t xml:space="preserve">would </w:t>
      </w:r>
      <w:r w:rsidRPr="00DA37DD">
        <w:rPr>
          <w:rFonts w:ascii="Times New Roman" w:hAnsi="Times New Roman"/>
          <w:szCs w:val="24"/>
        </w:rPr>
        <w:t xml:space="preserve">provide </w:t>
      </w:r>
      <w:r w:rsidRPr="00DA37DD">
        <w:rPr>
          <w:rFonts w:ascii="Times New Roman" w:hAnsi="Times New Roman"/>
          <w:snapToGrid/>
          <w:color w:val="000000"/>
          <w:szCs w:val="24"/>
        </w:rPr>
        <w:t xml:space="preserve">the Board with sufficient flexibility to respond to possible </w:t>
      </w:r>
      <w:r w:rsidRPr="00DA37DD">
        <w:rPr>
          <w:rFonts w:ascii="Times New Roman" w:hAnsi="Times New Roman"/>
          <w:szCs w:val="24"/>
        </w:rPr>
        <w:t>outcomes of pending litigation</w:t>
      </w:r>
      <w:r>
        <w:rPr>
          <w:rFonts w:ascii="Times New Roman" w:hAnsi="Times New Roman"/>
          <w:szCs w:val="24"/>
        </w:rPr>
        <w:t xml:space="preserve"> regarding Regulation II</w:t>
      </w:r>
      <w:r w:rsidRPr="00DA37DD">
        <w:rPr>
          <w:rFonts w:ascii="Times New Roman" w:hAnsi="Times New Roman"/>
          <w:szCs w:val="24"/>
        </w:rPr>
        <w:t xml:space="preserve">. </w:t>
      </w:r>
    </w:p>
    <w:p w14:paraId="2A21D6B5" w14:textId="77777777" w:rsidR="00606AD7" w:rsidRPr="00DA37DD" w:rsidRDefault="00606AD7" w:rsidP="00606AD7">
      <w:pPr>
        <w:widowControl/>
        <w:tabs>
          <w:tab w:val="left" w:pos="360"/>
        </w:tabs>
        <w:ind w:left="720"/>
        <w:rPr>
          <w:rFonts w:ascii="Times New Roman" w:hAnsi="Times New Roman"/>
          <w:szCs w:val="24"/>
        </w:rPr>
      </w:pPr>
    </w:p>
    <w:p w14:paraId="47792F01" w14:textId="77777777" w:rsidR="00D75474" w:rsidRDefault="00132769" w:rsidP="00D75474">
      <w:pPr>
        <w:widowControl/>
        <w:tabs>
          <w:tab w:val="left" w:pos="360"/>
        </w:tabs>
        <w:ind w:left="720"/>
        <w:rPr>
          <w:rFonts w:ascii="Times New Roman" w:hAnsi="Times New Roman"/>
          <w:szCs w:val="24"/>
        </w:rPr>
      </w:pPr>
      <w:r>
        <w:rPr>
          <w:rFonts w:ascii="Times New Roman" w:hAnsi="Times New Roman"/>
          <w:snapToGrid/>
          <w:color w:val="000000"/>
          <w:szCs w:val="24"/>
        </w:rPr>
        <w:t xml:space="preserve">The Federal Reserve </w:t>
      </w:r>
      <w:r w:rsidR="00606AD7" w:rsidRPr="00DA37DD">
        <w:rPr>
          <w:rFonts w:ascii="Times New Roman" w:hAnsi="Times New Roman"/>
          <w:szCs w:val="24"/>
        </w:rPr>
        <w:t>proposes to modify the instructions for question 3 to exclude transactions monitoring costs as part of the costs of authorization, clearance, and settlement.  Transactions monitoring cost</w:t>
      </w:r>
      <w:r w:rsidR="00606AD7">
        <w:rPr>
          <w:rFonts w:ascii="Times New Roman" w:hAnsi="Times New Roman"/>
          <w:szCs w:val="24"/>
        </w:rPr>
        <w:t>s</w:t>
      </w:r>
      <w:r w:rsidR="00606AD7" w:rsidRPr="00DA37DD">
        <w:rPr>
          <w:rFonts w:ascii="Times New Roman" w:hAnsi="Times New Roman"/>
          <w:szCs w:val="24"/>
        </w:rPr>
        <w:t xml:space="preserve"> are currently reported in Question 5</w:t>
      </w:r>
      <w:r w:rsidR="00606AD7">
        <w:rPr>
          <w:rFonts w:ascii="Times New Roman" w:hAnsi="Times New Roman"/>
          <w:szCs w:val="24"/>
        </w:rPr>
        <w:t>,</w:t>
      </w:r>
      <w:r w:rsidR="00606AD7" w:rsidRPr="00DA37DD">
        <w:rPr>
          <w:rFonts w:ascii="Times New Roman" w:hAnsi="Times New Roman"/>
          <w:szCs w:val="24"/>
        </w:rPr>
        <w:t xml:space="preserve"> </w:t>
      </w:r>
      <w:r w:rsidR="00606AD7">
        <w:rPr>
          <w:rFonts w:ascii="Times New Roman" w:hAnsi="Times New Roman"/>
          <w:szCs w:val="24"/>
        </w:rPr>
        <w:t>F</w:t>
      </w:r>
      <w:r w:rsidR="00606AD7" w:rsidRPr="00DA37DD">
        <w:rPr>
          <w:rFonts w:ascii="Times New Roman" w:hAnsi="Times New Roman"/>
          <w:szCs w:val="24"/>
        </w:rPr>
        <w:t xml:space="preserve">raud prevention and data security costs, line item 5a.1 Transactions monitoring cost tied to authorization. </w:t>
      </w:r>
    </w:p>
    <w:p w14:paraId="061EE71D" w14:textId="77777777" w:rsidR="00D75474" w:rsidRDefault="00D75474" w:rsidP="00D75474">
      <w:pPr>
        <w:widowControl/>
        <w:tabs>
          <w:tab w:val="left" w:pos="360"/>
        </w:tabs>
        <w:ind w:left="720"/>
        <w:rPr>
          <w:rFonts w:ascii="Times New Roman" w:hAnsi="Times New Roman"/>
          <w:szCs w:val="24"/>
        </w:rPr>
      </w:pPr>
    </w:p>
    <w:p w14:paraId="04657F2C" w14:textId="0F0D23B1" w:rsidR="00606AD7" w:rsidRPr="00D75474" w:rsidRDefault="00606AD7" w:rsidP="00D75474">
      <w:pPr>
        <w:widowControl/>
        <w:tabs>
          <w:tab w:val="left" w:pos="360"/>
        </w:tabs>
        <w:ind w:left="360"/>
        <w:rPr>
          <w:rFonts w:ascii="Times New Roman" w:hAnsi="Times New Roman"/>
          <w:szCs w:val="24"/>
        </w:rPr>
      </w:pPr>
      <w:r>
        <w:rPr>
          <w:rFonts w:ascii="Times New Roman" w:hAnsi="Times New Roman"/>
          <w:b/>
          <w:szCs w:val="24"/>
        </w:rPr>
        <w:t>General Instructions</w:t>
      </w:r>
    </w:p>
    <w:p w14:paraId="44CC73C8" w14:textId="5FD538B4" w:rsidR="00606AD7" w:rsidRPr="00DA37DD" w:rsidRDefault="00132769" w:rsidP="00606AD7">
      <w:pPr>
        <w:widowControl/>
        <w:tabs>
          <w:tab w:val="left" w:pos="360"/>
        </w:tabs>
        <w:ind w:left="720"/>
        <w:rPr>
          <w:rFonts w:ascii="Times New Roman" w:hAnsi="Times New Roman"/>
          <w:szCs w:val="24"/>
        </w:rPr>
      </w:pPr>
      <w:r>
        <w:rPr>
          <w:rFonts w:ascii="Times New Roman" w:hAnsi="Times New Roman"/>
          <w:snapToGrid/>
          <w:color w:val="000000"/>
          <w:szCs w:val="24"/>
        </w:rPr>
        <w:t xml:space="preserve">The Federal Reserve </w:t>
      </w:r>
      <w:r w:rsidR="00606AD7" w:rsidRPr="00DA37DD">
        <w:rPr>
          <w:rFonts w:ascii="Times New Roman" w:hAnsi="Times New Roman"/>
          <w:szCs w:val="24"/>
        </w:rPr>
        <w:t>proposes to change the timing</w:t>
      </w:r>
      <w:r w:rsidR="00606AD7">
        <w:rPr>
          <w:rFonts w:ascii="Times New Roman" w:hAnsi="Times New Roman"/>
          <w:szCs w:val="24"/>
        </w:rPr>
        <w:t xml:space="preserve"> for conducting</w:t>
      </w:r>
      <w:r w:rsidR="00606AD7" w:rsidRPr="00DA37DD">
        <w:rPr>
          <w:rFonts w:ascii="Times New Roman" w:hAnsi="Times New Roman"/>
          <w:szCs w:val="24"/>
        </w:rPr>
        <w:t xml:space="preserve"> the calendar year 2013 survey.  Currently, the debit card issuer survey becomes available to respondents in mid-February with responses due within 60 days.  To enable the Board to collect and use updated data to respond quickly to pending litigation</w:t>
      </w:r>
      <w:r w:rsidR="00606AD7">
        <w:rPr>
          <w:rFonts w:ascii="Times New Roman" w:hAnsi="Times New Roman"/>
          <w:szCs w:val="24"/>
        </w:rPr>
        <w:t xml:space="preserve"> regarding Regulation II</w:t>
      </w:r>
      <w:r w:rsidR="00606AD7" w:rsidRPr="00DA37DD">
        <w:rPr>
          <w:rFonts w:ascii="Times New Roman" w:hAnsi="Times New Roman"/>
          <w:szCs w:val="24"/>
        </w:rPr>
        <w:t xml:space="preserve">, </w:t>
      </w:r>
      <w:r>
        <w:rPr>
          <w:rFonts w:ascii="Times New Roman" w:hAnsi="Times New Roman"/>
          <w:snapToGrid/>
          <w:color w:val="000000"/>
          <w:szCs w:val="24"/>
        </w:rPr>
        <w:t xml:space="preserve">the Federal Reserve </w:t>
      </w:r>
      <w:r w:rsidR="00606AD7" w:rsidRPr="00DA37DD">
        <w:rPr>
          <w:rFonts w:ascii="Times New Roman" w:hAnsi="Times New Roman"/>
          <w:szCs w:val="24"/>
        </w:rPr>
        <w:t xml:space="preserve">proposes accelerating the </w:t>
      </w:r>
      <w:r w:rsidR="00606AD7">
        <w:rPr>
          <w:rFonts w:ascii="Times New Roman" w:hAnsi="Times New Roman"/>
          <w:szCs w:val="24"/>
        </w:rPr>
        <w:t xml:space="preserve">schedule for </w:t>
      </w:r>
      <w:r w:rsidR="00606AD7" w:rsidRPr="00DA37DD">
        <w:rPr>
          <w:rFonts w:ascii="Times New Roman" w:hAnsi="Times New Roman"/>
          <w:szCs w:val="24"/>
        </w:rPr>
        <w:t>calendar year 2013 survey</w:t>
      </w:r>
      <w:r w:rsidR="00606AD7">
        <w:rPr>
          <w:rFonts w:ascii="Times New Roman" w:hAnsi="Times New Roman"/>
          <w:szCs w:val="24"/>
        </w:rPr>
        <w:t>,</w:t>
      </w:r>
      <w:r w:rsidR="00606AD7" w:rsidRPr="00DA37DD">
        <w:rPr>
          <w:rFonts w:ascii="Times New Roman" w:hAnsi="Times New Roman"/>
          <w:szCs w:val="24"/>
        </w:rPr>
        <w:t xml:space="preserve"> </w:t>
      </w:r>
      <w:r w:rsidR="00606AD7">
        <w:rPr>
          <w:rFonts w:ascii="Times New Roman" w:hAnsi="Times New Roman"/>
          <w:szCs w:val="24"/>
        </w:rPr>
        <w:t>making</w:t>
      </w:r>
      <w:r w:rsidR="00606AD7" w:rsidRPr="00DA37DD">
        <w:rPr>
          <w:rFonts w:ascii="Times New Roman" w:hAnsi="Times New Roman"/>
          <w:szCs w:val="24"/>
        </w:rPr>
        <w:t xml:space="preserve"> the survey</w:t>
      </w:r>
      <w:r w:rsidR="00606AD7">
        <w:rPr>
          <w:rFonts w:ascii="Times New Roman" w:hAnsi="Times New Roman"/>
          <w:szCs w:val="24"/>
        </w:rPr>
        <w:t xml:space="preserve"> available</w:t>
      </w:r>
      <w:r w:rsidR="00606AD7" w:rsidRPr="00DA37DD">
        <w:rPr>
          <w:rFonts w:ascii="Times New Roman" w:hAnsi="Times New Roman"/>
          <w:szCs w:val="24"/>
        </w:rPr>
        <w:t xml:space="preserve"> by February </w:t>
      </w:r>
      <w:r w:rsidR="00606AD7">
        <w:rPr>
          <w:rFonts w:ascii="Times New Roman" w:hAnsi="Times New Roman"/>
          <w:szCs w:val="24"/>
        </w:rPr>
        <w:t xml:space="preserve">3, 2014, </w:t>
      </w:r>
      <w:r w:rsidR="00606AD7" w:rsidRPr="00DA37DD">
        <w:rPr>
          <w:rFonts w:ascii="Times New Roman" w:hAnsi="Times New Roman"/>
          <w:szCs w:val="24"/>
        </w:rPr>
        <w:t>with responses due by March 17</w:t>
      </w:r>
      <w:r w:rsidR="00606AD7">
        <w:rPr>
          <w:rFonts w:ascii="Times New Roman" w:hAnsi="Times New Roman"/>
          <w:szCs w:val="24"/>
        </w:rPr>
        <w:t>, 2014</w:t>
      </w:r>
      <w:r w:rsidR="00606AD7" w:rsidRPr="00DA37DD">
        <w:rPr>
          <w:rFonts w:ascii="Times New Roman" w:hAnsi="Times New Roman"/>
          <w:szCs w:val="24"/>
        </w:rPr>
        <w:t xml:space="preserve">.  Future surveys would revert to the original schedule </w:t>
      </w:r>
      <w:r w:rsidR="00606AD7" w:rsidRPr="00DA37DD">
        <w:rPr>
          <w:rFonts w:ascii="Times New Roman" w:hAnsi="Times New Roman"/>
          <w:snapToGrid/>
          <w:color w:val="000000"/>
          <w:szCs w:val="24"/>
        </w:rPr>
        <w:t>(mid-February to mid-April)</w:t>
      </w:r>
      <w:r w:rsidR="00606AD7" w:rsidRPr="00DA37DD">
        <w:rPr>
          <w:rFonts w:ascii="Times New Roman" w:hAnsi="Times New Roman"/>
          <w:szCs w:val="24"/>
        </w:rPr>
        <w:t>.</w:t>
      </w:r>
    </w:p>
    <w:p w14:paraId="0A69428F" w14:textId="77777777" w:rsidR="00606AD7" w:rsidRPr="007E202B" w:rsidRDefault="00606AD7" w:rsidP="007E202B">
      <w:pPr>
        <w:widowControl/>
        <w:ind w:firstLine="720"/>
        <w:rPr>
          <w:rFonts w:ascii="Times New Roman" w:hAnsi="Times New Roman"/>
          <w:b/>
        </w:rPr>
      </w:pPr>
    </w:p>
    <w:p w14:paraId="455B993F" w14:textId="0C134FE0" w:rsidR="002A79CC" w:rsidRPr="00DA37DD" w:rsidRDefault="002A79CC" w:rsidP="002A79CC">
      <w:pPr>
        <w:widowControl/>
        <w:ind w:firstLine="720"/>
        <w:rPr>
          <w:rFonts w:ascii="Times New Roman" w:hAnsi="Times New Roman"/>
          <w:b/>
          <w:szCs w:val="24"/>
        </w:rPr>
      </w:pPr>
      <w:r w:rsidRPr="00DA37DD">
        <w:rPr>
          <w:rFonts w:ascii="Times New Roman" w:hAnsi="Times New Roman"/>
          <w:b/>
          <w:szCs w:val="24"/>
        </w:rPr>
        <w:t>Payment Card Network Survey (FR 3064b)</w:t>
      </w:r>
    </w:p>
    <w:p w14:paraId="6612D948" w14:textId="77777777" w:rsidR="002A79CC" w:rsidRPr="00DA37DD" w:rsidRDefault="002A79CC" w:rsidP="002A79CC">
      <w:pPr>
        <w:widowControl/>
        <w:ind w:firstLine="1296"/>
        <w:rPr>
          <w:rFonts w:ascii="Times New Roman" w:hAnsi="Times New Roman"/>
          <w:b/>
          <w:szCs w:val="24"/>
        </w:rPr>
      </w:pPr>
    </w:p>
    <w:p w14:paraId="7C267F5C" w14:textId="57B455D3" w:rsidR="002A79CC" w:rsidRPr="00DA37DD" w:rsidRDefault="002A79CC" w:rsidP="002A79CC">
      <w:pPr>
        <w:ind w:firstLine="720"/>
        <w:rPr>
          <w:rFonts w:ascii="Times New Roman" w:hAnsi="Times New Roman"/>
          <w:color w:val="000000"/>
          <w:szCs w:val="24"/>
        </w:rPr>
      </w:pPr>
      <w:r w:rsidRPr="00DA37DD">
        <w:rPr>
          <w:rFonts w:ascii="Times New Roman" w:hAnsi="Times New Roman"/>
          <w:color w:val="000000"/>
          <w:szCs w:val="24"/>
        </w:rPr>
        <w:t xml:space="preserve">The payment card network survey </w:t>
      </w:r>
      <w:r w:rsidR="001F4BD4" w:rsidRPr="00DA37DD">
        <w:rPr>
          <w:rFonts w:ascii="Times New Roman" w:hAnsi="Times New Roman"/>
          <w:color w:val="000000"/>
          <w:szCs w:val="24"/>
        </w:rPr>
        <w:t xml:space="preserve">is required for all entities that are considered “payment card networks” under Regulation II.  The payment card network requests information on </w:t>
      </w:r>
      <w:r w:rsidR="001F4BD4" w:rsidRPr="00DA37DD">
        <w:rPr>
          <w:rFonts w:ascii="Times New Roman" w:hAnsi="Times New Roman"/>
          <w:color w:val="000000"/>
          <w:szCs w:val="24"/>
        </w:rPr>
        <w:lastRenderedPageBreak/>
        <w:t xml:space="preserve">domestic debit card transactions (i.e., those in which both the merchant and account debited are located in the United States).  </w:t>
      </w:r>
      <w:r w:rsidR="0073649E" w:rsidRPr="00DA37DD">
        <w:rPr>
          <w:rFonts w:ascii="Times New Roman" w:hAnsi="Times New Roman"/>
          <w:color w:val="000000"/>
          <w:szCs w:val="24"/>
        </w:rPr>
        <w:t xml:space="preserve">Regulation II </w:t>
      </w:r>
      <w:r w:rsidRPr="00DA37DD">
        <w:rPr>
          <w:rFonts w:ascii="Times New Roman" w:hAnsi="Times New Roman"/>
          <w:color w:val="000000"/>
          <w:szCs w:val="24"/>
        </w:rPr>
        <w:t>require</w:t>
      </w:r>
      <w:r w:rsidR="00501044" w:rsidRPr="00DA37DD">
        <w:rPr>
          <w:rFonts w:ascii="Times New Roman" w:hAnsi="Times New Roman"/>
          <w:color w:val="000000"/>
          <w:szCs w:val="24"/>
        </w:rPr>
        <w:t>s</w:t>
      </w:r>
      <w:r w:rsidRPr="00DA37DD">
        <w:rPr>
          <w:rFonts w:ascii="Times New Roman" w:hAnsi="Times New Roman"/>
          <w:color w:val="000000"/>
          <w:szCs w:val="24"/>
        </w:rPr>
        <w:t xml:space="preserve"> </w:t>
      </w:r>
      <w:r w:rsidR="001F4BD4" w:rsidRPr="00DA37DD">
        <w:rPr>
          <w:rFonts w:ascii="Times New Roman" w:hAnsi="Times New Roman"/>
          <w:color w:val="000000"/>
          <w:szCs w:val="24"/>
        </w:rPr>
        <w:t xml:space="preserve">each </w:t>
      </w:r>
      <w:r w:rsidRPr="00DA37DD">
        <w:rPr>
          <w:rFonts w:ascii="Times New Roman" w:hAnsi="Times New Roman"/>
          <w:color w:val="000000"/>
          <w:szCs w:val="24"/>
        </w:rPr>
        <w:t>payment card network to submit information about debit card (including general-use prepaid card) transaction</w:t>
      </w:r>
      <w:r w:rsidR="0073649E" w:rsidRPr="00DA37DD">
        <w:rPr>
          <w:rFonts w:ascii="Times New Roman" w:hAnsi="Times New Roman"/>
          <w:color w:val="000000"/>
          <w:szCs w:val="24"/>
        </w:rPr>
        <w:t>s in a form prescribed by the Board.</w:t>
      </w:r>
      <w:r w:rsidR="0073649E" w:rsidRPr="00DA37DD">
        <w:rPr>
          <w:rStyle w:val="FootnoteReference"/>
          <w:rFonts w:ascii="Times New Roman" w:hAnsi="Times New Roman"/>
          <w:color w:val="000000"/>
          <w:szCs w:val="24"/>
          <w:vertAlign w:val="superscript"/>
        </w:rPr>
        <w:footnoteReference w:id="11"/>
      </w:r>
      <w:r w:rsidR="0073649E" w:rsidRPr="00DA37DD">
        <w:rPr>
          <w:rFonts w:ascii="Times New Roman" w:hAnsi="Times New Roman"/>
          <w:color w:val="000000"/>
          <w:szCs w:val="24"/>
        </w:rPr>
        <w:t xml:space="preserve">  The Payment Card Network Survey collects data on transaction  </w:t>
      </w:r>
      <w:r w:rsidRPr="00DA37DD">
        <w:rPr>
          <w:rFonts w:ascii="Times New Roman" w:hAnsi="Times New Roman"/>
          <w:color w:val="000000"/>
          <w:szCs w:val="24"/>
        </w:rPr>
        <w:t xml:space="preserve"> volume and value; interchange fees; other network fees; and incentives and discounts paid to acquirers, merchants, and issuers.</w:t>
      </w:r>
      <w:r w:rsidR="00501044" w:rsidRPr="00DA37DD">
        <w:rPr>
          <w:rFonts w:ascii="Times New Roman" w:hAnsi="Times New Roman"/>
          <w:color w:val="000000"/>
          <w:szCs w:val="24"/>
        </w:rPr>
        <w:t xml:space="preserve"> </w:t>
      </w:r>
      <w:r w:rsidRPr="00DA37DD">
        <w:rPr>
          <w:rFonts w:ascii="Times New Roman" w:hAnsi="Times New Roman"/>
          <w:color w:val="000000"/>
          <w:szCs w:val="24"/>
        </w:rPr>
        <w:t>The network survey comprise</w:t>
      </w:r>
      <w:r w:rsidR="00501044" w:rsidRPr="00DA37DD">
        <w:rPr>
          <w:rFonts w:ascii="Times New Roman" w:hAnsi="Times New Roman"/>
          <w:color w:val="000000"/>
          <w:szCs w:val="24"/>
        </w:rPr>
        <w:t>s</w:t>
      </w:r>
      <w:r w:rsidRPr="00DA37DD">
        <w:rPr>
          <w:rFonts w:ascii="Times New Roman" w:hAnsi="Times New Roman"/>
          <w:color w:val="000000"/>
          <w:szCs w:val="24"/>
        </w:rPr>
        <w:t xml:space="preserve"> two sections.</w:t>
      </w:r>
      <w:r w:rsidRPr="00DA37DD">
        <w:rPr>
          <w:rStyle w:val="FootnoteReference"/>
          <w:rFonts w:ascii="Times New Roman" w:hAnsi="Times New Roman"/>
          <w:color w:val="000000"/>
          <w:szCs w:val="24"/>
          <w:vertAlign w:val="superscript"/>
        </w:rPr>
        <w:footnoteReference w:id="12"/>
      </w:r>
      <w:r w:rsidRPr="00DA37DD">
        <w:rPr>
          <w:rFonts w:ascii="Times New Roman" w:hAnsi="Times New Roman"/>
          <w:color w:val="000000"/>
          <w:szCs w:val="24"/>
        </w:rPr>
        <w:t xml:space="preserve"> </w:t>
      </w:r>
    </w:p>
    <w:p w14:paraId="6BF0F550" w14:textId="77777777" w:rsidR="002A79CC" w:rsidRPr="00DA37DD" w:rsidRDefault="002A79CC" w:rsidP="002A79CC">
      <w:pPr>
        <w:ind w:firstLine="1440"/>
        <w:rPr>
          <w:rFonts w:ascii="Times New Roman" w:hAnsi="Times New Roman"/>
          <w:color w:val="000000"/>
          <w:szCs w:val="24"/>
        </w:rPr>
      </w:pPr>
    </w:p>
    <w:p w14:paraId="15FFF8DF" w14:textId="36BA9752" w:rsidR="002A79CC" w:rsidRPr="00DA37DD" w:rsidRDefault="002A79CC" w:rsidP="002A79CC">
      <w:pPr>
        <w:pStyle w:val="ListParagraph"/>
        <w:widowControl/>
        <w:numPr>
          <w:ilvl w:val="0"/>
          <w:numId w:val="3"/>
        </w:numPr>
        <w:rPr>
          <w:rFonts w:ascii="Times New Roman" w:hAnsi="Times New Roman"/>
          <w:color w:val="000000"/>
          <w:sz w:val="24"/>
        </w:rPr>
      </w:pPr>
      <w:r w:rsidRPr="00DA37DD">
        <w:rPr>
          <w:rFonts w:ascii="Times New Roman" w:hAnsi="Times New Roman"/>
          <w:b/>
          <w:color w:val="000000"/>
          <w:sz w:val="24"/>
        </w:rPr>
        <w:t xml:space="preserve">Respondent Information:  </w:t>
      </w:r>
      <w:r w:rsidRPr="00DA37DD">
        <w:rPr>
          <w:rFonts w:ascii="Times New Roman" w:hAnsi="Times New Roman"/>
          <w:color w:val="000000"/>
          <w:sz w:val="24"/>
        </w:rPr>
        <w:t>Respondents provide the network covered in this response and the contact person(s) name, section of the survey for which they are responsible, e-mail and phone number.  Respondents also report whether the payment card network is a single-message (PIN) or dual-message (signature) network, and whether the payment card network offers a tiered interchange fee rate schedule that differentiates between exempt issuers and non-exempt issuers, and the number of merchant locations.</w:t>
      </w:r>
    </w:p>
    <w:p w14:paraId="17FB51C4" w14:textId="71C1DBE4" w:rsidR="002A79CC" w:rsidRPr="00DA37DD" w:rsidRDefault="001F4BD4" w:rsidP="002A79CC">
      <w:pPr>
        <w:pStyle w:val="ListParagraph"/>
        <w:widowControl/>
        <w:numPr>
          <w:ilvl w:val="0"/>
          <w:numId w:val="3"/>
        </w:numPr>
        <w:autoSpaceDE/>
        <w:autoSpaceDN/>
        <w:adjustRightInd/>
        <w:rPr>
          <w:rFonts w:ascii="Times New Roman" w:hAnsi="Times New Roman"/>
          <w:color w:val="000000"/>
          <w:sz w:val="24"/>
        </w:rPr>
      </w:pPr>
      <w:r w:rsidRPr="00DA37DD">
        <w:rPr>
          <w:rFonts w:ascii="Times New Roman" w:hAnsi="Times New Roman"/>
          <w:b/>
          <w:sz w:val="24"/>
        </w:rPr>
        <w:t xml:space="preserve">Information on </w:t>
      </w:r>
      <w:r w:rsidR="002A79CC" w:rsidRPr="00DA37DD">
        <w:rPr>
          <w:rFonts w:ascii="Times New Roman" w:hAnsi="Times New Roman"/>
          <w:b/>
          <w:sz w:val="24"/>
        </w:rPr>
        <w:t xml:space="preserve">Debit Card Transactions (including general-use prepaid card transactions):  </w:t>
      </w:r>
      <w:r w:rsidR="002A79CC" w:rsidRPr="00DA37DD">
        <w:rPr>
          <w:rFonts w:ascii="Times New Roman" w:hAnsi="Times New Roman"/>
          <w:sz w:val="24"/>
        </w:rPr>
        <w:t xml:space="preserve">Respondents report </w:t>
      </w:r>
      <w:r w:rsidRPr="00DA37DD">
        <w:rPr>
          <w:rFonts w:ascii="Times New Roman" w:hAnsi="Times New Roman"/>
          <w:sz w:val="24"/>
        </w:rPr>
        <w:t xml:space="preserve">summary information for: </w:t>
      </w:r>
      <w:r w:rsidR="002A79CC" w:rsidRPr="00DA37DD">
        <w:rPr>
          <w:rFonts w:ascii="Times New Roman" w:hAnsi="Times New Roman"/>
          <w:sz w:val="24"/>
        </w:rPr>
        <w:t xml:space="preserve">the volume and value of </w:t>
      </w:r>
      <w:r w:rsidRPr="00DA37DD">
        <w:rPr>
          <w:rFonts w:ascii="Times New Roman" w:hAnsi="Times New Roman"/>
          <w:sz w:val="24"/>
        </w:rPr>
        <w:t>all debit card</w:t>
      </w:r>
      <w:r w:rsidR="002A79CC" w:rsidRPr="00DA37DD">
        <w:rPr>
          <w:rFonts w:ascii="Times New Roman" w:hAnsi="Times New Roman"/>
          <w:sz w:val="24"/>
        </w:rPr>
        <w:t xml:space="preserve"> transactions; </w:t>
      </w:r>
      <w:r w:rsidRPr="00DA37DD">
        <w:rPr>
          <w:rFonts w:ascii="Times New Roman" w:hAnsi="Times New Roman"/>
          <w:sz w:val="24"/>
        </w:rPr>
        <w:t xml:space="preserve">chargebacks to and returns from acquirers; the volume and value of transactions involving exempt and non-exempt issuers; the volume and value of transactions involving exempt and non-exempt general-use prepaid card transactions; </w:t>
      </w:r>
      <w:r w:rsidR="002A79CC" w:rsidRPr="00DA37DD">
        <w:rPr>
          <w:rFonts w:ascii="Times New Roman" w:hAnsi="Times New Roman"/>
          <w:sz w:val="24"/>
        </w:rPr>
        <w:t>the value of interchange fees</w:t>
      </w:r>
      <w:r w:rsidRPr="00DA37DD">
        <w:rPr>
          <w:rFonts w:ascii="Times New Roman" w:hAnsi="Times New Roman"/>
          <w:sz w:val="24"/>
        </w:rPr>
        <w:t xml:space="preserve"> for all transactions, exempt/non-exempt issuers, and exempt general-use prepaid card transactions</w:t>
      </w:r>
      <w:r w:rsidR="002A79CC" w:rsidRPr="00DA37DD">
        <w:rPr>
          <w:rFonts w:ascii="Times New Roman" w:hAnsi="Times New Roman"/>
          <w:sz w:val="24"/>
        </w:rPr>
        <w:t>; the value of network fees</w:t>
      </w:r>
      <w:r w:rsidRPr="00DA37DD">
        <w:rPr>
          <w:rFonts w:ascii="Times New Roman" w:hAnsi="Times New Roman"/>
          <w:sz w:val="24"/>
        </w:rPr>
        <w:t xml:space="preserve">, </w:t>
      </w:r>
      <w:r w:rsidR="002A79CC" w:rsidRPr="00DA37DD">
        <w:rPr>
          <w:rFonts w:ascii="Times New Roman" w:hAnsi="Times New Roman"/>
          <w:sz w:val="24"/>
        </w:rPr>
        <w:t>and payments and incentives paid by networks to acquirers, merchants, and issuers.</w:t>
      </w:r>
    </w:p>
    <w:p w14:paraId="37E7B838" w14:textId="3F73FD55" w:rsidR="00314323" w:rsidRDefault="00314323">
      <w:pPr>
        <w:widowControl/>
        <w:rPr>
          <w:rFonts w:ascii="Times New Roman" w:hAnsi="Times New Roman"/>
          <w:b/>
          <w:color w:val="000000"/>
          <w:szCs w:val="24"/>
        </w:rPr>
      </w:pPr>
    </w:p>
    <w:p w14:paraId="48C97005" w14:textId="4E308EEB" w:rsidR="00501044" w:rsidRPr="00DA37DD" w:rsidRDefault="00501044" w:rsidP="00736227">
      <w:pPr>
        <w:widowControl/>
        <w:tabs>
          <w:tab w:val="left" w:pos="360"/>
        </w:tabs>
        <w:jc w:val="center"/>
        <w:rPr>
          <w:rFonts w:ascii="Times New Roman" w:hAnsi="Times New Roman"/>
          <w:color w:val="000000"/>
          <w:szCs w:val="24"/>
        </w:rPr>
      </w:pPr>
      <w:r w:rsidRPr="00DA37DD">
        <w:rPr>
          <w:rFonts w:ascii="Times New Roman" w:hAnsi="Times New Roman"/>
          <w:b/>
          <w:color w:val="000000"/>
          <w:szCs w:val="24"/>
        </w:rPr>
        <w:t>Proposed Revisions</w:t>
      </w:r>
      <w:r w:rsidR="00664576" w:rsidRPr="00DA37DD">
        <w:rPr>
          <w:rFonts w:ascii="Times New Roman" w:hAnsi="Times New Roman"/>
          <w:b/>
          <w:color w:val="000000"/>
          <w:szCs w:val="24"/>
        </w:rPr>
        <w:t xml:space="preserve"> to </w:t>
      </w:r>
      <w:r w:rsidR="00664576" w:rsidRPr="00DA37DD">
        <w:rPr>
          <w:rFonts w:ascii="Times New Roman" w:hAnsi="Times New Roman"/>
          <w:b/>
          <w:szCs w:val="24"/>
        </w:rPr>
        <w:t>FR 3064b</w:t>
      </w:r>
    </w:p>
    <w:p w14:paraId="72DB3EF0" w14:textId="77777777" w:rsidR="00501044" w:rsidRPr="0001407A" w:rsidRDefault="00501044" w:rsidP="00501044">
      <w:pPr>
        <w:widowControl/>
        <w:tabs>
          <w:tab w:val="left" w:pos="360"/>
        </w:tabs>
        <w:rPr>
          <w:rFonts w:ascii="Times New Roman" w:hAnsi="Times New Roman"/>
          <w:color w:val="000000"/>
          <w:szCs w:val="24"/>
        </w:rPr>
      </w:pPr>
    </w:p>
    <w:p w14:paraId="0E033A7C" w14:textId="401F1F6D" w:rsidR="003B16E2" w:rsidRPr="0001407A" w:rsidRDefault="00CE7F1B" w:rsidP="00501044">
      <w:pPr>
        <w:widowControl/>
        <w:tabs>
          <w:tab w:val="left" w:pos="360"/>
        </w:tabs>
        <w:rPr>
          <w:rFonts w:ascii="Times New Roman" w:hAnsi="Times New Roman"/>
          <w:b/>
          <w:color w:val="000000"/>
          <w:szCs w:val="24"/>
        </w:rPr>
      </w:pPr>
      <w:r w:rsidRPr="0001407A">
        <w:rPr>
          <w:rFonts w:ascii="Times New Roman" w:hAnsi="Times New Roman"/>
          <w:b/>
          <w:szCs w:val="24"/>
        </w:rPr>
        <w:tab/>
      </w:r>
      <w:r w:rsidR="003B16E2" w:rsidRPr="0001407A">
        <w:rPr>
          <w:rFonts w:ascii="Times New Roman" w:hAnsi="Times New Roman"/>
          <w:b/>
          <w:szCs w:val="24"/>
        </w:rPr>
        <w:t>Section I:  Respondent Information</w:t>
      </w:r>
    </w:p>
    <w:p w14:paraId="176D96A8" w14:textId="45DA8F36" w:rsidR="0001407A" w:rsidRPr="0001407A" w:rsidRDefault="003B16E2" w:rsidP="0001407A">
      <w:pPr>
        <w:tabs>
          <w:tab w:val="left" w:pos="360"/>
        </w:tabs>
        <w:ind w:left="720"/>
        <w:rPr>
          <w:rFonts w:ascii="Times New Roman" w:hAnsi="Times New Roman"/>
          <w:szCs w:val="24"/>
        </w:rPr>
      </w:pPr>
      <w:r w:rsidRPr="0001407A">
        <w:rPr>
          <w:rFonts w:ascii="Times New Roman" w:hAnsi="Times New Roman"/>
          <w:b/>
          <w:szCs w:val="24"/>
        </w:rPr>
        <w:t>Is your payment card network a single-message (PIN) or dual-message (signature) network?</w:t>
      </w:r>
      <w:r w:rsidR="00112F1F" w:rsidRPr="0001407A">
        <w:rPr>
          <w:rFonts w:ascii="Times New Roman" w:hAnsi="Times New Roman"/>
          <w:szCs w:val="24"/>
        </w:rPr>
        <w:t xml:space="preserve">  </w:t>
      </w:r>
      <w:r w:rsidR="0001407A" w:rsidRPr="0001407A">
        <w:rPr>
          <w:rFonts w:ascii="Times New Roman" w:hAnsi="Times New Roman"/>
          <w:szCs w:val="24"/>
        </w:rPr>
        <w:t xml:space="preserve">Although no revisions are proposed to this question, the </w:t>
      </w:r>
      <w:r w:rsidR="0001407A">
        <w:rPr>
          <w:rFonts w:ascii="Times New Roman" w:hAnsi="Times New Roman"/>
          <w:szCs w:val="24"/>
        </w:rPr>
        <w:t>Federal Reserve</w:t>
      </w:r>
      <w:r w:rsidR="0001407A" w:rsidRPr="0001407A">
        <w:rPr>
          <w:rFonts w:ascii="Times New Roman" w:hAnsi="Times New Roman"/>
          <w:szCs w:val="24"/>
        </w:rPr>
        <w:t xml:space="preserve"> </w:t>
      </w:r>
      <w:r w:rsidR="00FF487D">
        <w:rPr>
          <w:rFonts w:ascii="Times New Roman" w:hAnsi="Times New Roman"/>
          <w:szCs w:val="24"/>
        </w:rPr>
        <w:t xml:space="preserve">is </w:t>
      </w:r>
      <w:r w:rsidR="00FF487D" w:rsidRPr="0001407A">
        <w:rPr>
          <w:rFonts w:ascii="Times New Roman" w:hAnsi="Times New Roman"/>
          <w:szCs w:val="24"/>
        </w:rPr>
        <w:t>request</w:t>
      </w:r>
      <w:r w:rsidR="00FF487D">
        <w:rPr>
          <w:rFonts w:ascii="Times New Roman" w:hAnsi="Times New Roman"/>
          <w:szCs w:val="24"/>
        </w:rPr>
        <w:t>ing</w:t>
      </w:r>
      <w:r w:rsidR="00FF487D" w:rsidRPr="0001407A">
        <w:rPr>
          <w:rFonts w:ascii="Times New Roman" w:hAnsi="Times New Roman"/>
          <w:szCs w:val="24"/>
        </w:rPr>
        <w:t xml:space="preserve"> comment</w:t>
      </w:r>
      <w:r w:rsidR="00FF487D">
        <w:rPr>
          <w:rFonts w:ascii="Times New Roman" w:hAnsi="Times New Roman"/>
          <w:szCs w:val="24"/>
        </w:rPr>
        <w:t xml:space="preserve"> in the Federal Register</w:t>
      </w:r>
      <w:r w:rsidR="0001407A" w:rsidRPr="0001407A">
        <w:rPr>
          <w:rFonts w:ascii="Times New Roman" w:hAnsi="Times New Roman"/>
          <w:szCs w:val="24"/>
        </w:rPr>
        <w:t xml:space="preserve"> on a payment card network’s ability to process single-message transactions across dual-message networks and vice versa.  In addition, the </w:t>
      </w:r>
      <w:r w:rsidR="0001407A">
        <w:rPr>
          <w:rFonts w:ascii="Times New Roman" w:hAnsi="Times New Roman"/>
          <w:szCs w:val="24"/>
        </w:rPr>
        <w:t>Federal Reserve</w:t>
      </w:r>
      <w:r w:rsidR="0001407A" w:rsidRPr="0001407A">
        <w:rPr>
          <w:rFonts w:ascii="Times New Roman" w:hAnsi="Times New Roman"/>
          <w:szCs w:val="24"/>
        </w:rPr>
        <w:t xml:space="preserve"> </w:t>
      </w:r>
      <w:r w:rsidR="00FF487D">
        <w:rPr>
          <w:rFonts w:ascii="Times New Roman" w:hAnsi="Times New Roman"/>
          <w:szCs w:val="24"/>
        </w:rPr>
        <w:t xml:space="preserve">is </w:t>
      </w:r>
      <w:r w:rsidR="00FF487D" w:rsidRPr="0001407A">
        <w:rPr>
          <w:rFonts w:ascii="Times New Roman" w:hAnsi="Times New Roman"/>
          <w:szCs w:val="24"/>
        </w:rPr>
        <w:t>request</w:t>
      </w:r>
      <w:r w:rsidR="00FF487D">
        <w:rPr>
          <w:rFonts w:ascii="Times New Roman" w:hAnsi="Times New Roman"/>
          <w:szCs w:val="24"/>
        </w:rPr>
        <w:t>ing</w:t>
      </w:r>
      <w:r w:rsidR="00FF487D" w:rsidRPr="0001407A">
        <w:rPr>
          <w:rFonts w:ascii="Times New Roman" w:hAnsi="Times New Roman"/>
          <w:szCs w:val="24"/>
        </w:rPr>
        <w:t xml:space="preserve"> comment</w:t>
      </w:r>
      <w:r w:rsidR="00FF487D">
        <w:rPr>
          <w:rFonts w:ascii="Times New Roman" w:hAnsi="Times New Roman"/>
          <w:szCs w:val="24"/>
        </w:rPr>
        <w:t xml:space="preserve"> in the Federal Register</w:t>
      </w:r>
      <w:r w:rsidR="0001407A" w:rsidRPr="0001407A">
        <w:rPr>
          <w:rFonts w:ascii="Times New Roman" w:hAnsi="Times New Roman"/>
          <w:szCs w:val="24"/>
        </w:rPr>
        <w:t xml:space="preserve"> on how such transactions should be categorized.  Based on this feedback, the instructions for this question may be clarified as to how to categorize such transactions.</w:t>
      </w:r>
    </w:p>
    <w:p w14:paraId="07FBCFF0" w14:textId="77777777" w:rsidR="00736227" w:rsidRPr="0001407A" w:rsidRDefault="00736227" w:rsidP="00736227">
      <w:pPr>
        <w:widowControl/>
        <w:tabs>
          <w:tab w:val="left" w:pos="360"/>
        </w:tabs>
        <w:ind w:left="720"/>
        <w:rPr>
          <w:rFonts w:ascii="Times New Roman" w:hAnsi="Times New Roman"/>
          <w:b/>
          <w:szCs w:val="24"/>
        </w:rPr>
      </w:pPr>
    </w:p>
    <w:p w14:paraId="331C27B5" w14:textId="6264EE25" w:rsidR="003434DD" w:rsidRPr="0001407A" w:rsidRDefault="00736227" w:rsidP="00501044">
      <w:pPr>
        <w:widowControl/>
        <w:tabs>
          <w:tab w:val="left" w:pos="360"/>
        </w:tabs>
        <w:rPr>
          <w:rFonts w:ascii="Times New Roman" w:hAnsi="Times New Roman"/>
          <w:b/>
          <w:color w:val="000000"/>
          <w:szCs w:val="24"/>
        </w:rPr>
      </w:pPr>
      <w:r w:rsidRPr="0001407A">
        <w:rPr>
          <w:rFonts w:ascii="Times New Roman" w:hAnsi="Times New Roman"/>
          <w:b/>
          <w:szCs w:val="24"/>
        </w:rPr>
        <w:tab/>
      </w:r>
      <w:r w:rsidR="003434DD" w:rsidRPr="0001407A">
        <w:rPr>
          <w:rFonts w:ascii="Times New Roman" w:hAnsi="Times New Roman"/>
          <w:b/>
          <w:szCs w:val="24"/>
        </w:rPr>
        <w:t>Section II: Debit Card Transactions</w:t>
      </w:r>
    </w:p>
    <w:p w14:paraId="2C0E8A0A" w14:textId="1C38B2C1" w:rsidR="00795BB0" w:rsidRPr="0001407A" w:rsidRDefault="00795BB0" w:rsidP="00795BB0">
      <w:pPr>
        <w:widowControl/>
        <w:tabs>
          <w:tab w:val="left" w:pos="360"/>
        </w:tabs>
        <w:ind w:left="720"/>
        <w:rPr>
          <w:rFonts w:ascii="Times New Roman" w:hAnsi="Times New Roman"/>
          <w:b/>
          <w:szCs w:val="24"/>
        </w:rPr>
      </w:pPr>
      <w:r w:rsidRPr="0001407A">
        <w:rPr>
          <w:rFonts w:ascii="Times New Roman" w:hAnsi="Times New Roman"/>
          <w:b/>
          <w:szCs w:val="24"/>
        </w:rPr>
        <w:t>Small issuer exemption: Transactions using card of exempt vs. non-exempt issuers</w:t>
      </w:r>
      <w:r w:rsidR="001806C4" w:rsidRPr="0001407A">
        <w:rPr>
          <w:rFonts w:ascii="Times New Roman" w:hAnsi="Times New Roman"/>
          <w:b/>
          <w:szCs w:val="24"/>
        </w:rPr>
        <w:t xml:space="preserve"> </w:t>
      </w:r>
      <w:r w:rsidR="0001407A">
        <w:rPr>
          <w:rFonts w:ascii="Times New Roman" w:hAnsi="Times New Roman"/>
          <w:b/>
          <w:szCs w:val="24"/>
        </w:rPr>
        <w:t>–</w:t>
      </w:r>
      <w:r w:rsidR="001806C4" w:rsidRPr="0001407A">
        <w:rPr>
          <w:rFonts w:ascii="Times New Roman" w:hAnsi="Times New Roman"/>
          <w:b/>
          <w:szCs w:val="24"/>
        </w:rPr>
        <w:t xml:space="preserve"> </w:t>
      </w:r>
      <w:r w:rsidR="0001407A">
        <w:rPr>
          <w:rFonts w:ascii="Times New Roman" w:hAnsi="Times New Roman"/>
          <w:szCs w:val="24"/>
        </w:rPr>
        <w:t>The Federal Reserve</w:t>
      </w:r>
      <w:r w:rsidR="001806C4" w:rsidRPr="0001407A">
        <w:rPr>
          <w:rFonts w:ascii="Times New Roman" w:hAnsi="Times New Roman"/>
          <w:szCs w:val="24"/>
        </w:rPr>
        <w:t xml:space="preserve"> proposes to revise this section</w:t>
      </w:r>
      <w:r w:rsidRPr="0001407A">
        <w:rPr>
          <w:rFonts w:ascii="Times New Roman" w:hAnsi="Times New Roman"/>
          <w:szCs w:val="24"/>
        </w:rPr>
        <w:t xml:space="preserve"> by deleting line item 1e.1</w:t>
      </w:r>
      <w:r w:rsidR="00223175" w:rsidRPr="0001407A">
        <w:rPr>
          <w:rFonts w:ascii="Times New Roman" w:hAnsi="Times New Roman"/>
          <w:szCs w:val="24"/>
        </w:rPr>
        <w:t xml:space="preserve"> </w:t>
      </w:r>
      <w:r w:rsidR="00B126FA" w:rsidRPr="0001407A">
        <w:rPr>
          <w:rFonts w:ascii="Times New Roman" w:hAnsi="Times New Roman"/>
          <w:szCs w:val="24"/>
        </w:rPr>
        <w:t>(Volume and Value)</w:t>
      </w:r>
      <w:r w:rsidR="0042227E" w:rsidRPr="0001407A">
        <w:rPr>
          <w:rFonts w:ascii="Times New Roman" w:hAnsi="Times New Roman"/>
          <w:szCs w:val="24"/>
        </w:rPr>
        <w:t>,</w:t>
      </w:r>
      <w:r w:rsidRPr="0001407A">
        <w:rPr>
          <w:rFonts w:ascii="Times New Roman" w:hAnsi="Times New Roman"/>
          <w:szCs w:val="24"/>
        </w:rPr>
        <w:t xml:space="preserve"> All settled purchase transactions between (January 1, 2011 – September 30, 2011)</w:t>
      </w:r>
      <w:r w:rsidR="008C3857" w:rsidRPr="0001407A">
        <w:rPr>
          <w:rFonts w:ascii="Times New Roman" w:hAnsi="Times New Roman"/>
          <w:szCs w:val="24"/>
        </w:rPr>
        <w:t xml:space="preserve">, </w:t>
      </w:r>
      <w:r w:rsidRPr="0001407A">
        <w:rPr>
          <w:rFonts w:ascii="Times New Roman" w:hAnsi="Times New Roman"/>
          <w:szCs w:val="24"/>
        </w:rPr>
        <w:t xml:space="preserve">as this timeframe </w:t>
      </w:r>
      <w:r w:rsidR="008C3857" w:rsidRPr="0001407A">
        <w:rPr>
          <w:rFonts w:ascii="Times New Roman" w:hAnsi="Times New Roman"/>
          <w:szCs w:val="24"/>
        </w:rPr>
        <w:t xml:space="preserve">is </w:t>
      </w:r>
      <w:r w:rsidRPr="0001407A">
        <w:rPr>
          <w:rFonts w:ascii="Times New Roman" w:hAnsi="Times New Roman"/>
          <w:szCs w:val="24"/>
        </w:rPr>
        <w:t xml:space="preserve">no longer relevant.  </w:t>
      </w:r>
      <w:r w:rsidR="008C3857" w:rsidRPr="0001407A">
        <w:rPr>
          <w:rFonts w:ascii="Times New Roman" w:hAnsi="Times New Roman"/>
          <w:szCs w:val="24"/>
        </w:rPr>
        <w:t>Subsequent line items 1e.2 and 1e.3 would be renumbered as 1e.1 and 1e.2.</w:t>
      </w:r>
    </w:p>
    <w:p w14:paraId="6F637DDE" w14:textId="77777777" w:rsidR="00795BB0" w:rsidRPr="00DA37DD" w:rsidRDefault="00795BB0" w:rsidP="00795BB0">
      <w:pPr>
        <w:widowControl/>
        <w:tabs>
          <w:tab w:val="left" w:pos="360"/>
        </w:tabs>
        <w:ind w:left="720"/>
        <w:rPr>
          <w:rFonts w:ascii="Times New Roman" w:hAnsi="Times New Roman"/>
          <w:szCs w:val="24"/>
        </w:rPr>
      </w:pPr>
    </w:p>
    <w:p w14:paraId="71ED7B20" w14:textId="19B1324D" w:rsidR="00EC041C" w:rsidRPr="00DA37DD" w:rsidRDefault="001806C4" w:rsidP="00795BB0">
      <w:pPr>
        <w:widowControl/>
        <w:tabs>
          <w:tab w:val="left" w:pos="360"/>
        </w:tabs>
        <w:ind w:left="720"/>
        <w:rPr>
          <w:rFonts w:ascii="Times New Roman" w:hAnsi="Times New Roman"/>
          <w:b/>
          <w:szCs w:val="24"/>
        </w:rPr>
      </w:pPr>
      <w:r w:rsidRPr="00DA37DD">
        <w:rPr>
          <w:rFonts w:ascii="Times New Roman" w:hAnsi="Times New Roman"/>
          <w:b/>
          <w:szCs w:val="24"/>
        </w:rPr>
        <w:lastRenderedPageBreak/>
        <w:t>T</w:t>
      </w:r>
      <w:r w:rsidR="00EC041C" w:rsidRPr="00DA37DD">
        <w:rPr>
          <w:rFonts w:ascii="Times New Roman" w:hAnsi="Times New Roman"/>
          <w:b/>
          <w:szCs w:val="24"/>
        </w:rPr>
        <w:t>ransactions using card of exempt vs. non-exempt issuers (January 1, 2011 – September 30, 2011)</w:t>
      </w:r>
      <w:r w:rsidR="00202ADF" w:rsidRPr="00DA37DD">
        <w:rPr>
          <w:rFonts w:ascii="Times New Roman" w:hAnsi="Times New Roman"/>
          <w:b/>
          <w:szCs w:val="24"/>
        </w:rPr>
        <w:t xml:space="preserve"> - </w:t>
      </w:r>
      <w:r w:rsidR="0001407A">
        <w:rPr>
          <w:rFonts w:ascii="Times New Roman" w:hAnsi="Times New Roman"/>
          <w:szCs w:val="24"/>
        </w:rPr>
        <w:t>The Federal Reserve</w:t>
      </w:r>
      <w:r w:rsidR="0001407A" w:rsidRPr="0001407A">
        <w:rPr>
          <w:rFonts w:ascii="Times New Roman" w:hAnsi="Times New Roman"/>
          <w:szCs w:val="24"/>
        </w:rPr>
        <w:t xml:space="preserve"> </w:t>
      </w:r>
      <w:r w:rsidRPr="00DA37DD">
        <w:rPr>
          <w:rFonts w:ascii="Times New Roman" w:hAnsi="Times New Roman"/>
          <w:szCs w:val="24"/>
        </w:rPr>
        <w:t>proposes to revise this section</w:t>
      </w:r>
      <w:r w:rsidR="00EC041C" w:rsidRPr="00DA37DD">
        <w:rPr>
          <w:rFonts w:ascii="Times New Roman" w:hAnsi="Times New Roman"/>
          <w:szCs w:val="24"/>
        </w:rPr>
        <w:t xml:space="preserve"> </w:t>
      </w:r>
      <w:r w:rsidR="00795BB0" w:rsidRPr="00DA37DD">
        <w:rPr>
          <w:rFonts w:ascii="Times New Roman" w:hAnsi="Times New Roman"/>
          <w:szCs w:val="24"/>
        </w:rPr>
        <w:t xml:space="preserve">by deleting </w:t>
      </w:r>
      <w:r w:rsidR="00EC041C" w:rsidRPr="00DA37DD">
        <w:rPr>
          <w:rFonts w:ascii="Times New Roman" w:hAnsi="Times New Roman"/>
          <w:szCs w:val="24"/>
        </w:rPr>
        <w:t xml:space="preserve">line items </w:t>
      </w:r>
      <w:r w:rsidR="00736227">
        <w:rPr>
          <w:rFonts w:ascii="Times New Roman" w:hAnsi="Times New Roman"/>
          <w:szCs w:val="24"/>
        </w:rPr>
        <w:t>1f</w:t>
      </w:r>
      <w:r w:rsidR="00EC041C" w:rsidRPr="00DA37DD">
        <w:rPr>
          <w:rFonts w:ascii="Times New Roman" w:hAnsi="Times New Roman"/>
          <w:szCs w:val="24"/>
        </w:rPr>
        <w:t xml:space="preserve"> through 1f.2 as this timeframe </w:t>
      </w:r>
      <w:r w:rsidR="00953836">
        <w:rPr>
          <w:rFonts w:ascii="Times New Roman" w:hAnsi="Times New Roman"/>
          <w:szCs w:val="24"/>
        </w:rPr>
        <w:t>is</w:t>
      </w:r>
      <w:r w:rsidR="00EC041C" w:rsidRPr="00DA37DD">
        <w:rPr>
          <w:rFonts w:ascii="Times New Roman" w:hAnsi="Times New Roman"/>
          <w:szCs w:val="24"/>
        </w:rPr>
        <w:t xml:space="preserve"> no longer relevant.  Subsequent line items would be renumbered accordingly.</w:t>
      </w:r>
    </w:p>
    <w:p w14:paraId="3E997595" w14:textId="77777777" w:rsidR="00EC041C" w:rsidRPr="00DA37DD" w:rsidRDefault="00EC041C" w:rsidP="00501044">
      <w:pPr>
        <w:widowControl/>
        <w:tabs>
          <w:tab w:val="left" w:pos="360"/>
        </w:tabs>
        <w:ind w:firstLine="720"/>
        <w:rPr>
          <w:rFonts w:ascii="Times New Roman" w:hAnsi="Times New Roman"/>
          <w:b/>
          <w:szCs w:val="24"/>
        </w:rPr>
      </w:pPr>
    </w:p>
    <w:p w14:paraId="600A7632" w14:textId="3C5D9405" w:rsidR="00501044" w:rsidRPr="00DA37DD" w:rsidRDefault="001806C4" w:rsidP="00106FA8">
      <w:pPr>
        <w:widowControl/>
        <w:tabs>
          <w:tab w:val="left" w:pos="360"/>
        </w:tabs>
        <w:ind w:left="720"/>
        <w:rPr>
          <w:rFonts w:ascii="Times New Roman" w:hAnsi="Times New Roman"/>
          <w:szCs w:val="24"/>
        </w:rPr>
      </w:pPr>
      <w:r w:rsidRPr="00DA37DD">
        <w:rPr>
          <w:rFonts w:ascii="Times New Roman" w:hAnsi="Times New Roman"/>
          <w:b/>
          <w:szCs w:val="24"/>
        </w:rPr>
        <w:t xml:space="preserve">General-use prepaid card </w:t>
      </w:r>
      <w:r w:rsidR="004B73A4" w:rsidRPr="00DA37DD">
        <w:rPr>
          <w:rFonts w:ascii="Times New Roman" w:hAnsi="Times New Roman"/>
          <w:b/>
          <w:szCs w:val="24"/>
        </w:rPr>
        <w:t>exemption: Exempt vs. non-exempt general-use prepaid card transactions</w:t>
      </w:r>
      <w:r w:rsidR="00202ADF" w:rsidRPr="00DA37DD">
        <w:rPr>
          <w:rFonts w:ascii="Times New Roman" w:hAnsi="Times New Roman"/>
          <w:b/>
          <w:szCs w:val="24"/>
        </w:rPr>
        <w:t xml:space="preserve"> and General-use prepaid card exemption: Interchange fees on exempt vs. non-exempt card transactions - </w:t>
      </w:r>
      <w:r w:rsidR="0001407A">
        <w:rPr>
          <w:rFonts w:ascii="Times New Roman" w:hAnsi="Times New Roman"/>
          <w:szCs w:val="24"/>
        </w:rPr>
        <w:t>The Federal Reserve</w:t>
      </w:r>
      <w:r w:rsidRPr="00DA37DD">
        <w:rPr>
          <w:rFonts w:ascii="Times New Roman" w:hAnsi="Times New Roman"/>
          <w:szCs w:val="24"/>
        </w:rPr>
        <w:t xml:space="preserve"> proposes to revise </w:t>
      </w:r>
      <w:r w:rsidR="00202ADF" w:rsidRPr="00DA37DD">
        <w:rPr>
          <w:rFonts w:ascii="Times New Roman" w:hAnsi="Times New Roman"/>
          <w:szCs w:val="24"/>
        </w:rPr>
        <w:t>line items 1g and 2i</w:t>
      </w:r>
      <w:r w:rsidR="00106FA8" w:rsidRPr="00DA37DD">
        <w:rPr>
          <w:rFonts w:ascii="Times New Roman" w:hAnsi="Times New Roman"/>
          <w:szCs w:val="24"/>
        </w:rPr>
        <w:t xml:space="preserve"> by requiring networks to allocate volume, value, and interchange fee revenue for exempt general-use prepaid card transactions between transactions using prepaid cards issued by exempt (small) issuers</w:t>
      </w:r>
      <w:r w:rsidR="002215D8" w:rsidRPr="00DA37DD">
        <w:rPr>
          <w:rFonts w:ascii="Times New Roman" w:hAnsi="Times New Roman"/>
          <w:szCs w:val="24"/>
        </w:rPr>
        <w:t xml:space="preserve"> (adding line items 1g.1.1 and 2i.1.1)</w:t>
      </w:r>
      <w:r w:rsidR="00106FA8" w:rsidRPr="00DA37DD">
        <w:rPr>
          <w:rFonts w:ascii="Times New Roman" w:hAnsi="Times New Roman"/>
          <w:szCs w:val="24"/>
        </w:rPr>
        <w:t xml:space="preserve"> and transactions using prepaid cards issued by non-exempt issuers</w:t>
      </w:r>
      <w:r w:rsidR="002215D8" w:rsidRPr="00DA37DD">
        <w:rPr>
          <w:rFonts w:ascii="Times New Roman" w:hAnsi="Times New Roman"/>
          <w:szCs w:val="24"/>
        </w:rPr>
        <w:t xml:space="preserve"> (adding line items 1g.1.2 and 2i.1.2)</w:t>
      </w:r>
      <w:r w:rsidR="00106FA8" w:rsidRPr="00DA37DD">
        <w:rPr>
          <w:rFonts w:ascii="Times New Roman" w:hAnsi="Times New Roman"/>
          <w:szCs w:val="24"/>
        </w:rPr>
        <w:t xml:space="preserve">.  </w:t>
      </w:r>
      <w:r w:rsidR="001F4BD4" w:rsidRPr="00DA37DD">
        <w:rPr>
          <w:rFonts w:ascii="Times New Roman" w:hAnsi="Times New Roman"/>
          <w:szCs w:val="24"/>
        </w:rPr>
        <w:t>Currently, payment card networks are required to allocate volume and value of general-use prepaid card transactions, and associated interchange fee revenue, between exempt and non-exempt general-use prepaid card transactions and interchange fees.  Under Regulation II, a general-use prepaid card transaction may be exempt from the interchange fee standards either because the card is issued by an issuer that qualifies for the small issuer exemption or because the card qualifies for the prepaid card exemption, irrespective of the size of the issuer.</w:t>
      </w:r>
      <w:r w:rsidR="007D4D81">
        <w:rPr>
          <w:rFonts w:ascii="Times New Roman" w:hAnsi="Times New Roman"/>
          <w:szCs w:val="24"/>
        </w:rPr>
        <w:t xml:space="preserve">  The proposed </w:t>
      </w:r>
      <w:r w:rsidR="007D4D81" w:rsidRPr="00DA37DD">
        <w:rPr>
          <w:rFonts w:ascii="Times New Roman" w:hAnsi="Times New Roman"/>
          <w:szCs w:val="24"/>
        </w:rPr>
        <w:t>break-out</w:t>
      </w:r>
      <w:r w:rsidR="007D4D81">
        <w:rPr>
          <w:rFonts w:ascii="Times New Roman" w:hAnsi="Times New Roman"/>
          <w:szCs w:val="24"/>
        </w:rPr>
        <w:t xml:space="preserve"> of these data</w:t>
      </w:r>
      <w:r w:rsidR="007D4D81" w:rsidRPr="00DA37DD">
        <w:rPr>
          <w:rFonts w:ascii="Times New Roman" w:hAnsi="Times New Roman"/>
          <w:szCs w:val="24"/>
        </w:rPr>
        <w:t xml:space="preserve"> would </w:t>
      </w:r>
      <w:r w:rsidR="007D4D81">
        <w:rPr>
          <w:rFonts w:ascii="Times New Roman" w:hAnsi="Times New Roman"/>
          <w:szCs w:val="24"/>
        </w:rPr>
        <w:t>allow</w:t>
      </w:r>
      <w:r w:rsidR="007D4D81" w:rsidRPr="00DA37DD">
        <w:rPr>
          <w:rFonts w:ascii="Times New Roman" w:hAnsi="Times New Roman"/>
          <w:szCs w:val="24"/>
        </w:rPr>
        <w:t xml:space="preserve"> </w:t>
      </w:r>
      <w:r w:rsidR="0001407A">
        <w:rPr>
          <w:rFonts w:ascii="Times New Roman" w:hAnsi="Times New Roman"/>
          <w:szCs w:val="24"/>
        </w:rPr>
        <w:t>the Federal Reserve</w:t>
      </w:r>
      <w:r w:rsidR="0001407A" w:rsidRPr="0001407A">
        <w:rPr>
          <w:rFonts w:ascii="Times New Roman" w:hAnsi="Times New Roman"/>
          <w:szCs w:val="24"/>
        </w:rPr>
        <w:t xml:space="preserve"> </w:t>
      </w:r>
      <w:r w:rsidR="007D4D81" w:rsidRPr="00DA37DD">
        <w:rPr>
          <w:rFonts w:ascii="Times New Roman" w:hAnsi="Times New Roman"/>
          <w:szCs w:val="24"/>
        </w:rPr>
        <w:t xml:space="preserve">to </w:t>
      </w:r>
      <w:r w:rsidR="007D4D81">
        <w:rPr>
          <w:rFonts w:ascii="Times New Roman" w:hAnsi="Times New Roman"/>
          <w:szCs w:val="24"/>
        </w:rPr>
        <w:t xml:space="preserve">determine which type of </w:t>
      </w:r>
      <w:r w:rsidR="008B34E0">
        <w:rPr>
          <w:rFonts w:ascii="Times New Roman" w:hAnsi="Times New Roman"/>
          <w:szCs w:val="24"/>
        </w:rPr>
        <w:t xml:space="preserve">exemption applies to each </w:t>
      </w:r>
      <w:r w:rsidR="007723AB">
        <w:rPr>
          <w:rFonts w:ascii="Times New Roman" w:hAnsi="Times New Roman"/>
          <w:szCs w:val="24"/>
        </w:rPr>
        <w:t xml:space="preserve">exempt </w:t>
      </w:r>
      <w:r w:rsidR="007D4D81">
        <w:rPr>
          <w:rFonts w:ascii="Times New Roman" w:hAnsi="Times New Roman"/>
          <w:szCs w:val="24"/>
        </w:rPr>
        <w:t>transaction</w:t>
      </w:r>
      <w:r w:rsidR="007C473A">
        <w:rPr>
          <w:rFonts w:ascii="Times New Roman" w:hAnsi="Times New Roman"/>
          <w:szCs w:val="24"/>
        </w:rPr>
        <w:t>, thus i</w:t>
      </w:r>
      <w:r w:rsidR="007D4D81" w:rsidRPr="00DA37DD">
        <w:rPr>
          <w:rFonts w:ascii="Times New Roman" w:hAnsi="Times New Roman"/>
          <w:szCs w:val="24"/>
        </w:rPr>
        <w:t>mprov</w:t>
      </w:r>
      <w:r w:rsidR="007C473A">
        <w:rPr>
          <w:rFonts w:ascii="Times New Roman" w:hAnsi="Times New Roman"/>
          <w:szCs w:val="24"/>
        </w:rPr>
        <w:t>ing</w:t>
      </w:r>
      <w:r w:rsidR="007D4D81" w:rsidRPr="00DA37DD">
        <w:rPr>
          <w:rFonts w:ascii="Times New Roman" w:hAnsi="Times New Roman"/>
          <w:szCs w:val="24"/>
        </w:rPr>
        <w:t xml:space="preserve"> interpretation of these data.</w:t>
      </w:r>
      <w:r w:rsidR="007D4D81">
        <w:rPr>
          <w:rFonts w:ascii="Times New Roman" w:hAnsi="Times New Roman"/>
          <w:szCs w:val="24"/>
        </w:rPr>
        <w:t xml:space="preserve"> </w:t>
      </w:r>
    </w:p>
    <w:p w14:paraId="450B8674" w14:textId="77777777" w:rsidR="00755BBA" w:rsidRPr="00DA37DD" w:rsidRDefault="00755BBA" w:rsidP="00501044">
      <w:pPr>
        <w:widowControl/>
        <w:tabs>
          <w:tab w:val="left" w:pos="360"/>
        </w:tabs>
        <w:ind w:firstLine="720"/>
        <w:rPr>
          <w:rFonts w:ascii="Times New Roman" w:hAnsi="Times New Roman"/>
          <w:b/>
          <w:szCs w:val="24"/>
        </w:rPr>
      </w:pPr>
    </w:p>
    <w:p w14:paraId="195AD271" w14:textId="4A09CE22" w:rsidR="00CC4A17" w:rsidRPr="00DA37DD" w:rsidRDefault="00755BBA" w:rsidP="00755BBA">
      <w:pPr>
        <w:widowControl/>
        <w:tabs>
          <w:tab w:val="left" w:pos="360"/>
        </w:tabs>
        <w:ind w:left="720"/>
        <w:rPr>
          <w:rFonts w:ascii="Times New Roman" w:hAnsi="Times New Roman"/>
          <w:b/>
          <w:szCs w:val="24"/>
        </w:rPr>
      </w:pPr>
      <w:r w:rsidRPr="00DA37DD">
        <w:rPr>
          <w:rFonts w:ascii="Times New Roman" w:hAnsi="Times New Roman"/>
          <w:b/>
          <w:szCs w:val="24"/>
        </w:rPr>
        <w:t xml:space="preserve">Small issuer exemption: Interchange fees on transactions using card of exempt vs. non-exempt issuers </w:t>
      </w:r>
      <w:r w:rsidR="0001407A">
        <w:rPr>
          <w:rFonts w:ascii="Times New Roman" w:hAnsi="Times New Roman"/>
          <w:b/>
          <w:szCs w:val="24"/>
        </w:rPr>
        <w:t>–</w:t>
      </w:r>
      <w:r w:rsidRPr="00DA37DD">
        <w:rPr>
          <w:rFonts w:ascii="Times New Roman" w:hAnsi="Times New Roman"/>
          <w:b/>
          <w:szCs w:val="24"/>
        </w:rPr>
        <w:t xml:space="preserve"> </w:t>
      </w:r>
      <w:r w:rsidR="0001407A">
        <w:rPr>
          <w:rFonts w:ascii="Times New Roman" w:hAnsi="Times New Roman"/>
          <w:szCs w:val="24"/>
        </w:rPr>
        <w:t>The Federal Reserve</w:t>
      </w:r>
      <w:r w:rsidRPr="00DA37DD">
        <w:rPr>
          <w:rFonts w:ascii="Times New Roman" w:hAnsi="Times New Roman"/>
          <w:szCs w:val="24"/>
        </w:rPr>
        <w:t xml:space="preserve"> proposes to revise this section by deleting line items 2g.1</w:t>
      </w:r>
      <w:r w:rsidR="0042227E">
        <w:rPr>
          <w:rFonts w:ascii="Times New Roman" w:hAnsi="Times New Roman"/>
          <w:szCs w:val="24"/>
        </w:rPr>
        <w:t>,</w:t>
      </w:r>
      <w:r w:rsidRPr="00DA37DD">
        <w:rPr>
          <w:rFonts w:ascii="Times New Roman" w:hAnsi="Times New Roman"/>
          <w:szCs w:val="24"/>
        </w:rPr>
        <w:t xml:space="preserve"> All interchange fees paid to issuers between (January 1, 2011 – September 30, 2011), and 2g.3</w:t>
      </w:r>
      <w:r w:rsidR="0042227E">
        <w:rPr>
          <w:rFonts w:ascii="Times New Roman" w:hAnsi="Times New Roman"/>
          <w:szCs w:val="24"/>
        </w:rPr>
        <w:t>,</w:t>
      </w:r>
      <w:r w:rsidRPr="00DA37DD">
        <w:rPr>
          <w:rFonts w:ascii="Times New Roman" w:hAnsi="Times New Roman"/>
          <w:szCs w:val="24"/>
        </w:rPr>
        <w:t xml:space="preserve"> Interchange fees paid to non-exempt issuers between (October 1, 2011 – December 31, 2011)</w:t>
      </w:r>
      <w:r w:rsidR="0042227E">
        <w:rPr>
          <w:rFonts w:ascii="Times New Roman" w:hAnsi="Times New Roman"/>
          <w:szCs w:val="24"/>
        </w:rPr>
        <w:t>,</w:t>
      </w:r>
      <w:r w:rsidRPr="00DA37DD">
        <w:rPr>
          <w:rFonts w:ascii="Times New Roman" w:hAnsi="Times New Roman"/>
          <w:szCs w:val="24"/>
        </w:rPr>
        <w:t xml:space="preserve"> as these timeframes are no longer relevant.  Subsequent line item 2g.2 would be renumbered as 2g.1.</w:t>
      </w:r>
    </w:p>
    <w:p w14:paraId="37742303" w14:textId="77777777" w:rsidR="00755BBA" w:rsidRPr="00DA37DD" w:rsidRDefault="00755BBA" w:rsidP="00501044">
      <w:pPr>
        <w:widowControl/>
        <w:tabs>
          <w:tab w:val="left" w:pos="360"/>
        </w:tabs>
        <w:ind w:firstLine="720"/>
        <w:rPr>
          <w:rFonts w:ascii="Times New Roman" w:hAnsi="Times New Roman"/>
          <w:b/>
          <w:szCs w:val="24"/>
        </w:rPr>
      </w:pPr>
    </w:p>
    <w:p w14:paraId="3C5D9471" w14:textId="2CB53850" w:rsidR="00CE7F1B" w:rsidRDefault="00CC4A17" w:rsidP="00CE7F1B">
      <w:pPr>
        <w:widowControl/>
        <w:tabs>
          <w:tab w:val="left" w:pos="360"/>
        </w:tabs>
        <w:ind w:left="720"/>
        <w:rPr>
          <w:rFonts w:ascii="Times New Roman" w:hAnsi="Times New Roman"/>
          <w:szCs w:val="24"/>
        </w:rPr>
      </w:pPr>
      <w:r w:rsidRPr="00DA37DD">
        <w:rPr>
          <w:rFonts w:ascii="Times New Roman" w:hAnsi="Times New Roman"/>
          <w:b/>
          <w:szCs w:val="24"/>
        </w:rPr>
        <w:t xml:space="preserve">Interchange fees on transactions using card of exempt vs. non-exempt issuers (January 1, 2011 – September 30, 2011) - </w:t>
      </w:r>
      <w:r w:rsidR="0001407A">
        <w:rPr>
          <w:rFonts w:ascii="Times New Roman" w:hAnsi="Times New Roman"/>
          <w:szCs w:val="24"/>
        </w:rPr>
        <w:t>The Federal Reserve</w:t>
      </w:r>
      <w:r w:rsidR="0001407A" w:rsidRPr="0001407A">
        <w:rPr>
          <w:rFonts w:ascii="Times New Roman" w:hAnsi="Times New Roman"/>
          <w:szCs w:val="24"/>
        </w:rPr>
        <w:t xml:space="preserve"> </w:t>
      </w:r>
      <w:r w:rsidRPr="00DA37DD">
        <w:rPr>
          <w:rFonts w:ascii="Times New Roman" w:hAnsi="Times New Roman"/>
          <w:szCs w:val="24"/>
        </w:rPr>
        <w:t xml:space="preserve">proposes to revise this </w:t>
      </w:r>
      <w:r w:rsidR="00953836">
        <w:rPr>
          <w:rFonts w:ascii="Times New Roman" w:hAnsi="Times New Roman"/>
          <w:szCs w:val="24"/>
        </w:rPr>
        <w:t xml:space="preserve">section by deleting line items </w:t>
      </w:r>
      <w:r w:rsidRPr="00DA37DD">
        <w:rPr>
          <w:rFonts w:ascii="Times New Roman" w:hAnsi="Times New Roman"/>
          <w:szCs w:val="24"/>
        </w:rPr>
        <w:t>2h</w:t>
      </w:r>
      <w:r w:rsidR="00953836">
        <w:rPr>
          <w:rFonts w:ascii="Times New Roman" w:hAnsi="Times New Roman"/>
          <w:szCs w:val="24"/>
        </w:rPr>
        <w:t xml:space="preserve"> through </w:t>
      </w:r>
      <w:r w:rsidRPr="00DA37DD">
        <w:rPr>
          <w:rFonts w:ascii="Times New Roman" w:hAnsi="Times New Roman"/>
          <w:szCs w:val="24"/>
        </w:rPr>
        <w:t>2h</w:t>
      </w:r>
      <w:r w:rsidR="00953836">
        <w:rPr>
          <w:rFonts w:ascii="Times New Roman" w:hAnsi="Times New Roman"/>
          <w:szCs w:val="24"/>
        </w:rPr>
        <w:t>.2</w:t>
      </w:r>
      <w:r w:rsidRPr="00DA37DD">
        <w:rPr>
          <w:rFonts w:ascii="Times New Roman" w:hAnsi="Times New Roman"/>
          <w:szCs w:val="24"/>
        </w:rPr>
        <w:t xml:space="preserve"> as this timeframe </w:t>
      </w:r>
      <w:r w:rsidR="00953836">
        <w:rPr>
          <w:rFonts w:ascii="Times New Roman" w:hAnsi="Times New Roman"/>
          <w:szCs w:val="24"/>
        </w:rPr>
        <w:t>is</w:t>
      </w:r>
      <w:r w:rsidRPr="00DA37DD">
        <w:rPr>
          <w:rFonts w:ascii="Times New Roman" w:hAnsi="Times New Roman"/>
          <w:szCs w:val="24"/>
        </w:rPr>
        <w:t xml:space="preserve"> no longer relevant.  Subsequent line items would be renumbered accordingly.</w:t>
      </w:r>
    </w:p>
    <w:p w14:paraId="218135B4" w14:textId="77777777" w:rsidR="008A55B0" w:rsidRDefault="008A55B0" w:rsidP="00CE7F1B">
      <w:pPr>
        <w:widowControl/>
        <w:tabs>
          <w:tab w:val="left" w:pos="360"/>
        </w:tabs>
        <w:ind w:left="720"/>
        <w:rPr>
          <w:rFonts w:ascii="Times New Roman" w:hAnsi="Times New Roman"/>
          <w:bCs/>
          <w:szCs w:val="24"/>
        </w:rPr>
      </w:pPr>
    </w:p>
    <w:p w14:paraId="74F5EDDD" w14:textId="4BB79256" w:rsidR="008A55B0" w:rsidRDefault="008A55B0" w:rsidP="00CE7F1B">
      <w:pPr>
        <w:widowControl/>
        <w:tabs>
          <w:tab w:val="left" w:pos="360"/>
        </w:tabs>
        <w:ind w:left="720"/>
        <w:rPr>
          <w:rFonts w:ascii="Times New Roman" w:hAnsi="Times New Roman"/>
          <w:szCs w:val="24"/>
        </w:rPr>
      </w:pPr>
      <w:r w:rsidRPr="00DA37DD">
        <w:rPr>
          <w:rFonts w:ascii="Times New Roman" w:hAnsi="Times New Roman"/>
          <w:b/>
          <w:szCs w:val="24"/>
        </w:rPr>
        <w:t xml:space="preserve">Small issuer exemption: </w:t>
      </w:r>
      <w:r>
        <w:rPr>
          <w:rFonts w:ascii="Times New Roman" w:hAnsi="Times New Roman"/>
          <w:b/>
          <w:szCs w:val="24"/>
        </w:rPr>
        <w:t>Network fees received from exempt vs. non-exempt issuers</w:t>
      </w:r>
      <w:r w:rsidRPr="00DA37DD">
        <w:rPr>
          <w:rFonts w:ascii="Times New Roman" w:hAnsi="Times New Roman"/>
          <w:b/>
          <w:szCs w:val="24"/>
        </w:rPr>
        <w:t xml:space="preserve"> - </w:t>
      </w:r>
      <w:r w:rsidR="0001407A">
        <w:rPr>
          <w:rFonts w:ascii="Times New Roman" w:hAnsi="Times New Roman"/>
          <w:szCs w:val="24"/>
        </w:rPr>
        <w:t>The Federal Reserve</w:t>
      </w:r>
      <w:r w:rsidR="0001407A" w:rsidRPr="0001407A">
        <w:rPr>
          <w:rFonts w:ascii="Times New Roman" w:hAnsi="Times New Roman"/>
          <w:szCs w:val="24"/>
        </w:rPr>
        <w:t xml:space="preserve"> </w:t>
      </w:r>
      <w:r w:rsidRPr="00DA37DD">
        <w:rPr>
          <w:rFonts w:ascii="Times New Roman" w:hAnsi="Times New Roman"/>
          <w:szCs w:val="24"/>
        </w:rPr>
        <w:t xml:space="preserve">proposes to revise this section by deleting line items </w:t>
      </w:r>
      <w:r>
        <w:rPr>
          <w:rFonts w:ascii="Times New Roman" w:hAnsi="Times New Roman"/>
          <w:szCs w:val="24"/>
        </w:rPr>
        <w:t>3c</w:t>
      </w:r>
      <w:r w:rsidRPr="00DA37DD">
        <w:rPr>
          <w:rFonts w:ascii="Times New Roman" w:hAnsi="Times New Roman"/>
          <w:szCs w:val="24"/>
        </w:rPr>
        <w:t>.1</w:t>
      </w:r>
      <w:r w:rsidR="0042227E">
        <w:rPr>
          <w:rFonts w:ascii="Times New Roman" w:hAnsi="Times New Roman"/>
          <w:szCs w:val="24"/>
        </w:rPr>
        <w:t>,</w:t>
      </w:r>
      <w:r w:rsidRPr="00DA37DD">
        <w:rPr>
          <w:rFonts w:ascii="Times New Roman" w:hAnsi="Times New Roman"/>
          <w:szCs w:val="24"/>
        </w:rPr>
        <w:t xml:space="preserve"> All </w:t>
      </w:r>
      <w:r>
        <w:rPr>
          <w:rFonts w:ascii="Times New Roman" w:hAnsi="Times New Roman"/>
          <w:szCs w:val="24"/>
        </w:rPr>
        <w:t xml:space="preserve">network fees received from issuers that settled between </w:t>
      </w:r>
      <w:r w:rsidRPr="00DA37DD">
        <w:rPr>
          <w:rFonts w:ascii="Times New Roman" w:hAnsi="Times New Roman"/>
          <w:szCs w:val="24"/>
        </w:rPr>
        <w:t xml:space="preserve">January 1, 2011 – September 30, 2011, and </w:t>
      </w:r>
      <w:r>
        <w:rPr>
          <w:rFonts w:ascii="Times New Roman" w:hAnsi="Times New Roman"/>
          <w:szCs w:val="24"/>
        </w:rPr>
        <w:t xml:space="preserve">line items 3d through 3d.2, </w:t>
      </w:r>
      <w:r w:rsidRPr="00DA37DD">
        <w:rPr>
          <w:rFonts w:ascii="Times New Roman" w:hAnsi="Times New Roman"/>
          <w:szCs w:val="24"/>
        </w:rPr>
        <w:t>as these timeframes are no longer relevant.  Subsequent line item</w:t>
      </w:r>
      <w:r w:rsidR="0064264A">
        <w:rPr>
          <w:rFonts w:ascii="Times New Roman" w:hAnsi="Times New Roman"/>
          <w:szCs w:val="24"/>
        </w:rPr>
        <w:t>s would be renumbered 3c</w:t>
      </w:r>
      <w:r w:rsidRPr="00DA37DD">
        <w:rPr>
          <w:rFonts w:ascii="Times New Roman" w:hAnsi="Times New Roman"/>
          <w:szCs w:val="24"/>
        </w:rPr>
        <w:t>.1</w:t>
      </w:r>
      <w:r w:rsidR="008B00FD">
        <w:rPr>
          <w:rFonts w:ascii="Times New Roman" w:hAnsi="Times New Roman"/>
          <w:szCs w:val="24"/>
        </w:rPr>
        <w:t xml:space="preserve"> and 3c.2</w:t>
      </w:r>
      <w:r w:rsidRPr="00DA37DD">
        <w:rPr>
          <w:rFonts w:ascii="Times New Roman" w:hAnsi="Times New Roman"/>
          <w:szCs w:val="24"/>
        </w:rPr>
        <w:t>.</w:t>
      </w:r>
    </w:p>
    <w:p w14:paraId="28B29E3A" w14:textId="77777777" w:rsidR="008B00FD" w:rsidRDefault="008B00FD" w:rsidP="00CE7F1B">
      <w:pPr>
        <w:widowControl/>
        <w:tabs>
          <w:tab w:val="left" w:pos="360"/>
        </w:tabs>
        <w:ind w:left="720"/>
        <w:rPr>
          <w:rFonts w:ascii="Times New Roman" w:hAnsi="Times New Roman"/>
          <w:bCs/>
          <w:szCs w:val="24"/>
        </w:rPr>
      </w:pPr>
    </w:p>
    <w:p w14:paraId="676CD555" w14:textId="2E4937F5" w:rsidR="008B00FD" w:rsidRPr="00DA37DD" w:rsidRDefault="008B00FD" w:rsidP="00CE7F1B">
      <w:pPr>
        <w:widowControl/>
        <w:tabs>
          <w:tab w:val="left" w:pos="360"/>
        </w:tabs>
        <w:ind w:left="720"/>
        <w:rPr>
          <w:rFonts w:ascii="Times New Roman" w:hAnsi="Times New Roman"/>
          <w:bCs/>
          <w:szCs w:val="24"/>
        </w:rPr>
      </w:pPr>
      <w:r w:rsidRPr="00DA37DD">
        <w:rPr>
          <w:rFonts w:ascii="Times New Roman" w:hAnsi="Times New Roman"/>
          <w:b/>
          <w:szCs w:val="24"/>
        </w:rPr>
        <w:t xml:space="preserve">Small issuer exemption: </w:t>
      </w:r>
      <w:r>
        <w:rPr>
          <w:rFonts w:ascii="Times New Roman" w:hAnsi="Times New Roman"/>
          <w:b/>
          <w:szCs w:val="24"/>
        </w:rPr>
        <w:t>Payments and incentives paid to exempt vs. non-exempt issuers</w:t>
      </w:r>
      <w:r w:rsidRPr="00DA37DD">
        <w:rPr>
          <w:rFonts w:ascii="Times New Roman" w:hAnsi="Times New Roman"/>
          <w:b/>
          <w:szCs w:val="24"/>
        </w:rPr>
        <w:t xml:space="preserve"> - </w:t>
      </w:r>
      <w:r w:rsidR="0001407A">
        <w:rPr>
          <w:rFonts w:ascii="Times New Roman" w:hAnsi="Times New Roman"/>
          <w:szCs w:val="24"/>
        </w:rPr>
        <w:t>The Federal Reserve</w:t>
      </w:r>
      <w:r w:rsidR="0001407A" w:rsidRPr="0001407A">
        <w:rPr>
          <w:rFonts w:ascii="Times New Roman" w:hAnsi="Times New Roman"/>
          <w:szCs w:val="24"/>
        </w:rPr>
        <w:t xml:space="preserve"> </w:t>
      </w:r>
      <w:r w:rsidRPr="00DA37DD">
        <w:rPr>
          <w:rFonts w:ascii="Times New Roman" w:hAnsi="Times New Roman"/>
          <w:szCs w:val="24"/>
        </w:rPr>
        <w:t xml:space="preserve">proposes to revise this section by deleting line items </w:t>
      </w:r>
      <w:r>
        <w:rPr>
          <w:rFonts w:ascii="Times New Roman" w:hAnsi="Times New Roman"/>
          <w:szCs w:val="24"/>
        </w:rPr>
        <w:t>4c</w:t>
      </w:r>
      <w:r w:rsidRPr="00DA37DD">
        <w:rPr>
          <w:rFonts w:ascii="Times New Roman" w:hAnsi="Times New Roman"/>
          <w:szCs w:val="24"/>
        </w:rPr>
        <w:t>.1</w:t>
      </w:r>
      <w:r w:rsidR="004E50C4">
        <w:rPr>
          <w:rFonts w:ascii="Times New Roman" w:hAnsi="Times New Roman"/>
          <w:szCs w:val="24"/>
        </w:rPr>
        <w:t>,</w:t>
      </w:r>
      <w:r w:rsidRPr="00DA37DD">
        <w:rPr>
          <w:rFonts w:ascii="Times New Roman" w:hAnsi="Times New Roman"/>
          <w:szCs w:val="24"/>
        </w:rPr>
        <w:t xml:space="preserve"> All </w:t>
      </w:r>
      <w:r>
        <w:rPr>
          <w:rFonts w:ascii="Times New Roman" w:hAnsi="Times New Roman"/>
          <w:szCs w:val="24"/>
        </w:rPr>
        <w:t xml:space="preserve">payments and incentives paid to issuers between </w:t>
      </w:r>
      <w:r w:rsidRPr="00DA37DD">
        <w:rPr>
          <w:rFonts w:ascii="Times New Roman" w:hAnsi="Times New Roman"/>
          <w:szCs w:val="24"/>
        </w:rPr>
        <w:t xml:space="preserve">January 1, 2011 – September 30, 2011, and </w:t>
      </w:r>
      <w:r>
        <w:rPr>
          <w:rFonts w:ascii="Times New Roman" w:hAnsi="Times New Roman"/>
          <w:szCs w:val="24"/>
        </w:rPr>
        <w:t xml:space="preserve">line items 4d through 4d.2, </w:t>
      </w:r>
      <w:r w:rsidRPr="00DA37DD">
        <w:rPr>
          <w:rFonts w:ascii="Times New Roman" w:hAnsi="Times New Roman"/>
          <w:szCs w:val="24"/>
        </w:rPr>
        <w:t>as these timeframes are no longer relevant.  Subsequent line item</w:t>
      </w:r>
      <w:r>
        <w:rPr>
          <w:rFonts w:ascii="Times New Roman" w:hAnsi="Times New Roman"/>
          <w:szCs w:val="24"/>
        </w:rPr>
        <w:t>s would be renumbered 4c</w:t>
      </w:r>
      <w:r w:rsidRPr="00DA37DD">
        <w:rPr>
          <w:rFonts w:ascii="Times New Roman" w:hAnsi="Times New Roman"/>
          <w:szCs w:val="24"/>
        </w:rPr>
        <w:t>.1</w:t>
      </w:r>
      <w:r>
        <w:rPr>
          <w:rFonts w:ascii="Times New Roman" w:hAnsi="Times New Roman"/>
          <w:szCs w:val="24"/>
        </w:rPr>
        <w:t xml:space="preserve"> and 4c.2</w:t>
      </w:r>
      <w:r w:rsidRPr="00DA37DD">
        <w:rPr>
          <w:rFonts w:ascii="Times New Roman" w:hAnsi="Times New Roman"/>
          <w:szCs w:val="24"/>
        </w:rPr>
        <w:t>.</w:t>
      </w:r>
    </w:p>
    <w:p w14:paraId="3EAD0F0D" w14:textId="77777777" w:rsidR="00CE7F1B" w:rsidRPr="00DA37DD" w:rsidRDefault="00CE7F1B" w:rsidP="00CE7F1B">
      <w:pPr>
        <w:widowControl/>
        <w:tabs>
          <w:tab w:val="left" w:pos="360"/>
        </w:tabs>
        <w:rPr>
          <w:rFonts w:ascii="Times New Roman" w:hAnsi="Times New Roman"/>
          <w:b/>
          <w:szCs w:val="24"/>
        </w:rPr>
      </w:pPr>
    </w:p>
    <w:p w14:paraId="5666FDDF" w14:textId="10272F01" w:rsidR="00CE7F1B" w:rsidRPr="00DA37DD" w:rsidRDefault="00CE7F1B" w:rsidP="00CE7F1B">
      <w:pPr>
        <w:widowControl/>
        <w:tabs>
          <w:tab w:val="left" w:pos="360"/>
        </w:tabs>
        <w:rPr>
          <w:rFonts w:ascii="Times New Roman" w:hAnsi="Times New Roman"/>
          <w:bCs/>
          <w:szCs w:val="24"/>
        </w:rPr>
      </w:pPr>
      <w:r w:rsidRPr="00DA37DD">
        <w:rPr>
          <w:rFonts w:ascii="Times New Roman" w:hAnsi="Times New Roman"/>
          <w:b/>
          <w:szCs w:val="24"/>
        </w:rPr>
        <w:lastRenderedPageBreak/>
        <w:tab/>
        <w:t>General Instructions</w:t>
      </w:r>
    </w:p>
    <w:p w14:paraId="083A67D7" w14:textId="012BE7F7" w:rsidR="00664576" w:rsidRPr="00DA37DD" w:rsidRDefault="00CE7F1B" w:rsidP="00AB684D">
      <w:pPr>
        <w:widowControl/>
        <w:tabs>
          <w:tab w:val="left" w:pos="360"/>
        </w:tabs>
        <w:ind w:left="720"/>
        <w:rPr>
          <w:rFonts w:ascii="Times New Roman" w:hAnsi="Times New Roman"/>
          <w:szCs w:val="24"/>
        </w:rPr>
      </w:pPr>
      <w:r w:rsidRPr="00DA37DD">
        <w:rPr>
          <w:rFonts w:ascii="Times New Roman" w:hAnsi="Times New Roman"/>
          <w:b/>
          <w:szCs w:val="24"/>
        </w:rPr>
        <w:t xml:space="preserve">Response Confidentiality and Burden - </w:t>
      </w:r>
      <w:r w:rsidR="0001407A">
        <w:rPr>
          <w:rFonts w:ascii="Times New Roman" w:hAnsi="Times New Roman"/>
          <w:szCs w:val="24"/>
        </w:rPr>
        <w:t>The Federal Reserve</w:t>
      </w:r>
      <w:r w:rsidR="0001407A" w:rsidRPr="0001407A">
        <w:rPr>
          <w:rFonts w:ascii="Times New Roman" w:hAnsi="Times New Roman"/>
          <w:szCs w:val="24"/>
        </w:rPr>
        <w:t xml:space="preserve"> </w:t>
      </w:r>
      <w:r w:rsidRPr="00DA37DD">
        <w:rPr>
          <w:rFonts w:ascii="Times New Roman" w:hAnsi="Times New Roman"/>
          <w:szCs w:val="24"/>
        </w:rPr>
        <w:t xml:space="preserve">proposes to revise the confidentiality statement to indicate that the Board may release </w:t>
      </w:r>
      <w:r w:rsidR="00215FDE">
        <w:rPr>
          <w:rFonts w:ascii="Times New Roman" w:hAnsi="Times New Roman"/>
          <w:szCs w:val="24"/>
        </w:rPr>
        <w:t>some</w:t>
      </w:r>
      <w:r w:rsidRPr="00DA37DD">
        <w:rPr>
          <w:rFonts w:ascii="Times New Roman" w:hAnsi="Times New Roman"/>
          <w:szCs w:val="24"/>
        </w:rPr>
        <w:t xml:space="preserve"> information identified by network, rather than in the aggregate, by total, or as an average.  </w:t>
      </w:r>
      <w:r w:rsidR="0001407A">
        <w:rPr>
          <w:rFonts w:ascii="Times New Roman" w:hAnsi="Times New Roman"/>
          <w:szCs w:val="24"/>
        </w:rPr>
        <w:t>The Federal Reserve</w:t>
      </w:r>
      <w:r w:rsidR="00215FDE" w:rsidRPr="00DA37DD">
        <w:rPr>
          <w:rFonts w:ascii="Times New Roman" w:hAnsi="Times New Roman"/>
          <w:szCs w:val="24"/>
        </w:rPr>
        <w:t xml:space="preserve"> currently publishes </w:t>
      </w:r>
      <w:r w:rsidR="00AB684D">
        <w:rPr>
          <w:rFonts w:ascii="Times New Roman" w:hAnsi="Times New Roman"/>
          <w:szCs w:val="24"/>
        </w:rPr>
        <w:t xml:space="preserve">this </w:t>
      </w:r>
      <w:r w:rsidR="00215FDE" w:rsidRPr="00DA37DD">
        <w:rPr>
          <w:rFonts w:ascii="Times New Roman" w:hAnsi="Times New Roman"/>
          <w:szCs w:val="24"/>
        </w:rPr>
        <w:t xml:space="preserve">information only at the aggregate levels across networks for signature, PIN, and total debit card transactions: the percent of total number of transactions for exempt and non-exempt issuers; the percent of total value of transactions for exempt and non-exempt issuers; and the average transaction value for exempt, non-exempt, and all issuers. </w:t>
      </w:r>
      <w:r w:rsidR="0001407A">
        <w:rPr>
          <w:rFonts w:ascii="Times New Roman" w:hAnsi="Times New Roman"/>
          <w:szCs w:val="24"/>
        </w:rPr>
        <w:t xml:space="preserve"> </w:t>
      </w:r>
      <w:r w:rsidRPr="00DA37DD">
        <w:rPr>
          <w:rFonts w:ascii="Times New Roman" w:hAnsi="Times New Roman"/>
          <w:szCs w:val="24"/>
        </w:rPr>
        <w:t xml:space="preserve">This information can already be determined mathematically at the network level from the information the </w:t>
      </w:r>
      <w:r w:rsidR="0001407A">
        <w:rPr>
          <w:rFonts w:ascii="Times New Roman" w:hAnsi="Times New Roman"/>
          <w:szCs w:val="24"/>
        </w:rPr>
        <w:t>Federal Reserve</w:t>
      </w:r>
      <w:r w:rsidR="0001407A" w:rsidRPr="0001407A">
        <w:rPr>
          <w:rFonts w:ascii="Times New Roman" w:hAnsi="Times New Roman"/>
          <w:szCs w:val="24"/>
        </w:rPr>
        <w:t xml:space="preserve"> </w:t>
      </w:r>
      <w:r w:rsidRPr="00DA37DD">
        <w:rPr>
          <w:rFonts w:ascii="Times New Roman" w:hAnsi="Times New Roman"/>
          <w:szCs w:val="24"/>
        </w:rPr>
        <w:t>currently releases on average interchange fees.  Network-specific information may be useful to issuers (both exempt and non-exempt) and merchants in choosing payment card networks in which to participate and to policymakers in assessing the effect of Regulation II on the level of interchange fees received by exempt and nonexempt issuers over time.</w:t>
      </w:r>
      <w:r w:rsidR="003C09BA" w:rsidRPr="00DA37DD">
        <w:rPr>
          <w:rFonts w:ascii="Times New Roman" w:hAnsi="Times New Roman"/>
          <w:szCs w:val="24"/>
        </w:rPr>
        <w:t xml:space="preserve">  </w:t>
      </w:r>
      <w:r w:rsidR="00664576" w:rsidRPr="00DA37DD">
        <w:rPr>
          <w:rFonts w:ascii="Times New Roman" w:hAnsi="Times New Roman"/>
          <w:szCs w:val="24"/>
        </w:rPr>
        <w:t xml:space="preserve">The existing confidentiality statement </w:t>
      </w:r>
      <w:r w:rsidR="00601588" w:rsidRPr="00DA37DD">
        <w:rPr>
          <w:rFonts w:ascii="Times New Roman" w:hAnsi="Times New Roman"/>
          <w:szCs w:val="24"/>
        </w:rPr>
        <w:t>provides</w:t>
      </w:r>
      <w:r w:rsidR="00664576" w:rsidRPr="00DA37DD">
        <w:rPr>
          <w:rFonts w:ascii="Times New Roman" w:hAnsi="Times New Roman"/>
          <w:szCs w:val="24"/>
        </w:rPr>
        <w:t xml:space="preserve"> that only the average interchange fees for exempt and non-exempt issuers would be released by network.  </w:t>
      </w:r>
    </w:p>
    <w:p w14:paraId="0BE738EA" w14:textId="77777777" w:rsidR="00866CA0" w:rsidRPr="00DA37DD" w:rsidRDefault="00866CA0" w:rsidP="0042574D">
      <w:pPr>
        <w:ind w:firstLine="720"/>
        <w:jc w:val="both"/>
        <w:rPr>
          <w:rFonts w:ascii="Times New Roman" w:hAnsi="Times New Roman"/>
          <w:color w:val="000000"/>
          <w:szCs w:val="24"/>
        </w:rPr>
      </w:pPr>
    </w:p>
    <w:p w14:paraId="0BE738EB" w14:textId="77777777" w:rsidR="00137E5C" w:rsidRPr="00DA37DD" w:rsidRDefault="00137E5C" w:rsidP="00381E42">
      <w:pPr>
        <w:widowControl/>
        <w:tabs>
          <w:tab w:val="left" w:pos="360"/>
        </w:tabs>
        <w:rPr>
          <w:rFonts w:ascii="Times New Roman" w:hAnsi="Times New Roman"/>
          <w:szCs w:val="24"/>
        </w:rPr>
      </w:pPr>
      <w:r w:rsidRPr="00DA37DD">
        <w:rPr>
          <w:rFonts w:ascii="Times New Roman" w:hAnsi="Times New Roman"/>
          <w:b/>
          <w:szCs w:val="24"/>
        </w:rPr>
        <w:t>Reporting Panel</w:t>
      </w:r>
    </w:p>
    <w:p w14:paraId="0BE738EC" w14:textId="77777777" w:rsidR="00137E5C" w:rsidRPr="00DA37DD" w:rsidRDefault="00137E5C" w:rsidP="00381E42">
      <w:pPr>
        <w:widowControl/>
        <w:tabs>
          <w:tab w:val="left" w:pos="360"/>
        </w:tabs>
        <w:ind w:firstLine="720"/>
        <w:rPr>
          <w:rFonts w:ascii="Times New Roman" w:hAnsi="Times New Roman"/>
          <w:szCs w:val="24"/>
        </w:rPr>
      </w:pPr>
    </w:p>
    <w:p w14:paraId="0BE738F1" w14:textId="03B62D37" w:rsidR="00137E5C" w:rsidRPr="00DA37DD" w:rsidRDefault="0001407A" w:rsidP="00381E42">
      <w:pPr>
        <w:widowControl/>
        <w:tabs>
          <w:tab w:val="left" w:pos="360"/>
        </w:tabs>
        <w:ind w:firstLine="720"/>
        <w:rPr>
          <w:rFonts w:ascii="Times New Roman" w:hAnsi="Times New Roman"/>
          <w:szCs w:val="24"/>
        </w:rPr>
      </w:pPr>
      <w:r>
        <w:rPr>
          <w:rFonts w:ascii="Times New Roman" w:hAnsi="Times New Roman"/>
          <w:szCs w:val="24"/>
        </w:rPr>
        <w:t>The Federal Reserve</w:t>
      </w:r>
      <w:r w:rsidRPr="0001407A">
        <w:rPr>
          <w:rFonts w:ascii="Times New Roman" w:hAnsi="Times New Roman"/>
          <w:szCs w:val="24"/>
        </w:rPr>
        <w:t xml:space="preserve"> </w:t>
      </w:r>
      <w:r w:rsidR="002A79CC" w:rsidRPr="00DA37DD">
        <w:rPr>
          <w:rFonts w:ascii="Times New Roman" w:hAnsi="Times New Roman"/>
          <w:szCs w:val="24"/>
        </w:rPr>
        <w:t>estimate</w:t>
      </w:r>
      <w:r w:rsidR="00DF63FD" w:rsidRPr="00DA37DD">
        <w:rPr>
          <w:rFonts w:ascii="Times New Roman" w:hAnsi="Times New Roman"/>
          <w:szCs w:val="24"/>
        </w:rPr>
        <w:t>s</w:t>
      </w:r>
      <w:r w:rsidR="002A79CC" w:rsidRPr="00DA37DD">
        <w:rPr>
          <w:rFonts w:ascii="Times New Roman" w:hAnsi="Times New Roman"/>
          <w:szCs w:val="24"/>
        </w:rPr>
        <w:t xml:space="preserve"> that there are 5</w:t>
      </w:r>
      <w:r w:rsidR="00407C63" w:rsidRPr="00DA37DD">
        <w:rPr>
          <w:rFonts w:ascii="Times New Roman" w:hAnsi="Times New Roman"/>
          <w:szCs w:val="24"/>
        </w:rPr>
        <w:t>58</w:t>
      </w:r>
      <w:r w:rsidR="002A79CC" w:rsidRPr="00DA37DD">
        <w:rPr>
          <w:rFonts w:ascii="Times New Roman" w:hAnsi="Times New Roman"/>
          <w:szCs w:val="24"/>
        </w:rPr>
        <w:t xml:space="preserve"> chartered institutions that, together with affiliates, have assets of $10 billion or more and that may issue debit cards.</w:t>
      </w:r>
      <w:r w:rsidR="002A79CC" w:rsidRPr="00DA37DD">
        <w:rPr>
          <w:rStyle w:val="FootnoteReference"/>
          <w:rFonts w:ascii="Times New Roman" w:hAnsi="Times New Roman"/>
          <w:color w:val="000000"/>
          <w:szCs w:val="24"/>
          <w:vertAlign w:val="superscript"/>
        </w:rPr>
        <w:footnoteReference w:id="13"/>
      </w:r>
      <w:r w:rsidR="002A79CC" w:rsidRPr="00DA37DD">
        <w:rPr>
          <w:rFonts w:ascii="Times New Roman" w:hAnsi="Times New Roman"/>
          <w:szCs w:val="24"/>
        </w:rPr>
        <w:t xml:space="preserve">  </w:t>
      </w:r>
      <w:r>
        <w:rPr>
          <w:rFonts w:ascii="Times New Roman" w:hAnsi="Times New Roman"/>
          <w:szCs w:val="24"/>
        </w:rPr>
        <w:t>The Federal Reserve</w:t>
      </w:r>
      <w:r w:rsidRPr="0001407A">
        <w:rPr>
          <w:rFonts w:ascii="Times New Roman" w:hAnsi="Times New Roman"/>
          <w:szCs w:val="24"/>
        </w:rPr>
        <w:t xml:space="preserve"> </w:t>
      </w:r>
      <w:r w:rsidR="00DF63FD" w:rsidRPr="00DA37DD">
        <w:rPr>
          <w:rFonts w:ascii="Times New Roman" w:hAnsi="Times New Roman"/>
          <w:szCs w:val="24"/>
        </w:rPr>
        <w:t>estimates that t</w:t>
      </w:r>
      <w:r w:rsidR="00407C63" w:rsidRPr="00DA37DD">
        <w:rPr>
          <w:rFonts w:ascii="Times New Roman" w:hAnsi="Times New Roman"/>
          <w:szCs w:val="24"/>
        </w:rPr>
        <w:t xml:space="preserve">here are </w:t>
      </w:r>
      <w:r w:rsidR="00332ED7" w:rsidRPr="00DA37DD">
        <w:rPr>
          <w:rFonts w:ascii="Times New Roman" w:hAnsi="Times New Roman"/>
          <w:szCs w:val="24"/>
        </w:rPr>
        <w:t xml:space="preserve">18 </w:t>
      </w:r>
      <w:r w:rsidR="002A79CC" w:rsidRPr="00DA37DD">
        <w:rPr>
          <w:rFonts w:ascii="Times New Roman" w:hAnsi="Times New Roman"/>
          <w:szCs w:val="24"/>
        </w:rPr>
        <w:t>payment card networks that process electronic debit transactions.</w:t>
      </w:r>
      <w:r w:rsidR="002A79CC" w:rsidRPr="00DA37DD">
        <w:rPr>
          <w:rStyle w:val="FootnoteReference"/>
          <w:rFonts w:ascii="Times New Roman" w:hAnsi="Times New Roman"/>
          <w:color w:val="000000"/>
          <w:szCs w:val="24"/>
          <w:vertAlign w:val="superscript"/>
        </w:rPr>
        <w:footnoteReference w:id="14"/>
      </w:r>
      <w:r w:rsidR="002A79CC" w:rsidRPr="00DA37DD">
        <w:rPr>
          <w:rFonts w:ascii="Times New Roman" w:hAnsi="Times New Roman"/>
          <w:szCs w:val="24"/>
        </w:rPr>
        <w:t xml:space="preserve">  </w:t>
      </w:r>
      <w:r>
        <w:rPr>
          <w:rFonts w:ascii="Times New Roman" w:hAnsi="Times New Roman"/>
          <w:szCs w:val="24"/>
        </w:rPr>
        <w:t>The Federal Reserve</w:t>
      </w:r>
      <w:r w:rsidRPr="0001407A">
        <w:rPr>
          <w:rFonts w:ascii="Times New Roman" w:hAnsi="Times New Roman"/>
          <w:szCs w:val="24"/>
        </w:rPr>
        <w:t xml:space="preserve"> </w:t>
      </w:r>
      <w:r w:rsidR="00415478" w:rsidRPr="00DA37DD">
        <w:rPr>
          <w:rFonts w:ascii="Times New Roman" w:hAnsi="Times New Roman"/>
          <w:szCs w:val="24"/>
        </w:rPr>
        <w:t xml:space="preserve">will </w:t>
      </w:r>
      <w:r w:rsidR="002A79CC" w:rsidRPr="00DA37DD">
        <w:rPr>
          <w:rFonts w:ascii="Times New Roman" w:hAnsi="Times New Roman"/>
          <w:szCs w:val="24"/>
        </w:rPr>
        <w:t>provide respondents with secure online access to respond to the debit card issuer and payment card network surveys.</w:t>
      </w:r>
    </w:p>
    <w:p w14:paraId="4AC0F207" w14:textId="77777777" w:rsidR="0001407A" w:rsidRDefault="0001407A">
      <w:pPr>
        <w:widowControl/>
        <w:tabs>
          <w:tab w:val="left" w:pos="360"/>
        </w:tabs>
        <w:rPr>
          <w:rFonts w:ascii="Times New Roman" w:hAnsi="Times New Roman"/>
          <w:b/>
          <w:szCs w:val="24"/>
        </w:rPr>
      </w:pPr>
    </w:p>
    <w:p w14:paraId="0BE738F7" w14:textId="57B93E3C" w:rsidR="00137E5C" w:rsidRPr="00DA37DD" w:rsidRDefault="00137E5C">
      <w:pPr>
        <w:widowControl/>
        <w:tabs>
          <w:tab w:val="left" w:pos="360"/>
        </w:tabs>
        <w:rPr>
          <w:rFonts w:ascii="Times New Roman" w:hAnsi="Times New Roman"/>
          <w:szCs w:val="24"/>
        </w:rPr>
      </w:pPr>
      <w:r w:rsidRPr="00DA37DD">
        <w:rPr>
          <w:rFonts w:ascii="Times New Roman" w:hAnsi="Times New Roman"/>
          <w:b/>
          <w:szCs w:val="24"/>
        </w:rPr>
        <w:t>Time Schedule for Information Collection and Publication</w:t>
      </w:r>
    </w:p>
    <w:p w14:paraId="0BE738F8" w14:textId="77777777" w:rsidR="00137E5C" w:rsidRPr="00DA37DD" w:rsidRDefault="00137E5C">
      <w:pPr>
        <w:widowControl/>
        <w:tabs>
          <w:tab w:val="left" w:pos="360"/>
        </w:tabs>
        <w:rPr>
          <w:rFonts w:ascii="Times New Roman" w:hAnsi="Times New Roman"/>
          <w:szCs w:val="24"/>
        </w:rPr>
      </w:pPr>
    </w:p>
    <w:p w14:paraId="2853FEC2" w14:textId="1C2A574E" w:rsidR="003C2BE8" w:rsidRDefault="009A77EC" w:rsidP="002A79CC">
      <w:pPr>
        <w:pStyle w:val="BodyText"/>
        <w:tabs>
          <w:tab w:val="left" w:pos="-1440"/>
        </w:tabs>
        <w:rPr>
          <w:rFonts w:ascii="Times New Roman" w:hAnsi="Times New Roman"/>
          <w:szCs w:val="24"/>
        </w:rPr>
      </w:pPr>
      <w:r w:rsidRPr="00DA37DD">
        <w:rPr>
          <w:rFonts w:ascii="Times New Roman" w:hAnsi="Times New Roman"/>
          <w:szCs w:val="24"/>
        </w:rPr>
        <w:tab/>
      </w:r>
      <w:r w:rsidR="0001407A">
        <w:rPr>
          <w:rFonts w:ascii="Times New Roman" w:hAnsi="Times New Roman"/>
          <w:szCs w:val="24"/>
        </w:rPr>
        <w:t>The Federal Reserve</w:t>
      </w:r>
      <w:r w:rsidR="0001407A" w:rsidRPr="0001407A">
        <w:rPr>
          <w:rFonts w:ascii="Times New Roman" w:hAnsi="Times New Roman"/>
          <w:szCs w:val="24"/>
        </w:rPr>
        <w:t xml:space="preserve"> </w:t>
      </w:r>
      <w:r w:rsidR="002A79CC" w:rsidRPr="00DA37DD">
        <w:rPr>
          <w:rFonts w:ascii="Times New Roman" w:hAnsi="Times New Roman"/>
          <w:szCs w:val="24"/>
        </w:rPr>
        <w:t xml:space="preserve">is required to disclose, as appropriate and in the public interest, aggregate or summary information concerning the costs incurred and interchange fees charged or received by issuers and payment card networks on a biennial basis.  In addition, the </w:t>
      </w:r>
      <w:r w:rsidR="0001407A">
        <w:rPr>
          <w:rFonts w:ascii="Times New Roman" w:hAnsi="Times New Roman"/>
          <w:szCs w:val="24"/>
        </w:rPr>
        <w:t>Federal Reserve</w:t>
      </w:r>
      <w:r w:rsidR="0001407A" w:rsidRPr="0001407A">
        <w:rPr>
          <w:rFonts w:ascii="Times New Roman" w:hAnsi="Times New Roman"/>
          <w:szCs w:val="24"/>
        </w:rPr>
        <w:t xml:space="preserve"> </w:t>
      </w:r>
      <w:r w:rsidR="002A79CC" w:rsidRPr="00DA37DD">
        <w:rPr>
          <w:rFonts w:ascii="Times New Roman" w:hAnsi="Times New Roman"/>
          <w:szCs w:val="24"/>
        </w:rPr>
        <w:t>previously announced that it w</w:t>
      </w:r>
      <w:r w:rsidR="00914FFA" w:rsidRPr="00DA37DD">
        <w:rPr>
          <w:rFonts w:ascii="Times New Roman" w:hAnsi="Times New Roman"/>
          <w:szCs w:val="24"/>
        </w:rPr>
        <w:t xml:space="preserve">ill </w:t>
      </w:r>
      <w:r w:rsidR="002A79CC" w:rsidRPr="00DA37DD">
        <w:rPr>
          <w:rFonts w:ascii="Times New Roman" w:hAnsi="Times New Roman"/>
          <w:szCs w:val="24"/>
        </w:rPr>
        <w:t xml:space="preserve">disclose information on payment card network interchange fees on an annual basis.  </w:t>
      </w:r>
      <w:r w:rsidR="0001407A">
        <w:rPr>
          <w:rFonts w:ascii="Times New Roman" w:hAnsi="Times New Roman"/>
          <w:szCs w:val="24"/>
        </w:rPr>
        <w:t>The Federal Reserve</w:t>
      </w:r>
      <w:r w:rsidR="0001407A" w:rsidRPr="0001407A">
        <w:rPr>
          <w:rFonts w:ascii="Times New Roman" w:hAnsi="Times New Roman"/>
          <w:szCs w:val="24"/>
        </w:rPr>
        <w:t xml:space="preserve"> </w:t>
      </w:r>
      <w:r w:rsidR="002E13D6" w:rsidRPr="00DA37DD">
        <w:rPr>
          <w:rFonts w:ascii="Times New Roman" w:hAnsi="Times New Roman"/>
          <w:szCs w:val="24"/>
        </w:rPr>
        <w:t>is</w:t>
      </w:r>
      <w:r w:rsidR="002A79CC" w:rsidRPr="00DA37DD">
        <w:rPr>
          <w:rFonts w:ascii="Times New Roman" w:hAnsi="Times New Roman"/>
          <w:szCs w:val="24"/>
        </w:rPr>
        <w:t xml:space="preserve"> targeting </w:t>
      </w:r>
      <w:r w:rsidR="00601588" w:rsidRPr="00DA37DD">
        <w:rPr>
          <w:rFonts w:ascii="Times New Roman" w:hAnsi="Times New Roman"/>
          <w:szCs w:val="24"/>
        </w:rPr>
        <w:t xml:space="preserve">a publication date of </w:t>
      </w:r>
      <w:r w:rsidR="002A79CC" w:rsidRPr="00DA37DD">
        <w:rPr>
          <w:rFonts w:ascii="Times New Roman" w:hAnsi="Times New Roman"/>
          <w:szCs w:val="24"/>
        </w:rPr>
        <w:t>June 30, 201</w:t>
      </w:r>
      <w:r w:rsidR="00087151" w:rsidRPr="00DA37DD">
        <w:rPr>
          <w:rFonts w:ascii="Times New Roman" w:hAnsi="Times New Roman"/>
          <w:szCs w:val="24"/>
        </w:rPr>
        <w:t>4</w:t>
      </w:r>
      <w:r w:rsidR="002A79CC" w:rsidRPr="00DA37DD">
        <w:rPr>
          <w:rFonts w:ascii="Times New Roman" w:hAnsi="Times New Roman"/>
          <w:szCs w:val="24"/>
        </w:rPr>
        <w:t xml:space="preserve"> (and by the same date in subsequent years) </w:t>
      </w:r>
      <w:r w:rsidR="00601588" w:rsidRPr="00DA37DD">
        <w:rPr>
          <w:rFonts w:ascii="Times New Roman" w:hAnsi="Times New Roman"/>
          <w:szCs w:val="24"/>
        </w:rPr>
        <w:t xml:space="preserve">for the payment card survey results </w:t>
      </w:r>
      <w:r w:rsidR="002A79CC" w:rsidRPr="00DA37DD">
        <w:rPr>
          <w:rFonts w:ascii="Times New Roman" w:hAnsi="Times New Roman"/>
          <w:szCs w:val="24"/>
        </w:rPr>
        <w:t>and December 31, 201</w:t>
      </w:r>
      <w:r w:rsidR="00087151" w:rsidRPr="00DA37DD">
        <w:rPr>
          <w:rFonts w:ascii="Times New Roman" w:hAnsi="Times New Roman"/>
          <w:szCs w:val="24"/>
        </w:rPr>
        <w:t>4</w:t>
      </w:r>
      <w:r w:rsidR="00601588" w:rsidRPr="00DA37DD">
        <w:rPr>
          <w:rFonts w:ascii="Times New Roman" w:hAnsi="Times New Roman"/>
          <w:szCs w:val="24"/>
        </w:rPr>
        <w:t xml:space="preserve"> for the debit card issuer results</w:t>
      </w:r>
      <w:r w:rsidR="002A79CC" w:rsidRPr="00DA37DD">
        <w:rPr>
          <w:rFonts w:ascii="Times New Roman" w:hAnsi="Times New Roman"/>
          <w:szCs w:val="24"/>
        </w:rPr>
        <w:t xml:space="preserve">.  </w:t>
      </w:r>
    </w:p>
    <w:p w14:paraId="5C0016B5" w14:textId="77777777" w:rsidR="003C2BE8" w:rsidRDefault="003C2BE8" w:rsidP="002A79CC">
      <w:pPr>
        <w:pStyle w:val="BodyText"/>
        <w:tabs>
          <w:tab w:val="left" w:pos="-1440"/>
        </w:tabs>
        <w:rPr>
          <w:rFonts w:ascii="Times New Roman" w:hAnsi="Times New Roman"/>
          <w:szCs w:val="24"/>
        </w:rPr>
      </w:pPr>
    </w:p>
    <w:p w14:paraId="0A8878E6" w14:textId="53C326D8" w:rsidR="002A79CC" w:rsidRPr="00DA37DD" w:rsidRDefault="003C2BE8" w:rsidP="002A79CC">
      <w:pPr>
        <w:pStyle w:val="BodyText"/>
        <w:tabs>
          <w:tab w:val="left" w:pos="-1440"/>
        </w:tabs>
        <w:rPr>
          <w:rFonts w:ascii="Times New Roman" w:hAnsi="Times New Roman"/>
          <w:b/>
          <w:szCs w:val="24"/>
        </w:rPr>
      </w:pPr>
      <w:r>
        <w:rPr>
          <w:rFonts w:ascii="Times New Roman" w:hAnsi="Times New Roman"/>
          <w:szCs w:val="24"/>
        </w:rPr>
        <w:tab/>
      </w:r>
      <w:r w:rsidR="0001407A">
        <w:rPr>
          <w:rFonts w:ascii="Times New Roman" w:hAnsi="Times New Roman"/>
          <w:szCs w:val="24"/>
        </w:rPr>
        <w:t>The Federal Reserve</w:t>
      </w:r>
      <w:r w:rsidR="0001407A" w:rsidRPr="0001407A">
        <w:rPr>
          <w:rFonts w:ascii="Times New Roman" w:hAnsi="Times New Roman"/>
          <w:szCs w:val="24"/>
        </w:rPr>
        <w:t xml:space="preserve"> </w:t>
      </w:r>
      <w:r>
        <w:rPr>
          <w:rFonts w:ascii="Times New Roman" w:hAnsi="Times New Roman"/>
          <w:szCs w:val="24"/>
        </w:rPr>
        <w:t>proposes to</w:t>
      </w:r>
      <w:r w:rsidR="002A79CC" w:rsidRPr="00DA37DD">
        <w:rPr>
          <w:rFonts w:ascii="Times New Roman" w:hAnsi="Times New Roman"/>
          <w:szCs w:val="24"/>
        </w:rPr>
        <w:t xml:space="preserve"> make the payment card network survey available online by </w:t>
      </w:r>
      <w:r w:rsidR="00087151" w:rsidRPr="00DA37DD">
        <w:rPr>
          <w:rFonts w:ascii="Times New Roman" w:hAnsi="Times New Roman"/>
          <w:szCs w:val="24"/>
        </w:rPr>
        <w:t>early-February</w:t>
      </w:r>
      <w:r w:rsidR="002A79CC" w:rsidRPr="00DA37DD">
        <w:rPr>
          <w:rFonts w:ascii="Times New Roman" w:hAnsi="Times New Roman"/>
          <w:szCs w:val="24"/>
        </w:rPr>
        <w:t xml:space="preserve"> 201</w:t>
      </w:r>
      <w:r w:rsidR="00087151" w:rsidRPr="00DA37DD">
        <w:rPr>
          <w:rFonts w:ascii="Times New Roman" w:hAnsi="Times New Roman"/>
          <w:szCs w:val="24"/>
        </w:rPr>
        <w:t>4</w:t>
      </w:r>
      <w:r w:rsidR="002A79CC" w:rsidRPr="00DA37DD">
        <w:rPr>
          <w:rFonts w:ascii="Times New Roman" w:hAnsi="Times New Roman"/>
          <w:szCs w:val="24"/>
        </w:rPr>
        <w:t xml:space="preserve"> and request that the survey be submitted to the Board within </w:t>
      </w:r>
      <w:r w:rsidR="00087151" w:rsidRPr="00DA37DD">
        <w:rPr>
          <w:rFonts w:ascii="Times New Roman" w:hAnsi="Times New Roman"/>
          <w:szCs w:val="24"/>
        </w:rPr>
        <w:t>45</w:t>
      </w:r>
      <w:r w:rsidR="002A79CC" w:rsidRPr="00DA37DD">
        <w:rPr>
          <w:rFonts w:ascii="Times New Roman" w:hAnsi="Times New Roman"/>
          <w:szCs w:val="24"/>
        </w:rPr>
        <w:t xml:space="preserve"> calendar days</w:t>
      </w:r>
      <w:r w:rsidR="00953836">
        <w:rPr>
          <w:rFonts w:ascii="Times New Roman" w:hAnsi="Times New Roman"/>
          <w:szCs w:val="24"/>
        </w:rPr>
        <w:t>, as has been done previously</w:t>
      </w:r>
      <w:r w:rsidR="002A79CC" w:rsidRPr="00DA37DD">
        <w:rPr>
          <w:rFonts w:ascii="Times New Roman" w:hAnsi="Times New Roman"/>
          <w:szCs w:val="24"/>
        </w:rPr>
        <w:t xml:space="preserve">.  </w:t>
      </w:r>
      <w:r w:rsidR="00906229" w:rsidRPr="00DA37DD">
        <w:rPr>
          <w:rFonts w:ascii="Times New Roman" w:hAnsi="Times New Roman"/>
          <w:szCs w:val="24"/>
        </w:rPr>
        <w:t>For t</w:t>
      </w:r>
      <w:r w:rsidR="002A79CC" w:rsidRPr="00DA37DD">
        <w:rPr>
          <w:rFonts w:ascii="Times New Roman" w:hAnsi="Times New Roman"/>
          <w:szCs w:val="24"/>
        </w:rPr>
        <w:t>he debit card issuer survey</w:t>
      </w:r>
      <w:r w:rsidR="00906229" w:rsidRPr="00DA37DD">
        <w:rPr>
          <w:rFonts w:ascii="Times New Roman" w:hAnsi="Times New Roman"/>
          <w:szCs w:val="24"/>
        </w:rPr>
        <w:t xml:space="preserve">, </w:t>
      </w:r>
      <w:r w:rsidR="0001407A">
        <w:rPr>
          <w:rFonts w:ascii="Times New Roman" w:hAnsi="Times New Roman"/>
          <w:szCs w:val="24"/>
        </w:rPr>
        <w:t>the Federal Reserve</w:t>
      </w:r>
      <w:r w:rsidR="00906229" w:rsidRPr="00DA37DD">
        <w:rPr>
          <w:rFonts w:ascii="Times New Roman" w:hAnsi="Times New Roman"/>
          <w:szCs w:val="24"/>
        </w:rPr>
        <w:t xml:space="preserve"> </w:t>
      </w:r>
      <w:r w:rsidR="00DC3FA4">
        <w:rPr>
          <w:rFonts w:ascii="Times New Roman" w:hAnsi="Times New Roman"/>
          <w:szCs w:val="24"/>
        </w:rPr>
        <w:t xml:space="preserve">proposes to make </w:t>
      </w:r>
      <w:r w:rsidR="00906229" w:rsidRPr="00DA37DD">
        <w:rPr>
          <w:rFonts w:ascii="Times New Roman" w:hAnsi="Times New Roman"/>
          <w:szCs w:val="24"/>
        </w:rPr>
        <w:t xml:space="preserve">the </w:t>
      </w:r>
      <w:r w:rsidR="005752F0" w:rsidRPr="00DA37DD">
        <w:rPr>
          <w:rFonts w:ascii="Times New Roman" w:hAnsi="Times New Roman"/>
          <w:szCs w:val="24"/>
        </w:rPr>
        <w:t xml:space="preserve">calendar year 2013 </w:t>
      </w:r>
      <w:r w:rsidR="00906229" w:rsidRPr="00DA37DD">
        <w:rPr>
          <w:rFonts w:ascii="Times New Roman" w:hAnsi="Times New Roman"/>
          <w:szCs w:val="24"/>
        </w:rPr>
        <w:t xml:space="preserve">survey </w:t>
      </w:r>
      <w:r w:rsidR="002A79CC" w:rsidRPr="00DA37DD">
        <w:rPr>
          <w:rFonts w:ascii="Times New Roman" w:hAnsi="Times New Roman"/>
          <w:szCs w:val="24"/>
        </w:rPr>
        <w:t>available by</w:t>
      </w:r>
      <w:r w:rsidR="005752F0" w:rsidRPr="00DA37DD">
        <w:rPr>
          <w:rFonts w:ascii="Times New Roman" w:hAnsi="Times New Roman"/>
          <w:szCs w:val="24"/>
        </w:rPr>
        <w:t xml:space="preserve"> February 3, 2014 and request that the surveys be submitted by March 17, 2014</w:t>
      </w:r>
      <w:r w:rsidR="00C45727" w:rsidRPr="00DA37DD">
        <w:rPr>
          <w:rFonts w:ascii="Times New Roman" w:hAnsi="Times New Roman"/>
          <w:szCs w:val="24"/>
        </w:rPr>
        <w:t>.  F</w:t>
      </w:r>
      <w:r w:rsidR="005752F0" w:rsidRPr="00DA37DD">
        <w:rPr>
          <w:rFonts w:ascii="Times New Roman" w:hAnsi="Times New Roman"/>
          <w:szCs w:val="24"/>
        </w:rPr>
        <w:t>uture</w:t>
      </w:r>
      <w:r w:rsidR="00C45727" w:rsidRPr="00DA37DD">
        <w:rPr>
          <w:rFonts w:ascii="Times New Roman" w:hAnsi="Times New Roman"/>
          <w:szCs w:val="24"/>
        </w:rPr>
        <w:t>-year</w:t>
      </w:r>
      <w:r w:rsidR="005752F0" w:rsidRPr="00DA37DD">
        <w:rPr>
          <w:rFonts w:ascii="Times New Roman" w:hAnsi="Times New Roman"/>
          <w:szCs w:val="24"/>
        </w:rPr>
        <w:t xml:space="preserve"> surveys </w:t>
      </w:r>
      <w:r w:rsidR="00C45727" w:rsidRPr="00DA37DD">
        <w:rPr>
          <w:rFonts w:ascii="Times New Roman" w:hAnsi="Times New Roman"/>
          <w:szCs w:val="24"/>
        </w:rPr>
        <w:t xml:space="preserve">would </w:t>
      </w:r>
      <w:r w:rsidR="005752F0" w:rsidRPr="00DA37DD">
        <w:rPr>
          <w:rFonts w:ascii="Times New Roman" w:hAnsi="Times New Roman"/>
          <w:szCs w:val="24"/>
        </w:rPr>
        <w:t>be made available by</w:t>
      </w:r>
      <w:r w:rsidR="002A79CC" w:rsidRPr="00DA37DD">
        <w:rPr>
          <w:rFonts w:ascii="Times New Roman" w:hAnsi="Times New Roman"/>
          <w:szCs w:val="24"/>
        </w:rPr>
        <w:t xml:space="preserve"> </w:t>
      </w:r>
      <w:r w:rsidR="002A79CC" w:rsidRPr="00DA37DD">
        <w:rPr>
          <w:rFonts w:ascii="Times New Roman" w:hAnsi="Times New Roman"/>
          <w:szCs w:val="24"/>
        </w:rPr>
        <w:lastRenderedPageBreak/>
        <w:t xml:space="preserve">mid-February </w:t>
      </w:r>
      <w:r w:rsidR="005752F0" w:rsidRPr="00DA37DD">
        <w:rPr>
          <w:rFonts w:ascii="Times New Roman" w:hAnsi="Times New Roman"/>
          <w:szCs w:val="24"/>
        </w:rPr>
        <w:t>of the year following the calendar year for which data are collected,</w:t>
      </w:r>
      <w:r w:rsidR="00906229" w:rsidRPr="00DA37DD">
        <w:rPr>
          <w:rFonts w:ascii="Times New Roman" w:hAnsi="Times New Roman"/>
          <w:szCs w:val="24"/>
        </w:rPr>
        <w:t xml:space="preserve"> </w:t>
      </w:r>
      <w:r w:rsidR="00C45727" w:rsidRPr="00DA37DD">
        <w:rPr>
          <w:rFonts w:ascii="Times New Roman" w:hAnsi="Times New Roman"/>
          <w:szCs w:val="24"/>
        </w:rPr>
        <w:t xml:space="preserve">with responses due </w:t>
      </w:r>
      <w:r w:rsidR="002A79CC" w:rsidRPr="00DA37DD">
        <w:rPr>
          <w:rFonts w:ascii="Times New Roman" w:hAnsi="Times New Roman"/>
          <w:szCs w:val="24"/>
        </w:rPr>
        <w:t>within 60 calendar days.</w:t>
      </w:r>
    </w:p>
    <w:p w14:paraId="0BE738FC" w14:textId="77777777" w:rsidR="0041265B" w:rsidRPr="00DA37DD" w:rsidRDefault="0041265B">
      <w:pPr>
        <w:widowControl/>
        <w:tabs>
          <w:tab w:val="left" w:pos="360"/>
        </w:tabs>
        <w:rPr>
          <w:rFonts w:ascii="Times New Roman" w:hAnsi="Times New Roman"/>
          <w:b/>
          <w:szCs w:val="24"/>
        </w:rPr>
      </w:pPr>
    </w:p>
    <w:p w14:paraId="78B9C9FE" w14:textId="77777777" w:rsidR="00BF65BF" w:rsidRDefault="00137E5C" w:rsidP="00BF65BF">
      <w:pPr>
        <w:widowControl/>
        <w:tabs>
          <w:tab w:val="left" w:pos="360"/>
        </w:tabs>
        <w:rPr>
          <w:rFonts w:ascii="Times New Roman" w:hAnsi="Times New Roman"/>
          <w:szCs w:val="24"/>
        </w:rPr>
      </w:pPr>
      <w:r w:rsidRPr="00DA37DD">
        <w:rPr>
          <w:rFonts w:ascii="Times New Roman" w:hAnsi="Times New Roman"/>
          <w:b/>
          <w:szCs w:val="24"/>
        </w:rPr>
        <w:t>Legal Status</w:t>
      </w:r>
    </w:p>
    <w:p w14:paraId="7B8C1846" w14:textId="77777777" w:rsidR="00BF65BF" w:rsidRDefault="00BF65BF" w:rsidP="00BF65BF">
      <w:pPr>
        <w:widowControl/>
        <w:tabs>
          <w:tab w:val="left" w:pos="360"/>
        </w:tabs>
        <w:rPr>
          <w:rFonts w:ascii="Times New Roman" w:hAnsi="Times New Roman"/>
          <w:szCs w:val="24"/>
        </w:rPr>
      </w:pPr>
    </w:p>
    <w:p w14:paraId="4D7029CB" w14:textId="0D262F0C" w:rsidR="00BF65BF" w:rsidRDefault="00BF65BF" w:rsidP="00BF65BF">
      <w:pPr>
        <w:widowControl/>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002A79CC" w:rsidRPr="00DA37DD">
        <w:rPr>
          <w:rFonts w:ascii="Times New Roman" w:hAnsi="Times New Roman"/>
          <w:szCs w:val="24"/>
        </w:rPr>
        <w:t xml:space="preserve">The Board’s Legal Division has determined that this information collection is </w:t>
      </w:r>
      <w:r w:rsidR="002A79CC" w:rsidRPr="00BF65BF">
        <w:rPr>
          <w:rFonts w:ascii="Times New Roman" w:hAnsi="Times New Roman"/>
          <w:szCs w:val="24"/>
        </w:rPr>
        <w:t xml:space="preserve">authorized by subsection 920(a) of the Electronic Fund Transfer Act, which was amended by section 1075(a) of the Dodd-Frank Act.  </w:t>
      </w:r>
      <w:proofErr w:type="gramStart"/>
      <w:r w:rsidR="002A79CC" w:rsidRPr="00BF65BF">
        <w:rPr>
          <w:rFonts w:ascii="Times New Roman" w:hAnsi="Times New Roman"/>
          <w:szCs w:val="24"/>
        </w:rPr>
        <w:t>15</w:t>
      </w:r>
      <w:proofErr w:type="gramEnd"/>
      <w:r w:rsidR="002A79CC" w:rsidRPr="00BF65BF">
        <w:rPr>
          <w:rFonts w:ascii="Times New Roman" w:hAnsi="Times New Roman"/>
          <w:szCs w:val="24"/>
        </w:rPr>
        <w:t xml:space="preserve"> U.S.C. § 1693o-2.  This subsection requires the Board to  disclose </w:t>
      </w:r>
      <w:r w:rsidR="00906229" w:rsidRPr="00BF65BF">
        <w:rPr>
          <w:rFonts w:ascii="Times New Roman" w:hAnsi="Times New Roman"/>
          <w:szCs w:val="24"/>
        </w:rPr>
        <w:t xml:space="preserve">(on a </w:t>
      </w:r>
      <w:r w:rsidR="00906229" w:rsidRPr="00BF65BF">
        <w:rPr>
          <w:rFonts w:ascii="Times New Roman" w:hAnsi="Times New Roman"/>
          <w:color w:val="000000"/>
          <w:szCs w:val="24"/>
        </w:rPr>
        <w:t xml:space="preserve">biennial </w:t>
      </w:r>
      <w:r w:rsidR="00906229" w:rsidRPr="00BF65BF">
        <w:rPr>
          <w:rFonts w:ascii="Times New Roman" w:hAnsi="Times New Roman"/>
          <w:szCs w:val="24"/>
        </w:rPr>
        <w:t xml:space="preserve">basis) </w:t>
      </w:r>
      <w:r w:rsidR="002A79CC" w:rsidRPr="00BF65BF">
        <w:rPr>
          <w:rFonts w:ascii="Times New Roman" w:hAnsi="Times New Roman"/>
          <w:szCs w:val="24"/>
        </w:rPr>
        <w:t>aggregate or summary information concerning the costs incurred and interchange transactions fees charged or received, by issuers or payment card networks in connection with the authorization, clearance or settlement of electronic debit transaction as the Board considers appropriate and in the public interest.  15 U.S.C. § 1693o-2(a</w:t>
      </w:r>
      <w:proofErr w:type="gramStart"/>
      <w:r w:rsidR="002A79CC" w:rsidRPr="00BF65BF">
        <w:rPr>
          <w:rFonts w:ascii="Times New Roman" w:hAnsi="Times New Roman"/>
          <w:szCs w:val="24"/>
        </w:rPr>
        <w:t>)(</w:t>
      </w:r>
      <w:proofErr w:type="gramEnd"/>
      <w:r w:rsidR="002A79CC" w:rsidRPr="00BF65BF">
        <w:rPr>
          <w:rFonts w:ascii="Times New Roman" w:hAnsi="Times New Roman"/>
          <w:szCs w:val="24"/>
        </w:rPr>
        <w:t xml:space="preserve">3)(B).  It also provides the Board with authority to require issuers to provide information to enable the Board to carry out the provisions of the subsection.  </w:t>
      </w:r>
      <w:r w:rsidR="00C45727" w:rsidRPr="00BF65BF">
        <w:rPr>
          <w:rFonts w:ascii="Times New Roman" w:hAnsi="Times New Roman"/>
          <w:szCs w:val="24"/>
        </w:rPr>
        <w:t>R</w:t>
      </w:r>
      <w:r w:rsidR="002A79CC" w:rsidRPr="00BF65BF">
        <w:rPr>
          <w:rFonts w:ascii="Times New Roman" w:hAnsi="Times New Roman"/>
          <w:szCs w:val="24"/>
        </w:rPr>
        <w:t>espon</w:t>
      </w:r>
      <w:r w:rsidR="00C45727" w:rsidRPr="00BF65BF">
        <w:rPr>
          <w:rFonts w:ascii="Times New Roman" w:hAnsi="Times New Roman"/>
          <w:szCs w:val="24"/>
        </w:rPr>
        <w:t>se</w:t>
      </w:r>
      <w:r w:rsidR="002A79CC" w:rsidRPr="00BF65BF">
        <w:rPr>
          <w:rFonts w:ascii="Times New Roman" w:hAnsi="Times New Roman"/>
          <w:szCs w:val="24"/>
        </w:rPr>
        <w:t xml:space="preserve"> to these surveys is mandatory.  In accordance with the statutory requirement, the Board will release aggregate or summary information from the survey responses.  </w:t>
      </w:r>
      <w:r w:rsidRPr="00BF65BF">
        <w:rPr>
          <w:rFonts w:ascii="Times New Roman" w:hAnsi="Times New Roman"/>
        </w:rPr>
        <w:t xml:space="preserve">In addition, the Board will release, at the network level, the </w:t>
      </w:r>
      <w:r w:rsidRPr="00BF65BF">
        <w:rPr>
          <w:rFonts w:ascii="Times New Roman" w:hAnsi="Times New Roman"/>
          <w:szCs w:val="24"/>
        </w:rPr>
        <w:t>percentage of total number of transactions, the percentage of total value of transactions, and the average transaction value for exempt and not-exempt issuers obtained on the FR 3064b.  The Board has determined to release this information both because it can already be determined mathematically based on the information the Board currently releases on average interchange fees and because the Board believes the release of such information may be useful to issuers and merchants in choosing payment card networks in which to particulate and to policymakers in assessing the effect of Regulation II on the level of interchange fees received by issuers over time.</w:t>
      </w:r>
      <w:r>
        <w:rPr>
          <w:rFonts w:ascii="Times New Roman" w:hAnsi="Times New Roman"/>
          <w:szCs w:val="24"/>
        </w:rPr>
        <w:t xml:space="preserve">  </w:t>
      </w:r>
    </w:p>
    <w:p w14:paraId="167784CD" w14:textId="77777777" w:rsidR="00BF65BF" w:rsidRDefault="00BF65BF" w:rsidP="00BF65BF">
      <w:pPr>
        <w:widowControl/>
        <w:tabs>
          <w:tab w:val="left" w:pos="360"/>
        </w:tabs>
        <w:rPr>
          <w:rFonts w:ascii="Times New Roman" w:hAnsi="Times New Roman"/>
          <w:szCs w:val="24"/>
        </w:rPr>
      </w:pPr>
    </w:p>
    <w:p w14:paraId="70CB083C" w14:textId="1A9B1625" w:rsidR="002A79CC" w:rsidRPr="00BF65BF" w:rsidRDefault="00BF65BF" w:rsidP="007E202B">
      <w:pPr>
        <w:widowControl/>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Pr="00BF65BF">
        <w:rPr>
          <w:rFonts w:ascii="Times New Roman" w:hAnsi="Times New Roman"/>
        </w:rPr>
        <w:t xml:space="preserve">However, the remaining individual issuer and payment card information collected on these surveys can be kept confidential under exemption (b)(4) of the Freedom of Information Act (FOIA) because </w:t>
      </w:r>
      <w:r w:rsidRPr="00BF65BF">
        <w:rPr>
          <w:rFonts w:ascii="Times New Roman" w:hAnsi="Times New Roman"/>
          <w:szCs w:val="24"/>
        </w:rPr>
        <w:t xml:space="preserve">the Board believes </w:t>
      </w:r>
      <w:r w:rsidRPr="00BF65BF">
        <w:rPr>
          <w:rFonts w:ascii="Times New Roman" w:hAnsi="Times New Roman"/>
        </w:rPr>
        <w:t xml:space="preserve">that, if released, this information would cause substantial harm to the competitive position of the survey respondents.  </w:t>
      </w:r>
      <w:r w:rsidRPr="007E202B">
        <w:rPr>
          <w:rStyle w:val="ptext-2"/>
          <w:rFonts w:ascii="Times New Roman" w:hAnsi="Times New Roman"/>
          <w:color w:val="000000"/>
        </w:rPr>
        <w:t>5 U.S.C. § 552(b</w:t>
      </w:r>
      <w:proofErr w:type="gramStart"/>
      <w:r w:rsidRPr="007E202B">
        <w:rPr>
          <w:rStyle w:val="ptext-2"/>
          <w:rFonts w:ascii="Times New Roman" w:hAnsi="Times New Roman"/>
          <w:color w:val="000000"/>
        </w:rPr>
        <w:t>)(</w:t>
      </w:r>
      <w:proofErr w:type="gramEnd"/>
      <w:r w:rsidRPr="007E202B">
        <w:rPr>
          <w:rStyle w:val="ptext-2"/>
          <w:rFonts w:ascii="Times New Roman" w:hAnsi="Times New Roman"/>
          <w:color w:val="000000"/>
        </w:rPr>
        <w:t>4</w:t>
      </w:r>
      <w:r w:rsidRPr="00BF65BF">
        <w:rPr>
          <w:rStyle w:val="ptext-2"/>
          <w:rFonts w:ascii="Times New Roman" w:hAnsi="Times New Roman"/>
          <w:color w:val="000000"/>
          <w:szCs w:val="24"/>
        </w:rPr>
        <w:t>) (exempting</w:t>
      </w:r>
      <w:r w:rsidRPr="007E202B">
        <w:rPr>
          <w:rStyle w:val="ptext-2"/>
          <w:rFonts w:ascii="Times New Roman" w:hAnsi="Times New Roman"/>
          <w:color w:val="000000"/>
        </w:rPr>
        <w:t xml:space="preserve"> from disclosure </w:t>
      </w:r>
      <w:r w:rsidRPr="00BF65BF">
        <w:rPr>
          <w:rFonts w:ascii="Times New Roman" w:hAnsi="Times New Roman"/>
          <w:szCs w:val="24"/>
        </w:rPr>
        <w:t>“</w:t>
      </w:r>
      <w:r w:rsidRPr="007E202B">
        <w:rPr>
          <w:rStyle w:val="ptext-2"/>
          <w:rFonts w:ascii="Times New Roman" w:hAnsi="Times New Roman"/>
          <w:color w:val="000000"/>
        </w:rPr>
        <w:t>trade secrets and commercial or financial information obtained from a person and privileged or confidential</w:t>
      </w:r>
      <w:r w:rsidRPr="00BF65BF">
        <w:rPr>
          <w:rStyle w:val="ptext-2"/>
          <w:rFonts w:ascii="Times New Roman" w:hAnsi="Times New Roman"/>
          <w:color w:val="000000"/>
          <w:szCs w:val="24"/>
        </w:rPr>
        <w:t>”).</w:t>
      </w:r>
    </w:p>
    <w:p w14:paraId="1C9C03AE" w14:textId="1CE9D923" w:rsidR="006F3E3E" w:rsidRPr="00BF65BF" w:rsidRDefault="006F3E3E">
      <w:pPr>
        <w:widowControl/>
        <w:rPr>
          <w:rFonts w:ascii="Times New Roman" w:hAnsi="Times New Roman"/>
          <w:b/>
          <w:szCs w:val="24"/>
        </w:rPr>
      </w:pPr>
    </w:p>
    <w:p w14:paraId="0BE73901" w14:textId="2E054E5D" w:rsidR="00137E5C" w:rsidRPr="00DA37DD" w:rsidRDefault="00137E5C">
      <w:pPr>
        <w:widowControl/>
        <w:tabs>
          <w:tab w:val="left" w:pos="360"/>
        </w:tabs>
        <w:rPr>
          <w:rFonts w:ascii="Times New Roman" w:hAnsi="Times New Roman"/>
          <w:szCs w:val="24"/>
        </w:rPr>
      </w:pPr>
      <w:r w:rsidRPr="00DA37DD">
        <w:rPr>
          <w:rFonts w:ascii="Times New Roman" w:hAnsi="Times New Roman"/>
          <w:b/>
          <w:szCs w:val="24"/>
        </w:rPr>
        <w:t xml:space="preserve">Consultation </w:t>
      </w:r>
      <w:proofErr w:type="gramStart"/>
      <w:r w:rsidRPr="00DA37DD">
        <w:rPr>
          <w:rFonts w:ascii="Times New Roman" w:hAnsi="Times New Roman"/>
          <w:b/>
          <w:szCs w:val="24"/>
        </w:rPr>
        <w:t>Outside</w:t>
      </w:r>
      <w:proofErr w:type="gramEnd"/>
      <w:r w:rsidRPr="00DA37DD">
        <w:rPr>
          <w:rFonts w:ascii="Times New Roman" w:hAnsi="Times New Roman"/>
          <w:b/>
          <w:szCs w:val="24"/>
        </w:rPr>
        <w:t xml:space="preserve"> the Agency</w:t>
      </w:r>
    </w:p>
    <w:p w14:paraId="0BE73902" w14:textId="77777777" w:rsidR="00137E5C" w:rsidRPr="00013BD5" w:rsidRDefault="00137E5C">
      <w:pPr>
        <w:widowControl/>
        <w:tabs>
          <w:tab w:val="left" w:pos="360"/>
        </w:tabs>
        <w:rPr>
          <w:rFonts w:ascii="Times New Roman" w:hAnsi="Times New Roman"/>
          <w:szCs w:val="24"/>
        </w:rPr>
      </w:pPr>
    </w:p>
    <w:p w14:paraId="3F2ADC9C" w14:textId="63057D22" w:rsidR="007110C5" w:rsidRPr="004809A7" w:rsidRDefault="0001407A" w:rsidP="00013BD5">
      <w:pPr>
        <w:ind w:firstLine="720"/>
        <w:rPr>
          <w:rFonts w:ascii="Times New Roman" w:hAnsi="Times New Roman"/>
          <w:color w:val="000000"/>
          <w:szCs w:val="24"/>
        </w:rPr>
      </w:pPr>
      <w:r w:rsidRPr="00013BD5">
        <w:rPr>
          <w:rFonts w:ascii="Times New Roman" w:hAnsi="Times New Roman"/>
          <w:szCs w:val="24"/>
        </w:rPr>
        <w:t xml:space="preserve">The Federal Reserve </w:t>
      </w:r>
      <w:r w:rsidR="007110C5" w:rsidRPr="00013BD5">
        <w:rPr>
          <w:rFonts w:ascii="Times New Roman" w:hAnsi="Times New Roman"/>
          <w:color w:val="000000"/>
          <w:szCs w:val="24"/>
        </w:rPr>
        <w:t xml:space="preserve">consulted with debit card issuers and payment card networks </w:t>
      </w:r>
      <w:r w:rsidR="002E13D6" w:rsidRPr="004809A7">
        <w:rPr>
          <w:rFonts w:ascii="Times New Roman" w:hAnsi="Times New Roman"/>
          <w:color w:val="000000"/>
          <w:szCs w:val="24"/>
        </w:rPr>
        <w:t xml:space="preserve">through the public comment phase of the current versions of FR 3064a and </w:t>
      </w:r>
      <w:r w:rsidR="00602BAE" w:rsidRPr="004809A7">
        <w:rPr>
          <w:rFonts w:ascii="Times New Roman" w:hAnsi="Times New Roman"/>
          <w:color w:val="000000"/>
          <w:szCs w:val="24"/>
        </w:rPr>
        <w:t xml:space="preserve">FR </w:t>
      </w:r>
      <w:r w:rsidR="00F933CC" w:rsidRPr="004809A7">
        <w:rPr>
          <w:rFonts w:ascii="Times New Roman" w:hAnsi="Times New Roman"/>
          <w:color w:val="000000"/>
          <w:szCs w:val="24"/>
        </w:rPr>
        <w:t>3064</w:t>
      </w:r>
      <w:r w:rsidR="002E13D6" w:rsidRPr="004809A7">
        <w:rPr>
          <w:rFonts w:ascii="Times New Roman" w:hAnsi="Times New Roman"/>
          <w:color w:val="000000"/>
          <w:szCs w:val="24"/>
        </w:rPr>
        <w:t>b.</w:t>
      </w:r>
      <w:r w:rsidR="00602BAE" w:rsidRPr="004809A7">
        <w:rPr>
          <w:rFonts w:ascii="Times New Roman" w:hAnsi="Times New Roman"/>
          <w:color w:val="000000"/>
          <w:szCs w:val="24"/>
        </w:rPr>
        <w:t xml:space="preserve">  </w:t>
      </w:r>
      <w:r w:rsidR="00602BAE" w:rsidRPr="004809A7">
        <w:rPr>
          <w:rFonts w:ascii="Times New Roman" w:hAnsi="Times New Roman"/>
          <w:szCs w:val="24"/>
        </w:rPr>
        <w:t xml:space="preserve">On October </w:t>
      </w:r>
      <w:r w:rsidR="00D33810" w:rsidRPr="004809A7">
        <w:rPr>
          <w:rFonts w:ascii="Times New Roman" w:hAnsi="Times New Roman"/>
          <w:szCs w:val="24"/>
        </w:rPr>
        <w:t>18</w:t>
      </w:r>
      <w:r w:rsidR="00602BAE" w:rsidRPr="004809A7">
        <w:rPr>
          <w:rFonts w:ascii="Times New Roman" w:hAnsi="Times New Roman"/>
          <w:szCs w:val="24"/>
        </w:rPr>
        <w:t xml:space="preserve"> 2013, the Federal Reserve published a notice in the </w:t>
      </w:r>
      <w:r w:rsidR="00602BAE" w:rsidRPr="004809A7">
        <w:rPr>
          <w:rFonts w:ascii="Times New Roman" w:hAnsi="Times New Roman"/>
          <w:i/>
          <w:szCs w:val="24"/>
        </w:rPr>
        <w:t>Federal Register</w:t>
      </w:r>
      <w:r w:rsidR="00602BAE" w:rsidRPr="004809A7">
        <w:rPr>
          <w:rFonts w:ascii="Times New Roman" w:hAnsi="Times New Roman"/>
          <w:szCs w:val="24"/>
        </w:rPr>
        <w:t xml:space="preserve"> (78 FR </w:t>
      </w:r>
      <w:r w:rsidR="00D33810" w:rsidRPr="004809A7">
        <w:rPr>
          <w:rFonts w:ascii="Times New Roman" w:hAnsi="Times New Roman"/>
          <w:szCs w:val="24"/>
        </w:rPr>
        <w:t>62352</w:t>
      </w:r>
      <w:r w:rsidR="00602BAE" w:rsidRPr="004809A7">
        <w:rPr>
          <w:rFonts w:ascii="Times New Roman" w:hAnsi="Times New Roman"/>
          <w:szCs w:val="24"/>
        </w:rPr>
        <w:t>) requesting public comment for 60 days on the proposal to extend, with revision, the FR 3064a and b information collection.  The comment period for this notice expire</w:t>
      </w:r>
      <w:r w:rsidR="00013BD5" w:rsidRPr="004809A7">
        <w:rPr>
          <w:rFonts w:ascii="Times New Roman" w:hAnsi="Times New Roman"/>
          <w:szCs w:val="24"/>
        </w:rPr>
        <w:t>d</w:t>
      </w:r>
      <w:r w:rsidR="00602BAE" w:rsidRPr="004809A7">
        <w:rPr>
          <w:rFonts w:ascii="Times New Roman" w:hAnsi="Times New Roman"/>
          <w:szCs w:val="24"/>
        </w:rPr>
        <w:t xml:space="preserve"> on December </w:t>
      </w:r>
      <w:r w:rsidR="00D33810" w:rsidRPr="004809A7">
        <w:rPr>
          <w:rFonts w:ascii="Times New Roman" w:hAnsi="Times New Roman"/>
          <w:szCs w:val="24"/>
        </w:rPr>
        <w:t>17</w:t>
      </w:r>
      <w:r w:rsidR="00602BAE" w:rsidRPr="004809A7">
        <w:rPr>
          <w:rFonts w:ascii="Times New Roman" w:hAnsi="Times New Roman"/>
          <w:szCs w:val="24"/>
        </w:rPr>
        <w:t>, 2013</w:t>
      </w:r>
      <w:r w:rsidR="00013BD5" w:rsidRPr="004809A7">
        <w:rPr>
          <w:rFonts w:ascii="Times New Roman" w:hAnsi="Times New Roman"/>
          <w:szCs w:val="24"/>
        </w:rPr>
        <w:t xml:space="preserve">.  </w:t>
      </w:r>
      <w:r w:rsidR="00013BD5" w:rsidRPr="004809A7">
        <w:rPr>
          <w:rFonts w:ascii="Times New Roman" w:hAnsi="Times New Roman"/>
          <w:color w:val="000000"/>
          <w:szCs w:val="24"/>
        </w:rPr>
        <w:t>The Board received five comment letters addressing the proposed revisions to these surveys</w:t>
      </w:r>
      <w:r w:rsidR="004809A7" w:rsidRPr="004809A7">
        <w:rPr>
          <w:rFonts w:ascii="Times New Roman" w:hAnsi="Times New Roman"/>
          <w:color w:val="000000"/>
          <w:szCs w:val="24"/>
        </w:rPr>
        <w:t xml:space="preserve">; however, </w:t>
      </w:r>
      <w:r w:rsidR="004809A7" w:rsidRPr="004809A7">
        <w:rPr>
          <w:rFonts w:ascii="Times New Roman" w:hAnsi="Times New Roman"/>
          <w:szCs w:val="24"/>
        </w:rPr>
        <w:t>no comments specifically addressed current or proposed</w:t>
      </w:r>
      <w:r w:rsidR="004809A7" w:rsidRPr="004809A7">
        <w:rPr>
          <w:rStyle w:val="documentbody1"/>
          <w:rFonts w:ascii="Times New Roman" w:hAnsi="Times New Roman"/>
          <w:color w:val="000000"/>
          <w:sz w:val="24"/>
          <w:szCs w:val="24"/>
        </w:rPr>
        <w:t xml:space="preserve"> paperwork burden estimates.</w:t>
      </w:r>
      <w:r w:rsidR="00013BD5" w:rsidRPr="004809A7">
        <w:rPr>
          <w:rFonts w:ascii="Times New Roman" w:hAnsi="Times New Roman"/>
          <w:color w:val="000000"/>
          <w:szCs w:val="24"/>
        </w:rPr>
        <w:t xml:space="preserve">  </w:t>
      </w:r>
      <w:r w:rsidR="00013BD5" w:rsidRPr="004809A7">
        <w:rPr>
          <w:rFonts w:ascii="Times New Roman" w:hAnsi="Times New Roman"/>
          <w:szCs w:val="24"/>
        </w:rPr>
        <w:t xml:space="preserve">On January 15, 2014, the Federal Reserve published a final notice in the </w:t>
      </w:r>
      <w:r w:rsidR="00013BD5" w:rsidRPr="004809A7">
        <w:rPr>
          <w:rFonts w:ascii="Times New Roman" w:hAnsi="Times New Roman"/>
          <w:i/>
          <w:szCs w:val="24"/>
        </w:rPr>
        <w:t>Federal Register</w:t>
      </w:r>
      <w:r w:rsidR="00013BD5" w:rsidRPr="004809A7">
        <w:rPr>
          <w:rFonts w:ascii="Times New Roman" w:hAnsi="Times New Roman"/>
          <w:szCs w:val="24"/>
        </w:rPr>
        <w:t xml:space="preserve"> (79 FR 2659) discussing in detail of the comments received</w:t>
      </w:r>
      <w:r w:rsidR="004809A7" w:rsidRPr="004809A7">
        <w:rPr>
          <w:rFonts w:ascii="Times New Roman" w:hAnsi="Times New Roman"/>
          <w:szCs w:val="24"/>
        </w:rPr>
        <w:t xml:space="preserve"> adopting the revisions largely as proposed </w:t>
      </w:r>
      <w:r w:rsidR="004809A7">
        <w:rPr>
          <w:rFonts w:ascii="Times New Roman" w:hAnsi="Times New Roman"/>
          <w:szCs w:val="24"/>
        </w:rPr>
        <w:t xml:space="preserve">for the </w:t>
      </w:r>
      <w:r w:rsidR="004809A7" w:rsidRPr="004809A7">
        <w:rPr>
          <w:rFonts w:ascii="Times New Roman" w:hAnsi="Times New Roman"/>
        </w:rPr>
        <w:t>calendar year 2013 survey</w:t>
      </w:r>
      <w:r w:rsidR="004809A7">
        <w:rPr>
          <w:rFonts w:ascii="Times New Roman" w:hAnsi="Times New Roman"/>
        </w:rPr>
        <w:t>.</w:t>
      </w:r>
    </w:p>
    <w:p w14:paraId="0BE73904" w14:textId="77777777" w:rsidR="00137E5C" w:rsidRPr="004809A7" w:rsidRDefault="00137E5C" w:rsidP="004D01DE">
      <w:pPr>
        <w:ind w:firstLine="720"/>
        <w:rPr>
          <w:rFonts w:ascii="Times New Roman" w:hAnsi="Times New Roman"/>
          <w:szCs w:val="24"/>
        </w:rPr>
      </w:pPr>
    </w:p>
    <w:p w14:paraId="2DBE9434" w14:textId="77777777" w:rsidR="00013BD5" w:rsidRPr="004809A7" w:rsidRDefault="00013BD5">
      <w:pPr>
        <w:widowControl/>
        <w:rPr>
          <w:rFonts w:ascii="Times New Roman" w:hAnsi="Times New Roman"/>
          <w:b/>
          <w:szCs w:val="24"/>
        </w:rPr>
      </w:pPr>
      <w:r w:rsidRPr="004809A7">
        <w:rPr>
          <w:rFonts w:ascii="Times New Roman" w:hAnsi="Times New Roman"/>
          <w:b/>
          <w:szCs w:val="24"/>
        </w:rPr>
        <w:br w:type="page"/>
      </w:r>
    </w:p>
    <w:p w14:paraId="0BE73905" w14:textId="44CDFF0E" w:rsidR="00137E5C" w:rsidRPr="00013BD5" w:rsidRDefault="00137E5C" w:rsidP="00FC3953">
      <w:pPr>
        <w:widowControl/>
        <w:rPr>
          <w:rFonts w:ascii="Times New Roman" w:hAnsi="Times New Roman"/>
          <w:szCs w:val="24"/>
        </w:rPr>
      </w:pPr>
      <w:r w:rsidRPr="00013BD5">
        <w:rPr>
          <w:rFonts w:ascii="Times New Roman" w:hAnsi="Times New Roman"/>
          <w:b/>
          <w:szCs w:val="24"/>
        </w:rPr>
        <w:lastRenderedPageBreak/>
        <w:t>Estimate of Respondent Burden</w:t>
      </w:r>
    </w:p>
    <w:p w14:paraId="0BE73906" w14:textId="77777777" w:rsidR="00137E5C" w:rsidRPr="00013BD5" w:rsidRDefault="00137E5C">
      <w:pPr>
        <w:widowControl/>
        <w:tabs>
          <w:tab w:val="left" w:pos="360"/>
        </w:tabs>
        <w:rPr>
          <w:rFonts w:ascii="Times New Roman" w:hAnsi="Times New Roman"/>
          <w:szCs w:val="24"/>
        </w:rPr>
      </w:pPr>
    </w:p>
    <w:p w14:paraId="615281B5" w14:textId="612D8F0C" w:rsidR="0012616B" w:rsidRDefault="0020625D" w:rsidP="00C304E1">
      <w:pPr>
        <w:widowControl/>
        <w:ind w:firstLine="720"/>
        <w:rPr>
          <w:rFonts w:ascii="Times New Roman" w:hAnsi="Times New Roman"/>
          <w:szCs w:val="24"/>
        </w:rPr>
      </w:pPr>
      <w:r w:rsidRPr="00DA37DD">
        <w:rPr>
          <w:rFonts w:ascii="Times New Roman" w:hAnsi="Times New Roman"/>
          <w:szCs w:val="24"/>
        </w:rPr>
        <w:t xml:space="preserve">The current </w:t>
      </w:r>
      <w:r w:rsidRPr="00DA37DD">
        <w:rPr>
          <w:rFonts w:ascii="Times New Roman" w:hAnsi="Times New Roman"/>
          <w:color w:val="000000"/>
          <w:szCs w:val="24"/>
        </w:rPr>
        <w:t xml:space="preserve">annual reporting burden for the surveys is estimated to be 90,630 hours, </w:t>
      </w:r>
      <w:r>
        <w:rPr>
          <w:rFonts w:ascii="Times New Roman" w:hAnsi="Times New Roman"/>
        </w:rPr>
        <w:t xml:space="preserve">and would increase to </w:t>
      </w:r>
      <w:r w:rsidR="00A11DF6">
        <w:rPr>
          <w:rFonts w:ascii="Times New Roman" w:hAnsi="Times New Roman"/>
        </w:rPr>
        <w:t>112</w:t>
      </w:r>
      <w:r>
        <w:rPr>
          <w:rFonts w:ascii="Times New Roman" w:hAnsi="Times New Roman"/>
        </w:rPr>
        <w:t>,</w:t>
      </w:r>
      <w:r w:rsidR="00A11DF6">
        <w:rPr>
          <w:rFonts w:ascii="Times New Roman" w:hAnsi="Times New Roman"/>
        </w:rPr>
        <w:t>98</w:t>
      </w:r>
      <w:r>
        <w:rPr>
          <w:rFonts w:ascii="Times New Roman" w:hAnsi="Times New Roman"/>
        </w:rPr>
        <w:t xml:space="preserve">6 hours as shown in the following table.  </w:t>
      </w:r>
      <w:r w:rsidRPr="00A33109">
        <w:rPr>
          <w:rFonts w:ascii="Times New Roman" w:hAnsi="Times New Roman"/>
          <w:color w:val="000000"/>
          <w:szCs w:val="24"/>
        </w:rPr>
        <w:t xml:space="preserve">The proposed revisions to the FR 3064a would result in a net increase of </w:t>
      </w:r>
      <w:r w:rsidR="00FC50CB">
        <w:rPr>
          <w:rFonts w:ascii="Times New Roman" w:hAnsi="Times New Roman"/>
          <w:color w:val="000000"/>
          <w:szCs w:val="24"/>
        </w:rPr>
        <w:t>13</w:t>
      </w:r>
      <w:r w:rsidR="00FC50CB" w:rsidRPr="00A33109">
        <w:rPr>
          <w:rFonts w:ascii="Times New Roman" w:hAnsi="Times New Roman"/>
          <w:color w:val="000000"/>
          <w:szCs w:val="24"/>
        </w:rPr>
        <w:t xml:space="preserve"> </w:t>
      </w:r>
      <w:r w:rsidRPr="00A33109">
        <w:rPr>
          <w:rFonts w:ascii="Times New Roman" w:hAnsi="Times New Roman"/>
          <w:color w:val="000000"/>
          <w:szCs w:val="24"/>
        </w:rPr>
        <w:t>data items</w:t>
      </w:r>
      <w:r w:rsidR="00FC50CB">
        <w:rPr>
          <w:rFonts w:ascii="Times New Roman" w:hAnsi="Times New Roman"/>
          <w:color w:val="000000"/>
          <w:szCs w:val="24"/>
        </w:rPr>
        <w:t xml:space="preserve"> (associated with</w:t>
      </w:r>
      <w:r w:rsidRPr="00A33109">
        <w:rPr>
          <w:rFonts w:ascii="Times New Roman" w:hAnsi="Times New Roman"/>
          <w:color w:val="000000"/>
          <w:szCs w:val="24"/>
        </w:rPr>
        <w:t xml:space="preserve"> the addition of </w:t>
      </w:r>
      <w:r w:rsidR="00FC50CB">
        <w:rPr>
          <w:rFonts w:ascii="Times New Roman" w:hAnsi="Times New Roman"/>
          <w:color w:val="000000"/>
          <w:szCs w:val="24"/>
        </w:rPr>
        <w:t>16 break outs of data items</w:t>
      </w:r>
      <w:r w:rsidRPr="00A33109">
        <w:rPr>
          <w:rFonts w:ascii="Times New Roman" w:hAnsi="Times New Roman"/>
          <w:color w:val="000000"/>
          <w:szCs w:val="24"/>
        </w:rPr>
        <w:t xml:space="preserve"> and the deletion of </w:t>
      </w:r>
      <w:r w:rsidR="00FC50CB">
        <w:rPr>
          <w:rFonts w:ascii="Times New Roman" w:hAnsi="Times New Roman"/>
          <w:color w:val="000000"/>
          <w:szCs w:val="24"/>
        </w:rPr>
        <w:t>3</w:t>
      </w:r>
      <w:r w:rsidR="00FC50CB" w:rsidRPr="00A33109">
        <w:rPr>
          <w:rFonts w:ascii="Times New Roman" w:hAnsi="Times New Roman"/>
          <w:color w:val="000000"/>
          <w:szCs w:val="24"/>
        </w:rPr>
        <w:t xml:space="preserve"> </w:t>
      </w:r>
      <w:r w:rsidRPr="00A33109">
        <w:rPr>
          <w:rFonts w:ascii="Times New Roman" w:hAnsi="Times New Roman"/>
          <w:color w:val="000000"/>
          <w:szCs w:val="24"/>
        </w:rPr>
        <w:t>data items</w:t>
      </w:r>
      <w:r w:rsidR="00FC50CB">
        <w:rPr>
          <w:rFonts w:ascii="Times New Roman" w:hAnsi="Times New Roman"/>
          <w:color w:val="000000"/>
          <w:szCs w:val="24"/>
        </w:rPr>
        <w:t>)</w:t>
      </w:r>
      <w:r w:rsidRPr="00A33109">
        <w:rPr>
          <w:rFonts w:ascii="Times New Roman" w:hAnsi="Times New Roman"/>
          <w:color w:val="000000"/>
          <w:szCs w:val="24"/>
        </w:rPr>
        <w:t xml:space="preserve">.  </w:t>
      </w:r>
      <w:r w:rsidR="00FC50CB">
        <w:rPr>
          <w:rFonts w:ascii="Times New Roman" w:hAnsi="Times New Roman"/>
          <w:color w:val="000000"/>
          <w:szCs w:val="24"/>
        </w:rPr>
        <w:t xml:space="preserve">Therefore, </w:t>
      </w:r>
      <w:r w:rsidR="0001407A">
        <w:rPr>
          <w:rFonts w:ascii="Times New Roman" w:hAnsi="Times New Roman"/>
          <w:color w:val="000000"/>
          <w:szCs w:val="24"/>
        </w:rPr>
        <w:t>t</w:t>
      </w:r>
      <w:r w:rsidR="0001407A">
        <w:rPr>
          <w:rFonts w:ascii="Times New Roman" w:hAnsi="Times New Roman"/>
          <w:szCs w:val="24"/>
        </w:rPr>
        <w:t>he Federal Reserve</w:t>
      </w:r>
      <w:r w:rsidR="0001407A" w:rsidRPr="0001407A">
        <w:rPr>
          <w:rFonts w:ascii="Times New Roman" w:hAnsi="Times New Roman"/>
          <w:szCs w:val="24"/>
        </w:rPr>
        <w:t xml:space="preserve"> </w:t>
      </w:r>
      <w:r w:rsidR="00FC50CB">
        <w:rPr>
          <w:rFonts w:ascii="Times New Roman" w:hAnsi="Times New Roman"/>
        </w:rPr>
        <w:t xml:space="preserve">estimates the average hours per response for the </w:t>
      </w:r>
      <w:r w:rsidR="00FC50CB">
        <w:rPr>
          <w:rFonts w:ascii="Times New Roman" w:hAnsi="Times New Roman"/>
          <w:szCs w:val="24"/>
        </w:rPr>
        <w:t xml:space="preserve">558 </w:t>
      </w:r>
      <w:r w:rsidR="00FC50CB" w:rsidRPr="00DA37DD">
        <w:rPr>
          <w:rFonts w:ascii="Times New Roman" w:hAnsi="Times New Roman"/>
          <w:szCs w:val="24"/>
        </w:rPr>
        <w:t>issuers</w:t>
      </w:r>
      <w:r w:rsidR="00FC50CB">
        <w:rPr>
          <w:rFonts w:ascii="Times New Roman" w:hAnsi="Times New Roman"/>
          <w:szCs w:val="24"/>
        </w:rPr>
        <w:t xml:space="preserve"> </w:t>
      </w:r>
      <w:r w:rsidR="00FC50CB">
        <w:rPr>
          <w:rFonts w:ascii="Times New Roman" w:hAnsi="Times New Roman"/>
        </w:rPr>
        <w:t xml:space="preserve">would increase from 160 hours to 200 hours.  </w:t>
      </w:r>
      <w:r w:rsidR="00FC50CB" w:rsidRPr="00DA37DD">
        <w:rPr>
          <w:rFonts w:ascii="Times New Roman" w:hAnsi="Times New Roman"/>
          <w:szCs w:val="24"/>
        </w:rPr>
        <w:t xml:space="preserve">The estimated burden, however, would likely be lower for the </w:t>
      </w:r>
      <w:r w:rsidR="00FC50CB">
        <w:rPr>
          <w:rFonts w:ascii="Times New Roman" w:hAnsi="Times New Roman"/>
          <w:szCs w:val="24"/>
        </w:rPr>
        <w:t>FR 3064a</w:t>
      </w:r>
      <w:r w:rsidR="00FC50CB" w:rsidRPr="00DA37DD">
        <w:rPr>
          <w:rFonts w:ascii="Times New Roman" w:hAnsi="Times New Roman"/>
          <w:szCs w:val="24"/>
        </w:rPr>
        <w:t xml:space="preserve"> if holding companies consolidate the responses of their individual issuer subsidiaries.  </w:t>
      </w:r>
      <w:r w:rsidRPr="00A33109">
        <w:rPr>
          <w:rFonts w:ascii="Times New Roman" w:hAnsi="Times New Roman"/>
          <w:color w:val="000000"/>
          <w:szCs w:val="24"/>
        </w:rPr>
        <w:t xml:space="preserve">The proposed revisions to the FR 3064b would result in a net decrease of </w:t>
      </w:r>
      <w:r w:rsidR="00FC50CB">
        <w:rPr>
          <w:rFonts w:ascii="Times New Roman" w:hAnsi="Times New Roman"/>
          <w:color w:val="000000"/>
          <w:szCs w:val="24"/>
        </w:rPr>
        <w:t>12</w:t>
      </w:r>
      <w:r w:rsidR="00FC50CB" w:rsidRPr="00A33109">
        <w:rPr>
          <w:rFonts w:ascii="Times New Roman" w:hAnsi="Times New Roman"/>
          <w:color w:val="000000"/>
          <w:szCs w:val="24"/>
        </w:rPr>
        <w:t xml:space="preserve"> </w:t>
      </w:r>
      <w:r w:rsidRPr="00A33109">
        <w:rPr>
          <w:rFonts w:ascii="Times New Roman" w:hAnsi="Times New Roman"/>
          <w:color w:val="000000"/>
          <w:szCs w:val="24"/>
        </w:rPr>
        <w:t>data items</w:t>
      </w:r>
      <w:r w:rsidR="00FC50CB">
        <w:rPr>
          <w:rFonts w:ascii="Times New Roman" w:hAnsi="Times New Roman"/>
          <w:color w:val="000000"/>
          <w:szCs w:val="24"/>
        </w:rPr>
        <w:t xml:space="preserve"> (associated with </w:t>
      </w:r>
      <w:r w:rsidRPr="00A33109">
        <w:rPr>
          <w:rFonts w:ascii="Times New Roman" w:hAnsi="Times New Roman"/>
          <w:color w:val="000000"/>
          <w:szCs w:val="24"/>
        </w:rPr>
        <w:t xml:space="preserve">the addition of </w:t>
      </w:r>
      <w:r w:rsidR="00FC50CB">
        <w:rPr>
          <w:rFonts w:ascii="Times New Roman" w:hAnsi="Times New Roman"/>
          <w:color w:val="000000"/>
          <w:szCs w:val="24"/>
        </w:rPr>
        <w:t>6</w:t>
      </w:r>
      <w:r w:rsidR="00FC50CB" w:rsidRPr="00A33109">
        <w:rPr>
          <w:rFonts w:ascii="Times New Roman" w:hAnsi="Times New Roman"/>
          <w:color w:val="000000"/>
          <w:szCs w:val="24"/>
        </w:rPr>
        <w:t xml:space="preserve"> </w:t>
      </w:r>
      <w:r w:rsidRPr="00A33109">
        <w:rPr>
          <w:rFonts w:ascii="Times New Roman" w:hAnsi="Times New Roman"/>
          <w:color w:val="000000"/>
          <w:szCs w:val="24"/>
        </w:rPr>
        <w:t xml:space="preserve">data items and the deletion of </w:t>
      </w:r>
      <w:r w:rsidR="00FC50CB">
        <w:rPr>
          <w:rFonts w:ascii="Times New Roman" w:hAnsi="Times New Roman"/>
          <w:color w:val="000000"/>
          <w:szCs w:val="24"/>
        </w:rPr>
        <w:t>18</w:t>
      </w:r>
      <w:r w:rsidR="00FC50CB" w:rsidRPr="00A33109">
        <w:rPr>
          <w:rFonts w:ascii="Times New Roman" w:hAnsi="Times New Roman"/>
          <w:color w:val="000000"/>
          <w:szCs w:val="24"/>
        </w:rPr>
        <w:t xml:space="preserve"> </w:t>
      </w:r>
      <w:r w:rsidRPr="00A33109">
        <w:rPr>
          <w:rFonts w:ascii="Times New Roman" w:hAnsi="Times New Roman"/>
          <w:color w:val="000000"/>
          <w:szCs w:val="24"/>
        </w:rPr>
        <w:t>data items</w:t>
      </w:r>
      <w:r w:rsidR="00FC50CB">
        <w:rPr>
          <w:rFonts w:ascii="Times New Roman" w:hAnsi="Times New Roman"/>
          <w:color w:val="000000"/>
          <w:szCs w:val="24"/>
        </w:rPr>
        <w:t>)</w:t>
      </w:r>
      <w:r w:rsidRPr="00A33109">
        <w:rPr>
          <w:rFonts w:ascii="Times New Roman" w:hAnsi="Times New Roman"/>
          <w:color w:val="000000"/>
          <w:szCs w:val="24"/>
        </w:rPr>
        <w:t>.</w:t>
      </w:r>
      <w:r>
        <w:rPr>
          <w:rFonts w:ascii="Times New Roman" w:hAnsi="Times New Roman"/>
          <w:color w:val="000000"/>
          <w:szCs w:val="24"/>
        </w:rPr>
        <w:t xml:space="preserve">  </w:t>
      </w:r>
      <w:r w:rsidR="0001407A">
        <w:rPr>
          <w:rFonts w:ascii="Times New Roman" w:hAnsi="Times New Roman"/>
          <w:szCs w:val="24"/>
        </w:rPr>
        <w:t>The Federal Reserve</w:t>
      </w:r>
      <w:r w:rsidR="0001407A" w:rsidRPr="0001407A">
        <w:rPr>
          <w:rFonts w:ascii="Times New Roman" w:hAnsi="Times New Roman"/>
          <w:szCs w:val="24"/>
        </w:rPr>
        <w:t xml:space="preserve"> </w:t>
      </w:r>
      <w:r>
        <w:rPr>
          <w:rFonts w:ascii="Times New Roman" w:hAnsi="Times New Roman"/>
        </w:rPr>
        <w:t>estimates</w:t>
      </w:r>
      <w:r w:rsidR="00B62554">
        <w:rPr>
          <w:rFonts w:ascii="Times New Roman" w:hAnsi="Times New Roman"/>
        </w:rPr>
        <w:t xml:space="preserve"> that, although </w:t>
      </w:r>
      <w:r w:rsidR="00885042">
        <w:rPr>
          <w:rFonts w:ascii="Times New Roman" w:hAnsi="Times New Roman"/>
        </w:rPr>
        <w:t xml:space="preserve">the proposed revisions result in </w:t>
      </w:r>
      <w:r w:rsidR="00B62554">
        <w:rPr>
          <w:rFonts w:ascii="Times New Roman" w:hAnsi="Times New Roman"/>
        </w:rPr>
        <w:t xml:space="preserve">a net decrease in the total number of </w:t>
      </w:r>
      <w:r w:rsidR="00FC69B9">
        <w:rPr>
          <w:rFonts w:ascii="Times New Roman" w:hAnsi="Times New Roman"/>
        </w:rPr>
        <w:t xml:space="preserve">FR 3064b </w:t>
      </w:r>
      <w:r w:rsidR="00B62554">
        <w:rPr>
          <w:rFonts w:ascii="Times New Roman" w:hAnsi="Times New Roman"/>
        </w:rPr>
        <w:t xml:space="preserve">data items, </w:t>
      </w:r>
      <w:r w:rsidR="00606AD7">
        <w:rPr>
          <w:rFonts w:ascii="Times New Roman" w:hAnsi="Times New Roman"/>
        </w:rPr>
        <w:t xml:space="preserve">there would be no change to </w:t>
      </w:r>
      <w:r>
        <w:rPr>
          <w:rFonts w:ascii="Times New Roman" w:hAnsi="Times New Roman"/>
        </w:rPr>
        <w:t xml:space="preserve">the average hours per response </w:t>
      </w:r>
      <w:r w:rsidR="00606AD7">
        <w:rPr>
          <w:rFonts w:ascii="Times New Roman" w:hAnsi="Times New Roman"/>
        </w:rPr>
        <w:t xml:space="preserve">of 75 hours.  </w:t>
      </w:r>
      <w:r w:rsidR="0001407A">
        <w:rPr>
          <w:rFonts w:ascii="Times New Roman" w:hAnsi="Times New Roman"/>
          <w:szCs w:val="24"/>
        </w:rPr>
        <w:t>The Federal Reserve</w:t>
      </w:r>
      <w:r w:rsidR="00606AD7">
        <w:rPr>
          <w:rFonts w:ascii="Times New Roman" w:hAnsi="Times New Roman"/>
        </w:rPr>
        <w:t xml:space="preserve"> believes that the proposed breakouts are readily available and any additional burden associated with these breakouts would be offset by the deleted data items. </w:t>
      </w:r>
      <w:r>
        <w:rPr>
          <w:rFonts w:ascii="Times New Roman" w:hAnsi="Times New Roman"/>
        </w:rPr>
        <w:t xml:space="preserve"> </w:t>
      </w:r>
      <w:r w:rsidRPr="00DA37DD">
        <w:rPr>
          <w:rFonts w:ascii="Times New Roman" w:hAnsi="Times New Roman"/>
          <w:szCs w:val="24"/>
        </w:rPr>
        <w:t xml:space="preserve">The </w:t>
      </w:r>
      <w:r>
        <w:rPr>
          <w:rFonts w:ascii="Times New Roman" w:hAnsi="Times New Roman"/>
          <w:szCs w:val="24"/>
        </w:rPr>
        <w:t xml:space="preserve">proposed </w:t>
      </w:r>
      <w:r w:rsidRPr="00DA37DD">
        <w:rPr>
          <w:rFonts w:ascii="Times New Roman" w:hAnsi="Times New Roman"/>
          <w:szCs w:val="24"/>
        </w:rPr>
        <w:t>total burden represents less than 1 percent of the total Federal Reserve System paperwork burden for all reports.</w:t>
      </w:r>
    </w:p>
    <w:p w14:paraId="42E49FA7" w14:textId="77777777" w:rsidR="00DA37DD" w:rsidRPr="00DA37DD" w:rsidRDefault="00DA37DD" w:rsidP="009A77EC">
      <w:pPr>
        <w:widowControl/>
        <w:ind w:firstLine="720"/>
        <w:rPr>
          <w:rFonts w:ascii="Times New Roman" w:hAnsi="Times New Roman"/>
          <w:szCs w:val="24"/>
        </w:rPr>
      </w:pPr>
    </w:p>
    <w:tbl>
      <w:tblPr>
        <w:tblStyle w:val="TableGrid"/>
        <w:tblW w:w="9090" w:type="dxa"/>
        <w:tblInd w:w="10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440"/>
        <w:gridCol w:w="1170"/>
        <w:gridCol w:w="1350"/>
        <w:gridCol w:w="1440"/>
      </w:tblGrid>
      <w:tr w:rsidR="00CF46C9" w:rsidRPr="00DA37DD" w14:paraId="55B0CF6C" w14:textId="77777777" w:rsidTr="00CF46C9">
        <w:tc>
          <w:tcPr>
            <w:tcW w:w="3690" w:type="dxa"/>
            <w:shd w:val="clear" w:color="auto" w:fill="auto"/>
            <w:vAlign w:val="center"/>
          </w:tcPr>
          <w:p w14:paraId="04E79F72" w14:textId="771AD88D" w:rsidR="00CF46C9" w:rsidRPr="00DA37DD" w:rsidRDefault="00CF46C9" w:rsidP="003E1C8E">
            <w:pPr>
              <w:tabs>
                <w:tab w:val="left" w:pos="0"/>
                <w:tab w:val="left" w:pos="2220"/>
              </w:tabs>
              <w:jc w:val="center"/>
              <w:rPr>
                <w:rFonts w:ascii="Times New Roman" w:hAnsi="Times New Roman"/>
                <w:i/>
                <w:color w:val="000000"/>
                <w:szCs w:val="24"/>
              </w:rPr>
            </w:pPr>
          </w:p>
        </w:tc>
        <w:tc>
          <w:tcPr>
            <w:tcW w:w="1440" w:type="dxa"/>
            <w:shd w:val="clear" w:color="auto" w:fill="auto"/>
            <w:vAlign w:val="center"/>
          </w:tcPr>
          <w:p w14:paraId="44DC9B2D" w14:textId="77777777"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Estimated number</w:t>
            </w:r>
          </w:p>
          <w:p w14:paraId="5E39E11E" w14:textId="77777777"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of</w:t>
            </w:r>
          </w:p>
          <w:p w14:paraId="6D7E1895" w14:textId="77777777"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respondents</w:t>
            </w:r>
          </w:p>
        </w:tc>
        <w:tc>
          <w:tcPr>
            <w:tcW w:w="1170" w:type="dxa"/>
            <w:shd w:val="clear" w:color="auto" w:fill="auto"/>
            <w:vAlign w:val="center"/>
          </w:tcPr>
          <w:p w14:paraId="1982006C" w14:textId="77777777"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 xml:space="preserve">Annual </w:t>
            </w:r>
          </w:p>
          <w:p w14:paraId="2B56DF1D" w14:textId="77777777"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frequency</w:t>
            </w:r>
          </w:p>
        </w:tc>
        <w:tc>
          <w:tcPr>
            <w:tcW w:w="1350" w:type="dxa"/>
            <w:shd w:val="clear" w:color="auto" w:fill="auto"/>
            <w:vAlign w:val="center"/>
          </w:tcPr>
          <w:p w14:paraId="3EBA37FF" w14:textId="77777777"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Estimated average time per response</w:t>
            </w:r>
          </w:p>
        </w:tc>
        <w:tc>
          <w:tcPr>
            <w:tcW w:w="1440" w:type="dxa"/>
            <w:shd w:val="clear" w:color="auto" w:fill="auto"/>
            <w:vAlign w:val="center"/>
          </w:tcPr>
          <w:p w14:paraId="09031106" w14:textId="7B497934" w:rsidR="00CF46C9" w:rsidRPr="00DA37DD" w:rsidRDefault="00CF46C9" w:rsidP="003E1C8E">
            <w:pPr>
              <w:tabs>
                <w:tab w:val="left" w:pos="0"/>
                <w:tab w:val="left" w:pos="2220"/>
              </w:tabs>
              <w:jc w:val="center"/>
              <w:rPr>
                <w:rFonts w:ascii="Times New Roman" w:hAnsi="Times New Roman"/>
                <w:i/>
                <w:color w:val="000000"/>
                <w:szCs w:val="24"/>
              </w:rPr>
            </w:pPr>
            <w:r w:rsidRPr="00DA37DD">
              <w:rPr>
                <w:rFonts w:ascii="Times New Roman" w:hAnsi="Times New Roman"/>
                <w:i/>
                <w:color w:val="000000"/>
                <w:szCs w:val="24"/>
              </w:rPr>
              <w:t>Estimated annual  burden hours</w:t>
            </w:r>
          </w:p>
        </w:tc>
      </w:tr>
      <w:tr w:rsidR="00CF46C9" w:rsidRPr="00DA37DD" w14:paraId="089842EE" w14:textId="77777777" w:rsidTr="00CF46C9">
        <w:trPr>
          <w:trHeight w:val="342"/>
        </w:trPr>
        <w:tc>
          <w:tcPr>
            <w:tcW w:w="3690" w:type="dxa"/>
            <w:shd w:val="clear" w:color="auto" w:fill="auto"/>
            <w:vAlign w:val="bottom"/>
          </w:tcPr>
          <w:p w14:paraId="2B404F52" w14:textId="6FA5E740" w:rsidR="00CF46C9" w:rsidRPr="0012616B" w:rsidRDefault="0012616B" w:rsidP="00CC07B7">
            <w:pPr>
              <w:tabs>
                <w:tab w:val="left" w:pos="0"/>
                <w:tab w:val="left" w:pos="2220"/>
              </w:tabs>
              <w:rPr>
                <w:rFonts w:ascii="Times New Roman" w:hAnsi="Times New Roman"/>
                <w:i/>
                <w:color w:val="000000"/>
                <w:szCs w:val="24"/>
              </w:rPr>
            </w:pPr>
            <w:r w:rsidRPr="0012616B">
              <w:rPr>
                <w:rFonts w:ascii="Times New Roman" w:hAnsi="Times New Roman"/>
                <w:i/>
                <w:color w:val="000000"/>
                <w:szCs w:val="24"/>
              </w:rPr>
              <w:t>Current</w:t>
            </w:r>
          </w:p>
        </w:tc>
        <w:tc>
          <w:tcPr>
            <w:tcW w:w="1440" w:type="dxa"/>
            <w:shd w:val="clear" w:color="auto" w:fill="auto"/>
            <w:vAlign w:val="bottom"/>
          </w:tcPr>
          <w:p w14:paraId="5D2FD62D" w14:textId="77777777" w:rsidR="00CF46C9" w:rsidRPr="00DA37DD" w:rsidRDefault="00CF46C9" w:rsidP="00CF46C9">
            <w:pPr>
              <w:tabs>
                <w:tab w:val="left" w:pos="0"/>
                <w:tab w:val="left" w:pos="2220"/>
              </w:tabs>
              <w:jc w:val="center"/>
              <w:rPr>
                <w:rFonts w:ascii="Times New Roman" w:hAnsi="Times New Roman"/>
                <w:color w:val="000000"/>
                <w:szCs w:val="24"/>
              </w:rPr>
            </w:pPr>
          </w:p>
        </w:tc>
        <w:tc>
          <w:tcPr>
            <w:tcW w:w="1170" w:type="dxa"/>
            <w:shd w:val="clear" w:color="auto" w:fill="auto"/>
            <w:vAlign w:val="bottom"/>
          </w:tcPr>
          <w:p w14:paraId="0F3870F0" w14:textId="77777777" w:rsidR="00CF46C9" w:rsidRPr="00DA37DD" w:rsidRDefault="00CF46C9" w:rsidP="00CF46C9">
            <w:pPr>
              <w:tabs>
                <w:tab w:val="left" w:pos="0"/>
                <w:tab w:val="left" w:pos="2220"/>
              </w:tabs>
              <w:jc w:val="center"/>
              <w:rPr>
                <w:rFonts w:ascii="Times New Roman" w:hAnsi="Times New Roman"/>
                <w:color w:val="000000"/>
                <w:szCs w:val="24"/>
              </w:rPr>
            </w:pPr>
          </w:p>
        </w:tc>
        <w:tc>
          <w:tcPr>
            <w:tcW w:w="1350" w:type="dxa"/>
            <w:shd w:val="clear" w:color="auto" w:fill="auto"/>
            <w:vAlign w:val="bottom"/>
          </w:tcPr>
          <w:p w14:paraId="035172F2" w14:textId="77777777" w:rsidR="00CF46C9" w:rsidRPr="00DA37DD" w:rsidRDefault="00CF46C9" w:rsidP="00CF46C9">
            <w:pPr>
              <w:tabs>
                <w:tab w:val="left" w:pos="0"/>
                <w:tab w:val="left" w:pos="2220"/>
              </w:tabs>
              <w:jc w:val="right"/>
              <w:rPr>
                <w:rFonts w:ascii="Times New Roman" w:hAnsi="Times New Roman"/>
                <w:color w:val="000000"/>
                <w:szCs w:val="24"/>
              </w:rPr>
            </w:pPr>
          </w:p>
        </w:tc>
        <w:tc>
          <w:tcPr>
            <w:tcW w:w="1440" w:type="dxa"/>
            <w:shd w:val="clear" w:color="auto" w:fill="auto"/>
            <w:vAlign w:val="bottom"/>
          </w:tcPr>
          <w:p w14:paraId="66B35387" w14:textId="77777777" w:rsidR="00CF46C9" w:rsidRPr="00DA37DD" w:rsidRDefault="00CF46C9" w:rsidP="00CF46C9">
            <w:pPr>
              <w:tabs>
                <w:tab w:val="left" w:pos="0"/>
                <w:tab w:val="left" w:pos="2220"/>
              </w:tabs>
              <w:jc w:val="right"/>
              <w:rPr>
                <w:rFonts w:ascii="Times New Roman" w:hAnsi="Times New Roman"/>
                <w:color w:val="000000"/>
                <w:szCs w:val="24"/>
              </w:rPr>
            </w:pPr>
          </w:p>
        </w:tc>
      </w:tr>
      <w:tr w:rsidR="00CF46C9" w:rsidRPr="00DA37DD" w14:paraId="3815085C" w14:textId="77777777" w:rsidTr="00CF46C9">
        <w:trPr>
          <w:trHeight w:val="342"/>
        </w:trPr>
        <w:tc>
          <w:tcPr>
            <w:tcW w:w="3690" w:type="dxa"/>
            <w:shd w:val="clear" w:color="auto" w:fill="auto"/>
            <w:vAlign w:val="bottom"/>
          </w:tcPr>
          <w:p w14:paraId="28C84161" w14:textId="77777777" w:rsidR="00D062AB" w:rsidRDefault="00CF46C9" w:rsidP="00D062AB">
            <w:pPr>
              <w:tabs>
                <w:tab w:val="left" w:pos="0"/>
                <w:tab w:val="left" w:pos="2220"/>
              </w:tabs>
              <w:rPr>
                <w:rFonts w:ascii="Times New Roman" w:hAnsi="Times New Roman"/>
                <w:b/>
                <w:color w:val="000000"/>
                <w:szCs w:val="24"/>
              </w:rPr>
            </w:pPr>
            <w:r w:rsidRPr="00CF46C9">
              <w:rPr>
                <w:rFonts w:ascii="Times New Roman" w:hAnsi="Times New Roman"/>
                <w:b/>
                <w:color w:val="000000"/>
                <w:szCs w:val="24"/>
              </w:rPr>
              <w:t xml:space="preserve">FR 3064a </w:t>
            </w:r>
          </w:p>
          <w:p w14:paraId="164376F3" w14:textId="66859871" w:rsidR="00CF46C9" w:rsidRPr="00DA37DD" w:rsidRDefault="00D062AB" w:rsidP="00805EE2">
            <w:pPr>
              <w:tabs>
                <w:tab w:val="left" w:pos="0"/>
                <w:tab w:val="left" w:pos="2220"/>
              </w:tabs>
              <w:rPr>
                <w:rFonts w:ascii="Times New Roman" w:hAnsi="Times New Roman"/>
                <w:color w:val="000000"/>
                <w:szCs w:val="24"/>
              </w:rPr>
            </w:pPr>
            <w:r>
              <w:rPr>
                <w:rFonts w:ascii="Times New Roman" w:hAnsi="Times New Roman"/>
                <w:color w:val="000000"/>
                <w:szCs w:val="24"/>
              </w:rPr>
              <w:t>Debit C</w:t>
            </w:r>
            <w:r w:rsidR="00CF46C9" w:rsidRPr="00DA37DD">
              <w:rPr>
                <w:rFonts w:ascii="Times New Roman" w:hAnsi="Times New Roman"/>
                <w:color w:val="000000"/>
                <w:szCs w:val="24"/>
              </w:rPr>
              <w:t xml:space="preserve">ard </w:t>
            </w:r>
            <w:r>
              <w:rPr>
                <w:rFonts w:ascii="Times New Roman" w:hAnsi="Times New Roman"/>
                <w:color w:val="000000"/>
                <w:szCs w:val="24"/>
              </w:rPr>
              <w:t>I</w:t>
            </w:r>
            <w:r w:rsidR="00CF46C9" w:rsidRPr="00DA37DD">
              <w:rPr>
                <w:rFonts w:ascii="Times New Roman" w:hAnsi="Times New Roman"/>
                <w:color w:val="000000"/>
                <w:szCs w:val="24"/>
              </w:rPr>
              <w:t xml:space="preserve">ssuer </w:t>
            </w:r>
            <w:r>
              <w:rPr>
                <w:rFonts w:ascii="Times New Roman" w:hAnsi="Times New Roman"/>
                <w:color w:val="000000"/>
                <w:szCs w:val="24"/>
              </w:rPr>
              <w:t>S</w:t>
            </w:r>
            <w:r w:rsidR="00CF46C9" w:rsidRPr="00DA37DD">
              <w:rPr>
                <w:rFonts w:ascii="Times New Roman" w:hAnsi="Times New Roman"/>
                <w:color w:val="000000"/>
                <w:szCs w:val="24"/>
              </w:rPr>
              <w:t>urvey (235.8(b))</w:t>
            </w:r>
          </w:p>
        </w:tc>
        <w:tc>
          <w:tcPr>
            <w:tcW w:w="1440" w:type="dxa"/>
            <w:shd w:val="clear" w:color="auto" w:fill="auto"/>
            <w:vAlign w:val="bottom"/>
          </w:tcPr>
          <w:p w14:paraId="3536FA8E" w14:textId="65AD8BAA" w:rsidR="00CF46C9" w:rsidRPr="00DA37DD" w:rsidRDefault="00CF46C9" w:rsidP="00CF46C9">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558</w:t>
            </w:r>
          </w:p>
        </w:tc>
        <w:tc>
          <w:tcPr>
            <w:tcW w:w="1170" w:type="dxa"/>
            <w:shd w:val="clear" w:color="auto" w:fill="auto"/>
            <w:vAlign w:val="bottom"/>
          </w:tcPr>
          <w:p w14:paraId="1936EEDB" w14:textId="77777777" w:rsidR="00CF46C9" w:rsidRPr="00DA37DD" w:rsidRDefault="00CF46C9" w:rsidP="00CF46C9">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1</w:t>
            </w:r>
          </w:p>
        </w:tc>
        <w:tc>
          <w:tcPr>
            <w:tcW w:w="1350" w:type="dxa"/>
            <w:shd w:val="clear" w:color="auto" w:fill="auto"/>
            <w:vAlign w:val="bottom"/>
          </w:tcPr>
          <w:p w14:paraId="6B761628" w14:textId="703B02F3" w:rsidR="00CF46C9" w:rsidRPr="00DA37DD" w:rsidRDefault="00CF46C9" w:rsidP="00CF46C9">
            <w:pPr>
              <w:tabs>
                <w:tab w:val="left" w:pos="0"/>
                <w:tab w:val="left" w:pos="2220"/>
              </w:tabs>
              <w:jc w:val="right"/>
              <w:rPr>
                <w:rFonts w:ascii="Times New Roman" w:hAnsi="Times New Roman"/>
                <w:color w:val="000000"/>
                <w:szCs w:val="24"/>
              </w:rPr>
            </w:pPr>
            <w:r w:rsidRPr="00DA37DD">
              <w:rPr>
                <w:rFonts w:ascii="Times New Roman" w:hAnsi="Times New Roman"/>
                <w:color w:val="000000"/>
                <w:szCs w:val="24"/>
              </w:rPr>
              <w:t>160 hours</w:t>
            </w:r>
          </w:p>
        </w:tc>
        <w:tc>
          <w:tcPr>
            <w:tcW w:w="1440" w:type="dxa"/>
            <w:shd w:val="clear" w:color="auto" w:fill="auto"/>
            <w:vAlign w:val="bottom"/>
          </w:tcPr>
          <w:p w14:paraId="2C3CEB20" w14:textId="2F54EB92" w:rsidR="00CF46C9" w:rsidRPr="00DA37DD" w:rsidRDefault="00CF46C9" w:rsidP="00CF46C9">
            <w:pPr>
              <w:tabs>
                <w:tab w:val="left" w:pos="0"/>
                <w:tab w:val="left" w:pos="2220"/>
              </w:tabs>
              <w:jc w:val="right"/>
              <w:rPr>
                <w:rFonts w:ascii="Times New Roman" w:hAnsi="Times New Roman"/>
                <w:color w:val="000000"/>
                <w:szCs w:val="24"/>
              </w:rPr>
            </w:pPr>
            <w:r w:rsidRPr="00DA37DD">
              <w:rPr>
                <w:rFonts w:ascii="Times New Roman" w:hAnsi="Times New Roman"/>
                <w:color w:val="000000"/>
                <w:szCs w:val="24"/>
              </w:rPr>
              <w:t>89,280</w:t>
            </w:r>
          </w:p>
        </w:tc>
      </w:tr>
      <w:tr w:rsidR="00CF46C9" w:rsidRPr="00DA37DD" w14:paraId="5F8B2FE6" w14:textId="77777777" w:rsidTr="0012616B">
        <w:trPr>
          <w:trHeight w:val="342"/>
        </w:trPr>
        <w:tc>
          <w:tcPr>
            <w:tcW w:w="3690" w:type="dxa"/>
            <w:tcBorders>
              <w:bottom w:val="nil"/>
            </w:tcBorders>
            <w:shd w:val="clear" w:color="auto" w:fill="auto"/>
            <w:vAlign w:val="bottom"/>
          </w:tcPr>
          <w:p w14:paraId="518A7D86" w14:textId="77777777" w:rsidR="00CF46C9" w:rsidRPr="00CF46C9" w:rsidRDefault="00CF46C9" w:rsidP="00CC07B7">
            <w:pPr>
              <w:tabs>
                <w:tab w:val="left" w:pos="0"/>
                <w:tab w:val="left" w:pos="2220"/>
              </w:tabs>
              <w:rPr>
                <w:rFonts w:ascii="Times New Roman" w:hAnsi="Times New Roman"/>
                <w:b/>
                <w:color w:val="000000"/>
                <w:szCs w:val="24"/>
              </w:rPr>
            </w:pPr>
            <w:r w:rsidRPr="00CF46C9">
              <w:rPr>
                <w:rFonts w:ascii="Times New Roman" w:hAnsi="Times New Roman"/>
                <w:b/>
                <w:color w:val="000000"/>
                <w:szCs w:val="24"/>
              </w:rPr>
              <w:t xml:space="preserve">FR 3064b </w:t>
            </w:r>
          </w:p>
          <w:p w14:paraId="19EE942E" w14:textId="2E36205C" w:rsidR="00CF46C9" w:rsidRPr="00DA37DD" w:rsidRDefault="00D062AB" w:rsidP="00D062AB">
            <w:pPr>
              <w:tabs>
                <w:tab w:val="left" w:pos="0"/>
                <w:tab w:val="left" w:pos="2220"/>
              </w:tabs>
              <w:rPr>
                <w:rFonts w:ascii="Times New Roman" w:hAnsi="Times New Roman"/>
                <w:color w:val="000000"/>
                <w:szCs w:val="24"/>
              </w:rPr>
            </w:pPr>
            <w:r>
              <w:rPr>
                <w:rFonts w:ascii="Times New Roman" w:hAnsi="Times New Roman"/>
                <w:color w:val="000000"/>
                <w:szCs w:val="24"/>
              </w:rPr>
              <w:t xml:space="preserve">Payment Card </w:t>
            </w:r>
            <w:r w:rsidR="00CF46C9" w:rsidRPr="00DA37DD">
              <w:rPr>
                <w:rFonts w:ascii="Times New Roman" w:hAnsi="Times New Roman"/>
                <w:color w:val="000000"/>
                <w:szCs w:val="24"/>
              </w:rPr>
              <w:t xml:space="preserve">Network </w:t>
            </w:r>
            <w:r>
              <w:rPr>
                <w:rFonts w:ascii="Times New Roman" w:hAnsi="Times New Roman"/>
                <w:color w:val="000000"/>
                <w:szCs w:val="24"/>
              </w:rPr>
              <w:t>S</w:t>
            </w:r>
            <w:r w:rsidR="00CF46C9" w:rsidRPr="00DA37DD">
              <w:rPr>
                <w:rFonts w:ascii="Times New Roman" w:hAnsi="Times New Roman"/>
                <w:color w:val="000000"/>
                <w:szCs w:val="24"/>
              </w:rPr>
              <w:t>urvey (235.8)</w:t>
            </w:r>
          </w:p>
        </w:tc>
        <w:tc>
          <w:tcPr>
            <w:tcW w:w="1440" w:type="dxa"/>
            <w:tcBorders>
              <w:bottom w:val="nil"/>
            </w:tcBorders>
            <w:shd w:val="clear" w:color="auto" w:fill="auto"/>
            <w:vAlign w:val="bottom"/>
          </w:tcPr>
          <w:p w14:paraId="70B76B9F" w14:textId="6C53B00C" w:rsidR="00CF46C9" w:rsidRPr="00DA37DD" w:rsidRDefault="00CF46C9" w:rsidP="00CF46C9">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18</w:t>
            </w:r>
          </w:p>
        </w:tc>
        <w:tc>
          <w:tcPr>
            <w:tcW w:w="1170" w:type="dxa"/>
            <w:tcBorders>
              <w:bottom w:val="nil"/>
            </w:tcBorders>
            <w:shd w:val="clear" w:color="auto" w:fill="auto"/>
            <w:vAlign w:val="bottom"/>
          </w:tcPr>
          <w:p w14:paraId="47A89478" w14:textId="77777777" w:rsidR="00CF46C9" w:rsidRPr="00DA37DD" w:rsidRDefault="00CF46C9" w:rsidP="00CF46C9">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1</w:t>
            </w:r>
          </w:p>
        </w:tc>
        <w:tc>
          <w:tcPr>
            <w:tcW w:w="1350" w:type="dxa"/>
            <w:tcBorders>
              <w:bottom w:val="nil"/>
            </w:tcBorders>
            <w:shd w:val="clear" w:color="auto" w:fill="auto"/>
            <w:vAlign w:val="bottom"/>
          </w:tcPr>
          <w:p w14:paraId="2954940A" w14:textId="7E9794AF" w:rsidR="00CF46C9" w:rsidRPr="00DA37DD" w:rsidRDefault="00CF46C9" w:rsidP="00CF46C9">
            <w:pPr>
              <w:tabs>
                <w:tab w:val="left" w:pos="0"/>
                <w:tab w:val="left" w:pos="2220"/>
              </w:tabs>
              <w:jc w:val="right"/>
              <w:rPr>
                <w:rFonts w:ascii="Times New Roman" w:hAnsi="Times New Roman"/>
                <w:color w:val="000000"/>
                <w:szCs w:val="24"/>
              </w:rPr>
            </w:pPr>
            <w:r w:rsidRPr="00DA37DD">
              <w:rPr>
                <w:rFonts w:ascii="Times New Roman" w:hAnsi="Times New Roman"/>
                <w:color w:val="000000"/>
                <w:szCs w:val="24"/>
              </w:rPr>
              <w:t>75 hours</w:t>
            </w:r>
          </w:p>
        </w:tc>
        <w:tc>
          <w:tcPr>
            <w:tcW w:w="1440" w:type="dxa"/>
            <w:tcBorders>
              <w:bottom w:val="nil"/>
            </w:tcBorders>
            <w:shd w:val="clear" w:color="auto" w:fill="auto"/>
            <w:vAlign w:val="bottom"/>
          </w:tcPr>
          <w:p w14:paraId="2CC0124F" w14:textId="5B5CF5D5" w:rsidR="00CF46C9" w:rsidRPr="00DA37DD" w:rsidRDefault="00CF46C9" w:rsidP="00CF46C9">
            <w:pPr>
              <w:tabs>
                <w:tab w:val="left" w:pos="0"/>
                <w:tab w:val="left" w:pos="2220"/>
              </w:tabs>
              <w:jc w:val="right"/>
              <w:rPr>
                <w:rFonts w:ascii="Times New Roman" w:hAnsi="Times New Roman"/>
                <w:color w:val="000000"/>
                <w:szCs w:val="24"/>
                <w:u w:val="single"/>
              </w:rPr>
            </w:pPr>
            <w:r w:rsidRPr="00DA37DD">
              <w:rPr>
                <w:rFonts w:ascii="Times New Roman" w:hAnsi="Times New Roman"/>
                <w:color w:val="000000"/>
                <w:szCs w:val="24"/>
                <w:u w:val="single"/>
              </w:rPr>
              <w:t>1,350</w:t>
            </w:r>
          </w:p>
        </w:tc>
      </w:tr>
      <w:tr w:rsidR="00CF46C9" w:rsidRPr="00DA37DD" w14:paraId="6F90FFD8" w14:textId="77777777" w:rsidTr="0012616B">
        <w:trPr>
          <w:trHeight w:val="342"/>
        </w:trPr>
        <w:tc>
          <w:tcPr>
            <w:tcW w:w="3690" w:type="dxa"/>
            <w:tcBorders>
              <w:top w:val="nil"/>
              <w:bottom w:val="nil"/>
            </w:tcBorders>
            <w:shd w:val="clear" w:color="auto" w:fill="auto"/>
            <w:vAlign w:val="bottom"/>
          </w:tcPr>
          <w:p w14:paraId="195B38AA" w14:textId="0E03DBAE" w:rsidR="00CF46C9" w:rsidRPr="00FA29C5" w:rsidRDefault="00FA29C5" w:rsidP="003E1C8E">
            <w:pPr>
              <w:tabs>
                <w:tab w:val="left" w:pos="0"/>
                <w:tab w:val="left" w:pos="2220"/>
              </w:tabs>
              <w:jc w:val="right"/>
              <w:rPr>
                <w:rFonts w:ascii="Times New Roman" w:hAnsi="Times New Roman"/>
                <w:i/>
                <w:color w:val="000000"/>
                <w:szCs w:val="24"/>
              </w:rPr>
            </w:pPr>
            <w:r w:rsidRPr="00FA29C5">
              <w:rPr>
                <w:rFonts w:ascii="Times New Roman" w:hAnsi="Times New Roman"/>
                <w:i/>
                <w:color w:val="000000"/>
                <w:szCs w:val="24"/>
              </w:rPr>
              <w:t>Total</w:t>
            </w:r>
          </w:p>
        </w:tc>
        <w:tc>
          <w:tcPr>
            <w:tcW w:w="1440" w:type="dxa"/>
            <w:tcBorders>
              <w:top w:val="nil"/>
              <w:bottom w:val="nil"/>
            </w:tcBorders>
            <w:shd w:val="clear" w:color="auto" w:fill="auto"/>
            <w:vAlign w:val="bottom"/>
          </w:tcPr>
          <w:p w14:paraId="5B998648" w14:textId="77777777" w:rsidR="00CF46C9" w:rsidRPr="00DA37DD" w:rsidRDefault="00CF46C9" w:rsidP="003E1C8E">
            <w:pPr>
              <w:tabs>
                <w:tab w:val="left" w:pos="0"/>
                <w:tab w:val="left" w:pos="2220"/>
              </w:tabs>
              <w:jc w:val="center"/>
              <w:rPr>
                <w:rFonts w:ascii="Times New Roman" w:hAnsi="Times New Roman"/>
                <w:color w:val="000000"/>
                <w:szCs w:val="24"/>
              </w:rPr>
            </w:pPr>
          </w:p>
        </w:tc>
        <w:tc>
          <w:tcPr>
            <w:tcW w:w="1170" w:type="dxa"/>
            <w:tcBorders>
              <w:top w:val="nil"/>
              <w:bottom w:val="nil"/>
            </w:tcBorders>
            <w:shd w:val="clear" w:color="auto" w:fill="auto"/>
            <w:vAlign w:val="bottom"/>
          </w:tcPr>
          <w:p w14:paraId="2BC15EA9" w14:textId="77777777" w:rsidR="00CF46C9" w:rsidRPr="00DA37DD" w:rsidRDefault="00CF46C9" w:rsidP="003E1C8E">
            <w:pPr>
              <w:tabs>
                <w:tab w:val="left" w:pos="0"/>
                <w:tab w:val="left" w:pos="2220"/>
              </w:tabs>
              <w:jc w:val="center"/>
              <w:rPr>
                <w:rFonts w:ascii="Times New Roman" w:hAnsi="Times New Roman"/>
                <w:color w:val="000000"/>
                <w:szCs w:val="24"/>
              </w:rPr>
            </w:pPr>
          </w:p>
        </w:tc>
        <w:tc>
          <w:tcPr>
            <w:tcW w:w="1350" w:type="dxa"/>
            <w:tcBorders>
              <w:top w:val="nil"/>
              <w:bottom w:val="nil"/>
            </w:tcBorders>
            <w:shd w:val="clear" w:color="auto" w:fill="auto"/>
            <w:vAlign w:val="bottom"/>
          </w:tcPr>
          <w:p w14:paraId="34593F74" w14:textId="77777777" w:rsidR="00CF46C9" w:rsidRPr="00DA37DD" w:rsidRDefault="00CF46C9" w:rsidP="003E1C8E">
            <w:pPr>
              <w:tabs>
                <w:tab w:val="left" w:pos="0"/>
                <w:tab w:val="left" w:pos="2220"/>
              </w:tabs>
              <w:jc w:val="center"/>
              <w:rPr>
                <w:rFonts w:ascii="Times New Roman" w:hAnsi="Times New Roman"/>
                <w:color w:val="000000"/>
                <w:szCs w:val="24"/>
              </w:rPr>
            </w:pPr>
          </w:p>
        </w:tc>
        <w:tc>
          <w:tcPr>
            <w:tcW w:w="1440" w:type="dxa"/>
            <w:tcBorders>
              <w:top w:val="nil"/>
              <w:bottom w:val="nil"/>
            </w:tcBorders>
            <w:shd w:val="clear" w:color="auto" w:fill="auto"/>
            <w:vAlign w:val="bottom"/>
          </w:tcPr>
          <w:p w14:paraId="5EE4189C" w14:textId="4D7150C9" w:rsidR="00CF46C9" w:rsidRPr="00DA37DD" w:rsidRDefault="00CF46C9" w:rsidP="00CF46C9">
            <w:pPr>
              <w:tabs>
                <w:tab w:val="left" w:pos="0"/>
                <w:tab w:val="left" w:pos="2220"/>
              </w:tabs>
              <w:jc w:val="right"/>
              <w:rPr>
                <w:rFonts w:ascii="Times New Roman" w:hAnsi="Times New Roman"/>
                <w:color w:val="000000"/>
                <w:szCs w:val="24"/>
              </w:rPr>
            </w:pPr>
            <w:r w:rsidRPr="00DA37DD">
              <w:rPr>
                <w:rFonts w:ascii="Times New Roman" w:hAnsi="Times New Roman"/>
                <w:color w:val="000000"/>
                <w:szCs w:val="24"/>
              </w:rPr>
              <w:t>90,630</w:t>
            </w:r>
          </w:p>
        </w:tc>
      </w:tr>
      <w:tr w:rsidR="0012616B" w:rsidRPr="00DA37DD" w14:paraId="6A4381D0" w14:textId="77777777" w:rsidTr="0012616B">
        <w:trPr>
          <w:trHeight w:val="342"/>
        </w:trPr>
        <w:tc>
          <w:tcPr>
            <w:tcW w:w="3690" w:type="dxa"/>
            <w:tcBorders>
              <w:top w:val="nil"/>
            </w:tcBorders>
            <w:shd w:val="clear" w:color="auto" w:fill="auto"/>
            <w:vAlign w:val="bottom"/>
          </w:tcPr>
          <w:p w14:paraId="0531E751" w14:textId="3AD7EFBD" w:rsidR="0012616B" w:rsidRPr="0012616B" w:rsidRDefault="0012616B" w:rsidP="0012616B">
            <w:pPr>
              <w:tabs>
                <w:tab w:val="left" w:pos="0"/>
                <w:tab w:val="left" w:pos="2220"/>
              </w:tabs>
              <w:rPr>
                <w:rFonts w:ascii="Times New Roman" w:hAnsi="Times New Roman"/>
                <w:i/>
                <w:color w:val="000000"/>
                <w:szCs w:val="24"/>
              </w:rPr>
            </w:pPr>
            <w:r w:rsidRPr="0012616B">
              <w:rPr>
                <w:rFonts w:ascii="Times New Roman" w:hAnsi="Times New Roman"/>
                <w:i/>
                <w:color w:val="000000"/>
                <w:szCs w:val="24"/>
              </w:rPr>
              <w:t>Proposed</w:t>
            </w:r>
          </w:p>
        </w:tc>
        <w:tc>
          <w:tcPr>
            <w:tcW w:w="1440" w:type="dxa"/>
            <w:tcBorders>
              <w:top w:val="nil"/>
            </w:tcBorders>
            <w:shd w:val="clear" w:color="auto" w:fill="auto"/>
            <w:vAlign w:val="bottom"/>
          </w:tcPr>
          <w:p w14:paraId="6683CF9D" w14:textId="77777777" w:rsidR="0012616B" w:rsidRPr="00DA37DD" w:rsidRDefault="0012616B" w:rsidP="0012616B">
            <w:pPr>
              <w:tabs>
                <w:tab w:val="left" w:pos="0"/>
                <w:tab w:val="left" w:pos="2220"/>
              </w:tabs>
              <w:jc w:val="center"/>
              <w:rPr>
                <w:rFonts w:ascii="Times New Roman" w:hAnsi="Times New Roman"/>
                <w:color w:val="000000"/>
                <w:szCs w:val="24"/>
              </w:rPr>
            </w:pPr>
          </w:p>
        </w:tc>
        <w:tc>
          <w:tcPr>
            <w:tcW w:w="1170" w:type="dxa"/>
            <w:tcBorders>
              <w:top w:val="nil"/>
            </w:tcBorders>
            <w:shd w:val="clear" w:color="auto" w:fill="auto"/>
            <w:vAlign w:val="bottom"/>
          </w:tcPr>
          <w:p w14:paraId="69C094EC" w14:textId="77777777" w:rsidR="0012616B" w:rsidRPr="00DA37DD" w:rsidRDefault="0012616B" w:rsidP="0012616B">
            <w:pPr>
              <w:tabs>
                <w:tab w:val="left" w:pos="0"/>
                <w:tab w:val="left" w:pos="2220"/>
              </w:tabs>
              <w:jc w:val="center"/>
              <w:rPr>
                <w:rFonts w:ascii="Times New Roman" w:hAnsi="Times New Roman"/>
                <w:color w:val="000000"/>
                <w:szCs w:val="24"/>
              </w:rPr>
            </w:pPr>
          </w:p>
        </w:tc>
        <w:tc>
          <w:tcPr>
            <w:tcW w:w="1350" w:type="dxa"/>
            <w:tcBorders>
              <w:top w:val="nil"/>
            </w:tcBorders>
            <w:shd w:val="clear" w:color="auto" w:fill="auto"/>
            <w:vAlign w:val="bottom"/>
          </w:tcPr>
          <w:p w14:paraId="1C1E083D" w14:textId="77777777" w:rsidR="0012616B" w:rsidRPr="00DA37DD" w:rsidRDefault="0012616B" w:rsidP="0012616B">
            <w:pPr>
              <w:tabs>
                <w:tab w:val="left" w:pos="0"/>
                <w:tab w:val="left" w:pos="2220"/>
              </w:tabs>
              <w:jc w:val="right"/>
              <w:rPr>
                <w:rFonts w:ascii="Times New Roman" w:hAnsi="Times New Roman"/>
                <w:color w:val="000000"/>
                <w:szCs w:val="24"/>
              </w:rPr>
            </w:pPr>
          </w:p>
        </w:tc>
        <w:tc>
          <w:tcPr>
            <w:tcW w:w="1440" w:type="dxa"/>
            <w:tcBorders>
              <w:top w:val="nil"/>
            </w:tcBorders>
            <w:shd w:val="clear" w:color="auto" w:fill="auto"/>
            <w:vAlign w:val="bottom"/>
          </w:tcPr>
          <w:p w14:paraId="472ED238" w14:textId="77777777" w:rsidR="0012616B" w:rsidRPr="00DA37DD" w:rsidRDefault="0012616B" w:rsidP="0012616B">
            <w:pPr>
              <w:tabs>
                <w:tab w:val="left" w:pos="0"/>
                <w:tab w:val="left" w:pos="2220"/>
              </w:tabs>
              <w:jc w:val="right"/>
              <w:rPr>
                <w:rFonts w:ascii="Times New Roman" w:hAnsi="Times New Roman"/>
                <w:color w:val="000000"/>
                <w:szCs w:val="24"/>
              </w:rPr>
            </w:pPr>
          </w:p>
        </w:tc>
      </w:tr>
      <w:tr w:rsidR="0012616B" w:rsidRPr="00DA37DD" w14:paraId="2167E946" w14:textId="77777777" w:rsidTr="0012616B">
        <w:trPr>
          <w:trHeight w:val="342"/>
        </w:trPr>
        <w:tc>
          <w:tcPr>
            <w:tcW w:w="3690" w:type="dxa"/>
            <w:tcBorders>
              <w:top w:val="nil"/>
            </w:tcBorders>
            <w:shd w:val="clear" w:color="auto" w:fill="auto"/>
            <w:vAlign w:val="bottom"/>
          </w:tcPr>
          <w:p w14:paraId="38BD64A2" w14:textId="77777777" w:rsidR="0012616B" w:rsidRDefault="0012616B" w:rsidP="0012616B">
            <w:pPr>
              <w:tabs>
                <w:tab w:val="left" w:pos="0"/>
                <w:tab w:val="left" w:pos="2220"/>
              </w:tabs>
              <w:rPr>
                <w:rFonts w:ascii="Times New Roman" w:hAnsi="Times New Roman"/>
                <w:b/>
                <w:color w:val="000000"/>
                <w:szCs w:val="24"/>
              </w:rPr>
            </w:pPr>
            <w:r w:rsidRPr="00CF46C9">
              <w:rPr>
                <w:rFonts w:ascii="Times New Roman" w:hAnsi="Times New Roman"/>
                <w:b/>
                <w:color w:val="000000"/>
                <w:szCs w:val="24"/>
              </w:rPr>
              <w:t xml:space="preserve">FR 3064a </w:t>
            </w:r>
          </w:p>
          <w:p w14:paraId="54CA610F" w14:textId="77777777" w:rsidR="0012616B" w:rsidRPr="00DA37DD" w:rsidRDefault="0012616B" w:rsidP="0012616B">
            <w:pPr>
              <w:tabs>
                <w:tab w:val="left" w:pos="0"/>
                <w:tab w:val="left" w:pos="2220"/>
              </w:tabs>
              <w:rPr>
                <w:rFonts w:ascii="Times New Roman" w:hAnsi="Times New Roman"/>
                <w:color w:val="000000"/>
                <w:szCs w:val="24"/>
              </w:rPr>
            </w:pPr>
            <w:r>
              <w:rPr>
                <w:rFonts w:ascii="Times New Roman" w:hAnsi="Times New Roman"/>
                <w:color w:val="000000"/>
                <w:szCs w:val="24"/>
              </w:rPr>
              <w:t>Debit C</w:t>
            </w:r>
            <w:r w:rsidRPr="00DA37DD">
              <w:rPr>
                <w:rFonts w:ascii="Times New Roman" w:hAnsi="Times New Roman"/>
                <w:color w:val="000000"/>
                <w:szCs w:val="24"/>
              </w:rPr>
              <w:t xml:space="preserve">ard </w:t>
            </w:r>
            <w:r>
              <w:rPr>
                <w:rFonts w:ascii="Times New Roman" w:hAnsi="Times New Roman"/>
                <w:color w:val="000000"/>
                <w:szCs w:val="24"/>
              </w:rPr>
              <w:t>I</w:t>
            </w:r>
            <w:r w:rsidRPr="00DA37DD">
              <w:rPr>
                <w:rFonts w:ascii="Times New Roman" w:hAnsi="Times New Roman"/>
                <w:color w:val="000000"/>
                <w:szCs w:val="24"/>
              </w:rPr>
              <w:t xml:space="preserve">ssuer </w:t>
            </w:r>
            <w:r>
              <w:rPr>
                <w:rFonts w:ascii="Times New Roman" w:hAnsi="Times New Roman"/>
                <w:color w:val="000000"/>
                <w:szCs w:val="24"/>
              </w:rPr>
              <w:t>S</w:t>
            </w:r>
            <w:r w:rsidRPr="00DA37DD">
              <w:rPr>
                <w:rFonts w:ascii="Times New Roman" w:hAnsi="Times New Roman"/>
                <w:color w:val="000000"/>
                <w:szCs w:val="24"/>
              </w:rPr>
              <w:t>urvey (235.8(b))</w:t>
            </w:r>
          </w:p>
        </w:tc>
        <w:tc>
          <w:tcPr>
            <w:tcW w:w="1440" w:type="dxa"/>
            <w:tcBorders>
              <w:top w:val="nil"/>
            </w:tcBorders>
            <w:shd w:val="clear" w:color="auto" w:fill="auto"/>
            <w:vAlign w:val="bottom"/>
          </w:tcPr>
          <w:p w14:paraId="72FA5DDA" w14:textId="77777777" w:rsidR="0012616B" w:rsidRPr="00DA37DD" w:rsidRDefault="0012616B" w:rsidP="0012616B">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558</w:t>
            </w:r>
          </w:p>
        </w:tc>
        <w:tc>
          <w:tcPr>
            <w:tcW w:w="1170" w:type="dxa"/>
            <w:tcBorders>
              <w:top w:val="nil"/>
            </w:tcBorders>
            <w:shd w:val="clear" w:color="auto" w:fill="auto"/>
            <w:vAlign w:val="bottom"/>
          </w:tcPr>
          <w:p w14:paraId="09EF797F" w14:textId="77777777" w:rsidR="0012616B" w:rsidRPr="00DA37DD" w:rsidRDefault="0012616B" w:rsidP="0012616B">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1</w:t>
            </w:r>
          </w:p>
        </w:tc>
        <w:tc>
          <w:tcPr>
            <w:tcW w:w="1350" w:type="dxa"/>
            <w:tcBorders>
              <w:top w:val="nil"/>
            </w:tcBorders>
            <w:shd w:val="clear" w:color="auto" w:fill="auto"/>
            <w:vAlign w:val="bottom"/>
          </w:tcPr>
          <w:p w14:paraId="4314B602" w14:textId="01CABF0C" w:rsidR="0012616B" w:rsidRPr="00DA37DD" w:rsidRDefault="00A11DF6" w:rsidP="0020625D">
            <w:pPr>
              <w:tabs>
                <w:tab w:val="left" w:pos="0"/>
                <w:tab w:val="left" w:pos="2220"/>
              </w:tabs>
              <w:jc w:val="right"/>
              <w:rPr>
                <w:rFonts w:ascii="Times New Roman" w:hAnsi="Times New Roman"/>
                <w:color w:val="000000"/>
                <w:szCs w:val="24"/>
              </w:rPr>
            </w:pPr>
            <w:r>
              <w:rPr>
                <w:rFonts w:ascii="Times New Roman" w:hAnsi="Times New Roman"/>
                <w:color w:val="000000"/>
                <w:szCs w:val="24"/>
              </w:rPr>
              <w:t>200</w:t>
            </w:r>
            <w:r w:rsidR="0012616B" w:rsidRPr="00DA37DD">
              <w:rPr>
                <w:rFonts w:ascii="Times New Roman" w:hAnsi="Times New Roman"/>
                <w:color w:val="000000"/>
                <w:szCs w:val="24"/>
              </w:rPr>
              <w:t xml:space="preserve"> hours</w:t>
            </w:r>
          </w:p>
        </w:tc>
        <w:tc>
          <w:tcPr>
            <w:tcW w:w="1440" w:type="dxa"/>
            <w:tcBorders>
              <w:top w:val="nil"/>
            </w:tcBorders>
            <w:shd w:val="clear" w:color="auto" w:fill="auto"/>
            <w:vAlign w:val="bottom"/>
          </w:tcPr>
          <w:p w14:paraId="0C973F66" w14:textId="533A9F0E" w:rsidR="0012616B" w:rsidRPr="00DA37DD" w:rsidRDefault="00A11DF6" w:rsidP="00A11DF6">
            <w:pPr>
              <w:tabs>
                <w:tab w:val="left" w:pos="0"/>
                <w:tab w:val="left" w:pos="2220"/>
              </w:tabs>
              <w:jc w:val="right"/>
              <w:rPr>
                <w:rFonts w:ascii="Times New Roman" w:hAnsi="Times New Roman"/>
                <w:color w:val="000000"/>
                <w:szCs w:val="24"/>
              </w:rPr>
            </w:pPr>
            <w:r>
              <w:rPr>
                <w:rFonts w:ascii="Times New Roman" w:hAnsi="Times New Roman"/>
                <w:color w:val="000000"/>
                <w:szCs w:val="24"/>
              </w:rPr>
              <w:t>111</w:t>
            </w:r>
            <w:r w:rsidR="0012616B" w:rsidRPr="00DA37DD">
              <w:rPr>
                <w:rFonts w:ascii="Times New Roman" w:hAnsi="Times New Roman"/>
                <w:color w:val="000000"/>
                <w:szCs w:val="24"/>
              </w:rPr>
              <w:t>,</w:t>
            </w:r>
            <w:r>
              <w:rPr>
                <w:rFonts w:ascii="Times New Roman" w:hAnsi="Times New Roman"/>
                <w:color w:val="000000"/>
                <w:szCs w:val="24"/>
              </w:rPr>
              <w:t>600</w:t>
            </w:r>
          </w:p>
        </w:tc>
      </w:tr>
      <w:tr w:rsidR="0012616B" w:rsidRPr="00DA37DD" w14:paraId="3DACB575" w14:textId="77777777" w:rsidTr="0012616B">
        <w:trPr>
          <w:trHeight w:val="342"/>
        </w:trPr>
        <w:tc>
          <w:tcPr>
            <w:tcW w:w="3690" w:type="dxa"/>
            <w:tcBorders>
              <w:bottom w:val="nil"/>
            </w:tcBorders>
            <w:shd w:val="clear" w:color="auto" w:fill="auto"/>
            <w:vAlign w:val="bottom"/>
          </w:tcPr>
          <w:p w14:paraId="2A6CE544" w14:textId="77777777" w:rsidR="0012616B" w:rsidRPr="00CF46C9" w:rsidRDefault="0012616B" w:rsidP="0012616B">
            <w:pPr>
              <w:tabs>
                <w:tab w:val="left" w:pos="0"/>
                <w:tab w:val="left" w:pos="2220"/>
              </w:tabs>
              <w:rPr>
                <w:rFonts w:ascii="Times New Roman" w:hAnsi="Times New Roman"/>
                <w:b/>
                <w:color w:val="000000"/>
                <w:szCs w:val="24"/>
              </w:rPr>
            </w:pPr>
            <w:r w:rsidRPr="00CF46C9">
              <w:rPr>
                <w:rFonts w:ascii="Times New Roman" w:hAnsi="Times New Roman"/>
                <w:b/>
                <w:color w:val="000000"/>
                <w:szCs w:val="24"/>
              </w:rPr>
              <w:t xml:space="preserve">FR 3064b </w:t>
            </w:r>
          </w:p>
          <w:p w14:paraId="2EA43C71" w14:textId="77777777" w:rsidR="0012616B" w:rsidRPr="00DA37DD" w:rsidRDefault="0012616B" w:rsidP="0012616B">
            <w:pPr>
              <w:tabs>
                <w:tab w:val="left" w:pos="0"/>
                <w:tab w:val="left" w:pos="2220"/>
              </w:tabs>
              <w:rPr>
                <w:rFonts w:ascii="Times New Roman" w:hAnsi="Times New Roman"/>
                <w:color w:val="000000"/>
                <w:szCs w:val="24"/>
              </w:rPr>
            </w:pPr>
            <w:r>
              <w:rPr>
                <w:rFonts w:ascii="Times New Roman" w:hAnsi="Times New Roman"/>
                <w:color w:val="000000"/>
                <w:szCs w:val="24"/>
              </w:rPr>
              <w:t xml:space="preserve">Payment Card </w:t>
            </w:r>
            <w:r w:rsidRPr="00DA37DD">
              <w:rPr>
                <w:rFonts w:ascii="Times New Roman" w:hAnsi="Times New Roman"/>
                <w:color w:val="000000"/>
                <w:szCs w:val="24"/>
              </w:rPr>
              <w:t xml:space="preserve">Network </w:t>
            </w:r>
            <w:r>
              <w:rPr>
                <w:rFonts w:ascii="Times New Roman" w:hAnsi="Times New Roman"/>
                <w:color w:val="000000"/>
                <w:szCs w:val="24"/>
              </w:rPr>
              <w:t>S</w:t>
            </w:r>
            <w:r w:rsidRPr="00DA37DD">
              <w:rPr>
                <w:rFonts w:ascii="Times New Roman" w:hAnsi="Times New Roman"/>
                <w:color w:val="000000"/>
                <w:szCs w:val="24"/>
              </w:rPr>
              <w:t>urvey (235.8)</w:t>
            </w:r>
          </w:p>
        </w:tc>
        <w:tc>
          <w:tcPr>
            <w:tcW w:w="1440" w:type="dxa"/>
            <w:tcBorders>
              <w:bottom w:val="nil"/>
            </w:tcBorders>
            <w:shd w:val="clear" w:color="auto" w:fill="auto"/>
            <w:vAlign w:val="bottom"/>
          </w:tcPr>
          <w:p w14:paraId="6DAF939D" w14:textId="77777777" w:rsidR="0012616B" w:rsidRPr="00DA37DD" w:rsidRDefault="0012616B" w:rsidP="0012616B">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18</w:t>
            </w:r>
          </w:p>
        </w:tc>
        <w:tc>
          <w:tcPr>
            <w:tcW w:w="1170" w:type="dxa"/>
            <w:tcBorders>
              <w:bottom w:val="nil"/>
            </w:tcBorders>
            <w:shd w:val="clear" w:color="auto" w:fill="auto"/>
            <w:vAlign w:val="bottom"/>
          </w:tcPr>
          <w:p w14:paraId="03BEE2B4" w14:textId="77777777" w:rsidR="0012616B" w:rsidRPr="00DA37DD" w:rsidRDefault="0012616B" w:rsidP="0012616B">
            <w:pPr>
              <w:tabs>
                <w:tab w:val="left" w:pos="0"/>
                <w:tab w:val="left" w:pos="2220"/>
              </w:tabs>
              <w:jc w:val="center"/>
              <w:rPr>
                <w:rFonts w:ascii="Times New Roman" w:hAnsi="Times New Roman"/>
                <w:color w:val="000000"/>
                <w:szCs w:val="24"/>
              </w:rPr>
            </w:pPr>
            <w:r w:rsidRPr="00DA37DD">
              <w:rPr>
                <w:rFonts w:ascii="Times New Roman" w:hAnsi="Times New Roman"/>
                <w:color w:val="000000"/>
                <w:szCs w:val="24"/>
              </w:rPr>
              <w:t>1</w:t>
            </w:r>
          </w:p>
        </w:tc>
        <w:tc>
          <w:tcPr>
            <w:tcW w:w="1350" w:type="dxa"/>
            <w:tcBorders>
              <w:bottom w:val="nil"/>
            </w:tcBorders>
            <w:shd w:val="clear" w:color="auto" w:fill="auto"/>
            <w:vAlign w:val="bottom"/>
          </w:tcPr>
          <w:p w14:paraId="4D0BBFD3" w14:textId="62F19E25" w:rsidR="0012616B" w:rsidRPr="00DA37DD" w:rsidRDefault="008B592A" w:rsidP="00AA3B39">
            <w:pPr>
              <w:tabs>
                <w:tab w:val="left" w:pos="0"/>
                <w:tab w:val="left" w:pos="2220"/>
              </w:tabs>
              <w:jc w:val="right"/>
              <w:rPr>
                <w:rFonts w:ascii="Times New Roman" w:hAnsi="Times New Roman"/>
                <w:color w:val="000000"/>
                <w:szCs w:val="24"/>
              </w:rPr>
            </w:pPr>
            <w:r>
              <w:rPr>
                <w:rFonts w:ascii="Times New Roman" w:hAnsi="Times New Roman"/>
                <w:color w:val="000000"/>
                <w:szCs w:val="24"/>
              </w:rPr>
              <w:t>7</w:t>
            </w:r>
            <w:r w:rsidR="00FC69B9">
              <w:rPr>
                <w:rFonts w:ascii="Times New Roman" w:hAnsi="Times New Roman"/>
                <w:color w:val="000000"/>
                <w:szCs w:val="24"/>
              </w:rPr>
              <w:t>5</w:t>
            </w:r>
            <w:r w:rsidR="0012616B" w:rsidRPr="00DA37DD">
              <w:rPr>
                <w:rFonts w:ascii="Times New Roman" w:hAnsi="Times New Roman"/>
                <w:color w:val="000000"/>
                <w:szCs w:val="24"/>
              </w:rPr>
              <w:t xml:space="preserve"> hours</w:t>
            </w:r>
          </w:p>
        </w:tc>
        <w:tc>
          <w:tcPr>
            <w:tcW w:w="1440" w:type="dxa"/>
            <w:tcBorders>
              <w:bottom w:val="nil"/>
            </w:tcBorders>
            <w:shd w:val="clear" w:color="auto" w:fill="auto"/>
            <w:vAlign w:val="bottom"/>
          </w:tcPr>
          <w:p w14:paraId="56CAD07A" w14:textId="6A4CD6AB" w:rsidR="0012616B" w:rsidRPr="00DA37DD" w:rsidRDefault="0012616B" w:rsidP="00D21195">
            <w:pPr>
              <w:tabs>
                <w:tab w:val="left" w:pos="0"/>
                <w:tab w:val="left" w:pos="2220"/>
              </w:tabs>
              <w:jc w:val="right"/>
              <w:rPr>
                <w:rFonts w:ascii="Times New Roman" w:hAnsi="Times New Roman"/>
                <w:color w:val="000000"/>
                <w:szCs w:val="24"/>
                <w:u w:val="single"/>
              </w:rPr>
            </w:pPr>
            <w:r w:rsidRPr="00DA37DD">
              <w:rPr>
                <w:rFonts w:ascii="Times New Roman" w:hAnsi="Times New Roman"/>
                <w:color w:val="000000"/>
                <w:szCs w:val="24"/>
                <w:u w:val="single"/>
              </w:rPr>
              <w:t>1,</w:t>
            </w:r>
            <w:r w:rsidR="008B592A">
              <w:rPr>
                <w:rFonts w:ascii="Times New Roman" w:hAnsi="Times New Roman"/>
                <w:color w:val="000000"/>
                <w:szCs w:val="24"/>
                <w:u w:val="single"/>
              </w:rPr>
              <w:t>3</w:t>
            </w:r>
            <w:r w:rsidR="00FC69B9">
              <w:rPr>
                <w:rFonts w:ascii="Times New Roman" w:hAnsi="Times New Roman"/>
                <w:color w:val="000000"/>
                <w:szCs w:val="24"/>
                <w:u w:val="single"/>
              </w:rPr>
              <w:t>50</w:t>
            </w:r>
          </w:p>
        </w:tc>
      </w:tr>
      <w:tr w:rsidR="00FA29C5" w:rsidRPr="00DA37DD" w14:paraId="17EF7ED5" w14:textId="77777777" w:rsidTr="00A11DF6">
        <w:trPr>
          <w:trHeight w:val="342"/>
        </w:trPr>
        <w:tc>
          <w:tcPr>
            <w:tcW w:w="3690" w:type="dxa"/>
            <w:tcBorders>
              <w:bottom w:val="nil"/>
            </w:tcBorders>
            <w:shd w:val="clear" w:color="auto" w:fill="auto"/>
            <w:vAlign w:val="bottom"/>
          </w:tcPr>
          <w:p w14:paraId="08B9CC2D" w14:textId="7873D150" w:rsidR="00FA29C5" w:rsidRPr="00CF46C9" w:rsidRDefault="00FA29C5" w:rsidP="00FA29C5">
            <w:pPr>
              <w:tabs>
                <w:tab w:val="left" w:pos="0"/>
                <w:tab w:val="left" w:pos="2220"/>
              </w:tabs>
              <w:jc w:val="right"/>
              <w:rPr>
                <w:rFonts w:ascii="Times New Roman" w:hAnsi="Times New Roman"/>
                <w:b/>
                <w:color w:val="000000"/>
                <w:szCs w:val="24"/>
              </w:rPr>
            </w:pPr>
            <w:r w:rsidRPr="00FA29C5">
              <w:rPr>
                <w:rFonts w:ascii="Times New Roman" w:hAnsi="Times New Roman"/>
                <w:i/>
                <w:color w:val="000000"/>
                <w:szCs w:val="24"/>
              </w:rPr>
              <w:t>Total</w:t>
            </w:r>
          </w:p>
        </w:tc>
        <w:tc>
          <w:tcPr>
            <w:tcW w:w="1440" w:type="dxa"/>
            <w:tcBorders>
              <w:bottom w:val="nil"/>
            </w:tcBorders>
            <w:shd w:val="clear" w:color="auto" w:fill="auto"/>
            <w:vAlign w:val="bottom"/>
          </w:tcPr>
          <w:p w14:paraId="5ADA8AC0" w14:textId="77777777" w:rsidR="00FA29C5" w:rsidRPr="00DA37DD" w:rsidRDefault="00FA29C5" w:rsidP="0012616B">
            <w:pPr>
              <w:tabs>
                <w:tab w:val="left" w:pos="0"/>
                <w:tab w:val="left" w:pos="2220"/>
              </w:tabs>
              <w:jc w:val="center"/>
              <w:rPr>
                <w:rFonts w:ascii="Times New Roman" w:hAnsi="Times New Roman"/>
                <w:color w:val="000000"/>
                <w:szCs w:val="24"/>
              </w:rPr>
            </w:pPr>
          </w:p>
        </w:tc>
        <w:tc>
          <w:tcPr>
            <w:tcW w:w="1170" w:type="dxa"/>
            <w:tcBorders>
              <w:bottom w:val="nil"/>
            </w:tcBorders>
            <w:shd w:val="clear" w:color="auto" w:fill="auto"/>
            <w:vAlign w:val="bottom"/>
          </w:tcPr>
          <w:p w14:paraId="0D09CEA1" w14:textId="77777777" w:rsidR="00FA29C5" w:rsidRPr="00DA37DD" w:rsidRDefault="00FA29C5" w:rsidP="0012616B">
            <w:pPr>
              <w:tabs>
                <w:tab w:val="left" w:pos="0"/>
                <w:tab w:val="left" w:pos="2220"/>
              </w:tabs>
              <w:jc w:val="center"/>
              <w:rPr>
                <w:rFonts w:ascii="Times New Roman" w:hAnsi="Times New Roman"/>
                <w:color w:val="000000"/>
                <w:szCs w:val="24"/>
              </w:rPr>
            </w:pPr>
          </w:p>
        </w:tc>
        <w:tc>
          <w:tcPr>
            <w:tcW w:w="1350" w:type="dxa"/>
            <w:tcBorders>
              <w:bottom w:val="nil"/>
            </w:tcBorders>
            <w:shd w:val="clear" w:color="auto" w:fill="auto"/>
            <w:vAlign w:val="bottom"/>
          </w:tcPr>
          <w:p w14:paraId="4C48B906" w14:textId="77777777" w:rsidR="00FA29C5" w:rsidRDefault="00FA29C5" w:rsidP="0012616B">
            <w:pPr>
              <w:tabs>
                <w:tab w:val="left" w:pos="0"/>
                <w:tab w:val="left" w:pos="2220"/>
              </w:tabs>
              <w:jc w:val="right"/>
              <w:rPr>
                <w:rFonts w:ascii="Times New Roman" w:hAnsi="Times New Roman"/>
                <w:color w:val="000000"/>
                <w:szCs w:val="24"/>
              </w:rPr>
            </w:pPr>
          </w:p>
        </w:tc>
        <w:tc>
          <w:tcPr>
            <w:tcW w:w="1440" w:type="dxa"/>
            <w:tcBorders>
              <w:bottom w:val="nil"/>
            </w:tcBorders>
            <w:shd w:val="clear" w:color="auto" w:fill="auto"/>
            <w:vAlign w:val="bottom"/>
          </w:tcPr>
          <w:p w14:paraId="1CEF0069" w14:textId="0ABB2FCA" w:rsidR="00FA29C5" w:rsidRPr="00DA37DD" w:rsidRDefault="00A11DF6" w:rsidP="00AA3B39">
            <w:pPr>
              <w:tabs>
                <w:tab w:val="left" w:pos="0"/>
                <w:tab w:val="left" w:pos="2220"/>
              </w:tabs>
              <w:jc w:val="right"/>
              <w:rPr>
                <w:rFonts w:ascii="Times New Roman" w:hAnsi="Times New Roman"/>
                <w:color w:val="000000"/>
                <w:szCs w:val="24"/>
                <w:u w:val="single"/>
              </w:rPr>
            </w:pPr>
            <w:r>
              <w:rPr>
                <w:rFonts w:ascii="Times New Roman" w:hAnsi="Times New Roman"/>
                <w:color w:val="000000"/>
                <w:szCs w:val="24"/>
                <w:u w:val="single"/>
              </w:rPr>
              <w:t>112</w:t>
            </w:r>
            <w:r w:rsidR="00FA29C5">
              <w:rPr>
                <w:rFonts w:ascii="Times New Roman" w:hAnsi="Times New Roman"/>
                <w:color w:val="000000"/>
                <w:szCs w:val="24"/>
                <w:u w:val="single"/>
              </w:rPr>
              <w:t>,</w:t>
            </w:r>
            <w:r>
              <w:rPr>
                <w:rFonts w:ascii="Times New Roman" w:hAnsi="Times New Roman"/>
                <w:color w:val="000000"/>
                <w:szCs w:val="24"/>
                <w:u w:val="single"/>
              </w:rPr>
              <w:t>9</w:t>
            </w:r>
            <w:r w:rsidR="00FC69B9">
              <w:rPr>
                <w:rFonts w:ascii="Times New Roman" w:hAnsi="Times New Roman"/>
                <w:color w:val="000000"/>
                <w:szCs w:val="24"/>
                <w:u w:val="single"/>
              </w:rPr>
              <w:t>50</w:t>
            </w:r>
          </w:p>
        </w:tc>
      </w:tr>
      <w:tr w:rsidR="0012616B" w:rsidRPr="00DA37DD" w14:paraId="77F62384" w14:textId="77777777" w:rsidTr="00A11DF6">
        <w:trPr>
          <w:trHeight w:val="342"/>
        </w:trPr>
        <w:tc>
          <w:tcPr>
            <w:tcW w:w="3690" w:type="dxa"/>
            <w:tcBorders>
              <w:top w:val="nil"/>
              <w:bottom w:val="single" w:sz="4" w:space="0" w:color="auto"/>
            </w:tcBorders>
            <w:shd w:val="clear" w:color="auto" w:fill="auto"/>
            <w:vAlign w:val="bottom"/>
          </w:tcPr>
          <w:p w14:paraId="78CB4A5C" w14:textId="0E31E6F9" w:rsidR="0012616B" w:rsidRPr="00DA37DD" w:rsidRDefault="00FA29C5" w:rsidP="003E1C8E">
            <w:pPr>
              <w:tabs>
                <w:tab w:val="left" w:pos="0"/>
                <w:tab w:val="left" w:pos="2220"/>
              </w:tabs>
              <w:jc w:val="right"/>
              <w:rPr>
                <w:rFonts w:ascii="Times New Roman" w:hAnsi="Times New Roman"/>
                <w:i/>
                <w:color w:val="000000"/>
                <w:szCs w:val="24"/>
              </w:rPr>
            </w:pPr>
            <w:r>
              <w:rPr>
                <w:rFonts w:ascii="Times New Roman" w:hAnsi="Times New Roman"/>
                <w:i/>
                <w:color w:val="000000"/>
                <w:szCs w:val="24"/>
              </w:rPr>
              <w:t>Change</w:t>
            </w:r>
          </w:p>
        </w:tc>
        <w:tc>
          <w:tcPr>
            <w:tcW w:w="1440" w:type="dxa"/>
            <w:tcBorders>
              <w:top w:val="nil"/>
              <w:bottom w:val="single" w:sz="4" w:space="0" w:color="auto"/>
            </w:tcBorders>
            <w:shd w:val="clear" w:color="auto" w:fill="auto"/>
            <w:vAlign w:val="bottom"/>
          </w:tcPr>
          <w:p w14:paraId="29F095E6" w14:textId="77777777" w:rsidR="0012616B" w:rsidRPr="00DA37DD" w:rsidRDefault="0012616B" w:rsidP="003E1C8E">
            <w:pPr>
              <w:tabs>
                <w:tab w:val="left" w:pos="0"/>
                <w:tab w:val="left" w:pos="2220"/>
              </w:tabs>
              <w:jc w:val="center"/>
              <w:rPr>
                <w:rFonts w:ascii="Times New Roman" w:hAnsi="Times New Roman"/>
                <w:color w:val="000000"/>
                <w:szCs w:val="24"/>
              </w:rPr>
            </w:pPr>
          </w:p>
        </w:tc>
        <w:tc>
          <w:tcPr>
            <w:tcW w:w="1170" w:type="dxa"/>
            <w:tcBorders>
              <w:top w:val="nil"/>
              <w:bottom w:val="single" w:sz="4" w:space="0" w:color="auto"/>
            </w:tcBorders>
            <w:shd w:val="clear" w:color="auto" w:fill="auto"/>
            <w:vAlign w:val="bottom"/>
          </w:tcPr>
          <w:p w14:paraId="0DB35061" w14:textId="77777777" w:rsidR="0012616B" w:rsidRPr="00DA37DD" w:rsidRDefault="0012616B" w:rsidP="003E1C8E">
            <w:pPr>
              <w:tabs>
                <w:tab w:val="left" w:pos="0"/>
                <w:tab w:val="left" w:pos="2220"/>
              </w:tabs>
              <w:jc w:val="center"/>
              <w:rPr>
                <w:rFonts w:ascii="Times New Roman" w:hAnsi="Times New Roman"/>
                <w:color w:val="000000"/>
                <w:szCs w:val="24"/>
              </w:rPr>
            </w:pPr>
          </w:p>
        </w:tc>
        <w:tc>
          <w:tcPr>
            <w:tcW w:w="1350" w:type="dxa"/>
            <w:tcBorders>
              <w:top w:val="nil"/>
              <w:bottom w:val="single" w:sz="4" w:space="0" w:color="auto"/>
            </w:tcBorders>
            <w:shd w:val="clear" w:color="auto" w:fill="auto"/>
            <w:vAlign w:val="bottom"/>
          </w:tcPr>
          <w:p w14:paraId="331F5914" w14:textId="77777777" w:rsidR="0012616B" w:rsidRPr="00DA37DD" w:rsidRDefault="0012616B" w:rsidP="003E1C8E">
            <w:pPr>
              <w:tabs>
                <w:tab w:val="left" w:pos="0"/>
                <w:tab w:val="left" w:pos="2220"/>
              </w:tabs>
              <w:jc w:val="center"/>
              <w:rPr>
                <w:rFonts w:ascii="Times New Roman" w:hAnsi="Times New Roman"/>
                <w:color w:val="000000"/>
                <w:szCs w:val="24"/>
              </w:rPr>
            </w:pPr>
          </w:p>
        </w:tc>
        <w:tc>
          <w:tcPr>
            <w:tcW w:w="1440" w:type="dxa"/>
            <w:tcBorders>
              <w:top w:val="nil"/>
              <w:bottom w:val="single" w:sz="4" w:space="0" w:color="auto"/>
            </w:tcBorders>
            <w:shd w:val="clear" w:color="auto" w:fill="auto"/>
            <w:vAlign w:val="bottom"/>
          </w:tcPr>
          <w:p w14:paraId="54A924D0" w14:textId="0B501C92" w:rsidR="0012616B" w:rsidRPr="00DA37DD" w:rsidRDefault="00A11DF6" w:rsidP="00AA3B39">
            <w:pPr>
              <w:tabs>
                <w:tab w:val="left" w:pos="0"/>
                <w:tab w:val="left" w:pos="2220"/>
              </w:tabs>
              <w:jc w:val="right"/>
              <w:rPr>
                <w:rFonts w:ascii="Times New Roman" w:hAnsi="Times New Roman"/>
                <w:color w:val="000000"/>
                <w:szCs w:val="24"/>
              </w:rPr>
            </w:pPr>
            <w:r>
              <w:rPr>
                <w:rFonts w:ascii="Times New Roman" w:hAnsi="Times New Roman"/>
                <w:color w:val="000000"/>
                <w:szCs w:val="24"/>
              </w:rPr>
              <w:t>22</w:t>
            </w:r>
            <w:r w:rsidR="00FA29C5">
              <w:rPr>
                <w:rFonts w:ascii="Times New Roman" w:hAnsi="Times New Roman"/>
                <w:color w:val="000000"/>
                <w:szCs w:val="24"/>
              </w:rPr>
              <w:t>,</w:t>
            </w:r>
            <w:r>
              <w:rPr>
                <w:rFonts w:ascii="Times New Roman" w:hAnsi="Times New Roman"/>
                <w:color w:val="000000"/>
                <w:szCs w:val="24"/>
              </w:rPr>
              <w:t>3</w:t>
            </w:r>
            <w:r w:rsidR="00FC69B9">
              <w:rPr>
                <w:rFonts w:ascii="Times New Roman" w:hAnsi="Times New Roman"/>
                <w:color w:val="000000"/>
                <w:szCs w:val="24"/>
              </w:rPr>
              <w:t>20</w:t>
            </w:r>
          </w:p>
        </w:tc>
      </w:tr>
    </w:tbl>
    <w:p w14:paraId="56980968" w14:textId="0246BEA1" w:rsidR="007110C5" w:rsidRPr="007F1E05" w:rsidRDefault="007F1E05" w:rsidP="007110C5">
      <w:pPr>
        <w:widowControl/>
        <w:rPr>
          <w:rFonts w:ascii="Times New Roman" w:hAnsi="Times New Roman"/>
          <w:szCs w:val="24"/>
        </w:rPr>
      </w:pPr>
      <w:r w:rsidRPr="004C1DDD">
        <w:rPr>
          <w:rFonts w:ascii="Times New Roman" w:hAnsi="Times New Roman"/>
          <w:szCs w:val="24"/>
        </w:rPr>
        <w:t>The total cost to the public</w:t>
      </w:r>
      <w:r>
        <w:rPr>
          <w:rFonts w:ascii="Times New Roman" w:hAnsi="Times New Roman"/>
          <w:szCs w:val="24"/>
        </w:rPr>
        <w:t xml:space="preserve"> for these surveys</w:t>
      </w:r>
      <w:r w:rsidRPr="004C1DDD">
        <w:rPr>
          <w:rFonts w:ascii="Times New Roman" w:hAnsi="Times New Roman"/>
          <w:szCs w:val="24"/>
        </w:rPr>
        <w:t xml:space="preserve"> is estimated to </w:t>
      </w:r>
      <w:r>
        <w:rPr>
          <w:rFonts w:ascii="Times New Roman" w:hAnsi="Times New Roman"/>
        </w:rPr>
        <w:t>increase</w:t>
      </w:r>
      <w:r w:rsidRPr="004C1DDD">
        <w:rPr>
          <w:rFonts w:ascii="Times New Roman" w:hAnsi="Times New Roman"/>
        </w:rPr>
        <w:t xml:space="preserve"> from the current level of $</w:t>
      </w:r>
      <w:r>
        <w:rPr>
          <w:rFonts w:ascii="Times New Roman" w:hAnsi="Times New Roman"/>
        </w:rPr>
        <w:t>4,522,437</w:t>
      </w:r>
      <w:r w:rsidRPr="004C1DDD">
        <w:rPr>
          <w:rFonts w:ascii="Times New Roman" w:hAnsi="Times New Roman"/>
        </w:rPr>
        <w:t xml:space="preserve"> to $</w:t>
      </w:r>
      <w:r w:rsidR="00A11DF6">
        <w:rPr>
          <w:rFonts w:ascii="Times New Roman" w:hAnsi="Times New Roman"/>
        </w:rPr>
        <w:t>5</w:t>
      </w:r>
      <w:r w:rsidR="00AA3B39" w:rsidRPr="00A90C8E">
        <w:rPr>
          <w:rFonts w:ascii="Times New Roman" w:hAnsi="Times New Roman"/>
          <w:szCs w:val="24"/>
        </w:rPr>
        <w:t>,</w:t>
      </w:r>
      <w:r w:rsidR="00AA3B39">
        <w:rPr>
          <w:rFonts w:ascii="Times New Roman" w:hAnsi="Times New Roman"/>
          <w:szCs w:val="24"/>
        </w:rPr>
        <w:t>636</w:t>
      </w:r>
      <w:r w:rsidRPr="00A90C8E">
        <w:rPr>
          <w:rFonts w:ascii="Times New Roman" w:hAnsi="Times New Roman"/>
          <w:szCs w:val="24"/>
        </w:rPr>
        <w:t>,</w:t>
      </w:r>
      <w:r w:rsidR="00AA3B39">
        <w:rPr>
          <w:rFonts w:ascii="Times New Roman" w:hAnsi="Times New Roman"/>
          <w:szCs w:val="24"/>
        </w:rPr>
        <w:t>205</w:t>
      </w:r>
      <w:r>
        <w:rPr>
          <w:rFonts w:ascii="Times New Roman" w:hAnsi="Times New Roman"/>
          <w:szCs w:val="24"/>
        </w:rPr>
        <w:t xml:space="preserve"> </w:t>
      </w:r>
      <w:r w:rsidRPr="004C1DDD">
        <w:rPr>
          <w:rFonts w:ascii="Times New Roman" w:hAnsi="Times New Roman"/>
        </w:rPr>
        <w:t xml:space="preserve">for the revised </w:t>
      </w:r>
      <w:r w:rsidR="008859FF">
        <w:rPr>
          <w:rFonts w:ascii="Times New Roman" w:hAnsi="Times New Roman"/>
        </w:rPr>
        <w:t>surveys</w:t>
      </w:r>
      <w:r>
        <w:rPr>
          <w:rFonts w:ascii="Times New Roman" w:hAnsi="Times New Roman"/>
          <w:szCs w:val="24"/>
        </w:rPr>
        <w:t>.</w:t>
      </w:r>
      <w:r w:rsidRPr="00DA37DD">
        <w:rPr>
          <w:rStyle w:val="FootnoteReference"/>
          <w:rFonts w:ascii="Times New Roman" w:hAnsi="Times New Roman"/>
          <w:color w:val="000000"/>
          <w:szCs w:val="24"/>
          <w:vertAlign w:val="superscript"/>
        </w:rPr>
        <w:footnoteReference w:id="15"/>
      </w:r>
    </w:p>
    <w:p w14:paraId="3FE41B27" w14:textId="58FFF956" w:rsidR="007110C5" w:rsidRDefault="007110C5">
      <w:pPr>
        <w:widowControl/>
        <w:tabs>
          <w:tab w:val="left" w:pos="360"/>
        </w:tabs>
        <w:rPr>
          <w:rFonts w:ascii="Times New Roman" w:hAnsi="Times New Roman"/>
          <w:b/>
          <w:szCs w:val="24"/>
        </w:rPr>
      </w:pPr>
    </w:p>
    <w:p w14:paraId="0BE73929" w14:textId="7C17E39A" w:rsidR="00137E5C" w:rsidRPr="00DA37DD" w:rsidRDefault="00137E5C" w:rsidP="007E202B">
      <w:pPr>
        <w:widowControl/>
        <w:rPr>
          <w:rFonts w:ascii="Times New Roman" w:hAnsi="Times New Roman"/>
          <w:szCs w:val="24"/>
        </w:rPr>
      </w:pPr>
      <w:r w:rsidRPr="00DA37DD">
        <w:rPr>
          <w:rFonts w:ascii="Times New Roman" w:hAnsi="Times New Roman"/>
          <w:b/>
          <w:szCs w:val="24"/>
        </w:rPr>
        <w:t>Sensitive Questions</w:t>
      </w:r>
    </w:p>
    <w:p w14:paraId="0BE7392A" w14:textId="77777777" w:rsidR="00137E5C" w:rsidRPr="00DA37DD" w:rsidRDefault="00137E5C">
      <w:pPr>
        <w:widowControl/>
        <w:tabs>
          <w:tab w:val="left" w:pos="360"/>
        </w:tabs>
        <w:rPr>
          <w:rFonts w:ascii="Times New Roman" w:hAnsi="Times New Roman"/>
          <w:szCs w:val="24"/>
        </w:rPr>
      </w:pPr>
    </w:p>
    <w:p w14:paraId="0BE7392B" w14:textId="77777777" w:rsidR="00137E5C" w:rsidRPr="00DA37DD" w:rsidRDefault="00137E5C" w:rsidP="00381E42">
      <w:pPr>
        <w:widowControl/>
        <w:tabs>
          <w:tab w:val="left" w:pos="360"/>
        </w:tabs>
        <w:ind w:firstLine="720"/>
        <w:rPr>
          <w:rFonts w:ascii="Times New Roman" w:hAnsi="Times New Roman"/>
          <w:szCs w:val="24"/>
        </w:rPr>
      </w:pPr>
      <w:r w:rsidRPr="00DA37DD">
        <w:rPr>
          <w:rFonts w:ascii="Times New Roman" w:hAnsi="Times New Roman"/>
          <w:szCs w:val="24"/>
        </w:rPr>
        <w:t>This collection of information contains no questions of a sensitive nature, as defined by OMB guidelines.</w:t>
      </w:r>
    </w:p>
    <w:p w14:paraId="0BE7392C" w14:textId="77777777" w:rsidR="00137E5C" w:rsidRPr="00DA37DD" w:rsidRDefault="00137E5C">
      <w:pPr>
        <w:widowControl/>
        <w:tabs>
          <w:tab w:val="left" w:pos="360"/>
        </w:tabs>
        <w:rPr>
          <w:rFonts w:ascii="Times New Roman" w:hAnsi="Times New Roman"/>
          <w:szCs w:val="24"/>
        </w:rPr>
      </w:pPr>
    </w:p>
    <w:p w14:paraId="0BE7392D" w14:textId="77777777" w:rsidR="00137E5C" w:rsidRPr="00DA37DD" w:rsidRDefault="00137E5C" w:rsidP="000D2AEB">
      <w:pPr>
        <w:widowControl/>
        <w:tabs>
          <w:tab w:val="left" w:pos="360"/>
        </w:tabs>
        <w:rPr>
          <w:rFonts w:ascii="Times New Roman" w:hAnsi="Times New Roman"/>
          <w:szCs w:val="24"/>
        </w:rPr>
      </w:pPr>
      <w:r w:rsidRPr="00DA37DD">
        <w:rPr>
          <w:rFonts w:ascii="Times New Roman" w:hAnsi="Times New Roman"/>
          <w:b/>
          <w:szCs w:val="24"/>
        </w:rPr>
        <w:t>Estimate of Cost to the Federal Reserve System</w:t>
      </w:r>
    </w:p>
    <w:p w14:paraId="764BD58A" w14:textId="77777777" w:rsidR="00A11DF6" w:rsidRDefault="00A11DF6" w:rsidP="006D2B4B">
      <w:pPr>
        <w:widowControl/>
        <w:tabs>
          <w:tab w:val="left" w:pos="360"/>
        </w:tabs>
        <w:ind w:firstLine="720"/>
        <w:rPr>
          <w:rFonts w:ascii="Times New Roman" w:hAnsi="Times New Roman"/>
          <w:szCs w:val="24"/>
        </w:rPr>
      </w:pPr>
    </w:p>
    <w:p w14:paraId="0BE73931" w14:textId="57836795" w:rsidR="00543133" w:rsidRPr="00DA37DD" w:rsidRDefault="007110C5" w:rsidP="006D2B4B">
      <w:pPr>
        <w:widowControl/>
        <w:tabs>
          <w:tab w:val="left" w:pos="360"/>
        </w:tabs>
        <w:ind w:firstLine="720"/>
        <w:rPr>
          <w:rFonts w:ascii="Times New Roman" w:hAnsi="Times New Roman"/>
          <w:szCs w:val="24"/>
        </w:rPr>
      </w:pPr>
      <w:r w:rsidRPr="00DA37DD">
        <w:rPr>
          <w:rFonts w:ascii="Times New Roman" w:hAnsi="Times New Roman"/>
          <w:szCs w:val="24"/>
        </w:rPr>
        <w:t xml:space="preserve">The current annual cost to the Federal Reserve System for designing the survey, </w:t>
      </w:r>
      <w:r w:rsidRPr="00DA37DD">
        <w:rPr>
          <w:rFonts w:ascii="Times New Roman" w:hAnsi="Times New Roman"/>
          <w:color w:val="000000"/>
          <w:szCs w:val="24"/>
        </w:rPr>
        <w:t>contacting the respondents and compiling the information</w:t>
      </w:r>
      <w:r w:rsidRPr="00DA37DD">
        <w:rPr>
          <w:rFonts w:ascii="Times New Roman" w:hAnsi="Times New Roman"/>
          <w:szCs w:val="24"/>
        </w:rPr>
        <w:t xml:space="preserve"> is estimated to be $172,500.</w:t>
      </w:r>
      <w:r w:rsidRPr="00DA37DD">
        <w:rPr>
          <w:rStyle w:val="FootnoteReference"/>
          <w:rFonts w:ascii="Times New Roman" w:hAnsi="Times New Roman"/>
          <w:color w:val="000000"/>
          <w:szCs w:val="24"/>
          <w:vertAlign w:val="superscript"/>
        </w:rPr>
        <w:footnoteReference w:id="16"/>
      </w:r>
    </w:p>
    <w:sectPr w:rsidR="00543133" w:rsidRPr="00DA37DD" w:rsidSect="00A96DA7">
      <w:headerReference w:type="even" r:id="rId14"/>
      <w:headerReference w:type="default" r:id="rId15"/>
      <w:endnotePr>
        <w:numFmt w:val="decimal"/>
      </w:endnotePr>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11FB9" w14:textId="77777777" w:rsidR="00013BD5" w:rsidRDefault="00013BD5" w:rsidP="00000333">
      <w:r>
        <w:separator/>
      </w:r>
    </w:p>
  </w:endnote>
  <w:endnote w:type="continuationSeparator" w:id="0">
    <w:p w14:paraId="7D8D8EE5" w14:textId="77777777" w:rsidR="00013BD5" w:rsidRDefault="00013BD5" w:rsidP="00000333">
      <w:r>
        <w:continuationSeparator/>
      </w:r>
    </w:p>
  </w:endnote>
  <w:endnote w:type="continuationNotice" w:id="1">
    <w:p w14:paraId="45A55665" w14:textId="77777777" w:rsidR="00013BD5" w:rsidRDefault="0001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75DD4" w14:textId="77777777" w:rsidR="00013BD5" w:rsidRDefault="00013BD5" w:rsidP="00000333">
      <w:r>
        <w:separator/>
      </w:r>
    </w:p>
  </w:footnote>
  <w:footnote w:type="continuationSeparator" w:id="0">
    <w:p w14:paraId="64B9F557" w14:textId="77777777" w:rsidR="00013BD5" w:rsidRDefault="00013BD5" w:rsidP="00000333">
      <w:r>
        <w:continuationSeparator/>
      </w:r>
    </w:p>
  </w:footnote>
  <w:footnote w:type="continuationNotice" w:id="1">
    <w:p w14:paraId="34E5A187" w14:textId="77777777" w:rsidR="00013BD5" w:rsidRDefault="00013BD5"/>
  </w:footnote>
  <w:footnote w:id="2">
    <w:p w14:paraId="4D911779" w14:textId="6F0BCDFA" w:rsidR="00013BD5" w:rsidRPr="008F0775" w:rsidRDefault="00013BD5">
      <w:pPr>
        <w:pStyle w:val="FootnoteText"/>
        <w:rPr>
          <w:rFonts w:ascii="Times New Roman" w:hAnsi="Times New Roman"/>
        </w:rPr>
      </w:pPr>
      <w:r w:rsidRPr="008F0775">
        <w:rPr>
          <w:rStyle w:val="FootnoteReference"/>
          <w:rFonts w:ascii="Times New Roman" w:hAnsi="Times New Roman"/>
          <w:vertAlign w:val="superscript"/>
        </w:rPr>
        <w:footnoteRef/>
      </w:r>
      <w:r w:rsidRPr="008F0775">
        <w:rPr>
          <w:rFonts w:ascii="Times New Roman" w:hAnsi="Times New Roman"/>
        </w:rPr>
        <w:t xml:space="preserve"> </w:t>
      </w:r>
      <w:r>
        <w:rPr>
          <w:rFonts w:ascii="Times New Roman" w:hAnsi="Times New Roman"/>
        </w:rPr>
        <w:t xml:space="preserve"> </w:t>
      </w:r>
      <w:r w:rsidRPr="008F0775">
        <w:rPr>
          <w:rFonts w:ascii="Times New Roman" w:hAnsi="Times New Roman"/>
        </w:rPr>
        <w:t xml:space="preserve">Average debit card interchange fee by payment card network, </w:t>
      </w:r>
      <w:hyperlink r:id="rId1" w:history="1">
        <w:r w:rsidRPr="007B6873">
          <w:rPr>
            <w:rStyle w:val="Hyperlink"/>
            <w:rFonts w:ascii="Times New Roman" w:hAnsi="Times New Roman"/>
          </w:rPr>
          <w:t>http://www.federalreserve.gov/paymentsystems/regii-average-interchange-fee.htm</w:t>
        </w:r>
      </w:hyperlink>
      <w:r>
        <w:rPr>
          <w:rFonts w:ascii="Times New Roman" w:hAnsi="Times New Roman"/>
        </w:rPr>
        <w:t xml:space="preserve"> </w:t>
      </w:r>
    </w:p>
  </w:footnote>
  <w:footnote w:id="3">
    <w:p w14:paraId="6BE97F02" w14:textId="77777777" w:rsidR="00013BD5" w:rsidRPr="001F1B97" w:rsidRDefault="00013BD5" w:rsidP="002A79CC">
      <w:pPr>
        <w:pStyle w:val="FootnoteText"/>
        <w:rPr>
          <w:rFonts w:ascii="Times New Roman" w:hAnsi="Times New Roman"/>
        </w:rPr>
      </w:pPr>
      <w:r w:rsidRPr="001F1B97">
        <w:rPr>
          <w:rStyle w:val="FootnoteReference"/>
          <w:rFonts w:ascii="Times New Roman" w:hAnsi="Times New Roman"/>
          <w:vertAlign w:val="superscript"/>
        </w:rPr>
        <w:footnoteRef/>
      </w:r>
      <w:r w:rsidRPr="001F1B97">
        <w:rPr>
          <w:rFonts w:ascii="Times New Roman" w:hAnsi="Times New Roman"/>
        </w:rPr>
        <w:t xml:space="preserve"> 15 U.S.C. 1693o-2(a</w:t>
      </w:r>
      <w:proofErr w:type="gramStart"/>
      <w:r w:rsidRPr="001F1B97">
        <w:rPr>
          <w:rFonts w:ascii="Times New Roman" w:hAnsi="Times New Roman"/>
        </w:rPr>
        <w:t>)(</w:t>
      </w:r>
      <w:proofErr w:type="gramEnd"/>
      <w:r w:rsidRPr="001F1B97">
        <w:rPr>
          <w:rFonts w:ascii="Times New Roman" w:hAnsi="Times New Roman"/>
        </w:rPr>
        <w:t>3)(B).</w:t>
      </w:r>
    </w:p>
  </w:footnote>
  <w:footnote w:id="4">
    <w:p w14:paraId="77BA6669" w14:textId="3D0A15D9" w:rsidR="00013BD5" w:rsidRPr="001F1B97" w:rsidRDefault="00013BD5" w:rsidP="002A79CC">
      <w:pPr>
        <w:pStyle w:val="FootnoteText"/>
        <w:rPr>
          <w:rFonts w:ascii="Times New Roman" w:hAnsi="Times New Roman"/>
        </w:rPr>
      </w:pPr>
      <w:r w:rsidRPr="001F1B97">
        <w:rPr>
          <w:rStyle w:val="FootnoteReference"/>
          <w:rFonts w:ascii="Times New Roman" w:hAnsi="Times New Roman"/>
          <w:vertAlign w:val="superscript"/>
        </w:rPr>
        <w:footnoteRef/>
      </w:r>
      <w:r w:rsidRPr="001F1B97">
        <w:rPr>
          <w:rFonts w:ascii="Times New Roman" w:hAnsi="Times New Roman"/>
        </w:rPr>
        <w:t xml:space="preserve"> </w:t>
      </w:r>
      <w:r w:rsidRPr="001F1B97">
        <w:rPr>
          <w:rFonts w:ascii="Times New Roman" w:hAnsi="Times New Roman"/>
          <w:bCs/>
        </w:rPr>
        <w:t>76 FR 43394</w:t>
      </w:r>
      <w:r>
        <w:rPr>
          <w:rFonts w:ascii="Times New Roman" w:hAnsi="Times New Roman"/>
          <w:bCs/>
        </w:rPr>
        <w:t>, 43436</w:t>
      </w:r>
      <w:r w:rsidRPr="001F1B97">
        <w:rPr>
          <w:rFonts w:ascii="Times New Roman" w:hAnsi="Times New Roman"/>
          <w:bCs/>
        </w:rPr>
        <w:t xml:space="preserve"> (July 20, 2011)).</w:t>
      </w:r>
    </w:p>
  </w:footnote>
  <w:footnote w:id="5">
    <w:p w14:paraId="44F7BF8F" w14:textId="77777777" w:rsidR="00013BD5" w:rsidRPr="001F1B97" w:rsidRDefault="00013BD5" w:rsidP="002A79CC">
      <w:pPr>
        <w:pStyle w:val="FootnoteText"/>
        <w:rPr>
          <w:rFonts w:ascii="Times New Roman" w:hAnsi="Times New Roman"/>
        </w:rPr>
      </w:pPr>
      <w:r w:rsidRPr="001F1B97">
        <w:rPr>
          <w:rStyle w:val="FootnoteReference"/>
          <w:rFonts w:ascii="Times New Roman" w:hAnsi="Times New Roman"/>
          <w:vertAlign w:val="superscript"/>
        </w:rPr>
        <w:footnoteRef/>
      </w:r>
      <w:r w:rsidRPr="001F1B97">
        <w:rPr>
          <w:rFonts w:ascii="Times New Roman" w:hAnsi="Times New Roman"/>
        </w:rPr>
        <w:t xml:space="preserve"> Th</w:t>
      </w:r>
      <w:r>
        <w:rPr>
          <w:rFonts w:ascii="Times New Roman" w:hAnsi="Times New Roman"/>
        </w:rPr>
        <w:t xml:space="preserve">e 2010 issuer and network surveys were </w:t>
      </w:r>
      <w:r w:rsidRPr="001F1B97">
        <w:rPr>
          <w:rFonts w:ascii="Times New Roman" w:hAnsi="Times New Roman"/>
        </w:rPr>
        <w:t>conducted under the emergency clearance provision of the Office of Management and Budget’s (OMB) regulation, Interchange Transaction Fees Survey (FR 3062; OMB No. 7100-0329).</w:t>
      </w:r>
    </w:p>
  </w:footnote>
  <w:footnote w:id="6">
    <w:p w14:paraId="3615C923" w14:textId="74527465" w:rsidR="00013BD5" w:rsidRPr="00944781" w:rsidRDefault="00013BD5">
      <w:pPr>
        <w:pStyle w:val="FootnoteText"/>
        <w:rPr>
          <w:rFonts w:ascii="Times New Roman" w:hAnsi="Times New Roman"/>
        </w:rPr>
      </w:pPr>
      <w:r w:rsidRPr="00944781">
        <w:rPr>
          <w:rStyle w:val="FootnoteReference"/>
          <w:rFonts w:ascii="Times New Roman" w:hAnsi="Times New Roman"/>
          <w:vertAlign w:val="superscript"/>
        </w:rPr>
        <w:footnoteRef/>
      </w:r>
      <w:r w:rsidRPr="00944781">
        <w:rPr>
          <w:rFonts w:ascii="Times New Roman" w:hAnsi="Times New Roman"/>
          <w:vertAlign w:val="superscript"/>
        </w:rPr>
        <w:t xml:space="preserve"> </w:t>
      </w:r>
      <w:r w:rsidRPr="00944781">
        <w:rPr>
          <w:rFonts w:ascii="Times New Roman" w:hAnsi="Times New Roman"/>
        </w:rPr>
        <w:t>The 2011 interchange surveys were conducted under the Office of Management and Budget’s (OMB) regulation, Interchange Transaction Fees Su</w:t>
      </w:r>
      <w:r>
        <w:rPr>
          <w:rFonts w:ascii="Times New Roman" w:hAnsi="Times New Roman"/>
        </w:rPr>
        <w:t>rvey (FR 3064a and 3064b; OMB No. 7100-0344</w:t>
      </w:r>
      <w:r w:rsidRPr="00944781">
        <w:rPr>
          <w:rFonts w:ascii="Times New Roman" w:hAnsi="Times New Roman"/>
        </w:rPr>
        <w:t>).</w:t>
      </w:r>
    </w:p>
  </w:footnote>
  <w:footnote w:id="7">
    <w:p w14:paraId="5A7FE454" w14:textId="77777777" w:rsidR="00013BD5" w:rsidRPr="00071129" w:rsidRDefault="00013BD5" w:rsidP="009A1EB9">
      <w:pPr>
        <w:pStyle w:val="PRAFootnoteText"/>
      </w:pPr>
      <w:r w:rsidRPr="00105B23">
        <w:rPr>
          <w:vertAlign w:val="superscript"/>
        </w:rPr>
        <w:footnoteRef/>
      </w:r>
      <w:r w:rsidRPr="00105B23">
        <w:rPr>
          <w:vertAlign w:val="superscript"/>
        </w:rPr>
        <w:t xml:space="preserve"> </w:t>
      </w:r>
      <w:r>
        <w:t>In d</w:t>
      </w:r>
      <w:r w:rsidRPr="00071129">
        <w:t>ual</w:t>
      </w:r>
      <w:r>
        <w:t>-</w:t>
      </w:r>
      <w:r w:rsidRPr="00071129">
        <w:t>message transactions</w:t>
      </w:r>
      <w:r>
        <w:t>, authorization information is carried in one message and clearing information is carried in a separate message</w:t>
      </w:r>
      <w:r w:rsidRPr="00071129">
        <w:t xml:space="preserve">.  </w:t>
      </w:r>
      <w:r>
        <w:t>In s</w:t>
      </w:r>
      <w:r w:rsidRPr="00071129">
        <w:t>ingle</w:t>
      </w:r>
      <w:r>
        <w:t>-</w:t>
      </w:r>
      <w:r w:rsidRPr="00071129">
        <w:t>message transactions</w:t>
      </w:r>
      <w:r>
        <w:t>, authorization and clearing information is carried in one message</w:t>
      </w:r>
      <w:r w:rsidRPr="00071129">
        <w:t xml:space="preserve">.  General-use prepaid </w:t>
      </w:r>
      <w:r>
        <w:t xml:space="preserve">card </w:t>
      </w:r>
      <w:r w:rsidRPr="00071129">
        <w:t xml:space="preserve">transactions use either </w:t>
      </w:r>
      <w:r>
        <w:t xml:space="preserve">communication </w:t>
      </w:r>
      <w:r w:rsidRPr="00071129">
        <w:t>method (although dual</w:t>
      </w:r>
      <w:r>
        <w:t>-</w:t>
      </w:r>
      <w:r w:rsidRPr="00071129">
        <w:t>message transactions are more common) and can be reloadable or non-reloadable cards.</w:t>
      </w:r>
    </w:p>
  </w:footnote>
  <w:footnote w:id="8">
    <w:p w14:paraId="63A7B80A" w14:textId="77777777" w:rsidR="00013BD5" w:rsidRDefault="00013BD5" w:rsidP="002A79CC">
      <w:pPr>
        <w:pStyle w:val="FootnoteText"/>
      </w:pPr>
      <w:r w:rsidRPr="00D32888">
        <w:rPr>
          <w:rStyle w:val="FootnoteReference"/>
          <w:rFonts w:ascii="Times New Roman" w:hAnsi="Times New Roman"/>
          <w:vertAlign w:val="superscript"/>
        </w:rPr>
        <w:footnoteRef/>
      </w:r>
      <w:r w:rsidRPr="00EA24D2">
        <w:rPr>
          <w:rFonts w:ascii="Times New Roman" w:hAnsi="Times New Roman"/>
          <w:vertAlign w:val="superscript"/>
        </w:rPr>
        <w:t xml:space="preserve"> </w:t>
      </w:r>
      <w:r>
        <w:rPr>
          <w:rFonts w:ascii="Times New Roman" w:hAnsi="Times New Roman"/>
        </w:rPr>
        <w:t>U.S. territories include American Samoa, Federal States of Micronesia, Guam, Midway Islands, Northern Mariana Islands, Puerto Rico, Republic of Palau, Republic of the Marshall Islands, and U.S. Virgin Islands.</w:t>
      </w:r>
    </w:p>
  </w:footnote>
  <w:footnote w:id="9">
    <w:p w14:paraId="3709BD56" w14:textId="5F978A37" w:rsidR="00013BD5" w:rsidRPr="006F7BB4" w:rsidRDefault="00013BD5" w:rsidP="002A79CC">
      <w:pPr>
        <w:pStyle w:val="PRAFootnoteText"/>
      </w:pPr>
      <w:r w:rsidRPr="00105B23">
        <w:rPr>
          <w:vertAlign w:val="superscript"/>
        </w:rPr>
        <w:footnoteRef/>
      </w:r>
      <w:r w:rsidRPr="00071129">
        <w:t xml:space="preserve"> </w:t>
      </w:r>
      <w:r>
        <w:t xml:space="preserve">The list of </w:t>
      </w:r>
      <w:r w:rsidRPr="00071129">
        <w:t>fraud prevention activities</w:t>
      </w:r>
      <w:r>
        <w:t xml:space="preserve"> (</w:t>
      </w:r>
      <w:r w:rsidRPr="00071129">
        <w:t>such as transaction monitoring, merchant blocking, data security, PIN customization</w:t>
      </w:r>
      <w:r>
        <w:t xml:space="preserve">, and other) may </w:t>
      </w:r>
      <w:r w:rsidRPr="00071129">
        <w:t xml:space="preserve">be updated over time based on </w:t>
      </w:r>
      <w:r>
        <w:t>“other”</w:t>
      </w:r>
      <w:r w:rsidRPr="00071129">
        <w:t xml:space="preserve"> activities reported.</w:t>
      </w:r>
      <w:r>
        <w:t xml:space="preserve"> </w:t>
      </w:r>
    </w:p>
  </w:footnote>
  <w:footnote w:id="10">
    <w:p w14:paraId="72828D5B" w14:textId="77777777" w:rsidR="00013BD5" w:rsidRPr="00430A73" w:rsidRDefault="00013BD5" w:rsidP="00606AD7">
      <w:pPr>
        <w:pStyle w:val="FootnoteText"/>
        <w:rPr>
          <w:rFonts w:ascii="Times New Roman" w:hAnsi="Times New Roman"/>
        </w:rPr>
      </w:pPr>
      <w:r w:rsidRPr="00430A73">
        <w:rPr>
          <w:rStyle w:val="FootnoteReference"/>
          <w:rFonts w:ascii="Times New Roman" w:hAnsi="Times New Roman"/>
          <w:vertAlign w:val="superscript"/>
        </w:rPr>
        <w:footnoteRef/>
      </w:r>
      <w:r w:rsidRPr="00430A73">
        <w:rPr>
          <w:rFonts w:ascii="Times New Roman" w:hAnsi="Times New Roman"/>
        </w:rPr>
        <w:t xml:space="preserve"> </w:t>
      </w:r>
      <w:r>
        <w:rPr>
          <w:rFonts w:ascii="Times New Roman" w:hAnsi="Times New Roman"/>
        </w:rPr>
        <w:t>Fixed costs would be defined as costs that do not vary with changes in the number or value of transaction over the course of the reporting period (i.e., calendar year 2013 for this application of the survey).</w:t>
      </w:r>
    </w:p>
  </w:footnote>
  <w:footnote w:id="11">
    <w:p w14:paraId="34B8878D" w14:textId="77777777" w:rsidR="00013BD5" w:rsidRPr="00391AAA" w:rsidRDefault="00013BD5" w:rsidP="0073649E">
      <w:pPr>
        <w:pStyle w:val="FootnoteText"/>
        <w:rPr>
          <w:rFonts w:ascii="Times New Roman" w:hAnsi="Times New Roman"/>
        </w:rPr>
      </w:pPr>
      <w:r w:rsidRPr="00645E93">
        <w:rPr>
          <w:rStyle w:val="FootnoteReference"/>
          <w:rFonts w:ascii="Times New Roman" w:hAnsi="Times New Roman"/>
          <w:vertAlign w:val="superscript"/>
        </w:rPr>
        <w:footnoteRef/>
      </w:r>
      <w:r>
        <w:rPr>
          <w:rFonts w:ascii="Times New Roman" w:hAnsi="Times New Roman"/>
          <w:vertAlign w:val="superscript"/>
        </w:rPr>
        <w:t xml:space="preserve"> </w:t>
      </w:r>
      <w:proofErr w:type="gramStart"/>
      <w:r w:rsidRPr="00645E93">
        <w:rPr>
          <w:rFonts w:ascii="Times New Roman" w:hAnsi="Times New Roman"/>
        </w:rPr>
        <w:t>12</w:t>
      </w:r>
      <w:proofErr w:type="gramEnd"/>
      <w:r w:rsidRPr="00645E93">
        <w:rPr>
          <w:rFonts w:ascii="Times New Roman" w:hAnsi="Times New Roman"/>
        </w:rPr>
        <w:t xml:space="preserve"> </w:t>
      </w:r>
      <w:r>
        <w:rPr>
          <w:rFonts w:ascii="Times New Roman" w:hAnsi="Times New Roman"/>
        </w:rPr>
        <w:t xml:space="preserve">CFR </w:t>
      </w:r>
      <w:r w:rsidRPr="00645E93">
        <w:rPr>
          <w:rFonts w:ascii="Times New Roman" w:hAnsi="Times New Roman"/>
        </w:rPr>
        <w:t>235.8</w:t>
      </w:r>
      <w:r>
        <w:rPr>
          <w:rFonts w:ascii="Times New Roman" w:hAnsi="Times New Roman"/>
        </w:rPr>
        <w:t>.</w:t>
      </w:r>
    </w:p>
  </w:footnote>
  <w:footnote w:id="12">
    <w:p w14:paraId="05AE2E39" w14:textId="0E3286B5" w:rsidR="00013BD5" w:rsidRPr="00B042BE" w:rsidRDefault="00013BD5" w:rsidP="002A79CC">
      <w:pPr>
        <w:pStyle w:val="FootnoteText"/>
        <w:rPr>
          <w:rFonts w:ascii="Times New Roman" w:hAnsi="Times New Roman"/>
        </w:rPr>
      </w:pPr>
      <w:r w:rsidRPr="003C4FE5">
        <w:rPr>
          <w:rStyle w:val="FootnoteReference"/>
          <w:rFonts w:ascii="Times New Roman" w:hAnsi="Times New Roman"/>
          <w:vertAlign w:val="superscript"/>
        </w:rPr>
        <w:footnoteRef/>
      </w:r>
      <w:r w:rsidRPr="003C4FE5">
        <w:rPr>
          <w:rFonts w:ascii="Times New Roman" w:hAnsi="Times New Roman"/>
          <w:vertAlign w:val="superscript"/>
        </w:rPr>
        <w:t xml:space="preserve"> </w:t>
      </w:r>
      <w:r>
        <w:rPr>
          <w:rFonts w:ascii="Times New Roman" w:hAnsi="Times New Roman"/>
        </w:rPr>
        <w:t>Entities that have both single-message and dual-message networks are asked to report data for each program separately</w:t>
      </w:r>
      <w:r w:rsidRPr="00B042BE">
        <w:rPr>
          <w:rFonts w:ascii="Times New Roman" w:hAnsi="Times New Roman"/>
        </w:rPr>
        <w:t>.</w:t>
      </w:r>
      <w:r>
        <w:rPr>
          <w:rFonts w:ascii="Times New Roman" w:hAnsi="Times New Roman"/>
        </w:rPr>
        <w:t xml:space="preserve"> </w:t>
      </w:r>
    </w:p>
  </w:footnote>
  <w:footnote w:id="13">
    <w:p w14:paraId="33F75244" w14:textId="5720E827" w:rsidR="00013BD5" w:rsidRDefault="00013BD5" w:rsidP="002A79CC">
      <w:pPr>
        <w:pStyle w:val="PRAFootnoteText"/>
      </w:pPr>
      <w:r w:rsidRPr="00105B23">
        <w:rPr>
          <w:rStyle w:val="FootnoteReference"/>
          <w:vertAlign w:val="superscript"/>
        </w:rPr>
        <w:footnoteRef/>
      </w:r>
      <w:r>
        <w:t xml:space="preserve"> See </w:t>
      </w:r>
      <w:hyperlink r:id="rId2" w:history="1">
        <w:r w:rsidRPr="00135F39">
          <w:rPr>
            <w:rStyle w:val="Hyperlink"/>
          </w:rPr>
          <w:t>http://www.federalreserve.gov/paymentsystems/regii-interchange-fee-standards.htm</w:t>
        </w:r>
      </w:hyperlink>
      <w:r w:rsidRPr="00407C63">
        <w:t xml:space="preserve"> </w:t>
      </w:r>
      <w:r>
        <w:t>for a list of institutions that are known to be non-exempt</w:t>
      </w:r>
      <w:r w:rsidRPr="00BD23DB">
        <w:t>.</w:t>
      </w:r>
      <w:r>
        <w:t xml:space="preserve"> </w:t>
      </w:r>
    </w:p>
  </w:footnote>
  <w:footnote w:id="14">
    <w:p w14:paraId="321BCC00" w14:textId="3A798674" w:rsidR="00013BD5" w:rsidRPr="00071129" w:rsidRDefault="00013BD5" w:rsidP="002A79CC">
      <w:pPr>
        <w:pStyle w:val="PRAFootnoteText"/>
      </w:pPr>
      <w:r w:rsidRPr="00105B23">
        <w:rPr>
          <w:rStyle w:val="FootnoteReference"/>
          <w:vertAlign w:val="superscript"/>
        </w:rPr>
        <w:footnoteRef/>
      </w:r>
      <w:r w:rsidRPr="00105B23">
        <w:rPr>
          <w:vertAlign w:val="superscript"/>
        </w:rPr>
        <w:t xml:space="preserve"> </w:t>
      </w:r>
      <w:r w:rsidRPr="00BD23DB">
        <w:t>This estimate is based on payment card networks known to process electronic debit transactions</w:t>
      </w:r>
      <w:r>
        <w:t xml:space="preserve"> and responses to t</w:t>
      </w:r>
      <w:r w:rsidRPr="00071129">
        <w:t xml:space="preserve">he </w:t>
      </w:r>
      <w:r>
        <w:t>payment card network</w:t>
      </w:r>
      <w:r w:rsidRPr="00071129">
        <w:t xml:space="preserve"> </w:t>
      </w:r>
      <w:r>
        <w:t>data collection for calendar year 2012</w:t>
      </w:r>
      <w:r w:rsidRPr="00071129">
        <w:t>.</w:t>
      </w:r>
    </w:p>
  </w:footnote>
  <w:footnote w:id="15">
    <w:p w14:paraId="7334AFE2" w14:textId="418D5098" w:rsidR="00013BD5" w:rsidRPr="00105B23" w:rsidRDefault="00013BD5" w:rsidP="007F1E05">
      <w:pPr>
        <w:pStyle w:val="PRAFootnoteText"/>
      </w:pPr>
      <w:r w:rsidRPr="00F904F3">
        <w:rPr>
          <w:rStyle w:val="FootnoteReference"/>
          <w:vertAlign w:val="superscript"/>
        </w:rPr>
        <w:footnoteRef/>
      </w:r>
      <w:r w:rsidRPr="00F904F3">
        <w:rPr>
          <w:vertAlign w:val="superscript"/>
        </w:rPr>
        <w:t xml:space="preserve"> </w:t>
      </w:r>
      <w:r w:rsidRPr="002D1916">
        <w:t xml:space="preserve">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t>
      </w:r>
      <w:hyperlink r:id="rId3" w:history="1">
        <w:r w:rsidRPr="00BD7522">
          <w:rPr>
            <w:rStyle w:val="Hyperlink"/>
          </w:rPr>
          <w:t>www.bls.gov/news.release/ocwage.nr0.htm</w:t>
        </w:r>
      </w:hyperlink>
      <w:r>
        <w:t xml:space="preserve">  </w:t>
      </w:r>
      <w:r w:rsidRPr="002D1916">
        <w:t xml:space="preserve">Occupations are defined using the BLS Occupational Classification System, </w:t>
      </w:r>
      <w:hyperlink r:id="rId4" w:history="1">
        <w:r w:rsidRPr="00BD7522">
          <w:rPr>
            <w:rStyle w:val="Hyperlink"/>
          </w:rPr>
          <w:t>www.bls.gov/soc/</w:t>
        </w:r>
      </w:hyperlink>
      <w:r>
        <w:t xml:space="preserve">  </w:t>
      </w:r>
    </w:p>
  </w:footnote>
  <w:footnote w:id="16">
    <w:p w14:paraId="5AD83EEE" w14:textId="77777777" w:rsidR="00013BD5" w:rsidRPr="00FA62C5" w:rsidRDefault="00013BD5" w:rsidP="007110C5">
      <w:pPr>
        <w:pStyle w:val="PRAFootnoteText"/>
      </w:pPr>
      <w:r w:rsidRPr="00FA62C5">
        <w:rPr>
          <w:rStyle w:val="FootnoteReference"/>
          <w:vertAlign w:val="superscript"/>
        </w:rPr>
        <w:footnoteRef/>
      </w:r>
      <w:r>
        <w:t xml:space="preserve"> Total cost to the Federal Reserve System was estimated using the following formula:  (estimated staff time of 2,000 hours multiplied by average hourly rate of $50) plus estimated information technology costs of $72,500.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393A" w14:textId="77777777" w:rsidR="00013BD5" w:rsidRDefault="00013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7393B" w14:textId="77777777" w:rsidR="00013BD5" w:rsidRDefault="00013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7393C" w14:textId="77777777" w:rsidR="00013BD5" w:rsidRDefault="00013BD5">
    <w:pPr>
      <w:framePr w:wrap="around" w:vAnchor="text" w:hAnchor="margin" w:xAlign="center" w:y="1"/>
      <w:jc w:val="center"/>
      <w:rPr>
        <w:rFonts w:ascii="Times" w:hAnsi="Times"/>
      </w:rPr>
    </w:pPr>
    <w:r>
      <w:rPr>
        <w:rFonts w:ascii="Times" w:hAnsi="Times"/>
      </w:rPr>
      <w:t>-</w:t>
    </w:r>
    <w:r>
      <w:rPr>
        <w:rFonts w:ascii="Times" w:hAnsi="Times"/>
      </w:rPr>
      <w:fldChar w:fldCharType="begin"/>
    </w:r>
    <w:r>
      <w:rPr>
        <w:rFonts w:ascii="Times" w:hAnsi="Times"/>
      </w:rPr>
      <w:instrText xml:space="preserve">PAGE </w:instrText>
    </w:r>
    <w:r>
      <w:rPr>
        <w:rFonts w:ascii="Times" w:hAnsi="Times"/>
      </w:rPr>
      <w:fldChar w:fldCharType="separate"/>
    </w:r>
    <w:r w:rsidR="009E6B13">
      <w:rPr>
        <w:rFonts w:ascii="Times" w:hAnsi="Times"/>
        <w:noProof/>
      </w:rPr>
      <w:t>10</w:t>
    </w:r>
    <w:r>
      <w:rPr>
        <w:rFonts w:ascii="Times" w:hAnsi="Times"/>
      </w:rPr>
      <w:fldChar w:fldCharType="end"/>
    </w:r>
    <w:r>
      <w:rPr>
        <w:rFonts w:ascii="Times" w:hAnsi="Times"/>
      </w:rPr>
      <w:t>-</w:t>
    </w:r>
  </w:p>
  <w:p w14:paraId="0BE7393D" w14:textId="77777777" w:rsidR="00013BD5" w:rsidRDefault="00013BD5"/>
  <w:p w14:paraId="0BE7393E" w14:textId="77777777" w:rsidR="00013BD5" w:rsidRDefault="00013BD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2653"/>
    <w:multiLevelType w:val="hybridMultilevel"/>
    <w:tmpl w:val="BA7A5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CE4605"/>
    <w:multiLevelType w:val="hybridMultilevel"/>
    <w:tmpl w:val="942E17E6"/>
    <w:lvl w:ilvl="0" w:tplc="370882CE">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50116923"/>
    <w:multiLevelType w:val="hybridMultilevel"/>
    <w:tmpl w:val="660A0E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401F6E"/>
    <w:multiLevelType w:val="hybridMultilevel"/>
    <w:tmpl w:val="4EAA4992"/>
    <w:lvl w:ilvl="0" w:tplc="F3A229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E00D2"/>
    <w:multiLevelType w:val="hybridMultilevel"/>
    <w:tmpl w:val="21BEF842"/>
    <w:lvl w:ilvl="0" w:tplc="8CD2E824">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C47588"/>
    <w:multiLevelType w:val="hybridMultilevel"/>
    <w:tmpl w:val="794E3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C9"/>
    <w:rsid w:val="00000333"/>
    <w:rsid w:val="000042A2"/>
    <w:rsid w:val="0000470B"/>
    <w:rsid w:val="00011B3E"/>
    <w:rsid w:val="00012383"/>
    <w:rsid w:val="0001263C"/>
    <w:rsid w:val="00013BD5"/>
    <w:rsid w:val="0001407A"/>
    <w:rsid w:val="00016D0F"/>
    <w:rsid w:val="00021675"/>
    <w:rsid w:val="0002558B"/>
    <w:rsid w:val="00033357"/>
    <w:rsid w:val="00036F5C"/>
    <w:rsid w:val="00043EFA"/>
    <w:rsid w:val="00044EC2"/>
    <w:rsid w:val="00050C05"/>
    <w:rsid w:val="000549B7"/>
    <w:rsid w:val="000553B6"/>
    <w:rsid w:val="00062BA5"/>
    <w:rsid w:val="000718B7"/>
    <w:rsid w:val="00071C92"/>
    <w:rsid w:val="00076270"/>
    <w:rsid w:val="00087151"/>
    <w:rsid w:val="00092BEC"/>
    <w:rsid w:val="00094436"/>
    <w:rsid w:val="000A265F"/>
    <w:rsid w:val="000A5AB9"/>
    <w:rsid w:val="000B056F"/>
    <w:rsid w:val="000B09B4"/>
    <w:rsid w:val="000B1E5E"/>
    <w:rsid w:val="000B3047"/>
    <w:rsid w:val="000B417D"/>
    <w:rsid w:val="000C3681"/>
    <w:rsid w:val="000C51CE"/>
    <w:rsid w:val="000C61B4"/>
    <w:rsid w:val="000C7047"/>
    <w:rsid w:val="000C7B67"/>
    <w:rsid w:val="000D2AEB"/>
    <w:rsid w:val="000D6296"/>
    <w:rsid w:val="000E0D52"/>
    <w:rsid w:val="000E2D92"/>
    <w:rsid w:val="000E3AEF"/>
    <w:rsid w:val="000F1AC2"/>
    <w:rsid w:val="000F3CF8"/>
    <w:rsid w:val="000F560C"/>
    <w:rsid w:val="000F7EB4"/>
    <w:rsid w:val="001007D3"/>
    <w:rsid w:val="00100DAC"/>
    <w:rsid w:val="00102484"/>
    <w:rsid w:val="00103C28"/>
    <w:rsid w:val="00105D7C"/>
    <w:rsid w:val="00106FA8"/>
    <w:rsid w:val="00112A41"/>
    <w:rsid w:val="00112F1F"/>
    <w:rsid w:val="00113E24"/>
    <w:rsid w:val="00116DC3"/>
    <w:rsid w:val="00123E05"/>
    <w:rsid w:val="001244B8"/>
    <w:rsid w:val="001250A4"/>
    <w:rsid w:val="0012616B"/>
    <w:rsid w:val="00130278"/>
    <w:rsid w:val="00132769"/>
    <w:rsid w:val="001362AC"/>
    <w:rsid w:val="0013652C"/>
    <w:rsid w:val="00137E5C"/>
    <w:rsid w:val="00140FDB"/>
    <w:rsid w:val="00143865"/>
    <w:rsid w:val="00146924"/>
    <w:rsid w:val="0015161D"/>
    <w:rsid w:val="00153532"/>
    <w:rsid w:val="00154AE6"/>
    <w:rsid w:val="0017133E"/>
    <w:rsid w:val="00172CAF"/>
    <w:rsid w:val="00177C08"/>
    <w:rsid w:val="001806C4"/>
    <w:rsid w:val="0019203C"/>
    <w:rsid w:val="00195A80"/>
    <w:rsid w:val="001A2BCC"/>
    <w:rsid w:val="001B1CB8"/>
    <w:rsid w:val="001B640C"/>
    <w:rsid w:val="001C26DF"/>
    <w:rsid w:val="001C6260"/>
    <w:rsid w:val="001C7859"/>
    <w:rsid w:val="001D3C2D"/>
    <w:rsid w:val="001E6481"/>
    <w:rsid w:val="001F00CE"/>
    <w:rsid w:val="001F1414"/>
    <w:rsid w:val="001F41FA"/>
    <w:rsid w:val="001F4BD4"/>
    <w:rsid w:val="001F6E49"/>
    <w:rsid w:val="001F7481"/>
    <w:rsid w:val="001F76A5"/>
    <w:rsid w:val="00202ADF"/>
    <w:rsid w:val="00202C1F"/>
    <w:rsid w:val="0020625D"/>
    <w:rsid w:val="00211B43"/>
    <w:rsid w:val="00215146"/>
    <w:rsid w:val="00215FDE"/>
    <w:rsid w:val="002215D8"/>
    <w:rsid w:val="00223175"/>
    <w:rsid w:val="00224003"/>
    <w:rsid w:val="00224D59"/>
    <w:rsid w:val="00227772"/>
    <w:rsid w:val="00227EA0"/>
    <w:rsid w:val="00234655"/>
    <w:rsid w:val="00241D34"/>
    <w:rsid w:val="002454D7"/>
    <w:rsid w:val="002475BD"/>
    <w:rsid w:val="00251851"/>
    <w:rsid w:val="00263743"/>
    <w:rsid w:val="00264B14"/>
    <w:rsid w:val="002654DD"/>
    <w:rsid w:val="00265B85"/>
    <w:rsid w:val="002671F5"/>
    <w:rsid w:val="0027444C"/>
    <w:rsid w:val="002765C8"/>
    <w:rsid w:val="00281D6D"/>
    <w:rsid w:val="002850E7"/>
    <w:rsid w:val="0028656F"/>
    <w:rsid w:val="00292596"/>
    <w:rsid w:val="002938DB"/>
    <w:rsid w:val="00295DFE"/>
    <w:rsid w:val="002970AB"/>
    <w:rsid w:val="002973E5"/>
    <w:rsid w:val="002A78A3"/>
    <w:rsid w:val="002A79CC"/>
    <w:rsid w:val="002B086F"/>
    <w:rsid w:val="002B3365"/>
    <w:rsid w:val="002B362B"/>
    <w:rsid w:val="002C6B7E"/>
    <w:rsid w:val="002D1916"/>
    <w:rsid w:val="002D55FE"/>
    <w:rsid w:val="002E1071"/>
    <w:rsid w:val="002E13D6"/>
    <w:rsid w:val="002E1929"/>
    <w:rsid w:val="002E3E73"/>
    <w:rsid w:val="002E5C4D"/>
    <w:rsid w:val="002E7843"/>
    <w:rsid w:val="002F0888"/>
    <w:rsid w:val="002F1A8B"/>
    <w:rsid w:val="002F2E24"/>
    <w:rsid w:val="002F3710"/>
    <w:rsid w:val="002F39F5"/>
    <w:rsid w:val="002F3A6F"/>
    <w:rsid w:val="002F7A86"/>
    <w:rsid w:val="00305CB6"/>
    <w:rsid w:val="003107F0"/>
    <w:rsid w:val="00310BC2"/>
    <w:rsid w:val="0031158B"/>
    <w:rsid w:val="00314323"/>
    <w:rsid w:val="00314BB9"/>
    <w:rsid w:val="00317518"/>
    <w:rsid w:val="00321EAA"/>
    <w:rsid w:val="00323376"/>
    <w:rsid w:val="0032452C"/>
    <w:rsid w:val="00325089"/>
    <w:rsid w:val="00325B77"/>
    <w:rsid w:val="00332ED7"/>
    <w:rsid w:val="003334D1"/>
    <w:rsid w:val="00336863"/>
    <w:rsid w:val="00337261"/>
    <w:rsid w:val="003434DD"/>
    <w:rsid w:val="0035465F"/>
    <w:rsid w:val="00356DA2"/>
    <w:rsid w:val="003618FC"/>
    <w:rsid w:val="00364205"/>
    <w:rsid w:val="0037187F"/>
    <w:rsid w:val="003766AD"/>
    <w:rsid w:val="00380870"/>
    <w:rsid w:val="00381E42"/>
    <w:rsid w:val="00390062"/>
    <w:rsid w:val="003910FB"/>
    <w:rsid w:val="0039125A"/>
    <w:rsid w:val="00394BD2"/>
    <w:rsid w:val="003A0C63"/>
    <w:rsid w:val="003A6EA5"/>
    <w:rsid w:val="003B143C"/>
    <w:rsid w:val="003B16E2"/>
    <w:rsid w:val="003B51A2"/>
    <w:rsid w:val="003C09BA"/>
    <w:rsid w:val="003C0A88"/>
    <w:rsid w:val="003C14E3"/>
    <w:rsid w:val="003C2BE8"/>
    <w:rsid w:val="003C34E1"/>
    <w:rsid w:val="003C48CF"/>
    <w:rsid w:val="003C79E9"/>
    <w:rsid w:val="003C7C4A"/>
    <w:rsid w:val="003D1D8D"/>
    <w:rsid w:val="003D3105"/>
    <w:rsid w:val="003D3563"/>
    <w:rsid w:val="003D5712"/>
    <w:rsid w:val="003D5CAB"/>
    <w:rsid w:val="003D7F81"/>
    <w:rsid w:val="003E1C8E"/>
    <w:rsid w:val="003E23DE"/>
    <w:rsid w:val="003E64A2"/>
    <w:rsid w:val="003F2CD2"/>
    <w:rsid w:val="003F67C9"/>
    <w:rsid w:val="00402CC1"/>
    <w:rsid w:val="004040D9"/>
    <w:rsid w:val="00407C63"/>
    <w:rsid w:val="00410F2C"/>
    <w:rsid w:val="004117BC"/>
    <w:rsid w:val="0041265B"/>
    <w:rsid w:val="00415478"/>
    <w:rsid w:val="004178A6"/>
    <w:rsid w:val="00417FE9"/>
    <w:rsid w:val="0042227E"/>
    <w:rsid w:val="00423645"/>
    <w:rsid w:val="00425568"/>
    <w:rsid w:val="0042574D"/>
    <w:rsid w:val="00427D9F"/>
    <w:rsid w:val="00430A73"/>
    <w:rsid w:val="00434737"/>
    <w:rsid w:val="00434F7A"/>
    <w:rsid w:val="0043607D"/>
    <w:rsid w:val="004360FC"/>
    <w:rsid w:val="00442719"/>
    <w:rsid w:val="00453808"/>
    <w:rsid w:val="00454F77"/>
    <w:rsid w:val="00455740"/>
    <w:rsid w:val="00457225"/>
    <w:rsid w:val="00463304"/>
    <w:rsid w:val="00465CB1"/>
    <w:rsid w:val="0046788C"/>
    <w:rsid w:val="00471C2F"/>
    <w:rsid w:val="00473AE0"/>
    <w:rsid w:val="00474F3D"/>
    <w:rsid w:val="00475730"/>
    <w:rsid w:val="004767C3"/>
    <w:rsid w:val="004809A7"/>
    <w:rsid w:val="00483904"/>
    <w:rsid w:val="004866DA"/>
    <w:rsid w:val="0048695E"/>
    <w:rsid w:val="004901BD"/>
    <w:rsid w:val="00496068"/>
    <w:rsid w:val="00496AF8"/>
    <w:rsid w:val="004A0DDD"/>
    <w:rsid w:val="004A5DB6"/>
    <w:rsid w:val="004A61B3"/>
    <w:rsid w:val="004B0179"/>
    <w:rsid w:val="004B73A4"/>
    <w:rsid w:val="004C32D1"/>
    <w:rsid w:val="004C63C9"/>
    <w:rsid w:val="004C7D23"/>
    <w:rsid w:val="004D01DE"/>
    <w:rsid w:val="004D336D"/>
    <w:rsid w:val="004E4B00"/>
    <w:rsid w:val="004E50C4"/>
    <w:rsid w:val="004E5B3D"/>
    <w:rsid w:val="004E74E2"/>
    <w:rsid w:val="004F5231"/>
    <w:rsid w:val="004F7569"/>
    <w:rsid w:val="004F79FD"/>
    <w:rsid w:val="00501044"/>
    <w:rsid w:val="00501ECF"/>
    <w:rsid w:val="005068AC"/>
    <w:rsid w:val="0050716C"/>
    <w:rsid w:val="005111AE"/>
    <w:rsid w:val="00514356"/>
    <w:rsid w:val="005218EA"/>
    <w:rsid w:val="005245A2"/>
    <w:rsid w:val="0053028B"/>
    <w:rsid w:val="00531037"/>
    <w:rsid w:val="00531FB5"/>
    <w:rsid w:val="0054073C"/>
    <w:rsid w:val="00541164"/>
    <w:rsid w:val="00541681"/>
    <w:rsid w:val="00541EF5"/>
    <w:rsid w:val="00542F93"/>
    <w:rsid w:val="00543133"/>
    <w:rsid w:val="00543C71"/>
    <w:rsid w:val="00545DD8"/>
    <w:rsid w:val="00546840"/>
    <w:rsid w:val="005505D2"/>
    <w:rsid w:val="00552D88"/>
    <w:rsid w:val="005536C6"/>
    <w:rsid w:val="005539A7"/>
    <w:rsid w:val="005546CC"/>
    <w:rsid w:val="005611A3"/>
    <w:rsid w:val="0056531D"/>
    <w:rsid w:val="00565877"/>
    <w:rsid w:val="005752F0"/>
    <w:rsid w:val="005763AD"/>
    <w:rsid w:val="005816C8"/>
    <w:rsid w:val="00582BC1"/>
    <w:rsid w:val="00583B46"/>
    <w:rsid w:val="00592710"/>
    <w:rsid w:val="00595221"/>
    <w:rsid w:val="0059598C"/>
    <w:rsid w:val="005A08C3"/>
    <w:rsid w:val="005A1B0F"/>
    <w:rsid w:val="005A43C9"/>
    <w:rsid w:val="005A761E"/>
    <w:rsid w:val="005B048D"/>
    <w:rsid w:val="005B3410"/>
    <w:rsid w:val="005B383C"/>
    <w:rsid w:val="005B40A3"/>
    <w:rsid w:val="005C4DCB"/>
    <w:rsid w:val="005D4C1F"/>
    <w:rsid w:val="005D4F54"/>
    <w:rsid w:val="005E1C71"/>
    <w:rsid w:val="005E3D16"/>
    <w:rsid w:val="005E4DA1"/>
    <w:rsid w:val="005F532A"/>
    <w:rsid w:val="005F7B43"/>
    <w:rsid w:val="00600F21"/>
    <w:rsid w:val="00601588"/>
    <w:rsid w:val="00602BAE"/>
    <w:rsid w:val="006039A6"/>
    <w:rsid w:val="00603EB7"/>
    <w:rsid w:val="00606AD7"/>
    <w:rsid w:val="0060767C"/>
    <w:rsid w:val="006078BF"/>
    <w:rsid w:val="00620993"/>
    <w:rsid w:val="006234EF"/>
    <w:rsid w:val="006264CA"/>
    <w:rsid w:val="006320CB"/>
    <w:rsid w:val="006332FC"/>
    <w:rsid w:val="006363A3"/>
    <w:rsid w:val="00636A61"/>
    <w:rsid w:val="0064264A"/>
    <w:rsid w:val="006433F0"/>
    <w:rsid w:val="00651134"/>
    <w:rsid w:val="006523C6"/>
    <w:rsid w:val="00652892"/>
    <w:rsid w:val="00655973"/>
    <w:rsid w:val="00662C7F"/>
    <w:rsid w:val="0066338D"/>
    <w:rsid w:val="00664576"/>
    <w:rsid w:val="006656AD"/>
    <w:rsid w:val="0067062D"/>
    <w:rsid w:val="00676DCB"/>
    <w:rsid w:val="006770AA"/>
    <w:rsid w:val="00677776"/>
    <w:rsid w:val="00681120"/>
    <w:rsid w:val="00691436"/>
    <w:rsid w:val="006941C1"/>
    <w:rsid w:val="006A0E30"/>
    <w:rsid w:val="006A10A5"/>
    <w:rsid w:val="006A2818"/>
    <w:rsid w:val="006A58EF"/>
    <w:rsid w:val="006B1F31"/>
    <w:rsid w:val="006B5940"/>
    <w:rsid w:val="006D1537"/>
    <w:rsid w:val="006D2B4B"/>
    <w:rsid w:val="006D2C2D"/>
    <w:rsid w:val="006D483A"/>
    <w:rsid w:val="006E64FB"/>
    <w:rsid w:val="006E6697"/>
    <w:rsid w:val="006E7079"/>
    <w:rsid w:val="006E7265"/>
    <w:rsid w:val="006E74C4"/>
    <w:rsid w:val="006F15FC"/>
    <w:rsid w:val="006F3E3E"/>
    <w:rsid w:val="006F5A11"/>
    <w:rsid w:val="00700912"/>
    <w:rsid w:val="00705C19"/>
    <w:rsid w:val="00707D0D"/>
    <w:rsid w:val="007110C5"/>
    <w:rsid w:val="007139B2"/>
    <w:rsid w:val="007147C1"/>
    <w:rsid w:val="00715A78"/>
    <w:rsid w:val="00720DAE"/>
    <w:rsid w:val="00721AD0"/>
    <w:rsid w:val="007231B0"/>
    <w:rsid w:val="007302DA"/>
    <w:rsid w:val="00736227"/>
    <w:rsid w:val="0073649E"/>
    <w:rsid w:val="00737C6F"/>
    <w:rsid w:val="00740242"/>
    <w:rsid w:val="00741920"/>
    <w:rsid w:val="007427DA"/>
    <w:rsid w:val="007504AF"/>
    <w:rsid w:val="00752336"/>
    <w:rsid w:val="007532E2"/>
    <w:rsid w:val="0075330E"/>
    <w:rsid w:val="007549C9"/>
    <w:rsid w:val="00755BBA"/>
    <w:rsid w:val="0076016A"/>
    <w:rsid w:val="007606D3"/>
    <w:rsid w:val="00762457"/>
    <w:rsid w:val="00770B45"/>
    <w:rsid w:val="007723AB"/>
    <w:rsid w:val="0078480B"/>
    <w:rsid w:val="00795BB0"/>
    <w:rsid w:val="00796361"/>
    <w:rsid w:val="007A716E"/>
    <w:rsid w:val="007B08E0"/>
    <w:rsid w:val="007B0F66"/>
    <w:rsid w:val="007B1EFB"/>
    <w:rsid w:val="007B2579"/>
    <w:rsid w:val="007B44BA"/>
    <w:rsid w:val="007B53AF"/>
    <w:rsid w:val="007B553C"/>
    <w:rsid w:val="007C2C04"/>
    <w:rsid w:val="007C4054"/>
    <w:rsid w:val="007C473A"/>
    <w:rsid w:val="007D2DD1"/>
    <w:rsid w:val="007D3FD1"/>
    <w:rsid w:val="007D4D81"/>
    <w:rsid w:val="007D5BDD"/>
    <w:rsid w:val="007D5D7B"/>
    <w:rsid w:val="007E202B"/>
    <w:rsid w:val="007E328B"/>
    <w:rsid w:val="007E354F"/>
    <w:rsid w:val="007F0852"/>
    <w:rsid w:val="007F0C2C"/>
    <w:rsid w:val="007F1E05"/>
    <w:rsid w:val="008037D0"/>
    <w:rsid w:val="008046E3"/>
    <w:rsid w:val="00805EE2"/>
    <w:rsid w:val="00806D19"/>
    <w:rsid w:val="00810B9E"/>
    <w:rsid w:val="008114E9"/>
    <w:rsid w:val="00814A3C"/>
    <w:rsid w:val="00814C6F"/>
    <w:rsid w:val="008151BA"/>
    <w:rsid w:val="0081737B"/>
    <w:rsid w:val="008239C9"/>
    <w:rsid w:val="00823F6A"/>
    <w:rsid w:val="00830093"/>
    <w:rsid w:val="008324FA"/>
    <w:rsid w:val="0083447C"/>
    <w:rsid w:val="008406CD"/>
    <w:rsid w:val="0084741B"/>
    <w:rsid w:val="00850AF7"/>
    <w:rsid w:val="00850BC0"/>
    <w:rsid w:val="0085218C"/>
    <w:rsid w:val="00857724"/>
    <w:rsid w:val="008635A0"/>
    <w:rsid w:val="008637FE"/>
    <w:rsid w:val="00863B6F"/>
    <w:rsid w:val="0086593A"/>
    <w:rsid w:val="00866CA0"/>
    <w:rsid w:val="00873BFA"/>
    <w:rsid w:val="00873CA8"/>
    <w:rsid w:val="008807FE"/>
    <w:rsid w:val="00882873"/>
    <w:rsid w:val="008838FC"/>
    <w:rsid w:val="00885042"/>
    <w:rsid w:val="008859FF"/>
    <w:rsid w:val="00890178"/>
    <w:rsid w:val="00893D4F"/>
    <w:rsid w:val="008965A5"/>
    <w:rsid w:val="008A55B0"/>
    <w:rsid w:val="008A6430"/>
    <w:rsid w:val="008B00FD"/>
    <w:rsid w:val="008B34E0"/>
    <w:rsid w:val="008B592A"/>
    <w:rsid w:val="008C0EB3"/>
    <w:rsid w:val="008C3857"/>
    <w:rsid w:val="008C399F"/>
    <w:rsid w:val="008C42CF"/>
    <w:rsid w:val="008D0A8B"/>
    <w:rsid w:val="008D343D"/>
    <w:rsid w:val="008D59B6"/>
    <w:rsid w:val="008D5C13"/>
    <w:rsid w:val="008F0775"/>
    <w:rsid w:val="008F339C"/>
    <w:rsid w:val="009008F3"/>
    <w:rsid w:val="00906229"/>
    <w:rsid w:val="00906DA6"/>
    <w:rsid w:val="00914FFA"/>
    <w:rsid w:val="009218C8"/>
    <w:rsid w:val="00921D8E"/>
    <w:rsid w:val="00921DAA"/>
    <w:rsid w:val="00927E18"/>
    <w:rsid w:val="0093012F"/>
    <w:rsid w:val="009341A8"/>
    <w:rsid w:val="009342D9"/>
    <w:rsid w:val="0093520B"/>
    <w:rsid w:val="00937B33"/>
    <w:rsid w:val="0094158D"/>
    <w:rsid w:val="0094184E"/>
    <w:rsid w:val="009418B3"/>
    <w:rsid w:val="00944781"/>
    <w:rsid w:val="0095035C"/>
    <w:rsid w:val="00953740"/>
    <w:rsid w:val="00953836"/>
    <w:rsid w:val="00963D5F"/>
    <w:rsid w:val="009659F4"/>
    <w:rsid w:val="00967C37"/>
    <w:rsid w:val="00970675"/>
    <w:rsid w:val="0098161A"/>
    <w:rsid w:val="00981A5A"/>
    <w:rsid w:val="00981C13"/>
    <w:rsid w:val="0098244E"/>
    <w:rsid w:val="00982D2A"/>
    <w:rsid w:val="0098346A"/>
    <w:rsid w:val="00995C1C"/>
    <w:rsid w:val="00997C87"/>
    <w:rsid w:val="009A1EB9"/>
    <w:rsid w:val="009A5CF2"/>
    <w:rsid w:val="009A77EC"/>
    <w:rsid w:val="009B2211"/>
    <w:rsid w:val="009C31CC"/>
    <w:rsid w:val="009C3661"/>
    <w:rsid w:val="009C455E"/>
    <w:rsid w:val="009E059B"/>
    <w:rsid w:val="009E3FDE"/>
    <w:rsid w:val="009E5E89"/>
    <w:rsid w:val="009E6B13"/>
    <w:rsid w:val="009F1787"/>
    <w:rsid w:val="009F378F"/>
    <w:rsid w:val="00A043FA"/>
    <w:rsid w:val="00A102C7"/>
    <w:rsid w:val="00A11DF6"/>
    <w:rsid w:val="00A13794"/>
    <w:rsid w:val="00A24AA9"/>
    <w:rsid w:val="00A24E58"/>
    <w:rsid w:val="00A27435"/>
    <w:rsid w:val="00A30C68"/>
    <w:rsid w:val="00A33109"/>
    <w:rsid w:val="00A3329B"/>
    <w:rsid w:val="00A35470"/>
    <w:rsid w:val="00A36AFA"/>
    <w:rsid w:val="00A36FDF"/>
    <w:rsid w:val="00A37E9E"/>
    <w:rsid w:val="00A40F3B"/>
    <w:rsid w:val="00A41D0E"/>
    <w:rsid w:val="00A46E10"/>
    <w:rsid w:val="00A47351"/>
    <w:rsid w:val="00A53AC2"/>
    <w:rsid w:val="00A54C27"/>
    <w:rsid w:val="00A61737"/>
    <w:rsid w:val="00A672C2"/>
    <w:rsid w:val="00A743BA"/>
    <w:rsid w:val="00A77421"/>
    <w:rsid w:val="00A77C3F"/>
    <w:rsid w:val="00A77CA3"/>
    <w:rsid w:val="00A84992"/>
    <w:rsid w:val="00A93B13"/>
    <w:rsid w:val="00A95428"/>
    <w:rsid w:val="00A96DA7"/>
    <w:rsid w:val="00A976F7"/>
    <w:rsid w:val="00AA3B39"/>
    <w:rsid w:val="00AA3C71"/>
    <w:rsid w:val="00AA591C"/>
    <w:rsid w:val="00AB1C83"/>
    <w:rsid w:val="00AB684D"/>
    <w:rsid w:val="00AC057C"/>
    <w:rsid w:val="00AC1005"/>
    <w:rsid w:val="00AC1032"/>
    <w:rsid w:val="00AC1A13"/>
    <w:rsid w:val="00AC2DD3"/>
    <w:rsid w:val="00AC5646"/>
    <w:rsid w:val="00AD5257"/>
    <w:rsid w:val="00AE2C20"/>
    <w:rsid w:val="00AE35A5"/>
    <w:rsid w:val="00AE5CBB"/>
    <w:rsid w:val="00B04113"/>
    <w:rsid w:val="00B05BCE"/>
    <w:rsid w:val="00B12373"/>
    <w:rsid w:val="00B126FA"/>
    <w:rsid w:val="00B149D4"/>
    <w:rsid w:val="00B2004A"/>
    <w:rsid w:val="00B23960"/>
    <w:rsid w:val="00B275DD"/>
    <w:rsid w:val="00B331F4"/>
    <w:rsid w:val="00B375FA"/>
    <w:rsid w:val="00B37A5A"/>
    <w:rsid w:val="00B44CC3"/>
    <w:rsid w:val="00B44E58"/>
    <w:rsid w:val="00B45B08"/>
    <w:rsid w:val="00B517DB"/>
    <w:rsid w:val="00B61335"/>
    <w:rsid w:val="00B62554"/>
    <w:rsid w:val="00B6697D"/>
    <w:rsid w:val="00B72BC2"/>
    <w:rsid w:val="00B73817"/>
    <w:rsid w:val="00B7385C"/>
    <w:rsid w:val="00B74009"/>
    <w:rsid w:val="00B77A41"/>
    <w:rsid w:val="00B82BE0"/>
    <w:rsid w:val="00B84106"/>
    <w:rsid w:val="00B91F24"/>
    <w:rsid w:val="00B93433"/>
    <w:rsid w:val="00B94E02"/>
    <w:rsid w:val="00B96FEA"/>
    <w:rsid w:val="00BA086A"/>
    <w:rsid w:val="00BA60C8"/>
    <w:rsid w:val="00BA7705"/>
    <w:rsid w:val="00BB1594"/>
    <w:rsid w:val="00BB26AB"/>
    <w:rsid w:val="00BB5D9C"/>
    <w:rsid w:val="00BC06CC"/>
    <w:rsid w:val="00BD36AE"/>
    <w:rsid w:val="00BD5489"/>
    <w:rsid w:val="00BE1598"/>
    <w:rsid w:val="00BE516D"/>
    <w:rsid w:val="00BF4CCB"/>
    <w:rsid w:val="00BF65BF"/>
    <w:rsid w:val="00C05B06"/>
    <w:rsid w:val="00C065F0"/>
    <w:rsid w:val="00C116B9"/>
    <w:rsid w:val="00C11F4F"/>
    <w:rsid w:val="00C16F27"/>
    <w:rsid w:val="00C17D59"/>
    <w:rsid w:val="00C21AD7"/>
    <w:rsid w:val="00C21EC0"/>
    <w:rsid w:val="00C22297"/>
    <w:rsid w:val="00C2672F"/>
    <w:rsid w:val="00C26C32"/>
    <w:rsid w:val="00C304E1"/>
    <w:rsid w:val="00C41005"/>
    <w:rsid w:val="00C45727"/>
    <w:rsid w:val="00C45FB2"/>
    <w:rsid w:val="00C478C2"/>
    <w:rsid w:val="00C52058"/>
    <w:rsid w:val="00C528CC"/>
    <w:rsid w:val="00C532AE"/>
    <w:rsid w:val="00C5394C"/>
    <w:rsid w:val="00C57642"/>
    <w:rsid w:val="00C6027E"/>
    <w:rsid w:val="00C60826"/>
    <w:rsid w:val="00C63F2E"/>
    <w:rsid w:val="00C64400"/>
    <w:rsid w:val="00C66002"/>
    <w:rsid w:val="00C66525"/>
    <w:rsid w:val="00C71509"/>
    <w:rsid w:val="00C71575"/>
    <w:rsid w:val="00C75BAB"/>
    <w:rsid w:val="00C75EAF"/>
    <w:rsid w:val="00C839F1"/>
    <w:rsid w:val="00C8556B"/>
    <w:rsid w:val="00C85881"/>
    <w:rsid w:val="00C86F86"/>
    <w:rsid w:val="00C906AC"/>
    <w:rsid w:val="00C91265"/>
    <w:rsid w:val="00C93D8C"/>
    <w:rsid w:val="00C95DC9"/>
    <w:rsid w:val="00CA43BE"/>
    <w:rsid w:val="00CB06C5"/>
    <w:rsid w:val="00CB1BBB"/>
    <w:rsid w:val="00CB7EE6"/>
    <w:rsid w:val="00CC07B7"/>
    <w:rsid w:val="00CC4A17"/>
    <w:rsid w:val="00CD47A4"/>
    <w:rsid w:val="00CE2825"/>
    <w:rsid w:val="00CE57A7"/>
    <w:rsid w:val="00CE76C8"/>
    <w:rsid w:val="00CE7F1B"/>
    <w:rsid w:val="00CF3C4C"/>
    <w:rsid w:val="00CF46C9"/>
    <w:rsid w:val="00D062AB"/>
    <w:rsid w:val="00D11D37"/>
    <w:rsid w:val="00D1274B"/>
    <w:rsid w:val="00D12F58"/>
    <w:rsid w:val="00D130D6"/>
    <w:rsid w:val="00D21195"/>
    <w:rsid w:val="00D22782"/>
    <w:rsid w:val="00D3089A"/>
    <w:rsid w:val="00D33810"/>
    <w:rsid w:val="00D33C75"/>
    <w:rsid w:val="00D37252"/>
    <w:rsid w:val="00D4012D"/>
    <w:rsid w:val="00D4457C"/>
    <w:rsid w:val="00D477F9"/>
    <w:rsid w:val="00D50D1D"/>
    <w:rsid w:val="00D52409"/>
    <w:rsid w:val="00D61201"/>
    <w:rsid w:val="00D6369B"/>
    <w:rsid w:val="00D66785"/>
    <w:rsid w:val="00D71608"/>
    <w:rsid w:val="00D75474"/>
    <w:rsid w:val="00D76110"/>
    <w:rsid w:val="00D8493C"/>
    <w:rsid w:val="00D8517C"/>
    <w:rsid w:val="00D9228B"/>
    <w:rsid w:val="00D944C9"/>
    <w:rsid w:val="00DA37DD"/>
    <w:rsid w:val="00DB1092"/>
    <w:rsid w:val="00DB320F"/>
    <w:rsid w:val="00DB34DA"/>
    <w:rsid w:val="00DC0238"/>
    <w:rsid w:val="00DC3FA4"/>
    <w:rsid w:val="00DC7302"/>
    <w:rsid w:val="00DD2A2F"/>
    <w:rsid w:val="00DD4867"/>
    <w:rsid w:val="00DD696C"/>
    <w:rsid w:val="00DD7033"/>
    <w:rsid w:val="00DD78FF"/>
    <w:rsid w:val="00DD7B85"/>
    <w:rsid w:val="00DE104B"/>
    <w:rsid w:val="00DE65E2"/>
    <w:rsid w:val="00DF27C9"/>
    <w:rsid w:val="00DF5476"/>
    <w:rsid w:val="00DF63FD"/>
    <w:rsid w:val="00E00186"/>
    <w:rsid w:val="00E02099"/>
    <w:rsid w:val="00E02517"/>
    <w:rsid w:val="00E0256E"/>
    <w:rsid w:val="00E028B8"/>
    <w:rsid w:val="00E05640"/>
    <w:rsid w:val="00E110C1"/>
    <w:rsid w:val="00E12A0B"/>
    <w:rsid w:val="00E14653"/>
    <w:rsid w:val="00E23BE0"/>
    <w:rsid w:val="00E25901"/>
    <w:rsid w:val="00E276D1"/>
    <w:rsid w:val="00E305F9"/>
    <w:rsid w:val="00E32919"/>
    <w:rsid w:val="00E43366"/>
    <w:rsid w:val="00E43C2B"/>
    <w:rsid w:val="00E45626"/>
    <w:rsid w:val="00E520A2"/>
    <w:rsid w:val="00E56719"/>
    <w:rsid w:val="00E63053"/>
    <w:rsid w:val="00E70B15"/>
    <w:rsid w:val="00E70D41"/>
    <w:rsid w:val="00E71022"/>
    <w:rsid w:val="00E73527"/>
    <w:rsid w:val="00E73824"/>
    <w:rsid w:val="00E765B6"/>
    <w:rsid w:val="00E77411"/>
    <w:rsid w:val="00E77615"/>
    <w:rsid w:val="00E77805"/>
    <w:rsid w:val="00E819EE"/>
    <w:rsid w:val="00E821CA"/>
    <w:rsid w:val="00E82B49"/>
    <w:rsid w:val="00E82C5C"/>
    <w:rsid w:val="00E83B34"/>
    <w:rsid w:val="00E83DC1"/>
    <w:rsid w:val="00E84E3B"/>
    <w:rsid w:val="00E91133"/>
    <w:rsid w:val="00E94234"/>
    <w:rsid w:val="00E9700B"/>
    <w:rsid w:val="00E97743"/>
    <w:rsid w:val="00EA171E"/>
    <w:rsid w:val="00EA488E"/>
    <w:rsid w:val="00EB72B3"/>
    <w:rsid w:val="00EC041C"/>
    <w:rsid w:val="00EC3B40"/>
    <w:rsid w:val="00EC3CF3"/>
    <w:rsid w:val="00ED7BB3"/>
    <w:rsid w:val="00EF3643"/>
    <w:rsid w:val="00F0395F"/>
    <w:rsid w:val="00F05617"/>
    <w:rsid w:val="00F2674F"/>
    <w:rsid w:val="00F26E5B"/>
    <w:rsid w:val="00F30440"/>
    <w:rsid w:val="00F30BEB"/>
    <w:rsid w:val="00F405B8"/>
    <w:rsid w:val="00F425EF"/>
    <w:rsid w:val="00F46216"/>
    <w:rsid w:val="00F505E4"/>
    <w:rsid w:val="00F5315E"/>
    <w:rsid w:val="00F54E0D"/>
    <w:rsid w:val="00F55C83"/>
    <w:rsid w:val="00F566BB"/>
    <w:rsid w:val="00F65EE8"/>
    <w:rsid w:val="00F66A0C"/>
    <w:rsid w:val="00F701BB"/>
    <w:rsid w:val="00F74FA1"/>
    <w:rsid w:val="00F75F12"/>
    <w:rsid w:val="00F80080"/>
    <w:rsid w:val="00F809DA"/>
    <w:rsid w:val="00F80E1C"/>
    <w:rsid w:val="00F848F9"/>
    <w:rsid w:val="00F8642B"/>
    <w:rsid w:val="00F921E3"/>
    <w:rsid w:val="00F933CC"/>
    <w:rsid w:val="00FA0CE0"/>
    <w:rsid w:val="00FA29C5"/>
    <w:rsid w:val="00FA417C"/>
    <w:rsid w:val="00FB0926"/>
    <w:rsid w:val="00FB0E54"/>
    <w:rsid w:val="00FB1393"/>
    <w:rsid w:val="00FB324F"/>
    <w:rsid w:val="00FB4342"/>
    <w:rsid w:val="00FB7649"/>
    <w:rsid w:val="00FB7706"/>
    <w:rsid w:val="00FC3953"/>
    <w:rsid w:val="00FC3CC3"/>
    <w:rsid w:val="00FC50CB"/>
    <w:rsid w:val="00FC64E3"/>
    <w:rsid w:val="00FC69B9"/>
    <w:rsid w:val="00FC797C"/>
    <w:rsid w:val="00FD400F"/>
    <w:rsid w:val="00FE487A"/>
    <w:rsid w:val="00FE4C87"/>
    <w:rsid w:val="00FE64BF"/>
    <w:rsid w:val="00FF0BC1"/>
    <w:rsid w:val="00FF362B"/>
    <w:rsid w:val="00FF42C2"/>
    <w:rsid w:val="00FF487D"/>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9E"/>
    <w:pPr>
      <w:widowControl w:val="0"/>
    </w:pPr>
    <w:rPr>
      <w:rFonts w:ascii="Courier" w:hAnsi="Courier"/>
      <w:snapToGrid w:val="0"/>
      <w:sz w:val="24"/>
    </w:rPr>
  </w:style>
  <w:style w:type="paragraph" w:styleId="Heading1">
    <w:name w:val="heading 1"/>
    <w:basedOn w:val="Normal"/>
    <w:next w:val="Normal"/>
    <w:qFormat/>
    <w:rsid w:val="00810B9E"/>
    <w:pPr>
      <w:keepNext/>
      <w:widowControl/>
      <w:tabs>
        <w:tab w:val="left" w:pos="360"/>
      </w:tabs>
      <w:ind w:firstLine="360"/>
      <w:outlineLvl w:val="0"/>
    </w:pPr>
    <w:rPr>
      <w:rFonts w:ascii="Times" w:hAnsi="Times"/>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0B9E"/>
  </w:style>
  <w:style w:type="paragraph" w:styleId="Header">
    <w:name w:val="header"/>
    <w:basedOn w:val="Normal"/>
    <w:link w:val="HeaderChar"/>
    <w:uiPriority w:val="99"/>
    <w:rsid w:val="00810B9E"/>
    <w:pPr>
      <w:tabs>
        <w:tab w:val="center" w:pos="4320"/>
        <w:tab w:val="right" w:pos="8640"/>
      </w:tabs>
    </w:pPr>
  </w:style>
  <w:style w:type="character" w:styleId="PageNumber">
    <w:name w:val="page number"/>
    <w:basedOn w:val="DefaultParagraphFont"/>
    <w:rsid w:val="00810B9E"/>
  </w:style>
  <w:style w:type="paragraph" w:styleId="BodyTextIndent">
    <w:name w:val="Body Text Indent"/>
    <w:basedOn w:val="Normal"/>
    <w:rsid w:val="00810B9E"/>
    <w:pPr>
      <w:widowControl/>
      <w:tabs>
        <w:tab w:val="left" w:pos="360"/>
      </w:tabs>
      <w:ind w:firstLine="360"/>
    </w:pPr>
    <w:rPr>
      <w:rFonts w:ascii="Times" w:hAnsi="Times"/>
    </w:rPr>
  </w:style>
  <w:style w:type="paragraph" w:styleId="FootnoteText">
    <w:name w:val="footnote text"/>
    <w:basedOn w:val="Normal"/>
    <w:link w:val="FootnoteTextChar"/>
    <w:semiHidden/>
    <w:rsid w:val="00810B9E"/>
    <w:rPr>
      <w:sz w:val="20"/>
    </w:rPr>
  </w:style>
  <w:style w:type="paragraph" w:styleId="EndnoteText">
    <w:name w:val="endnote text"/>
    <w:basedOn w:val="Normal"/>
    <w:semiHidden/>
    <w:rsid w:val="00810B9E"/>
    <w:rPr>
      <w:sz w:val="20"/>
    </w:rPr>
  </w:style>
  <w:style w:type="character" w:styleId="EndnoteReference">
    <w:name w:val="endnote reference"/>
    <w:basedOn w:val="DefaultParagraphFont"/>
    <w:semiHidden/>
    <w:rsid w:val="00810B9E"/>
    <w:rPr>
      <w:vertAlign w:val="superscript"/>
    </w:rPr>
  </w:style>
  <w:style w:type="paragraph" w:styleId="BodyTextIndent2">
    <w:name w:val="Body Text Indent 2"/>
    <w:basedOn w:val="Normal"/>
    <w:rsid w:val="00810B9E"/>
    <w:pPr>
      <w:widowControl/>
      <w:tabs>
        <w:tab w:val="left" w:pos="360"/>
      </w:tabs>
      <w:ind w:firstLine="360"/>
    </w:pPr>
    <w:rPr>
      <w:rFonts w:ascii="Times" w:hAnsi="Times"/>
      <w:color w:val="FF0000"/>
    </w:rPr>
  </w:style>
  <w:style w:type="paragraph" w:styleId="BodyText">
    <w:name w:val="Body Text"/>
    <w:basedOn w:val="Normal"/>
    <w:rsid w:val="00810B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napToGrid/>
    </w:rPr>
  </w:style>
  <w:style w:type="paragraph" w:styleId="Footer">
    <w:name w:val="footer"/>
    <w:basedOn w:val="Normal"/>
    <w:rsid w:val="00810B9E"/>
    <w:pPr>
      <w:tabs>
        <w:tab w:val="center" w:pos="4320"/>
        <w:tab w:val="right" w:pos="8640"/>
      </w:tabs>
    </w:pPr>
  </w:style>
  <w:style w:type="character" w:styleId="CommentReference">
    <w:name w:val="annotation reference"/>
    <w:basedOn w:val="DefaultParagraphFont"/>
    <w:uiPriority w:val="99"/>
    <w:semiHidden/>
    <w:rsid w:val="00810B9E"/>
    <w:rPr>
      <w:sz w:val="16"/>
      <w:szCs w:val="16"/>
    </w:rPr>
  </w:style>
  <w:style w:type="paragraph" w:styleId="CommentText">
    <w:name w:val="annotation text"/>
    <w:basedOn w:val="Normal"/>
    <w:link w:val="CommentTextChar"/>
    <w:semiHidden/>
    <w:rsid w:val="00810B9E"/>
    <w:rPr>
      <w:sz w:val="20"/>
    </w:rPr>
  </w:style>
  <w:style w:type="table" w:styleId="TableGrid">
    <w:name w:val="Table Grid"/>
    <w:basedOn w:val="TableNormal"/>
    <w:uiPriority w:val="59"/>
    <w:rsid w:val="008173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068AC"/>
    <w:rPr>
      <w:b/>
      <w:bCs/>
    </w:rPr>
  </w:style>
  <w:style w:type="character" w:customStyle="1" w:styleId="CommentTextChar">
    <w:name w:val="Comment Text Char"/>
    <w:basedOn w:val="DefaultParagraphFont"/>
    <w:link w:val="CommentText"/>
    <w:uiPriority w:val="99"/>
    <w:semiHidden/>
    <w:rsid w:val="005068AC"/>
    <w:rPr>
      <w:rFonts w:ascii="Courier" w:hAnsi="Courier"/>
      <w:snapToGrid w:val="0"/>
    </w:rPr>
  </w:style>
  <w:style w:type="character" w:customStyle="1" w:styleId="CommentSubjectChar">
    <w:name w:val="Comment Subject Char"/>
    <w:basedOn w:val="CommentTextChar"/>
    <w:link w:val="CommentSubject"/>
    <w:rsid w:val="005068AC"/>
    <w:rPr>
      <w:rFonts w:ascii="Courier" w:hAnsi="Courier"/>
      <w:snapToGrid w:val="0"/>
    </w:rPr>
  </w:style>
  <w:style w:type="paragraph" w:styleId="BalloonText">
    <w:name w:val="Balloon Text"/>
    <w:basedOn w:val="Normal"/>
    <w:link w:val="BalloonTextChar"/>
    <w:uiPriority w:val="99"/>
    <w:semiHidden/>
    <w:unhideWhenUsed/>
    <w:rsid w:val="005068AC"/>
    <w:rPr>
      <w:rFonts w:ascii="Tahoma" w:hAnsi="Tahoma" w:cs="Tahoma"/>
      <w:sz w:val="16"/>
      <w:szCs w:val="16"/>
    </w:rPr>
  </w:style>
  <w:style w:type="character" w:customStyle="1" w:styleId="BalloonTextChar">
    <w:name w:val="Balloon Text Char"/>
    <w:basedOn w:val="DefaultParagraphFont"/>
    <w:link w:val="BalloonText"/>
    <w:uiPriority w:val="99"/>
    <w:semiHidden/>
    <w:rsid w:val="005068AC"/>
    <w:rPr>
      <w:rFonts w:ascii="Tahoma" w:hAnsi="Tahoma" w:cs="Tahoma"/>
      <w:snapToGrid w:val="0"/>
      <w:sz w:val="16"/>
      <w:szCs w:val="16"/>
    </w:rPr>
  </w:style>
  <w:style w:type="paragraph" w:styleId="Revision">
    <w:name w:val="Revision"/>
    <w:hidden/>
    <w:uiPriority w:val="99"/>
    <w:semiHidden/>
    <w:rsid w:val="00BB5D9C"/>
    <w:rPr>
      <w:rFonts w:ascii="Courier" w:hAnsi="Courier"/>
      <w:snapToGrid w:val="0"/>
      <w:sz w:val="24"/>
    </w:rPr>
  </w:style>
  <w:style w:type="character" w:customStyle="1" w:styleId="HeaderChar">
    <w:name w:val="Header Char"/>
    <w:basedOn w:val="DefaultParagraphFont"/>
    <w:link w:val="Header"/>
    <w:uiPriority w:val="99"/>
    <w:rsid w:val="005245A2"/>
    <w:rPr>
      <w:rFonts w:ascii="Courier" w:hAnsi="Courier"/>
      <w:snapToGrid w:val="0"/>
      <w:sz w:val="24"/>
    </w:rPr>
  </w:style>
  <w:style w:type="character" w:customStyle="1" w:styleId="FootnoteTextChar">
    <w:name w:val="Footnote Text Char"/>
    <w:basedOn w:val="DefaultParagraphFont"/>
    <w:link w:val="FootnoteText"/>
    <w:uiPriority w:val="99"/>
    <w:semiHidden/>
    <w:rsid w:val="002A79CC"/>
    <w:rPr>
      <w:rFonts w:ascii="Courier" w:hAnsi="Courier"/>
      <w:snapToGrid w:val="0"/>
    </w:rPr>
  </w:style>
  <w:style w:type="paragraph" w:styleId="ListParagraph">
    <w:name w:val="List Paragraph"/>
    <w:basedOn w:val="Normal"/>
    <w:uiPriority w:val="34"/>
    <w:qFormat/>
    <w:rsid w:val="002A79CC"/>
    <w:pPr>
      <w:autoSpaceDE w:val="0"/>
      <w:autoSpaceDN w:val="0"/>
      <w:adjustRightInd w:val="0"/>
      <w:ind w:left="720"/>
      <w:contextualSpacing/>
    </w:pPr>
    <w:rPr>
      <w:snapToGrid/>
      <w:sz w:val="20"/>
      <w:szCs w:val="24"/>
    </w:rPr>
  </w:style>
  <w:style w:type="paragraph" w:customStyle="1" w:styleId="PRAFootnoteText">
    <w:name w:val="PRA Footnote Text"/>
    <w:basedOn w:val="FootnoteText"/>
    <w:qFormat/>
    <w:rsid w:val="002A79CC"/>
    <w:rPr>
      <w:rFonts w:ascii="Times New Roman" w:hAnsi="Times New Roman"/>
    </w:rPr>
  </w:style>
  <w:style w:type="character" w:styleId="Hyperlink">
    <w:name w:val="Hyperlink"/>
    <w:basedOn w:val="DefaultParagraphFont"/>
    <w:uiPriority w:val="99"/>
    <w:rsid w:val="002A79CC"/>
    <w:rPr>
      <w:color w:val="0000FF"/>
      <w:u w:val="single"/>
    </w:rPr>
  </w:style>
  <w:style w:type="character" w:styleId="FollowedHyperlink">
    <w:name w:val="FollowedHyperlink"/>
    <w:basedOn w:val="DefaultParagraphFont"/>
    <w:uiPriority w:val="99"/>
    <w:semiHidden/>
    <w:unhideWhenUsed/>
    <w:rsid w:val="00407C63"/>
    <w:rPr>
      <w:color w:val="800080" w:themeColor="followedHyperlink"/>
      <w:u w:val="single"/>
    </w:rPr>
  </w:style>
  <w:style w:type="paragraph" w:styleId="NormalWeb">
    <w:name w:val="Normal (Web)"/>
    <w:basedOn w:val="Normal"/>
    <w:rsid w:val="00BF65BF"/>
    <w:pPr>
      <w:widowControl/>
      <w:spacing w:before="100" w:beforeAutospacing="1" w:after="100" w:afterAutospacing="1"/>
    </w:pPr>
    <w:rPr>
      <w:rFonts w:ascii="Times New Roman" w:hAnsi="Times New Roman"/>
      <w:snapToGrid/>
      <w:szCs w:val="24"/>
    </w:rPr>
  </w:style>
  <w:style w:type="character" w:customStyle="1" w:styleId="ptext-2">
    <w:name w:val="ptext-2"/>
    <w:rsid w:val="00BF65BF"/>
    <w:rPr>
      <w:b w:val="0"/>
      <w:bCs w:val="0"/>
    </w:rPr>
  </w:style>
  <w:style w:type="character" w:customStyle="1" w:styleId="documentbody1">
    <w:name w:val="documentbody1"/>
    <w:basedOn w:val="DefaultParagraphFont"/>
    <w:rsid w:val="004809A7"/>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9E"/>
    <w:pPr>
      <w:widowControl w:val="0"/>
    </w:pPr>
    <w:rPr>
      <w:rFonts w:ascii="Courier" w:hAnsi="Courier"/>
      <w:snapToGrid w:val="0"/>
      <w:sz w:val="24"/>
    </w:rPr>
  </w:style>
  <w:style w:type="paragraph" w:styleId="Heading1">
    <w:name w:val="heading 1"/>
    <w:basedOn w:val="Normal"/>
    <w:next w:val="Normal"/>
    <w:qFormat/>
    <w:rsid w:val="00810B9E"/>
    <w:pPr>
      <w:keepNext/>
      <w:widowControl/>
      <w:tabs>
        <w:tab w:val="left" w:pos="360"/>
      </w:tabs>
      <w:ind w:firstLine="360"/>
      <w:outlineLvl w:val="0"/>
    </w:pPr>
    <w:rPr>
      <w:rFonts w:ascii="Times" w:hAnsi="Times"/>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0B9E"/>
  </w:style>
  <w:style w:type="paragraph" w:styleId="Header">
    <w:name w:val="header"/>
    <w:basedOn w:val="Normal"/>
    <w:link w:val="HeaderChar"/>
    <w:uiPriority w:val="99"/>
    <w:rsid w:val="00810B9E"/>
    <w:pPr>
      <w:tabs>
        <w:tab w:val="center" w:pos="4320"/>
        <w:tab w:val="right" w:pos="8640"/>
      </w:tabs>
    </w:pPr>
  </w:style>
  <w:style w:type="character" w:styleId="PageNumber">
    <w:name w:val="page number"/>
    <w:basedOn w:val="DefaultParagraphFont"/>
    <w:rsid w:val="00810B9E"/>
  </w:style>
  <w:style w:type="paragraph" w:styleId="BodyTextIndent">
    <w:name w:val="Body Text Indent"/>
    <w:basedOn w:val="Normal"/>
    <w:rsid w:val="00810B9E"/>
    <w:pPr>
      <w:widowControl/>
      <w:tabs>
        <w:tab w:val="left" w:pos="360"/>
      </w:tabs>
      <w:ind w:firstLine="360"/>
    </w:pPr>
    <w:rPr>
      <w:rFonts w:ascii="Times" w:hAnsi="Times"/>
    </w:rPr>
  </w:style>
  <w:style w:type="paragraph" w:styleId="FootnoteText">
    <w:name w:val="footnote text"/>
    <w:basedOn w:val="Normal"/>
    <w:link w:val="FootnoteTextChar"/>
    <w:semiHidden/>
    <w:rsid w:val="00810B9E"/>
    <w:rPr>
      <w:sz w:val="20"/>
    </w:rPr>
  </w:style>
  <w:style w:type="paragraph" w:styleId="EndnoteText">
    <w:name w:val="endnote text"/>
    <w:basedOn w:val="Normal"/>
    <w:semiHidden/>
    <w:rsid w:val="00810B9E"/>
    <w:rPr>
      <w:sz w:val="20"/>
    </w:rPr>
  </w:style>
  <w:style w:type="character" w:styleId="EndnoteReference">
    <w:name w:val="endnote reference"/>
    <w:basedOn w:val="DefaultParagraphFont"/>
    <w:semiHidden/>
    <w:rsid w:val="00810B9E"/>
    <w:rPr>
      <w:vertAlign w:val="superscript"/>
    </w:rPr>
  </w:style>
  <w:style w:type="paragraph" w:styleId="BodyTextIndent2">
    <w:name w:val="Body Text Indent 2"/>
    <w:basedOn w:val="Normal"/>
    <w:rsid w:val="00810B9E"/>
    <w:pPr>
      <w:widowControl/>
      <w:tabs>
        <w:tab w:val="left" w:pos="360"/>
      </w:tabs>
      <w:ind w:firstLine="360"/>
    </w:pPr>
    <w:rPr>
      <w:rFonts w:ascii="Times" w:hAnsi="Times"/>
      <w:color w:val="FF0000"/>
    </w:rPr>
  </w:style>
  <w:style w:type="paragraph" w:styleId="BodyText">
    <w:name w:val="Body Text"/>
    <w:basedOn w:val="Normal"/>
    <w:rsid w:val="00810B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napToGrid/>
    </w:rPr>
  </w:style>
  <w:style w:type="paragraph" w:styleId="Footer">
    <w:name w:val="footer"/>
    <w:basedOn w:val="Normal"/>
    <w:rsid w:val="00810B9E"/>
    <w:pPr>
      <w:tabs>
        <w:tab w:val="center" w:pos="4320"/>
        <w:tab w:val="right" w:pos="8640"/>
      </w:tabs>
    </w:pPr>
  </w:style>
  <w:style w:type="character" w:styleId="CommentReference">
    <w:name w:val="annotation reference"/>
    <w:basedOn w:val="DefaultParagraphFont"/>
    <w:uiPriority w:val="99"/>
    <w:semiHidden/>
    <w:rsid w:val="00810B9E"/>
    <w:rPr>
      <w:sz w:val="16"/>
      <w:szCs w:val="16"/>
    </w:rPr>
  </w:style>
  <w:style w:type="paragraph" w:styleId="CommentText">
    <w:name w:val="annotation text"/>
    <w:basedOn w:val="Normal"/>
    <w:link w:val="CommentTextChar"/>
    <w:semiHidden/>
    <w:rsid w:val="00810B9E"/>
    <w:rPr>
      <w:sz w:val="20"/>
    </w:rPr>
  </w:style>
  <w:style w:type="table" w:styleId="TableGrid">
    <w:name w:val="Table Grid"/>
    <w:basedOn w:val="TableNormal"/>
    <w:uiPriority w:val="59"/>
    <w:rsid w:val="008173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068AC"/>
    <w:rPr>
      <w:b/>
      <w:bCs/>
    </w:rPr>
  </w:style>
  <w:style w:type="character" w:customStyle="1" w:styleId="CommentTextChar">
    <w:name w:val="Comment Text Char"/>
    <w:basedOn w:val="DefaultParagraphFont"/>
    <w:link w:val="CommentText"/>
    <w:uiPriority w:val="99"/>
    <w:semiHidden/>
    <w:rsid w:val="005068AC"/>
    <w:rPr>
      <w:rFonts w:ascii="Courier" w:hAnsi="Courier"/>
      <w:snapToGrid w:val="0"/>
    </w:rPr>
  </w:style>
  <w:style w:type="character" w:customStyle="1" w:styleId="CommentSubjectChar">
    <w:name w:val="Comment Subject Char"/>
    <w:basedOn w:val="CommentTextChar"/>
    <w:link w:val="CommentSubject"/>
    <w:rsid w:val="005068AC"/>
    <w:rPr>
      <w:rFonts w:ascii="Courier" w:hAnsi="Courier"/>
      <w:snapToGrid w:val="0"/>
    </w:rPr>
  </w:style>
  <w:style w:type="paragraph" w:styleId="BalloonText">
    <w:name w:val="Balloon Text"/>
    <w:basedOn w:val="Normal"/>
    <w:link w:val="BalloonTextChar"/>
    <w:uiPriority w:val="99"/>
    <w:semiHidden/>
    <w:unhideWhenUsed/>
    <w:rsid w:val="005068AC"/>
    <w:rPr>
      <w:rFonts w:ascii="Tahoma" w:hAnsi="Tahoma" w:cs="Tahoma"/>
      <w:sz w:val="16"/>
      <w:szCs w:val="16"/>
    </w:rPr>
  </w:style>
  <w:style w:type="character" w:customStyle="1" w:styleId="BalloonTextChar">
    <w:name w:val="Balloon Text Char"/>
    <w:basedOn w:val="DefaultParagraphFont"/>
    <w:link w:val="BalloonText"/>
    <w:uiPriority w:val="99"/>
    <w:semiHidden/>
    <w:rsid w:val="005068AC"/>
    <w:rPr>
      <w:rFonts w:ascii="Tahoma" w:hAnsi="Tahoma" w:cs="Tahoma"/>
      <w:snapToGrid w:val="0"/>
      <w:sz w:val="16"/>
      <w:szCs w:val="16"/>
    </w:rPr>
  </w:style>
  <w:style w:type="paragraph" w:styleId="Revision">
    <w:name w:val="Revision"/>
    <w:hidden/>
    <w:uiPriority w:val="99"/>
    <w:semiHidden/>
    <w:rsid w:val="00BB5D9C"/>
    <w:rPr>
      <w:rFonts w:ascii="Courier" w:hAnsi="Courier"/>
      <w:snapToGrid w:val="0"/>
      <w:sz w:val="24"/>
    </w:rPr>
  </w:style>
  <w:style w:type="character" w:customStyle="1" w:styleId="HeaderChar">
    <w:name w:val="Header Char"/>
    <w:basedOn w:val="DefaultParagraphFont"/>
    <w:link w:val="Header"/>
    <w:uiPriority w:val="99"/>
    <w:rsid w:val="005245A2"/>
    <w:rPr>
      <w:rFonts w:ascii="Courier" w:hAnsi="Courier"/>
      <w:snapToGrid w:val="0"/>
      <w:sz w:val="24"/>
    </w:rPr>
  </w:style>
  <w:style w:type="character" w:customStyle="1" w:styleId="FootnoteTextChar">
    <w:name w:val="Footnote Text Char"/>
    <w:basedOn w:val="DefaultParagraphFont"/>
    <w:link w:val="FootnoteText"/>
    <w:uiPriority w:val="99"/>
    <w:semiHidden/>
    <w:rsid w:val="002A79CC"/>
    <w:rPr>
      <w:rFonts w:ascii="Courier" w:hAnsi="Courier"/>
      <w:snapToGrid w:val="0"/>
    </w:rPr>
  </w:style>
  <w:style w:type="paragraph" w:styleId="ListParagraph">
    <w:name w:val="List Paragraph"/>
    <w:basedOn w:val="Normal"/>
    <w:uiPriority w:val="34"/>
    <w:qFormat/>
    <w:rsid w:val="002A79CC"/>
    <w:pPr>
      <w:autoSpaceDE w:val="0"/>
      <w:autoSpaceDN w:val="0"/>
      <w:adjustRightInd w:val="0"/>
      <w:ind w:left="720"/>
      <w:contextualSpacing/>
    </w:pPr>
    <w:rPr>
      <w:snapToGrid/>
      <w:sz w:val="20"/>
      <w:szCs w:val="24"/>
    </w:rPr>
  </w:style>
  <w:style w:type="paragraph" w:customStyle="1" w:styleId="PRAFootnoteText">
    <w:name w:val="PRA Footnote Text"/>
    <w:basedOn w:val="FootnoteText"/>
    <w:qFormat/>
    <w:rsid w:val="002A79CC"/>
    <w:rPr>
      <w:rFonts w:ascii="Times New Roman" w:hAnsi="Times New Roman"/>
    </w:rPr>
  </w:style>
  <w:style w:type="character" w:styleId="Hyperlink">
    <w:name w:val="Hyperlink"/>
    <w:basedOn w:val="DefaultParagraphFont"/>
    <w:uiPriority w:val="99"/>
    <w:rsid w:val="002A79CC"/>
    <w:rPr>
      <w:color w:val="0000FF"/>
      <w:u w:val="single"/>
    </w:rPr>
  </w:style>
  <w:style w:type="character" w:styleId="FollowedHyperlink">
    <w:name w:val="FollowedHyperlink"/>
    <w:basedOn w:val="DefaultParagraphFont"/>
    <w:uiPriority w:val="99"/>
    <w:semiHidden/>
    <w:unhideWhenUsed/>
    <w:rsid w:val="00407C63"/>
    <w:rPr>
      <w:color w:val="800080" w:themeColor="followedHyperlink"/>
      <w:u w:val="single"/>
    </w:rPr>
  </w:style>
  <w:style w:type="paragraph" w:styleId="NormalWeb">
    <w:name w:val="Normal (Web)"/>
    <w:basedOn w:val="Normal"/>
    <w:rsid w:val="00BF65BF"/>
    <w:pPr>
      <w:widowControl/>
      <w:spacing w:before="100" w:beforeAutospacing="1" w:after="100" w:afterAutospacing="1"/>
    </w:pPr>
    <w:rPr>
      <w:rFonts w:ascii="Times New Roman" w:hAnsi="Times New Roman"/>
      <w:snapToGrid/>
      <w:szCs w:val="24"/>
    </w:rPr>
  </w:style>
  <w:style w:type="character" w:customStyle="1" w:styleId="ptext-2">
    <w:name w:val="ptext-2"/>
    <w:rsid w:val="00BF65BF"/>
    <w:rPr>
      <w:b w:val="0"/>
      <w:bCs w:val="0"/>
    </w:rPr>
  </w:style>
  <w:style w:type="character" w:customStyle="1" w:styleId="documentbody1">
    <w:name w:val="documentbody1"/>
    <w:basedOn w:val="DefaultParagraphFont"/>
    <w:rsid w:val="004809A7"/>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ocwage.nr0.htm" TargetMode="External"/><Relationship Id="rId2" Type="http://schemas.openxmlformats.org/officeDocument/2006/relationships/hyperlink" Target="http://www.federalreserve.gov/paymentsystems/regii-interchange-fee-standards.htm" TargetMode="External"/><Relationship Id="rId1" Type="http://schemas.openxmlformats.org/officeDocument/2006/relationships/hyperlink" Target="http://www.federalreserve.gov/paymentsystems/regii-average-interchange-fee.htm" TargetMode="External"/><Relationship Id="rId4"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ec5fda-c34f-4b9b-ad57-0d64b363042b">7HE4DA2HD64C-267-330</_dlc_DocId>
    <_dlc_DocIdUrl xmlns="afec5fda-c34f-4b9b-ad57-0d64b363042b">
      <Url>https://team.frb.gov/div/rbops/projects/Interchangesurveys/_layouts/DocIdRedir.aspx?ID=7HE4DA2HD64C-267-330</Url>
      <Description>7HE4DA2HD64C-267-330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DDA8C6D57EA4896A7096D994827E0" ma:contentTypeVersion="0" ma:contentTypeDescription="Create a new document." ma:contentTypeScope="" ma:versionID="f2d717d71dfc95ed93b76411a63036b5">
  <xsd:schema xmlns:xsd="http://www.w3.org/2001/XMLSchema" xmlns:xs="http://www.w3.org/2001/XMLSchema" xmlns:p="http://schemas.microsoft.com/office/2006/metadata/properties" xmlns:ns2="afec5fda-c34f-4b9b-ad57-0d64b363042b" targetNamespace="http://schemas.microsoft.com/office/2006/metadata/properties" ma:root="true" ma:fieldsID="4089a927114baab9f98804e76863effe" ns2:_="">
    <xsd:import namespace="afec5fda-c34f-4b9b-ad57-0d64b363042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c5fda-c34f-4b9b-ad57-0d64b36304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5648F-69E5-4E34-BD63-597C1BBE191D}">
  <ds:schemaRefs>
    <ds:schemaRef ds:uri="afec5fda-c34f-4b9b-ad57-0d64b363042b"/>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17D212A-357D-4591-80DC-1EAB7393A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c5fda-c34f-4b9b-ad57-0d64b3630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B2C30-8C22-4DAE-A64E-5A0A98EC607D}">
  <ds:schemaRefs>
    <ds:schemaRef ds:uri="http://schemas.microsoft.com/sharepoint/events"/>
  </ds:schemaRefs>
</ds:datastoreItem>
</file>

<file path=customXml/itemProps4.xml><?xml version="1.0" encoding="utf-8"?>
<ds:datastoreItem xmlns:ds="http://schemas.openxmlformats.org/officeDocument/2006/customXml" ds:itemID="{BEEB1928-B9DC-4735-ABB3-63DA8CB1B9FA}">
  <ds:schemaRefs>
    <ds:schemaRef ds:uri="http://schemas.microsoft.com/sharepoint/v3/contenttype/forms"/>
  </ds:schemaRefs>
</ds:datastoreItem>
</file>

<file path=customXml/itemProps5.xml><?xml version="1.0" encoding="utf-8"?>
<ds:datastoreItem xmlns:ds="http://schemas.openxmlformats.org/officeDocument/2006/customXml" ds:itemID="{D2C2A1C4-98E1-4D0B-80B0-856234F7231B}">
  <ds:schemaRefs>
    <ds:schemaRef ds:uri="http://schemas.openxmlformats.org/officeDocument/2006/bibliography"/>
  </ds:schemaRefs>
</ds:datastoreItem>
</file>

<file path=customXml/itemProps6.xml><?xml version="1.0" encoding="utf-8"?>
<ds:datastoreItem xmlns:ds="http://schemas.openxmlformats.org/officeDocument/2006/customXml" ds:itemID="{4AA00CE4-86F4-479E-85FD-213C9010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6E5BD051.dotm</Template>
  <TotalTime>0</TotalTime>
  <Pages>10</Pages>
  <Words>3674</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FRB-BOG</Company>
  <LinksUpToDate>false</LinksUpToDate>
  <CharactersWithSpaces>24582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Resch</dc:creator>
  <cp:lastModifiedBy>John A. Schmidt</cp:lastModifiedBy>
  <cp:revision>3</cp:revision>
  <cp:lastPrinted>2013-10-03T14:45:00Z</cp:lastPrinted>
  <dcterms:created xsi:type="dcterms:W3CDTF">2014-01-15T20:04:00Z</dcterms:created>
  <dcterms:modified xsi:type="dcterms:W3CDTF">2014-01-15T20:04:00Z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81e1b842-20d1-4ab4-9adc-8b5d9a22fbdd</vt:lpwstr>
  </property>
  <property fmtid="{D5CDD505-2E9C-101B-9397-08002B2CF9AE}" pid="3" name="ContentTypeId">
    <vt:lpwstr>0x010100DE9DDA8C6D57EA4896A7096D994827E0</vt:lpwstr>
  </property>
</Properties>
</file>