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D1" w:rsidRPr="00A26DC9" w:rsidRDefault="005078D1" w:rsidP="005078D1">
      <w:pPr>
        <w:jc w:val="center"/>
        <w:rPr>
          <w:b/>
          <w:bCs/>
          <w:szCs w:val="24"/>
        </w:rPr>
      </w:pPr>
      <w:r w:rsidRPr="00A26DC9">
        <w:rPr>
          <w:b/>
          <w:bCs/>
          <w:color w:val="000000"/>
          <w:szCs w:val="24"/>
        </w:rPr>
        <w:t xml:space="preserve">Supporting Statement for </w:t>
      </w:r>
      <w:r w:rsidRPr="00A26DC9">
        <w:rPr>
          <w:b/>
          <w:bCs/>
          <w:szCs w:val="24"/>
        </w:rPr>
        <w:t xml:space="preserve">the </w:t>
      </w:r>
    </w:p>
    <w:p w:rsidR="005078D1" w:rsidRPr="00A26DC9" w:rsidRDefault="005078D1" w:rsidP="005078D1">
      <w:pPr>
        <w:jc w:val="center"/>
        <w:rPr>
          <w:b/>
          <w:bCs/>
          <w:szCs w:val="24"/>
        </w:rPr>
      </w:pPr>
      <w:r w:rsidRPr="00A26DC9">
        <w:rPr>
          <w:b/>
          <w:bCs/>
          <w:szCs w:val="24"/>
        </w:rPr>
        <w:t xml:space="preserve">Domestic Finance Company Report of </w:t>
      </w:r>
    </w:p>
    <w:p w:rsidR="005078D1" w:rsidRPr="00A26DC9" w:rsidRDefault="005078D1" w:rsidP="005078D1">
      <w:pPr>
        <w:jc w:val="center"/>
        <w:rPr>
          <w:b/>
          <w:bCs/>
          <w:szCs w:val="24"/>
        </w:rPr>
      </w:pPr>
      <w:r w:rsidRPr="00A26DC9">
        <w:rPr>
          <w:b/>
          <w:bCs/>
          <w:szCs w:val="24"/>
        </w:rPr>
        <w:t>Consolidated Assets and Liabilities</w:t>
      </w:r>
    </w:p>
    <w:p w:rsidR="005078D1" w:rsidRPr="00A26DC9" w:rsidRDefault="005078D1" w:rsidP="005078D1">
      <w:pPr>
        <w:jc w:val="center"/>
        <w:rPr>
          <w:color w:val="000000"/>
          <w:szCs w:val="24"/>
        </w:rPr>
      </w:pPr>
      <w:r w:rsidRPr="00A26DC9">
        <w:rPr>
          <w:b/>
          <w:bCs/>
          <w:color w:val="000000"/>
          <w:szCs w:val="24"/>
        </w:rPr>
        <w:t>(FR 2248; OMB No. 7100-0005)</w:t>
      </w:r>
    </w:p>
    <w:p w:rsidR="005078D1" w:rsidRPr="00A26DC9" w:rsidRDefault="005078D1" w:rsidP="002170BD">
      <w:pPr>
        <w:ind w:right="-144"/>
        <w:rPr>
          <w:szCs w:val="24"/>
        </w:rPr>
      </w:pPr>
    </w:p>
    <w:p w:rsidR="00633B7E" w:rsidRPr="00A26DC9" w:rsidRDefault="00633B7E" w:rsidP="005A2906">
      <w:pPr>
        <w:rPr>
          <w:szCs w:val="24"/>
        </w:rPr>
      </w:pPr>
      <w:r w:rsidRPr="00A26DC9">
        <w:rPr>
          <w:b/>
          <w:bCs/>
          <w:szCs w:val="24"/>
        </w:rPr>
        <w:t>Summary</w:t>
      </w:r>
    </w:p>
    <w:p w:rsidR="00633B7E" w:rsidRPr="00A26DC9" w:rsidRDefault="00633B7E" w:rsidP="005A2906">
      <w:pPr>
        <w:tabs>
          <w:tab w:val="left" w:pos="360"/>
        </w:tabs>
        <w:rPr>
          <w:szCs w:val="24"/>
        </w:rPr>
      </w:pPr>
    </w:p>
    <w:p w:rsidR="00AD5733" w:rsidRPr="00A26DC9" w:rsidRDefault="005078D1" w:rsidP="002170BD">
      <w:pPr>
        <w:ind w:firstLine="720"/>
        <w:rPr>
          <w:szCs w:val="24"/>
        </w:rPr>
      </w:pPr>
      <w:r w:rsidRPr="00A26DC9">
        <w:rPr>
          <w:color w:val="000000"/>
          <w:szCs w:val="24"/>
        </w:rPr>
        <w:t xml:space="preserve">The Board of Governors of the Federal Reserve System, under delegated authority from the Office of Management and Budget (OMB), proposes </w:t>
      </w:r>
      <w:r w:rsidRPr="00A26DC9">
        <w:rPr>
          <w:szCs w:val="24"/>
        </w:rPr>
        <w:t xml:space="preserve">to extend for three years, with revision, the Domestic Finance Company Report of Consolidated Assets and Liabilities (FR 2248; OMB No. 7100-0005).  </w:t>
      </w:r>
      <w:r w:rsidR="00633B7E" w:rsidRPr="00A26DC9">
        <w:rPr>
          <w:szCs w:val="24"/>
        </w:rPr>
        <w:t>The FR</w:t>
      </w:r>
      <w:r w:rsidR="002170BD" w:rsidRPr="00A26DC9">
        <w:rPr>
          <w:szCs w:val="24"/>
        </w:rPr>
        <w:t> </w:t>
      </w:r>
      <w:r w:rsidR="00633B7E" w:rsidRPr="00A26DC9">
        <w:rPr>
          <w:szCs w:val="24"/>
        </w:rPr>
        <w:t xml:space="preserve">2248 is a voluntary report, collected monthly as of the last </w:t>
      </w:r>
      <w:r w:rsidR="00E8254B" w:rsidRPr="00A26DC9">
        <w:rPr>
          <w:szCs w:val="24"/>
        </w:rPr>
        <w:t>calendar</w:t>
      </w:r>
      <w:r w:rsidR="00633B7E" w:rsidRPr="00A26DC9">
        <w:rPr>
          <w:szCs w:val="24"/>
        </w:rPr>
        <w:t xml:space="preserve"> day of the month from a stratified sample</w:t>
      </w:r>
      <w:r w:rsidR="007E71D6">
        <w:rPr>
          <w:rStyle w:val="FootnoteReference"/>
          <w:szCs w:val="24"/>
        </w:rPr>
        <w:footnoteReference w:id="1"/>
      </w:r>
      <w:r w:rsidR="00633B7E" w:rsidRPr="00A26DC9">
        <w:rPr>
          <w:szCs w:val="24"/>
        </w:rPr>
        <w:t xml:space="preserve"> of finance companies</w:t>
      </w:r>
      <w:r w:rsidR="0008223C">
        <w:rPr>
          <w:szCs w:val="24"/>
        </w:rPr>
        <w:t>.</w:t>
      </w:r>
      <w:r w:rsidR="006878C3">
        <w:rPr>
          <w:rStyle w:val="FootnoteReference"/>
          <w:szCs w:val="24"/>
        </w:rPr>
        <w:footnoteReference w:id="2"/>
      </w:r>
      <w:r w:rsidR="00633B7E" w:rsidRPr="00A26DC9">
        <w:rPr>
          <w:szCs w:val="24"/>
        </w:rPr>
        <w:t xml:space="preserve">  Each monthly report collects balance sheet data on major categories of consumer and business credit receivables and on major short-term liabilities.  For quarter-end months (March, June, September, and December) additional asset and liability items are collected to provide a full balance sheet.  </w:t>
      </w:r>
      <w:r w:rsidR="00AD5733" w:rsidRPr="00A26DC9">
        <w:rPr>
          <w:szCs w:val="24"/>
        </w:rPr>
        <w:t xml:space="preserve">A </w:t>
      </w:r>
      <w:r w:rsidR="00633B7E" w:rsidRPr="00A26DC9">
        <w:rPr>
          <w:szCs w:val="24"/>
        </w:rPr>
        <w:t xml:space="preserve">supplemental section collects data on </w:t>
      </w:r>
      <w:r w:rsidR="00AD5733" w:rsidRPr="00A26DC9">
        <w:rPr>
          <w:szCs w:val="24"/>
        </w:rPr>
        <w:t>securitized assets</w:t>
      </w:r>
      <w:r w:rsidR="00633B7E" w:rsidRPr="00A26DC9">
        <w:rPr>
          <w:szCs w:val="24"/>
        </w:rPr>
        <w:t xml:space="preserve">.  </w:t>
      </w:r>
      <w:r w:rsidRPr="00A26DC9">
        <w:rPr>
          <w:szCs w:val="24"/>
        </w:rPr>
        <w:t xml:space="preserve">The Federal Reserve </w:t>
      </w:r>
      <w:r w:rsidR="00790246" w:rsidRPr="00A26DC9">
        <w:rPr>
          <w:szCs w:val="24"/>
        </w:rPr>
        <w:t xml:space="preserve">may ask </w:t>
      </w:r>
      <w:r w:rsidR="00B44D16" w:rsidRPr="00A26DC9">
        <w:rPr>
          <w:szCs w:val="24"/>
        </w:rPr>
        <w:t xml:space="preserve">either quantitative or qualitative </w:t>
      </w:r>
      <w:r w:rsidR="00790246" w:rsidRPr="00A26DC9">
        <w:rPr>
          <w:szCs w:val="24"/>
        </w:rPr>
        <w:t>questions through the use of a special addendum section no more than twice per year.</w:t>
      </w:r>
    </w:p>
    <w:p w:rsidR="00AD5733" w:rsidRPr="00A26DC9" w:rsidRDefault="00AD5733" w:rsidP="005A2906">
      <w:pPr>
        <w:tabs>
          <w:tab w:val="left" w:pos="360"/>
        </w:tabs>
        <w:rPr>
          <w:szCs w:val="24"/>
        </w:rPr>
      </w:pPr>
    </w:p>
    <w:p w:rsidR="007B680E" w:rsidRPr="00A26DC9" w:rsidRDefault="007B680E" w:rsidP="007B680E">
      <w:pPr>
        <w:ind w:firstLine="720"/>
        <w:rPr>
          <w:szCs w:val="24"/>
        </w:rPr>
      </w:pPr>
      <w:r w:rsidRPr="00A26DC9">
        <w:rPr>
          <w:szCs w:val="24"/>
        </w:rPr>
        <w:t>T</w:t>
      </w:r>
      <w:r w:rsidR="00633B7E" w:rsidRPr="00A26DC9">
        <w:rPr>
          <w:szCs w:val="24"/>
        </w:rPr>
        <w:t>he data are used to construct universe estimates of finance company holdings, which are published in the monthly statistical releases Finance Companies (G.20) and Consumer Credit (G.19), in the quarterly s</w:t>
      </w:r>
      <w:r w:rsidR="00771F1D">
        <w:rPr>
          <w:szCs w:val="24"/>
        </w:rPr>
        <w:t>tatistical release Financial</w:t>
      </w:r>
      <w:r w:rsidR="00633B7E" w:rsidRPr="00A26DC9">
        <w:rPr>
          <w:szCs w:val="24"/>
        </w:rPr>
        <w:t xml:space="preserve"> Accounts of the United States (Z.1), and in the </w:t>
      </w:r>
      <w:r w:rsidR="00633B7E" w:rsidRPr="00A26DC9">
        <w:rPr>
          <w:i/>
          <w:iCs/>
          <w:szCs w:val="24"/>
        </w:rPr>
        <w:t>Federal Reserve Bulletin</w:t>
      </w:r>
      <w:r w:rsidR="00633B7E" w:rsidRPr="00A26DC9">
        <w:rPr>
          <w:szCs w:val="24"/>
        </w:rPr>
        <w:t xml:space="preserve"> (Tables 1.51, 1.52, and 1.55).</w:t>
      </w:r>
    </w:p>
    <w:p w:rsidR="007B680E" w:rsidRPr="00A26DC9" w:rsidRDefault="007B680E" w:rsidP="00643C66">
      <w:pPr>
        <w:tabs>
          <w:tab w:val="left" w:pos="360"/>
        </w:tabs>
        <w:rPr>
          <w:szCs w:val="24"/>
        </w:rPr>
      </w:pPr>
    </w:p>
    <w:p w:rsidR="0033353D" w:rsidRPr="00A26DC9" w:rsidRDefault="005078D1" w:rsidP="00935346">
      <w:pPr>
        <w:ind w:firstLine="720"/>
        <w:rPr>
          <w:szCs w:val="24"/>
        </w:rPr>
      </w:pPr>
      <w:r w:rsidRPr="00A26DC9">
        <w:rPr>
          <w:szCs w:val="24"/>
        </w:rPr>
        <w:t xml:space="preserve">The Federal Reserve proposes </w:t>
      </w:r>
      <w:r w:rsidR="00646716" w:rsidRPr="00A26DC9">
        <w:rPr>
          <w:szCs w:val="24"/>
        </w:rPr>
        <w:t>to</w:t>
      </w:r>
      <w:r w:rsidR="00DF0175" w:rsidRPr="00A26DC9">
        <w:rPr>
          <w:bCs/>
          <w:szCs w:val="24"/>
        </w:rPr>
        <w:t xml:space="preserve"> </w:t>
      </w:r>
      <w:r w:rsidR="00F968E1" w:rsidRPr="00A26DC9">
        <w:rPr>
          <w:bCs/>
          <w:szCs w:val="24"/>
        </w:rPr>
        <w:t xml:space="preserve">revise </w:t>
      </w:r>
      <w:r w:rsidR="00DF0175" w:rsidRPr="00A26DC9">
        <w:rPr>
          <w:bCs/>
          <w:szCs w:val="24"/>
        </w:rPr>
        <w:t>the FR</w:t>
      </w:r>
      <w:r w:rsidR="00B549E2" w:rsidRPr="00A26DC9">
        <w:rPr>
          <w:bCs/>
          <w:szCs w:val="24"/>
        </w:rPr>
        <w:t xml:space="preserve"> </w:t>
      </w:r>
      <w:r w:rsidR="00DF0175" w:rsidRPr="00A26DC9">
        <w:rPr>
          <w:bCs/>
          <w:szCs w:val="24"/>
        </w:rPr>
        <w:t xml:space="preserve">2248 </w:t>
      </w:r>
      <w:r w:rsidR="00F968E1" w:rsidRPr="00A26DC9">
        <w:rPr>
          <w:bCs/>
          <w:szCs w:val="24"/>
        </w:rPr>
        <w:t>reporting</w:t>
      </w:r>
      <w:r w:rsidR="00DF0175" w:rsidRPr="00A26DC9">
        <w:rPr>
          <w:bCs/>
          <w:szCs w:val="24"/>
        </w:rPr>
        <w:t xml:space="preserve"> form </w:t>
      </w:r>
      <w:r w:rsidR="006C4E71" w:rsidRPr="00A26DC9">
        <w:rPr>
          <w:szCs w:val="24"/>
        </w:rPr>
        <w:t>by</w:t>
      </w:r>
      <w:r w:rsidR="005200E3" w:rsidRPr="00A26DC9">
        <w:rPr>
          <w:szCs w:val="24"/>
        </w:rPr>
        <w:t>:</w:t>
      </w:r>
      <w:r w:rsidR="00D149C0">
        <w:rPr>
          <w:szCs w:val="24"/>
        </w:rPr>
        <w:t xml:space="preserve">  </w:t>
      </w:r>
      <w:r w:rsidR="00D149C0" w:rsidRPr="000C5147">
        <w:rPr>
          <w:bCs/>
          <w:szCs w:val="24"/>
        </w:rPr>
        <w:t xml:space="preserve">(1) separating Other </w:t>
      </w:r>
      <w:r w:rsidR="00D149C0">
        <w:rPr>
          <w:bCs/>
          <w:szCs w:val="24"/>
        </w:rPr>
        <w:t>C</w:t>
      </w:r>
      <w:r w:rsidR="00D149C0" w:rsidRPr="000C5147">
        <w:rPr>
          <w:bCs/>
          <w:szCs w:val="24"/>
        </w:rPr>
        <w:t xml:space="preserve">onsumer </w:t>
      </w:r>
      <w:r w:rsidR="00D149C0">
        <w:rPr>
          <w:bCs/>
          <w:szCs w:val="24"/>
        </w:rPr>
        <w:t>Loans</w:t>
      </w:r>
      <w:r w:rsidR="00D149C0" w:rsidRPr="000C5147">
        <w:rPr>
          <w:bCs/>
          <w:szCs w:val="24"/>
        </w:rPr>
        <w:t xml:space="preserve"> into</w:t>
      </w:r>
      <w:r w:rsidR="00D149C0">
        <w:rPr>
          <w:bCs/>
          <w:szCs w:val="24"/>
        </w:rPr>
        <w:t xml:space="preserve"> </w:t>
      </w:r>
      <w:r w:rsidR="00D149C0" w:rsidRPr="000C5147">
        <w:rPr>
          <w:bCs/>
          <w:szCs w:val="24"/>
        </w:rPr>
        <w:t xml:space="preserve">three data items: </w:t>
      </w:r>
      <w:r w:rsidR="00D149C0">
        <w:rPr>
          <w:bCs/>
          <w:szCs w:val="24"/>
        </w:rPr>
        <w:t>G</w:t>
      </w:r>
      <w:r w:rsidR="00D149C0" w:rsidRPr="000C5147">
        <w:rPr>
          <w:bCs/>
          <w:szCs w:val="24"/>
        </w:rPr>
        <w:t xml:space="preserve">overnment-guaranteed </w:t>
      </w:r>
      <w:r w:rsidR="00D149C0">
        <w:rPr>
          <w:bCs/>
          <w:szCs w:val="24"/>
        </w:rPr>
        <w:t>S</w:t>
      </w:r>
      <w:r w:rsidR="00D149C0" w:rsidRPr="000C5147">
        <w:rPr>
          <w:bCs/>
          <w:szCs w:val="24"/>
        </w:rPr>
        <w:t xml:space="preserve">tudent </w:t>
      </w:r>
      <w:r w:rsidR="00D149C0">
        <w:rPr>
          <w:bCs/>
          <w:szCs w:val="24"/>
        </w:rPr>
        <w:t>L</w:t>
      </w:r>
      <w:r w:rsidR="00D149C0" w:rsidRPr="000C5147">
        <w:rPr>
          <w:bCs/>
          <w:szCs w:val="24"/>
        </w:rPr>
        <w:t xml:space="preserve">oans, </w:t>
      </w:r>
      <w:r w:rsidR="00D149C0">
        <w:rPr>
          <w:bCs/>
          <w:szCs w:val="24"/>
        </w:rPr>
        <w:t>P</w:t>
      </w:r>
      <w:r w:rsidR="00D149C0" w:rsidRPr="000C5147">
        <w:rPr>
          <w:bCs/>
          <w:szCs w:val="24"/>
        </w:rPr>
        <w:t xml:space="preserve">rivate </w:t>
      </w:r>
      <w:r w:rsidR="00D149C0">
        <w:rPr>
          <w:bCs/>
          <w:szCs w:val="24"/>
        </w:rPr>
        <w:t>S</w:t>
      </w:r>
      <w:r w:rsidR="00D149C0" w:rsidRPr="000C5147">
        <w:rPr>
          <w:bCs/>
          <w:szCs w:val="24"/>
        </w:rPr>
        <w:t xml:space="preserve">tudent </w:t>
      </w:r>
      <w:r w:rsidR="00D149C0">
        <w:rPr>
          <w:bCs/>
          <w:szCs w:val="24"/>
        </w:rPr>
        <w:t>L</w:t>
      </w:r>
      <w:r w:rsidR="00D149C0" w:rsidRPr="000C5147">
        <w:rPr>
          <w:bCs/>
          <w:szCs w:val="24"/>
        </w:rPr>
        <w:t xml:space="preserve">oans, and </w:t>
      </w:r>
      <w:r w:rsidR="00D149C0">
        <w:rPr>
          <w:bCs/>
          <w:szCs w:val="24"/>
        </w:rPr>
        <w:t>O</w:t>
      </w:r>
      <w:r w:rsidR="00D149C0" w:rsidRPr="000C5147">
        <w:rPr>
          <w:bCs/>
          <w:szCs w:val="24"/>
        </w:rPr>
        <w:t xml:space="preserve">ther </w:t>
      </w:r>
      <w:r w:rsidR="00D149C0">
        <w:rPr>
          <w:bCs/>
          <w:szCs w:val="24"/>
        </w:rPr>
        <w:t>C</w:t>
      </w:r>
      <w:r w:rsidR="00D149C0" w:rsidRPr="000C5147">
        <w:rPr>
          <w:bCs/>
          <w:szCs w:val="24"/>
        </w:rPr>
        <w:t xml:space="preserve">onsumer </w:t>
      </w:r>
      <w:r w:rsidR="00D149C0">
        <w:rPr>
          <w:bCs/>
          <w:szCs w:val="24"/>
        </w:rPr>
        <w:t>L</w:t>
      </w:r>
      <w:r w:rsidR="00D149C0" w:rsidRPr="000C5147">
        <w:rPr>
          <w:bCs/>
          <w:szCs w:val="24"/>
        </w:rPr>
        <w:t xml:space="preserve">oans, </w:t>
      </w:r>
      <w:r w:rsidR="005A6F86">
        <w:rPr>
          <w:szCs w:val="24"/>
        </w:rPr>
        <w:t>(2) combining Non-recourse debt associated with f</w:t>
      </w:r>
      <w:r w:rsidR="00D149C0" w:rsidRPr="000C5147">
        <w:rPr>
          <w:szCs w:val="24"/>
        </w:rPr>
        <w:t xml:space="preserve">inancing </w:t>
      </w:r>
      <w:r w:rsidR="005A6F86">
        <w:rPr>
          <w:szCs w:val="24"/>
        </w:rPr>
        <w:t xml:space="preserve">activities </w:t>
      </w:r>
      <w:r w:rsidR="00D149C0" w:rsidRPr="000C5147">
        <w:rPr>
          <w:szCs w:val="24"/>
        </w:rPr>
        <w:t>and Notes, bonds and debentures into Notes, bonds, debentures and other debt, and (3) increasing the panel size from 70 to 150 finance companies.</w:t>
      </w:r>
      <w:r w:rsidR="00D149C0">
        <w:rPr>
          <w:szCs w:val="24"/>
        </w:rPr>
        <w:t xml:space="preserve">  </w:t>
      </w:r>
      <w:r w:rsidR="00D149C0" w:rsidRPr="000C5147">
        <w:rPr>
          <w:szCs w:val="24"/>
        </w:rPr>
        <w:t xml:space="preserve">The current annual burden for the FR 2248 is estimated to be 350 hours.  </w:t>
      </w:r>
      <w:r w:rsidR="00935346">
        <w:rPr>
          <w:szCs w:val="24"/>
        </w:rPr>
        <w:t>The proposed increase in panel size would result in</w:t>
      </w:r>
      <w:r w:rsidR="00D149C0" w:rsidRPr="000C5147">
        <w:rPr>
          <w:szCs w:val="24"/>
        </w:rPr>
        <w:t xml:space="preserve"> an increase of 400 hours annually, to 750 hours.</w:t>
      </w:r>
      <w:bookmarkStart w:id="0" w:name="OLE_LINK1"/>
      <w:r w:rsidR="0008223C">
        <w:rPr>
          <w:szCs w:val="24"/>
        </w:rPr>
        <w:t xml:space="preserve">  </w:t>
      </w:r>
      <w:r w:rsidR="0008223C" w:rsidRPr="000C5147">
        <w:rPr>
          <w:szCs w:val="24"/>
        </w:rPr>
        <w:t xml:space="preserve">The proposed changes to the FR 2248 would be effective with the </w:t>
      </w:r>
      <w:r w:rsidR="0008223C">
        <w:rPr>
          <w:szCs w:val="24"/>
        </w:rPr>
        <w:t>January</w:t>
      </w:r>
      <w:r w:rsidR="0008223C" w:rsidRPr="000C5147">
        <w:rPr>
          <w:szCs w:val="24"/>
        </w:rPr>
        <w:t xml:space="preserve"> 31, 201</w:t>
      </w:r>
      <w:r w:rsidR="0008223C">
        <w:rPr>
          <w:szCs w:val="24"/>
        </w:rPr>
        <w:t>4</w:t>
      </w:r>
      <w:r w:rsidR="0008223C" w:rsidRPr="000C5147">
        <w:rPr>
          <w:szCs w:val="24"/>
        </w:rPr>
        <w:t>, report date.</w:t>
      </w:r>
    </w:p>
    <w:bookmarkEnd w:id="0"/>
    <w:p w:rsidR="00A85FFE" w:rsidRPr="00A26DC9" w:rsidRDefault="00A85FFE" w:rsidP="005A2906">
      <w:pPr>
        <w:tabs>
          <w:tab w:val="left" w:pos="360"/>
        </w:tabs>
        <w:rPr>
          <w:b/>
          <w:bCs/>
          <w:szCs w:val="24"/>
        </w:rPr>
      </w:pPr>
    </w:p>
    <w:p w:rsidR="00633B7E" w:rsidRPr="00A26DC9" w:rsidRDefault="00633B7E" w:rsidP="005A2906">
      <w:pPr>
        <w:tabs>
          <w:tab w:val="left" w:pos="360"/>
        </w:tabs>
        <w:rPr>
          <w:szCs w:val="24"/>
        </w:rPr>
      </w:pPr>
      <w:r w:rsidRPr="00A26DC9">
        <w:rPr>
          <w:b/>
          <w:bCs/>
          <w:szCs w:val="24"/>
        </w:rPr>
        <w:t>Background</w:t>
      </w:r>
      <w:r w:rsidR="00F5524C" w:rsidRPr="00A26DC9">
        <w:rPr>
          <w:b/>
          <w:bCs/>
          <w:szCs w:val="24"/>
        </w:rPr>
        <w:t xml:space="preserve"> and Justification</w:t>
      </w:r>
    </w:p>
    <w:p w:rsidR="00CA079D" w:rsidRPr="00A26DC9" w:rsidRDefault="00CA079D" w:rsidP="00643C66">
      <w:pPr>
        <w:tabs>
          <w:tab w:val="left" w:pos="360"/>
        </w:tabs>
        <w:rPr>
          <w:szCs w:val="24"/>
        </w:rPr>
      </w:pPr>
    </w:p>
    <w:p w:rsidR="00633B7E" w:rsidRPr="00A26DC9" w:rsidRDefault="002D392C" w:rsidP="00F2315B">
      <w:pPr>
        <w:ind w:firstLine="720"/>
        <w:rPr>
          <w:szCs w:val="24"/>
        </w:rPr>
      </w:pPr>
      <w:r>
        <w:rPr>
          <w:szCs w:val="24"/>
        </w:rPr>
        <w:t>Since the mid-</w:t>
      </w:r>
      <w:r w:rsidR="00104CE7" w:rsidRPr="00A26DC9">
        <w:rPr>
          <w:szCs w:val="24"/>
        </w:rPr>
        <w:t>1940s, t</w:t>
      </w:r>
      <w:r w:rsidR="00633B7E" w:rsidRPr="00A26DC9">
        <w:rPr>
          <w:szCs w:val="24"/>
        </w:rPr>
        <w:t xml:space="preserve">he Federal Reserve has collected consumer credit data from finance companies on a regular basis.  In 1955, the Federal Reserve conducted its first universe survey of finance companies, including business finance companies.  In that survey, information was </w:t>
      </w:r>
      <w:proofErr w:type="gramStart"/>
      <w:r w:rsidR="00633B7E" w:rsidRPr="00A26DC9">
        <w:rPr>
          <w:szCs w:val="24"/>
        </w:rPr>
        <w:t>collected</w:t>
      </w:r>
      <w:proofErr w:type="gramEnd"/>
      <w:r w:rsidR="00633B7E" w:rsidRPr="00A26DC9">
        <w:rPr>
          <w:szCs w:val="24"/>
        </w:rPr>
        <w:t xml:space="preserve"> on major assets and liabilities, with an emphasis on receivables.  Using data from that first universe survey, the </w:t>
      </w:r>
      <w:r w:rsidR="005078D1" w:rsidRPr="00A26DC9">
        <w:rPr>
          <w:szCs w:val="24"/>
        </w:rPr>
        <w:t>Federal Reserve</w:t>
      </w:r>
      <w:r w:rsidR="00633B7E" w:rsidRPr="00A26DC9">
        <w:rPr>
          <w:szCs w:val="24"/>
        </w:rPr>
        <w:t xml:space="preserve"> developed a monthly sample survey.  Two sample </w:t>
      </w:r>
      <w:r w:rsidR="00633B7E" w:rsidRPr="00A26DC9">
        <w:rPr>
          <w:szCs w:val="24"/>
        </w:rPr>
        <w:lastRenderedPageBreak/>
        <w:t>panels were drawn from companies reporting in that universe survey, one representing consumer finance companies (which mainly provided small cash loans to individuals) and the other representing sales finance companies (which mainly purchased credit contracts generated in the sale of durable consumer goods).  Companies in each sample panel were asked to supply the Federal Reserve with monthly data on their major consumer credit receivables.</w:t>
      </w:r>
    </w:p>
    <w:p w:rsidR="007E71D6" w:rsidRDefault="007E71D6" w:rsidP="007E71D6">
      <w:pPr>
        <w:rPr>
          <w:szCs w:val="24"/>
        </w:rPr>
      </w:pPr>
    </w:p>
    <w:p w:rsidR="00633B7E" w:rsidRPr="00A26DC9" w:rsidRDefault="00633B7E" w:rsidP="007E71D6">
      <w:pPr>
        <w:ind w:firstLine="720"/>
        <w:rPr>
          <w:szCs w:val="24"/>
        </w:rPr>
      </w:pPr>
      <w:r w:rsidRPr="00A26DC9">
        <w:rPr>
          <w:szCs w:val="24"/>
        </w:rPr>
        <w:t xml:space="preserve">To benchmark the monthly sample series, the Federal Reserve continued to conduct the universe finance company survey at five-year intervals.  </w:t>
      </w:r>
      <w:r w:rsidR="00BD76C1" w:rsidRPr="00A26DC9">
        <w:rPr>
          <w:szCs w:val="24"/>
        </w:rPr>
        <w:t>I</w:t>
      </w:r>
      <w:r w:rsidRPr="00A26DC9">
        <w:rPr>
          <w:szCs w:val="24"/>
        </w:rPr>
        <w:t xml:space="preserve">n 1980, this </w:t>
      </w:r>
      <w:r w:rsidR="00AD5733" w:rsidRPr="00A26DC9">
        <w:rPr>
          <w:szCs w:val="24"/>
        </w:rPr>
        <w:t xml:space="preserve">benchmark </w:t>
      </w:r>
      <w:r w:rsidRPr="00A26DC9">
        <w:rPr>
          <w:szCs w:val="24"/>
        </w:rPr>
        <w:t>survey was changed from a universe to a sample survey.</w:t>
      </w:r>
    </w:p>
    <w:p w:rsidR="00633B7E" w:rsidRPr="00A26DC9" w:rsidRDefault="00633B7E" w:rsidP="00643C66">
      <w:pPr>
        <w:tabs>
          <w:tab w:val="left" w:pos="360"/>
        </w:tabs>
        <w:rPr>
          <w:szCs w:val="24"/>
        </w:rPr>
      </w:pPr>
    </w:p>
    <w:p w:rsidR="00633B7E" w:rsidRPr="00A26DC9" w:rsidRDefault="00633B7E" w:rsidP="00F2315B">
      <w:pPr>
        <w:ind w:firstLine="720"/>
        <w:rPr>
          <w:szCs w:val="24"/>
        </w:rPr>
      </w:pPr>
      <w:r w:rsidRPr="00A26DC9">
        <w:rPr>
          <w:szCs w:val="24"/>
        </w:rPr>
        <w:t>In 1970, the Federal Reserve abandoned the distinction between consumer and sales finance companies, owing to widespread diversification within the finance company industry.  At that time, a single new reporting form was introduced to cover all major types of lending (consumer, sales, and business financing)</w:t>
      </w:r>
      <w:r w:rsidR="0064285C" w:rsidRPr="00A26DC9">
        <w:rPr>
          <w:szCs w:val="24"/>
        </w:rPr>
        <w:t xml:space="preserve">.  </w:t>
      </w:r>
      <w:r w:rsidRPr="00A26DC9">
        <w:rPr>
          <w:szCs w:val="24"/>
        </w:rPr>
        <w:t xml:space="preserve">Since 1970, other changes have been made to the reporting form in order to capture information on new types of activities in which finance companies were engaging as well as to eliminate data items no longer needed by the Federal Reserve.  Major changes made in 1987 include the elimination of extensions data and the addition of </w:t>
      </w:r>
      <w:r w:rsidR="00985939" w:rsidRPr="00A26DC9">
        <w:rPr>
          <w:szCs w:val="24"/>
        </w:rPr>
        <w:t xml:space="preserve">the </w:t>
      </w:r>
      <w:r w:rsidRPr="00A26DC9">
        <w:rPr>
          <w:szCs w:val="24"/>
        </w:rPr>
        <w:t>supplement on securitized assets.</w:t>
      </w:r>
    </w:p>
    <w:p w:rsidR="00CA079D" w:rsidRPr="00A26DC9" w:rsidRDefault="00CA079D" w:rsidP="00643C66">
      <w:pPr>
        <w:tabs>
          <w:tab w:val="left" w:pos="360"/>
        </w:tabs>
        <w:rPr>
          <w:szCs w:val="24"/>
        </w:rPr>
      </w:pPr>
    </w:p>
    <w:p w:rsidR="00D83F35" w:rsidRDefault="005A2906" w:rsidP="00F2315B">
      <w:pPr>
        <w:ind w:firstLine="720"/>
        <w:rPr>
          <w:szCs w:val="24"/>
        </w:rPr>
      </w:pPr>
      <w:r w:rsidRPr="00A26DC9">
        <w:rPr>
          <w:szCs w:val="24"/>
        </w:rPr>
        <w:t>In 200</w:t>
      </w:r>
      <w:r w:rsidR="009D0024" w:rsidRPr="00A26DC9">
        <w:rPr>
          <w:szCs w:val="24"/>
        </w:rPr>
        <w:t>2, the survey was modified in three ways.  First, the authorized panel size was reduced to 8</w:t>
      </w:r>
      <w:r w:rsidR="002D7A01" w:rsidRPr="00A26DC9">
        <w:rPr>
          <w:szCs w:val="24"/>
        </w:rPr>
        <w:t>0 finance companies because the number of finance companies responding to the survey had declined</w:t>
      </w:r>
      <w:r w:rsidR="00550029" w:rsidRPr="00A26DC9">
        <w:rPr>
          <w:szCs w:val="24"/>
        </w:rPr>
        <w:t>, owing to industry consolidation and attrition</w:t>
      </w:r>
      <w:r w:rsidR="002D7A01" w:rsidRPr="00A26DC9">
        <w:rPr>
          <w:szCs w:val="24"/>
        </w:rPr>
        <w:t xml:space="preserve">.  </w:t>
      </w:r>
      <w:r w:rsidR="009D0024" w:rsidRPr="00A26DC9">
        <w:rPr>
          <w:szCs w:val="24"/>
        </w:rPr>
        <w:t xml:space="preserve">Second, </w:t>
      </w:r>
      <w:r w:rsidR="002D7A01" w:rsidRPr="00A26DC9">
        <w:rPr>
          <w:szCs w:val="24"/>
        </w:rPr>
        <w:t>f</w:t>
      </w:r>
      <w:r w:rsidR="009D0024" w:rsidRPr="00A26DC9">
        <w:rPr>
          <w:szCs w:val="24"/>
        </w:rPr>
        <w:t xml:space="preserve">our questions </w:t>
      </w:r>
      <w:r w:rsidR="00643C66" w:rsidRPr="00A26DC9">
        <w:rPr>
          <w:szCs w:val="24"/>
        </w:rPr>
        <w:t>on</w:t>
      </w:r>
      <w:r w:rsidR="009D0024" w:rsidRPr="00A26DC9">
        <w:rPr>
          <w:szCs w:val="24"/>
        </w:rPr>
        <w:t xml:space="preserve"> the breakdown of </w:t>
      </w:r>
      <w:r w:rsidR="002D7A01" w:rsidRPr="00A26DC9">
        <w:rPr>
          <w:szCs w:val="24"/>
        </w:rPr>
        <w:t>real estate loans</w:t>
      </w:r>
      <w:r w:rsidR="00985939" w:rsidRPr="00A26DC9">
        <w:rPr>
          <w:szCs w:val="24"/>
        </w:rPr>
        <w:t xml:space="preserve"> for one</w:t>
      </w:r>
      <w:r w:rsidR="0085188F" w:rsidRPr="00A26DC9">
        <w:rPr>
          <w:szCs w:val="24"/>
        </w:rPr>
        <w:t>-</w:t>
      </w:r>
      <w:r w:rsidR="00583D79" w:rsidRPr="00A26DC9">
        <w:rPr>
          <w:szCs w:val="24"/>
        </w:rPr>
        <w:t xml:space="preserve"> </w:t>
      </w:r>
      <w:r w:rsidR="00985939" w:rsidRPr="00A26DC9">
        <w:rPr>
          <w:szCs w:val="24"/>
        </w:rPr>
        <w:t>to</w:t>
      </w:r>
      <w:r w:rsidR="00583D79" w:rsidRPr="00A26DC9">
        <w:rPr>
          <w:szCs w:val="24"/>
        </w:rPr>
        <w:t xml:space="preserve"> </w:t>
      </w:r>
      <w:r w:rsidR="00985939" w:rsidRPr="00A26DC9">
        <w:rPr>
          <w:szCs w:val="24"/>
        </w:rPr>
        <w:t>four</w:t>
      </w:r>
      <w:r w:rsidR="0085188F" w:rsidRPr="00A26DC9">
        <w:rPr>
          <w:szCs w:val="24"/>
        </w:rPr>
        <w:t>-</w:t>
      </w:r>
      <w:r w:rsidR="00985939" w:rsidRPr="00A26DC9">
        <w:rPr>
          <w:szCs w:val="24"/>
        </w:rPr>
        <w:t>family structures</w:t>
      </w:r>
      <w:r w:rsidR="002D7A01" w:rsidRPr="00A26DC9">
        <w:rPr>
          <w:szCs w:val="24"/>
        </w:rPr>
        <w:t xml:space="preserve"> were added</w:t>
      </w:r>
      <w:r w:rsidR="00985939" w:rsidRPr="00A26DC9">
        <w:rPr>
          <w:szCs w:val="24"/>
        </w:rPr>
        <w:t xml:space="preserve"> in order to improve flow of funds estimates of such loans.  T</w:t>
      </w:r>
      <w:r w:rsidR="009D0024" w:rsidRPr="00A26DC9">
        <w:rPr>
          <w:szCs w:val="24"/>
        </w:rPr>
        <w:t>hird, a special addendum section was</w:t>
      </w:r>
      <w:r w:rsidR="002D7A01" w:rsidRPr="00A26DC9">
        <w:rPr>
          <w:szCs w:val="24"/>
        </w:rPr>
        <w:t xml:space="preserve"> added</w:t>
      </w:r>
      <w:r w:rsidR="007A442E" w:rsidRPr="00A26DC9">
        <w:rPr>
          <w:szCs w:val="24"/>
        </w:rPr>
        <w:t>,</w:t>
      </w:r>
      <w:r w:rsidR="002D7A01" w:rsidRPr="00A26DC9">
        <w:rPr>
          <w:szCs w:val="24"/>
        </w:rPr>
        <w:t xml:space="preserve"> </w:t>
      </w:r>
      <w:r w:rsidR="0085188F" w:rsidRPr="00A26DC9">
        <w:rPr>
          <w:szCs w:val="24"/>
        </w:rPr>
        <w:t xml:space="preserve">which may be </w:t>
      </w:r>
      <w:r w:rsidR="00985939" w:rsidRPr="00A26DC9">
        <w:rPr>
          <w:szCs w:val="24"/>
        </w:rPr>
        <w:t xml:space="preserve">used if the need </w:t>
      </w:r>
      <w:r w:rsidR="0085188F" w:rsidRPr="00A26DC9">
        <w:rPr>
          <w:szCs w:val="24"/>
        </w:rPr>
        <w:t xml:space="preserve">arises </w:t>
      </w:r>
      <w:r w:rsidR="00985939" w:rsidRPr="00A26DC9">
        <w:rPr>
          <w:szCs w:val="24"/>
        </w:rPr>
        <w:t xml:space="preserve">for </w:t>
      </w:r>
      <w:r w:rsidR="002D7A01" w:rsidRPr="00A26DC9">
        <w:rPr>
          <w:szCs w:val="24"/>
        </w:rPr>
        <w:t>timely</w:t>
      </w:r>
      <w:r w:rsidR="00646716" w:rsidRPr="00A26DC9">
        <w:rPr>
          <w:szCs w:val="24"/>
        </w:rPr>
        <w:t xml:space="preserve"> </w:t>
      </w:r>
      <w:r w:rsidR="002D7A01" w:rsidRPr="00A26DC9">
        <w:rPr>
          <w:szCs w:val="24"/>
        </w:rPr>
        <w:t>information on questions of immediate concern to the</w:t>
      </w:r>
      <w:r w:rsidR="006E2794" w:rsidRPr="00A26DC9">
        <w:rPr>
          <w:szCs w:val="24"/>
        </w:rPr>
        <w:t xml:space="preserve"> </w:t>
      </w:r>
      <w:r w:rsidR="00084645" w:rsidRPr="00A26DC9">
        <w:rPr>
          <w:szCs w:val="24"/>
        </w:rPr>
        <w:t>Board</w:t>
      </w:r>
      <w:r w:rsidR="002D7A01" w:rsidRPr="00A26DC9">
        <w:rPr>
          <w:szCs w:val="24"/>
        </w:rPr>
        <w:t>.</w:t>
      </w:r>
      <w:r w:rsidR="006918C5" w:rsidRPr="00A26DC9">
        <w:rPr>
          <w:szCs w:val="24"/>
        </w:rPr>
        <w:t xml:space="preserve">  </w:t>
      </w:r>
      <w:r w:rsidR="006878C3" w:rsidRPr="006878C3">
        <w:rPr>
          <w:szCs w:val="24"/>
        </w:rPr>
        <w:t>In 2005, the definition of finance company was revised to include companies whose real estate loans made up 50 percent or more of their assets; this change effectively brought mortgage companies onto the panel.  This definition of a finance company includes finance company subsidiaries of a bank holding company (BHC) or a foreign banking organization (FBO).</w:t>
      </w:r>
      <w:r w:rsidR="006878C3" w:rsidRPr="006878C3">
        <w:rPr>
          <w:szCs w:val="24"/>
          <w:vertAlign w:val="superscript"/>
        </w:rPr>
        <w:footnoteReference w:id="3"/>
      </w:r>
    </w:p>
    <w:p w:rsidR="006878C3" w:rsidRPr="00A26DC9" w:rsidRDefault="006878C3" w:rsidP="00F2315B">
      <w:pPr>
        <w:ind w:firstLine="720"/>
        <w:rPr>
          <w:szCs w:val="24"/>
        </w:rPr>
      </w:pPr>
    </w:p>
    <w:p w:rsidR="00D83F35" w:rsidRPr="00A26DC9" w:rsidRDefault="00D83F35" w:rsidP="00F2315B">
      <w:pPr>
        <w:ind w:firstLine="720"/>
        <w:rPr>
          <w:szCs w:val="24"/>
        </w:rPr>
      </w:pPr>
      <w:r w:rsidRPr="00A26DC9">
        <w:rPr>
          <w:szCs w:val="24"/>
        </w:rPr>
        <w:t xml:space="preserve">In 2008, the reporting form was revised to split </w:t>
      </w:r>
      <w:proofErr w:type="gramStart"/>
      <w:r w:rsidRPr="00A26DC9">
        <w:rPr>
          <w:szCs w:val="24"/>
        </w:rPr>
        <w:t>All</w:t>
      </w:r>
      <w:proofErr w:type="gramEnd"/>
      <w:r w:rsidRPr="00A26DC9">
        <w:rPr>
          <w:szCs w:val="24"/>
        </w:rPr>
        <w:t xml:space="preserve"> o</w:t>
      </w:r>
      <w:r w:rsidRPr="00A26DC9">
        <w:rPr>
          <w:snapToGrid/>
          <w:color w:val="231F20"/>
          <w:szCs w:val="24"/>
        </w:rPr>
        <w:t xml:space="preserve">ther assets and accounts and notes receivable, into three separate data items.  </w:t>
      </w:r>
      <w:r w:rsidRPr="00A26DC9">
        <w:rPr>
          <w:szCs w:val="24"/>
        </w:rPr>
        <w:t xml:space="preserve">This revision enhanced </w:t>
      </w:r>
      <w:r w:rsidR="005078D1" w:rsidRPr="00A26DC9">
        <w:rPr>
          <w:szCs w:val="24"/>
        </w:rPr>
        <w:t>the Federal Reserve</w:t>
      </w:r>
      <w:r w:rsidRPr="00A26DC9">
        <w:rPr>
          <w:szCs w:val="24"/>
        </w:rPr>
        <w:t xml:space="preserve">’s estimate of the finance company balance sheet currently published in the Federal Reserve System’s Flow of Funds accounts.  In addition, the authorized panel size was reduced to 70 companies because the number of finance companies responding to the survey had declined, owing to industry consolidation and attrition. </w:t>
      </w:r>
    </w:p>
    <w:p w:rsidR="00CA079D" w:rsidRDefault="00CA079D" w:rsidP="005A2906">
      <w:pPr>
        <w:rPr>
          <w:szCs w:val="24"/>
        </w:rPr>
      </w:pPr>
    </w:p>
    <w:p w:rsidR="0075626B" w:rsidRPr="00DF388B" w:rsidRDefault="0075626B" w:rsidP="0075626B">
      <w:pPr>
        <w:ind w:firstLine="720"/>
        <w:rPr>
          <w:szCs w:val="24"/>
        </w:rPr>
      </w:pPr>
      <w:r w:rsidRPr="000C5147">
        <w:rPr>
          <w:szCs w:val="24"/>
        </w:rPr>
        <w:t xml:space="preserve">In 2010, the FR 2248 was revised in order to be consistent with typical balance sheet </w:t>
      </w:r>
      <w:r w:rsidRPr="00DF388B">
        <w:rPr>
          <w:szCs w:val="24"/>
        </w:rPr>
        <w:t xml:space="preserve">presentations and to improve the ability of </w:t>
      </w:r>
      <w:r w:rsidR="0008223C">
        <w:rPr>
          <w:szCs w:val="24"/>
        </w:rPr>
        <w:t>the Federal Reserve</w:t>
      </w:r>
      <w:r w:rsidR="0008223C" w:rsidRPr="00DF388B">
        <w:rPr>
          <w:szCs w:val="24"/>
        </w:rPr>
        <w:t xml:space="preserve"> </w:t>
      </w:r>
      <w:r w:rsidRPr="00DF388B">
        <w:rPr>
          <w:szCs w:val="24"/>
        </w:rPr>
        <w:t xml:space="preserve">to analyze consumer credit outstanding held by finance companies to make more informed policy decisions.  In addition, these revisions to the FR 2248 </w:t>
      </w:r>
      <w:r w:rsidRPr="00DF388B">
        <w:rPr>
          <w:bCs/>
          <w:szCs w:val="24"/>
        </w:rPr>
        <w:t xml:space="preserve">aligned with the survey used to benchmark these data—the FR </w:t>
      </w:r>
      <w:r w:rsidRPr="00DF388B">
        <w:rPr>
          <w:bCs/>
          <w:szCs w:val="24"/>
        </w:rPr>
        <w:lastRenderedPageBreak/>
        <w:t xml:space="preserve">3033s.  The FR 3033s data are used to benchmark the FR 2248 data on a </w:t>
      </w:r>
      <w:proofErr w:type="spellStart"/>
      <w:r w:rsidRPr="00DF388B">
        <w:rPr>
          <w:bCs/>
          <w:szCs w:val="24"/>
        </w:rPr>
        <w:t>quinquennial</w:t>
      </w:r>
      <w:proofErr w:type="spellEnd"/>
      <w:r w:rsidRPr="00DF388B">
        <w:rPr>
          <w:bCs/>
          <w:szCs w:val="24"/>
        </w:rPr>
        <w:t xml:space="preserve"> basis.  In essence, the FR 3033s survey is the second stage of the two-stage survey, sent to finance companies that respond to a simple questionnaire, the FR 3033p, sent to all known domestic finance and mortgage companies. The FR 3033p requests information about each company’s total net assets, areas of specialization, and other characteristics in order to first identify a potential universe of domestic finance companies, from which the sample of finance companies is drawn. </w:t>
      </w:r>
    </w:p>
    <w:p w:rsidR="0075626B" w:rsidRPr="00A26DC9" w:rsidRDefault="0075626B" w:rsidP="005A2906">
      <w:pPr>
        <w:rPr>
          <w:szCs w:val="24"/>
        </w:rPr>
      </w:pPr>
    </w:p>
    <w:p w:rsidR="008C2405" w:rsidRPr="00A26DC9" w:rsidRDefault="00633B7E" w:rsidP="00237A2B">
      <w:pPr>
        <w:ind w:firstLine="720"/>
        <w:rPr>
          <w:szCs w:val="24"/>
        </w:rPr>
      </w:pPr>
      <w:r w:rsidRPr="00A26DC9">
        <w:rPr>
          <w:szCs w:val="24"/>
        </w:rPr>
        <w:t xml:space="preserve">Finance companies </w:t>
      </w:r>
      <w:r w:rsidR="00AB2E0C" w:rsidRPr="00A26DC9">
        <w:rPr>
          <w:szCs w:val="24"/>
        </w:rPr>
        <w:t xml:space="preserve">also </w:t>
      </w:r>
      <w:r w:rsidRPr="00A26DC9">
        <w:rPr>
          <w:szCs w:val="24"/>
        </w:rPr>
        <w:t xml:space="preserve">provide a significant share of short- and </w:t>
      </w:r>
      <w:r w:rsidR="00383EF9" w:rsidRPr="00A26DC9">
        <w:rPr>
          <w:szCs w:val="24"/>
        </w:rPr>
        <w:t>medium</w:t>
      </w:r>
      <w:r w:rsidRPr="00A26DC9">
        <w:rPr>
          <w:szCs w:val="24"/>
        </w:rPr>
        <w:t xml:space="preserve">-term </w:t>
      </w:r>
      <w:r w:rsidR="00AB2E0C" w:rsidRPr="00A26DC9">
        <w:rPr>
          <w:szCs w:val="24"/>
        </w:rPr>
        <w:t xml:space="preserve">credit </w:t>
      </w:r>
      <w:r w:rsidRPr="00A26DC9">
        <w:rPr>
          <w:szCs w:val="24"/>
        </w:rPr>
        <w:t>to businesses.  Business investment, both for fixed capital and inventory, is one of the more cyclically sensitive compon</w:t>
      </w:r>
      <w:r w:rsidR="002C7229" w:rsidRPr="00A26DC9">
        <w:rPr>
          <w:szCs w:val="24"/>
        </w:rPr>
        <w:t xml:space="preserve">ents of </w:t>
      </w:r>
      <w:smartTag w:uri="urn:schemas-microsoft-com:office:smarttags" w:element="stockticker">
        <w:r w:rsidRPr="00A26DC9">
          <w:rPr>
            <w:szCs w:val="24"/>
          </w:rPr>
          <w:t>GDP</w:t>
        </w:r>
      </w:smartTag>
      <w:r w:rsidRPr="00A26DC9">
        <w:rPr>
          <w:szCs w:val="24"/>
        </w:rPr>
        <w:t xml:space="preserve">.  Because of the significant effect monetary policy can have on business investment, in part via the availability of credit, monitoring the sources of funding to businesses is important for the </w:t>
      </w:r>
      <w:r w:rsidR="0033353D" w:rsidRPr="00A26DC9">
        <w:rPr>
          <w:szCs w:val="24"/>
        </w:rPr>
        <w:t xml:space="preserve">conduct </w:t>
      </w:r>
      <w:r w:rsidRPr="00A26DC9">
        <w:rPr>
          <w:szCs w:val="24"/>
        </w:rPr>
        <w:t xml:space="preserve">of monetary policy.  </w:t>
      </w:r>
      <w:r w:rsidR="00237A2B" w:rsidRPr="00A26DC9">
        <w:rPr>
          <w:szCs w:val="24"/>
        </w:rPr>
        <w:t>Currently, there is no other information collection for domestic finance companies in place that supplies the monthly data obtained on the FR 2248.</w:t>
      </w:r>
    </w:p>
    <w:p w:rsidR="006458A7" w:rsidRPr="00A26DC9" w:rsidRDefault="006458A7" w:rsidP="005A2906">
      <w:pPr>
        <w:rPr>
          <w:b/>
          <w:bCs/>
          <w:szCs w:val="24"/>
        </w:rPr>
      </w:pPr>
    </w:p>
    <w:p w:rsidR="00633B7E" w:rsidRPr="00A26DC9" w:rsidRDefault="00633B7E" w:rsidP="005A2906">
      <w:pPr>
        <w:rPr>
          <w:szCs w:val="24"/>
        </w:rPr>
      </w:pPr>
      <w:r w:rsidRPr="00A26DC9">
        <w:rPr>
          <w:b/>
          <w:bCs/>
          <w:szCs w:val="24"/>
        </w:rPr>
        <w:t>Description of Information Collection</w:t>
      </w:r>
    </w:p>
    <w:p w:rsidR="007C3387" w:rsidRPr="00A26DC9" w:rsidRDefault="007C3387" w:rsidP="005A2906">
      <w:pPr>
        <w:rPr>
          <w:szCs w:val="24"/>
        </w:rPr>
      </w:pPr>
    </w:p>
    <w:p w:rsidR="00055EF9" w:rsidRPr="00A26DC9" w:rsidRDefault="006878C3" w:rsidP="006878C3">
      <w:pPr>
        <w:ind w:firstLine="720"/>
        <w:rPr>
          <w:szCs w:val="24"/>
        </w:rPr>
      </w:pPr>
      <w:r w:rsidRPr="006878C3">
        <w:rPr>
          <w:szCs w:val="24"/>
        </w:rPr>
        <w:t xml:space="preserve">The FR 2248 collects information on amounts outstanding in major categories of consumer and business credit held by finance companies and on major short-term liabilities of the finance companies.  For quarter-end months (March, June, September, and December) the report also collects information on other assets and liabilities outstanding as well as information on capital accounts in order to provide a full balance sheet.  In addition, a supplemental section collects data about assets that have been pooled by finance companies and sold to third parties that issue securities based on those assets.  The supplemental section is organized in the same four categories of credit (consumer, real estate, business, and lease-related).  The special addendum section may be used if the need arises for the collection of timely information on questions of immediate concern to the </w:t>
      </w:r>
      <w:r>
        <w:rPr>
          <w:szCs w:val="24"/>
        </w:rPr>
        <w:t>Federal Reserve</w:t>
      </w:r>
      <w:r w:rsidRPr="006878C3">
        <w:rPr>
          <w:szCs w:val="24"/>
        </w:rPr>
        <w:t>.  When necessary, respondents would be asked no more than twice a year to provide answers to a limited number of relevant questions, which would be distributed in advance to ease burden and which would take, on average, ten minutes to complete. This addendum provides the Federal Reserve a valuable source of information regarding timely topics and events in financial markets.</w:t>
      </w:r>
    </w:p>
    <w:p w:rsidR="00055EF9" w:rsidRPr="00A26DC9" w:rsidRDefault="00055EF9" w:rsidP="004F398C">
      <w:pPr>
        <w:rPr>
          <w:szCs w:val="24"/>
        </w:rPr>
      </w:pPr>
    </w:p>
    <w:p w:rsidR="00021A2B" w:rsidRPr="00A26DC9" w:rsidRDefault="00021A2B" w:rsidP="007E71D6">
      <w:pPr>
        <w:rPr>
          <w:b/>
          <w:bCs/>
          <w:szCs w:val="24"/>
        </w:rPr>
      </w:pPr>
      <w:r w:rsidRPr="00A26DC9">
        <w:rPr>
          <w:b/>
          <w:bCs/>
          <w:szCs w:val="24"/>
        </w:rPr>
        <w:t xml:space="preserve">Proposed Revisions </w:t>
      </w:r>
    </w:p>
    <w:p w:rsidR="009F09DF" w:rsidRPr="00A26DC9" w:rsidRDefault="009F09DF">
      <w:pPr>
        <w:rPr>
          <w:b/>
          <w:bCs/>
          <w:szCs w:val="24"/>
        </w:rPr>
      </w:pPr>
    </w:p>
    <w:p w:rsidR="006878C3" w:rsidRDefault="005078D1" w:rsidP="006A09B3">
      <w:pPr>
        <w:ind w:firstLine="720"/>
        <w:rPr>
          <w:szCs w:val="24"/>
        </w:rPr>
      </w:pPr>
      <w:r w:rsidRPr="00A26DC9">
        <w:rPr>
          <w:szCs w:val="24"/>
        </w:rPr>
        <w:t xml:space="preserve">The Federal Reserve proposes </w:t>
      </w:r>
      <w:r w:rsidR="00F968E1" w:rsidRPr="00A26DC9">
        <w:rPr>
          <w:szCs w:val="24"/>
        </w:rPr>
        <w:t xml:space="preserve">to revise </w:t>
      </w:r>
      <w:r w:rsidR="00D14669" w:rsidRPr="00A26DC9">
        <w:rPr>
          <w:bCs/>
          <w:szCs w:val="24"/>
        </w:rPr>
        <w:t>the FR</w:t>
      </w:r>
      <w:r w:rsidR="00B549E2" w:rsidRPr="00A26DC9">
        <w:rPr>
          <w:bCs/>
          <w:szCs w:val="24"/>
        </w:rPr>
        <w:t xml:space="preserve"> </w:t>
      </w:r>
      <w:r w:rsidR="00D14669" w:rsidRPr="00A26DC9">
        <w:rPr>
          <w:bCs/>
          <w:szCs w:val="24"/>
        </w:rPr>
        <w:t xml:space="preserve">2248 </w:t>
      </w:r>
      <w:r w:rsidR="00F968E1" w:rsidRPr="00A26DC9">
        <w:rPr>
          <w:bCs/>
          <w:szCs w:val="24"/>
        </w:rPr>
        <w:t>reporting</w:t>
      </w:r>
      <w:r w:rsidR="007C092A" w:rsidRPr="00A26DC9">
        <w:rPr>
          <w:bCs/>
          <w:szCs w:val="24"/>
        </w:rPr>
        <w:t xml:space="preserve"> form</w:t>
      </w:r>
      <w:r w:rsidR="00F968E1" w:rsidRPr="00A26DC9">
        <w:rPr>
          <w:bCs/>
          <w:szCs w:val="24"/>
        </w:rPr>
        <w:t xml:space="preserve"> </w:t>
      </w:r>
      <w:r w:rsidR="007C092A" w:rsidRPr="00A26DC9">
        <w:rPr>
          <w:szCs w:val="24"/>
        </w:rPr>
        <w:t>in order to</w:t>
      </w:r>
      <w:r w:rsidR="00291DE1">
        <w:rPr>
          <w:szCs w:val="24"/>
        </w:rPr>
        <w:t xml:space="preserve"> obtain detailed information on student loans</w:t>
      </w:r>
      <w:r w:rsidR="00D12F72">
        <w:rPr>
          <w:szCs w:val="24"/>
        </w:rPr>
        <w:t>, which will</w:t>
      </w:r>
      <w:r w:rsidR="00935346">
        <w:rPr>
          <w:szCs w:val="24"/>
        </w:rPr>
        <w:t xml:space="preserve"> </w:t>
      </w:r>
      <w:r w:rsidR="007C092A" w:rsidRPr="00A26DC9">
        <w:rPr>
          <w:szCs w:val="24"/>
        </w:rPr>
        <w:t>improve the abilit</w:t>
      </w:r>
      <w:r w:rsidR="00620D81" w:rsidRPr="00A26DC9">
        <w:rPr>
          <w:szCs w:val="24"/>
        </w:rPr>
        <w:t>y</w:t>
      </w:r>
      <w:r w:rsidR="007C092A" w:rsidRPr="00A26DC9">
        <w:rPr>
          <w:szCs w:val="24"/>
        </w:rPr>
        <w:t xml:space="preserve"> of </w:t>
      </w:r>
      <w:r w:rsidRPr="00A26DC9">
        <w:rPr>
          <w:szCs w:val="24"/>
        </w:rPr>
        <w:t xml:space="preserve">the Federal Reserve </w:t>
      </w:r>
      <w:r w:rsidR="007C092A" w:rsidRPr="00A26DC9">
        <w:rPr>
          <w:szCs w:val="24"/>
        </w:rPr>
        <w:t xml:space="preserve">to </w:t>
      </w:r>
      <w:r w:rsidR="00D12F72">
        <w:rPr>
          <w:szCs w:val="24"/>
        </w:rPr>
        <w:t xml:space="preserve">have a better understanding of the student loan market.  </w:t>
      </w:r>
      <w:r w:rsidR="00D12F72">
        <w:rPr>
          <w:rFonts w:eastAsia="Calibri"/>
          <w:szCs w:val="24"/>
        </w:rPr>
        <w:t>In addition to monetary and economic policymaking,</w:t>
      </w:r>
      <w:r w:rsidR="00D12F72">
        <w:rPr>
          <w:szCs w:val="24"/>
        </w:rPr>
        <w:t xml:space="preserve"> finance company-level data on student loans would assist the Federal Reserve in identifying trends and concentrations of student loans and help to assess consumer compliance risk of its institutions.  Finally, the systematical collection of these data would improve the Federal Reserve’s ability to respond to requests from the Congress and further enhance the Federal Reserve’s prudential supervision efforts</w:t>
      </w:r>
      <w:r w:rsidR="00D12F72" w:rsidRPr="008A3794">
        <w:rPr>
          <w:color w:val="000000" w:themeColor="text1"/>
          <w:szCs w:val="24"/>
        </w:rPr>
        <w:t>.</w:t>
      </w:r>
      <w:r w:rsidR="00D12F72">
        <w:rPr>
          <w:color w:val="000000" w:themeColor="text1"/>
          <w:szCs w:val="24"/>
        </w:rPr>
        <w:t xml:space="preserve">  </w:t>
      </w:r>
      <w:r w:rsidR="00A500DF">
        <w:rPr>
          <w:szCs w:val="24"/>
        </w:rPr>
        <w:t>In addition</w:t>
      </w:r>
      <w:r w:rsidR="00355489">
        <w:rPr>
          <w:szCs w:val="24"/>
        </w:rPr>
        <w:t>,</w:t>
      </w:r>
      <w:r w:rsidR="00A500DF">
        <w:rPr>
          <w:szCs w:val="24"/>
        </w:rPr>
        <w:t xml:space="preserve"> the</w:t>
      </w:r>
      <w:r w:rsidR="00355489">
        <w:rPr>
          <w:szCs w:val="24"/>
        </w:rPr>
        <w:t xml:space="preserve"> Federal Reserve</w:t>
      </w:r>
      <w:r w:rsidR="00D12F72" w:rsidRPr="000C5147">
        <w:rPr>
          <w:szCs w:val="24"/>
        </w:rPr>
        <w:t xml:space="preserve"> proposes to increase the </w:t>
      </w:r>
      <w:r w:rsidR="00D12F72">
        <w:rPr>
          <w:szCs w:val="24"/>
        </w:rPr>
        <w:t xml:space="preserve">authorized respondent </w:t>
      </w:r>
      <w:r w:rsidR="00D12F72" w:rsidRPr="000C5147">
        <w:rPr>
          <w:szCs w:val="24"/>
        </w:rPr>
        <w:t>panel size from 70 to 150 finance companies</w:t>
      </w:r>
      <w:r w:rsidR="00D12F72">
        <w:rPr>
          <w:szCs w:val="24"/>
        </w:rPr>
        <w:t xml:space="preserve"> </w:t>
      </w:r>
      <w:r w:rsidR="00D12F72" w:rsidRPr="000C5147">
        <w:rPr>
          <w:szCs w:val="24"/>
        </w:rPr>
        <w:t>in order to capture a greater number of finance companies consistent with the FR 3033p and to improve the statis</w:t>
      </w:r>
      <w:r w:rsidR="00935346">
        <w:rPr>
          <w:szCs w:val="24"/>
        </w:rPr>
        <w:t>tical accuracy of the estimates</w:t>
      </w:r>
      <w:r w:rsidR="00620D81" w:rsidRPr="00A26DC9">
        <w:rPr>
          <w:bCs/>
          <w:szCs w:val="24"/>
        </w:rPr>
        <w:t>.</w:t>
      </w:r>
    </w:p>
    <w:p w:rsidR="00D12F72" w:rsidRDefault="00D12F72" w:rsidP="005A2906">
      <w:pPr>
        <w:rPr>
          <w:szCs w:val="24"/>
        </w:rPr>
      </w:pPr>
      <w:r>
        <w:rPr>
          <w:i/>
          <w:szCs w:val="24"/>
        </w:rPr>
        <w:lastRenderedPageBreak/>
        <w:t>Specific changes to the Balance Sheet:</w:t>
      </w:r>
    </w:p>
    <w:p w:rsidR="00D12F72" w:rsidRDefault="00D12F72" w:rsidP="00935346">
      <w:pPr>
        <w:numPr>
          <w:ilvl w:val="0"/>
          <w:numId w:val="6"/>
        </w:numPr>
        <w:rPr>
          <w:szCs w:val="24"/>
        </w:rPr>
      </w:pPr>
      <w:r>
        <w:rPr>
          <w:szCs w:val="24"/>
        </w:rPr>
        <w:t>Breakout line item Other Consumer Loans (3B.3) into three line items:</w:t>
      </w:r>
    </w:p>
    <w:p w:rsidR="00D12F72" w:rsidRDefault="00D12F72" w:rsidP="00935346">
      <w:pPr>
        <w:numPr>
          <w:ilvl w:val="1"/>
          <w:numId w:val="6"/>
        </w:numPr>
        <w:rPr>
          <w:szCs w:val="24"/>
        </w:rPr>
      </w:pPr>
      <w:r>
        <w:rPr>
          <w:szCs w:val="24"/>
        </w:rPr>
        <w:t>Government-guaranteed Student Loans</w:t>
      </w:r>
      <w:r w:rsidR="008F075D">
        <w:rPr>
          <w:szCs w:val="24"/>
        </w:rPr>
        <w:t xml:space="preserve"> (3.B.3)</w:t>
      </w:r>
    </w:p>
    <w:p w:rsidR="00D12F72" w:rsidRDefault="00D12F72" w:rsidP="00935346">
      <w:pPr>
        <w:numPr>
          <w:ilvl w:val="1"/>
          <w:numId w:val="6"/>
        </w:numPr>
        <w:rPr>
          <w:szCs w:val="24"/>
        </w:rPr>
      </w:pPr>
      <w:r>
        <w:rPr>
          <w:szCs w:val="24"/>
        </w:rPr>
        <w:t>Private Student Loans (3.B.4)</w:t>
      </w:r>
    </w:p>
    <w:p w:rsidR="00D12F72" w:rsidRPr="006878C3" w:rsidRDefault="00D12F72" w:rsidP="006878C3">
      <w:pPr>
        <w:numPr>
          <w:ilvl w:val="1"/>
          <w:numId w:val="6"/>
        </w:numPr>
        <w:rPr>
          <w:szCs w:val="24"/>
        </w:rPr>
      </w:pPr>
      <w:r>
        <w:rPr>
          <w:szCs w:val="24"/>
        </w:rPr>
        <w:t>Other Con</w:t>
      </w:r>
      <w:r w:rsidR="007E71D6">
        <w:rPr>
          <w:szCs w:val="24"/>
        </w:rPr>
        <w:t>s</w:t>
      </w:r>
      <w:r>
        <w:rPr>
          <w:szCs w:val="24"/>
        </w:rPr>
        <w:t>umer Loans (3.B.5)</w:t>
      </w:r>
    </w:p>
    <w:p w:rsidR="00D12F72" w:rsidRDefault="00D149C0" w:rsidP="00935346">
      <w:pPr>
        <w:numPr>
          <w:ilvl w:val="0"/>
          <w:numId w:val="6"/>
        </w:numPr>
        <w:rPr>
          <w:bCs/>
          <w:szCs w:val="24"/>
        </w:rPr>
      </w:pPr>
      <w:r>
        <w:rPr>
          <w:szCs w:val="24"/>
        </w:rPr>
        <w:t>Combine lin</w:t>
      </w:r>
      <w:r w:rsidR="00D12F72">
        <w:rPr>
          <w:szCs w:val="24"/>
        </w:rPr>
        <w:t xml:space="preserve">e items Non-recourse Debt Associated with </w:t>
      </w:r>
      <w:r w:rsidR="00935346">
        <w:rPr>
          <w:szCs w:val="24"/>
        </w:rPr>
        <w:t>Financing</w:t>
      </w:r>
      <w:r w:rsidR="00D12F72">
        <w:rPr>
          <w:szCs w:val="24"/>
        </w:rPr>
        <w:t xml:space="preserve"> Activities (7.C) and Notes, Bonds and Debentures (7.D) into Notes, Bonds, Debentures, and Other Debt (proposed new line item (7.C).  </w:t>
      </w:r>
      <w:r w:rsidR="0008223C">
        <w:rPr>
          <w:bCs/>
          <w:szCs w:val="24"/>
        </w:rPr>
        <w:t>The Federal Reserve</w:t>
      </w:r>
      <w:r w:rsidR="00D12F72" w:rsidRPr="000C5147">
        <w:rPr>
          <w:bCs/>
          <w:szCs w:val="24"/>
        </w:rPr>
        <w:t xml:space="preserve"> </w:t>
      </w:r>
      <w:r w:rsidR="00D12F72">
        <w:rPr>
          <w:bCs/>
          <w:szCs w:val="24"/>
        </w:rPr>
        <w:t xml:space="preserve">believes combining these line items may help reduce respondent reporting burden.  Subsequently, line items 7.E through 7.G would be renumbered accordingly. </w:t>
      </w:r>
    </w:p>
    <w:p w:rsidR="00AC67EE" w:rsidRPr="00A26DC9" w:rsidRDefault="00AC67EE" w:rsidP="00935346">
      <w:pPr>
        <w:rPr>
          <w:szCs w:val="24"/>
        </w:rPr>
      </w:pPr>
    </w:p>
    <w:p w:rsidR="00F968E1" w:rsidRPr="00A26DC9" w:rsidRDefault="00C46075" w:rsidP="007E71D6">
      <w:pPr>
        <w:rPr>
          <w:b/>
          <w:bCs/>
          <w:szCs w:val="24"/>
        </w:rPr>
      </w:pPr>
      <w:r w:rsidRPr="00A26DC9">
        <w:rPr>
          <w:b/>
          <w:bCs/>
          <w:szCs w:val="24"/>
        </w:rPr>
        <w:t>Reporting Panel</w:t>
      </w:r>
    </w:p>
    <w:p w:rsidR="00F968E1" w:rsidRPr="00A26DC9" w:rsidRDefault="00B829DE" w:rsidP="00F968E1">
      <w:pPr>
        <w:rPr>
          <w:szCs w:val="24"/>
        </w:rPr>
      </w:pPr>
      <w:r w:rsidRPr="00A26DC9">
        <w:rPr>
          <w:szCs w:val="24"/>
        </w:rPr>
        <w:t xml:space="preserve">  </w:t>
      </w:r>
    </w:p>
    <w:p w:rsidR="00EA5F96" w:rsidRPr="00A26DC9" w:rsidRDefault="00C46075" w:rsidP="00B829DE">
      <w:pPr>
        <w:ind w:firstLine="720"/>
        <w:rPr>
          <w:szCs w:val="24"/>
          <w:lang w:val="en-CA"/>
        </w:rPr>
      </w:pPr>
      <w:r w:rsidRPr="00A26DC9">
        <w:rPr>
          <w:szCs w:val="24"/>
        </w:rPr>
        <w:t>The current FR</w:t>
      </w:r>
      <w:r w:rsidR="00D632AB" w:rsidRPr="00A26DC9">
        <w:rPr>
          <w:szCs w:val="24"/>
        </w:rPr>
        <w:t> </w:t>
      </w:r>
      <w:r w:rsidR="004A4CA6" w:rsidRPr="00A26DC9">
        <w:rPr>
          <w:szCs w:val="24"/>
        </w:rPr>
        <w:t>2248 authorized panel size is 7</w:t>
      </w:r>
      <w:r w:rsidRPr="00A26DC9">
        <w:rPr>
          <w:szCs w:val="24"/>
        </w:rPr>
        <w:t>0 finance companies</w:t>
      </w:r>
      <w:r w:rsidR="00F968E1" w:rsidRPr="00A26DC9">
        <w:rPr>
          <w:szCs w:val="24"/>
        </w:rPr>
        <w:t>.</w:t>
      </w:r>
      <w:r w:rsidR="008159E2" w:rsidRPr="00A26DC9">
        <w:rPr>
          <w:szCs w:val="24"/>
        </w:rPr>
        <w:t xml:space="preserve">  </w:t>
      </w:r>
      <w:r w:rsidRPr="00A26DC9">
        <w:rPr>
          <w:szCs w:val="24"/>
        </w:rPr>
        <w:t>The reporting panel for the FR</w:t>
      </w:r>
      <w:r w:rsidR="00D632AB" w:rsidRPr="00A26DC9">
        <w:rPr>
          <w:szCs w:val="24"/>
        </w:rPr>
        <w:t> </w:t>
      </w:r>
      <w:r w:rsidRPr="00A26DC9">
        <w:rPr>
          <w:szCs w:val="24"/>
        </w:rPr>
        <w:t xml:space="preserve">2248 </w:t>
      </w:r>
      <w:r w:rsidR="008159E2" w:rsidRPr="00A26DC9">
        <w:rPr>
          <w:szCs w:val="24"/>
        </w:rPr>
        <w:t>will be</w:t>
      </w:r>
      <w:r w:rsidRPr="00A26DC9">
        <w:rPr>
          <w:szCs w:val="24"/>
        </w:rPr>
        <w:t xml:space="preserve"> drawn from the sample of finance companies that respond to the </w:t>
      </w:r>
      <w:r w:rsidR="008159E2" w:rsidRPr="00A26DC9">
        <w:rPr>
          <w:szCs w:val="24"/>
        </w:rPr>
        <w:t xml:space="preserve">Census of Finance Companies </w:t>
      </w:r>
      <w:r w:rsidR="00B70AC4" w:rsidRPr="00A26DC9">
        <w:rPr>
          <w:szCs w:val="24"/>
        </w:rPr>
        <w:t>(</w:t>
      </w:r>
      <w:r w:rsidR="00B70AC4" w:rsidRPr="00A26DC9">
        <w:rPr>
          <w:bCs/>
          <w:szCs w:val="24"/>
        </w:rPr>
        <w:t>FR</w:t>
      </w:r>
      <w:r w:rsidR="00065BE4" w:rsidRPr="00A26DC9">
        <w:rPr>
          <w:bCs/>
          <w:szCs w:val="24"/>
        </w:rPr>
        <w:t xml:space="preserve"> </w:t>
      </w:r>
      <w:r w:rsidR="00B70AC4" w:rsidRPr="00A26DC9">
        <w:rPr>
          <w:bCs/>
          <w:szCs w:val="24"/>
        </w:rPr>
        <w:t>3033p; OMB No. 7100-0277)</w:t>
      </w:r>
      <w:r w:rsidRPr="00A26DC9">
        <w:rPr>
          <w:szCs w:val="24"/>
        </w:rPr>
        <w:t>.</w:t>
      </w:r>
      <w:r w:rsidR="00F968E1" w:rsidRPr="00A26DC9">
        <w:rPr>
          <w:szCs w:val="24"/>
        </w:rPr>
        <w:t xml:space="preserve"> </w:t>
      </w:r>
      <w:r w:rsidRPr="00A26DC9">
        <w:rPr>
          <w:szCs w:val="24"/>
        </w:rPr>
        <w:t xml:space="preserve"> </w:t>
      </w:r>
      <w:r w:rsidR="00935346">
        <w:rPr>
          <w:szCs w:val="24"/>
        </w:rPr>
        <w:t>With the proposed revisions, the authorize</w:t>
      </w:r>
      <w:r w:rsidR="00D70C40">
        <w:rPr>
          <w:szCs w:val="24"/>
        </w:rPr>
        <w:t>d</w:t>
      </w:r>
      <w:r w:rsidR="00935346">
        <w:rPr>
          <w:szCs w:val="24"/>
        </w:rPr>
        <w:t xml:space="preserve"> panel size would </w:t>
      </w:r>
      <w:r w:rsidR="00D70C40">
        <w:rPr>
          <w:szCs w:val="24"/>
        </w:rPr>
        <w:t>increase to</w:t>
      </w:r>
      <w:r w:rsidR="00935346">
        <w:rPr>
          <w:szCs w:val="24"/>
        </w:rPr>
        <w:t xml:space="preserve"> 150 finance companies.</w:t>
      </w:r>
    </w:p>
    <w:p w:rsidR="004F084F" w:rsidRPr="00A26DC9" w:rsidRDefault="004F084F" w:rsidP="00B829DE">
      <w:pPr>
        <w:ind w:firstLine="720"/>
        <w:rPr>
          <w:b/>
          <w:szCs w:val="24"/>
          <w:lang w:val="en-CA"/>
        </w:rPr>
      </w:pPr>
    </w:p>
    <w:p w:rsidR="00F968E1" w:rsidRPr="00A26DC9" w:rsidRDefault="004A10C2" w:rsidP="007E71D6">
      <w:pPr>
        <w:rPr>
          <w:szCs w:val="24"/>
        </w:rPr>
      </w:pPr>
      <w:r w:rsidRPr="00A26DC9">
        <w:rPr>
          <w:b/>
          <w:szCs w:val="24"/>
          <w:lang w:val="en-CA"/>
        </w:rPr>
        <w:t>Frequency</w:t>
      </w:r>
    </w:p>
    <w:p w:rsidR="00F968E1" w:rsidRPr="00A26DC9" w:rsidRDefault="00F968E1" w:rsidP="00B829DE">
      <w:pPr>
        <w:ind w:firstLine="720"/>
        <w:rPr>
          <w:szCs w:val="24"/>
        </w:rPr>
      </w:pPr>
    </w:p>
    <w:p w:rsidR="00CA5265" w:rsidRPr="00A26DC9" w:rsidRDefault="005078D1" w:rsidP="00CA5265">
      <w:pPr>
        <w:ind w:firstLine="720"/>
        <w:rPr>
          <w:szCs w:val="24"/>
        </w:rPr>
      </w:pPr>
      <w:r w:rsidRPr="00A26DC9">
        <w:rPr>
          <w:szCs w:val="24"/>
        </w:rPr>
        <w:t>The Federal Reserve will</w:t>
      </w:r>
      <w:r w:rsidR="00014E9D" w:rsidRPr="00A26DC9">
        <w:rPr>
          <w:szCs w:val="24"/>
        </w:rPr>
        <w:t xml:space="preserve"> retain</w:t>
      </w:r>
      <w:r w:rsidRPr="00A26DC9">
        <w:rPr>
          <w:szCs w:val="24"/>
        </w:rPr>
        <w:t xml:space="preserve"> </w:t>
      </w:r>
      <w:r w:rsidR="00014E9D" w:rsidRPr="00A26DC9">
        <w:rPr>
          <w:szCs w:val="24"/>
        </w:rPr>
        <w:t xml:space="preserve">the monthly frequency, with some data items continuing to be reported only for the quarter-end months.  </w:t>
      </w:r>
    </w:p>
    <w:p w:rsidR="00126987" w:rsidRPr="00A26DC9" w:rsidRDefault="00126987" w:rsidP="00246D08">
      <w:pPr>
        <w:rPr>
          <w:b/>
          <w:bCs/>
          <w:szCs w:val="24"/>
        </w:rPr>
      </w:pPr>
    </w:p>
    <w:p w:rsidR="00246D08" w:rsidRDefault="00246D08" w:rsidP="00246D08">
      <w:pPr>
        <w:rPr>
          <w:b/>
          <w:bCs/>
          <w:szCs w:val="24"/>
        </w:rPr>
      </w:pPr>
      <w:r w:rsidRPr="00A26DC9">
        <w:rPr>
          <w:b/>
          <w:bCs/>
          <w:szCs w:val="24"/>
        </w:rPr>
        <w:t>Consultation Outside the Agency</w:t>
      </w:r>
    </w:p>
    <w:p w:rsidR="00563353" w:rsidRDefault="00563353" w:rsidP="00246D08">
      <w:pPr>
        <w:rPr>
          <w:b/>
          <w:bCs/>
          <w:szCs w:val="24"/>
        </w:rPr>
      </w:pPr>
    </w:p>
    <w:p w:rsidR="006878C3" w:rsidRDefault="004A269A" w:rsidP="006878C3">
      <w:pPr>
        <w:ind w:firstLine="720"/>
        <w:rPr>
          <w:b/>
          <w:bCs/>
          <w:szCs w:val="24"/>
        </w:rPr>
      </w:pPr>
      <w:r w:rsidRPr="004A269A">
        <w:t xml:space="preserve">On </w:t>
      </w:r>
      <w:r w:rsidR="00DB7E06">
        <w:t>November 6, 2013</w:t>
      </w:r>
      <w:r w:rsidR="00563353">
        <w:t xml:space="preserve">, the </w:t>
      </w:r>
      <w:r w:rsidRPr="004A269A">
        <w:t xml:space="preserve">Federal Reserve published a notice in the </w:t>
      </w:r>
      <w:r w:rsidRPr="004A269A">
        <w:rPr>
          <w:i/>
        </w:rPr>
        <w:t>Federal Register</w:t>
      </w:r>
      <w:r w:rsidRPr="004A269A">
        <w:t xml:space="preserve"> </w:t>
      </w:r>
      <w:r w:rsidR="00DB7E06">
        <w:t>(78</w:t>
      </w:r>
      <w:r w:rsidRPr="00563353">
        <w:t> FR </w:t>
      </w:r>
      <w:r w:rsidR="00DB7E06">
        <w:t>66714</w:t>
      </w:r>
      <w:r w:rsidRPr="00563353">
        <w:t>)</w:t>
      </w:r>
      <w:r w:rsidRPr="004A269A">
        <w:t xml:space="preserve"> requesting public comment for 60 days on the extension, with revision, of </w:t>
      </w:r>
      <w:r>
        <w:t>this information collection</w:t>
      </w:r>
      <w:r w:rsidRPr="004A269A">
        <w:t xml:space="preserve">. </w:t>
      </w:r>
      <w:r w:rsidR="008E15AF">
        <w:t xml:space="preserve"> </w:t>
      </w:r>
      <w:r w:rsidRPr="004A269A">
        <w:t>The comment period for this notice expire</w:t>
      </w:r>
      <w:r w:rsidR="008D70F1">
        <w:t>d</w:t>
      </w:r>
      <w:r w:rsidRPr="004A269A">
        <w:t xml:space="preserve"> on </w:t>
      </w:r>
      <w:r w:rsidR="00DB7E06">
        <w:t>January 6, 2014</w:t>
      </w:r>
      <w:r w:rsidRPr="00563353">
        <w:t>.</w:t>
      </w:r>
      <w:r w:rsidR="0033007B">
        <w:t xml:space="preserve">  </w:t>
      </w:r>
      <w:r w:rsidR="0033007B" w:rsidRPr="005F1519">
        <w:t>The Federal Reserve did not receive any comments.</w:t>
      </w:r>
      <w:r w:rsidR="0033007B">
        <w:t xml:space="preserve">  </w:t>
      </w:r>
      <w:r w:rsidR="0033007B" w:rsidRPr="00A154EE">
        <w:t xml:space="preserve">On </w:t>
      </w:r>
      <w:r w:rsidR="00CB11E8">
        <w:t>January 15</w:t>
      </w:r>
      <w:r w:rsidR="00DB7E06">
        <w:t>, 2014</w:t>
      </w:r>
      <w:r w:rsidR="0033007B" w:rsidRPr="00A154EE">
        <w:t>, the Federal Reserve published a final notice in the</w:t>
      </w:r>
      <w:r w:rsidR="0033007B">
        <w:t xml:space="preserve"> </w:t>
      </w:r>
      <w:r w:rsidR="0033007B" w:rsidRPr="00A154EE">
        <w:rPr>
          <w:i/>
        </w:rPr>
        <w:t>Federal Register</w:t>
      </w:r>
      <w:r w:rsidR="0033007B" w:rsidRPr="00A154EE">
        <w:t xml:space="preserve"> (</w:t>
      </w:r>
      <w:r w:rsidR="00CB11E8">
        <w:t>79</w:t>
      </w:r>
      <w:r w:rsidR="0033007B" w:rsidRPr="00A154EE">
        <w:t xml:space="preserve"> FR</w:t>
      </w:r>
      <w:r w:rsidR="0033007B">
        <w:t xml:space="preserve"> </w:t>
      </w:r>
      <w:r w:rsidR="00CB11E8">
        <w:t>2658</w:t>
      </w:r>
      <w:r w:rsidR="0033007B" w:rsidRPr="00A154EE">
        <w:t>)</w:t>
      </w:r>
      <w:r w:rsidR="0008223C">
        <w:t xml:space="preserve"> implementing the revisions as proposed, </w:t>
      </w:r>
      <w:r w:rsidR="0008223C" w:rsidRPr="000C5147">
        <w:rPr>
          <w:szCs w:val="24"/>
        </w:rPr>
        <w:t xml:space="preserve">effective with the </w:t>
      </w:r>
      <w:r w:rsidR="0008223C">
        <w:rPr>
          <w:szCs w:val="24"/>
        </w:rPr>
        <w:t>January</w:t>
      </w:r>
      <w:r w:rsidR="0008223C" w:rsidRPr="000C5147">
        <w:rPr>
          <w:szCs w:val="24"/>
        </w:rPr>
        <w:t xml:space="preserve"> 31, 201</w:t>
      </w:r>
      <w:r w:rsidR="0008223C">
        <w:rPr>
          <w:szCs w:val="24"/>
        </w:rPr>
        <w:t>4</w:t>
      </w:r>
      <w:r w:rsidR="0008223C" w:rsidRPr="000C5147">
        <w:rPr>
          <w:szCs w:val="24"/>
        </w:rPr>
        <w:t>, report date</w:t>
      </w:r>
      <w:r w:rsidR="0033007B" w:rsidRPr="00A154EE">
        <w:t>.</w:t>
      </w:r>
      <w:r w:rsidR="0033007B" w:rsidRPr="005F1519">
        <w:t xml:space="preserve"> </w:t>
      </w:r>
    </w:p>
    <w:p w:rsidR="006878C3" w:rsidRDefault="006878C3" w:rsidP="006878C3">
      <w:pPr>
        <w:rPr>
          <w:b/>
          <w:bCs/>
          <w:szCs w:val="24"/>
        </w:rPr>
      </w:pPr>
    </w:p>
    <w:p w:rsidR="00633B7E" w:rsidRPr="00A26DC9" w:rsidRDefault="00633B7E" w:rsidP="006878C3">
      <w:pPr>
        <w:rPr>
          <w:szCs w:val="24"/>
        </w:rPr>
      </w:pPr>
      <w:r w:rsidRPr="00A26DC9">
        <w:rPr>
          <w:b/>
          <w:bCs/>
          <w:szCs w:val="24"/>
        </w:rPr>
        <w:t>Time Schedule for Information Collection</w:t>
      </w:r>
      <w:r w:rsidRPr="00A26DC9">
        <w:rPr>
          <w:szCs w:val="24"/>
        </w:rPr>
        <w:t xml:space="preserve"> </w:t>
      </w:r>
      <w:r w:rsidRPr="00A26DC9">
        <w:rPr>
          <w:b/>
          <w:bCs/>
          <w:szCs w:val="24"/>
        </w:rPr>
        <w:t>and Publication</w:t>
      </w:r>
    </w:p>
    <w:p w:rsidR="00633B7E" w:rsidRPr="00A26DC9" w:rsidRDefault="00633B7E" w:rsidP="005A2906">
      <w:pPr>
        <w:rPr>
          <w:szCs w:val="24"/>
        </w:rPr>
      </w:pPr>
    </w:p>
    <w:p w:rsidR="00D149C0" w:rsidRDefault="00D149C0" w:rsidP="00D149C0">
      <w:pPr>
        <w:ind w:firstLine="720"/>
        <w:rPr>
          <w:szCs w:val="24"/>
        </w:rPr>
      </w:pPr>
      <w:r w:rsidRPr="000C5147">
        <w:rPr>
          <w:szCs w:val="24"/>
        </w:rPr>
        <w:t>The majority of survey respondents submit their FR 2248 data monthly to the Federal Reserve Banks.  Other finance companies in the panel submit their data directly to the Board on a monthly basis.  Respondents submit quarterly data for quarter-end months only.  To help ease the reporting burden on respondents, any semiannual special addendum questions would be sent to the respondents approximately three weeks in advance of the report as-of date.  This advance notice would allow the respondents to submit the addendum data along with their regular monthly data.  The data are edited and transmitted to the Board for central processing.  All data are due at the Board on the 18</w:t>
      </w:r>
      <w:r w:rsidRPr="000C5147">
        <w:rPr>
          <w:szCs w:val="24"/>
          <w:vertAlign w:val="superscript"/>
        </w:rPr>
        <w:t>th</w:t>
      </w:r>
      <w:r w:rsidRPr="000C5147">
        <w:rPr>
          <w:szCs w:val="24"/>
        </w:rPr>
        <w:t xml:space="preserve"> business day after the end of the month.  Aggregate data are published in the Board's monthly statistical releases Consumer Credit (G.19) and Finance Companies (G.20), in the quarterly statistical release  Flow of Funds Accounts of the United States (Z.1), and in the </w:t>
      </w:r>
      <w:r w:rsidRPr="000C5147">
        <w:rPr>
          <w:i/>
          <w:iCs/>
          <w:szCs w:val="24"/>
        </w:rPr>
        <w:t>Federal Reserve Bulletin</w:t>
      </w:r>
      <w:r w:rsidRPr="000C5147">
        <w:rPr>
          <w:szCs w:val="24"/>
        </w:rPr>
        <w:t xml:space="preserve"> (Tables 1.51, 1.52, and 1.55).</w:t>
      </w:r>
    </w:p>
    <w:p w:rsidR="006878C3" w:rsidRDefault="006878C3" w:rsidP="00246D08">
      <w:pPr>
        <w:rPr>
          <w:b/>
          <w:bCs/>
          <w:szCs w:val="24"/>
        </w:rPr>
      </w:pPr>
    </w:p>
    <w:p w:rsidR="00246D08" w:rsidRPr="00A26DC9" w:rsidRDefault="00246D08" w:rsidP="00246D08">
      <w:pPr>
        <w:rPr>
          <w:szCs w:val="24"/>
        </w:rPr>
      </w:pPr>
      <w:r w:rsidRPr="00A26DC9">
        <w:rPr>
          <w:b/>
          <w:bCs/>
          <w:szCs w:val="24"/>
        </w:rPr>
        <w:lastRenderedPageBreak/>
        <w:t>Sensitive Questions</w:t>
      </w:r>
    </w:p>
    <w:p w:rsidR="00246D08" w:rsidRPr="00A26DC9" w:rsidRDefault="00246D08" w:rsidP="00246D08">
      <w:pPr>
        <w:rPr>
          <w:szCs w:val="24"/>
        </w:rPr>
      </w:pPr>
    </w:p>
    <w:p w:rsidR="00246D08" w:rsidRPr="00A26DC9" w:rsidRDefault="00246D08" w:rsidP="00246D08">
      <w:pPr>
        <w:ind w:firstLine="720"/>
        <w:rPr>
          <w:szCs w:val="24"/>
        </w:rPr>
      </w:pPr>
      <w:r w:rsidRPr="00A26DC9">
        <w:rPr>
          <w:szCs w:val="24"/>
        </w:rPr>
        <w:t>This collection of information contains no questions of a sensitive nature, as defined by OMB guidelines.</w:t>
      </w:r>
    </w:p>
    <w:p w:rsidR="004A4CA6" w:rsidRPr="00A26DC9" w:rsidRDefault="004A4CA6" w:rsidP="00275CA1">
      <w:pPr>
        <w:ind w:firstLine="720"/>
        <w:rPr>
          <w:szCs w:val="24"/>
        </w:rPr>
      </w:pPr>
    </w:p>
    <w:p w:rsidR="00633B7E" w:rsidRPr="00A26DC9" w:rsidRDefault="00633B7E" w:rsidP="005A2906">
      <w:pPr>
        <w:rPr>
          <w:szCs w:val="24"/>
        </w:rPr>
      </w:pPr>
      <w:r w:rsidRPr="00A26DC9">
        <w:rPr>
          <w:b/>
          <w:bCs/>
          <w:szCs w:val="24"/>
        </w:rPr>
        <w:t>Legal Status</w:t>
      </w:r>
    </w:p>
    <w:p w:rsidR="00633B7E" w:rsidRPr="00A26DC9" w:rsidRDefault="00633B7E" w:rsidP="005A2906">
      <w:pPr>
        <w:rPr>
          <w:szCs w:val="24"/>
        </w:rPr>
      </w:pPr>
    </w:p>
    <w:p w:rsidR="004A4CA6" w:rsidRDefault="00633B7E" w:rsidP="004A4CA6">
      <w:pPr>
        <w:ind w:firstLine="720"/>
        <w:rPr>
          <w:szCs w:val="24"/>
        </w:rPr>
      </w:pPr>
      <w:r w:rsidRPr="00A26DC9">
        <w:rPr>
          <w:szCs w:val="24"/>
        </w:rPr>
        <w:t>The Board's Legal Division has determined that the FR</w:t>
      </w:r>
      <w:r w:rsidR="00A02D08" w:rsidRPr="00A26DC9">
        <w:rPr>
          <w:szCs w:val="24"/>
        </w:rPr>
        <w:t> </w:t>
      </w:r>
      <w:r w:rsidRPr="00A26DC9">
        <w:rPr>
          <w:szCs w:val="24"/>
        </w:rPr>
        <w:t>2248 is authorized by law (12 U.S.C. §225(a)) and is voluntary.  Individual respondent data are confidential under section (b)(4) of the Freedom of Information Act (5 U.S.C. §552).</w:t>
      </w:r>
      <w:r w:rsidR="004A4CA6" w:rsidRPr="00A26DC9">
        <w:rPr>
          <w:szCs w:val="24"/>
        </w:rPr>
        <w:t xml:space="preserve">  </w:t>
      </w:r>
    </w:p>
    <w:p w:rsidR="00935346" w:rsidRPr="00A26DC9" w:rsidRDefault="00935346" w:rsidP="004A4CA6">
      <w:pPr>
        <w:ind w:firstLine="720"/>
        <w:rPr>
          <w:color w:val="000000"/>
          <w:szCs w:val="24"/>
        </w:rPr>
      </w:pPr>
    </w:p>
    <w:p w:rsidR="00633B7E" w:rsidRPr="00A26DC9" w:rsidRDefault="00633B7E" w:rsidP="0037553F">
      <w:pPr>
        <w:tabs>
          <w:tab w:val="left" w:pos="720"/>
          <w:tab w:val="left" w:pos="1080"/>
        </w:tabs>
        <w:rPr>
          <w:szCs w:val="24"/>
        </w:rPr>
      </w:pPr>
      <w:r w:rsidRPr="00A26DC9">
        <w:rPr>
          <w:b/>
          <w:bCs/>
          <w:szCs w:val="24"/>
        </w:rPr>
        <w:t>Estimate of Respondent Burden</w:t>
      </w:r>
    </w:p>
    <w:p w:rsidR="00633B7E" w:rsidRPr="00A26DC9" w:rsidRDefault="00633B7E" w:rsidP="00FE1C92">
      <w:pPr>
        <w:rPr>
          <w:szCs w:val="24"/>
        </w:rPr>
      </w:pPr>
    </w:p>
    <w:p w:rsidR="00703144" w:rsidRPr="00A26DC9" w:rsidRDefault="00633B7E" w:rsidP="00A21537">
      <w:pPr>
        <w:autoSpaceDE w:val="0"/>
        <w:autoSpaceDN w:val="0"/>
        <w:adjustRightInd w:val="0"/>
        <w:ind w:firstLine="720"/>
        <w:rPr>
          <w:szCs w:val="24"/>
        </w:rPr>
      </w:pPr>
      <w:r w:rsidRPr="00A26DC9">
        <w:rPr>
          <w:szCs w:val="24"/>
        </w:rPr>
        <w:t>The following table shows estimates of the burden imposed by the Federal Reserve System on the domestic finance companies that participate in the FR</w:t>
      </w:r>
      <w:r w:rsidR="00A02D08" w:rsidRPr="00A26DC9">
        <w:rPr>
          <w:szCs w:val="24"/>
        </w:rPr>
        <w:t> </w:t>
      </w:r>
      <w:r w:rsidRPr="00A26DC9">
        <w:rPr>
          <w:szCs w:val="24"/>
        </w:rPr>
        <w:t>2248</w:t>
      </w:r>
      <w:r w:rsidR="00A21537" w:rsidRPr="00A26DC9">
        <w:rPr>
          <w:szCs w:val="24"/>
        </w:rPr>
        <w:t xml:space="preserve">.  </w:t>
      </w:r>
      <w:r w:rsidR="00703144" w:rsidRPr="00A26DC9">
        <w:rPr>
          <w:szCs w:val="24"/>
        </w:rPr>
        <w:t xml:space="preserve">It is estimated that the proposed revisions to the FR 2248 would increase the reporting burden from </w:t>
      </w:r>
      <w:r w:rsidR="00FA0DB0">
        <w:rPr>
          <w:szCs w:val="24"/>
        </w:rPr>
        <w:t>350</w:t>
      </w:r>
      <w:r w:rsidR="00FA0DB0" w:rsidRPr="00A26DC9">
        <w:rPr>
          <w:szCs w:val="24"/>
        </w:rPr>
        <w:t xml:space="preserve"> </w:t>
      </w:r>
      <w:r w:rsidR="00703144" w:rsidRPr="00A26DC9">
        <w:rPr>
          <w:szCs w:val="24"/>
        </w:rPr>
        <w:t xml:space="preserve">hours to </w:t>
      </w:r>
      <w:r w:rsidR="00FA0DB0">
        <w:rPr>
          <w:szCs w:val="24"/>
        </w:rPr>
        <w:t>750</w:t>
      </w:r>
      <w:r w:rsidR="00703144" w:rsidRPr="00A26DC9">
        <w:rPr>
          <w:szCs w:val="24"/>
        </w:rPr>
        <w:t>, a</w:t>
      </w:r>
      <w:r w:rsidR="00B61345" w:rsidRPr="00A26DC9">
        <w:rPr>
          <w:szCs w:val="24"/>
        </w:rPr>
        <w:t>n</w:t>
      </w:r>
      <w:r w:rsidR="00703144" w:rsidRPr="00A26DC9">
        <w:rPr>
          <w:szCs w:val="24"/>
        </w:rPr>
        <w:t xml:space="preserve"> increase of </w:t>
      </w:r>
      <w:r w:rsidR="00FA0DB0">
        <w:rPr>
          <w:szCs w:val="24"/>
        </w:rPr>
        <w:t>400</w:t>
      </w:r>
      <w:r w:rsidR="00FA0DB0" w:rsidRPr="00A26DC9">
        <w:rPr>
          <w:szCs w:val="24"/>
        </w:rPr>
        <w:t xml:space="preserve"> </w:t>
      </w:r>
      <w:r w:rsidR="00703144" w:rsidRPr="00A26DC9">
        <w:rPr>
          <w:szCs w:val="24"/>
        </w:rPr>
        <w:t xml:space="preserve">hours.  The burden increase is attributed to </w:t>
      </w:r>
      <w:r w:rsidR="00935346">
        <w:rPr>
          <w:szCs w:val="24"/>
        </w:rPr>
        <w:t>the increase in</w:t>
      </w:r>
      <w:r w:rsidR="00FA0DB0">
        <w:rPr>
          <w:szCs w:val="24"/>
        </w:rPr>
        <w:t xml:space="preserve"> the panel size from 70 respondents to 150 respondents.</w:t>
      </w:r>
      <w:r w:rsidR="008F075D">
        <w:rPr>
          <w:szCs w:val="24"/>
        </w:rPr>
        <w:t xml:space="preserve">  </w:t>
      </w:r>
      <w:r w:rsidR="0008223C">
        <w:rPr>
          <w:szCs w:val="24"/>
        </w:rPr>
        <w:t xml:space="preserve">The Federal Reserve </w:t>
      </w:r>
      <w:r w:rsidR="0008223C" w:rsidRPr="000C5147">
        <w:rPr>
          <w:bCs/>
          <w:szCs w:val="24"/>
        </w:rPr>
        <w:t>believes</w:t>
      </w:r>
      <w:r w:rsidR="0008223C" w:rsidRPr="00A26DC9">
        <w:rPr>
          <w:szCs w:val="24"/>
        </w:rPr>
        <w:t xml:space="preserve"> burden </w:t>
      </w:r>
      <w:r w:rsidR="0008223C">
        <w:rPr>
          <w:szCs w:val="24"/>
        </w:rPr>
        <w:t>associated with</w:t>
      </w:r>
      <w:r w:rsidR="0008223C" w:rsidRPr="000C5147">
        <w:rPr>
          <w:szCs w:val="24"/>
        </w:rPr>
        <w:t xml:space="preserve"> breaking</w:t>
      </w:r>
      <w:r w:rsidR="0008223C">
        <w:rPr>
          <w:szCs w:val="24"/>
        </w:rPr>
        <w:t xml:space="preserve"> </w:t>
      </w:r>
      <w:r w:rsidR="0008223C" w:rsidRPr="000C5147">
        <w:rPr>
          <w:szCs w:val="24"/>
        </w:rPr>
        <w:t>out</w:t>
      </w:r>
      <w:r w:rsidR="0008223C">
        <w:rPr>
          <w:szCs w:val="24"/>
        </w:rPr>
        <w:t xml:space="preserve"> student </w:t>
      </w:r>
      <w:r w:rsidR="0008223C" w:rsidRPr="000C5147">
        <w:rPr>
          <w:szCs w:val="24"/>
        </w:rPr>
        <w:t>loan item</w:t>
      </w:r>
      <w:r w:rsidR="0008223C">
        <w:rPr>
          <w:szCs w:val="24"/>
        </w:rPr>
        <w:t>s would be mitigated</w:t>
      </w:r>
      <w:r w:rsidR="0008223C" w:rsidRPr="000C5147">
        <w:rPr>
          <w:szCs w:val="24"/>
        </w:rPr>
        <w:t xml:space="preserve"> by</w:t>
      </w:r>
      <w:r w:rsidR="0008223C" w:rsidRPr="00A26DC9">
        <w:rPr>
          <w:szCs w:val="24"/>
        </w:rPr>
        <w:t xml:space="preserve"> </w:t>
      </w:r>
      <w:r w:rsidR="0008223C">
        <w:rPr>
          <w:szCs w:val="24"/>
        </w:rPr>
        <w:t xml:space="preserve">the </w:t>
      </w:r>
      <w:r w:rsidR="0008223C" w:rsidRPr="000C5147">
        <w:rPr>
          <w:szCs w:val="24"/>
        </w:rPr>
        <w:t xml:space="preserve">consolidation of two </w:t>
      </w:r>
      <w:r w:rsidR="0008223C">
        <w:rPr>
          <w:szCs w:val="24"/>
        </w:rPr>
        <w:t xml:space="preserve">liability </w:t>
      </w:r>
      <w:r w:rsidR="0008223C" w:rsidRPr="000C5147">
        <w:rPr>
          <w:szCs w:val="24"/>
        </w:rPr>
        <w:t>line items</w:t>
      </w:r>
      <w:r w:rsidR="0008223C">
        <w:rPr>
          <w:szCs w:val="24"/>
        </w:rPr>
        <w:t xml:space="preserve">.  </w:t>
      </w:r>
      <w:r w:rsidR="00703144" w:rsidRPr="00A26DC9">
        <w:rPr>
          <w:szCs w:val="24"/>
        </w:rPr>
        <w:t xml:space="preserve">The FR </w:t>
      </w:r>
      <w:r w:rsidR="001531FD" w:rsidRPr="00A26DC9">
        <w:rPr>
          <w:szCs w:val="24"/>
        </w:rPr>
        <w:t>2248</w:t>
      </w:r>
      <w:r w:rsidR="00703144" w:rsidRPr="00A26DC9">
        <w:rPr>
          <w:szCs w:val="24"/>
        </w:rPr>
        <w:t xml:space="preserve"> </w:t>
      </w:r>
      <w:r w:rsidR="00246D08" w:rsidRPr="00A26DC9">
        <w:rPr>
          <w:szCs w:val="24"/>
        </w:rPr>
        <w:t xml:space="preserve">information collection </w:t>
      </w:r>
      <w:r w:rsidR="00703144" w:rsidRPr="00A26DC9">
        <w:rPr>
          <w:szCs w:val="24"/>
        </w:rPr>
        <w:t xml:space="preserve">represents less than 1 percent of total Federal Reserve System </w:t>
      </w:r>
      <w:r w:rsidR="00B70AC4" w:rsidRPr="00A26DC9">
        <w:rPr>
          <w:szCs w:val="24"/>
        </w:rPr>
        <w:t>paperwork</w:t>
      </w:r>
      <w:r w:rsidR="00703144" w:rsidRPr="00A26DC9">
        <w:rPr>
          <w:szCs w:val="24"/>
        </w:rPr>
        <w:t xml:space="preserve"> burden.  </w:t>
      </w:r>
    </w:p>
    <w:p w:rsidR="00703144" w:rsidRPr="00A26DC9" w:rsidRDefault="00703144" w:rsidP="00FE1C92">
      <w:pPr>
        <w:rPr>
          <w:szCs w:val="24"/>
        </w:rPr>
      </w:pPr>
    </w:p>
    <w:tbl>
      <w:tblPr>
        <w:tblW w:w="0" w:type="auto"/>
        <w:tblBorders>
          <w:top w:val="single" w:sz="12" w:space="0" w:color="auto"/>
          <w:bottom w:val="single" w:sz="12" w:space="0" w:color="auto"/>
        </w:tblBorders>
        <w:tblLook w:val="0000" w:firstRow="0" w:lastRow="0" w:firstColumn="0" w:lastColumn="0" w:noHBand="0" w:noVBand="0"/>
      </w:tblPr>
      <w:tblGrid>
        <w:gridCol w:w="2808"/>
        <w:gridCol w:w="1740"/>
        <w:gridCol w:w="1676"/>
        <w:gridCol w:w="1676"/>
        <w:gridCol w:w="1676"/>
      </w:tblGrid>
      <w:tr w:rsidR="00E2645A" w:rsidRPr="00A26DC9" w:rsidTr="007E71D6">
        <w:trPr>
          <w:trHeight w:val="753"/>
        </w:trPr>
        <w:tc>
          <w:tcPr>
            <w:tcW w:w="2808" w:type="dxa"/>
            <w:vAlign w:val="center"/>
          </w:tcPr>
          <w:p w:rsidR="00E2645A" w:rsidRPr="00A26DC9" w:rsidRDefault="003E3BD6" w:rsidP="00BD5DCD">
            <w:pPr>
              <w:tabs>
                <w:tab w:val="decimal" w:pos="-1440"/>
                <w:tab w:val="left" w:pos="360"/>
                <w:tab w:val="center" w:pos="2160"/>
                <w:tab w:val="center" w:pos="4320"/>
                <w:tab w:val="center" w:pos="6480"/>
                <w:tab w:val="center" w:pos="8640"/>
              </w:tabs>
              <w:rPr>
                <w:b/>
                <w:szCs w:val="24"/>
              </w:rPr>
            </w:pPr>
            <w:r w:rsidRPr="00A26DC9">
              <w:rPr>
                <w:b/>
                <w:szCs w:val="24"/>
              </w:rPr>
              <w:t>FR 2248</w:t>
            </w:r>
          </w:p>
        </w:tc>
        <w:tc>
          <w:tcPr>
            <w:tcW w:w="1740" w:type="dxa"/>
            <w:vAlign w:val="center"/>
          </w:tcPr>
          <w:p w:rsidR="003E3BD6" w:rsidRPr="007E71D6" w:rsidRDefault="00E2645A" w:rsidP="00472354">
            <w:pPr>
              <w:jc w:val="center"/>
              <w:rPr>
                <w:i/>
                <w:sz w:val="20"/>
              </w:rPr>
            </w:pPr>
            <w:r w:rsidRPr="007E71D6">
              <w:rPr>
                <w:i/>
                <w:sz w:val="20"/>
              </w:rPr>
              <w:t>Number</w:t>
            </w:r>
          </w:p>
          <w:p w:rsidR="003E3BD6" w:rsidRPr="007E71D6" w:rsidRDefault="003E3BD6" w:rsidP="00472354">
            <w:pPr>
              <w:jc w:val="center"/>
              <w:rPr>
                <w:i/>
                <w:sz w:val="20"/>
              </w:rPr>
            </w:pPr>
            <w:r w:rsidRPr="007E71D6">
              <w:rPr>
                <w:i/>
                <w:sz w:val="20"/>
              </w:rPr>
              <w:t>o</w:t>
            </w:r>
            <w:r w:rsidR="00E2645A" w:rsidRPr="007E71D6">
              <w:rPr>
                <w:i/>
                <w:sz w:val="20"/>
              </w:rPr>
              <w:t>f</w:t>
            </w:r>
          </w:p>
          <w:p w:rsidR="00E2645A" w:rsidRPr="007E71D6" w:rsidRDefault="003E3BD6" w:rsidP="0008223C">
            <w:pPr>
              <w:jc w:val="center"/>
              <w:rPr>
                <w:sz w:val="20"/>
              </w:rPr>
            </w:pPr>
            <w:r w:rsidRPr="007E71D6">
              <w:rPr>
                <w:i/>
                <w:sz w:val="20"/>
              </w:rPr>
              <w:t>r</w:t>
            </w:r>
            <w:r w:rsidR="00E2645A" w:rsidRPr="007E71D6">
              <w:rPr>
                <w:i/>
                <w:sz w:val="20"/>
              </w:rPr>
              <w:t>espondent</w:t>
            </w:r>
            <w:r w:rsidR="0008223C">
              <w:rPr>
                <w:i/>
                <w:sz w:val="20"/>
              </w:rPr>
              <w:t>s</w:t>
            </w:r>
            <w:r w:rsidR="006878C3">
              <w:rPr>
                <w:rStyle w:val="FootnoteReference"/>
                <w:i/>
                <w:sz w:val="20"/>
              </w:rPr>
              <w:footnoteReference w:id="4"/>
            </w:r>
          </w:p>
        </w:tc>
        <w:tc>
          <w:tcPr>
            <w:tcW w:w="1676" w:type="dxa"/>
            <w:vAlign w:val="center"/>
          </w:tcPr>
          <w:p w:rsidR="00E2645A" w:rsidRPr="007E71D6" w:rsidRDefault="00E2645A" w:rsidP="00472354">
            <w:pPr>
              <w:jc w:val="center"/>
              <w:rPr>
                <w:i/>
                <w:sz w:val="20"/>
              </w:rPr>
            </w:pPr>
            <w:r w:rsidRPr="007E71D6">
              <w:rPr>
                <w:i/>
                <w:sz w:val="20"/>
              </w:rPr>
              <w:t>Annual</w:t>
            </w:r>
          </w:p>
          <w:p w:rsidR="00E2645A" w:rsidRPr="007E71D6" w:rsidRDefault="00E2645A" w:rsidP="00472354">
            <w:pPr>
              <w:jc w:val="center"/>
              <w:rPr>
                <w:sz w:val="20"/>
              </w:rPr>
            </w:pPr>
            <w:r w:rsidRPr="007E71D6">
              <w:rPr>
                <w:i/>
                <w:sz w:val="20"/>
              </w:rPr>
              <w:t>frequency</w:t>
            </w:r>
          </w:p>
        </w:tc>
        <w:tc>
          <w:tcPr>
            <w:tcW w:w="1676" w:type="dxa"/>
            <w:vAlign w:val="center"/>
          </w:tcPr>
          <w:p w:rsidR="004A10C2" w:rsidRPr="007E71D6" w:rsidRDefault="00E2645A" w:rsidP="00472354">
            <w:pPr>
              <w:jc w:val="center"/>
              <w:rPr>
                <w:i/>
                <w:sz w:val="20"/>
              </w:rPr>
            </w:pPr>
            <w:r w:rsidRPr="007E71D6">
              <w:rPr>
                <w:i/>
                <w:sz w:val="20"/>
              </w:rPr>
              <w:t xml:space="preserve">Estimated average </w:t>
            </w:r>
            <w:r w:rsidR="004A10C2" w:rsidRPr="007E71D6">
              <w:rPr>
                <w:i/>
                <w:sz w:val="20"/>
              </w:rPr>
              <w:t>time</w:t>
            </w:r>
          </w:p>
          <w:p w:rsidR="00E2645A" w:rsidRPr="007E71D6" w:rsidRDefault="00E2645A" w:rsidP="00472354">
            <w:pPr>
              <w:jc w:val="center"/>
              <w:rPr>
                <w:sz w:val="20"/>
              </w:rPr>
            </w:pPr>
            <w:r w:rsidRPr="007E71D6">
              <w:rPr>
                <w:i/>
                <w:sz w:val="20"/>
              </w:rPr>
              <w:t>per response</w:t>
            </w:r>
          </w:p>
        </w:tc>
        <w:tc>
          <w:tcPr>
            <w:tcW w:w="1676" w:type="dxa"/>
            <w:vAlign w:val="center"/>
          </w:tcPr>
          <w:p w:rsidR="00E2645A" w:rsidRPr="007E71D6" w:rsidRDefault="00E2645A" w:rsidP="00472354">
            <w:pPr>
              <w:jc w:val="center"/>
              <w:rPr>
                <w:i/>
                <w:sz w:val="20"/>
              </w:rPr>
            </w:pPr>
            <w:r w:rsidRPr="007E71D6">
              <w:rPr>
                <w:i/>
                <w:sz w:val="20"/>
              </w:rPr>
              <w:t>Estimated</w:t>
            </w:r>
          </w:p>
          <w:p w:rsidR="003E3BD6" w:rsidRPr="007E71D6" w:rsidRDefault="00E2645A" w:rsidP="00472354">
            <w:pPr>
              <w:jc w:val="center"/>
              <w:rPr>
                <w:i/>
                <w:sz w:val="20"/>
              </w:rPr>
            </w:pPr>
            <w:r w:rsidRPr="007E71D6">
              <w:rPr>
                <w:i/>
                <w:sz w:val="20"/>
              </w:rPr>
              <w:t>annual</w:t>
            </w:r>
          </w:p>
          <w:p w:rsidR="00E2645A" w:rsidRPr="007E71D6" w:rsidRDefault="00E2645A" w:rsidP="00472354">
            <w:pPr>
              <w:jc w:val="center"/>
              <w:rPr>
                <w:sz w:val="20"/>
              </w:rPr>
            </w:pPr>
            <w:r w:rsidRPr="007E71D6">
              <w:rPr>
                <w:i/>
                <w:sz w:val="20"/>
              </w:rPr>
              <w:t>burden hours</w:t>
            </w:r>
          </w:p>
        </w:tc>
      </w:tr>
      <w:tr w:rsidR="00E2645A" w:rsidRPr="00A26DC9" w:rsidTr="003E3BD6">
        <w:tc>
          <w:tcPr>
            <w:tcW w:w="2808" w:type="dxa"/>
            <w:vAlign w:val="bottom"/>
          </w:tcPr>
          <w:p w:rsidR="00E2645A" w:rsidRPr="00A26DC9" w:rsidRDefault="00872AF4" w:rsidP="00B06DE8">
            <w:pPr>
              <w:pStyle w:val="Heading1"/>
              <w:tabs>
                <w:tab w:val="clear" w:pos="720"/>
                <w:tab w:val="clear" w:pos="1440"/>
                <w:tab w:val="decimal" w:pos="-1440"/>
                <w:tab w:val="left" w:pos="360"/>
                <w:tab w:val="center" w:pos="2160"/>
                <w:tab w:val="center" w:pos="4320"/>
                <w:tab w:val="center" w:pos="6480"/>
                <w:tab w:val="center" w:pos="8640"/>
              </w:tabs>
              <w:rPr>
                <w:rFonts w:ascii="Times New Roman" w:hAnsi="Times New Roman"/>
                <w:bCs/>
                <w:szCs w:val="24"/>
              </w:rPr>
            </w:pPr>
            <w:r w:rsidRPr="00A26DC9">
              <w:rPr>
                <w:rFonts w:ascii="Times New Roman" w:hAnsi="Times New Roman"/>
                <w:bCs/>
                <w:szCs w:val="24"/>
              </w:rPr>
              <w:t>Current</w:t>
            </w:r>
          </w:p>
        </w:tc>
        <w:tc>
          <w:tcPr>
            <w:tcW w:w="1740"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M</w:t>
            </w:r>
            <w:r w:rsidR="00E2645A" w:rsidRPr="00A26DC9">
              <w:rPr>
                <w:szCs w:val="24"/>
              </w:rPr>
              <w:t>onthly</w:t>
            </w:r>
          </w:p>
        </w:tc>
        <w:tc>
          <w:tcPr>
            <w:tcW w:w="1740" w:type="dxa"/>
            <w:vAlign w:val="bottom"/>
          </w:tcPr>
          <w:p w:rsidR="00E2645A" w:rsidRPr="00A26DC9" w:rsidRDefault="004A4CA6" w:rsidP="004A4CA6">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8</w:t>
            </w:r>
          </w:p>
        </w:tc>
        <w:tc>
          <w:tcPr>
            <w:tcW w:w="1676" w:type="dxa"/>
            <w:vAlign w:val="bottom"/>
          </w:tcPr>
          <w:p w:rsidR="00E2645A" w:rsidRPr="00A26DC9" w:rsidRDefault="0075626B" w:rsidP="00B06DE8">
            <w:pPr>
              <w:tabs>
                <w:tab w:val="decimal" w:pos="-1440"/>
                <w:tab w:val="left" w:pos="360"/>
                <w:tab w:val="center" w:pos="2160"/>
                <w:tab w:val="center" w:pos="4320"/>
                <w:tab w:val="center" w:pos="6480"/>
                <w:tab w:val="center" w:pos="8640"/>
              </w:tabs>
              <w:jc w:val="center"/>
              <w:rPr>
                <w:szCs w:val="24"/>
              </w:rPr>
            </w:pPr>
            <w:r>
              <w:rPr>
                <w:szCs w:val="24"/>
              </w:rPr>
              <w:t>20</w:t>
            </w:r>
            <w:r w:rsidRPr="00A26DC9">
              <w:rPr>
                <w:szCs w:val="24"/>
              </w:rPr>
              <w:t xml:space="preserve"> </w:t>
            </w:r>
            <w:r w:rsidR="00970137" w:rsidRPr="00A26DC9">
              <w:rPr>
                <w:szCs w:val="24"/>
              </w:rPr>
              <w:t>minutes</w:t>
            </w:r>
          </w:p>
        </w:tc>
        <w:tc>
          <w:tcPr>
            <w:tcW w:w="1676" w:type="dxa"/>
            <w:vAlign w:val="bottom"/>
          </w:tcPr>
          <w:p w:rsidR="00E2645A"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187</w:t>
            </w: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Q</w:t>
            </w:r>
            <w:r w:rsidR="00E2645A" w:rsidRPr="00A26DC9">
              <w:rPr>
                <w:szCs w:val="24"/>
              </w:rPr>
              <w:t>uarterly</w:t>
            </w:r>
          </w:p>
        </w:tc>
        <w:tc>
          <w:tcPr>
            <w:tcW w:w="1740" w:type="dxa"/>
            <w:vAlign w:val="bottom"/>
          </w:tcPr>
          <w:p w:rsidR="00E2645A" w:rsidRPr="00A26DC9" w:rsidRDefault="004A4CA6" w:rsidP="00B06DE8">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4</w:t>
            </w:r>
          </w:p>
        </w:tc>
        <w:tc>
          <w:tcPr>
            <w:tcW w:w="1676" w:type="dxa"/>
            <w:vAlign w:val="bottom"/>
          </w:tcPr>
          <w:p w:rsidR="00E2645A" w:rsidRPr="00A26DC9" w:rsidRDefault="0075626B" w:rsidP="004A4CA6">
            <w:pPr>
              <w:tabs>
                <w:tab w:val="decimal" w:pos="-1440"/>
                <w:tab w:val="left" w:pos="360"/>
                <w:tab w:val="center" w:pos="2160"/>
                <w:tab w:val="center" w:pos="4320"/>
                <w:tab w:val="center" w:pos="6480"/>
                <w:tab w:val="center" w:pos="8640"/>
              </w:tabs>
              <w:jc w:val="center"/>
              <w:rPr>
                <w:szCs w:val="24"/>
              </w:rPr>
            </w:pPr>
            <w:r>
              <w:rPr>
                <w:szCs w:val="24"/>
              </w:rPr>
              <w:t>30</w:t>
            </w:r>
            <w:r w:rsidRPr="00A26DC9">
              <w:rPr>
                <w:szCs w:val="24"/>
              </w:rPr>
              <w:t xml:space="preserve"> </w:t>
            </w:r>
            <w:r w:rsidR="00970137" w:rsidRPr="00A26DC9">
              <w:rPr>
                <w:szCs w:val="24"/>
              </w:rPr>
              <w:t>minutes</w:t>
            </w:r>
          </w:p>
        </w:tc>
        <w:tc>
          <w:tcPr>
            <w:tcW w:w="1676" w:type="dxa"/>
            <w:vAlign w:val="bottom"/>
          </w:tcPr>
          <w:p w:rsidR="00E2645A"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140</w:t>
            </w: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A</w:t>
            </w:r>
            <w:r w:rsidR="00E2645A" w:rsidRPr="00A26DC9">
              <w:rPr>
                <w:szCs w:val="24"/>
              </w:rPr>
              <w:t>ddendum</w:t>
            </w:r>
          </w:p>
        </w:tc>
        <w:tc>
          <w:tcPr>
            <w:tcW w:w="1740" w:type="dxa"/>
            <w:vAlign w:val="bottom"/>
          </w:tcPr>
          <w:p w:rsidR="00E2645A" w:rsidRPr="00A26DC9" w:rsidRDefault="004A4CA6" w:rsidP="00B06DE8">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2</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10</w:t>
            </w:r>
            <w:r w:rsidR="00970137" w:rsidRPr="00A26DC9">
              <w:rPr>
                <w:szCs w:val="24"/>
              </w:rPr>
              <w:t xml:space="preserve"> minutes</w:t>
            </w:r>
          </w:p>
        </w:tc>
        <w:tc>
          <w:tcPr>
            <w:tcW w:w="1676" w:type="dxa"/>
            <w:vAlign w:val="bottom"/>
          </w:tcPr>
          <w:p w:rsidR="00E2645A" w:rsidRPr="00A26DC9" w:rsidRDefault="000509D9" w:rsidP="000509D9">
            <w:pPr>
              <w:tabs>
                <w:tab w:val="decimal" w:pos="-1440"/>
                <w:tab w:val="right" w:pos="1100"/>
                <w:tab w:val="center" w:pos="2160"/>
                <w:tab w:val="center" w:pos="4320"/>
                <w:tab w:val="center" w:pos="6480"/>
                <w:tab w:val="center" w:pos="8640"/>
              </w:tabs>
              <w:ind w:right="360"/>
              <w:jc w:val="right"/>
              <w:rPr>
                <w:szCs w:val="24"/>
                <w:u w:val="single"/>
              </w:rPr>
            </w:pPr>
            <w:r w:rsidRPr="00A26DC9">
              <w:rPr>
                <w:szCs w:val="24"/>
                <w:u w:val="single"/>
              </w:rPr>
              <w:tab/>
            </w:r>
            <w:r w:rsidR="004A4CA6" w:rsidRPr="00A26DC9">
              <w:rPr>
                <w:szCs w:val="24"/>
                <w:u w:val="single"/>
              </w:rPr>
              <w:t>23</w:t>
            </w:r>
          </w:p>
        </w:tc>
      </w:tr>
      <w:tr w:rsidR="00872AF4" w:rsidRPr="00A26DC9" w:rsidTr="00E0201E">
        <w:tc>
          <w:tcPr>
            <w:tcW w:w="2808" w:type="dxa"/>
            <w:vAlign w:val="bottom"/>
          </w:tcPr>
          <w:p w:rsidR="00872AF4" w:rsidRPr="00A26DC9" w:rsidRDefault="00872AF4" w:rsidP="00872AF4">
            <w:pPr>
              <w:tabs>
                <w:tab w:val="decimal" w:pos="-1440"/>
                <w:tab w:val="left" w:pos="360"/>
                <w:tab w:val="center" w:pos="2160"/>
                <w:tab w:val="center" w:pos="4320"/>
                <w:tab w:val="center" w:pos="6480"/>
                <w:tab w:val="center" w:pos="8640"/>
              </w:tabs>
              <w:jc w:val="right"/>
              <w:rPr>
                <w:b/>
                <w:i/>
                <w:szCs w:val="24"/>
              </w:rPr>
            </w:pPr>
            <w:r w:rsidRPr="00A26DC9">
              <w:rPr>
                <w:i/>
                <w:szCs w:val="24"/>
              </w:rPr>
              <w:t>Total</w:t>
            </w:r>
          </w:p>
        </w:tc>
        <w:tc>
          <w:tcPr>
            <w:tcW w:w="1740"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75626B" w:rsidP="000509D9">
            <w:pPr>
              <w:tabs>
                <w:tab w:val="decimal" w:pos="-1440"/>
                <w:tab w:val="center" w:pos="2160"/>
                <w:tab w:val="center" w:pos="4320"/>
                <w:tab w:val="center" w:pos="6480"/>
                <w:tab w:val="center" w:pos="8640"/>
              </w:tabs>
              <w:ind w:right="360"/>
              <w:jc w:val="right"/>
              <w:rPr>
                <w:szCs w:val="24"/>
              </w:rPr>
            </w:pPr>
            <w:r>
              <w:rPr>
                <w:szCs w:val="24"/>
              </w:rPr>
              <w:t>350</w:t>
            </w:r>
          </w:p>
        </w:tc>
      </w:tr>
      <w:tr w:rsidR="00872AF4" w:rsidRPr="00A26DC9" w:rsidTr="00E0201E">
        <w:tc>
          <w:tcPr>
            <w:tcW w:w="2808" w:type="dxa"/>
            <w:vAlign w:val="bottom"/>
          </w:tcPr>
          <w:p w:rsidR="00872AF4" w:rsidRPr="00A26DC9" w:rsidRDefault="00872AF4" w:rsidP="00E0201E">
            <w:pPr>
              <w:tabs>
                <w:tab w:val="decimal" w:pos="-1440"/>
                <w:tab w:val="left" w:pos="360"/>
                <w:tab w:val="center" w:pos="2160"/>
                <w:tab w:val="center" w:pos="4320"/>
                <w:tab w:val="center" w:pos="6480"/>
                <w:tab w:val="center" w:pos="8640"/>
              </w:tabs>
              <w:rPr>
                <w:b/>
                <w:szCs w:val="24"/>
              </w:rPr>
            </w:pPr>
            <w:r w:rsidRPr="00A26DC9">
              <w:rPr>
                <w:b/>
                <w:szCs w:val="24"/>
              </w:rPr>
              <w:t>Proposed</w:t>
            </w:r>
          </w:p>
        </w:tc>
        <w:tc>
          <w:tcPr>
            <w:tcW w:w="1740"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0509D9">
            <w:pPr>
              <w:tabs>
                <w:tab w:val="decimal" w:pos="-1440"/>
                <w:tab w:val="right" w:pos="1100"/>
                <w:tab w:val="center" w:pos="2160"/>
                <w:tab w:val="center" w:pos="4320"/>
                <w:tab w:val="center" w:pos="6480"/>
                <w:tab w:val="center" w:pos="8640"/>
              </w:tabs>
              <w:ind w:right="360"/>
              <w:jc w:val="right"/>
              <w:rPr>
                <w:szCs w:val="24"/>
              </w:rPr>
            </w:pPr>
          </w:p>
        </w:tc>
      </w:tr>
      <w:tr w:rsidR="00134621" w:rsidRPr="00A26DC9" w:rsidTr="00E0201E">
        <w:tc>
          <w:tcPr>
            <w:tcW w:w="2808" w:type="dxa"/>
            <w:vAlign w:val="bottom"/>
          </w:tcPr>
          <w:p w:rsidR="00134621" w:rsidRPr="00A26DC9" w:rsidRDefault="00134621" w:rsidP="00E0201E">
            <w:pPr>
              <w:tabs>
                <w:tab w:val="decimal" w:pos="-1440"/>
                <w:tab w:val="left" w:pos="360"/>
                <w:tab w:val="center" w:pos="2160"/>
                <w:tab w:val="center" w:pos="4320"/>
                <w:tab w:val="center" w:pos="6480"/>
                <w:tab w:val="center" w:pos="8640"/>
              </w:tabs>
              <w:rPr>
                <w:szCs w:val="24"/>
              </w:rPr>
            </w:pPr>
            <w:r w:rsidRPr="00A26DC9">
              <w:rPr>
                <w:szCs w:val="24"/>
              </w:rPr>
              <w:t>Monthly</w:t>
            </w:r>
          </w:p>
        </w:tc>
        <w:tc>
          <w:tcPr>
            <w:tcW w:w="1740" w:type="dxa"/>
            <w:vAlign w:val="bottom"/>
          </w:tcPr>
          <w:p w:rsidR="00134621" w:rsidRPr="00A26DC9" w:rsidRDefault="0075626B" w:rsidP="00E0201E">
            <w:pPr>
              <w:tabs>
                <w:tab w:val="decimal" w:pos="-1440"/>
                <w:tab w:val="left" w:pos="360"/>
                <w:tab w:val="center" w:pos="2160"/>
                <w:tab w:val="center" w:pos="4320"/>
                <w:tab w:val="center" w:pos="6480"/>
                <w:tab w:val="center" w:pos="8640"/>
              </w:tabs>
              <w:jc w:val="center"/>
              <w:rPr>
                <w:szCs w:val="24"/>
              </w:rPr>
            </w:pPr>
            <w:r>
              <w:rPr>
                <w:szCs w:val="24"/>
              </w:rPr>
              <w:t>150</w:t>
            </w:r>
          </w:p>
        </w:tc>
        <w:tc>
          <w:tcPr>
            <w:tcW w:w="1676"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8</w:t>
            </w:r>
          </w:p>
        </w:tc>
        <w:tc>
          <w:tcPr>
            <w:tcW w:w="1676" w:type="dxa"/>
            <w:vAlign w:val="bottom"/>
          </w:tcPr>
          <w:p w:rsidR="00134621" w:rsidRPr="00A26DC9" w:rsidRDefault="008C30A5" w:rsidP="00E0201E">
            <w:pPr>
              <w:tabs>
                <w:tab w:val="decimal" w:pos="-1440"/>
                <w:tab w:val="left" w:pos="360"/>
                <w:tab w:val="center" w:pos="2160"/>
                <w:tab w:val="center" w:pos="4320"/>
                <w:tab w:val="center" w:pos="6480"/>
                <w:tab w:val="center" w:pos="8640"/>
              </w:tabs>
              <w:jc w:val="center"/>
              <w:rPr>
                <w:szCs w:val="24"/>
              </w:rPr>
            </w:pPr>
            <w:r w:rsidRPr="00A26DC9">
              <w:rPr>
                <w:szCs w:val="24"/>
              </w:rPr>
              <w:t>20</w:t>
            </w:r>
            <w:r w:rsidR="00134621" w:rsidRPr="00A26DC9">
              <w:rPr>
                <w:szCs w:val="24"/>
              </w:rPr>
              <w:t xml:space="preserve"> minutes</w:t>
            </w:r>
          </w:p>
        </w:tc>
        <w:tc>
          <w:tcPr>
            <w:tcW w:w="1676" w:type="dxa"/>
            <w:vAlign w:val="bottom"/>
          </w:tcPr>
          <w:p w:rsidR="00134621"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400</w:t>
            </w:r>
          </w:p>
        </w:tc>
      </w:tr>
      <w:tr w:rsidR="00134621" w:rsidRPr="00A26DC9" w:rsidTr="00E0201E">
        <w:tc>
          <w:tcPr>
            <w:tcW w:w="2808" w:type="dxa"/>
            <w:vAlign w:val="bottom"/>
          </w:tcPr>
          <w:p w:rsidR="00134621" w:rsidRPr="00A26DC9" w:rsidRDefault="00134621" w:rsidP="00E0201E">
            <w:pPr>
              <w:tabs>
                <w:tab w:val="decimal" w:pos="-1440"/>
                <w:tab w:val="left" w:pos="360"/>
                <w:tab w:val="center" w:pos="2160"/>
                <w:tab w:val="center" w:pos="4320"/>
                <w:tab w:val="center" w:pos="6480"/>
                <w:tab w:val="center" w:pos="8640"/>
              </w:tabs>
              <w:rPr>
                <w:szCs w:val="24"/>
              </w:rPr>
            </w:pPr>
            <w:r w:rsidRPr="00A26DC9">
              <w:rPr>
                <w:szCs w:val="24"/>
              </w:rPr>
              <w:t>Quarterly</w:t>
            </w:r>
          </w:p>
        </w:tc>
        <w:tc>
          <w:tcPr>
            <w:tcW w:w="1740" w:type="dxa"/>
            <w:vAlign w:val="bottom"/>
          </w:tcPr>
          <w:p w:rsidR="00134621" w:rsidRPr="00A26DC9" w:rsidRDefault="0075626B" w:rsidP="00E0201E">
            <w:pPr>
              <w:tabs>
                <w:tab w:val="decimal" w:pos="-1440"/>
                <w:tab w:val="left" w:pos="360"/>
                <w:tab w:val="center" w:pos="2160"/>
                <w:tab w:val="center" w:pos="4320"/>
                <w:tab w:val="center" w:pos="6480"/>
                <w:tab w:val="center" w:pos="8640"/>
              </w:tabs>
              <w:jc w:val="center"/>
              <w:rPr>
                <w:szCs w:val="24"/>
              </w:rPr>
            </w:pPr>
            <w:r>
              <w:rPr>
                <w:szCs w:val="24"/>
              </w:rPr>
              <w:t>150</w:t>
            </w:r>
          </w:p>
        </w:tc>
        <w:tc>
          <w:tcPr>
            <w:tcW w:w="1676"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4</w:t>
            </w:r>
          </w:p>
        </w:tc>
        <w:tc>
          <w:tcPr>
            <w:tcW w:w="1676" w:type="dxa"/>
            <w:vAlign w:val="bottom"/>
          </w:tcPr>
          <w:p w:rsidR="00134621" w:rsidRPr="00A26DC9" w:rsidRDefault="00F0202E" w:rsidP="00E0201E">
            <w:pPr>
              <w:tabs>
                <w:tab w:val="decimal" w:pos="-1440"/>
                <w:tab w:val="left" w:pos="360"/>
                <w:tab w:val="center" w:pos="2160"/>
                <w:tab w:val="center" w:pos="4320"/>
                <w:tab w:val="center" w:pos="6480"/>
                <w:tab w:val="center" w:pos="8640"/>
              </w:tabs>
              <w:jc w:val="center"/>
              <w:rPr>
                <w:szCs w:val="24"/>
              </w:rPr>
            </w:pPr>
            <w:r w:rsidRPr="00A26DC9">
              <w:rPr>
                <w:szCs w:val="24"/>
              </w:rPr>
              <w:t>30</w:t>
            </w:r>
            <w:r w:rsidR="00134621" w:rsidRPr="00A26DC9">
              <w:rPr>
                <w:szCs w:val="24"/>
              </w:rPr>
              <w:t xml:space="preserve"> minutes</w:t>
            </w:r>
          </w:p>
        </w:tc>
        <w:tc>
          <w:tcPr>
            <w:tcW w:w="1676" w:type="dxa"/>
            <w:vAlign w:val="bottom"/>
          </w:tcPr>
          <w:p w:rsidR="00134621"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300</w:t>
            </w:r>
          </w:p>
        </w:tc>
      </w:tr>
      <w:tr w:rsidR="00872AF4" w:rsidRPr="00A26DC9" w:rsidTr="00E0201E">
        <w:tc>
          <w:tcPr>
            <w:tcW w:w="2808" w:type="dxa"/>
            <w:vAlign w:val="bottom"/>
          </w:tcPr>
          <w:p w:rsidR="00872AF4" w:rsidRPr="00A26DC9" w:rsidRDefault="00872AF4" w:rsidP="00E0201E">
            <w:pPr>
              <w:tabs>
                <w:tab w:val="decimal" w:pos="-1440"/>
                <w:tab w:val="left" w:pos="360"/>
                <w:tab w:val="center" w:pos="2160"/>
                <w:tab w:val="center" w:pos="4320"/>
                <w:tab w:val="center" w:pos="6480"/>
                <w:tab w:val="center" w:pos="8640"/>
              </w:tabs>
              <w:rPr>
                <w:szCs w:val="24"/>
              </w:rPr>
            </w:pPr>
            <w:r w:rsidRPr="00A26DC9">
              <w:rPr>
                <w:szCs w:val="24"/>
              </w:rPr>
              <w:t>Addendum</w:t>
            </w:r>
          </w:p>
        </w:tc>
        <w:tc>
          <w:tcPr>
            <w:tcW w:w="1740" w:type="dxa"/>
            <w:vAlign w:val="bottom"/>
          </w:tcPr>
          <w:p w:rsidR="00872AF4" w:rsidRPr="00A26DC9" w:rsidRDefault="0075626B" w:rsidP="00E0201E">
            <w:pPr>
              <w:tabs>
                <w:tab w:val="decimal" w:pos="-1440"/>
                <w:tab w:val="left" w:pos="360"/>
                <w:tab w:val="center" w:pos="2160"/>
                <w:tab w:val="center" w:pos="4320"/>
                <w:tab w:val="center" w:pos="6480"/>
                <w:tab w:val="center" w:pos="8640"/>
              </w:tabs>
              <w:jc w:val="center"/>
              <w:rPr>
                <w:szCs w:val="24"/>
              </w:rPr>
            </w:pPr>
            <w:r>
              <w:rPr>
                <w:szCs w:val="24"/>
              </w:rPr>
              <w:t>150</w:t>
            </w: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r w:rsidRPr="00A26DC9">
              <w:rPr>
                <w:szCs w:val="24"/>
              </w:rPr>
              <w:t>2</w:t>
            </w: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r w:rsidRPr="00A26DC9">
              <w:rPr>
                <w:szCs w:val="24"/>
              </w:rPr>
              <w:t>10 minutes</w:t>
            </w:r>
          </w:p>
        </w:tc>
        <w:tc>
          <w:tcPr>
            <w:tcW w:w="1676" w:type="dxa"/>
            <w:vAlign w:val="bottom"/>
          </w:tcPr>
          <w:p w:rsidR="00872AF4" w:rsidRPr="00A26DC9" w:rsidRDefault="000509D9" w:rsidP="0075626B">
            <w:pPr>
              <w:tabs>
                <w:tab w:val="decimal" w:pos="-1440"/>
                <w:tab w:val="right" w:pos="1100"/>
                <w:tab w:val="center" w:pos="2160"/>
                <w:tab w:val="center" w:pos="4320"/>
                <w:tab w:val="center" w:pos="6480"/>
                <w:tab w:val="center" w:pos="8640"/>
              </w:tabs>
              <w:ind w:right="360"/>
              <w:jc w:val="right"/>
              <w:rPr>
                <w:szCs w:val="24"/>
                <w:u w:val="single"/>
              </w:rPr>
            </w:pPr>
            <w:r w:rsidRPr="00A26DC9">
              <w:rPr>
                <w:szCs w:val="24"/>
                <w:u w:val="single"/>
              </w:rPr>
              <w:tab/>
            </w:r>
            <w:r w:rsidR="0075626B">
              <w:rPr>
                <w:szCs w:val="24"/>
                <w:u w:val="single"/>
              </w:rPr>
              <w:t>50</w:t>
            </w:r>
          </w:p>
        </w:tc>
      </w:tr>
      <w:tr w:rsidR="00E2645A" w:rsidRPr="00A26DC9" w:rsidTr="003E3BD6">
        <w:tc>
          <w:tcPr>
            <w:tcW w:w="2808" w:type="dxa"/>
            <w:vAlign w:val="bottom"/>
          </w:tcPr>
          <w:p w:rsidR="00E2645A" w:rsidRPr="00A26DC9" w:rsidRDefault="00872AF4" w:rsidP="00C05387">
            <w:pPr>
              <w:pStyle w:val="Heading3"/>
              <w:jc w:val="right"/>
              <w:rPr>
                <w:rFonts w:ascii="Times New Roman" w:hAnsi="Times New Roman"/>
                <w:szCs w:val="24"/>
              </w:rPr>
            </w:pPr>
            <w:r w:rsidRPr="00A26DC9">
              <w:rPr>
                <w:rFonts w:ascii="Times New Roman" w:hAnsi="Times New Roman"/>
                <w:szCs w:val="24"/>
              </w:rPr>
              <w:t>Total</w:t>
            </w:r>
          </w:p>
        </w:tc>
        <w:tc>
          <w:tcPr>
            <w:tcW w:w="1740"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750</w:t>
            </w:r>
          </w:p>
        </w:tc>
      </w:tr>
      <w:tr w:rsidR="00872AF4" w:rsidRPr="00A26DC9" w:rsidTr="003E3BD6">
        <w:tc>
          <w:tcPr>
            <w:tcW w:w="2808" w:type="dxa"/>
            <w:vAlign w:val="bottom"/>
          </w:tcPr>
          <w:p w:rsidR="00872AF4" w:rsidRPr="00A26DC9" w:rsidRDefault="00872AF4" w:rsidP="00B61345">
            <w:pPr>
              <w:pStyle w:val="Heading3"/>
              <w:jc w:val="right"/>
              <w:rPr>
                <w:rFonts w:ascii="Times New Roman" w:hAnsi="Times New Roman"/>
                <w:szCs w:val="24"/>
              </w:rPr>
            </w:pPr>
            <w:r w:rsidRPr="00A26DC9">
              <w:rPr>
                <w:rFonts w:ascii="Times New Roman" w:hAnsi="Times New Roman"/>
                <w:szCs w:val="24"/>
              </w:rPr>
              <w:t>Change</w:t>
            </w:r>
          </w:p>
        </w:tc>
        <w:tc>
          <w:tcPr>
            <w:tcW w:w="1740"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75626B" w:rsidP="000509D9">
            <w:pPr>
              <w:tabs>
                <w:tab w:val="decimal" w:pos="-1440"/>
                <w:tab w:val="right" w:pos="1100"/>
                <w:tab w:val="center" w:pos="2160"/>
                <w:tab w:val="center" w:pos="4320"/>
                <w:tab w:val="center" w:pos="6480"/>
                <w:tab w:val="center" w:pos="8640"/>
              </w:tabs>
              <w:ind w:right="360"/>
              <w:jc w:val="right"/>
              <w:rPr>
                <w:szCs w:val="24"/>
              </w:rPr>
            </w:pPr>
            <w:r>
              <w:rPr>
                <w:szCs w:val="24"/>
              </w:rPr>
              <w:t>+400</w:t>
            </w:r>
          </w:p>
        </w:tc>
      </w:tr>
    </w:tbl>
    <w:p w:rsidR="00B432D8" w:rsidRPr="00A26DC9" w:rsidRDefault="00B432D8" w:rsidP="00FE1C92">
      <w:pPr>
        <w:rPr>
          <w:szCs w:val="24"/>
        </w:rPr>
      </w:pPr>
    </w:p>
    <w:p w:rsidR="00DB126A" w:rsidRPr="006878C3" w:rsidRDefault="00363027" w:rsidP="00B83DF8">
      <w:pPr>
        <w:rPr>
          <w:szCs w:val="24"/>
        </w:rPr>
      </w:pPr>
      <w:r w:rsidRPr="00A26DC9">
        <w:rPr>
          <w:szCs w:val="24"/>
        </w:rPr>
        <w:t>The total cost to the public is estimated to increase from the current level of $</w:t>
      </w:r>
      <w:r w:rsidR="0075626B">
        <w:rPr>
          <w:szCs w:val="24"/>
        </w:rPr>
        <w:t>17,465</w:t>
      </w:r>
      <w:r w:rsidRPr="00A26DC9">
        <w:rPr>
          <w:szCs w:val="24"/>
        </w:rPr>
        <w:t xml:space="preserve"> to $</w:t>
      </w:r>
      <w:r w:rsidR="0075626B">
        <w:rPr>
          <w:szCs w:val="24"/>
        </w:rPr>
        <w:t>37,425</w:t>
      </w:r>
      <w:r w:rsidRPr="00A26DC9">
        <w:rPr>
          <w:szCs w:val="24"/>
        </w:rPr>
        <w:t xml:space="preserve"> for the revised FR 2248.</w:t>
      </w:r>
      <w:r w:rsidR="004A4CA6" w:rsidRPr="00A26DC9">
        <w:rPr>
          <w:rStyle w:val="FootnoteReference"/>
          <w:szCs w:val="24"/>
        </w:rPr>
        <w:footnoteReference w:id="5"/>
      </w:r>
    </w:p>
    <w:p w:rsidR="00B83DF8" w:rsidRPr="00A26DC9" w:rsidRDefault="00B83DF8" w:rsidP="00B83DF8">
      <w:pPr>
        <w:rPr>
          <w:szCs w:val="24"/>
        </w:rPr>
      </w:pPr>
      <w:r w:rsidRPr="00A26DC9">
        <w:rPr>
          <w:b/>
          <w:bCs/>
          <w:szCs w:val="24"/>
        </w:rPr>
        <w:lastRenderedPageBreak/>
        <w:t>Es</w:t>
      </w:r>
      <w:bookmarkStart w:id="1" w:name="_GoBack"/>
      <w:bookmarkEnd w:id="1"/>
      <w:r w:rsidRPr="00A26DC9">
        <w:rPr>
          <w:b/>
          <w:bCs/>
          <w:szCs w:val="24"/>
        </w:rPr>
        <w:t>timate of Cost to the Federal Reserve System</w:t>
      </w:r>
    </w:p>
    <w:p w:rsidR="00363027" w:rsidRPr="00A26DC9" w:rsidRDefault="00363027" w:rsidP="00F0202E">
      <w:pPr>
        <w:ind w:firstLine="720"/>
        <w:rPr>
          <w:szCs w:val="24"/>
        </w:rPr>
      </w:pPr>
    </w:p>
    <w:p w:rsidR="00E53A67" w:rsidRPr="00A26DC9" w:rsidRDefault="00E53A67" w:rsidP="00E53A67">
      <w:pPr>
        <w:autoSpaceDE w:val="0"/>
        <w:autoSpaceDN w:val="0"/>
        <w:adjustRightInd w:val="0"/>
        <w:ind w:firstLine="720"/>
        <w:rPr>
          <w:b/>
          <w:bCs/>
          <w:szCs w:val="24"/>
        </w:rPr>
      </w:pPr>
      <w:r w:rsidRPr="00A26DC9">
        <w:rPr>
          <w:szCs w:val="24"/>
        </w:rPr>
        <w:t xml:space="preserve">The cost to the Federal Reserve System for collecting and processing this report </w:t>
      </w:r>
      <w:r w:rsidR="00935346">
        <w:rPr>
          <w:szCs w:val="24"/>
        </w:rPr>
        <w:t>is estimated to be $44,200</w:t>
      </w:r>
      <w:r w:rsidR="00B77795">
        <w:rPr>
          <w:szCs w:val="24"/>
        </w:rPr>
        <w:t>, with a one-time implementation cost of $12,400</w:t>
      </w:r>
      <w:r w:rsidRPr="00A26DC9">
        <w:rPr>
          <w:szCs w:val="24"/>
        </w:rPr>
        <w:t>.</w:t>
      </w:r>
    </w:p>
    <w:p w:rsidR="0021339B" w:rsidRPr="00A26DC9" w:rsidRDefault="0021339B" w:rsidP="00740813">
      <w:pPr>
        <w:rPr>
          <w:szCs w:val="24"/>
        </w:rPr>
      </w:pPr>
    </w:p>
    <w:p w:rsidR="00EE1CA5" w:rsidRPr="00A26DC9" w:rsidRDefault="00EE1CA5" w:rsidP="00740813">
      <w:pPr>
        <w:rPr>
          <w:szCs w:val="24"/>
        </w:rPr>
      </w:pPr>
    </w:p>
    <w:sectPr w:rsidR="00EE1CA5" w:rsidRPr="00A26DC9" w:rsidSect="00536C9D">
      <w:footerReference w:type="even" r:id="rId17"/>
      <w:footerReference w:type="default" r:id="rId18"/>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86" w:rsidRDefault="005A6F86" w:rsidP="00D83F35">
      <w:r>
        <w:separator/>
      </w:r>
    </w:p>
  </w:endnote>
  <w:endnote w:type="continuationSeparator" w:id="0">
    <w:p w:rsidR="005A6F86" w:rsidRDefault="005A6F86" w:rsidP="00D8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86" w:rsidRDefault="005A6F86" w:rsidP="006940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6F86" w:rsidRDefault="005A6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86" w:rsidRDefault="005A6F86" w:rsidP="00061357">
    <w:pPr>
      <w:pStyle w:val="Footer"/>
      <w:jc w:val="center"/>
    </w:pPr>
    <w:r>
      <w:rPr>
        <w:rStyle w:val="PageNumber"/>
      </w:rPr>
      <w:fldChar w:fldCharType="begin"/>
    </w:r>
    <w:r>
      <w:rPr>
        <w:rStyle w:val="PageNumber"/>
      </w:rPr>
      <w:instrText xml:space="preserve"> PAGE </w:instrText>
    </w:r>
    <w:r>
      <w:rPr>
        <w:rStyle w:val="PageNumber"/>
      </w:rPr>
      <w:fldChar w:fldCharType="separate"/>
    </w:r>
    <w:r w:rsidR="006A09B3">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86" w:rsidRDefault="005A6F86" w:rsidP="00D83F35">
      <w:r>
        <w:separator/>
      </w:r>
    </w:p>
  </w:footnote>
  <w:footnote w:type="continuationSeparator" w:id="0">
    <w:p w:rsidR="005A6F86" w:rsidRDefault="005A6F86" w:rsidP="00D83F35">
      <w:r>
        <w:continuationSeparator/>
      </w:r>
    </w:p>
  </w:footnote>
  <w:footnote w:id="1">
    <w:p w:rsidR="005A6F86" w:rsidRDefault="005A6F86">
      <w:pPr>
        <w:pStyle w:val="FootnoteText"/>
      </w:pPr>
      <w:r>
        <w:rPr>
          <w:rStyle w:val="FootnoteReference"/>
        </w:rPr>
        <w:footnoteRef/>
      </w:r>
      <w:r>
        <w:t xml:space="preserve"> Potential universe of respondents is identified by the </w:t>
      </w:r>
      <w:proofErr w:type="spellStart"/>
      <w:r>
        <w:t>quinquennial</w:t>
      </w:r>
      <w:proofErr w:type="spellEnd"/>
      <w:r>
        <w:t xml:space="preserve"> Census of Finance Companies (FR 3033p) and Survey of Finance Companies (FR 3033s) (OMB NO. 7100-0277).</w:t>
      </w:r>
    </w:p>
  </w:footnote>
  <w:footnote w:id="2">
    <w:p w:rsidR="005A6F86" w:rsidRDefault="005A6F86">
      <w:pPr>
        <w:pStyle w:val="FootnoteText"/>
      </w:pPr>
      <w:r>
        <w:rPr>
          <w:rStyle w:val="FootnoteReference"/>
        </w:rPr>
        <w:footnoteRef/>
      </w:r>
      <w:r>
        <w:t xml:space="preserve"> Finance Companies include companies in which 50 percent or more of assets are held in any of the following types of loan or lease assets: (</w:t>
      </w:r>
      <w:proofErr w:type="spellStart"/>
      <w:r>
        <w:t>i</w:t>
      </w:r>
      <w:proofErr w:type="spellEnd"/>
      <w:r>
        <w:t>) liens on real estate, defined by outstanding balances on loans and leases, for any purpose secured by liens on real estate; (ii) loans and leases not secured by real estate, such as business loans and leases, defined as outstanding balances on loans and leases for commercial and industrial purposes to sole proprietorships, partnerships, corporations or other business enterprises, or consumer loans and leases outstanding balances on loans and on leases, for household, family and other personal expenditures.</w:t>
      </w:r>
    </w:p>
  </w:footnote>
  <w:footnote w:id="3">
    <w:p w:rsidR="005A6F86" w:rsidRDefault="005A6F86" w:rsidP="006878C3">
      <w:pPr>
        <w:pStyle w:val="FootnoteText"/>
      </w:pPr>
      <w:r>
        <w:rPr>
          <w:rStyle w:val="FootnoteReference"/>
        </w:rPr>
        <w:footnoteRef/>
      </w:r>
      <w:r>
        <w:t xml:space="preserve"> Although the </w:t>
      </w:r>
      <w:r w:rsidRPr="004E42CC">
        <w:rPr>
          <w:iCs/>
        </w:rPr>
        <w:t>Financial Statements of U.S. Nonbank Subsidiaries of U.S. Bank Holding Companies</w:t>
      </w:r>
      <w:r>
        <w:rPr>
          <w:iCs/>
        </w:rPr>
        <w:t xml:space="preserve"> (FR Y-11/FR Y-11S; OMB No. 7100-0244) and the </w:t>
      </w:r>
      <w:r w:rsidRPr="004E42CC">
        <w:rPr>
          <w:iCs/>
        </w:rPr>
        <w:t>Financial Statements of U.S. Nonbank Subsidiaries Held by Foreign Banking Organizations</w:t>
      </w:r>
      <w:r>
        <w:rPr>
          <w:iCs/>
        </w:rPr>
        <w:t xml:space="preserve"> (FR Y-7/FR Y-7NS; OMB No. 7100-0125) collect balance sheet and income statement information from BHCs and FBOs, these reports do not provide the level of granularity necessary to produce detailed series on consumer, real estate, and business credit at finance companies.</w:t>
      </w:r>
    </w:p>
  </w:footnote>
  <w:footnote w:id="4">
    <w:p w:rsidR="005A6F86" w:rsidRDefault="005A6F86">
      <w:pPr>
        <w:pStyle w:val="FootnoteText"/>
      </w:pPr>
      <w:r>
        <w:rPr>
          <w:rStyle w:val="FootnoteReference"/>
        </w:rPr>
        <w:footnoteRef/>
      </w:r>
      <w:r>
        <w:t xml:space="preserve"> </w:t>
      </w:r>
      <w:r w:rsidRPr="006878C3">
        <w:t xml:space="preserve">Of the </w:t>
      </w:r>
      <w:r w:rsidR="00BD1539">
        <w:t>current respondents filing this</w:t>
      </w:r>
      <w:r w:rsidRPr="006878C3">
        <w:t xml:space="preserve"> information </w:t>
      </w:r>
      <w:r w:rsidRPr="00BD1539">
        <w:t xml:space="preserve">collection </w:t>
      </w:r>
      <w:r w:rsidR="00BD1539" w:rsidRPr="00BD1539">
        <w:t>six</w:t>
      </w:r>
      <w:r w:rsidRPr="00BD1539">
        <w:t xml:space="preserve"> </w:t>
      </w:r>
      <w:r w:rsidRPr="006878C3">
        <w:t>are small entities as defined by the Small Business Administration (i.e., entities with less than $500 million in total assets).</w:t>
      </w:r>
    </w:p>
  </w:footnote>
  <w:footnote w:id="5">
    <w:p w:rsidR="005A6F86" w:rsidRPr="00363027" w:rsidRDefault="005A6F86" w:rsidP="004A4CA6">
      <w:pPr>
        <w:rPr>
          <w:sz w:val="20"/>
        </w:rPr>
      </w:pPr>
      <w:r w:rsidRPr="00363027">
        <w:rPr>
          <w:rStyle w:val="FootnoteReference"/>
          <w:sz w:val="20"/>
        </w:rPr>
        <w:footnoteRef/>
      </w:r>
      <w:r w:rsidRPr="00363027">
        <w:rPr>
          <w:sz w:val="20"/>
        </w:rPr>
        <w:t xml:space="preserve">  </w:t>
      </w:r>
      <w:r w:rsidRPr="006878C3">
        <w:rPr>
          <w:sz w:val="20"/>
        </w:rPr>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p w:rsidR="005A6F86" w:rsidRDefault="005A6F86" w:rsidP="004A4CA6">
      <w:pPr>
        <w:pStyle w:val="FootnoteText"/>
      </w:pPr>
    </w:p>
    <w:p w:rsidR="005A6F86" w:rsidRDefault="005A6F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BD9"/>
    <w:multiLevelType w:val="hybridMultilevel"/>
    <w:tmpl w:val="E62A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F0715"/>
    <w:multiLevelType w:val="hybridMultilevel"/>
    <w:tmpl w:val="E56A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FF2C46"/>
    <w:multiLevelType w:val="hybridMultilevel"/>
    <w:tmpl w:val="1A9AE1C2"/>
    <w:lvl w:ilvl="0" w:tplc="2D463614">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A4136E"/>
    <w:multiLevelType w:val="hybridMultilevel"/>
    <w:tmpl w:val="2A7E9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9E53E5"/>
    <w:multiLevelType w:val="hybridMultilevel"/>
    <w:tmpl w:val="7D54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21DA9"/>
    <w:multiLevelType w:val="hybridMultilevel"/>
    <w:tmpl w:val="8B523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62"/>
    <w:rsid w:val="000027C5"/>
    <w:rsid w:val="00002994"/>
    <w:rsid w:val="00004737"/>
    <w:rsid w:val="00004E02"/>
    <w:rsid w:val="000078BE"/>
    <w:rsid w:val="00011013"/>
    <w:rsid w:val="00011E72"/>
    <w:rsid w:val="00014E9D"/>
    <w:rsid w:val="0001757B"/>
    <w:rsid w:val="00021A2B"/>
    <w:rsid w:val="00024E03"/>
    <w:rsid w:val="00025C37"/>
    <w:rsid w:val="000265CF"/>
    <w:rsid w:val="00033610"/>
    <w:rsid w:val="00033836"/>
    <w:rsid w:val="000343EA"/>
    <w:rsid w:val="00041518"/>
    <w:rsid w:val="00044314"/>
    <w:rsid w:val="000509D9"/>
    <w:rsid w:val="000518B0"/>
    <w:rsid w:val="00055EF9"/>
    <w:rsid w:val="00056557"/>
    <w:rsid w:val="00057E94"/>
    <w:rsid w:val="00060052"/>
    <w:rsid w:val="00061357"/>
    <w:rsid w:val="00062A83"/>
    <w:rsid w:val="00065BE4"/>
    <w:rsid w:val="0008030A"/>
    <w:rsid w:val="00080374"/>
    <w:rsid w:val="00080DF0"/>
    <w:rsid w:val="0008223C"/>
    <w:rsid w:val="0008369A"/>
    <w:rsid w:val="00084645"/>
    <w:rsid w:val="000A1D47"/>
    <w:rsid w:val="000A2083"/>
    <w:rsid w:val="000A3E8F"/>
    <w:rsid w:val="000A4169"/>
    <w:rsid w:val="000B7376"/>
    <w:rsid w:val="000C2256"/>
    <w:rsid w:val="000C3C13"/>
    <w:rsid w:val="000C62A9"/>
    <w:rsid w:val="000C6525"/>
    <w:rsid w:val="000D1147"/>
    <w:rsid w:val="000D18E9"/>
    <w:rsid w:val="000D50ED"/>
    <w:rsid w:val="000D55B7"/>
    <w:rsid w:val="000D5936"/>
    <w:rsid w:val="000E580C"/>
    <w:rsid w:val="000E7731"/>
    <w:rsid w:val="000F1657"/>
    <w:rsid w:val="000F4022"/>
    <w:rsid w:val="000F515B"/>
    <w:rsid w:val="000F6DFA"/>
    <w:rsid w:val="00100639"/>
    <w:rsid w:val="00100A19"/>
    <w:rsid w:val="001046A7"/>
    <w:rsid w:val="00104CE7"/>
    <w:rsid w:val="00105DD5"/>
    <w:rsid w:val="00106719"/>
    <w:rsid w:val="00107864"/>
    <w:rsid w:val="001105C8"/>
    <w:rsid w:val="001176EC"/>
    <w:rsid w:val="00123728"/>
    <w:rsid w:val="00125896"/>
    <w:rsid w:val="00126987"/>
    <w:rsid w:val="001270FB"/>
    <w:rsid w:val="00130583"/>
    <w:rsid w:val="00130C72"/>
    <w:rsid w:val="001312D2"/>
    <w:rsid w:val="00132901"/>
    <w:rsid w:val="00134621"/>
    <w:rsid w:val="0014660F"/>
    <w:rsid w:val="0015215C"/>
    <w:rsid w:val="00152262"/>
    <w:rsid w:val="001531FD"/>
    <w:rsid w:val="00155862"/>
    <w:rsid w:val="00157262"/>
    <w:rsid w:val="00172CBA"/>
    <w:rsid w:val="00174969"/>
    <w:rsid w:val="001755DA"/>
    <w:rsid w:val="0018096F"/>
    <w:rsid w:val="00183E8F"/>
    <w:rsid w:val="001863B3"/>
    <w:rsid w:val="00187C55"/>
    <w:rsid w:val="00191C54"/>
    <w:rsid w:val="00192804"/>
    <w:rsid w:val="00196157"/>
    <w:rsid w:val="001A2DAF"/>
    <w:rsid w:val="001B18E6"/>
    <w:rsid w:val="001B24B2"/>
    <w:rsid w:val="001C0249"/>
    <w:rsid w:val="001C1906"/>
    <w:rsid w:val="001C2890"/>
    <w:rsid w:val="001C2CD3"/>
    <w:rsid w:val="001D0936"/>
    <w:rsid w:val="001D0B7D"/>
    <w:rsid w:val="001D26FE"/>
    <w:rsid w:val="001D6CF7"/>
    <w:rsid w:val="001D78DF"/>
    <w:rsid w:val="001E151F"/>
    <w:rsid w:val="001E1E1D"/>
    <w:rsid w:val="001F0103"/>
    <w:rsid w:val="001F1ACD"/>
    <w:rsid w:val="001F23C0"/>
    <w:rsid w:val="001F2B23"/>
    <w:rsid w:val="001F5546"/>
    <w:rsid w:val="001F6F9A"/>
    <w:rsid w:val="00201EE7"/>
    <w:rsid w:val="002035FC"/>
    <w:rsid w:val="002036AF"/>
    <w:rsid w:val="00205FD1"/>
    <w:rsid w:val="0021339B"/>
    <w:rsid w:val="002170BD"/>
    <w:rsid w:val="00220158"/>
    <w:rsid w:val="00225826"/>
    <w:rsid w:val="00225E90"/>
    <w:rsid w:val="002260F7"/>
    <w:rsid w:val="00237A2B"/>
    <w:rsid w:val="0024165A"/>
    <w:rsid w:val="002425C0"/>
    <w:rsid w:val="002466D9"/>
    <w:rsid w:val="00246B73"/>
    <w:rsid w:val="00246D08"/>
    <w:rsid w:val="00257526"/>
    <w:rsid w:val="002600EC"/>
    <w:rsid w:val="00260157"/>
    <w:rsid w:val="00261266"/>
    <w:rsid w:val="002614B7"/>
    <w:rsid w:val="0026384D"/>
    <w:rsid w:val="00265E01"/>
    <w:rsid w:val="002726E9"/>
    <w:rsid w:val="00275CA1"/>
    <w:rsid w:val="00276A83"/>
    <w:rsid w:val="00286368"/>
    <w:rsid w:val="00287416"/>
    <w:rsid w:val="00287ACD"/>
    <w:rsid w:val="00291CD1"/>
    <w:rsid w:val="00291DE1"/>
    <w:rsid w:val="00292D36"/>
    <w:rsid w:val="00296E8A"/>
    <w:rsid w:val="002A35F1"/>
    <w:rsid w:val="002A3F0A"/>
    <w:rsid w:val="002A446A"/>
    <w:rsid w:val="002B2122"/>
    <w:rsid w:val="002B629E"/>
    <w:rsid w:val="002C1F73"/>
    <w:rsid w:val="002C2995"/>
    <w:rsid w:val="002C53ED"/>
    <w:rsid w:val="002C7229"/>
    <w:rsid w:val="002D392C"/>
    <w:rsid w:val="002D5B8A"/>
    <w:rsid w:val="002D71C6"/>
    <w:rsid w:val="002D7A01"/>
    <w:rsid w:val="002E1112"/>
    <w:rsid w:val="002E1BF5"/>
    <w:rsid w:val="002E27C1"/>
    <w:rsid w:val="002E717B"/>
    <w:rsid w:val="002E7B09"/>
    <w:rsid w:val="002F6BAD"/>
    <w:rsid w:val="00300572"/>
    <w:rsid w:val="00300980"/>
    <w:rsid w:val="00300C20"/>
    <w:rsid w:val="00301B7D"/>
    <w:rsid w:val="003024E6"/>
    <w:rsid w:val="0030382E"/>
    <w:rsid w:val="00304ACE"/>
    <w:rsid w:val="00307D35"/>
    <w:rsid w:val="00312B6F"/>
    <w:rsid w:val="00322E50"/>
    <w:rsid w:val="00324DFE"/>
    <w:rsid w:val="0032736A"/>
    <w:rsid w:val="0033007B"/>
    <w:rsid w:val="0033353D"/>
    <w:rsid w:val="00336C74"/>
    <w:rsid w:val="003411F8"/>
    <w:rsid w:val="00345B86"/>
    <w:rsid w:val="00353D6E"/>
    <w:rsid w:val="00355489"/>
    <w:rsid w:val="003576DC"/>
    <w:rsid w:val="003613ED"/>
    <w:rsid w:val="00362F27"/>
    <w:rsid w:val="00363027"/>
    <w:rsid w:val="003661C8"/>
    <w:rsid w:val="0037097B"/>
    <w:rsid w:val="00374951"/>
    <w:rsid w:val="0037553F"/>
    <w:rsid w:val="00380E76"/>
    <w:rsid w:val="003832EA"/>
    <w:rsid w:val="00383EF9"/>
    <w:rsid w:val="0038400E"/>
    <w:rsid w:val="00385CD4"/>
    <w:rsid w:val="003875D4"/>
    <w:rsid w:val="003A20E9"/>
    <w:rsid w:val="003B0E03"/>
    <w:rsid w:val="003B415F"/>
    <w:rsid w:val="003B649C"/>
    <w:rsid w:val="003B7622"/>
    <w:rsid w:val="003C799A"/>
    <w:rsid w:val="003D0485"/>
    <w:rsid w:val="003D4880"/>
    <w:rsid w:val="003D4CA6"/>
    <w:rsid w:val="003E0C82"/>
    <w:rsid w:val="003E3BD6"/>
    <w:rsid w:val="003E4C22"/>
    <w:rsid w:val="003E5151"/>
    <w:rsid w:val="003F0FD7"/>
    <w:rsid w:val="003F1F24"/>
    <w:rsid w:val="003F2E55"/>
    <w:rsid w:val="003F3ADE"/>
    <w:rsid w:val="003F5EFF"/>
    <w:rsid w:val="00405937"/>
    <w:rsid w:val="00406414"/>
    <w:rsid w:val="00406B0D"/>
    <w:rsid w:val="004204B7"/>
    <w:rsid w:val="00420787"/>
    <w:rsid w:val="00421226"/>
    <w:rsid w:val="00422B62"/>
    <w:rsid w:val="00430577"/>
    <w:rsid w:val="0043486A"/>
    <w:rsid w:val="0043704B"/>
    <w:rsid w:val="00437487"/>
    <w:rsid w:val="004375D2"/>
    <w:rsid w:val="004414DA"/>
    <w:rsid w:val="00441E33"/>
    <w:rsid w:val="00445CB9"/>
    <w:rsid w:val="00452915"/>
    <w:rsid w:val="00452F84"/>
    <w:rsid w:val="00462E07"/>
    <w:rsid w:val="00462FE6"/>
    <w:rsid w:val="00466006"/>
    <w:rsid w:val="004720E5"/>
    <w:rsid w:val="00472354"/>
    <w:rsid w:val="00474F61"/>
    <w:rsid w:val="004762A4"/>
    <w:rsid w:val="004766E6"/>
    <w:rsid w:val="00483A5D"/>
    <w:rsid w:val="0048493A"/>
    <w:rsid w:val="0048577B"/>
    <w:rsid w:val="00487505"/>
    <w:rsid w:val="004875A7"/>
    <w:rsid w:val="00487BEB"/>
    <w:rsid w:val="00493BDD"/>
    <w:rsid w:val="00493F50"/>
    <w:rsid w:val="004A05C6"/>
    <w:rsid w:val="004A10C2"/>
    <w:rsid w:val="004A269A"/>
    <w:rsid w:val="004A4CA6"/>
    <w:rsid w:val="004B250C"/>
    <w:rsid w:val="004B5930"/>
    <w:rsid w:val="004B6771"/>
    <w:rsid w:val="004C0BA1"/>
    <w:rsid w:val="004C26CA"/>
    <w:rsid w:val="004C4BB3"/>
    <w:rsid w:val="004C7A34"/>
    <w:rsid w:val="004C7A3E"/>
    <w:rsid w:val="004D1608"/>
    <w:rsid w:val="004D48D3"/>
    <w:rsid w:val="004E42CC"/>
    <w:rsid w:val="004F084F"/>
    <w:rsid w:val="004F15A7"/>
    <w:rsid w:val="004F3666"/>
    <w:rsid w:val="004F398C"/>
    <w:rsid w:val="0050072F"/>
    <w:rsid w:val="00500F67"/>
    <w:rsid w:val="00503F4A"/>
    <w:rsid w:val="00504604"/>
    <w:rsid w:val="005051DB"/>
    <w:rsid w:val="005078D1"/>
    <w:rsid w:val="0051727D"/>
    <w:rsid w:val="005200E3"/>
    <w:rsid w:val="00526840"/>
    <w:rsid w:val="00536C9D"/>
    <w:rsid w:val="0054131A"/>
    <w:rsid w:val="00541C06"/>
    <w:rsid w:val="00547AEE"/>
    <w:rsid w:val="00547C58"/>
    <w:rsid w:val="00550029"/>
    <w:rsid w:val="005524D5"/>
    <w:rsid w:val="0055570F"/>
    <w:rsid w:val="00555AB6"/>
    <w:rsid w:val="00563353"/>
    <w:rsid w:val="00564DD5"/>
    <w:rsid w:val="00565651"/>
    <w:rsid w:val="00570D2D"/>
    <w:rsid w:val="0057288F"/>
    <w:rsid w:val="00574B96"/>
    <w:rsid w:val="0057641F"/>
    <w:rsid w:val="00576F4A"/>
    <w:rsid w:val="00580C04"/>
    <w:rsid w:val="00583AD2"/>
    <w:rsid w:val="00583D79"/>
    <w:rsid w:val="005842A0"/>
    <w:rsid w:val="00592496"/>
    <w:rsid w:val="00593D31"/>
    <w:rsid w:val="00595AF0"/>
    <w:rsid w:val="005A2906"/>
    <w:rsid w:val="005A4771"/>
    <w:rsid w:val="005A6F86"/>
    <w:rsid w:val="005B0739"/>
    <w:rsid w:val="005B2CAE"/>
    <w:rsid w:val="005B2FE9"/>
    <w:rsid w:val="005B3043"/>
    <w:rsid w:val="005B50DA"/>
    <w:rsid w:val="005B7A7F"/>
    <w:rsid w:val="005C0B14"/>
    <w:rsid w:val="005C2184"/>
    <w:rsid w:val="005C2DCB"/>
    <w:rsid w:val="005C42A4"/>
    <w:rsid w:val="005C5308"/>
    <w:rsid w:val="005C5A9D"/>
    <w:rsid w:val="005C5B48"/>
    <w:rsid w:val="005D0883"/>
    <w:rsid w:val="005D092D"/>
    <w:rsid w:val="005D4CA5"/>
    <w:rsid w:val="005D751D"/>
    <w:rsid w:val="005F0CBD"/>
    <w:rsid w:val="005F762B"/>
    <w:rsid w:val="0060457B"/>
    <w:rsid w:val="00605410"/>
    <w:rsid w:val="00607F43"/>
    <w:rsid w:val="00610162"/>
    <w:rsid w:val="006110FA"/>
    <w:rsid w:val="00612A51"/>
    <w:rsid w:val="00620D81"/>
    <w:rsid w:val="00622257"/>
    <w:rsid w:val="0062432D"/>
    <w:rsid w:val="00624533"/>
    <w:rsid w:val="00626BB0"/>
    <w:rsid w:val="00630BD9"/>
    <w:rsid w:val="00633B7E"/>
    <w:rsid w:val="00633B82"/>
    <w:rsid w:val="0064285C"/>
    <w:rsid w:val="0064308A"/>
    <w:rsid w:val="006436C7"/>
    <w:rsid w:val="00643C66"/>
    <w:rsid w:val="00645657"/>
    <w:rsid w:val="006458A7"/>
    <w:rsid w:val="00646716"/>
    <w:rsid w:val="00647759"/>
    <w:rsid w:val="00647A9B"/>
    <w:rsid w:val="00661C0B"/>
    <w:rsid w:val="006648A0"/>
    <w:rsid w:val="00667D54"/>
    <w:rsid w:val="006878C3"/>
    <w:rsid w:val="006918C5"/>
    <w:rsid w:val="006940E8"/>
    <w:rsid w:val="006942BF"/>
    <w:rsid w:val="006A09B3"/>
    <w:rsid w:val="006A139B"/>
    <w:rsid w:val="006A601B"/>
    <w:rsid w:val="006B16E9"/>
    <w:rsid w:val="006B3822"/>
    <w:rsid w:val="006C4E71"/>
    <w:rsid w:val="006C6323"/>
    <w:rsid w:val="006D2D09"/>
    <w:rsid w:val="006E0150"/>
    <w:rsid w:val="006E2794"/>
    <w:rsid w:val="006E399D"/>
    <w:rsid w:val="006E5DC0"/>
    <w:rsid w:val="006F6744"/>
    <w:rsid w:val="00700358"/>
    <w:rsid w:val="00700397"/>
    <w:rsid w:val="00703144"/>
    <w:rsid w:val="00704EAB"/>
    <w:rsid w:val="007062E8"/>
    <w:rsid w:val="00706B57"/>
    <w:rsid w:val="007106E7"/>
    <w:rsid w:val="00710BA7"/>
    <w:rsid w:val="00715DCC"/>
    <w:rsid w:val="0072097A"/>
    <w:rsid w:val="00720C44"/>
    <w:rsid w:val="00726A7B"/>
    <w:rsid w:val="00734AD2"/>
    <w:rsid w:val="0073507B"/>
    <w:rsid w:val="0073681B"/>
    <w:rsid w:val="007405DB"/>
    <w:rsid w:val="00740813"/>
    <w:rsid w:val="007416E5"/>
    <w:rsid w:val="00742173"/>
    <w:rsid w:val="007437FC"/>
    <w:rsid w:val="0074749E"/>
    <w:rsid w:val="00754BDB"/>
    <w:rsid w:val="00754DBC"/>
    <w:rsid w:val="0075626B"/>
    <w:rsid w:val="00756889"/>
    <w:rsid w:val="007661D4"/>
    <w:rsid w:val="00766449"/>
    <w:rsid w:val="00767A64"/>
    <w:rsid w:val="00770071"/>
    <w:rsid w:val="00771030"/>
    <w:rsid w:val="007716C1"/>
    <w:rsid w:val="007718FF"/>
    <w:rsid w:val="00771F1D"/>
    <w:rsid w:val="00772D0D"/>
    <w:rsid w:val="007814B1"/>
    <w:rsid w:val="0078364F"/>
    <w:rsid w:val="00783CF7"/>
    <w:rsid w:val="00790006"/>
    <w:rsid w:val="00790246"/>
    <w:rsid w:val="007A3D61"/>
    <w:rsid w:val="007A442E"/>
    <w:rsid w:val="007A5AE4"/>
    <w:rsid w:val="007A5DF5"/>
    <w:rsid w:val="007B0368"/>
    <w:rsid w:val="007B0578"/>
    <w:rsid w:val="007B11DB"/>
    <w:rsid w:val="007B19CE"/>
    <w:rsid w:val="007B4661"/>
    <w:rsid w:val="007B4F07"/>
    <w:rsid w:val="007B680E"/>
    <w:rsid w:val="007C092A"/>
    <w:rsid w:val="007C0DDA"/>
    <w:rsid w:val="007C3387"/>
    <w:rsid w:val="007D24E1"/>
    <w:rsid w:val="007E18AB"/>
    <w:rsid w:val="007E4A0F"/>
    <w:rsid w:val="007E5AC7"/>
    <w:rsid w:val="007E676D"/>
    <w:rsid w:val="007E71D6"/>
    <w:rsid w:val="007E74E5"/>
    <w:rsid w:val="007F29F3"/>
    <w:rsid w:val="007F63C4"/>
    <w:rsid w:val="007F6637"/>
    <w:rsid w:val="008012EC"/>
    <w:rsid w:val="00813F06"/>
    <w:rsid w:val="008159E2"/>
    <w:rsid w:val="00822B85"/>
    <w:rsid w:val="00830C86"/>
    <w:rsid w:val="00832196"/>
    <w:rsid w:val="00845C13"/>
    <w:rsid w:val="0085188F"/>
    <w:rsid w:val="00863272"/>
    <w:rsid w:val="008660BE"/>
    <w:rsid w:val="008702A7"/>
    <w:rsid w:val="00872AF4"/>
    <w:rsid w:val="00875FF5"/>
    <w:rsid w:val="00884D65"/>
    <w:rsid w:val="008851FA"/>
    <w:rsid w:val="00886C5D"/>
    <w:rsid w:val="00887780"/>
    <w:rsid w:val="008A213B"/>
    <w:rsid w:val="008A4AE4"/>
    <w:rsid w:val="008A4FA8"/>
    <w:rsid w:val="008A6704"/>
    <w:rsid w:val="008A6C51"/>
    <w:rsid w:val="008B00AA"/>
    <w:rsid w:val="008C2405"/>
    <w:rsid w:val="008C30A5"/>
    <w:rsid w:val="008C6182"/>
    <w:rsid w:val="008D4139"/>
    <w:rsid w:val="008D70F1"/>
    <w:rsid w:val="008E15AF"/>
    <w:rsid w:val="008E74E4"/>
    <w:rsid w:val="008F075D"/>
    <w:rsid w:val="008F7E5E"/>
    <w:rsid w:val="00900855"/>
    <w:rsid w:val="00903A1D"/>
    <w:rsid w:val="00906989"/>
    <w:rsid w:val="00916354"/>
    <w:rsid w:val="00917879"/>
    <w:rsid w:val="00927CA6"/>
    <w:rsid w:val="00931FD4"/>
    <w:rsid w:val="00935346"/>
    <w:rsid w:val="0093566D"/>
    <w:rsid w:val="009366A6"/>
    <w:rsid w:val="00937C7B"/>
    <w:rsid w:val="0095025E"/>
    <w:rsid w:val="00960F8D"/>
    <w:rsid w:val="00966C78"/>
    <w:rsid w:val="00966D4D"/>
    <w:rsid w:val="00970137"/>
    <w:rsid w:val="009710DD"/>
    <w:rsid w:val="00972008"/>
    <w:rsid w:val="00977573"/>
    <w:rsid w:val="00981CF4"/>
    <w:rsid w:val="00981EC4"/>
    <w:rsid w:val="00984EA1"/>
    <w:rsid w:val="00985939"/>
    <w:rsid w:val="009868BA"/>
    <w:rsid w:val="00990993"/>
    <w:rsid w:val="009923A4"/>
    <w:rsid w:val="0099659F"/>
    <w:rsid w:val="009A4258"/>
    <w:rsid w:val="009A45D8"/>
    <w:rsid w:val="009A5A75"/>
    <w:rsid w:val="009B0168"/>
    <w:rsid w:val="009B58C2"/>
    <w:rsid w:val="009B6375"/>
    <w:rsid w:val="009C0BF2"/>
    <w:rsid w:val="009C137F"/>
    <w:rsid w:val="009C3907"/>
    <w:rsid w:val="009C562B"/>
    <w:rsid w:val="009D0024"/>
    <w:rsid w:val="009D29E9"/>
    <w:rsid w:val="009D50FD"/>
    <w:rsid w:val="009D5BC8"/>
    <w:rsid w:val="009D72E0"/>
    <w:rsid w:val="009E0555"/>
    <w:rsid w:val="009E0E53"/>
    <w:rsid w:val="009E1532"/>
    <w:rsid w:val="009E582B"/>
    <w:rsid w:val="009E6A6E"/>
    <w:rsid w:val="009F09DF"/>
    <w:rsid w:val="009F3549"/>
    <w:rsid w:val="009F4D36"/>
    <w:rsid w:val="00A02599"/>
    <w:rsid w:val="00A02D08"/>
    <w:rsid w:val="00A02EDA"/>
    <w:rsid w:val="00A04794"/>
    <w:rsid w:val="00A053E8"/>
    <w:rsid w:val="00A06FC5"/>
    <w:rsid w:val="00A21537"/>
    <w:rsid w:val="00A225ED"/>
    <w:rsid w:val="00A22737"/>
    <w:rsid w:val="00A227DC"/>
    <w:rsid w:val="00A2327B"/>
    <w:rsid w:val="00A26350"/>
    <w:rsid w:val="00A26DC9"/>
    <w:rsid w:val="00A34BF5"/>
    <w:rsid w:val="00A372FA"/>
    <w:rsid w:val="00A40915"/>
    <w:rsid w:val="00A4373A"/>
    <w:rsid w:val="00A46A2B"/>
    <w:rsid w:val="00A500DF"/>
    <w:rsid w:val="00A6002A"/>
    <w:rsid w:val="00A6548C"/>
    <w:rsid w:val="00A7344A"/>
    <w:rsid w:val="00A76E4C"/>
    <w:rsid w:val="00A85FFE"/>
    <w:rsid w:val="00A86AE1"/>
    <w:rsid w:val="00A9304C"/>
    <w:rsid w:val="00A966A3"/>
    <w:rsid w:val="00A97721"/>
    <w:rsid w:val="00AA20E9"/>
    <w:rsid w:val="00AA5A84"/>
    <w:rsid w:val="00AB0C12"/>
    <w:rsid w:val="00AB2E0C"/>
    <w:rsid w:val="00AB7EC9"/>
    <w:rsid w:val="00AC126E"/>
    <w:rsid w:val="00AC24E9"/>
    <w:rsid w:val="00AC67EE"/>
    <w:rsid w:val="00AD0E2C"/>
    <w:rsid w:val="00AD5733"/>
    <w:rsid w:val="00AD5FC3"/>
    <w:rsid w:val="00AD694C"/>
    <w:rsid w:val="00AE0A02"/>
    <w:rsid w:val="00AE0D2F"/>
    <w:rsid w:val="00AE3991"/>
    <w:rsid w:val="00AE3C48"/>
    <w:rsid w:val="00AE3E37"/>
    <w:rsid w:val="00AE4AD8"/>
    <w:rsid w:val="00AF1AE1"/>
    <w:rsid w:val="00AF2B5B"/>
    <w:rsid w:val="00AF4E8A"/>
    <w:rsid w:val="00AF65EE"/>
    <w:rsid w:val="00B020D7"/>
    <w:rsid w:val="00B06A65"/>
    <w:rsid w:val="00B06DE8"/>
    <w:rsid w:val="00B06E84"/>
    <w:rsid w:val="00B10EA3"/>
    <w:rsid w:val="00B1281A"/>
    <w:rsid w:val="00B175D5"/>
    <w:rsid w:val="00B179AC"/>
    <w:rsid w:val="00B34F99"/>
    <w:rsid w:val="00B35678"/>
    <w:rsid w:val="00B432D8"/>
    <w:rsid w:val="00B43632"/>
    <w:rsid w:val="00B44D16"/>
    <w:rsid w:val="00B478A9"/>
    <w:rsid w:val="00B5356F"/>
    <w:rsid w:val="00B547AB"/>
    <w:rsid w:val="00B549E2"/>
    <w:rsid w:val="00B554DC"/>
    <w:rsid w:val="00B55EA1"/>
    <w:rsid w:val="00B56331"/>
    <w:rsid w:val="00B60507"/>
    <w:rsid w:val="00B61345"/>
    <w:rsid w:val="00B65047"/>
    <w:rsid w:val="00B70AC4"/>
    <w:rsid w:val="00B7110F"/>
    <w:rsid w:val="00B75089"/>
    <w:rsid w:val="00B77795"/>
    <w:rsid w:val="00B779A9"/>
    <w:rsid w:val="00B77C3C"/>
    <w:rsid w:val="00B829DE"/>
    <w:rsid w:val="00B82A05"/>
    <w:rsid w:val="00B83DF8"/>
    <w:rsid w:val="00B87722"/>
    <w:rsid w:val="00B9263F"/>
    <w:rsid w:val="00B927F3"/>
    <w:rsid w:val="00B97F8A"/>
    <w:rsid w:val="00BA0137"/>
    <w:rsid w:val="00BA0E06"/>
    <w:rsid w:val="00BA4160"/>
    <w:rsid w:val="00BA720D"/>
    <w:rsid w:val="00BB0D2F"/>
    <w:rsid w:val="00BB1585"/>
    <w:rsid w:val="00BB16BF"/>
    <w:rsid w:val="00BB6B9A"/>
    <w:rsid w:val="00BC18A9"/>
    <w:rsid w:val="00BC59A0"/>
    <w:rsid w:val="00BC5AF6"/>
    <w:rsid w:val="00BC5DCE"/>
    <w:rsid w:val="00BC7F7E"/>
    <w:rsid w:val="00BD1539"/>
    <w:rsid w:val="00BD2A30"/>
    <w:rsid w:val="00BD3028"/>
    <w:rsid w:val="00BD5DCD"/>
    <w:rsid w:val="00BD753F"/>
    <w:rsid w:val="00BD76C1"/>
    <w:rsid w:val="00BE513E"/>
    <w:rsid w:val="00BE6038"/>
    <w:rsid w:val="00BF039B"/>
    <w:rsid w:val="00BF1042"/>
    <w:rsid w:val="00BF2E74"/>
    <w:rsid w:val="00BF4CF3"/>
    <w:rsid w:val="00BF582E"/>
    <w:rsid w:val="00BF62AF"/>
    <w:rsid w:val="00C03425"/>
    <w:rsid w:val="00C0501B"/>
    <w:rsid w:val="00C05387"/>
    <w:rsid w:val="00C075B4"/>
    <w:rsid w:val="00C1210E"/>
    <w:rsid w:val="00C12A20"/>
    <w:rsid w:val="00C12CE8"/>
    <w:rsid w:val="00C13BE3"/>
    <w:rsid w:val="00C2066F"/>
    <w:rsid w:val="00C2089E"/>
    <w:rsid w:val="00C23E93"/>
    <w:rsid w:val="00C30513"/>
    <w:rsid w:val="00C326BD"/>
    <w:rsid w:val="00C35A72"/>
    <w:rsid w:val="00C40FA0"/>
    <w:rsid w:val="00C46075"/>
    <w:rsid w:val="00C4651B"/>
    <w:rsid w:val="00C5242B"/>
    <w:rsid w:val="00C56972"/>
    <w:rsid w:val="00C61AD2"/>
    <w:rsid w:val="00C63199"/>
    <w:rsid w:val="00C642C7"/>
    <w:rsid w:val="00C65775"/>
    <w:rsid w:val="00C65A5A"/>
    <w:rsid w:val="00C6665E"/>
    <w:rsid w:val="00C73003"/>
    <w:rsid w:val="00C8266A"/>
    <w:rsid w:val="00C8357F"/>
    <w:rsid w:val="00C83E5E"/>
    <w:rsid w:val="00C855E7"/>
    <w:rsid w:val="00C90E20"/>
    <w:rsid w:val="00C91497"/>
    <w:rsid w:val="00CA079D"/>
    <w:rsid w:val="00CA1420"/>
    <w:rsid w:val="00CA5265"/>
    <w:rsid w:val="00CB11E8"/>
    <w:rsid w:val="00CB2491"/>
    <w:rsid w:val="00CB6465"/>
    <w:rsid w:val="00CC4088"/>
    <w:rsid w:val="00CC485C"/>
    <w:rsid w:val="00CC53C7"/>
    <w:rsid w:val="00CD4C6A"/>
    <w:rsid w:val="00CD6079"/>
    <w:rsid w:val="00CE03EF"/>
    <w:rsid w:val="00CE426A"/>
    <w:rsid w:val="00CF2EFF"/>
    <w:rsid w:val="00CF32CD"/>
    <w:rsid w:val="00CF691E"/>
    <w:rsid w:val="00D01E0C"/>
    <w:rsid w:val="00D04681"/>
    <w:rsid w:val="00D04878"/>
    <w:rsid w:val="00D05B65"/>
    <w:rsid w:val="00D06514"/>
    <w:rsid w:val="00D10962"/>
    <w:rsid w:val="00D121DA"/>
    <w:rsid w:val="00D12F72"/>
    <w:rsid w:val="00D13260"/>
    <w:rsid w:val="00D144C7"/>
    <w:rsid w:val="00D14669"/>
    <w:rsid w:val="00D14913"/>
    <w:rsid w:val="00D149C0"/>
    <w:rsid w:val="00D16D8D"/>
    <w:rsid w:val="00D2250A"/>
    <w:rsid w:val="00D26828"/>
    <w:rsid w:val="00D26AE6"/>
    <w:rsid w:val="00D271A0"/>
    <w:rsid w:val="00D31D2B"/>
    <w:rsid w:val="00D33441"/>
    <w:rsid w:val="00D33F1E"/>
    <w:rsid w:val="00D342CD"/>
    <w:rsid w:val="00D35297"/>
    <w:rsid w:val="00D526EC"/>
    <w:rsid w:val="00D5419D"/>
    <w:rsid w:val="00D632AB"/>
    <w:rsid w:val="00D63352"/>
    <w:rsid w:val="00D647B4"/>
    <w:rsid w:val="00D70C40"/>
    <w:rsid w:val="00D71B13"/>
    <w:rsid w:val="00D75199"/>
    <w:rsid w:val="00D753DA"/>
    <w:rsid w:val="00D7611D"/>
    <w:rsid w:val="00D82A70"/>
    <w:rsid w:val="00D83F35"/>
    <w:rsid w:val="00D84271"/>
    <w:rsid w:val="00D844A6"/>
    <w:rsid w:val="00D85DE7"/>
    <w:rsid w:val="00DA16D3"/>
    <w:rsid w:val="00DA5BA2"/>
    <w:rsid w:val="00DB126A"/>
    <w:rsid w:val="00DB12A9"/>
    <w:rsid w:val="00DB26BF"/>
    <w:rsid w:val="00DB79F5"/>
    <w:rsid w:val="00DB7E06"/>
    <w:rsid w:val="00DC0E9F"/>
    <w:rsid w:val="00DC34E8"/>
    <w:rsid w:val="00DC3538"/>
    <w:rsid w:val="00DC4C48"/>
    <w:rsid w:val="00DC6A67"/>
    <w:rsid w:val="00DD3CBA"/>
    <w:rsid w:val="00DD3F41"/>
    <w:rsid w:val="00DD715B"/>
    <w:rsid w:val="00DE0BB0"/>
    <w:rsid w:val="00DE19A0"/>
    <w:rsid w:val="00DE4104"/>
    <w:rsid w:val="00DE4498"/>
    <w:rsid w:val="00DE48C8"/>
    <w:rsid w:val="00DE4B0D"/>
    <w:rsid w:val="00DE52F6"/>
    <w:rsid w:val="00DF0175"/>
    <w:rsid w:val="00DF2FAD"/>
    <w:rsid w:val="00DF3308"/>
    <w:rsid w:val="00DF6D8C"/>
    <w:rsid w:val="00E0201E"/>
    <w:rsid w:val="00E02BC7"/>
    <w:rsid w:val="00E033BA"/>
    <w:rsid w:val="00E067D0"/>
    <w:rsid w:val="00E14AE0"/>
    <w:rsid w:val="00E15B9B"/>
    <w:rsid w:val="00E1685D"/>
    <w:rsid w:val="00E25770"/>
    <w:rsid w:val="00E2645A"/>
    <w:rsid w:val="00E27448"/>
    <w:rsid w:val="00E415AC"/>
    <w:rsid w:val="00E44F8F"/>
    <w:rsid w:val="00E466C5"/>
    <w:rsid w:val="00E46C08"/>
    <w:rsid w:val="00E479B3"/>
    <w:rsid w:val="00E50117"/>
    <w:rsid w:val="00E51085"/>
    <w:rsid w:val="00E53A67"/>
    <w:rsid w:val="00E6169A"/>
    <w:rsid w:val="00E6203B"/>
    <w:rsid w:val="00E6291F"/>
    <w:rsid w:val="00E6352C"/>
    <w:rsid w:val="00E63D49"/>
    <w:rsid w:val="00E72083"/>
    <w:rsid w:val="00E73247"/>
    <w:rsid w:val="00E762A3"/>
    <w:rsid w:val="00E8254B"/>
    <w:rsid w:val="00E850D7"/>
    <w:rsid w:val="00E87746"/>
    <w:rsid w:val="00E93651"/>
    <w:rsid w:val="00EA2F4D"/>
    <w:rsid w:val="00EA5F96"/>
    <w:rsid w:val="00EB237D"/>
    <w:rsid w:val="00EB3A37"/>
    <w:rsid w:val="00EB68B2"/>
    <w:rsid w:val="00EC0670"/>
    <w:rsid w:val="00EC4B0E"/>
    <w:rsid w:val="00EC51D4"/>
    <w:rsid w:val="00EE0991"/>
    <w:rsid w:val="00EE141C"/>
    <w:rsid w:val="00EE1CA5"/>
    <w:rsid w:val="00EE34FF"/>
    <w:rsid w:val="00EE40B4"/>
    <w:rsid w:val="00EE4C22"/>
    <w:rsid w:val="00EE534B"/>
    <w:rsid w:val="00EF09AE"/>
    <w:rsid w:val="00EF20CE"/>
    <w:rsid w:val="00EF32DD"/>
    <w:rsid w:val="00EF3FE5"/>
    <w:rsid w:val="00EF7FC6"/>
    <w:rsid w:val="00F01DDC"/>
    <w:rsid w:val="00F0202E"/>
    <w:rsid w:val="00F04E5B"/>
    <w:rsid w:val="00F06B6F"/>
    <w:rsid w:val="00F07571"/>
    <w:rsid w:val="00F11CA0"/>
    <w:rsid w:val="00F12E2D"/>
    <w:rsid w:val="00F12FCD"/>
    <w:rsid w:val="00F1362E"/>
    <w:rsid w:val="00F15241"/>
    <w:rsid w:val="00F15347"/>
    <w:rsid w:val="00F16A26"/>
    <w:rsid w:val="00F16EA7"/>
    <w:rsid w:val="00F20F2E"/>
    <w:rsid w:val="00F2315B"/>
    <w:rsid w:val="00F25D23"/>
    <w:rsid w:val="00F402B8"/>
    <w:rsid w:val="00F408DD"/>
    <w:rsid w:val="00F46C51"/>
    <w:rsid w:val="00F47DBB"/>
    <w:rsid w:val="00F5524C"/>
    <w:rsid w:val="00F601F8"/>
    <w:rsid w:val="00F60803"/>
    <w:rsid w:val="00F621A4"/>
    <w:rsid w:val="00F64F6E"/>
    <w:rsid w:val="00F66513"/>
    <w:rsid w:val="00F72058"/>
    <w:rsid w:val="00F7447A"/>
    <w:rsid w:val="00F75411"/>
    <w:rsid w:val="00F765B1"/>
    <w:rsid w:val="00F76ED3"/>
    <w:rsid w:val="00F802EC"/>
    <w:rsid w:val="00F804F1"/>
    <w:rsid w:val="00F80B9D"/>
    <w:rsid w:val="00F826CC"/>
    <w:rsid w:val="00F83DF8"/>
    <w:rsid w:val="00F8481D"/>
    <w:rsid w:val="00F8666D"/>
    <w:rsid w:val="00F87D0A"/>
    <w:rsid w:val="00F94DC5"/>
    <w:rsid w:val="00F9558D"/>
    <w:rsid w:val="00F968E1"/>
    <w:rsid w:val="00F96F65"/>
    <w:rsid w:val="00FA0DB0"/>
    <w:rsid w:val="00FA7B67"/>
    <w:rsid w:val="00FB0691"/>
    <w:rsid w:val="00FB251D"/>
    <w:rsid w:val="00FB2940"/>
    <w:rsid w:val="00FB4EA0"/>
    <w:rsid w:val="00FC33F9"/>
    <w:rsid w:val="00FC5CEA"/>
    <w:rsid w:val="00FD008D"/>
    <w:rsid w:val="00FD40B2"/>
    <w:rsid w:val="00FD6851"/>
    <w:rsid w:val="00FE1C92"/>
    <w:rsid w:val="00FE270C"/>
    <w:rsid w:val="00FE5FB0"/>
    <w:rsid w:val="00FF5C5E"/>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37"/>
    <w:rPr>
      <w:snapToGrid w:val="0"/>
      <w:sz w:val="24"/>
    </w:rPr>
  </w:style>
  <w:style w:type="paragraph" w:styleId="Heading1">
    <w:name w:val="heading 1"/>
    <w:basedOn w:val="Normal"/>
    <w:next w:val="Normal"/>
    <w:qFormat/>
    <w:rsid w:val="00E2645A"/>
    <w:pPr>
      <w:keepNext/>
      <w:tabs>
        <w:tab w:val="left" w:pos="720"/>
        <w:tab w:val="left" w:pos="1440"/>
      </w:tabs>
      <w:outlineLvl w:val="0"/>
    </w:pPr>
    <w:rPr>
      <w:rFonts w:ascii="Times" w:hAnsi="Times"/>
      <w:b/>
    </w:rPr>
  </w:style>
  <w:style w:type="paragraph" w:styleId="Heading3">
    <w:name w:val="heading 3"/>
    <w:basedOn w:val="Normal"/>
    <w:next w:val="Normal"/>
    <w:qFormat/>
    <w:rsid w:val="00E2645A"/>
    <w:pPr>
      <w:keepNext/>
      <w:tabs>
        <w:tab w:val="decimal" w:pos="-1440"/>
        <w:tab w:val="left" w:pos="360"/>
        <w:tab w:val="center" w:pos="2160"/>
        <w:tab w:val="center" w:pos="4320"/>
        <w:tab w:val="center" w:pos="6480"/>
        <w:tab w:val="center" w:pos="8640"/>
      </w:tabs>
      <w:outlineLvl w:val="2"/>
    </w:pPr>
    <w:rPr>
      <w:rFonts w:ascii="Times" w:hAnsi="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5937"/>
    <w:rPr>
      <w:vertAlign w:val="superscript"/>
    </w:rPr>
  </w:style>
  <w:style w:type="paragraph" w:styleId="Title">
    <w:name w:val="Title"/>
    <w:basedOn w:val="Normal"/>
    <w:qFormat/>
    <w:rsid w:val="00405937"/>
    <w:pPr>
      <w:tabs>
        <w:tab w:val="center" w:pos="4320"/>
      </w:tabs>
      <w:spacing w:line="287" w:lineRule="auto"/>
      <w:jc w:val="center"/>
    </w:pPr>
    <w:rPr>
      <w:smallCaps/>
      <w:sz w:val="32"/>
    </w:rPr>
  </w:style>
  <w:style w:type="paragraph" w:styleId="Header">
    <w:name w:val="header"/>
    <w:basedOn w:val="Normal"/>
    <w:link w:val="HeaderChar"/>
    <w:uiPriority w:val="99"/>
    <w:rsid w:val="00405937"/>
    <w:pPr>
      <w:tabs>
        <w:tab w:val="center" w:pos="4320"/>
        <w:tab w:val="right" w:pos="8640"/>
      </w:tabs>
    </w:pPr>
  </w:style>
  <w:style w:type="paragraph" w:styleId="Footer">
    <w:name w:val="footer"/>
    <w:basedOn w:val="Normal"/>
    <w:rsid w:val="00405937"/>
    <w:pPr>
      <w:tabs>
        <w:tab w:val="center" w:pos="4320"/>
        <w:tab w:val="right" w:pos="8640"/>
      </w:tabs>
    </w:pPr>
  </w:style>
  <w:style w:type="paragraph" w:styleId="BalloonText">
    <w:name w:val="Balloon Text"/>
    <w:basedOn w:val="Normal"/>
    <w:semiHidden/>
    <w:rsid w:val="006B16E9"/>
    <w:rPr>
      <w:rFonts w:ascii="Tahoma" w:hAnsi="Tahoma" w:cs="Tahoma"/>
      <w:sz w:val="16"/>
      <w:szCs w:val="16"/>
    </w:rPr>
  </w:style>
  <w:style w:type="table" w:styleId="TableGrid">
    <w:name w:val="Table Grid"/>
    <w:basedOn w:val="TableNormal"/>
    <w:rsid w:val="00485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075B4"/>
    <w:rPr>
      <w:sz w:val="20"/>
    </w:rPr>
  </w:style>
  <w:style w:type="character" w:styleId="CommentReference">
    <w:name w:val="annotation reference"/>
    <w:basedOn w:val="DefaultParagraphFont"/>
    <w:semiHidden/>
    <w:rsid w:val="00985939"/>
    <w:rPr>
      <w:sz w:val="16"/>
      <w:szCs w:val="16"/>
    </w:rPr>
  </w:style>
  <w:style w:type="paragraph" w:styleId="CommentText">
    <w:name w:val="annotation text"/>
    <w:basedOn w:val="Normal"/>
    <w:semiHidden/>
    <w:rsid w:val="00985939"/>
    <w:rPr>
      <w:sz w:val="20"/>
    </w:rPr>
  </w:style>
  <w:style w:type="paragraph" w:styleId="CommentSubject">
    <w:name w:val="annotation subject"/>
    <w:basedOn w:val="CommentText"/>
    <w:next w:val="CommentText"/>
    <w:semiHidden/>
    <w:rsid w:val="00985939"/>
    <w:rPr>
      <w:b/>
      <w:bCs/>
    </w:rPr>
  </w:style>
  <w:style w:type="paragraph" w:styleId="BodyTextIndent3">
    <w:name w:val="Body Text Indent 3"/>
    <w:basedOn w:val="Normal"/>
    <w:rsid w:val="002260F7"/>
    <w:pPr>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autoSpaceDE w:val="0"/>
      <w:autoSpaceDN w:val="0"/>
      <w:adjustRightInd w:val="0"/>
      <w:ind w:firstLine="1440"/>
    </w:pPr>
    <w:rPr>
      <w:rFonts w:ascii="Times" w:hAnsi="Times"/>
      <w:snapToGrid/>
      <w:szCs w:val="24"/>
    </w:rPr>
  </w:style>
  <w:style w:type="character" w:styleId="PageNumber">
    <w:name w:val="page number"/>
    <w:basedOn w:val="DefaultParagraphFont"/>
    <w:rsid w:val="00493BDD"/>
  </w:style>
  <w:style w:type="character" w:styleId="Hyperlink">
    <w:name w:val="Hyperlink"/>
    <w:basedOn w:val="DefaultParagraphFont"/>
    <w:rsid w:val="00D06514"/>
    <w:rPr>
      <w:color w:val="0000FF"/>
      <w:u w:val="single"/>
    </w:rPr>
  </w:style>
  <w:style w:type="character" w:customStyle="1" w:styleId="FootnoteTextChar">
    <w:name w:val="Footnote Text Char"/>
    <w:basedOn w:val="DefaultParagraphFont"/>
    <w:link w:val="FootnoteText"/>
    <w:semiHidden/>
    <w:rsid w:val="004A4CA6"/>
    <w:rPr>
      <w:snapToGrid w:val="0"/>
    </w:rPr>
  </w:style>
  <w:style w:type="paragraph" w:styleId="ListParagraph">
    <w:name w:val="List Paragraph"/>
    <w:basedOn w:val="Normal"/>
    <w:uiPriority w:val="34"/>
    <w:qFormat/>
    <w:rsid w:val="00D14669"/>
    <w:pPr>
      <w:ind w:left="720"/>
      <w:contextualSpacing/>
    </w:pPr>
  </w:style>
  <w:style w:type="paragraph" w:styleId="Revision">
    <w:name w:val="Revision"/>
    <w:hidden/>
    <w:uiPriority w:val="99"/>
    <w:semiHidden/>
    <w:rsid w:val="00F968E1"/>
    <w:rPr>
      <w:snapToGrid w:val="0"/>
      <w:sz w:val="24"/>
    </w:rPr>
  </w:style>
  <w:style w:type="character" w:customStyle="1" w:styleId="HeaderChar">
    <w:name w:val="Header Char"/>
    <w:basedOn w:val="DefaultParagraphFont"/>
    <w:link w:val="Header"/>
    <w:uiPriority w:val="99"/>
    <w:rsid w:val="005078D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37"/>
    <w:rPr>
      <w:snapToGrid w:val="0"/>
      <w:sz w:val="24"/>
    </w:rPr>
  </w:style>
  <w:style w:type="paragraph" w:styleId="Heading1">
    <w:name w:val="heading 1"/>
    <w:basedOn w:val="Normal"/>
    <w:next w:val="Normal"/>
    <w:qFormat/>
    <w:rsid w:val="00E2645A"/>
    <w:pPr>
      <w:keepNext/>
      <w:tabs>
        <w:tab w:val="left" w:pos="720"/>
        <w:tab w:val="left" w:pos="1440"/>
      </w:tabs>
      <w:outlineLvl w:val="0"/>
    </w:pPr>
    <w:rPr>
      <w:rFonts w:ascii="Times" w:hAnsi="Times"/>
      <w:b/>
    </w:rPr>
  </w:style>
  <w:style w:type="paragraph" w:styleId="Heading3">
    <w:name w:val="heading 3"/>
    <w:basedOn w:val="Normal"/>
    <w:next w:val="Normal"/>
    <w:qFormat/>
    <w:rsid w:val="00E2645A"/>
    <w:pPr>
      <w:keepNext/>
      <w:tabs>
        <w:tab w:val="decimal" w:pos="-1440"/>
        <w:tab w:val="left" w:pos="360"/>
        <w:tab w:val="center" w:pos="2160"/>
        <w:tab w:val="center" w:pos="4320"/>
        <w:tab w:val="center" w:pos="6480"/>
        <w:tab w:val="center" w:pos="8640"/>
      </w:tabs>
      <w:outlineLvl w:val="2"/>
    </w:pPr>
    <w:rPr>
      <w:rFonts w:ascii="Times" w:hAnsi="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5937"/>
    <w:rPr>
      <w:vertAlign w:val="superscript"/>
    </w:rPr>
  </w:style>
  <w:style w:type="paragraph" w:styleId="Title">
    <w:name w:val="Title"/>
    <w:basedOn w:val="Normal"/>
    <w:qFormat/>
    <w:rsid w:val="00405937"/>
    <w:pPr>
      <w:tabs>
        <w:tab w:val="center" w:pos="4320"/>
      </w:tabs>
      <w:spacing w:line="287" w:lineRule="auto"/>
      <w:jc w:val="center"/>
    </w:pPr>
    <w:rPr>
      <w:smallCaps/>
      <w:sz w:val="32"/>
    </w:rPr>
  </w:style>
  <w:style w:type="paragraph" w:styleId="Header">
    <w:name w:val="header"/>
    <w:basedOn w:val="Normal"/>
    <w:link w:val="HeaderChar"/>
    <w:uiPriority w:val="99"/>
    <w:rsid w:val="00405937"/>
    <w:pPr>
      <w:tabs>
        <w:tab w:val="center" w:pos="4320"/>
        <w:tab w:val="right" w:pos="8640"/>
      </w:tabs>
    </w:pPr>
  </w:style>
  <w:style w:type="paragraph" w:styleId="Footer">
    <w:name w:val="footer"/>
    <w:basedOn w:val="Normal"/>
    <w:rsid w:val="00405937"/>
    <w:pPr>
      <w:tabs>
        <w:tab w:val="center" w:pos="4320"/>
        <w:tab w:val="right" w:pos="8640"/>
      </w:tabs>
    </w:pPr>
  </w:style>
  <w:style w:type="paragraph" w:styleId="BalloonText">
    <w:name w:val="Balloon Text"/>
    <w:basedOn w:val="Normal"/>
    <w:semiHidden/>
    <w:rsid w:val="006B16E9"/>
    <w:rPr>
      <w:rFonts w:ascii="Tahoma" w:hAnsi="Tahoma" w:cs="Tahoma"/>
      <w:sz w:val="16"/>
      <w:szCs w:val="16"/>
    </w:rPr>
  </w:style>
  <w:style w:type="table" w:styleId="TableGrid">
    <w:name w:val="Table Grid"/>
    <w:basedOn w:val="TableNormal"/>
    <w:rsid w:val="00485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075B4"/>
    <w:rPr>
      <w:sz w:val="20"/>
    </w:rPr>
  </w:style>
  <w:style w:type="character" w:styleId="CommentReference">
    <w:name w:val="annotation reference"/>
    <w:basedOn w:val="DefaultParagraphFont"/>
    <w:semiHidden/>
    <w:rsid w:val="00985939"/>
    <w:rPr>
      <w:sz w:val="16"/>
      <w:szCs w:val="16"/>
    </w:rPr>
  </w:style>
  <w:style w:type="paragraph" w:styleId="CommentText">
    <w:name w:val="annotation text"/>
    <w:basedOn w:val="Normal"/>
    <w:semiHidden/>
    <w:rsid w:val="00985939"/>
    <w:rPr>
      <w:sz w:val="20"/>
    </w:rPr>
  </w:style>
  <w:style w:type="paragraph" w:styleId="CommentSubject">
    <w:name w:val="annotation subject"/>
    <w:basedOn w:val="CommentText"/>
    <w:next w:val="CommentText"/>
    <w:semiHidden/>
    <w:rsid w:val="00985939"/>
    <w:rPr>
      <w:b/>
      <w:bCs/>
    </w:rPr>
  </w:style>
  <w:style w:type="paragraph" w:styleId="BodyTextIndent3">
    <w:name w:val="Body Text Indent 3"/>
    <w:basedOn w:val="Normal"/>
    <w:rsid w:val="002260F7"/>
    <w:pPr>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autoSpaceDE w:val="0"/>
      <w:autoSpaceDN w:val="0"/>
      <w:adjustRightInd w:val="0"/>
      <w:ind w:firstLine="1440"/>
    </w:pPr>
    <w:rPr>
      <w:rFonts w:ascii="Times" w:hAnsi="Times"/>
      <w:snapToGrid/>
      <w:szCs w:val="24"/>
    </w:rPr>
  </w:style>
  <w:style w:type="character" w:styleId="PageNumber">
    <w:name w:val="page number"/>
    <w:basedOn w:val="DefaultParagraphFont"/>
    <w:rsid w:val="00493BDD"/>
  </w:style>
  <w:style w:type="character" w:styleId="Hyperlink">
    <w:name w:val="Hyperlink"/>
    <w:basedOn w:val="DefaultParagraphFont"/>
    <w:rsid w:val="00D06514"/>
    <w:rPr>
      <w:color w:val="0000FF"/>
      <w:u w:val="single"/>
    </w:rPr>
  </w:style>
  <w:style w:type="character" w:customStyle="1" w:styleId="FootnoteTextChar">
    <w:name w:val="Footnote Text Char"/>
    <w:basedOn w:val="DefaultParagraphFont"/>
    <w:link w:val="FootnoteText"/>
    <w:semiHidden/>
    <w:rsid w:val="004A4CA6"/>
    <w:rPr>
      <w:snapToGrid w:val="0"/>
    </w:rPr>
  </w:style>
  <w:style w:type="paragraph" w:styleId="ListParagraph">
    <w:name w:val="List Paragraph"/>
    <w:basedOn w:val="Normal"/>
    <w:uiPriority w:val="34"/>
    <w:qFormat/>
    <w:rsid w:val="00D14669"/>
    <w:pPr>
      <w:ind w:left="720"/>
      <w:contextualSpacing/>
    </w:pPr>
  </w:style>
  <w:style w:type="paragraph" w:styleId="Revision">
    <w:name w:val="Revision"/>
    <w:hidden/>
    <w:uiPriority w:val="99"/>
    <w:semiHidden/>
    <w:rsid w:val="00F968E1"/>
    <w:rPr>
      <w:snapToGrid w:val="0"/>
      <w:sz w:val="24"/>
    </w:rPr>
  </w:style>
  <w:style w:type="character" w:customStyle="1" w:styleId="HeaderChar">
    <w:name w:val="Header Char"/>
    <w:basedOn w:val="DefaultParagraphFont"/>
    <w:link w:val="Header"/>
    <w:uiPriority w:val="99"/>
    <w:rsid w:val="005078D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0472">
      <w:bodyDiv w:val="1"/>
      <w:marLeft w:val="0"/>
      <w:marRight w:val="0"/>
      <w:marTop w:val="0"/>
      <w:marBottom w:val="0"/>
      <w:divBdr>
        <w:top w:val="none" w:sz="0" w:space="0" w:color="auto"/>
        <w:left w:val="none" w:sz="0" w:space="0" w:color="auto"/>
        <w:bottom w:val="none" w:sz="0" w:space="0" w:color="auto"/>
        <w:right w:val="none" w:sz="0" w:space="0" w:color="auto"/>
      </w:divBdr>
    </w:div>
    <w:div w:id="20821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SMA\Microsoft%20Office\Templates\FRB\rs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9066-31E8-43BA-9B1D-C0549F4519EC}">
  <ds:schemaRefs>
    <ds:schemaRef ds:uri="http://schemas.openxmlformats.org/officeDocument/2006/bibliography"/>
  </ds:schemaRefs>
</ds:datastoreItem>
</file>

<file path=customXml/itemProps2.xml><?xml version="1.0" encoding="utf-8"?>
<ds:datastoreItem xmlns:ds="http://schemas.openxmlformats.org/officeDocument/2006/customXml" ds:itemID="{57252E41-435E-401E-9E18-7DEEEEE2BCA4}">
  <ds:schemaRefs>
    <ds:schemaRef ds:uri="http://schemas.openxmlformats.org/officeDocument/2006/bibliography"/>
  </ds:schemaRefs>
</ds:datastoreItem>
</file>

<file path=customXml/itemProps3.xml><?xml version="1.0" encoding="utf-8"?>
<ds:datastoreItem xmlns:ds="http://schemas.openxmlformats.org/officeDocument/2006/customXml" ds:itemID="{82DF76C0-2FC9-4EF8-9B2D-5FC2031528ED}">
  <ds:schemaRefs>
    <ds:schemaRef ds:uri="http://schemas.openxmlformats.org/officeDocument/2006/bibliography"/>
  </ds:schemaRefs>
</ds:datastoreItem>
</file>

<file path=customXml/itemProps4.xml><?xml version="1.0" encoding="utf-8"?>
<ds:datastoreItem xmlns:ds="http://schemas.openxmlformats.org/officeDocument/2006/customXml" ds:itemID="{1F082D19-1657-4002-8529-CE83C038FDB1}">
  <ds:schemaRefs>
    <ds:schemaRef ds:uri="http://schemas.openxmlformats.org/officeDocument/2006/bibliography"/>
  </ds:schemaRefs>
</ds:datastoreItem>
</file>

<file path=customXml/itemProps5.xml><?xml version="1.0" encoding="utf-8"?>
<ds:datastoreItem xmlns:ds="http://schemas.openxmlformats.org/officeDocument/2006/customXml" ds:itemID="{3268486B-023A-4930-8224-8B9262418650}">
  <ds:schemaRefs>
    <ds:schemaRef ds:uri="http://schemas.openxmlformats.org/officeDocument/2006/bibliography"/>
  </ds:schemaRefs>
</ds:datastoreItem>
</file>

<file path=customXml/itemProps6.xml><?xml version="1.0" encoding="utf-8"?>
<ds:datastoreItem xmlns:ds="http://schemas.openxmlformats.org/officeDocument/2006/customXml" ds:itemID="{603FD721-EA5E-49A5-86A2-6068A47F49A5}">
  <ds:schemaRefs>
    <ds:schemaRef ds:uri="http://schemas.openxmlformats.org/officeDocument/2006/bibliography"/>
  </ds:schemaRefs>
</ds:datastoreItem>
</file>

<file path=customXml/itemProps7.xml><?xml version="1.0" encoding="utf-8"?>
<ds:datastoreItem xmlns:ds="http://schemas.openxmlformats.org/officeDocument/2006/customXml" ds:itemID="{328BA576-7171-46FC-BA4A-9598D550BFFA}">
  <ds:schemaRefs>
    <ds:schemaRef ds:uri="http://schemas.openxmlformats.org/officeDocument/2006/bibliography"/>
  </ds:schemaRefs>
</ds:datastoreItem>
</file>

<file path=customXml/itemProps8.xml><?xml version="1.0" encoding="utf-8"?>
<ds:datastoreItem xmlns:ds="http://schemas.openxmlformats.org/officeDocument/2006/customXml" ds:itemID="{E66846B7-1D7E-4F30-AA76-5DF7E9980232}">
  <ds:schemaRefs>
    <ds:schemaRef ds:uri="http://schemas.openxmlformats.org/officeDocument/2006/bibliography"/>
  </ds:schemaRefs>
</ds:datastoreItem>
</file>

<file path=customXml/itemProps9.xml><?xml version="1.0" encoding="utf-8"?>
<ds:datastoreItem xmlns:ds="http://schemas.openxmlformats.org/officeDocument/2006/customXml" ds:itemID="{D5DA4C39-84D1-4825-910C-71198AD4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rs_memo</Template>
  <TotalTime>1</TotalTime>
  <Pages>6</Pages>
  <Words>2110</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13672</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m1mmm00</dc:creator>
  <cp:lastModifiedBy>Laura D McGaughey</cp:lastModifiedBy>
  <cp:revision>4</cp:revision>
  <cp:lastPrinted>2013-11-06T16:42:00Z</cp:lastPrinted>
  <dcterms:created xsi:type="dcterms:W3CDTF">2014-01-17T20:22:00Z</dcterms:created>
  <dcterms:modified xsi:type="dcterms:W3CDTF">2014-01-17T21:22:00Z</dcterms:modified>
</cp:coreProperties>
</file>