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19" w:rsidRPr="00C26AA1" w:rsidRDefault="00DE4C19" w:rsidP="00DE4C19">
      <w:pPr>
        <w:tabs>
          <w:tab w:val="left" w:pos="720"/>
          <w:tab w:val="left" w:pos="1440"/>
          <w:tab w:val="left" w:pos="2160"/>
        </w:tabs>
        <w:ind w:left="2160" w:hanging="2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EPA ICR No. 1246.12; OMB Control No. 2070-0072</w:t>
      </w:r>
    </w:p>
    <w:p w:rsidR="00DE4C19" w:rsidRDefault="00DE4C19" w:rsidP="00DE4C19">
      <w:pPr>
        <w:numPr>
          <w:ilvl w:val="12"/>
          <w:numId w:val="0"/>
        </w:numPr>
        <w:rPr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DE4C19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</w:p>
    <w:p w:rsidR="002E7682" w:rsidRDefault="006A54E1" w:rsidP="002E7682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Attachment</w:t>
      </w:r>
      <w:r w:rsidR="002E7682">
        <w:rPr>
          <w:b/>
          <w:bCs/>
          <w:sz w:val="24"/>
          <w:szCs w:val="24"/>
        </w:rPr>
        <w:t xml:space="preserve"> D</w:t>
      </w:r>
    </w:p>
    <w:p w:rsidR="002E7682" w:rsidRDefault="002E7682" w:rsidP="002E7682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2E7682" w:rsidRDefault="002E7682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Hourly Labor Costs Used in Estimating Respondent Burden Costs</w:t>
      </w:r>
    </w:p>
    <w:p w:rsidR="0068165C" w:rsidRDefault="00DE4C19" w:rsidP="002E7682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050"/>
        <w:gridCol w:w="2610"/>
        <w:gridCol w:w="2700"/>
      </w:tblGrid>
      <w:tr w:rsidR="002E7682" w:rsidTr="002E7682">
        <w:trPr>
          <w:cantSplit/>
        </w:trPr>
        <w:tc>
          <w:tcPr>
            <w:tcW w:w="405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3E1CE0">
              <w:rPr>
                <w:b/>
                <w:bCs/>
                <w:sz w:val="22"/>
                <w:szCs w:val="22"/>
              </w:rPr>
              <w:t>Worker Category</w:t>
            </w:r>
          </w:p>
        </w:tc>
        <w:tc>
          <w:tcPr>
            <w:tcW w:w="261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/>
              <w:jc w:val="center"/>
              <w:rPr>
                <w:b/>
                <w:bCs/>
                <w:sz w:val="22"/>
                <w:szCs w:val="22"/>
              </w:rPr>
            </w:pPr>
            <w:r w:rsidRPr="003E1CE0">
              <w:rPr>
                <w:b/>
                <w:bCs/>
                <w:sz w:val="22"/>
                <w:szCs w:val="22"/>
              </w:rPr>
              <w:t xml:space="preserve">Raw Hourly </w:t>
            </w:r>
          </w:p>
          <w:p w:rsidR="002E7682" w:rsidRPr="003E1CE0" w:rsidRDefault="002E7682" w:rsidP="002E7682">
            <w:pPr>
              <w:numPr>
                <w:ilvl w:val="12"/>
                <w:numId w:val="0"/>
              </w:numPr>
              <w:spacing w:after="40"/>
              <w:jc w:val="center"/>
              <w:rPr>
                <w:sz w:val="22"/>
                <w:szCs w:val="22"/>
              </w:rPr>
            </w:pPr>
            <w:r w:rsidRPr="003E1CE0">
              <w:rPr>
                <w:b/>
                <w:bCs/>
                <w:sz w:val="22"/>
                <w:szCs w:val="22"/>
              </w:rPr>
              <w:t xml:space="preserve">Wage Rate </w:t>
            </w:r>
            <w:r w:rsidRPr="003E1CE0">
              <w:rPr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70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/>
              <w:jc w:val="center"/>
              <w:rPr>
                <w:b/>
                <w:bCs/>
                <w:sz w:val="22"/>
                <w:szCs w:val="22"/>
              </w:rPr>
            </w:pPr>
            <w:r w:rsidRPr="003E1CE0">
              <w:rPr>
                <w:b/>
                <w:bCs/>
                <w:sz w:val="22"/>
                <w:szCs w:val="22"/>
              </w:rPr>
              <w:t xml:space="preserve">Loaded Hourly </w:t>
            </w:r>
          </w:p>
          <w:p w:rsidR="002E7682" w:rsidRPr="003E1CE0" w:rsidRDefault="002E7682" w:rsidP="002E7682">
            <w:pPr>
              <w:numPr>
                <w:ilvl w:val="12"/>
                <w:numId w:val="0"/>
              </w:numPr>
              <w:spacing w:after="40"/>
              <w:jc w:val="center"/>
              <w:rPr>
                <w:sz w:val="22"/>
                <w:szCs w:val="22"/>
              </w:rPr>
            </w:pPr>
            <w:r w:rsidRPr="003E1CE0">
              <w:rPr>
                <w:b/>
                <w:bCs/>
                <w:sz w:val="22"/>
                <w:szCs w:val="22"/>
              </w:rPr>
              <w:t xml:space="preserve">Wage Rate </w:t>
            </w:r>
            <w:r w:rsidRPr="003E1CE0">
              <w:rPr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</w:tr>
      <w:tr w:rsidR="002E7682" w:rsidTr="002E7682">
        <w:trPr>
          <w:cantSplit/>
        </w:trPr>
        <w:tc>
          <w:tcPr>
            <w:tcW w:w="405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Construction sector worker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2E7682" w:rsidRPr="003E1CE0" w:rsidRDefault="00CE0099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$21.</w:t>
            </w:r>
            <w:r w:rsidR="002E7682" w:rsidRPr="003E1C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="002E7682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2E7682" w:rsidRPr="00BD18A9" w:rsidRDefault="002E7682" w:rsidP="00F16D1C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BD18A9">
              <w:rPr>
                <w:sz w:val="22"/>
                <w:szCs w:val="22"/>
              </w:rPr>
              <w:t>$</w:t>
            </w:r>
            <w:r w:rsidR="00BB55AA">
              <w:rPr>
                <w:sz w:val="22"/>
                <w:szCs w:val="22"/>
              </w:rPr>
              <w:t>33.28</w:t>
            </w:r>
            <w:r w:rsidRPr="00BD18A9">
              <w:rPr>
                <w:sz w:val="22"/>
                <w:szCs w:val="22"/>
              </w:rPr>
              <w:t xml:space="preserve"> </w:t>
            </w:r>
          </w:p>
        </w:tc>
      </w:tr>
      <w:tr w:rsidR="002E7682" w:rsidTr="002E7682">
        <w:trPr>
          <w:cantSplit/>
        </w:trPr>
        <w:tc>
          <w:tcPr>
            <w:tcW w:w="405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Construction supervisor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2E7682" w:rsidRPr="003E1CE0" w:rsidRDefault="00CE0099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  <w:r w:rsidR="002E7682" w:rsidRPr="003E1C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2E7682">
              <w:rPr>
                <w:sz w:val="22"/>
                <w:szCs w:val="22"/>
                <w:vertAlign w:val="superscript"/>
              </w:rPr>
              <w:t>d</w:t>
            </w:r>
            <w:r w:rsidR="002E7682" w:rsidRPr="003E1CE0" w:rsidDel="00506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2E7682" w:rsidRPr="00BD18A9" w:rsidRDefault="002E7682" w:rsidP="00F16D1C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BD18A9">
              <w:rPr>
                <w:sz w:val="22"/>
                <w:szCs w:val="22"/>
              </w:rPr>
              <w:t>$</w:t>
            </w:r>
            <w:r w:rsidR="00BB55AA">
              <w:rPr>
                <w:sz w:val="22"/>
                <w:szCs w:val="22"/>
              </w:rPr>
              <w:t>46.31</w:t>
            </w:r>
            <w:r w:rsidRPr="00BD18A9">
              <w:rPr>
                <w:sz w:val="22"/>
                <w:szCs w:val="22"/>
              </w:rPr>
              <w:t xml:space="preserve"> </w:t>
            </w:r>
          </w:p>
        </w:tc>
      </w:tr>
      <w:tr w:rsidR="002E7682" w:rsidTr="002E7682">
        <w:trPr>
          <w:cantSplit/>
        </w:trPr>
        <w:tc>
          <w:tcPr>
            <w:tcW w:w="405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Clerical worker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2E7682" w:rsidRPr="003E1CE0" w:rsidRDefault="00F16D1C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</w:t>
            </w:r>
            <w:r w:rsidR="002E7682" w:rsidRPr="003E1C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="002E7682">
              <w:rPr>
                <w:sz w:val="22"/>
                <w:szCs w:val="22"/>
                <w:vertAlign w:val="superscript"/>
              </w:rPr>
              <w:t>e</w:t>
            </w:r>
            <w:r w:rsidR="002E7682" w:rsidRPr="003E1CE0" w:rsidDel="00506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2E7682" w:rsidRPr="00BD18A9" w:rsidRDefault="002E7682" w:rsidP="00F16D1C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BD18A9">
              <w:rPr>
                <w:sz w:val="22"/>
                <w:szCs w:val="22"/>
              </w:rPr>
              <w:t>$</w:t>
            </w:r>
            <w:r w:rsidR="00BB55AA">
              <w:rPr>
                <w:sz w:val="22"/>
                <w:szCs w:val="22"/>
              </w:rPr>
              <w:t>24.84</w:t>
            </w:r>
            <w:r w:rsidRPr="00BD18A9">
              <w:rPr>
                <w:sz w:val="22"/>
                <w:szCs w:val="22"/>
              </w:rPr>
              <w:t xml:space="preserve"> </w:t>
            </w:r>
          </w:p>
        </w:tc>
      </w:tr>
      <w:tr w:rsidR="002E7682" w:rsidTr="002E7682">
        <w:trPr>
          <w:cantSplit/>
        </w:trPr>
        <w:tc>
          <w:tcPr>
            <w:tcW w:w="405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Brake and clutch repair mechanic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$18.</w:t>
            </w:r>
            <w:r w:rsidR="00F16D1C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  <w:vertAlign w:val="superscript"/>
              </w:rPr>
              <w:t>f</w:t>
            </w:r>
            <w:r w:rsidRPr="003E1CE0" w:rsidDel="00506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2E7682" w:rsidRPr="00BD18A9" w:rsidRDefault="002E7682" w:rsidP="00F16D1C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BD18A9">
              <w:rPr>
                <w:sz w:val="22"/>
                <w:szCs w:val="22"/>
              </w:rPr>
              <w:t>$</w:t>
            </w:r>
            <w:r w:rsidR="00BB55AA">
              <w:rPr>
                <w:sz w:val="22"/>
                <w:szCs w:val="22"/>
              </w:rPr>
              <w:t>28.92</w:t>
            </w:r>
            <w:r w:rsidRPr="00BD18A9">
              <w:rPr>
                <w:sz w:val="22"/>
                <w:szCs w:val="22"/>
              </w:rPr>
              <w:t xml:space="preserve"> </w:t>
            </w:r>
          </w:p>
        </w:tc>
      </w:tr>
      <w:tr w:rsidR="002E7682" w:rsidTr="002E7682">
        <w:trPr>
          <w:cantSplit/>
        </w:trPr>
        <w:tc>
          <w:tcPr>
            <w:tcW w:w="405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Brake and clutch repair supervisor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2E7682" w:rsidRPr="003E1CE0" w:rsidRDefault="00CE0099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  <w:r w:rsidR="002E7682" w:rsidRPr="003E1C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2E7682">
              <w:rPr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bottom"/>
          </w:tcPr>
          <w:p w:rsidR="002E7682" w:rsidRPr="00BD18A9" w:rsidRDefault="002E7682" w:rsidP="00F16D1C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BD18A9">
              <w:rPr>
                <w:sz w:val="22"/>
                <w:szCs w:val="22"/>
              </w:rPr>
              <w:t>$</w:t>
            </w:r>
            <w:r w:rsidR="00BB55AA">
              <w:rPr>
                <w:sz w:val="22"/>
                <w:szCs w:val="22"/>
              </w:rPr>
              <w:t>46.31</w:t>
            </w:r>
            <w:r w:rsidRPr="00BD18A9">
              <w:rPr>
                <w:sz w:val="22"/>
                <w:szCs w:val="22"/>
              </w:rPr>
              <w:t xml:space="preserve"> </w:t>
            </w:r>
          </w:p>
        </w:tc>
      </w:tr>
      <w:tr w:rsidR="002E7682" w:rsidTr="002E7682">
        <w:trPr>
          <w:cantSplit/>
        </w:trPr>
        <w:tc>
          <w:tcPr>
            <w:tcW w:w="4050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2E7682" w:rsidRPr="003E1CE0" w:rsidRDefault="002E7682" w:rsidP="002E7682">
            <w:pPr>
              <w:numPr>
                <w:ilvl w:val="12"/>
                <w:numId w:val="0"/>
              </w:numPr>
              <w:spacing w:before="97" w:after="40"/>
              <w:rPr>
                <w:sz w:val="22"/>
                <w:szCs w:val="22"/>
              </w:rPr>
            </w:pPr>
            <w:r w:rsidRPr="003E1CE0">
              <w:rPr>
                <w:sz w:val="22"/>
                <w:szCs w:val="22"/>
              </w:rPr>
              <w:t>Industrial hygienist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  <w:vAlign w:val="bottom"/>
          </w:tcPr>
          <w:p w:rsidR="002E7682" w:rsidRPr="003E1CE0" w:rsidRDefault="00CE0099" w:rsidP="002E7682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$38</w:t>
            </w:r>
            <w:r w:rsidR="002E7682" w:rsidRPr="003E1C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E7682" w:rsidRPr="003E1CE0">
              <w:rPr>
                <w:sz w:val="22"/>
                <w:szCs w:val="22"/>
              </w:rPr>
              <w:t>5</w:t>
            </w:r>
            <w:r w:rsidR="002E7682">
              <w:rPr>
                <w:sz w:val="22"/>
                <w:szCs w:val="22"/>
                <w:vertAlign w:val="superscript"/>
              </w:rPr>
              <w:t>h</w:t>
            </w:r>
            <w:r w:rsidR="002E7682" w:rsidRPr="003E1CE0" w:rsidDel="00506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bottom"/>
          </w:tcPr>
          <w:p w:rsidR="002E7682" w:rsidRPr="00BD18A9" w:rsidRDefault="002E7682" w:rsidP="00F16D1C">
            <w:pPr>
              <w:numPr>
                <w:ilvl w:val="12"/>
                <w:numId w:val="0"/>
              </w:numPr>
              <w:spacing w:before="97" w:after="40"/>
              <w:jc w:val="center"/>
              <w:rPr>
                <w:sz w:val="22"/>
                <w:szCs w:val="22"/>
              </w:rPr>
            </w:pPr>
            <w:r w:rsidRPr="00BD18A9">
              <w:rPr>
                <w:sz w:val="22"/>
                <w:szCs w:val="22"/>
              </w:rPr>
              <w:t>$</w:t>
            </w:r>
            <w:r w:rsidR="00BB55AA">
              <w:rPr>
                <w:sz w:val="22"/>
                <w:szCs w:val="22"/>
              </w:rPr>
              <w:t>59.06</w:t>
            </w:r>
            <w:r w:rsidRPr="00BD18A9">
              <w:rPr>
                <w:sz w:val="22"/>
                <w:szCs w:val="22"/>
              </w:rPr>
              <w:t xml:space="preserve"> </w:t>
            </w:r>
          </w:p>
        </w:tc>
      </w:tr>
      <w:tr w:rsidR="002E7682" w:rsidTr="002E7682">
        <w:tblPrEx>
          <w:tblCellMar>
            <w:left w:w="108" w:type="dxa"/>
            <w:right w:w="108" w:type="dxa"/>
          </w:tblCellMar>
        </w:tblPrEx>
        <w:trPr>
          <w:trHeight w:val="4998"/>
        </w:trPr>
        <w:tc>
          <w:tcPr>
            <w:tcW w:w="9360" w:type="dxa"/>
            <w:gridSpan w:val="3"/>
          </w:tcPr>
          <w:p w:rsidR="002E7682" w:rsidRDefault="002E7682" w:rsidP="002E7682">
            <w:pPr>
              <w:numPr>
                <w:ilvl w:val="12"/>
                <w:numId w:val="0"/>
              </w:numPr>
            </w:pPr>
            <w:r>
              <w:t>Source:</w:t>
            </w:r>
          </w:p>
          <w:p w:rsidR="002E7682" w:rsidRPr="009E1060" w:rsidRDefault="002E7682" w:rsidP="002E7682">
            <w:pPr>
              <w:numPr>
                <w:ilvl w:val="12"/>
                <w:numId w:val="0"/>
              </w:numPr>
            </w:pPr>
            <w:r>
              <w:t>a) B</w:t>
            </w:r>
            <w:r w:rsidR="00CE0099">
              <w:t>LS, 2013</w:t>
            </w:r>
            <w:r w:rsidRPr="009E1060">
              <w:t xml:space="preserve">, US Bureau of Labor Statistics, </w:t>
            </w:r>
            <w:r w:rsidR="00CE0099">
              <w:rPr>
                <w:i/>
              </w:rPr>
              <w:t>May 2012</w:t>
            </w:r>
            <w:r w:rsidRPr="009E1060">
              <w:rPr>
                <w:i/>
              </w:rPr>
              <w:t xml:space="preserve"> National O</w:t>
            </w:r>
            <w:r w:rsidR="00FE2BFC">
              <w:rPr>
                <w:i/>
              </w:rPr>
              <w:t>ccupational Employment Statistics data.</w:t>
            </w:r>
            <w:r w:rsidRPr="009E1060">
              <w:rPr>
                <w:i/>
              </w:rPr>
              <w:t xml:space="preserve"> </w:t>
            </w:r>
            <w:r w:rsidR="00CE0099">
              <w:t>March 23, 2013</w:t>
            </w:r>
            <w:r w:rsidR="00EC613F">
              <w:t xml:space="preserve">. </w:t>
            </w:r>
            <w:r w:rsidRPr="009E1060">
              <w:t>Occupations are the same as those used in the previous ICR.</w:t>
            </w:r>
            <w:r w:rsidR="00CE0099">
              <w:t xml:space="preserve"> The employment categories used are from the Standard Occupational Classification system (SOC).</w:t>
            </w:r>
          </w:p>
          <w:p w:rsidR="00CE0099" w:rsidRDefault="002E7682" w:rsidP="002E7682">
            <w:pPr>
              <w:numPr>
                <w:ilvl w:val="12"/>
                <w:numId w:val="0"/>
              </w:numPr>
            </w:pPr>
            <w:r w:rsidRPr="009E1060">
              <w:t>b) EPA calculated the loaded hourly wage ra</w:t>
            </w:r>
            <w:r>
              <w:t>te by inflating the raw hourly wage rate by 54 percent to account for bene</w:t>
            </w:r>
            <w:r w:rsidR="00EC613F">
              <w:t xml:space="preserve">fits and overhead (EPA, 1992). </w:t>
            </w:r>
            <w:r w:rsidR="00BB55AA">
              <w:t>This is the same percentage estimate for benefits and overhead as used in prior ICR supporting statements.</w:t>
            </w:r>
          </w:p>
          <w:p w:rsidR="002E7682" w:rsidRDefault="002E7682" w:rsidP="002E7682">
            <w:pPr>
              <w:numPr>
                <w:ilvl w:val="12"/>
                <w:numId w:val="0"/>
              </w:numPr>
            </w:pPr>
            <w:r>
              <w:t>c) This is the mean hourly wage for the “Construction and Extraction Occupation</w:t>
            </w:r>
            <w:r w:rsidR="00CE0099">
              <w:t>s (Major Group)” category, SOC 47-0000, in BLS, 2013</w:t>
            </w:r>
            <w:r>
              <w:t xml:space="preserve">. </w:t>
            </w:r>
          </w:p>
          <w:p w:rsidR="002E7682" w:rsidRDefault="002E7682" w:rsidP="002E7682">
            <w:pPr>
              <w:numPr>
                <w:ilvl w:val="12"/>
                <w:numId w:val="0"/>
              </w:numPr>
            </w:pPr>
            <w:r>
              <w:t>d) This is the mean hourly wage for the “First-Line Supervisors/Managers of Construction Trades and Extraction Workers” category</w:t>
            </w:r>
            <w:r w:rsidR="00CE0099">
              <w:t>, SOC 49-1011, in BLS, 2013</w:t>
            </w:r>
            <w:r>
              <w:t xml:space="preserve">.  </w:t>
            </w:r>
          </w:p>
          <w:p w:rsidR="002E7682" w:rsidRDefault="002E7682" w:rsidP="002E7682">
            <w:pPr>
              <w:numPr>
                <w:ilvl w:val="12"/>
                <w:numId w:val="0"/>
              </w:numPr>
            </w:pPr>
            <w:r>
              <w:t>e) This is the mean hourly wage for the “Secretaries, Except Legal, Medica</w:t>
            </w:r>
            <w:r w:rsidR="00CE0099">
              <w:t>l and Executive” category, SOC 43-6014, in BLS, 2013</w:t>
            </w:r>
            <w:r>
              <w:t xml:space="preserve">.  </w:t>
            </w:r>
          </w:p>
          <w:p w:rsidR="002E7682" w:rsidRDefault="002E7682" w:rsidP="002E7682">
            <w:pPr>
              <w:numPr>
                <w:ilvl w:val="12"/>
                <w:numId w:val="0"/>
              </w:numPr>
            </w:pPr>
            <w:r>
              <w:t>f) This is the mean hourly wage for the “Automotive Service Technicians and Mechanics” ca</w:t>
            </w:r>
            <w:r w:rsidR="00CE0099">
              <w:t>tegory, SOC 49-3023, in BLS, 2013</w:t>
            </w:r>
            <w:r>
              <w:t>.</w:t>
            </w:r>
          </w:p>
          <w:p w:rsidR="002E7682" w:rsidRDefault="002E7682" w:rsidP="002E7682">
            <w:pPr>
              <w:numPr>
                <w:ilvl w:val="12"/>
                <w:numId w:val="0"/>
              </w:numPr>
            </w:pPr>
            <w:r>
              <w:t>g) This is the mean hourly wage for the “First-Line Supervisors/Managers of Mechanics, Installers</w:t>
            </w:r>
            <w:r w:rsidR="00CE0099">
              <w:t>, and Repairers” category, SOC 49-1011, in BLS, 2013</w:t>
            </w:r>
            <w:r>
              <w:t xml:space="preserve">. </w:t>
            </w:r>
          </w:p>
          <w:p w:rsidR="002E7682" w:rsidRDefault="002E7682" w:rsidP="002E768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t>h) Because there is no industrial hygienist category in BLS, 20</w:t>
            </w:r>
            <w:r w:rsidR="00CE0099">
              <w:t>13</w:t>
            </w:r>
            <w:r>
              <w:t>, the mean hourly wage for the “Health and Safety Engineers, Except Mining Safety Engineer</w:t>
            </w:r>
            <w:r w:rsidR="00CE0099">
              <w:t>s and Inspectors” category SOC17-2111, in BLS, 2013</w:t>
            </w:r>
            <w:r w:rsidR="00EC613F">
              <w:t xml:space="preserve"> was used. </w:t>
            </w:r>
            <w:r>
              <w:t xml:space="preserve">This category was used based on the similarity of duties as described in the data. </w:t>
            </w:r>
          </w:p>
        </w:tc>
      </w:tr>
    </w:tbl>
    <w:p w:rsidR="002E7682" w:rsidRDefault="002E7682" w:rsidP="002E7682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2E7682" w:rsidRDefault="002E7682" w:rsidP="002E7682">
      <w:pPr>
        <w:numPr>
          <w:ilvl w:val="12"/>
          <w:numId w:val="0"/>
        </w:numPr>
        <w:ind w:left="144"/>
        <w:rPr>
          <w:sz w:val="24"/>
          <w:szCs w:val="24"/>
        </w:rPr>
      </w:pPr>
      <w:r>
        <w:t xml:space="preserve"> </w:t>
      </w:r>
    </w:p>
    <w:p w:rsidR="002E7682" w:rsidRDefault="002E7682" w:rsidP="002E7682">
      <w:pPr>
        <w:numPr>
          <w:ilvl w:val="12"/>
          <w:numId w:val="0"/>
        </w:numPr>
        <w:rPr>
          <w:sz w:val="24"/>
          <w:szCs w:val="24"/>
        </w:rPr>
      </w:pPr>
    </w:p>
    <w:p w:rsidR="002E7682" w:rsidRDefault="002E7682" w:rsidP="002E7682">
      <w:pPr>
        <w:numPr>
          <w:ilvl w:val="12"/>
          <w:numId w:val="0"/>
        </w:numPr>
        <w:rPr>
          <w:sz w:val="24"/>
          <w:szCs w:val="24"/>
        </w:rPr>
      </w:pPr>
    </w:p>
    <w:p w:rsidR="002E7682" w:rsidRDefault="002E7682" w:rsidP="002E7682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References for Attachment D</w:t>
      </w:r>
    </w:p>
    <w:p w:rsidR="002E7682" w:rsidRPr="009E1060" w:rsidRDefault="002E7682" w:rsidP="002E7682">
      <w:pPr>
        <w:ind w:firstLine="720"/>
        <w:rPr>
          <w:bCs/>
          <w:i/>
          <w:color w:val="0000FF"/>
          <w:sz w:val="24"/>
          <w:szCs w:val="24"/>
        </w:rPr>
      </w:pPr>
    </w:p>
    <w:p w:rsidR="002E7682" w:rsidRPr="009E1060" w:rsidRDefault="00F16D1C" w:rsidP="00F16D1C">
      <w:pPr>
        <w:pStyle w:val="Heading1"/>
        <w:ind w:left="720" w:hanging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BLS 2013</w:t>
      </w:r>
      <w:r w:rsidR="002E7682" w:rsidRPr="009E1060">
        <w:rPr>
          <w:b w:val="0"/>
          <w:sz w:val="24"/>
          <w:szCs w:val="24"/>
        </w:rPr>
        <w:t xml:space="preserve">, US Bureau of Labor Statistics, </w:t>
      </w:r>
      <w:r>
        <w:rPr>
          <w:b w:val="0"/>
          <w:i/>
          <w:sz w:val="24"/>
          <w:szCs w:val="24"/>
        </w:rPr>
        <w:t>May 2012</w:t>
      </w:r>
      <w:r w:rsidR="002E7682" w:rsidRPr="009E1060">
        <w:rPr>
          <w:b w:val="0"/>
          <w:i/>
          <w:sz w:val="24"/>
          <w:szCs w:val="24"/>
        </w:rPr>
        <w:t xml:space="preserve"> National Occupatio</w:t>
      </w:r>
      <w:r>
        <w:rPr>
          <w:b w:val="0"/>
          <w:i/>
          <w:sz w:val="24"/>
          <w:szCs w:val="24"/>
        </w:rPr>
        <w:t>nal Employment and Wage data</w:t>
      </w:r>
      <w:r w:rsidR="002E7682" w:rsidRPr="009E1060"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March 29, 2013</w:t>
      </w:r>
      <w:r w:rsidR="002E7682" w:rsidRPr="009E106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Accessed May 14 2013.</w:t>
      </w:r>
      <w:proofErr w:type="gramEnd"/>
      <w:r>
        <w:rPr>
          <w:b w:val="0"/>
          <w:sz w:val="24"/>
          <w:szCs w:val="24"/>
        </w:rPr>
        <w:t xml:space="preserve">  Available at </w:t>
      </w:r>
      <w:r w:rsidR="002E7682" w:rsidRPr="009E1060">
        <w:rPr>
          <w:b w:val="0"/>
          <w:sz w:val="24"/>
          <w:szCs w:val="24"/>
        </w:rPr>
        <w:t>http://www.bls.gov/oes/</w:t>
      </w:r>
    </w:p>
    <w:p w:rsidR="00091083" w:rsidRDefault="002E7682" w:rsidP="00F16D1C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EPA, 1992, U.S. Environmental Protection Agency, 1992.</w:t>
      </w:r>
      <w:proofErr w:type="gramEnd"/>
      <w:r>
        <w:rPr>
          <w:sz w:val="24"/>
          <w:szCs w:val="24"/>
        </w:rPr>
        <w:t xml:space="preserve">  Office of Policy, Planning and Evaluation.  </w:t>
      </w:r>
      <w:proofErr w:type="gramStart"/>
      <w:r>
        <w:rPr>
          <w:i/>
          <w:iCs/>
          <w:sz w:val="24"/>
          <w:szCs w:val="24"/>
        </w:rPr>
        <w:t>Instructions for Preparing Information Collection Requests (ICRs)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June 1.</w:t>
      </w:r>
    </w:p>
    <w:p w:rsidR="00F16D1C" w:rsidRDefault="00F16D1C" w:rsidP="00F16D1C">
      <w:pPr>
        <w:ind w:left="720" w:hanging="720"/>
        <w:rPr>
          <w:sz w:val="24"/>
          <w:szCs w:val="24"/>
        </w:rPr>
      </w:pPr>
    </w:p>
    <w:p w:rsidR="00F16D1C" w:rsidRDefault="00F16D1C" w:rsidP="00F16D1C">
      <w:pPr>
        <w:ind w:left="720" w:hanging="720"/>
        <w:rPr>
          <w:sz w:val="24"/>
          <w:szCs w:val="24"/>
        </w:rPr>
      </w:pPr>
    </w:p>
    <w:p w:rsidR="00F16D1C" w:rsidRDefault="00F16D1C" w:rsidP="00F16D1C">
      <w:pPr>
        <w:ind w:left="720" w:hanging="720"/>
      </w:pPr>
    </w:p>
    <w:sectPr w:rsidR="00F16D1C" w:rsidSect="0021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682"/>
    <w:rsid w:val="00091083"/>
    <w:rsid w:val="001848C2"/>
    <w:rsid w:val="00210748"/>
    <w:rsid w:val="002A1A81"/>
    <w:rsid w:val="002C768C"/>
    <w:rsid w:val="002E7682"/>
    <w:rsid w:val="005A38FB"/>
    <w:rsid w:val="00651CE2"/>
    <w:rsid w:val="0068165C"/>
    <w:rsid w:val="006A54E1"/>
    <w:rsid w:val="00BB55AA"/>
    <w:rsid w:val="00CD6EB8"/>
    <w:rsid w:val="00CE0099"/>
    <w:rsid w:val="00DE4C19"/>
    <w:rsid w:val="00EC613F"/>
    <w:rsid w:val="00F16D1C"/>
    <w:rsid w:val="00FE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682"/>
    <w:pPr>
      <w:autoSpaceDE w:val="0"/>
      <w:autoSpaceDN w:val="0"/>
      <w:adjustRightInd w:val="0"/>
    </w:pPr>
  </w:style>
  <w:style w:type="paragraph" w:styleId="Heading1">
    <w:name w:val="heading 1"/>
    <w:basedOn w:val="Normal"/>
    <w:qFormat/>
    <w:rsid w:val="002E7682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7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ctsuser</dc:creator>
  <cp:keywords/>
  <dc:description/>
  <cp:lastModifiedBy>RCarlson</cp:lastModifiedBy>
  <cp:revision>4</cp:revision>
  <cp:lastPrinted>2013-05-14T19:27:00Z</cp:lastPrinted>
  <dcterms:created xsi:type="dcterms:W3CDTF">2013-06-25T19:30:00Z</dcterms:created>
  <dcterms:modified xsi:type="dcterms:W3CDTF">2013-11-19T17:29:00Z</dcterms:modified>
</cp:coreProperties>
</file>