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0C" w:rsidRDefault="00445D37">
      <w:pPr>
        <w:tabs>
          <w:tab w:val="center" w:pos="4680"/>
        </w:tabs>
        <w:spacing w:line="360" w:lineRule="auto"/>
        <w:jc w:val="center"/>
        <w:rPr>
          <w:b/>
          <w:bCs/>
        </w:rPr>
      </w:pPr>
      <w:r>
        <w:rPr>
          <w:b/>
          <w:bCs/>
        </w:rPr>
        <w:t>SUPPORTING STATEMENT</w:t>
      </w:r>
    </w:p>
    <w:p w:rsidR="00EE300C" w:rsidRDefault="00445D37">
      <w:pPr>
        <w:tabs>
          <w:tab w:val="center" w:pos="4680"/>
        </w:tabs>
        <w:spacing w:line="360" w:lineRule="auto"/>
        <w:jc w:val="center"/>
      </w:pPr>
      <w:r>
        <w:rPr>
          <w:b/>
          <w:bCs/>
        </w:rPr>
        <w:t>ENVIRONMENTAL PROTECTION AGENCY</w:t>
      </w:r>
    </w:p>
    <w:p w:rsidR="00EE300C" w:rsidRDefault="00EE300C">
      <w:pPr>
        <w:tabs>
          <w:tab w:val="center" w:pos="4680"/>
        </w:tabs>
        <w:spacing w:line="360" w:lineRule="auto"/>
        <w:jc w:val="center"/>
      </w:pPr>
    </w:p>
    <w:p w:rsidR="00EE300C" w:rsidRDefault="00445D37">
      <w:pPr>
        <w:spacing w:after="240" w:line="360" w:lineRule="auto"/>
      </w:pPr>
      <w:r>
        <w:rPr>
          <w:b/>
          <w:bCs/>
        </w:rPr>
        <w:t>NESHAP for Source Categories: Generic Maximum Achievable Control Technology Standards (Revised)</w:t>
      </w:r>
    </w:p>
    <w:p w:rsidR="00EE300C" w:rsidRDefault="00445D37">
      <w:pPr>
        <w:spacing w:after="240" w:line="360" w:lineRule="auto"/>
        <w:rPr>
          <w:b/>
          <w:bCs/>
        </w:rPr>
      </w:pPr>
      <w:r>
        <w:rPr>
          <w:b/>
          <w:bCs/>
        </w:rPr>
        <w:t xml:space="preserve">1.  Identification of the Information </w:t>
      </w:r>
      <w:r>
        <w:rPr>
          <w:b/>
          <w:bCs/>
        </w:rPr>
        <w:t>Collection</w:t>
      </w:r>
    </w:p>
    <w:p w:rsidR="00EE300C" w:rsidRDefault="00445D37">
      <w:pPr>
        <w:spacing w:after="240" w:line="360" w:lineRule="auto"/>
        <w:ind w:firstLine="720"/>
      </w:pPr>
      <w:r>
        <w:rPr>
          <w:b/>
          <w:bCs/>
        </w:rPr>
        <w:t>1(a</w:t>
      </w:r>
      <w:proofErr w:type="gramStart"/>
      <w:r>
        <w:rPr>
          <w:b/>
          <w:bCs/>
        </w:rPr>
        <w:t>)  Title</w:t>
      </w:r>
      <w:proofErr w:type="gramEnd"/>
      <w:r>
        <w:rPr>
          <w:b/>
          <w:bCs/>
        </w:rPr>
        <w:t xml:space="preserve"> of the Information Collection</w:t>
      </w:r>
    </w:p>
    <w:p w:rsidR="00EE300C" w:rsidRDefault="00445D37">
      <w:pPr>
        <w:spacing w:after="240" w:line="360" w:lineRule="auto"/>
        <w:rPr>
          <w:bCs/>
        </w:rPr>
      </w:pPr>
      <w:r>
        <w:t>National Emission Standards for Hazardous Air Pollutants (NESHAP) for Source Categories: Generic Maximum Achievable Control Technology Standards</w:t>
      </w:r>
      <w:r>
        <w:rPr>
          <w:bCs/>
        </w:rPr>
        <w:t xml:space="preserve"> (40 CFR Part 63, Subpart YY) (Revised), EPA ICR Number 187</w:t>
      </w:r>
      <w:r>
        <w:rPr>
          <w:bCs/>
        </w:rPr>
        <w:t xml:space="preserve">1.07, OMB Control Number 2060-0420. </w:t>
      </w:r>
    </w:p>
    <w:p w:rsidR="00EE300C" w:rsidRDefault="00445D37">
      <w:pPr>
        <w:spacing w:after="240" w:line="360" w:lineRule="auto"/>
        <w:ind w:firstLine="720"/>
        <w:rPr>
          <w:b/>
          <w:bCs/>
        </w:rPr>
      </w:pPr>
      <w:r>
        <w:rPr>
          <w:b/>
          <w:bCs/>
        </w:rPr>
        <w:t>1(b</w:t>
      </w:r>
      <w:proofErr w:type="gramStart"/>
      <w:r>
        <w:rPr>
          <w:b/>
          <w:bCs/>
        </w:rPr>
        <w:t>)  Short</w:t>
      </w:r>
      <w:proofErr w:type="gramEnd"/>
      <w:r>
        <w:rPr>
          <w:b/>
          <w:bCs/>
        </w:rPr>
        <w:t xml:space="preserve"> Characterization/Abstract</w:t>
      </w:r>
    </w:p>
    <w:p w:rsidR="00EE300C" w:rsidRDefault="00445D37">
      <w:pPr>
        <w:spacing w:after="240" w:line="360" w:lineRule="auto"/>
        <w:ind w:firstLine="720"/>
        <w:rPr>
          <w:color w:val="000000"/>
        </w:rPr>
      </w:pPr>
      <w:r>
        <w:t xml:space="preserve">The amendments to this ICR are a result of the review of the existing NESHAP for Source Categories: Generic Maximum Achievable Control Technology Standards </w:t>
      </w:r>
      <w:r>
        <w:rPr>
          <w:bCs/>
        </w:rPr>
        <w:t xml:space="preserve">(40 CFR part 63, Subpart </w:t>
      </w:r>
      <w:r>
        <w:rPr>
          <w:bCs/>
        </w:rPr>
        <w:t>YY) as required by the Clean Air Act.</w:t>
      </w:r>
      <w:r>
        <w:t xml:space="preserve"> </w:t>
      </w:r>
      <w:r>
        <w:rPr>
          <w:color w:val="000000"/>
        </w:rPr>
        <w:t xml:space="preserve">The </w:t>
      </w:r>
      <w:r>
        <w:t>NESHAP</w:t>
      </w:r>
      <w:r>
        <w:rPr>
          <w:color w:val="FF0000"/>
        </w:rPr>
        <w:t xml:space="preserve"> </w:t>
      </w:r>
      <w:r>
        <w:rPr>
          <w:color w:val="000000"/>
        </w:rPr>
        <w:t xml:space="preserve">published at 40 CFR </w:t>
      </w:r>
      <w:proofErr w:type="gramStart"/>
      <w:r>
        <w:rPr>
          <w:color w:val="000000"/>
        </w:rPr>
        <w:t>part</w:t>
      </w:r>
      <w:proofErr w:type="gramEnd"/>
      <w:r>
        <w:rPr>
          <w:color w:val="000000"/>
        </w:rPr>
        <w:t xml:space="preserve"> 63, subpart YY were proposed on October 14, 1998, promulgated on June 29, 1999, and amended on: November 22, 1999, November 2, 2001, June 7, 2002, and July 7, 2002. These regulations</w:t>
      </w:r>
      <w:r>
        <w:rPr>
          <w:color w:val="000000"/>
        </w:rPr>
        <w:t xml:space="preserve"> apply to existing facilities and new facilities of the following four categories: Polycarbonates (PC) Production, Acrylic and Modacrylic Fibers (AMF), Acetal Resins (AR) Production, and Hydrogen Fluoride (HF) Production. The current proposed rulemaking ap</w:t>
      </w:r>
      <w:r>
        <w:rPr>
          <w:color w:val="000000"/>
        </w:rPr>
        <w:t xml:space="preserve">plies </w:t>
      </w:r>
      <w:r>
        <w:t>to hazardous air pollutant (HAP) emissions from facilities in the PC and AMF source categories. This information is being collected to assure compliance with 40 CFR part 63, subpart YY. Organic HAP emissions are the pollutants regulated under this su</w:t>
      </w:r>
      <w:r>
        <w:t>bpart.</w:t>
      </w:r>
    </w:p>
    <w:p w:rsidR="00EE300C" w:rsidRDefault="00445D37">
      <w:pPr>
        <w:spacing w:after="240" w:line="360" w:lineRule="auto"/>
        <w:ind w:firstLine="720"/>
      </w:pPr>
      <w:r>
        <w:rPr>
          <w:color w:val="000000"/>
        </w:rPr>
        <w:t xml:space="preserve">In general, all </w:t>
      </w:r>
      <w:r>
        <w:t>NESHAP</w:t>
      </w:r>
      <w:r>
        <w:rPr>
          <w:color w:val="FF0000"/>
        </w:rPr>
        <w:t xml:space="preserve"> </w:t>
      </w:r>
      <w:r>
        <w:rPr>
          <w:color w:val="000000"/>
        </w:rPr>
        <w:t>standards require initial notifications, performance tests, and periodic reports by the owners/operators of the affected facilities. These notifications, reports, and records are essential in determining compliance, and are re</w:t>
      </w:r>
      <w:r>
        <w:rPr>
          <w:color w:val="000000"/>
        </w:rPr>
        <w:t xml:space="preserve">quired of all affected facilities subject to </w:t>
      </w:r>
      <w:r>
        <w:t>NESHAP.</w:t>
      </w:r>
      <w:r>
        <w:rPr>
          <w:color w:val="000000"/>
        </w:rPr>
        <w:t xml:space="preserve"> </w:t>
      </w:r>
      <w:r>
        <w:t>Semiannual summary reports are also required.</w:t>
      </w:r>
    </w:p>
    <w:p w:rsidR="00EE300C" w:rsidRDefault="00445D37">
      <w:pPr>
        <w:spacing w:after="240" w:line="360" w:lineRule="auto"/>
        <w:ind w:firstLine="720"/>
        <w:rPr>
          <w:bCs/>
        </w:rPr>
      </w:pPr>
      <w:r>
        <w:t xml:space="preserve">The proposed rulemaking would amend title 40, chapter I, part 63 subpart YY to include </w:t>
      </w:r>
      <w:r>
        <w:lastRenderedPageBreak/>
        <w:t>emission sources for which standards were not previously developed for</w:t>
      </w:r>
      <w:r>
        <w:t xml:space="preserve"> the AMF source category. For the PC and AMF source categories, it also revises the requirements for leak detection and repair (LDAR) to allow only one of the previously available compliance options, although monitoring of connectors will not be required. </w:t>
      </w:r>
      <w:r>
        <w:t>For both source categories, the proposed amendments also add requirements</w:t>
      </w:r>
      <w:r>
        <w:rPr>
          <w:rFonts w:cs="Courier New"/>
        </w:rPr>
        <w:t xml:space="preserve"> to monitor each pressure relief device (PRD) that releases to the atmosphere</w:t>
      </w:r>
      <w:r>
        <w:t xml:space="preserve"> using a device or system that is capable of identifying and recording the time and duration of each press</w:t>
      </w:r>
      <w:r>
        <w:t>ure release and of notifying operators that a release has occurred</w:t>
      </w:r>
      <w:r>
        <w:rPr>
          <w:rFonts w:cs="Courier New"/>
        </w:rPr>
        <w:t>. Information related to these new provisions is required to be submitted in the semi-annual reports required by the existing NESHAP. The proposed amendments also add provisions for facility</w:t>
      </w:r>
      <w:r>
        <w:rPr>
          <w:rFonts w:cs="Courier New"/>
        </w:rPr>
        <w:t xml:space="preserve"> owners or operators to use if they wish to assert an affirmative defense to avoid civil penalties for exceedances of the applicable standards that are caused by a malfunction. If these provisions are used, the owner or operator is required to meet certain</w:t>
      </w:r>
      <w:r>
        <w:rPr>
          <w:rFonts w:cs="Courier New"/>
        </w:rPr>
        <w:t xml:space="preserve"> criteria during the malfunction, notify the Administrator of malfunctions that may cause an exceedance of the emissions standards, and submit a report for the malfunction to the Administrator. </w:t>
      </w:r>
      <w:r>
        <w:t>We believe that the number of affected facilities under this s</w:t>
      </w:r>
      <w:r>
        <w:t xml:space="preserve">ubpart will remain constant for these source categories. </w:t>
      </w:r>
      <w:r>
        <w:rPr>
          <w:bCs/>
          <w:iCs/>
        </w:rPr>
        <w:t>Burden changes associated with these proposed amendments would result from new recordkeeping and reporting requirements associated with the PRD monitoring requirements and affirmative defense provisi</w:t>
      </w:r>
      <w:r>
        <w:rPr>
          <w:bCs/>
          <w:iCs/>
        </w:rPr>
        <w:t xml:space="preserve">ons for all facilities subject to the AMF and PC MACT standards. </w:t>
      </w:r>
      <w:r>
        <w:t xml:space="preserve">The overall change in burden found in this ICR reflect the provision changes, an update in the cost of labor, and corrections to the number of affected facilities found in EPA ICR number </w:t>
      </w:r>
      <w:r>
        <w:rPr>
          <w:bCs/>
        </w:rPr>
        <w:t>1871</w:t>
      </w:r>
      <w:r>
        <w:rPr>
          <w:bCs/>
        </w:rPr>
        <w:t>.06.</w:t>
      </w:r>
    </w:p>
    <w:p w:rsidR="00EE300C" w:rsidRDefault="00445D37">
      <w:pPr>
        <w:spacing w:after="240" w:line="360" w:lineRule="auto"/>
        <w:ind w:firstLine="720"/>
      </w:pPr>
      <w:r>
        <w:t>The Office of Management and Budget (OMB) approved the currently active ICR without any “Terms of Clearance.” The overall change in burden found in this ICR reflect the provision changes, an update in the cost of labor, and corrections to the number o</w:t>
      </w:r>
      <w:r>
        <w:t xml:space="preserve">f affected facilities found in EPA ICR number </w:t>
      </w:r>
      <w:r>
        <w:rPr>
          <w:bCs/>
        </w:rPr>
        <w:t>1871.06.</w:t>
      </w:r>
    </w:p>
    <w:p w:rsidR="00EE300C" w:rsidRDefault="00445D37">
      <w:pPr>
        <w:spacing w:before="240" w:after="240" w:line="360" w:lineRule="auto"/>
        <w:ind w:firstLine="720"/>
      </w:pPr>
      <w:r>
        <w:t>The period considered in this ICR and throughout this supporting statement is the first three years following the promulgation of the amended NESHAP for Source Categories: Generic Maximum Achievable Co</w:t>
      </w:r>
      <w:r>
        <w:t xml:space="preserve">ntrol Technology Standards </w:t>
      </w:r>
      <w:r>
        <w:rPr>
          <w:bCs/>
        </w:rPr>
        <w:t>(40 CFR part 63, Subpart YY) for the AMF and PC source categories</w:t>
      </w:r>
      <w:r>
        <w:t>. The estimates of the size of the regulated universe are based on data from the National Emissions Inventory (NEI) database, and information from the industries. T</w:t>
      </w:r>
      <w:r>
        <w:t xml:space="preserve">here is an annual average of 4 PC Production facilities and 1 AMF Production facility that will be </w:t>
      </w:r>
      <w:r>
        <w:lastRenderedPageBreak/>
        <w:t>subject to the regulations. Due to the nature of the industries, it is estimated that no additional sources will become subject to the standard over the next</w:t>
      </w:r>
      <w:r>
        <w:t xml:space="preserve"> three years.</w:t>
      </w:r>
    </w:p>
    <w:p w:rsidR="00EE300C" w:rsidRDefault="00445D37">
      <w:pPr>
        <w:spacing w:after="240" w:line="360" w:lineRule="auto"/>
      </w:pPr>
      <w:r>
        <w:rPr>
          <w:b/>
          <w:bCs/>
        </w:rPr>
        <w:t>2.  Need for and Use of the Collection</w:t>
      </w:r>
    </w:p>
    <w:p w:rsidR="00EE300C" w:rsidRDefault="00445D37">
      <w:pPr>
        <w:spacing w:after="240" w:line="360" w:lineRule="auto"/>
        <w:ind w:firstLine="720"/>
      </w:pPr>
      <w:r>
        <w:rPr>
          <w:b/>
          <w:bCs/>
        </w:rPr>
        <w:t>2(a</w:t>
      </w:r>
      <w:proofErr w:type="gramStart"/>
      <w:r>
        <w:rPr>
          <w:b/>
          <w:bCs/>
        </w:rPr>
        <w:t>)  Need</w:t>
      </w:r>
      <w:proofErr w:type="gramEnd"/>
      <w:r>
        <w:rPr>
          <w:b/>
          <w:bCs/>
        </w:rPr>
        <w:t>/Authority for the Collection</w:t>
      </w:r>
    </w:p>
    <w:p w:rsidR="00EE300C" w:rsidRDefault="00445D37">
      <w:pPr>
        <w:spacing w:after="240" w:line="360" w:lineRule="auto"/>
        <w:ind w:firstLine="720"/>
      </w:pPr>
      <w:r>
        <w:t xml:space="preserve">The EPA is charged under section 112 of the Clean Air Act, as amended, to establish standards of performance for each category or subcategory of major sources and </w:t>
      </w:r>
      <w:r>
        <w:t xml:space="preserve">area sources of hazardous air pollutants (HAP). These standards are applicable to new or existing sources of HAP and shall require the maximum degree of emission reduction. In addition, section 114(a) states that the Administrator may require any owner or </w:t>
      </w:r>
      <w:r>
        <w:t>operator subject to any requirement of this Act to:</w:t>
      </w:r>
    </w:p>
    <w:p w:rsidR="00EE300C" w:rsidRDefault="00445D37">
      <w:pPr>
        <w:spacing w:after="240" w:line="360" w:lineRule="auto"/>
        <w:ind w:left="1440" w:right="1440"/>
      </w:pPr>
      <w:r>
        <w:t>(A) Establish and maintain such records; (B) make such reports; (C) install, use, and maintain such monitoring equipment, and use such audit procedures, or methods; (D) sample such emissions (in accordanc</w:t>
      </w:r>
      <w:r>
        <w:t>e with such procedures or methods, at such locations, at such intervals, during such periods, and in such manner as the Administrator shall prescribe); (E) keep records on control equipment parameters, production variables or other indirect data when direc</w:t>
      </w:r>
      <w:r>
        <w:t>t monitoring of emissions is impractical; (F) submit compliance certifications in accordance with Section 114(a)(3); and (G) provide such other information as the Administrator may reasonably require.</w:t>
      </w:r>
    </w:p>
    <w:p w:rsidR="00EE300C" w:rsidRDefault="00445D37">
      <w:pPr>
        <w:spacing w:after="240" w:line="360" w:lineRule="auto"/>
        <w:ind w:firstLine="720"/>
      </w:pPr>
      <w:r>
        <w:rPr>
          <w:color w:val="000000"/>
        </w:rPr>
        <w:t>In the Administrator's judgment,</w:t>
      </w:r>
      <w:r>
        <w:rPr>
          <w:color w:val="FF0000"/>
        </w:rPr>
        <w:t xml:space="preserve"> </w:t>
      </w:r>
      <w:r>
        <w:t xml:space="preserve">HAP </w:t>
      </w:r>
      <w:r>
        <w:rPr>
          <w:color w:val="000000"/>
        </w:rPr>
        <w:t>emissions from PC,</w:t>
      </w:r>
      <w:r>
        <w:rPr>
          <w:color w:val="000000"/>
        </w:rPr>
        <w:t xml:space="preserve"> AMF, AR and HF production</w:t>
      </w:r>
      <w:r>
        <w:t xml:space="preserve"> </w:t>
      </w:r>
      <w:r>
        <w:rPr>
          <w:color w:val="000000"/>
        </w:rPr>
        <w:t>cause or contribute to air pollution that may reasonably be anticipated to endanger public health or welfare</w:t>
      </w:r>
      <w:r>
        <w:t>. Therefore, the NESHAP standards were promulgated for these source categories at 40 CFR part 63, subpart YY.</w:t>
      </w:r>
    </w:p>
    <w:p w:rsidR="00EE300C" w:rsidRDefault="00445D37">
      <w:pPr>
        <w:spacing w:after="240" w:line="360" w:lineRule="auto"/>
        <w:ind w:firstLine="720"/>
        <w:rPr>
          <w:b/>
          <w:bCs/>
        </w:rPr>
      </w:pPr>
      <w:r>
        <w:rPr>
          <w:b/>
          <w:bCs/>
        </w:rPr>
        <w:t>2(b</w:t>
      </w:r>
      <w:proofErr w:type="gramStart"/>
      <w:r>
        <w:rPr>
          <w:b/>
          <w:bCs/>
        </w:rPr>
        <w:t xml:space="preserve">)  </w:t>
      </w:r>
      <w:r>
        <w:rPr>
          <w:b/>
          <w:bCs/>
        </w:rPr>
        <w:t>Practical</w:t>
      </w:r>
      <w:proofErr w:type="gramEnd"/>
      <w:r>
        <w:rPr>
          <w:b/>
          <w:bCs/>
        </w:rPr>
        <w:t xml:space="preserve"> Utility/Users of the Data</w:t>
      </w:r>
    </w:p>
    <w:p w:rsidR="00EE300C" w:rsidRDefault="00445D37">
      <w:pPr>
        <w:spacing w:after="240" w:line="360" w:lineRule="auto"/>
        <w:ind w:firstLine="720"/>
      </w:pPr>
      <w:r>
        <w:t xml:space="preserve">The recordkeeping and reporting requirements in the standard ensure compliance with the applicable regulations which were promulgated in accordance with the Clean Air Act. In addition, </w:t>
      </w:r>
      <w:r>
        <w:lastRenderedPageBreak/>
        <w:t>the collected information is used f</w:t>
      </w:r>
      <w:r>
        <w:t>or targeting inspections and as evidence in legal proceedings.</w:t>
      </w:r>
    </w:p>
    <w:p w:rsidR="00EE300C" w:rsidRDefault="00445D37">
      <w:pPr>
        <w:spacing w:after="240" w:line="360" w:lineRule="auto"/>
        <w:ind w:firstLine="720"/>
      </w:pPr>
      <w:r>
        <w:t>Performance tests are required in order to determine an affected facility’s initial capability to comply with the emission standard. Continuous emission monitors are used to ensure compliance w</w:t>
      </w:r>
      <w:r>
        <w:t>ith the standard at all times. During the performance tests, a record of the operating parameters under which compliance was achieved may be recorded and used to determine compliance in place of a continuous emission monitor.</w:t>
      </w:r>
    </w:p>
    <w:p w:rsidR="00EE300C" w:rsidRDefault="00445D37">
      <w:pPr>
        <w:spacing w:after="240" w:line="360" w:lineRule="auto"/>
        <w:ind w:firstLine="720"/>
      </w:pPr>
      <w:r>
        <w:t xml:space="preserve">The notifications required in </w:t>
      </w:r>
      <w:r>
        <w:t xml:space="preserve">the standard are used to inform the Agency or delegated authority when a source becomes subject to the requirements of the regulations. The reviewing authority may then inspect the source to ensure that the pollution control devices are properly installed </w:t>
      </w:r>
      <w:r>
        <w:t>and operated, that leaks are being detected and repaired, and that the standards are being met. The performance test may also be observed.</w:t>
      </w:r>
    </w:p>
    <w:p w:rsidR="00EE300C" w:rsidRDefault="00445D37">
      <w:pPr>
        <w:spacing w:after="240" w:line="360" w:lineRule="auto"/>
        <w:ind w:firstLine="720"/>
      </w:pPr>
      <w:r>
        <w:t>The required semiannual reports are used to determine periods of excess emissions, identify problems at the facility,</w:t>
      </w:r>
      <w:r>
        <w:t xml:space="preserve"> verify operation/maintenance procedures, and for compliance determinations.</w:t>
      </w:r>
    </w:p>
    <w:p w:rsidR="00EE300C" w:rsidRDefault="00445D37">
      <w:pPr>
        <w:spacing w:after="240" w:line="360" w:lineRule="auto"/>
      </w:pPr>
      <w:r>
        <w:tab/>
        <w:t>The information generated by the monitoring, recordkeeping and reporting requirements described in this ICR is used by the Agency to ensure that facilities affected by the NESHAP</w:t>
      </w:r>
      <w:r>
        <w:t xml:space="preserve"> continues to operate the control equipment in compliance with the regulation.</w:t>
      </w:r>
    </w:p>
    <w:p w:rsidR="00EE300C" w:rsidRDefault="00445D37">
      <w:pPr>
        <w:spacing w:after="240" w:line="360" w:lineRule="auto"/>
      </w:pPr>
      <w:r>
        <w:rPr>
          <w:b/>
          <w:bCs/>
        </w:rPr>
        <w:t>3.  Non-duplication, Consultations, and Other Collection Criteria</w:t>
      </w:r>
    </w:p>
    <w:p w:rsidR="00EE300C" w:rsidRDefault="00445D37">
      <w:pPr>
        <w:spacing w:after="240" w:line="360" w:lineRule="auto"/>
        <w:ind w:firstLine="720"/>
      </w:pPr>
      <w:r>
        <w:rPr>
          <w:b/>
          <w:bCs/>
        </w:rPr>
        <w:t>3(a</w:t>
      </w:r>
      <w:proofErr w:type="gramStart"/>
      <w:r>
        <w:rPr>
          <w:b/>
          <w:bCs/>
        </w:rPr>
        <w:t>)  Non</w:t>
      </w:r>
      <w:proofErr w:type="gramEnd"/>
      <w:r>
        <w:rPr>
          <w:b/>
          <w:bCs/>
        </w:rPr>
        <w:t>-duplication</w:t>
      </w:r>
    </w:p>
    <w:p w:rsidR="00EE300C" w:rsidRDefault="00445D37">
      <w:pPr>
        <w:spacing w:after="240" w:line="360" w:lineRule="auto"/>
        <w:ind w:firstLine="720"/>
      </w:pPr>
      <w:r>
        <w:t xml:space="preserve">A search of EPA’s existing standards and ongoing ICR’s revealed no duplication of </w:t>
      </w:r>
      <w:r>
        <w:t>information gathering efforts. However, certain reports required by State or local agencies may duplicate information required by this NESHAP. In these cases, a copy of the report submitted to the State or local agency can be sent to the Administrator in l</w:t>
      </w:r>
      <w:r>
        <w:t>ieu of the report required by the Federal standards. Therefore, no duplication exists.</w:t>
      </w:r>
    </w:p>
    <w:p w:rsidR="00EE300C" w:rsidRDefault="00EE300C">
      <w:pPr>
        <w:spacing w:after="240" w:line="360" w:lineRule="auto"/>
        <w:ind w:firstLine="720"/>
        <w:rPr>
          <w:b/>
          <w:bCs/>
        </w:rPr>
      </w:pPr>
    </w:p>
    <w:p w:rsidR="00EE300C" w:rsidRDefault="00EE300C">
      <w:pPr>
        <w:spacing w:after="240" w:line="360" w:lineRule="auto"/>
        <w:ind w:firstLine="720"/>
        <w:rPr>
          <w:b/>
          <w:bCs/>
        </w:rPr>
      </w:pPr>
    </w:p>
    <w:p w:rsidR="00EE300C" w:rsidRDefault="00445D37">
      <w:pPr>
        <w:spacing w:after="240" w:line="360" w:lineRule="auto"/>
        <w:ind w:firstLine="720"/>
      </w:pPr>
      <w:r>
        <w:rPr>
          <w:b/>
          <w:bCs/>
        </w:rPr>
        <w:lastRenderedPageBreak/>
        <w:t>3(b</w:t>
      </w:r>
      <w:proofErr w:type="gramStart"/>
      <w:r>
        <w:rPr>
          <w:b/>
          <w:bCs/>
        </w:rPr>
        <w:t>)  Public</w:t>
      </w:r>
      <w:proofErr w:type="gramEnd"/>
      <w:r>
        <w:rPr>
          <w:b/>
          <w:bCs/>
        </w:rPr>
        <w:t xml:space="preserve"> Notice Required Prior to ICR Submission to OMB</w:t>
      </w:r>
    </w:p>
    <w:p w:rsidR="00EE300C" w:rsidRDefault="00445D3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pPr>
      <w:r>
        <w:t xml:space="preserve">This ICR is related to proposed amendments to 40 CFR </w:t>
      </w:r>
      <w:proofErr w:type="gramStart"/>
      <w:r>
        <w:t>part</w:t>
      </w:r>
      <w:proofErr w:type="gramEnd"/>
      <w:r>
        <w:t xml:space="preserve"> 63, subpart YY for the AMF and PC source categori</w:t>
      </w:r>
      <w:r>
        <w:t>es. Comments will be solicited on the proposal package and the proposed ICR.</w:t>
      </w:r>
    </w:p>
    <w:p w:rsidR="00EE300C" w:rsidRDefault="00445D37">
      <w:pPr>
        <w:spacing w:after="240" w:line="360" w:lineRule="auto"/>
        <w:ind w:firstLine="720"/>
        <w:rPr>
          <w:b/>
          <w:bCs/>
        </w:rPr>
      </w:pPr>
      <w:r>
        <w:rPr>
          <w:b/>
          <w:bCs/>
        </w:rPr>
        <w:t>3(c</w:t>
      </w:r>
      <w:proofErr w:type="gramStart"/>
      <w:r>
        <w:rPr>
          <w:b/>
          <w:bCs/>
        </w:rPr>
        <w:t>)  Consultations</w:t>
      </w:r>
      <w:proofErr w:type="gramEnd"/>
    </w:p>
    <w:p w:rsidR="00EE300C" w:rsidRDefault="00445D37">
      <w:pPr>
        <w:spacing w:after="240" w:line="360" w:lineRule="auto"/>
        <w:ind w:firstLine="720"/>
      </w:pPr>
      <w:r>
        <w:t>Over the next three years, an average of 4 PC production facilities, 1 AMF production facility, 2 AR production facilities and 1 HF production facility will be</w:t>
      </w:r>
      <w:r>
        <w:t xml:space="preserve"> subject to the standard and are affected by the amendments to 40 CFR part 63, subpart YY. In estimating the affected number of sources and the growth rate of these source categories subject to this standard, we referenced the most recent ICR, and used oth</w:t>
      </w:r>
      <w:r>
        <w:t>er resources to obtain the most recent data available. We reviewed information available from the Online Tracking Information System (OTIS) which is the primary source of information regarding the number of existing sources. OTIS data was used in conjuncti</w:t>
      </w:r>
      <w:r>
        <w:t xml:space="preserve">on with industry consultation to verify the number of sources and the industry growth rate. </w:t>
      </w:r>
    </w:p>
    <w:p w:rsidR="00EE300C" w:rsidRDefault="00445D37">
      <w:pPr>
        <w:spacing w:after="240" w:line="360" w:lineRule="auto"/>
        <w:ind w:firstLine="720"/>
      </w:pPr>
      <w:r>
        <w:rPr>
          <w:b/>
          <w:bCs/>
        </w:rPr>
        <w:t>3(d</w:t>
      </w:r>
      <w:proofErr w:type="gramStart"/>
      <w:r>
        <w:rPr>
          <w:b/>
          <w:bCs/>
        </w:rPr>
        <w:t>)  Effects</w:t>
      </w:r>
      <w:proofErr w:type="gramEnd"/>
      <w:r>
        <w:rPr>
          <w:b/>
          <w:bCs/>
        </w:rPr>
        <w:t xml:space="preserve"> of Less Frequent Collection</w:t>
      </w:r>
    </w:p>
    <w:p w:rsidR="00EE300C" w:rsidRDefault="00445D37">
      <w:pPr>
        <w:spacing w:after="240" w:line="360" w:lineRule="auto"/>
        <w:ind w:firstLine="720"/>
      </w:pPr>
      <w:r>
        <w:t>Less frequent information collection would decrease the margin of assurance that facilities are continuing to meet the st</w:t>
      </w:r>
      <w:r>
        <w:t xml:space="preserve">andards. Requirements for information gathering and recordkeeping are useful techniques to ensure that good operation and maintenance practices are applied and emission limitations are met. If the information required by these standards was collected less </w:t>
      </w:r>
      <w:r>
        <w:t>frequently, the proper operation and maintenance of control equipment and the possibility of detecting violations would be less likely.</w:t>
      </w:r>
    </w:p>
    <w:p w:rsidR="00EE300C" w:rsidRDefault="00445D37">
      <w:pPr>
        <w:spacing w:after="240" w:line="360" w:lineRule="auto"/>
        <w:ind w:firstLine="720"/>
      </w:pPr>
      <w:r>
        <w:rPr>
          <w:b/>
          <w:bCs/>
        </w:rPr>
        <w:t>3(e</w:t>
      </w:r>
      <w:proofErr w:type="gramStart"/>
      <w:r>
        <w:rPr>
          <w:b/>
          <w:bCs/>
        </w:rPr>
        <w:t>)  General</w:t>
      </w:r>
      <w:proofErr w:type="gramEnd"/>
      <w:r>
        <w:rPr>
          <w:b/>
          <w:bCs/>
        </w:rPr>
        <w:t xml:space="preserve"> Guidelines</w:t>
      </w:r>
    </w:p>
    <w:p w:rsidR="00EE300C" w:rsidRDefault="00445D37">
      <w:pPr>
        <w:spacing w:after="240" w:line="360" w:lineRule="auto"/>
        <w:ind w:firstLine="720"/>
      </w:pPr>
      <w:r>
        <w:t>These reporting or recordkeeping requirements are consistent with the regulations established b</w:t>
      </w:r>
      <w:r>
        <w:t>y OMB at 5 CFR part 1320, section 1320.5.</w:t>
      </w:r>
    </w:p>
    <w:p w:rsidR="00EE300C" w:rsidRDefault="00445D37">
      <w:pPr>
        <w:spacing w:after="240" w:line="360" w:lineRule="auto"/>
        <w:ind w:firstLine="720"/>
      </w:pPr>
      <w:r>
        <w:t>These standards require the respondents to maintain all records, including reports and notifications for at least five years. This is consistent with the General Provisions as applied to the standards. EPA believes</w:t>
      </w:r>
      <w:r>
        <w:t xml:space="preserve"> that the five-year records retention requirement is consistent with the Part </w:t>
      </w:r>
      <w:r>
        <w:lastRenderedPageBreak/>
        <w:t xml:space="preserve">70 permit program and the five-year statute of limitations on which the permit program is based. </w:t>
      </w:r>
      <w:r>
        <w:rPr>
          <w:rFonts w:eastAsia="Times New Roman"/>
          <w:color w:val="000000"/>
          <w:lang w:eastAsia="en-US"/>
        </w:rPr>
        <w:t>The retention of records for five years allows EPA to establish the compliance hi</w:t>
      </w:r>
      <w:r>
        <w:rPr>
          <w:rFonts w:eastAsia="Times New Roman"/>
          <w:color w:val="000000"/>
          <w:lang w:eastAsia="en-US"/>
        </w:rPr>
        <w:t>story of a source, any pattern of non-compliance, and to determine the appropriate level of enforcement action. EPA has found that the most flagrant violators have violations extending beyond the five years. Without the five-year record retention, EPA woul</w:t>
      </w:r>
      <w:r>
        <w:rPr>
          <w:rFonts w:eastAsia="Times New Roman"/>
          <w:color w:val="000000"/>
          <w:lang w:eastAsia="en-US"/>
        </w:rPr>
        <w:t>d be prevented from pursuing the violators due to the destruction or nonexistence of essential records.</w:t>
      </w:r>
    </w:p>
    <w:p w:rsidR="00EE300C" w:rsidRDefault="00445D37">
      <w:pPr>
        <w:spacing w:after="240" w:line="360" w:lineRule="auto"/>
        <w:ind w:firstLine="720"/>
        <w:rPr>
          <w:b/>
          <w:bCs/>
        </w:rPr>
      </w:pPr>
      <w:r>
        <w:rPr>
          <w:b/>
          <w:bCs/>
        </w:rPr>
        <w:t>3(f</w:t>
      </w:r>
      <w:proofErr w:type="gramStart"/>
      <w:r>
        <w:rPr>
          <w:b/>
          <w:bCs/>
        </w:rPr>
        <w:t>)  Confidentiality</w:t>
      </w:r>
      <w:proofErr w:type="gramEnd"/>
    </w:p>
    <w:p w:rsidR="00EE300C" w:rsidRDefault="00445D37">
      <w:pPr>
        <w:spacing w:after="240" w:line="360" w:lineRule="auto"/>
        <w:ind w:firstLine="720"/>
      </w:pPr>
      <w:r>
        <w:t>Any information submitted to the Agency for which a claim of confidentiality is made will be safeguarded according to the Agency p</w:t>
      </w:r>
      <w:r>
        <w:t xml:space="preserve">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EE300C" w:rsidRDefault="00445D37">
      <w:pPr>
        <w:spacing w:after="240" w:line="360" w:lineRule="auto"/>
        <w:ind w:firstLine="720"/>
      </w:pPr>
      <w:r>
        <w:rPr>
          <w:b/>
          <w:bCs/>
        </w:rPr>
        <w:t>3</w:t>
      </w:r>
      <w:r>
        <w:rPr>
          <w:b/>
          <w:bCs/>
        </w:rPr>
        <w:t>(g</w:t>
      </w:r>
      <w:proofErr w:type="gramStart"/>
      <w:r>
        <w:rPr>
          <w:b/>
          <w:bCs/>
        </w:rPr>
        <w:t>)  Sensitive</w:t>
      </w:r>
      <w:proofErr w:type="gramEnd"/>
      <w:r>
        <w:rPr>
          <w:b/>
          <w:bCs/>
        </w:rPr>
        <w:t xml:space="preserve"> Questions</w:t>
      </w:r>
    </w:p>
    <w:p w:rsidR="00EE300C" w:rsidRDefault="00445D37">
      <w:pPr>
        <w:spacing w:after="240" w:line="360" w:lineRule="auto"/>
        <w:ind w:firstLine="720"/>
      </w:pPr>
      <w:r>
        <w:t>None of the reporting or recordkeeping requirements contain sensitive questions.</w:t>
      </w:r>
    </w:p>
    <w:p w:rsidR="00EE300C" w:rsidRDefault="00445D37">
      <w:pPr>
        <w:spacing w:after="240" w:line="360" w:lineRule="auto"/>
        <w:rPr>
          <w:b/>
          <w:bCs/>
        </w:rPr>
      </w:pPr>
      <w:r>
        <w:rPr>
          <w:b/>
          <w:bCs/>
        </w:rPr>
        <w:t>4.  The Respondents and the Information Requested</w:t>
      </w:r>
    </w:p>
    <w:p w:rsidR="00EE300C" w:rsidRDefault="00445D37">
      <w:pPr>
        <w:spacing w:after="240" w:line="360" w:lineRule="auto"/>
        <w:ind w:firstLine="720"/>
        <w:rPr>
          <w:b/>
          <w:bCs/>
        </w:rPr>
      </w:pPr>
      <w:r>
        <w:rPr>
          <w:b/>
          <w:bCs/>
        </w:rPr>
        <w:t>4(a</w:t>
      </w:r>
      <w:proofErr w:type="gramStart"/>
      <w:r>
        <w:rPr>
          <w:b/>
          <w:bCs/>
        </w:rPr>
        <w:t>)  Respondents</w:t>
      </w:r>
      <w:proofErr w:type="gramEnd"/>
    </w:p>
    <w:p w:rsidR="00EE300C" w:rsidRDefault="00445D37">
      <w:pPr>
        <w:spacing w:after="240" w:line="360" w:lineRule="auto"/>
        <w:ind w:firstLine="720"/>
      </w:pPr>
      <w:r>
        <w:t xml:space="preserve">The respondents affected by the amendments to 40 CFR part 63, subpart YY are </w:t>
      </w:r>
      <w:r>
        <w:t>facilities that produce p</w:t>
      </w:r>
      <w:r>
        <w:rPr>
          <w:color w:val="000000"/>
        </w:rPr>
        <w:t>olycarbonates and acrylic and modacrylic fibers</w:t>
      </w:r>
      <w:r>
        <w:t>. The United States Standard Industrial Classification (SIC) codes, which correspond to the North American Industry Classification System (NAICS) codes, could be found in the following</w:t>
      </w:r>
      <w:r>
        <w:t xml:space="preserve"> table:</w:t>
      </w:r>
    </w:p>
    <w:p w:rsidR="00EE300C" w:rsidRDefault="00EE300C">
      <w:pPr>
        <w:spacing w:after="240" w:line="360" w:lineRule="auto"/>
        <w:ind w:firstLine="720"/>
      </w:pPr>
    </w:p>
    <w:p w:rsidR="00EE300C" w:rsidRDefault="00EE300C">
      <w:pPr>
        <w:spacing w:after="240" w:line="360" w:lineRule="auto"/>
        <w:ind w:firstLine="720"/>
      </w:pPr>
    </w:p>
    <w:p w:rsidR="00EE300C" w:rsidRDefault="00EE300C">
      <w:pPr>
        <w:spacing w:after="240" w:line="360" w:lineRule="auto"/>
        <w:ind w:firstLine="720"/>
      </w:pPr>
    </w:p>
    <w:p w:rsidR="00EE300C" w:rsidRDefault="00EE300C">
      <w:pPr>
        <w:spacing w:after="240" w:line="360" w:lineRule="auto"/>
        <w:ind w:firstLine="720"/>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8"/>
        <w:gridCol w:w="1636"/>
        <w:gridCol w:w="1636"/>
      </w:tblGrid>
      <w:tr w:rsidR="00EE300C">
        <w:tc>
          <w:tcPr>
            <w:tcW w:w="6358" w:type="dxa"/>
            <w:shd w:val="clear" w:color="auto" w:fill="auto"/>
            <w:vAlign w:val="center"/>
          </w:tcPr>
          <w:p w:rsidR="00EE300C" w:rsidRDefault="00445D37">
            <w:pPr>
              <w:spacing w:after="240"/>
              <w:contextualSpacing/>
              <w:jc w:val="center"/>
              <w:rPr>
                <w:b/>
              </w:rPr>
            </w:pPr>
            <w:r>
              <w:rPr>
                <w:b/>
              </w:rPr>
              <w:lastRenderedPageBreak/>
              <w:t>Standard (40 CFR part 63, subpart YY)</w:t>
            </w:r>
          </w:p>
        </w:tc>
        <w:tc>
          <w:tcPr>
            <w:tcW w:w="1636" w:type="dxa"/>
            <w:shd w:val="clear" w:color="auto" w:fill="auto"/>
            <w:vAlign w:val="center"/>
          </w:tcPr>
          <w:p w:rsidR="00EE300C" w:rsidRDefault="00445D37">
            <w:pPr>
              <w:spacing w:after="240"/>
              <w:contextualSpacing/>
              <w:jc w:val="center"/>
              <w:rPr>
                <w:b/>
              </w:rPr>
            </w:pPr>
            <w:r>
              <w:rPr>
                <w:b/>
              </w:rPr>
              <w:t>SIC Codes</w:t>
            </w:r>
          </w:p>
        </w:tc>
        <w:tc>
          <w:tcPr>
            <w:tcW w:w="1636" w:type="dxa"/>
            <w:shd w:val="clear" w:color="auto" w:fill="auto"/>
            <w:vAlign w:val="center"/>
          </w:tcPr>
          <w:p w:rsidR="00EE300C" w:rsidRDefault="00445D37">
            <w:pPr>
              <w:spacing w:after="240"/>
              <w:contextualSpacing/>
              <w:jc w:val="center"/>
              <w:rPr>
                <w:b/>
              </w:rPr>
            </w:pPr>
            <w:r>
              <w:rPr>
                <w:b/>
              </w:rPr>
              <w:t>NAICS Codes</w:t>
            </w:r>
          </w:p>
        </w:tc>
      </w:tr>
      <w:tr w:rsidR="00EE300C">
        <w:trPr>
          <w:trHeight w:val="432"/>
        </w:trPr>
        <w:tc>
          <w:tcPr>
            <w:tcW w:w="6358" w:type="dxa"/>
            <w:shd w:val="clear" w:color="auto" w:fill="auto"/>
            <w:vAlign w:val="center"/>
          </w:tcPr>
          <w:p w:rsidR="00EE300C" w:rsidRDefault="00445D37">
            <w:r>
              <w:t>Polycarbonates (PC) Production (Synthetic Rubber Manufacturing</w:t>
            </w:r>
          </w:p>
        </w:tc>
        <w:tc>
          <w:tcPr>
            <w:tcW w:w="1636" w:type="dxa"/>
            <w:shd w:val="clear" w:color="auto" w:fill="auto"/>
            <w:vAlign w:val="center"/>
          </w:tcPr>
          <w:p w:rsidR="00EE300C" w:rsidRDefault="00445D37">
            <w:pPr>
              <w:jc w:val="center"/>
            </w:pPr>
            <w:r>
              <w:t>2822</w:t>
            </w:r>
          </w:p>
        </w:tc>
        <w:tc>
          <w:tcPr>
            <w:tcW w:w="1636" w:type="dxa"/>
            <w:shd w:val="clear" w:color="auto" w:fill="auto"/>
            <w:vAlign w:val="center"/>
          </w:tcPr>
          <w:p w:rsidR="00EE300C" w:rsidRDefault="00445D37">
            <w:pPr>
              <w:jc w:val="center"/>
            </w:pPr>
            <w:r>
              <w:t>325211</w:t>
            </w:r>
          </w:p>
        </w:tc>
      </w:tr>
      <w:tr w:rsidR="00EE300C">
        <w:trPr>
          <w:trHeight w:val="432"/>
        </w:trPr>
        <w:tc>
          <w:tcPr>
            <w:tcW w:w="6358" w:type="dxa"/>
            <w:shd w:val="clear" w:color="auto" w:fill="auto"/>
            <w:vAlign w:val="center"/>
          </w:tcPr>
          <w:p w:rsidR="00EE300C" w:rsidRDefault="00445D37">
            <w:r>
              <w:t>Acrylic and Modacrylic Fibers (AMF) Production (Manmade Organic Fibers, Except Cellulosic)</w:t>
            </w:r>
          </w:p>
        </w:tc>
        <w:tc>
          <w:tcPr>
            <w:tcW w:w="1636" w:type="dxa"/>
            <w:shd w:val="clear" w:color="auto" w:fill="auto"/>
            <w:vAlign w:val="center"/>
          </w:tcPr>
          <w:p w:rsidR="00EE300C" w:rsidRDefault="00445D37">
            <w:pPr>
              <w:jc w:val="center"/>
            </w:pPr>
            <w:r>
              <w:t>2824</w:t>
            </w:r>
          </w:p>
        </w:tc>
        <w:tc>
          <w:tcPr>
            <w:tcW w:w="1636" w:type="dxa"/>
            <w:shd w:val="clear" w:color="auto" w:fill="auto"/>
            <w:vAlign w:val="center"/>
          </w:tcPr>
          <w:p w:rsidR="00EE300C" w:rsidRDefault="00445D37">
            <w:pPr>
              <w:jc w:val="center"/>
            </w:pPr>
            <w:r>
              <w:t>325220</w:t>
            </w:r>
          </w:p>
        </w:tc>
      </w:tr>
      <w:tr w:rsidR="00EE300C">
        <w:trPr>
          <w:trHeight w:val="432"/>
        </w:trPr>
        <w:tc>
          <w:tcPr>
            <w:tcW w:w="6358" w:type="dxa"/>
            <w:shd w:val="clear" w:color="auto" w:fill="auto"/>
            <w:vAlign w:val="center"/>
          </w:tcPr>
          <w:p w:rsidR="00EE300C" w:rsidRDefault="00445D37">
            <w:r>
              <w:t xml:space="preserve">Acetal Resins (AR) Production (Plastic Materials, Synthetic and Resins, and </w:t>
            </w:r>
            <w:proofErr w:type="spellStart"/>
            <w:r>
              <w:t>Nonvulcanizable</w:t>
            </w:r>
            <w:proofErr w:type="spellEnd"/>
            <w:r>
              <w:t xml:space="preserve"> </w:t>
            </w:r>
            <w:proofErr w:type="spellStart"/>
            <w:r>
              <w:t>Elastomers</w:t>
            </w:r>
            <w:proofErr w:type="spellEnd"/>
            <w:r>
              <w:t>)</w:t>
            </w:r>
          </w:p>
        </w:tc>
        <w:tc>
          <w:tcPr>
            <w:tcW w:w="1636" w:type="dxa"/>
            <w:shd w:val="clear" w:color="auto" w:fill="auto"/>
            <w:vAlign w:val="center"/>
          </w:tcPr>
          <w:p w:rsidR="00EE300C" w:rsidRDefault="00445D37">
            <w:pPr>
              <w:jc w:val="center"/>
            </w:pPr>
            <w:r>
              <w:t>2821</w:t>
            </w:r>
          </w:p>
        </w:tc>
        <w:tc>
          <w:tcPr>
            <w:tcW w:w="1636" w:type="dxa"/>
            <w:shd w:val="clear" w:color="auto" w:fill="auto"/>
            <w:vAlign w:val="center"/>
          </w:tcPr>
          <w:p w:rsidR="00EE300C" w:rsidRDefault="00445D37">
            <w:pPr>
              <w:jc w:val="center"/>
            </w:pPr>
            <w:r>
              <w:t>325211</w:t>
            </w:r>
          </w:p>
        </w:tc>
      </w:tr>
      <w:tr w:rsidR="00EE300C">
        <w:trPr>
          <w:trHeight w:val="432"/>
        </w:trPr>
        <w:tc>
          <w:tcPr>
            <w:tcW w:w="6358" w:type="dxa"/>
            <w:shd w:val="clear" w:color="auto" w:fill="auto"/>
            <w:vAlign w:val="center"/>
          </w:tcPr>
          <w:p w:rsidR="00EE300C" w:rsidRDefault="00445D37">
            <w:r>
              <w:t>Hydrogen Fluoride (HF) Production (Industrial Inorganic Chemicals, Not Elsewhere Classified)</w:t>
            </w:r>
          </w:p>
        </w:tc>
        <w:tc>
          <w:tcPr>
            <w:tcW w:w="1636" w:type="dxa"/>
            <w:shd w:val="clear" w:color="auto" w:fill="auto"/>
            <w:vAlign w:val="center"/>
          </w:tcPr>
          <w:p w:rsidR="00EE300C" w:rsidRDefault="00445D37">
            <w:pPr>
              <w:jc w:val="center"/>
            </w:pPr>
            <w:r>
              <w:t>2819</w:t>
            </w:r>
          </w:p>
        </w:tc>
        <w:tc>
          <w:tcPr>
            <w:tcW w:w="1636" w:type="dxa"/>
            <w:shd w:val="clear" w:color="auto" w:fill="auto"/>
            <w:vAlign w:val="center"/>
          </w:tcPr>
          <w:p w:rsidR="00EE300C" w:rsidRDefault="00445D37">
            <w:pPr>
              <w:jc w:val="center"/>
            </w:pPr>
            <w:r>
              <w:t>325188</w:t>
            </w:r>
          </w:p>
        </w:tc>
      </w:tr>
    </w:tbl>
    <w:p w:rsidR="00EE300C" w:rsidRDefault="00EE300C">
      <w:pPr>
        <w:spacing w:after="240"/>
        <w:ind w:firstLine="720"/>
        <w:rPr>
          <w:b/>
          <w:bCs/>
        </w:rPr>
      </w:pPr>
    </w:p>
    <w:p w:rsidR="00EE300C" w:rsidRDefault="00445D37">
      <w:pPr>
        <w:spacing w:after="240" w:line="360" w:lineRule="auto"/>
        <w:ind w:firstLine="720"/>
        <w:rPr>
          <w:b/>
          <w:bCs/>
        </w:rPr>
      </w:pPr>
      <w:r>
        <w:rPr>
          <w:b/>
          <w:bCs/>
        </w:rPr>
        <w:t>4(b</w:t>
      </w:r>
      <w:proofErr w:type="gramStart"/>
      <w:r>
        <w:rPr>
          <w:b/>
          <w:bCs/>
        </w:rPr>
        <w:t>)  Information</w:t>
      </w:r>
      <w:proofErr w:type="gramEnd"/>
      <w:r>
        <w:rPr>
          <w:b/>
          <w:bCs/>
        </w:rPr>
        <w:t xml:space="preserve"> Requested</w:t>
      </w:r>
    </w:p>
    <w:p w:rsidR="00EE300C" w:rsidRDefault="00445D37">
      <w:pPr>
        <w:spacing w:after="240" w:line="360" w:lineRule="auto"/>
        <w:ind w:firstLine="720"/>
      </w:pPr>
      <w:r>
        <w:rPr>
          <w:bCs/>
        </w:rPr>
        <w:t>None</w:t>
      </w:r>
      <w:r>
        <w:rPr>
          <w:bCs/>
        </w:rPr>
        <w:t xml:space="preserve"> of these reporting and recordkeeping requirements violate any of the regulations established by OMB at 5 CFR part 1320, section 1320.5.</w:t>
      </w:r>
    </w:p>
    <w:p w:rsidR="00EE300C" w:rsidRDefault="00445D37">
      <w:pPr>
        <w:spacing w:after="240" w:line="360" w:lineRule="auto"/>
        <w:ind w:firstLine="1440"/>
        <w:rPr>
          <w:rFonts w:ascii="Agency FB" w:hAnsi="Agency FB"/>
        </w:rPr>
      </w:pPr>
      <w:r>
        <w:rPr>
          <w:b/>
          <w:bCs/>
        </w:rPr>
        <w:t>(</w:t>
      </w:r>
      <w:proofErr w:type="spellStart"/>
      <w:r>
        <w:rPr>
          <w:b/>
          <w:bCs/>
        </w:rPr>
        <w:t>i</w:t>
      </w:r>
      <w:proofErr w:type="spellEnd"/>
      <w:r>
        <w:rPr>
          <w:b/>
          <w:bCs/>
        </w:rPr>
        <w:t>)  Data Items</w:t>
      </w:r>
    </w:p>
    <w:p w:rsidR="00EE300C" w:rsidRDefault="00445D37">
      <w:pPr>
        <w:spacing w:line="360" w:lineRule="auto"/>
      </w:pPr>
      <w:r>
        <w:tab/>
        <w:t xml:space="preserve">All data in this ICR that is recorded and/or reported is required by National Emission Standards for </w:t>
      </w:r>
      <w:r>
        <w:t>Hazardous Air Pollutants for Source Categories: Generic Maximum Achievable Control Technology Standards</w:t>
      </w:r>
      <w:r>
        <w:rPr>
          <w:bCs/>
        </w:rPr>
        <w:t xml:space="preserve"> (40 CFR Part 63, Subpart YY)</w:t>
      </w:r>
      <w:r>
        <w:t>.</w:t>
      </w:r>
    </w:p>
    <w:p w:rsidR="00EE300C" w:rsidRDefault="00445D37">
      <w:pPr>
        <w:spacing w:before="240" w:line="360" w:lineRule="auto"/>
      </w:pPr>
      <w:r>
        <w:tab/>
        <w:t>A source must make the following reports: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8"/>
        <w:gridCol w:w="2880"/>
      </w:tblGrid>
      <w:tr w:rsidR="00EE300C">
        <w:trPr>
          <w:trHeight w:val="432"/>
        </w:trPr>
        <w:tc>
          <w:tcPr>
            <w:tcW w:w="9378" w:type="dxa"/>
            <w:gridSpan w:val="2"/>
            <w:shd w:val="clear" w:color="auto" w:fill="auto"/>
            <w:vAlign w:val="center"/>
          </w:tcPr>
          <w:p w:rsidR="00EE300C" w:rsidRDefault="00445D37">
            <w:pPr>
              <w:jc w:val="center"/>
              <w:rPr>
                <w:b/>
              </w:rPr>
            </w:pPr>
            <w:r>
              <w:rPr>
                <w:b/>
              </w:rPr>
              <w:t>Notifications for 40 CFR part 63, subpart YY</w:t>
            </w:r>
          </w:p>
        </w:tc>
      </w:tr>
      <w:tr w:rsidR="00EE300C">
        <w:trPr>
          <w:trHeight w:val="432"/>
        </w:trPr>
        <w:tc>
          <w:tcPr>
            <w:tcW w:w="6498" w:type="dxa"/>
            <w:shd w:val="clear" w:color="auto" w:fill="auto"/>
            <w:vAlign w:val="center"/>
          </w:tcPr>
          <w:p w:rsidR="00EE300C" w:rsidRDefault="00445D37">
            <w:r>
              <w:t>Application for approval of const</w:t>
            </w:r>
            <w:r>
              <w:t>ruction/reconstruction</w:t>
            </w:r>
          </w:p>
        </w:tc>
        <w:tc>
          <w:tcPr>
            <w:tcW w:w="2880" w:type="dxa"/>
            <w:shd w:val="clear" w:color="auto" w:fill="auto"/>
            <w:vAlign w:val="center"/>
          </w:tcPr>
          <w:p w:rsidR="00EE300C" w:rsidRDefault="00445D37">
            <w:pPr>
              <w:jc w:val="center"/>
            </w:pPr>
            <w:r>
              <w:t>63.5(d), 63.1110(a)</w:t>
            </w:r>
          </w:p>
        </w:tc>
      </w:tr>
      <w:tr w:rsidR="00EE300C">
        <w:trPr>
          <w:trHeight w:val="432"/>
        </w:trPr>
        <w:tc>
          <w:tcPr>
            <w:tcW w:w="6498" w:type="dxa"/>
            <w:shd w:val="clear" w:color="auto" w:fill="auto"/>
            <w:vAlign w:val="center"/>
          </w:tcPr>
          <w:p w:rsidR="00EE300C" w:rsidRDefault="00445D37">
            <w:r>
              <w:t>Notification of initial startup</w:t>
            </w:r>
          </w:p>
        </w:tc>
        <w:tc>
          <w:tcPr>
            <w:tcW w:w="2880" w:type="dxa"/>
            <w:shd w:val="clear" w:color="auto" w:fill="auto"/>
            <w:vAlign w:val="center"/>
          </w:tcPr>
          <w:p w:rsidR="00EE300C" w:rsidRDefault="00445D37">
            <w:pPr>
              <w:jc w:val="center"/>
            </w:pPr>
            <w:r>
              <w:t>63.1110(b)</w:t>
            </w:r>
          </w:p>
        </w:tc>
      </w:tr>
      <w:tr w:rsidR="00EE300C">
        <w:trPr>
          <w:trHeight w:val="432"/>
        </w:trPr>
        <w:tc>
          <w:tcPr>
            <w:tcW w:w="6498" w:type="dxa"/>
            <w:shd w:val="clear" w:color="auto" w:fill="auto"/>
            <w:vAlign w:val="center"/>
          </w:tcPr>
          <w:p w:rsidR="00EE300C" w:rsidRDefault="00445D37">
            <w:r>
              <w:t>Notification of initial applicability</w:t>
            </w:r>
          </w:p>
        </w:tc>
        <w:tc>
          <w:tcPr>
            <w:tcW w:w="2880" w:type="dxa"/>
            <w:shd w:val="clear" w:color="auto" w:fill="auto"/>
            <w:vAlign w:val="center"/>
          </w:tcPr>
          <w:p w:rsidR="00EE300C" w:rsidRDefault="00445D37">
            <w:pPr>
              <w:jc w:val="center"/>
            </w:pPr>
            <w:r>
              <w:t>63.9(b), 63.1110(a), 63.1110(c)</w:t>
            </w:r>
          </w:p>
        </w:tc>
      </w:tr>
      <w:tr w:rsidR="00EE300C">
        <w:trPr>
          <w:trHeight w:val="432"/>
        </w:trPr>
        <w:tc>
          <w:tcPr>
            <w:tcW w:w="6498" w:type="dxa"/>
            <w:shd w:val="clear" w:color="auto" w:fill="auto"/>
            <w:vAlign w:val="center"/>
          </w:tcPr>
          <w:p w:rsidR="00EE300C" w:rsidRDefault="00445D37">
            <w:r>
              <w:t>Notification of compliance status</w:t>
            </w:r>
          </w:p>
        </w:tc>
        <w:tc>
          <w:tcPr>
            <w:tcW w:w="2880" w:type="dxa"/>
            <w:shd w:val="clear" w:color="auto" w:fill="auto"/>
            <w:vAlign w:val="center"/>
          </w:tcPr>
          <w:p w:rsidR="00EE300C" w:rsidRDefault="00445D37">
            <w:pPr>
              <w:jc w:val="center"/>
            </w:pPr>
            <w:r>
              <w:t>63.9(h), 63.1110(d), 63.1110(a)</w:t>
            </w:r>
          </w:p>
        </w:tc>
      </w:tr>
      <w:tr w:rsidR="00EE300C">
        <w:trPr>
          <w:trHeight w:val="432"/>
        </w:trPr>
        <w:tc>
          <w:tcPr>
            <w:tcW w:w="6498" w:type="dxa"/>
            <w:shd w:val="clear" w:color="auto" w:fill="auto"/>
            <w:vAlign w:val="center"/>
          </w:tcPr>
          <w:p w:rsidR="00EE300C" w:rsidRDefault="00445D37">
            <w:r>
              <w:t xml:space="preserve">Notification and report of </w:t>
            </w:r>
            <w:r>
              <w:t>performance test and results</w:t>
            </w:r>
          </w:p>
        </w:tc>
        <w:tc>
          <w:tcPr>
            <w:tcW w:w="2880" w:type="dxa"/>
            <w:shd w:val="clear" w:color="auto" w:fill="auto"/>
            <w:vAlign w:val="center"/>
          </w:tcPr>
          <w:p w:rsidR="00EE300C" w:rsidRDefault="00445D37">
            <w:pPr>
              <w:jc w:val="center"/>
            </w:pPr>
            <w:r>
              <w:t>63.7(b), 63.9(e), 63.10(d)(2), 63.1110(d), 63.1110(a)</w:t>
            </w:r>
          </w:p>
        </w:tc>
      </w:tr>
      <w:tr w:rsidR="00EE300C">
        <w:trPr>
          <w:trHeight w:val="432"/>
        </w:trPr>
        <w:tc>
          <w:tcPr>
            <w:tcW w:w="6498" w:type="dxa"/>
            <w:shd w:val="clear" w:color="auto" w:fill="auto"/>
            <w:vAlign w:val="center"/>
          </w:tcPr>
          <w:p w:rsidR="00EE300C" w:rsidRDefault="00445D37">
            <w:r>
              <w:t>Rescheduled initial performance test</w:t>
            </w:r>
          </w:p>
        </w:tc>
        <w:tc>
          <w:tcPr>
            <w:tcW w:w="2880" w:type="dxa"/>
            <w:shd w:val="clear" w:color="auto" w:fill="auto"/>
            <w:vAlign w:val="center"/>
          </w:tcPr>
          <w:p w:rsidR="00EE300C" w:rsidRDefault="00445D37">
            <w:pPr>
              <w:jc w:val="center"/>
            </w:pPr>
            <w:r>
              <w:t>63.7(b)(2)</w:t>
            </w:r>
          </w:p>
        </w:tc>
      </w:tr>
      <w:tr w:rsidR="00EE300C">
        <w:trPr>
          <w:trHeight w:val="432"/>
        </w:trPr>
        <w:tc>
          <w:tcPr>
            <w:tcW w:w="6498" w:type="dxa"/>
            <w:shd w:val="clear" w:color="auto" w:fill="auto"/>
            <w:vAlign w:val="center"/>
          </w:tcPr>
          <w:p w:rsidR="00EE300C" w:rsidRDefault="00445D37">
            <w:r>
              <w:t>Demonstration of continuous monitoring system</w:t>
            </w:r>
          </w:p>
        </w:tc>
        <w:tc>
          <w:tcPr>
            <w:tcW w:w="2880" w:type="dxa"/>
            <w:shd w:val="clear" w:color="auto" w:fill="auto"/>
            <w:vAlign w:val="center"/>
          </w:tcPr>
          <w:p w:rsidR="00EE300C" w:rsidRDefault="00445D37">
            <w:pPr>
              <w:jc w:val="center"/>
            </w:pPr>
            <w:r>
              <w:t>63.9(g)</w:t>
            </w:r>
          </w:p>
        </w:tc>
      </w:tr>
      <w:tr w:rsidR="00EE300C">
        <w:trPr>
          <w:trHeight w:val="432"/>
        </w:trPr>
        <w:tc>
          <w:tcPr>
            <w:tcW w:w="6498" w:type="dxa"/>
            <w:shd w:val="clear" w:color="auto" w:fill="auto"/>
            <w:vAlign w:val="center"/>
          </w:tcPr>
          <w:p w:rsidR="00EE300C" w:rsidRDefault="00445D37">
            <w:r>
              <w:t>Notification of physical or operational change</w:t>
            </w:r>
          </w:p>
        </w:tc>
        <w:tc>
          <w:tcPr>
            <w:tcW w:w="2880" w:type="dxa"/>
            <w:shd w:val="clear" w:color="auto" w:fill="auto"/>
            <w:vAlign w:val="center"/>
          </w:tcPr>
          <w:p w:rsidR="00EE300C" w:rsidRDefault="00445D37">
            <w:pPr>
              <w:jc w:val="center"/>
            </w:pPr>
            <w:r>
              <w:t>63.8(a)</w:t>
            </w:r>
          </w:p>
        </w:tc>
      </w:tr>
      <w:tr w:rsidR="00EE300C">
        <w:trPr>
          <w:trHeight w:val="432"/>
        </w:trPr>
        <w:tc>
          <w:tcPr>
            <w:tcW w:w="6498" w:type="dxa"/>
            <w:shd w:val="clear" w:color="auto" w:fill="auto"/>
            <w:vAlign w:val="center"/>
          </w:tcPr>
          <w:p w:rsidR="00EE300C" w:rsidRDefault="00445D37">
            <w:r>
              <w:t xml:space="preserve">Opacity or </w:t>
            </w:r>
            <w:r>
              <w:t>visible emissions</w:t>
            </w:r>
          </w:p>
        </w:tc>
        <w:tc>
          <w:tcPr>
            <w:tcW w:w="2880" w:type="dxa"/>
            <w:shd w:val="clear" w:color="auto" w:fill="auto"/>
            <w:vAlign w:val="center"/>
          </w:tcPr>
          <w:p w:rsidR="00EE300C" w:rsidRDefault="00445D37">
            <w:pPr>
              <w:jc w:val="center"/>
            </w:pPr>
            <w:r>
              <w:t>63.10(d)(3)</w:t>
            </w:r>
          </w:p>
        </w:tc>
      </w:tr>
      <w:tr w:rsidR="00EE300C">
        <w:trPr>
          <w:trHeight w:val="432"/>
        </w:trPr>
        <w:tc>
          <w:tcPr>
            <w:tcW w:w="6498" w:type="dxa"/>
            <w:shd w:val="clear" w:color="auto" w:fill="auto"/>
            <w:vAlign w:val="center"/>
          </w:tcPr>
          <w:p w:rsidR="00EE300C" w:rsidRDefault="00445D37">
            <w:r>
              <w:lastRenderedPageBreak/>
              <w:t>Excess emissions and continuous parameter monitoring systems</w:t>
            </w:r>
          </w:p>
          <w:p w:rsidR="00EE300C" w:rsidRDefault="00445D37">
            <w:r>
              <w:t>(CPMS) performance reports</w:t>
            </w:r>
          </w:p>
        </w:tc>
        <w:tc>
          <w:tcPr>
            <w:tcW w:w="2880" w:type="dxa"/>
            <w:shd w:val="clear" w:color="auto" w:fill="auto"/>
            <w:vAlign w:val="center"/>
          </w:tcPr>
          <w:p w:rsidR="00EE300C" w:rsidRDefault="00445D37">
            <w:pPr>
              <w:jc w:val="center"/>
            </w:pPr>
            <w:r>
              <w:t>63.1110(a)</w:t>
            </w:r>
          </w:p>
        </w:tc>
      </w:tr>
    </w:tbl>
    <w:p w:rsidR="00EE300C" w:rsidRDefault="00EE300C">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7"/>
        <w:gridCol w:w="2873"/>
      </w:tblGrid>
      <w:tr w:rsidR="00EE300C">
        <w:trPr>
          <w:trHeight w:val="432"/>
        </w:trPr>
        <w:tc>
          <w:tcPr>
            <w:tcW w:w="9350" w:type="dxa"/>
            <w:gridSpan w:val="2"/>
            <w:shd w:val="clear" w:color="auto" w:fill="auto"/>
            <w:vAlign w:val="center"/>
          </w:tcPr>
          <w:p w:rsidR="00EE300C" w:rsidRDefault="00445D37">
            <w:pPr>
              <w:jc w:val="center"/>
              <w:rPr>
                <w:b/>
              </w:rPr>
            </w:pPr>
            <w:r>
              <w:rPr>
                <w:b/>
              </w:rPr>
              <w:t>Reports for 40 CFR part 63, subpart YY</w:t>
            </w:r>
          </w:p>
        </w:tc>
      </w:tr>
      <w:tr w:rsidR="00EE300C">
        <w:trPr>
          <w:trHeight w:val="432"/>
        </w:trPr>
        <w:tc>
          <w:tcPr>
            <w:tcW w:w="6477" w:type="dxa"/>
            <w:shd w:val="clear" w:color="auto" w:fill="auto"/>
            <w:vAlign w:val="center"/>
          </w:tcPr>
          <w:p w:rsidR="00EE300C" w:rsidRDefault="00445D37">
            <w:r>
              <w:t xml:space="preserve">Periodic reports (Semiannual or according to the schedule for Title V) with </w:t>
            </w:r>
            <w:r>
              <w:t>information on excess emissions and on the implementation of leak detection and repair standard provisions</w:t>
            </w:r>
          </w:p>
        </w:tc>
        <w:tc>
          <w:tcPr>
            <w:tcW w:w="2873" w:type="dxa"/>
            <w:shd w:val="clear" w:color="auto" w:fill="auto"/>
            <w:vAlign w:val="center"/>
          </w:tcPr>
          <w:p w:rsidR="00EE300C" w:rsidRDefault="00445D37">
            <w:pPr>
              <w:jc w:val="center"/>
            </w:pPr>
            <w:r>
              <w:t>63.1110(e), 63.1108(a), 63.1109</w:t>
            </w:r>
          </w:p>
        </w:tc>
      </w:tr>
    </w:tbl>
    <w:p w:rsidR="00EE300C" w:rsidRDefault="00EE300C">
      <w:pPr>
        <w:spacing w:line="360" w:lineRule="auto"/>
      </w:pPr>
    </w:p>
    <w:p w:rsidR="00EE300C" w:rsidRDefault="00445D37">
      <w:pPr>
        <w:spacing w:line="360" w:lineRule="auto"/>
      </w:pPr>
      <w:r>
        <w:t>A source must keep the following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8"/>
        <w:gridCol w:w="2880"/>
      </w:tblGrid>
      <w:tr w:rsidR="00EE300C">
        <w:trPr>
          <w:trHeight w:val="432"/>
        </w:trPr>
        <w:tc>
          <w:tcPr>
            <w:tcW w:w="9378" w:type="dxa"/>
            <w:gridSpan w:val="2"/>
            <w:shd w:val="clear" w:color="auto" w:fill="auto"/>
            <w:vAlign w:val="center"/>
          </w:tcPr>
          <w:p w:rsidR="00EE300C" w:rsidRDefault="00445D37">
            <w:pPr>
              <w:jc w:val="center"/>
              <w:rPr>
                <w:b/>
              </w:rPr>
            </w:pPr>
            <w:r>
              <w:rPr>
                <w:b/>
              </w:rPr>
              <w:t>Recordkeeping for 40 CFR part 63, subpart YY</w:t>
            </w:r>
          </w:p>
        </w:tc>
      </w:tr>
      <w:tr w:rsidR="00EE300C">
        <w:trPr>
          <w:trHeight w:val="432"/>
        </w:trPr>
        <w:tc>
          <w:tcPr>
            <w:tcW w:w="6498" w:type="dxa"/>
            <w:shd w:val="clear" w:color="auto" w:fill="auto"/>
            <w:vAlign w:val="center"/>
          </w:tcPr>
          <w:p w:rsidR="00EE300C" w:rsidRDefault="00445D37">
            <w:r>
              <w:t xml:space="preserve">Maintain records of </w:t>
            </w:r>
            <w:r>
              <w:t>startup, shutdown, malfunctions periods when excess emissions have occurred during the reporting period</w:t>
            </w:r>
          </w:p>
        </w:tc>
        <w:tc>
          <w:tcPr>
            <w:tcW w:w="2880" w:type="dxa"/>
            <w:shd w:val="clear" w:color="auto" w:fill="auto"/>
            <w:vAlign w:val="center"/>
          </w:tcPr>
          <w:p w:rsidR="00EE300C" w:rsidRDefault="00445D37">
            <w:pPr>
              <w:jc w:val="center"/>
            </w:pPr>
            <w:r>
              <w:t>63.10(b)(2), 63.1109(a)</w:t>
            </w:r>
          </w:p>
        </w:tc>
      </w:tr>
      <w:tr w:rsidR="00EE300C">
        <w:trPr>
          <w:trHeight w:val="432"/>
        </w:trPr>
        <w:tc>
          <w:tcPr>
            <w:tcW w:w="6498" w:type="dxa"/>
            <w:shd w:val="clear" w:color="auto" w:fill="auto"/>
            <w:vAlign w:val="center"/>
          </w:tcPr>
          <w:p w:rsidR="00EE300C" w:rsidRDefault="00445D37">
            <w:r>
              <w:t>Maintain records of performance test and performance evaluation results</w:t>
            </w:r>
          </w:p>
        </w:tc>
        <w:tc>
          <w:tcPr>
            <w:tcW w:w="2880" w:type="dxa"/>
            <w:shd w:val="clear" w:color="auto" w:fill="auto"/>
            <w:vAlign w:val="center"/>
          </w:tcPr>
          <w:p w:rsidR="00EE300C" w:rsidRDefault="00445D37">
            <w:pPr>
              <w:jc w:val="center"/>
            </w:pPr>
            <w:r>
              <w:t>63.1109(a)</w:t>
            </w:r>
          </w:p>
        </w:tc>
      </w:tr>
      <w:tr w:rsidR="00EE300C">
        <w:trPr>
          <w:trHeight w:val="432"/>
        </w:trPr>
        <w:tc>
          <w:tcPr>
            <w:tcW w:w="6498" w:type="dxa"/>
            <w:shd w:val="clear" w:color="auto" w:fill="auto"/>
            <w:vAlign w:val="center"/>
          </w:tcPr>
          <w:p w:rsidR="00EE300C" w:rsidRDefault="00445D37">
            <w:r>
              <w:t>Maintain records of all reports and notific</w:t>
            </w:r>
            <w:r>
              <w:t>ations</w:t>
            </w:r>
          </w:p>
        </w:tc>
        <w:tc>
          <w:tcPr>
            <w:tcW w:w="2880" w:type="dxa"/>
            <w:shd w:val="clear" w:color="auto" w:fill="auto"/>
            <w:vAlign w:val="center"/>
          </w:tcPr>
          <w:p w:rsidR="00EE300C" w:rsidRDefault="00445D37">
            <w:pPr>
              <w:jc w:val="center"/>
            </w:pPr>
            <w:r>
              <w:t>63.10(b), 63.1109(a)</w:t>
            </w:r>
          </w:p>
        </w:tc>
      </w:tr>
      <w:tr w:rsidR="00EE300C">
        <w:trPr>
          <w:trHeight w:val="432"/>
        </w:trPr>
        <w:tc>
          <w:tcPr>
            <w:tcW w:w="6498" w:type="dxa"/>
            <w:shd w:val="clear" w:color="auto" w:fill="auto"/>
            <w:vAlign w:val="center"/>
          </w:tcPr>
          <w:p w:rsidR="00EE300C" w:rsidRDefault="00445D37">
            <w:r>
              <w:t>Maintain record of applicability</w:t>
            </w:r>
          </w:p>
        </w:tc>
        <w:tc>
          <w:tcPr>
            <w:tcW w:w="2880" w:type="dxa"/>
            <w:shd w:val="clear" w:color="auto" w:fill="auto"/>
            <w:vAlign w:val="center"/>
          </w:tcPr>
          <w:p w:rsidR="00EE300C" w:rsidRDefault="00445D37">
            <w:pPr>
              <w:jc w:val="center"/>
            </w:pPr>
            <w:r>
              <w:t>63.10(b)(3), 63.1109(d)</w:t>
            </w:r>
          </w:p>
        </w:tc>
      </w:tr>
      <w:tr w:rsidR="00EE300C">
        <w:trPr>
          <w:trHeight w:val="432"/>
        </w:trPr>
        <w:tc>
          <w:tcPr>
            <w:tcW w:w="6498" w:type="dxa"/>
            <w:shd w:val="clear" w:color="auto" w:fill="auto"/>
            <w:vAlign w:val="center"/>
          </w:tcPr>
          <w:p w:rsidR="00EE300C" w:rsidRDefault="00445D37">
            <w:r>
              <w:t>Maintain records of initial and compliance status notifications</w:t>
            </w:r>
          </w:p>
        </w:tc>
        <w:tc>
          <w:tcPr>
            <w:tcW w:w="2880" w:type="dxa"/>
            <w:shd w:val="clear" w:color="auto" w:fill="auto"/>
            <w:vAlign w:val="center"/>
          </w:tcPr>
          <w:p w:rsidR="00EE300C" w:rsidRDefault="00445D37">
            <w:pPr>
              <w:jc w:val="center"/>
            </w:pPr>
            <w:r>
              <w:t>63.1416(e)</w:t>
            </w:r>
          </w:p>
        </w:tc>
      </w:tr>
      <w:tr w:rsidR="00EE300C">
        <w:trPr>
          <w:trHeight w:val="432"/>
        </w:trPr>
        <w:tc>
          <w:tcPr>
            <w:tcW w:w="6498" w:type="dxa"/>
            <w:shd w:val="clear" w:color="auto" w:fill="auto"/>
            <w:vAlign w:val="center"/>
          </w:tcPr>
          <w:p w:rsidR="00EE300C" w:rsidRDefault="00445D37">
            <w:r>
              <w:t>Records of CPMS operation adjustments, calibration checks, and</w:t>
            </w:r>
          </w:p>
          <w:p w:rsidR="00EE300C" w:rsidRDefault="00445D37">
            <w:r>
              <w:t>maintenance</w:t>
            </w:r>
          </w:p>
        </w:tc>
        <w:tc>
          <w:tcPr>
            <w:tcW w:w="2880" w:type="dxa"/>
            <w:shd w:val="clear" w:color="auto" w:fill="auto"/>
            <w:vAlign w:val="center"/>
          </w:tcPr>
          <w:p w:rsidR="00EE300C" w:rsidRDefault="00445D37">
            <w:pPr>
              <w:jc w:val="center"/>
            </w:pPr>
            <w:r>
              <w:t xml:space="preserve">63.10(b)(2)(vii), </w:t>
            </w:r>
            <w:r>
              <w:t>63.1109(a)</w:t>
            </w:r>
          </w:p>
        </w:tc>
      </w:tr>
      <w:tr w:rsidR="00EE300C">
        <w:trPr>
          <w:trHeight w:val="432"/>
        </w:trPr>
        <w:tc>
          <w:tcPr>
            <w:tcW w:w="6498" w:type="dxa"/>
            <w:shd w:val="clear" w:color="auto" w:fill="auto"/>
            <w:vAlign w:val="center"/>
          </w:tcPr>
          <w:p w:rsidR="00EE300C" w:rsidRDefault="00445D37">
            <w:r>
              <w:t>Records of implementation of leak detection and repair (LDAR)</w:t>
            </w:r>
          </w:p>
          <w:p w:rsidR="00EE300C" w:rsidRDefault="00445D37">
            <w:r>
              <w:t>standards provision</w:t>
            </w:r>
          </w:p>
        </w:tc>
        <w:tc>
          <w:tcPr>
            <w:tcW w:w="2880" w:type="dxa"/>
            <w:shd w:val="clear" w:color="auto" w:fill="auto"/>
            <w:vAlign w:val="center"/>
          </w:tcPr>
          <w:p w:rsidR="00EE300C" w:rsidRDefault="00445D37">
            <w:pPr>
              <w:jc w:val="center"/>
            </w:pPr>
            <w:r>
              <w:t>63.1107</w:t>
            </w:r>
          </w:p>
        </w:tc>
      </w:tr>
      <w:tr w:rsidR="00EE300C">
        <w:trPr>
          <w:trHeight w:val="432"/>
        </w:trPr>
        <w:tc>
          <w:tcPr>
            <w:tcW w:w="6498" w:type="dxa"/>
            <w:shd w:val="clear" w:color="auto" w:fill="auto"/>
            <w:vAlign w:val="center"/>
          </w:tcPr>
          <w:p w:rsidR="00EE300C" w:rsidRDefault="00445D37">
            <w:r>
              <w:t>Records are required to be retained for five years</w:t>
            </w:r>
          </w:p>
        </w:tc>
        <w:tc>
          <w:tcPr>
            <w:tcW w:w="2880" w:type="dxa"/>
            <w:shd w:val="clear" w:color="auto" w:fill="auto"/>
            <w:vAlign w:val="center"/>
          </w:tcPr>
          <w:p w:rsidR="00EE300C" w:rsidRDefault="00445D37">
            <w:pPr>
              <w:jc w:val="center"/>
            </w:pPr>
            <w:r>
              <w:t>63.10(b)(2)</w:t>
            </w:r>
          </w:p>
        </w:tc>
      </w:tr>
    </w:tbl>
    <w:p w:rsidR="00EE300C" w:rsidRDefault="00EE300C">
      <w:pPr>
        <w:spacing w:line="360" w:lineRule="auto"/>
      </w:pPr>
    </w:p>
    <w:p w:rsidR="00EE300C" w:rsidRDefault="00445D37">
      <w:pPr>
        <w:spacing w:before="240" w:line="360" w:lineRule="auto"/>
        <w:rPr>
          <w:u w:val="single"/>
        </w:rPr>
      </w:pPr>
      <w:r>
        <w:rPr>
          <w:u w:val="single"/>
        </w:rPr>
        <w:t>Electronic Reporting</w:t>
      </w:r>
    </w:p>
    <w:p w:rsidR="00EE300C" w:rsidRDefault="00445D37">
      <w:pPr>
        <w:spacing w:before="240" w:line="360" w:lineRule="auto"/>
      </w:pPr>
      <w:r>
        <w:tab/>
      </w:r>
      <w:r>
        <w:t xml:space="preserve">Some of the respondents are using monitoring equipment that automatically records parameter data. Although personnel at the affected facility must still evaluate the data, internal automation has significantly reduced the burden associated with monitoring </w:t>
      </w:r>
      <w:r>
        <w:t xml:space="preserve">and recordkeeping at a plant site. </w:t>
      </w:r>
    </w:p>
    <w:p w:rsidR="00EE300C" w:rsidRDefault="00445D37">
      <w:pPr>
        <w:spacing w:before="240" w:line="360" w:lineRule="auto"/>
        <w:ind w:firstLine="720"/>
      </w:pPr>
      <w:r>
        <w:t>Also, regulatory agencies in cooperation with the respondents continue to create reporting systems to transmit data electronically. However, electronic reporting systems are still not widely used. At this time, it is est</w:t>
      </w:r>
      <w:r>
        <w:t>imated that approximately 10 percent of the respondents use electronic reporting.</w:t>
      </w:r>
    </w:p>
    <w:p w:rsidR="00EE300C" w:rsidRDefault="00EE300C">
      <w:pPr>
        <w:spacing w:before="240" w:line="360" w:lineRule="auto"/>
        <w:ind w:firstLine="720"/>
        <w:rPr>
          <w:b/>
        </w:rPr>
      </w:pPr>
    </w:p>
    <w:p w:rsidR="00EE300C" w:rsidRDefault="00445D37">
      <w:pPr>
        <w:spacing w:before="240" w:line="360" w:lineRule="auto"/>
        <w:ind w:firstLine="720"/>
        <w:rPr>
          <w:b/>
        </w:rPr>
      </w:pPr>
      <w:r>
        <w:rPr>
          <w:b/>
        </w:rPr>
        <w:lastRenderedPageBreak/>
        <w:t xml:space="preserve"> (ii) Respondent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E300C">
        <w:trPr>
          <w:trHeight w:val="432"/>
        </w:trPr>
        <w:tc>
          <w:tcPr>
            <w:tcW w:w="9576" w:type="dxa"/>
            <w:shd w:val="clear" w:color="auto" w:fill="auto"/>
            <w:vAlign w:val="center"/>
          </w:tcPr>
          <w:p w:rsidR="00EE300C" w:rsidRDefault="00445D37">
            <w:pPr>
              <w:jc w:val="center"/>
              <w:rPr>
                <w:b/>
              </w:rPr>
            </w:pPr>
            <w:r>
              <w:rPr>
                <w:b/>
              </w:rPr>
              <w:t>Respondent Activities</w:t>
            </w:r>
          </w:p>
        </w:tc>
      </w:tr>
      <w:tr w:rsidR="00EE300C">
        <w:trPr>
          <w:trHeight w:val="432"/>
        </w:trPr>
        <w:tc>
          <w:tcPr>
            <w:tcW w:w="9576" w:type="dxa"/>
            <w:shd w:val="clear" w:color="auto" w:fill="auto"/>
            <w:vAlign w:val="center"/>
          </w:tcPr>
          <w:p w:rsidR="00EE300C" w:rsidRDefault="00445D37">
            <w:r>
              <w:t>Read instructions.</w:t>
            </w:r>
          </w:p>
        </w:tc>
      </w:tr>
      <w:tr w:rsidR="00EE300C">
        <w:trPr>
          <w:trHeight w:val="432"/>
        </w:trPr>
        <w:tc>
          <w:tcPr>
            <w:tcW w:w="9576" w:type="dxa"/>
            <w:shd w:val="clear" w:color="auto" w:fill="auto"/>
            <w:vAlign w:val="center"/>
          </w:tcPr>
          <w:p w:rsidR="00EE300C" w:rsidRDefault="00445D37">
            <w:r>
              <w:t>Install, calibrate, maintain, and operate CMS for opacity, or for pressure drop and liquid</w:t>
            </w:r>
          </w:p>
          <w:p w:rsidR="00EE300C" w:rsidRDefault="00445D37">
            <w:proofErr w:type="gramStart"/>
            <w:r>
              <w:t>supply</w:t>
            </w:r>
            <w:proofErr w:type="gramEnd"/>
            <w:r>
              <w:t xml:space="preserve"> pressure for CPMS.</w:t>
            </w:r>
          </w:p>
        </w:tc>
      </w:tr>
      <w:tr w:rsidR="00EE300C">
        <w:trPr>
          <w:trHeight w:val="432"/>
        </w:trPr>
        <w:tc>
          <w:tcPr>
            <w:tcW w:w="9576" w:type="dxa"/>
            <w:shd w:val="clear" w:color="auto" w:fill="auto"/>
            <w:vAlign w:val="center"/>
          </w:tcPr>
          <w:p w:rsidR="00EE300C" w:rsidRDefault="00445D37">
            <w:r>
              <w:t>Perform initial performance test, and repeat performance tests if necessary.</w:t>
            </w:r>
          </w:p>
        </w:tc>
      </w:tr>
      <w:tr w:rsidR="00EE300C">
        <w:trPr>
          <w:trHeight w:val="432"/>
        </w:trPr>
        <w:tc>
          <w:tcPr>
            <w:tcW w:w="9576" w:type="dxa"/>
            <w:shd w:val="clear" w:color="auto" w:fill="auto"/>
            <w:vAlign w:val="center"/>
          </w:tcPr>
          <w:p w:rsidR="00EE300C" w:rsidRDefault="00445D37">
            <w:r>
              <w:t>Write the notifications and reports listed above</w:t>
            </w:r>
          </w:p>
        </w:tc>
      </w:tr>
      <w:tr w:rsidR="00EE300C">
        <w:trPr>
          <w:trHeight w:val="432"/>
        </w:trPr>
        <w:tc>
          <w:tcPr>
            <w:tcW w:w="9576" w:type="dxa"/>
            <w:shd w:val="clear" w:color="auto" w:fill="auto"/>
            <w:vAlign w:val="center"/>
          </w:tcPr>
          <w:p w:rsidR="00EE300C" w:rsidRDefault="00445D37">
            <w:r>
              <w:t>Enter information required to be recorded above</w:t>
            </w:r>
          </w:p>
        </w:tc>
      </w:tr>
      <w:tr w:rsidR="00EE300C">
        <w:trPr>
          <w:trHeight w:val="432"/>
        </w:trPr>
        <w:tc>
          <w:tcPr>
            <w:tcW w:w="9576" w:type="dxa"/>
            <w:shd w:val="clear" w:color="auto" w:fill="auto"/>
            <w:vAlign w:val="center"/>
          </w:tcPr>
          <w:p w:rsidR="00EE300C" w:rsidRDefault="00445D37">
            <w:r>
              <w:t>Submit the required reports developing, acquiring, install</w:t>
            </w:r>
            <w:r>
              <w:t>ing, and utilizing technology and systems for the purpose of collecting, validating, and verifying information</w:t>
            </w:r>
          </w:p>
        </w:tc>
      </w:tr>
      <w:tr w:rsidR="00EE300C">
        <w:trPr>
          <w:trHeight w:val="432"/>
        </w:trPr>
        <w:tc>
          <w:tcPr>
            <w:tcW w:w="9576" w:type="dxa"/>
            <w:shd w:val="clear" w:color="auto" w:fill="auto"/>
            <w:vAlign w:val="center"/>
          </w:tcPr>
          <w:p w:rsidR="00EE300C" w:rsidRDefault="00445D37">
            <w:r>
              <w:t>Develop, acquire, install, and utilize technology and systems for the purpose of processing and maintaining information</w:t>
            </w:r>
          </w:p>
        </w:tc>
      </w:tr>
      <w:tr w:rsidR="00EE300C">
        <w:trPr>
          <w:trHeight w:val="432"/>
        </w:trPr>
        <w:tc>
          <w:tcPr>
            <w:tcW w:w="9576" w:type="dxa"/>
            <w:shd w:val="clear" w:color="auto" w:fill="auto"/>
            <w:vAlign w:val="center"/>
          </w:tcPr>
          <w:p w:rsidR="00EE300C" w:rsidRDefault="00445D37">
            <w:r>
              <w:t>Develop, acquire, insta</w:t>
            </w:r>
            <w:r>
              <w:t>ll, and utilize technology and systems for the purpose of disclosing and providing information</w:t>
            </w:r>
          </w:p>
        </w:tc>
      </w:tr>
      <w:tr w:rsidR="00EE300C">
        <w:trPr>
          <w:trHeight w:val="432"/>
        </w:trPr>
        <w:tc>
          <w:tcPr>
            <w:tcW w:w="9576" w:type="dxa"/>
            <w:shd w:val="clear" w:color="auto" w:fill="auto"/>
            <w:vAlign w:val="center"/>
          </w:tcPr>
          <w:p w:rsidR="00EE300C" w:rsidRDefault="00445D37">
            <w:r>
              <w:t>Train personnel to be able to respond to a collection of information</w:t>
            </w:r>
          </w:p>
        </w:tc>
      </w:tr>
      <w:tr w:rsidR="00EE300C">
        <w:trPr>
          <w:trHeight w:val="432"/>
        </w:trPr>
        <w:tc>
          <w:tcPr>
            <w:tcW w:w="9576" w:type="dxa"/>
            <w:shd w:val="clear" w:color="auto" w:fill="auto"/>
            <w:vAlign w:val="center"/>
          </w:tcPr>
          <w:p w:rsidR="00EE300C" w:rsidRDefault="00445D37">
            <w:r>
              <w:t>Transmit, or otherwise disclose the information</w:t>
            </w:r>
          </w:p>
        </w:tc>
      </w:tr>
    </w:tbl>
    <w:p w:rsidR="00EE300C" w:rsidRDefault="00445D37">
      <w:pPr>
        <w:spacing w:before="240" w:after="240" w:line="360" w:lineRule="auto"/>
        <w:rPr>
          <w:b/>
          <w:bCs/>
        </w:rPr>
      </w:pPr>
      <w:r>
        <w:rPr>
          <w:b/>
          <w:bCs/>
        </w:rPr>
        <w:t xml:space="preserve">5.  The Information Collected: Agency </w:t>
      </w:r>
      <w:r>
        <w:rPr>
          <w:b/>
          <w:bCs/>
        </w:rPr>
        <w:t>Activities, Collection Methodology, and Information Management</w:t>
      </w:r>
    </w:p>
    <w:p w:rsidR="00EE300C" w:rsidRDefault="00445D37">
      <w:pPr>
        <w:spacing w:after="240" w:line="360" w:lineRule="auto"/>
        <w:ind w:firstLine="720"/>
      </w:pPr>
      <w:r>
        <w:rPr>
          <w:b/>
          <w:bCs/>
        </w:rPr>
        <w:t>5(a</w:t>
      </w:r>
      <w:proofErr w:type="gramStart"/>
      <w:r>
        <w:rPr>
          <w:b/>
          <w:bCs/>
        </w:rPr>
        <w:t>)  Agency</w:t>
      </w:r>
      <w:proofErr w:type="gramEnd"/>
      <w:r>
        <w:rPr>
          <w:b/>
          <w:bCs/>
        </w:rPr>
        <w:t xml:space="preserve"> Activities</w:t>
      </w:r>
    </w:p>
    <w:p w:rsidR="00EE300C" w:rsidRDefault="00445D37">
      <w:pPr>
        <w:spacing w:after="240" w:line="360" w:lineRule="auto"/>
        <w:ind w:firstLine="720"/>
      </w:pPr>
      <w:r>
        <w:t>EPA conducts the following activities in connection with the acquisition, analysis, storage, and distribution of the required information.</w:t>
      </w:r>
    </w:p>
    <w:tbl>
      <w:tblPr>
        <w:tblW w:w="0" w:type="auto"/>
        <w:jc w:val="center"/>
        <w:tblLayout w:type="fixed"/>
        <w:tblCellMar>
          <w:left w:w="120" w:type="dxa"/>
          <w:right w:w="120" w:type="dxa"/>
        </w:tblCellMar>
        <w:tblLook w:val="0000"/>
      </w:tblPr>
      <w:tblGrid>
        <w:gridCol w:w="9360"/>
      </w:tblGrid>
      <w:tr w:rsidR="00EE300C">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EE300C" w:rsidRDefault="00445D37">
            <w:pPr>
              <w:spacing w:after="52" w:line="360" w:lineRule="auto"/>
              <w:jc w:val="center"/>
              <w:rPr>
                <w:b/>
                <w:bCs/>
              </w:rPr>
            </w:pPr>
            <w:r>
              <w:rPr>
                <w:b/>
                <w:bCs/>
              </w:rPr>
              <w:t>Agency Activities</w:t>
            </w:r>
          </w:p>
        </w:tc>
      </w:tr>
      <w:tr w:rsidR="00EE300C">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EE300C" w:rsidRDefault="00445D37">
            <w:pPr>
              <w:spacing w:after="100" w:afterAutospacing="1"/>
            </w:pPr>
            <w:r>
              <w:t xml:space="preserve">Review </w:t>
            </w:r>
            <w:r>
              <w:t>notifications and reports, including performance test reports, excess emissions reports, affirmative defense reports, and quality control plan for CMS required to be submitted by industry.</w:t>
            </w:r>
          </w:p>
        </w:tc>
      </w:tr>
      <w:tr w:rsidR="00EE300C">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EE300C" w:rsidRDefault="00445D37">
            <w:pPr>
              <w:spacing w:after="100" w:afterAutospacing="1"/>
            </w:pPr>
            <w:r>
              <w:t>Audit facility records.</w:t>
            </w:r>
          </w:p>
        </w:tc>
      </w:tr>
      <w:tr w:rsidR="00EE300C">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EE300C" w:rsidRDefault="00445D37">
            <w:pPr>
              <w:spacing w:after="100" w:afterAutospacing="1"/>
            </w:pPr>
            <w:r>
              <w:t>Maintain data in the Online Tracking Info</w:t>
            </w:r>
            <w:r>
              <w:t>rmation System (OTIS)</w:t>
            </w:r>
          </w:p>
        </w:tc>
      </w:tr>
    </w:tbl>
    <w:p w:rsidR="00EE300C" w:rsidRDefault="00EE300C">
      <w:pPr>
        <w:spacing w:line="360" w:lineRule="auto"/>
        <w:rPr>
          <w:b/>
          <w:bCs/>
        </w:rPr>
      </w:pPr>
    </w:p>
    <w:p w:rsidR="00EE300C" w:rsidRDefault="00445D37">
      <w:pPr>
        <w:spacing w:after="240" w:line="360" w:lineRule="auto"/>
        <w:ind w:firstLine="720"/>
      </w:pPr>
      <w:r>
        <w:rPr>
          <w:b/>
          <w:bCs/>
        </w:rPr>
        <w:t>5(b</w:t>
      </w:r>
      <w:proofErr w:type="gramStart"/>
      <w:r>
        <w:rPr>
          <w:b/>
          <w:bCs/>
        </w:rPr>
        <w:t>)  Collection</w:t>
      </w:r>
      <w:proofErr w:type="gramEnd"/>
      <w:r>
        <w:rPr>
          <w:b/>
          <w:bCs/>
        </w:rPr>
        <w:t xml:space="preserve"> Methodology and Management</w:t>
      </w:r>
    </w:p>
    <w:p w:rsidR="00EE300C" w:rsidRDefault="00445D37">
      <w:pPr>
        <w:spacing w:before="240" w:after="240" w:line="360" w:lineRule="auto"/>
        <w:ind w:firstLine="720"/>
      </w:pPr>
      <w:r>
        <w:t>Following notification of startup, the reviewing authority could inspect the source to determine whether the pollution control devices are properly installed and operated. Performance test reports are used by the Agency to discern a source’s initial capabi</w:t>
      </w:r>
      <w:r>
        <w:t xml:space="preserve">lity to comply with the </w:t>
      </w:r>
      <w:r>
        <w:lastRenderedPageBreak/>
        <w:t>emission standard, and note the operating conditions under which compliance was achieved. Data and records maintained by the respondents are tabulated and published for use in compliance and enforcement programs. The semiannual repo</w:t>
      </w:r>
      <w:r>
        <w:t>rts are used for problem identification, as a check on source operation and maintenance, and for compliance determinations.</w:t>
      </w:r>
    </w:p>
    <w:p w:rsidR="00EE300C" w:rsidRDefault="00445D37">
      <w:pPr>
        <w:spacing w:before="240" w:after="240" w:line="360" w:lineRule="auto"/>
        <w:ind w:firstLine="720"/>
      </w:pPr>
      <w:r>
        <w:t>Information contained in the reports is entered into OTIS which is operated and maintained by EPA's Office of Compliance. OTIS is EP</w:t>
      </w:r>
      <w:r>
        <w:t>A’s database for the collection, maintenance, and retrieval of compliance data for approximately 125,000 industrial and government-owned facilities. EPA uses the OTIS for tracking air pollution compliance and enforcement by local and state regulatory agenc</w:t>
      </w:r>
      <w:r>
        <w:t>ies, EPA regional offices and EPA headquarters. Both EPA and its delegated Authorities can edit, store, retrieve and analyze the data.</w:t>
      </w:r>
    </w:p>
    <w:p w:rsidR="00EE300C" w:rsidRDefault="00445D37">
      <w:pPr>
        <w:spacing w:after="240" w:line="360" w:lineRule="auto"/>
        <w:ind w:firstLine="720"/>
      </w:pPr>
      <w:r>
        <w:t xml:space="preserve"> The records required by this regulation must be retained by the owner/operator for five year</w:t>
      </w:r>
    </w:p>
    <w:p w:rsidR="00EE300C" w:rsidRDefault="00445D37">
      <w:pPr>
        <w:spacing w:after="240" w:line="360" w:lineRule="auto"/>
        <w:ind w:firstLine="720"/>
      </w:pPr>
      <w:r>
        <w:rPr>
          <w:b/>
          <w:bCs/>
        </w:rPr>
        <w:t>5(c</w:t>
      </w:r>
      <w:proofErr w:type="gramStart"/>
      <w:r>
        <w:rPr>
          <w:b/>
          <w:bCs/>
        </w:rPr>
        <w:t>)  Small</w:t>
      </w:r>
      <w:proofErr w:type="gramEnd"/>
      <w:r>
        <w:rPr>
          <w:b/>
          <w:bCs/>
        </w:rPr>
        <w:t xml:space="preserve"> Entity Flexibil</w:t>
      </w:r>
      <w:r>
        <w:rPr>
          <w:b/>
          <w:bCs/>
        </w:rPr>
        <w:t>ity</w:t>
      </w:r>
    </w:p>
    <w:p w:rsidR="00EE300C" w:rsidRDefault="00445D37">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impact on small entities was taken into consideration during the development of the regulation. Due to technical considerations involving the process operations and the type of control equipment employed, the recordkeeping and reporting requirement</w:t>
      </w:r>
      <w:r>
        <w:rPr>
          <w:color w:val="000000"/>
        </w:rPr>
        <w:t>s are the same for both small and large entities. The Agency considers these requirements the minimum needed to ensure compliance and, therefore, cannot reduce them further for small entities.</w:t>
      </w:r>
    </w:p>
    <w:p w:rsidR="00EE300C" w:rsidRDefault="00445D37">
      <w:pPr>
        <w:spacing w:after="240" w:line="360" w:lineRule="auto"/>
        <w:ind w:firstLine="720"/>
        <w:rPr>
          <w:b/>
          <w:bCs/>
        </w:rPr>
      </w:pPr>
      <w:r>
        <w:rPr>
          <w:b/>
          <w:bCs/>
        </w:rPr>
        <w:t>5(d</w:t>
      </w:r>
      <w:proofErr w:type="gramStart"/>
      <w:r>
        <w:rPr>
          <w:b/>
          <w:bCs/>
        </w:rPr>
        <w:t>)  Collection</w:t>
      </w:r>
      <w:proofErr w:type="gramEnd"/>
      <w:r>
        <w:rPr>
          <w:b/>
          <w:bCs/>
        </w:rPr>
        <w:t xml:space="preserve"> Schedule</w:t>
      </w:r>
    </w:p>
    <w:p w:rsidR="00EE300C" w:rsidRDefault="00445D37">
      <w:pPr>
        <w:spacing w:after="240" w:line="360" w:lineRule="auto"/>
      </w:pPr>
      <w:r>
        <w:tab/>
        <w:t>The specific frequency for each info</w:t>
      </w:r>
      <w:r>
        <w:t>rmation collection activity within this request is shown below in Table 1: Annual Respondent Burden and Cost of Reporting and Recordkeeping Requirements for the Proposed NESHAP for Source Categories: Generic Maximum Achievable Control Technology Standards</w:t>
      </w:r>
      <w:r>
        <w:rPr>
          <w:bCs/>
        </w:rPr>
        <w:t xml:space="preserve"> </w:t>
      </w:r>
      <w:r>
        <w:rPr>
          <w:bCs/>
        </w:rPr>
        <w:t xml:space="preserve">(40 CFR Part 63, Subpart YY) </w:t>
      </w:r>
      <w:r>
        <w:t>(Revised).</w:t>
      </w:r>
    </w:p>
    <w:p w:rsidR="00EE300C" w:rsidRDefault="00445D37">
      <w:pPr>
        <w:spacing w:after="240" w:line="360" w:lineRule="auto"/>
        <w:rPr>
          <w:b/>
          <w:bCs/>
        </w:rPr>
      </w:pPr>
      <w:r>
        <w:rPr>
          <w:b/>
          <w:bCs/>
        </w:rPr>
        <w:t>6.  Estimating the Burden and Cost of the Collection</w:t>
      </w:r>
    </w:p>
    <w:p w:rsidR="00EE300C" w:rsidRDefault="00445D37">
      <w:pPr>
        <w:spacing w:after="240" w:line="360" w:lineRule="auto"/>
        <w:ind w:firstLine="720"/>
      </w:pPr>
      <w:r>
        <w:t xml:space="preserve">Table 1 documents the computation of individual burdens for the recordkeeping and reporting requirements applicable to the industries for the subparts included in </w:t>
      </w:r>
      <w:r>
        <w:t xml:space="preserve">this ICR. The </w:t>
      </w:r>
      <w:r>
        <w:lastRenderedPageBreak/>
        <w:t>individual burdens are expressed under standardized headings believed to be consistent with the concept of burden under the Paperwork Reduction Act. Wherever appropriate, specific tasks and major assumptions have been identified. Responses to</w:t>
      </w:r>
      <w:r>
        <w:t xml:space="preserve"> this information collection are mandatory.</w:t>
      </w:r>
    </w:p>
    <w:p w:rsidR="00EE300C" w:rsidRDefault="00445D37">
      <w:pPr>
        <w:spacing w:after="240" w:line="360" w:lineRule="auto"/>
        <w:ind w:firstLine="720"/>
      </w:pPr>
      <w:r>
        <w:t>The Agency may not conduct or sponsor, and a person is not required to respond to, a collection of information unless it displays a currently valid OMB Control Number.</w:t>
      </w:r>
    </w:p>
    <w:p w:rsidR="00EE300C" w:rsidRDefault="00445D37">
      <w:pPr>
        <w:spacing w:after="240" w:line="360" w:lineRule="auto"/>
        <w:ind w:firstLine="720"/>
      </w:pPr>
      <w:r>
        <w:rPr>
          <w:b/>
          <w:bCs/>
        </w:rPr>
        <w:t>6(a</w:t>
      </w:r>
      <w:proofErr w:type="gramStart"/>
      <w:r>
        <w:rPr>
          <w:b/>
          <w:bCs/>
        </w:rPr>
        <w:t>)  Estimating</w:t>
      </w:r>
      <w:proofErr w:type="gramEnd"/>
      <w:r>
        <w:rPr>
          <w:b/>
          <w:bCs/>
        </w:rPr>
        <w:t xml:space="preserve"> Respondent Burden</w:t>
      </w:r>
    </w:p>
    <w:p w:rsidR="00EE300C" w:rsidRDefault="00445D37">
      <w:pPr>
        <w:spacing w:after="240" w:line="360" w:lineRule="auto"/>
        <w:ind w:firstLine="720"/>
      </w:pPr>
      <w:r>
        <w:t xml:space="preserve">The </w:t>
      </w:r>
      <w:r>
        <w:t>average annual burden to industry over the next three years from these recordkeeping and reporting requirements is estimated to be 3,659 (Total Labor Hours from Table 1). These hours are based on Agency studies and background documents from the development</w:t>
      </w:r>
      <w:r>
        <w:t xml:space="preserve"> of the regulation, Agency knowledge and experience with the NESHAP program, the previously approved ICR, and any comments received.</w:t>
      </w:r>
    </w:p>
    <w:p w:rsidR="00EE300C" w:rsidRDefault="00445D37">
      <w:pPr>
        <w:spacing w:after="240" w:line="360" w:lineRule="auto"/>
        <w:ind w:firstLine="720"/>
        <w:rPr>
          <w:b/>
          <w:bCs/>
        </w:rPr>
      </w:pPr>
      <w:r>
        <w:rPr>
          <w:b/>
          <w:bCs/>
        </w:rPr>
        <w:t>6(b</w:t>
      </w:r>
      <w:proofErr w:type="gramStart"/>
      <w:r>
        <w:rPr>
          <w:b/>
          <w:bCs/>
        </w:rPr>
        <w:t>)  Estimating</w:t>
      </w:r>
      <w:proofErr w:type="gramEnd"/>
      <w:r>
        <w:rPr>
          <w:b/>
          <w:bCs/>
        </w:rPr>
        <w:t xml:space="preserve"> Respondent Costs</w:t>
      </w:r>
    </w:p>
    <w:p w:rsidR="00EE300C" w:rsidRDefault="00445D37">
      <w:pPr>
        <w:spacing w:after="240" w:line="360" w:lineRule="auto"/>
        <w:ind w:firstLine="1440"/>
      </w:pPr>
      <w:r>
        <w:rPr>
          <w:b/>
          <w:bCs/>
        </w:rPr>
        <w:t>(</w:t>
      </w:r>
      <w:proofErr w:type="spellStart"/>
      <w:r>
        <w:rPr>
          <w:b/>
          <w:bCs/>
        </w:rPr>
        <w:t>i</w:t>
      </w:r>
      <w:proofErr w:type="spellEnd"/>
      <w:r>
        <w:rPr>
          <w:b/>
          <w:bCs/>
        </w:rPr>
        <w:t>)  Estimating Labor Costs</w:t>
      </w:r>
      <w:r>
        <w:t xml:space="preserve"> </w:t>
      </w:r>
    </w:p>
    <w:p w:rsidR="00EE300C" w:rsidRDefault="00445D3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EE300C" w:rsidRDefault="00445D37">
      <w:pPr>
        <w:spacing w:line="360" w:lineRule="auto"/>
      </w:pPr>
      <w:r>
        <w:rPr>
          <w:color w:val="000000"/>
        </w:rPr>
        <w:t xml:space="preserve"> </w:t>
      </w:r>
    </w:p>
    <w:p w:rsidR="00EE300C" w:rsidRDefault="00445D37">
      <w:pPr>
        <w:jc w:val="center"/>
      </w:pPr>
      <w:r>
        <w:t>Technical $54.66</w:t>
      </w:r>
      <w:r>
        <w:t xml:space="preserve"> ($26.03 + 110%)</w:t>
      </w:r>
    </w:p>
    <w:p w:rsidR="00EE300C" w:rsidRDefault="00445D37">
      <w:pPr>
        <w:jc w:val="center"/>
      </w:pPr>
      <w:r>
        <w:t>Managerial $115.96 ($55.22 + 110%)</w:t>
      </w:r>
    </w:p>
    <w:p w:rsidR="00EE300C" w:rsidRDefault="00445D37">
      <w:pPr>
        <w:jc w:val="center"/>
      </w:pPr>
      <w:r>
        <w:t>Clerical $38.14 ($18.16 + 110%)</w:t>
      </w:r>
    </w:p>
    <w:p w:rsidR="00EE300C" w:rsidRDefault="00EE300C">
      <w:pPr>
        <w:jc w:val="center"/>
      </w:pPr>
    </w:p>
    <w:p w:rsidR="00EE300C" w:rsidRDefault="00445D37">
      <w:pPr>
        <w:tabs>
          <w:tab w:val="left" w:pos="-1440"/>
        </w:tabs>
        <w:spacing w:after="240" w:line="360" w:lineRule="auto"/>
        <w:rPr>
          <w:b/>
          <w:bCs/>
        </w:rPr>
      </w:pPr>
      <w:r>
        <w:t>These labor rates are based on the May 2012 National Occupational Employment and Wage Estimates for the United States, occupational codes 51-8091 for chemical plant and sy</w:t>
      </w:r>
      <w:r>
        <w:t>stem operators (technical), 11-1021 for general and operations managers (managerial) and 43-6010 for secretaries and administrative assistants (clerical).</w:t>
      </w:r>
      <w:r>
        <w:rPr>
          <w:b/>
          <w:bCs/>
        </w:rPr>
        <w:tab/>
      </w:r>
    </w:p>
    <w:p w:rsidR="00EE300C" w:rsidRDefault="00445D37">
      <w:pPr>
        <w:tabs>
          <w:tab w:val="left" w:pos="-1440"/>
        </w:tabs>
        <w:spacing w:after="240" w:line="360" w:lineRule="auto"/>
        <w:rPr>
          <w:b/>
          <w:bCs/>
        </w:rPr>
      </w:pPr>
      <w:r>
        <w:rPr>
          <w:b/>
          <w:bCs/>
        </w:rPr>
        <w:tab/>
        <w:t>(ii)  Estimating Capital/Startup and Operation and Maintenance Costs</w:t>
      </w:r>
    </w:p>
    <w:p w:rsidR="00EE300C" w:rsidRDefault="00445D37">
      <w:pPr>
        <w:spacing w:after="240" w:line="360" w:lineRule="auto"/>
        <w:ind w:firstLine="720"/>
      </w:pPr>
      <w:r>
        <w:t>The type of industry costs ass</w:t>
      </w:r>
      <w:r>
        <w:t>ociated with the information collection activities in the subject standard are labor costs which are addressed elsewhere in this ICR and the costs associated with continuous monitoring. The capital/startup costs are one-time costs when a facility becomes s</w:t>
      </w:r>
      <w:r>
        <w:t xml:space="preserve">ubject to the regulation. The annual operation and maintenance costs are the ongoing costs to </w:t>
      </w:r>
      <w:r>
        <w:lastRenderedPageBreak/>
        <w:t>maintain the monitor and other costs such as photocopying and postage.</w:t>
      </w:r>
    </w:p>
    <w:p w:rsidR="00EE300C" w:rsidRDefault="00445D37">
      <w:pPr>
        <w:spacing w:after="240" w:line="360" w:lineRule="auto"/>
        <w:ind w:firstLine="720"/>
      </w:pPr>
      <w:r>
        <w:t>As part of the proposed amendments to the AMF and PC NESHAP, facility owners or operators a</w:t>
      </w:r>
      <w:r>
        <w:t>re required to monitor each PRD that releases to the atmosphere using a device or system that is capable of identifying and recording the time and duration of each pressure release and of notifying operators that a release has occurred. For purposes of est</w:t>
      </w:r>
      <w:r>
        <w:t>imating the costs of this requirement, we assumed that operators would install electronic indicators on each PRD in organic HAP service that vents to the atmosphere. The cost of each monitoring system depends on the number of PRDs at the facilities. The co</w:t>
      </w:r>
      <w:r>
        <w:t xml:space="preserve">st for this system for the one facility in the AMF source category is expected to be $37,063, and the total cost for these capital expenditures for the 4 facilities in the PC source category is estimated to be $50,596. For equipment leaks, facility owners </w:t>
      </w:r>
      <w:r>
        <w:t>or operators would also be required to follow the leak detection and repair (LDAR) requirements of part 63, subpart UU, rather than part 63 subpart TT under the proposed amendments to the AMF and PC NESHAP, with the exception of the connector monitoring re</w:t>
      </w:r>
      <w:r>
        <w:t>quirements. The capital costs associated with this requirement are estimated to be $1,428 for the AMF source category and $15,596 for the PC source category.</w:t>
      </w:r>
    </w:p>
    <w:p w:rsidR="00EE300C" w:rsidRDefault="00445D37">
      <w:pPr>
        <w:spacing w:after="240" w:line="360" w:lineRule="auto"/>
        <w:ind w:firstLine="720"/>
      </w:pPr>
      <w:r>
        <w:t>Annualized costs are calculated by multiplying the capital recovery factor by the capital cost. Th</w:t>
      </w:r>
      <w:r>
        <w:t xml:space="preserve">e capital recovery factor is 0.1098 based on an interest rate of 7 percent and an assumed equipment life of 15 years. The total annualized capital cost for the PRD and LDAR requirements for the AMF source category is $5,500 and is $9,380 for the PC source </w:t>
      </w:r>
      <w:r>
        <w:t>category.</w:t>
      </w:r>
    </w:p>
    <w:p w:rsidR="00EE300C" w:rsidRDefault="00445D37">
      <w:pPr>
        <w:spacing w:after="240" w:line="360" w:lineRule="auto"/>
        <w:ind w:firstLine="720"/>
      </w:pPr>
      <w:r>
        <w:t>The annual operation and maintenance costs are the ongoing costs to maintain the monitors and other costs such as photocopying and postage. Based on a previous ICR for the Pesticide Active Ingredient source category, which estimated the annual O&amp;</w:t>
      </w:r>
      <w:r>
        <w:t>M costs to be $1,450 per source in 2011 dollars, inflating this number from 2011 dollars to 2013 dollars gives $1,505 per source. The total annual O&amp;M cost for the AMF source category is $1,505 and for the PC source category it is $6,020.</w:t>
      </w:r>
    </w:p>
    <w:p w:rsidR="00EE300C" w:rsidRDefault="00EE300C">
      <w:pPr>
        <w:widowControl/>
        <w:spacing w:line="360" w:lineRule="auto"/>
        <w:ind w:firstLine="720"/>
      </w:pPr>
    </w:p>
    <w:p w:rsidR="00EE300C" w:rsidRDefault="00445D37">
      <w:pPr>
        <w:spacing w:line="360" w:lineRule="auto"/>
        <w:ind w:firstLine="1440"/>
        <w:rPr>
          <w:b/>
          <w:bCs/>
        </w:rPr>
      </w:pPr>
      <w:r>
        <w:rPr>
          <w:b/>
          <w:bCs/>
        </w:rPr>
        <w:t xml:space="preserve"> </w:t>
      </w:r>
    </w:p>
    <w:p w:rsidR="00EE300C" w:rsidRDefault="00445D37">
      <w:pPr>
        <w:widowControl/>
        <w:autoSpaceDE/>
        <w:autoSpaceDN/>
        <w:adjustRightInd/>
        <w:rPr>
          <w:b/>
          <w:bCs/>
        </w:rPr>
      </w:pPr>
      <w:r>
        <w:rPr>
          <w:b/>
          <w:bCs/>
        </w:rPr>
        <w:br w:type="page"/>
      </w:r>
    </w:p>
    <w:p w:rsidR="00EE300C" w:rsidRDefault="00445D37">
      <w:pPr>
        <w:spacing w:line="360" w:lineRule="auto"/>
        <w:ind w:firstLine="1440"/>
      </w:pPr>
      <w:r>
        <w:rPr>
          <w:b/>
          <w:bCs/>
        </w:rPr>
        <w:lastRenderedPageBreak/>
        <w:t>(iii)  Capit</w:t>
      </w:r>
      <w:r>
        <w:rPr>
          <w:b/>
          <w:bCs/>
        </w:rPr>
        <w:t>al/Startup and Operation and Maintenance (O&amp;M) Costs</w:t>
      </w:r>
    </w:p>
    <w:p w:rsidR="00EE300C" w:rsidRDefault="00EE300C">
      <w:pPr>
        <w:spacing w:line="360" w:lineRule="auto"/>
      </w:pPr>
    </w:p>
    <w:tbl>
      <w:tblPr>
        <w:tblW w:w="9450" w:type="dxa"/>
        <w:jc w:val="center"/>
        <w:tblLayout w:type="fixed"/>
        <w:tblCellMar>
          <w:left w:w="111" w:type="dxa"/>
          <w:right w:w="111" w:type="dxa"/>
        </w:tblCellMar>
        <w:tblLook w:val="0000"/>
      </w:tblPr>
      <w:tblGrid>
        <w:gridCol w:w="1890"/>
        <w:gridCol w:w="1260"/>
        <w:gridCol w:w="1350"/>
        <w:gridCol w:w="1260"/>
        <w:gridCol w:w="1350"/>
        <w:gridCol w:w="1260"/>
        <w:gridCol w:w="1080"/>
      </w:tblGrid>
      <w:tr w:rsidR="00EE300C">
        <w:trPr>
          <w:cantSplit/>
          <w:tblHeader/>
          <w:jc w:val="center"/>
        </w:trPr>
        <w:tc>
          <w:tcPr>
            <w:tcW w:w="9450" w:type="dxa"/>
            <w:gridSpan w:val="7"/>
            <w:tcBorders>
              <w:top w:val="single" w:sz="7" w:space="0" w:color="000000"/>
              <w:left w:val="single" w:sz="7" w:space="0" w:color="000000"/>
              <w:bottom w:val="single" w:sz="6" w:space="0" w:color="FFFFFF"/>
              <w:right w:val="single" w:sz="7" w:space="0" w:color="000000"/>
            </w:tcBorders>
          </w:tcPr>
          <w:p w:rsidR="00EE300C" w:rsidRDefault="00445D37">
            <w:pPr>
              <w:spacing w:after="52"/>
              <w:jc w:val="center"/>
              <w:rPr>
                <w:b/>
                <w:bCs/>
              </w:rPr>
            </w:pPr>
            <w:r>
              <w:rPr>
                <w:b/>
                <w:bCs/>
              </w:rPr>
              <w:t>Capital/Startup and Operation and Maintenance (O&amp;M) Costs</w:t>
            </w:r>
          </w:p>
        </w:tc>
      </w:tr>
      <w:tr w:rsidR="00EE300C">
        <w:trPr>
          <w:cantSplit/>
          <w:trHeight w:val="432"/>
          <w:tblHeader/>
          <w:jc w:val="center"/>
        </w:trPr>
        <w:tc>
          <w:tcPr>
            <w:tcW w:w="1890" w:type="dxa"/>
            <w:tcBorders>
              <w:top w:val="single" w:sz="7" w:space="0" w:color="000000"/>
              <w:left w:val="single" w:sz="7" w:space="0" w:color="000000"/>
              <w:bottom w:val="single" w:sz="8" w:space="0" w:color="000000"/>
              <w:right w:val="single" w:sz="6" w:space="0" w:color="FFFFFF"/>
            </w:tcBorders>
            <w:vAlign w:val="center"/>
          </w:tcPr>
          <w:p w:rsidR="00EE300C" w:rsidRDefault="00445D37">
            <w:pPr>
              <w:spacing w:after="52"/>
              <w:jc w:val="center"/>
              <w:rPr>
                <w:sz w:val="20"/>
                <w:szCs w:val="20"/>
              </w:rPr>
            </w:pPr>
            <w:r>
              <w:rPr>
                <w:sz w:val="20"/>
                <w:szCs w:val="20"/>
              </w:rPr>
              <w:t xml:space="preserve">(A) </w:t>
            </w:r>
          </w:p>
          <w:p w:rsidR="00EE300C" w:rsidRDefault="00445D37">
            <w:pPr>
              <w:spacing w:after="52"/>
              <w:jc w:val="center"/>
              <w:rPr>
                <w:sz w:val="20"/>
                <w:szCs w:val="20"/>
              </w:rPr>
            </w:pPr>
            <w:r>
              <w:rPr>
                <w:sz w:val="20"/>
                <w:szCs w:val="20"/>
              </w:rPr>
              <w:t>Source Category and Cost Type</w:t>
            </w:r>
          </w:p>
        </w:tc>
        <w:tc>
          <w:tcPr>
            <w:tcW w:w="1260" w:type="dxa"/>
            <w:tcBorders>
              <w:top w:val="single" w:sz="7" w:space="0" w:color="000000"/>
              <w:left w:val="single" w:sz="7" w:space="0" w:color="000000"/>
              <w:bottom w:val="single" w:sz="8" w:space="0" w:color="000000"/>
              <w:right w:val="single" w:sz="6" w:space="0" w:color="FFFFFF"/>
            </w:tcBorders>
            <w:vAlign w:val="center"/>
          </w:tcPr>
          <w:p w:rsidR="00EE300C" w:rsidRDefault="00445D37">
            <w:pPr>
              <w:jc w:val="center"/>
              <w:rPr>
                <w:sz w:val="20"/>
                <w:szCs w:val="20"/>
              </w:rPr>
            </w:pPr>
            <w:r>
              <w:rPr>
                <w:sz w:val="20"/>
                <w:szCs w:val="20"/>
              </w:rPr>
              <w:t>(B)</w:t>
            </w:r>
          </w:p>
          <w:p w:rsidR="00EE300C" w:rsidRDefault="00445D37">
            <w:pPr>
              <w:spacing w:after="52"/>
              <w:jc w:val="center"/>
              <w:rPr>
                <w:sz w:val="20"/>
                <w:szCs w:val="20"/>
              </w:rPr>
            </w:pPr>
            <w:r>
              <w:rPr>
                <w:sz w:val="20"/>
                <w:szCs w:val="20"/>
              </w:rPr>
              <w:t>Capital/</w:t>
            </w:r>
          </w:p>
          <w:p w:rsidR="00EE300C" w:rsidRDefault="00445D37">
            <w:pPr>
              <w:spacing w:after="52"/>
              <w:jc w:val="center"/>
              <w:rPr>
                <w:sz w:val="20"/>
                <w:szCs w:val="20"/>
              </w:rPr>
            </w:pPr>
            <w:r>
              <w:rPr>
                <w:sz w:val="20"/>
                <w:szCs w:val="20"/>
              </w:rPr>
              <w:t>Startup Cost for One Respondent</w:t>
            </w:r>
          </w:p>
        </w:tc>
        <w:tc>
          <w:tcPr>
            <w:tcW w:w="1350" w:type="dxa"/>
            <w:tcBorders>
              <w:top w:val="single" w:sz="7" w:space="0" w:color="000000"/>
              <w:left w:val="single" w:sz="7" w:space="0" w:color="000000"/>
              <w:bottom w:val="single" w:sz="8" w:space="0" w:color="000000"/>
              <w:right w:val="single" w:sz="6" w:space="0" w:color="FFFFFF"/>
            </w:tcBorders>
            <w:vAlign w:val="center"/>
          </w:tcPr>
          <w:p w:rsidR="00EE300C" w:rsidRDefault="00445D37">
            <w:pPr>
              <w:jc w:val="center"/>
              <w:rPr>
                <w:sz w:val="20"/>
                <w:szCs w:val="20"/>
              </w:rPr>
            </w:pPr>
            <w:r>
              <w:rPr>
                <w:sz w:val="20"/>
                <w:szCs w:val="20"/>
              </w:rPr>
              <w:t>(C)</w:t>
            </w:r>
          </w:p>
          <w:p w:rsidR="00EE300C" w:rsidRDefault="00445D37">
            <w:pPr>
              <w:spacing w:after="52"/>
              <w:jc w:val="center"/>
              <w:rPr>
                <w:sz w:val="20"/>
                <w:szCs w:val="20"/>
              </w:rPr>
            </w:pPr>
            <w:r>
              <w:rPr>
                <w:sz w:val="20"/>
                <w:szCs w:val="20"/>
              </w:rPr>
              <w:t xml:space="preserve">Number of Respondents </w:t>
            </w:r>
          </w:p>
        </w:tc>
        <w:tc>
          <w:tcPr>
            <w:tcW w:w="1260" w:type="dxa"/>
            <w:tcBorders>
              <w:top w:val="single" w:sz="7" w:space="0" w:color="000000"/>
              <w:left w:val="single" w:sz="7" w:space="0" w:color="000000"/>
              <w:bottom w:val="single" w:sz="8" w:space="0" w:color="000000"/>
              <w:right w:val="single" w:sz="6" w:space="0" w:color="FFFFFF"/>
            </w:tcBorders>
            <w:vAlign w:val="center"/>
          </w:tcPr>
          <w:p w:rsidR="00EE300C" w:rsidRDefault="00445D37">
            <w:pPr>
              <w:jc w:val="center"/>
              <w:rPr>
                <w:sz w:val="20"/>
                <w:szCs w:val="20"/>
              </w:rPr>
            </w:pPr>
            <w:r>
              <w:rPr>
                <w:sz w:val="20"/>
                <w:szCs w:val="20"/>
              </w:rPr>
              <w:t>(D)</w:t>
            </w:r>
          </w:p>
          <w:p w:rsidR="00EE300C" w:rsidRDefault="00445D37">
            <w:pPr>
              <w:jc w:val="center"/>
              <w:rPr>
                <w:sz w:val="20"/>
                <w:szCs w:val="20"/>
              </w:rPr>
            </w:pPr>
            <w:r>
              <w:rPr>
                <w:sz w:val="20"/>
                <w:szCs w:val="20"/>
              </w:rPr>
              <w:t xml:space="preserve">Total </w:t>
            </w:r>
          </w:p>
          <w:p w:rsidR="00EE300C" w:rsidRDefault="00445D37">
            <w:pPr>
              <w:jc w:val="center"/>
              <w:rPr>
                <w:sz w:val="20"/>
                <w:szCs w:val="20"/>
              </w:rPr>
            </w:pPr>
            <w:r>
              <w:rPr>
                <w:sz w:val="20"/>
                <w:szCs w:val="20"/>
              </w:rPr>
              <w:t>Capital/</w:t>
            </w:r>
          </w:p>
          <w:p w:rsidR="00EE300C" w:rsidRDefault="00445D37">
            <w:pPr>
              <w:jc w:val="center"/>
              <w:rPr>
                <w:sz w:val="20"/>
                <w:szCs w:val="20"/>
              </w:rPr>
            </w:pPr>
            <w:r>
              <w:rPr>
                <w:sz w:val="20"/>
                <w:szCs w:val="20"/>
              </w:rPr>
              <w:t xml:space="preserve">Startup Cost </w:t>
            </w:r>
          </w:p>
          <w:p w:rsidR="00EE300C" w:rsidRDefault="00445D37">
            <w:pPr>
              <w:jc w:val="center"/>
              <w:rPr>
                <w:sz w:val="20"/>
                <w:szCs w:val="20"/>
              </w:rPr>
            </w:pPr>
            <w:r>
              <w:rPr>
                <w:sz w:val="20"/>
                <w:szCs w:val="20"/>
              </w:rPr>
              <w:t xml:space="preserve">(B X C) </w:t>
            </w:r>
          </w:p>
        </w:tc>
        <w:tc>
          <w:tcPr>
            <w:tcW w:w="1350" w:type="dxa"/>
            <w:tcBorders>
              <w:top w:val="single" w:sz="7" w:space="0" w:color="000000"/>
              <w:left w:val="single" w:sz="7" w:space="0" w:color="000000"/>
              <w:bottom w:val="single" w:sz="8" w:space="0" w:color="000000"/>
              <w:right w:val="single" w:sz="6" w:space="0" w:color="FFFFFF"/>
            </w:tcBorders>
            <w:vAlign w:val="center"/>
          </w:tcPr>
          <w:p w:rsidR="00EE300C" w:rsidRDefault="00445D37">
            <w:pPr>
              <w:jc w:val="center"/>
              <w:rPr>
                <w:sz w:val="20"/>
                <w:szCs w:val="20"/>
              </w:rPr>
            </w:pPr>
            <w:r>
              <w:rPr>
                <w:sz w:val="20"/>
                <w:szCs w:val="20"/>
              </w:rPr>
              <w:t>(E)</w:t>
            </w:r>
          </w:p>
          <w:p w:rsidR="00EE300C" w:rsidRDefault="00445D37">
            <w:pPr>
              <w:spacing w:after="52"/>
              <w:jc w:val="center"/>
              <w:rPr>
                <w:sz w:val="20"/>
                <w:szCs w:val="20"/>
              </w:rPr>
            </w:pPr>
            <w:r>
              <w:rPr>
                <w:sz w:val="20"/>
                <w:szCs w:val="20"/>
              </w:rPr>
              <w:t xml:space="preserve">Annual Costs for One Respondent </w:t>
            </w:r>
          </w:p>
        </w:tc>
        <w:tc>
          <w:tcPr>
            <w:tcW w:w="1260" w:type="dxa"/>
            <w:tcBorders>
              <w:top w:val="single" w:sz="7" w:space="0" w:color="000000"/>
              <w:left w:val="single" w:sz="7" w:space="0" w:color="000000"/>
              <w:bottom w:val="single" w:sz="8" w:space="0" w:color="000000"/>
              <w:right w:val="single" w:sz="6" w:space="0" w:color="FFFFFF"/>
            </w:tcBorders>
            <w:vAlign w:val="center"/>
          </w:tcPr>
          <w:p w:rsidR="00EE300C" w:rsidRDefault="00445D37">
            <w:pPr>
              <w:jc w:val="center"/>
              <w:rPr>
                <w:sz w:val="20"/>
                <w:szCs w:val="20"/>
              </w:rPr>
            </w:pPr>
            <w:r>
              <w:rPr>
                <w:sz w:val="20"/>
                <w:szCs w:val="20"/>
              </w:rPr>
              <w:t>(F)</w:t>
            </w:r>
          </w:p>
          <w:p w:rsidR="00EE300C" w:rsidRDefault="00445D37">
            <w:pPr>
              <w:spacing w:after="52"/>
              <w:jc w:val="center"/>
              <w:rPr>
                <w:sz w:val="20"/>
                <w:szCs w:val="20"/>
              </w:rPr>
            </w:pPr>
            <w:r>
              <w:rPr>
                <w:sz w:val="20"/>
                <w:szCs w:val="20"/>
              </w:rPr>
              <w:t xml:space="preserve">Number of Respondents </w:t>
            </w:r>
          </w:p>
        </w:tc>
        <w:tc>
          <w:tcPr>
            <w:tcW w:w="1080" w:type="dxa"/>
            <w:tcBorders>
              <w:top w:val="single" w:sz="7" w:space="0" w:color="000000"/>
              <w:left w:val="single" w:sz="7" w:space="0" w:color="000000"/>
              <w:bottom w:val="single" w:sz="8" w:space="0" w:color="000000"/>
              <w:right w:val="single" w:sz="7" w:space="0" w:color="000000"/>
            </w:tcBorders>
            <w:vAlign w:val="center"/>
          </w:tcPr>
          <w:p w:rsidR="00EE300C" w:rsidRDefault="00445D37">
            <w:pPr>
              <w:jc w:val="center"/>
              <w:rPr>
                <w:sz w:val="20"/>
                <w:szCs w:val="20"/>
              </w:rPr>
            </w:pPr>
            <w:r>
              <w:rPr>
                <w:sz w:val="20"/>
                <w:szCs w:val="20"/>
              </w:rPr>
              <w:t>(G)</w:t>
            </w:r>
          </w:p>
          <w:p w:rsidR="00EE300C" w:rsidRDefault="00445D37">
            <w:pPr>
              <w:jc w:val="center"/>
              <w:rPr>
                <w:sz w:val="20"/>
                <w:szCs w:val="20"/>
              </w:rPr>
            </w:pPr>
            <w:r>
              <w:rPr>
                <w:sz w:val="20"/>
                <w:szCs w:val="20"/>
              </w:rPr>
              <w:t>Total Annual Cost</w:t>
            </w:r>
          </w:p>
          <w:p w:rsidR="00EE300C" w:rsidRDefault="00445D37">
            <w:pPr>
              <w:spacing w:after="52"/>
              <w:jc w:val="center"/>
              <w:rPr>
                <w:sz w:val="20"/>
                <w:szCs w:val="20"/>
              </w:rPr>
            </w:pPr>
            <w:r>
              <w:rPr>
                <w:sz w:val="20"/>
                <w:szCs w:val="20"/>
              </w:rPr>
              <w:t>(E X F)</w:t>
            </w:r>
          </w:p>
        </w:tc>
      </w:tr>
      <w:tr w:rsidR="00EE300C">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rPr>
                <w:sz w:val="20"/>
                <w:szCs w:val="20"/>
              </w:rPr>
            </w:pPr>
            <w:r>
              <w:rPr>
                <w:sz w:val="20"/>
                <w:szCs w:val="20"/>
              </w:rPr>
              <w:t>PC (O&amp;M)</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$1,505</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4</w:t>
            </w:r>
          </w:p>
        </w:tc>
        <w:tc>
          <w:tcPr>
            <w:tcW w:w="108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$6,020</w:t>
            </w:r>
          </w:p>
        </w:tc>
      </w:tr>
      <w:tr w:rsidR="00EE300C">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rPr>
                <w:sz w:val="20"/>
                <w:szCs w:val="20"/>
              </w:rPr>
            </w:pPr>
            <w:r>
              <w:rPr>
                <w:sz w:val="20"/>
                <w:szCs w:val="20"/>
              </w:rPr>
              <w:t>PC (PRD)</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$12,649</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4</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$50,596</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$1,804</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4</w:t>
            </w:r>
          </w:p>
        </w:tc>
        <w:tc>
          <w:tcPr>
            <w:tcW w:w="108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$7,216</w:t>
            </w:r>
          </w:p>
        </w:tc>
      </w:tr>
      <w:tr w:rsidR="00EE300C">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rPr>
                <w:sz w:val="20"/>
                <w:szCs w:val="20"/>
              </w:rPr>
            </w:pPr>
            <w:r>
              <w:rPr>
                <w:sz w:val="20"/>
                <w:szCs w:val="20"/>
              </w:rPr>
              <w:t>PC (LDAR)</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$3,899</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4</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$15,596</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$541</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4</w:t>
            </w:r>
          </w:p>
        </w:tc>
        <w:tc>
          <w:tcPr>
            <w:tcW w:w="108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$2,164</w:t>
            </w:r>
          </w:p>
        </w:tc>
      </w:tr>
      <w:tr w:rsidR="00EE300C">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rPr>
                <w:sz w:val="20"/>
                <w:szCs w:val="20"/>
              </w:rPr>
            </w:pPr>
            <w:r>
              <w:rPr>
                <w:sz w:val="20"/>
                <w:szCs w:val="20"/>
              </w:rPr>
              <w:t>AMF (O&amp;M)</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 xml:space="preserve">$0 </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$1,505</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w:t>
            </w:r>
          </w:p>
        </w:tc>
        <w:tc>
          <w:tcPr>
            <w:tcW w:w="108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 xml:space="preserve">$1,505 </w:t>
            </w:r>
          </w:p>
        </w:tc>
      </w:tr>
      <w:tr w:rsidR="00EE300C">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rPr>
                <w:sz w:val="20"/>
                <w:szCs w:val="20"/>
              </w:rPr>
            </w:pPr>
            <w:r>
              <w:rPr>
                <w:sz w:val="20"/>
                <w:szCs w:val="20"/>
              </w:rPr>
              <w:t>AMF (PRD)</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$37,063</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$37,063</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$5,277</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w:t>
            </w:r>
          </w:p>
        </w:tc>
        <w:tc>
          <w:tcPr>
            <w:tcW w:w="108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 xml:space="preserve">$5,277 </w:t>
            </w:r>
          </w:p>
        </w:tc>
      </w:tr>
      <w:tr w:rsidR="00EE300C">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rPr>
                <w:sz w:val="20"/>
                <w:szCs w:val="20"/>
              </w:rPr>
            </w:pPr>
            <w:r>
              <w:rPr>
                <w:sz w:val="20"/>
                <w:szCs w:val="20"/>
              </w:rPr>
              <w:t>AMF (LDAR)</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$1,428</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 xml:space="preserve">$1,428 </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jc w:val="center"/>
              <w:rPr>
                <w:sz w:val="20"/>
                <w:szCs w:val="20"/>
              </w:rPr>
            </w:pPr>
            <w:r>
              <w:rPr>
                <w:sz w:val="20"/>
                <w:szCs w:val="20"/>
              </w:rPr>
              <w:t>$223</w:t>
            </w:r>
          </w:p>
        </w:tc>
        <w:tc>
          <w:tcPr>
            <w:tcW w:w="1260" w:type="dxa"/>
            <w:tcBorders>
              <w:top w:val="single" w:sz="8" w:space="0" w:color="000000"/>
              <w:left w:val="single" w:sz="8" w:space="0" w:color="000000"/>
              <w:bottom w:val="single" w:sz="4" w:space="0" w:color="auto"/>
              <w:right w:val="single" w:sz="8" w:space="0" w:color="000000"/>
            </w:tcBorders>
            <w:vAlign w:val="center"/>
          </w:tcPr>
          <w:p w:rsidR="00EE300C" w:rsidRDefault="00445D37">
            <w:pPr>
              <w:spacing w:after="52"/>
              <w:jc w:val="center"/>
              <w:rPr>
                <w:sz w:val="20"/>
                <w:szCs w:val="20"/>
              </w:rPr>
            </w:pPr>
            <w:r>
              <w:rPr>
                <w:sz w:val="20"/>
                <w:szCs w:val="20"/>
              </w:rPr>
              <w:t>1</w:t>
            </w:r>
          </w:p>
        </w:tc>
        <w:tc>
          <w:tcPr>
            <w:tcW w:w="1080" w:type="dxa"/>
            <w:tcBorders>
              <w:top w:val="single" w:sz="8" w:space="0" w:color="000000"/>
              <w:left w:val="single" w:sz="8" w:space="0" w:color="000000"/>
              <w:bottom w:val="single" w:sz="4" w:space="0" w:color="auto"/>
              <w:right w:val="single" w:sz="8" w:space="0" w:color="000000"/>
            </w:tcBorders>
            <w:vAlign w:val="center"/>
          </w:tcPr>
          <w:p w:rsidR="00EE300C" w:rsidRDefault="00445D37">
            <w:pPr>
              <w:jc w:val="center"/>
              <w:rPr>
                <w:color w:val="000000"/>
                <w:sz w:val="20"/>
                <w:szCs w:val="20"/>
              </w:rPr>
            </w:pPr>
            <w:r>
              <w:rPr>
                <w:color w:val="000000"/>
                <w:sz w:val="20"/>
                <w:szCs w:val="20"/>
              </w:rPr>
              <w:t xml:space="preserve">$223 </w:t>
            </w:r>
          </w:p>
        </w:tc>
      </w:tr>
      <w:tr w:rsidR="00EE300C">
        <w:trPr>
          <w:cantSplit/>
          <w:trHeight w:val="246"/>
          <w:jc w:val="center"/>
        </w:trPr>
        <w:tc>
          <w:tcPr>
            <w:tcW w:w="1890" w:type="dxa"/>
            <w:vMerge w:val="restart"/>
            <w:tcBorders>
              <w:top w:val="single" w:sz="8" w:space="0" w:color="000000"/>
              <w:left w:val="single" w:sz="8" w:space="0" w:color="000000"/>
              <w:right w:val="single" w:sz="8" w:space="0" w:color="000000"/>
            </w:tcBorders>
            <w:vAlign w:val="center"/>
          </w:tcPr>
          <w:p w:rsidR="00EE300C" w:rsidRDefault="00445D37">
            <w:pPr>
              <w:spacing w:after="52"/>
              <w:rPr>
                <w:sz w:val="20"/>
                <w:szCs w:val="20"/>
              </w:rPr>
            </w:pPr>
            <w:r>
              <w:rPr>
                <w:sz w:val="20"/>
                <w:szCs w:val="20"/>
              </w:rPr>
              <w:t>AR</w:t>
            </w:r>
            <w:r>
              <w:rPr>
                <w:sz w:val="20"/>
                <w:szCs w:val="20"/>
                <w:vertAlign w:val="superscript"/>
              </w:rPr>
              <w:t>1,2</w:t>
            </w:r>
          </w:p>
        </w:tc>
        <w:tc>
          <w:tcPr>
            <w:tcW w:w="1260" w:type="dxa"/>
            <w:vMerge w:val="restart"/>
            <w:tcBorders>
              <w:top w:val="single" w:sz="8" w:space="0" w:color="000000"/>
              <w:left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350" w:type="dxa"/>
            <w:vMerge w:val="restart"/>
            <w:tcBorders>
              <w:top w:val="single" w:sz="8" w:space="0" w:color="000000"/>
              <w:left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260" w:type="dxa"/>
            <w:vMerge w:val="restart"/>
            <w:tcBorders>
              <w:top w:val="single" w:sz="8" w:space="0" w:color="000000"/>
              <w:left w:val="single" w:sz="8" w:space="0" w:color="000000"/>
              <w:right w:val="single" w:sz="8" w:space="0" w:color="000000"/>
            </w:tcBorders>
            <w:vAlign w:val="center"/>
          </w:tcPr>
          <w:p w:rsidR="00EE300C" w:rsidRDefault="00445D37">
            <w:pPr>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4" w:space="0" w:color="auto"/>
            </w:tcBorders>
            <w:vAlign w:val="center"/>
          </w:tcPr>
          <w:p w:rsidR="00EE300C" w:rsidRDefault="00445D37">
            <w:pPr>
              <w:spacing w:after="52"/>
              <w:jc w:val="center"/>
              <w:rPr>
                <w:sz w:val="20"/>
                <w:szCs w:val="20"/>
              </w:rPr>
            </w:pPr>
            <w:r>
              <w:rPr>
                <w:sz w:val="20"/>
                <w:szCs w:val="20"/>
              </w:rPr>
              <w:t>$134</w:t>
            </w:r>
          </w:p>
        </w:tc>
        <w:tc>
          <w:tcPr>
            <w:tcW w:w="1260" w:type="dxa"/>
            <w:tcBorders>
              <w:top w:val="single" w:sz="4" w:space="0" w:color="auto"/>
              <w:left w:val="single" w:sz="4" w:space="0" w:color="auto"/>
              <w:bottom w:val="single" w:sz="4" w:space="0" w:color="auto"/>
              <w:right w:val="single" w:sz="4" w:space="0" w:color="auto"/>
            </w:tcBorders>
            <w:vAlign w:val="center"/>
          </w:tcPr>
          <w:p w:rsidR="00EE300C" w:rsidRDefault="00445D37">
            <w:pPr>
              <w:spacing w:after="52"/>
              <w:jc w:val="center"/>
              <w:rPr>
                <w:sz w:val="20"/>
                <w:szCs w:val="20"/>
              </w:rPr>
            </w:pPr>
            <w:r>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EE300C" w:rsidRDefault="00445D37">
            <w:pPr>
              <w:jc w:val="center"/>
              <w:rPr>
                <w:color w:val="000000"/>
                <w:sz w:val="20"/>
                <w:szCs w:val="20"/>
              </w:rPr>
            </w:pPr>
            <w:r>
              <w:rPr>
                <w:color w:val="000000"/>
                <w:sz w:val="20"/>
                <w:szCs w:val="20"/>
              </w:rPr>
              <w:t>$268</w:t>
            </w:r>
          </w:p>
        </w:tc>
      </w:tr>
      <w:tr w:rsidR="00EE300C">
        <w:trPr>
          <w:cantSplit/>
          <w:trHeight w:val="246"/>
          <w:jc w:val="center"/>
        </w:trPr>
        <w:tc>
          <w:tcPr>
            <w:tcW w:w="1890" w:type="dxa"/>
            <w:vMerge/>
            <w:tcBorders>
              <w:left w:val="single" w:sz="8" w:space="0" w:color="000000"/>
              <w:bottom w:val="single" w:sz="8" w:space="0" w:color="000000"/>
              <w:right w:val="single" w:sz="8" w:space="0" w:color="000000"/>
            </w:tcBorders>
            <w:vAlign w:val="center"/>
          </w:tcPr>
          <w:p w:rsidR="00EE300C" w:rsidRDefault="00EE300C">
            <w:pPr>
              <w:spacing w:after="52"/>
              <w:rPr>
                <w:sz w:val="20"/>
                <w:szCs w:val="20"/>
              </w:rPr>
            </w:pPr>
          </w:p>
        </w:tc>
        <w:tc>
          <w:tcPr>
            <w:tcW w:w="1260" w:type="dxa"/>
            <w:vMerge/>
            <w:tcBorders>
              <w:left w:val="single" w:sz="8" w:space="0" w:color="000000"/>
              <w:bottom w:val="single" w:sz="8" w:space="0" w:color="000000"/>
              <w:right w:val="single" w:sz="8" w:space="0" w:color="000000"/>
            </w:tcBorders>
            <w:vAlign w:val="center"/>
          </w:tcPr>
          <w:p w:rsidR="00EE300C" w:rsidRDefault="00EE300C">
            <w:pPr>
              <w:spacing w:after="52"/>
              <w:jc w:val="center"/>
              <w:rPr>
                <w:sz w:val="20"/>
                <w:szCs w:val="20"/>
              </w:rPr>
            </w:pPr>
          </w:p>
        </w:tc>
        <w:tc>
          <w:tcPr>
            <w:tcW w:w="1350" w:type="dxa"/>
            <w:vMerge/>
            <w:tcBorders>
              <w:left w:val="single" w:sz="8" w:space="0" w:color="000000"/>
              <w:bottom w:val="single" w:sz="8" w:space="0" w:color="000000"/>
              <w:right w:val="single" w:sz="8" w:space="0" w:color="000000"/>
            </w:tcBorders>
            <w:vAlign w:val="center"/>
          </w:tcPr>
          <w:p w:rsidR="00EE300C" w:rsidRDefault="00EE300C">
            <w:pPr>
              <w:spacing w:after="52"/>
              <w:jc w:val="center"/>
              <w:rPr>
                <w:sz w:val="20"/>
                <w:szCs w:val="20"/>
              </w:rPr>
            </w:pPr>
          </w:p>
        </w:tc>
        <w:tc>
          <w:tcPr>
            <w:tcW w:w="1260" w:type="dxa"/>
            <w:vMerge/>
            <w:tcBorders>
              <w:left w:val="single" w:sz="8" w:space="0" w:color="000000"/>
              <w:bottom w:val="single" w:sz="8" w:space="0" w:color="000000"/>
              <w:right w:val="single" w:sz="8" w:space="0" w:color="000000"/>
            </w:tcBorders>
            <w:vAlign w:val="center"/>
          </w:tcPr>
          <w:p w:rsidR="00EE300C" w:rsidRDefault="00EE300C">
            <w:pPr>
              <w:jc w:val="center"/>
              <w:rPr>
                <w:sz w:val="20"/>
                <w:szCs w:val="20"/>
              </w:rPr>
            </w:pPr>
          </w:p>
        </w:tc>
        <w:tc>
          <w:tcPr>
            <w:tcW w:w="1350" w:type="dxa"/>
            <w:tcBorders>
              <w:top w:val="single" w:sz="8" w:space="0" w:color="000000"/>
              <w:left w:val="single" w:sz="8" w:space="0" w:color="000000"/>
              <w:bottom w:val="single" w:sz="8" w:space="0" w:color="000000"/>
              <w:right w:val="single" w:sz="4" w:space="0" w:color="auto"/>
            </w:tcBorders>
            <w:vAlign w:val="center"/>
          </w:tcPr>
          <w:p w:rsidR="00EE300C" w:rsidRDefault="00445D37">
            <w:pPr>
              <w:spacing w:after="52"/>
              <w:jc w:val="center"/>
              <w:rPr>
                <w:sz w:val="20"/>
                <w:szCs w:val="20"/>
              </w:rPr>
            </w:pPr>
            <w:r>
              <w:rPr>
                <w:sz w:val="20"/>
                <w:szCs w:val="20"/>
              </w:rPr>
              <w:t>$7,500</w:t>
            </w:r>
          </w:p>
        </w:tc>
        <w:tc>
          <w:tcPr>
            <w:tcW w:w="1260" w:type="dxa"/>
            <w:tcBorders>
              <w:top w:val="single" w:sz="4" w:space="0" w:color="auto"/>
              <w:left w:val="single" w:sz="4" w:space="0" w:color="auto"/>
              <w:bottom w:val="single" w:sz="4" w:space="0" w:color="auto"/>
              <w:right w:val="single" w:sz="4" w:space="0" w:color="auto"/>
            </w:tcBorders>
            <w:vAlign w:val="center"/>
          </w:tcPr>
          <w:p w:rsidR="00EE300C" w:rsidRDefault="00445D37">
            <w:pPr>
              <w:spacing w:after="52"/>
              <w:jc w:val="center"/>
              <w:rPr>
                <w:sz w:val="20"/>
                <w:szCs w:val="20"/>
              </w:rPr>
            </w:pPr>
            <w:r>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EE300C" w:rsidRDefault="00445D37">
            <w:pPr>
              <w:jc w:val="center"/>
              <w:rPr>
                <w:color w:val="000000"/>
                <w:sz w:val="20"/>
                <w:szCs w:val="20"/>
              </w:rPr>
            </w:pPr>
            <w:r>
              <w:rPr>
                <w:color w:val="000000"/>
                <w:sz w:val="20"/>
                <w:szCs w:val="20"/>
              </w:rPr>
              <w:t>$15,000</w:t>
            </w:r>
          </w:p>
        </w:tc>
      </w:tr>
      <w:tr w:rsidR="00EE300C">
        <w:trPr>
          <w:cantSplit/>
          <w:trHeight w:val="268"/>
          <w:jc w:val="center"/>
        </w:trPr>
        <w:tc>
          <w:tcPr>
            <w:tcW w:w="1890" w:type="dxa"/>
            <w:vMerge w:val="restart"/>
            <w:tcBorders>
              <w:top w:val="single" w:sz="8" w:space="0" w:color="000000"/>
              <w:left w:val="single" w:sz="8" w:space="0" w:color="000000"/>
              <w:right w:val="single" w:sz="8" w:space="0" w:color="000000"/>
            </w:tcBorders>
            <w:vAlign w:val="center"/>
          </w:tcPr>
          <w:p w:rsidR="00EE300C" w:rsidRDefault="00445D37">
            <w:pPr>
              <w:spacing w:after="52"/>
              <w:rPr>
                <w:sz w:val="20"/>
                <w:szCs w:val="20"/>
              </w:rPr>
            </w:pPr>
            <w:r>
              <w:rPr>
                <w:sz w:val="20"/>
                <w:szCs w:val="20"/>
              </w:rPr>
              <w:t>HF</w:t>
            </w:r>
            <w:r>
              <w:rPr>
                <w:sz w:val="20"/>
                <w:szCs w:val="20"/>
                <w:vertAlign w:val="superscript"/>
              </w:rPr>
              <w:t>1,3</w:t>
            </w:r>
          </w:p>
        </w:tc>
        <w:tc>
          <w:tcPr>
            <w:tcW w:w="1260" w:type="dxa"/>
            <w:vMerge w:val="restart"/>
            <w:tcBorders>
              <w:top w:val="single" w:sz="8" w:space="0" w:color="000000"/>
              <w:left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350" w:type="dxa"/>
            <w:vMerge w:val="restart"/>
            <w:tcBorders>
              <w:top w:val="single" w:sz="8" w:space="0" w:color="000000"/>
              <w:left w:val="single" w:sz="8" w:space="0" w:color="000000"/>
              <w:right w:val="single" w:sz="8" w:space="0" w:color="000000"/>
            </w:tcBorders>
            <w:vAlign w:val="center"/>
          </w:tcPr>
          <w:p w:rsidR="00EE300C" w:rsidRDefault="00445D37">
            <w:pPr>
              <w:spacing w:after="52"/>
              <w:jc w:val="center"/>
              <w:rPr>
                <w:sz w:val="20"/>
                <w:szCs w:val="20"/>
              </w:rPr>
            </w:pPr>
            <w:r>
              <w:rPr>
                <w:sz w:val="20"/>
                <w:szCs w:val="20"/>
              </w:rPr>
              <w:t>0</w:t>
            </w:r>
          </w:p>
        </w:tc>
        <w:tc>
          <w:tcPr>
            <w:tcW w:w="1260" w:type="dxa"/>
            <w:vMerge w:val="restart"/>
            <w:tcBorders>
              <w:top w:val="single" w:sz="8" w:space="0" w:color="000000"/>
              <w:left w:val="single" w:sz="8" w:space="0" w:color="000000"/>
              <w:right w:val="single" w:sz="8" w:space="0" w:color="000000"/>
            </w:tcBorders>
            <w:vAlign w:val="center"/>
          </w:tcPr>
          <w:p w:rsidR="00EE300C" w:rsidRDefault="00445D37">
            <w:pPr>
              <w:jc w:val="center"/>
              <w:rPr>
                <w:color w:val="000000"/>
                <w:sz w:val="20"/>
                <w:szCs w:val="20"/>
              </w:rPr>
            </w:pPr>
            <w:r>
              <w:rPr>
                <w:sz w:val="20"/>
                <w:szCs w:val="20"/>
              </w:rPr>
              <w:t>$0</w:t>
            </w:r>
          </w:p>
        </w:tc>
        <w:tc>
          <w:tcPr>
            <w:tcW w:w="1350" w:type="dxa"/>
            <w:tcBorders>
              <w:top w:val="single" w:sz="8" w:space="0" w:color="000000"/>
              <w:left w:val="single" w:sz="8" w:space="0" w:color="000000"/>
              <w:right w:val="single" w:sz="4" w:space="0" w:color="auto"/>
            </w:tcBorders>
            <w:vAlign w:val="center"/>
          </w:tcPr>
          <w:p w:rsidR="00EE300C" w:rsidRDefault="00445D37">
            <w:pPr>
              <w:spacing w:after="52"/>
              <w:jc w:val="center"/>
              <w:rPr>
                <w:sz w:val="20"/>
                <w:szCs w:val="20"/>
              </w:rPr>
            </w:pPr>
            <w:r>
              <w:rPr>
                <w:sz w:val="20"/>
                <w:szCs w:val="20"/>
              </w:rPr>
              <w:t>$134</w:t>
            </w:r>
          </w:p>
        </w:tc>
        <w:tc>
          <w:tcPr>
            <w:tcW w:w="1260" w:type="dxa"/>
            <w:tcBorders>
              <w:top w:val="single" w:sz="4" w:space="0" w:color="auto"/>
              <w:left w:val="single" w:sz="4" w:space="0" w:color="auto"/>
              <w:bottom w:val="single" w:sz="4" w:space="0" w:color="auto"/>
              <w:right w:val="single" w:sz="4" w:space="0" w:color="auto"/>
            </w:tcBorders>
            <w:vAlign w:val="center"/>
          </w:tcPr>
          <w:p w:rsidR="00EE300C" w:rsidRDefault="00445D37">
            <w:pPr>
              <w:spacing w:after="52"/>
              <w:jc w:val="center"/>
              <w:rPr>
                <w:sz w:val="20"/>
                <w:szCs w:val="20"/>
              </w:rPr>
            </w:pPr>
            <w:r>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EE300C" w:rsidRDefault="00445D37">
            <w:pPr>
              <w:jc w:val="center"/>
              <w:rPr>
                <w:color w:val="000000"/>
                <w:sz w:val="20"/>
                <w:szCs w:val="20"/>
              </w:rPr>
            </w:pPr>
            <w:r>
              <w:rPr>
                <w:sz w:val="20"/>
                <w:szCs w:val="20"/>
              </w:rPr>
              <w:t>$134</w:t>
            </w:r>
          </w:p>
        </w:tc>
      </w:tr>
      <w:tr w:rsidR="00EE300C">
        <w:trPr>
          <w:cantSplit/>
          <w:trHeight w:val="216"/>
          <w:jc w:val="center"/>
        </w:trPr>
        <w:tc>
          <w:tcPr>
            <w:tcW w:w="1890" w:type="dxa"/>
            <w:vMerge/>
            <w:tcBorders>
              <w:left w:val="single" w:sz="8" w:space="0" w:color="000000"/>
              <w:bottom w:val="single" w:sz="8" w:space="0" w:color="000000"/>
              <w:right w:val="single" w:sz="8" w:space="0" w:color="000000"/>
            </w:tcBorders>
            <w:vAlign w:val="center"/>
          </w:tcPr>
          <w:p w:rsidR="00EE300C" w:rsidRDefault="00EE300C">
            <w:pPr>
              <w:spacing w:after="52"/>
              <w:rPr>
                <w:sz w:val="20"/>
                <w:szCs w:val="20"/>
              </w:rPr>
            </w:pPr>
          </w:p>
        </w:tc>
        <w:tc>
          <w:tcPr>
            <w:tcW w:w="1260" w:type="dxa"/>
            <w:vMerge/>
            <w:tcBorders>
              <w:left w:val="single" w:sz="8" w:space="0" w:color="000000"/>
              <w:bottom w:val="single" w:sz="8" w:space="0" w:color="000000"/>
              <w:right w:val="single" w:sz="8" w:space="0" w:color="000000"/>
            </w:tcBorders>
            <w:vAlign w:val="center"/>
          </w:tcPr>
          <w:p w:rsidR="00EE300C" w:rsidRDefault="00EE300C">
            <w:pPr>
              <w:spacing w:after="52"/>
              <w:jc w:val="center"/>
              <w:rPr>
                <w:sz w:val="20"/>
                <w:szCs w:val="20"/>
              </w:rPr>
            </w:pPr>
          </w:p>
        </w:tc>
        <w:tc>
          <w:tcPr>
            <w:tcW w:w="1350" w:type="dxa"/>
            <w:vMerge/>
            <w:tcBorders>
              <w:left w:val="single" w:sz="8" w:space="0" w:color="000000"/>
              <w:bottom w:val="single" w:sz="8" w:space="0" w:color="000000"/>
              <w:right w:val="single" w:sz="8" w:space="0" w:color="000000"/>
            </w:tcBorders>
            <w:vAlign w:val="center"/>
          </w:tcPr>
          <w:p w:rsidR="00EE300C" w:rsidRDefault="00EE300C">
            <w:pPr>
              <w:spacing w:after="52"/>
              <w:jc w:val="center"/>
              <w:rPr>
                <w:sz w:val="20"/>
                <w:szCs w:val="20"/>
              </w:rPr>
            </w:pPr>
          </w:p>
        </w:tc>
        <w:tc>
          <w:tcPr>
            <w:tcW w:w="1260" w:type="dxa"/>
            <w:vMerge/>
            <w:tcBorders>
              <w:left w:val="single" w:sz="8" w:space="0" w:color="000000"/>
              <w:bottom w:val="single" w:sz="8" w:space="0" w:color="000000"/>
              <w:right w:val="single" w:sz="8" w:space="0" w:color="000000"/>
            </w:tcBorders>
            <w:vAlign w:val="center"/>
          </w:tcPr>
          <w:p w:rsidR="00EE300C" w:rsidRDefault="00EE300C">
            <w:pPr>
              <w:jc w:val="center"/>
              <w:rPr>
                <w:sz w:val="20"/>
                <w:szCs w:val="20"/>
              </w:rPr>
            </w:pPr>
          </w:p>
        </w:tc>
        <w:tc>
          <w:tcPr>
            <w:tcW w:w="1350" w:type="dxa"/>
            <w:tcBorders>
              <w:top w:val="single" w:sz="8" w:space="0" w:color="000000"/>
              <w:left w:val="single" w:sz="8" w:space="0" w:color="000000"/>
              <w:bottom w:val="single" w:sz="8" w:space="0" w:color="000000"/>
              <w:right w:val="single" w:sz="4" w:space="0" w:color="auto"/>
            </w:tcBorders>
            <w:vAlign w:val="center"/>
          </w:tcPr>
          <w:p w:rsidR="00EE300C" w:rsidRDefault="00445D37">
            <w:pPr>
              <w:spacing w:after="52"/>
              <w:jc w:val="center"/>
              <w:rPr>
                <w:sz w:val="20"/>
                <w:szCs w:val="20"/>
              </w:rPr>
            </w:pPr>
            <w:r>
              <w:rPr>
                <w:sz w:val="20"/>
                <w:szCs w:val="20"/>
              </w:rPr>
              <w:t>$4,373</w:t>
            </w:r>
          </w:p>
        </w:tc>
        <w:tc>
          <w:tcPr>
            <w:tcW w:w="1260" w:type="dxa"/>
            <w:tcBorders>
              <w:top w:val="single" w:sz="4" w:space="0" w:color="auto"/>
              <w:left w:val="single" w:sz="4" w:space="0" w:color="auto"/>
              <w:bottom w:val="single" w:sz="4" w:space="0" w:color="auto"/>
              <w:right w:val="single" w:sz="4" w:space="0" w:color="auto"/>
            </w:tcBorders>
            <w:vAlign w:val="center"/>
          </w:tcPr>
          <w:p w:rsidR="00EE300C" w:rsidRDefault="00445D37">
            <w:pPr>
              <w:spacing w:after="52"/>
              <w:jc w:val="center"/>
              <w:rPr>
                <w:sz w:val="20"/>
                <w:szCs w:val="20"/>
              </w:rPr>
            </w:pPr>
            <w:r>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EE300C" w:rsidRDefault="00445D37">
            <w:pPr>
              <w:jc w:val="center"/>
              <w:rPr>
                <w:color w:val="000000"/>
                <w:sz w:val="20"/>
                <w:szCs w:val="20"/>
              </w:rPr>
            </w:pPr>
            <w:r>
              <w:rPr>
                <w:sz w:val="20"/>
                <w:szCs w:val="20"/>
              </w:rPr>
              <w:t>$4,373</w:t>
            </w:r>
          </w:p>
        </w:tc>
      </w:tr>
      <w:tr w:rsidR="00EE300C">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rsidR="00EE300C" w:rsidRDefault="00445D37">
            <w:pPr>
              <w:spacing w:after="52"/>
              <w:rPr>
                <w:sz w:val="20"/>
                <w:szCs w:val="20"/>
              </w:rPr>
            </w:pPr>
            <w:r>
              <w:rPr>
                <w:sz w:val="20"/>
                <w:szCs w:val="20"/>
              </w:rPr>
              <w:t>Total</w:t>
            </w: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EE300C">
            <w:pPr>
              <w:spacing w:after="52"/>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EE300C">
            <w:pPr>
              <w:spacing w:after="52"/>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$104,683</w:t>
            </w:r>
          </w:p>
        </w:tc>
        <w:tc>
          <w:tcPr>
            <w:tcW w:w="1350" w:type="dxa"/>
            <w:tcBorders>
              <w:top w:val="single" w:sz="8" w:space="0" w:color="000000"/>
              <w:left w:val="single" w:sz="8" w:space="0" w:color="000000"/>
              <w:bottom w:val="single" w:sz="8" w:space="0" w:color="000000"/>
              <w:right w:val="single" w:sz="8" w:space="0" w:color="000000"/>
            </w:tcBorders>
            <w:vAlign w:val="center"/>
          </w:tcPr>
          <w:p w:rsidR="00EE300C" w:rsidRDefault="00EE300C">
            <w:pPr>
              <w:spacing w:after="52"/>
              <w:rPr>
                <w:sz w:val="20"/>
                <w:szCs w:val="20"/>
              </w:rPr>
            </w:pPr>
          </w:p>
        </w:tc>
        <w:tc>
          <w:tcPr>
            <w:tcW w:w="1260" w:type="dxa"/>
            <w:tcBorders>
              <w:top w:val="single" w:sz="4" w:space="0" w:color="auto"/>
              <w:left w:val="single" w:sz="8" w:space="0" w:color="000000"/>
              <w:bottom w:val="single" w:sz="8" w:space="0" w:color="000000"/>
              <w:right w:val="single" w:sz="8" w:space="0" w:color="000000"/>
            </w:tcBorders>
            <w:vAlign w:val="center"/>
          </w:tcPr>
          <w:p w:rsidR="00EE300C" w:rsidRDefault="00EE300C">
            <w:pPr>
              <w:spacing w:after="52"/>
              <w:rPr>
                <w:sz w:val="20"/>
                <w:szCs w:val="20"/>
              </w:rPr>
            </w:pPr>
          </w:p>
        </w:tc>
        <w:tc>
          <w:tcPr>
            <w:tcW w:w="1080" w:type="dxa"/>
            <w:tcBorders>
              <w:top w:val="single" w:sz="4" w:space="0" w:color="auto"/>
              <w:left w:val="single" w:sz="8" w:space="0" w:color="000000"/>
              <w:bottom w:val="single" w:sz="8" w:space="0" w:color="000000"/>
              <w:right w:val="single" w:sz="8" w:space="0" w:color="000000"/>
            </w:tcBorders>
            <w:vAlign w:val="center"/>
          </w:tcPr>
          <w:p w:rsidR="00EE300C" w:rsidRDefault="00445D37">
            <w:pPr>
              <w:jc w:val="center"/>
              <w:rPr>
                <w:color w:val="000000"/>
                <w:sz w:val="20"/>
                <w:szCs w:val="20"/>
              </w:rPr>
            </w:pPr>
            <w:r>
              <w:rPr>
                <w:color w:val="000000"/>
                <w:sz w:val="20"/>
                <w:szCs w:val="20"/>
              </w:rPr>
              <w:t>$42,180</w:t>
            </w:r>
          </w:p>
        </w:tc>
      </w:tr>
    </w:tbl>
    <w:p w:rsidR="00EE300C" w:rsidRDefault="00445D3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1</w:t>
      </w:r>
      <w:r>
        <w:rPr>
          <w:color w:val="000000"/>
          <w:sz w:val="20"/>
          <w:szCs w:val="20"/>
        </w:rPr>
        <w:t>We have assumed that each source will respond 5 times per year to comply with the rule at a total cost of $134 per source to cover costs. This estimate is based on the assumption that it takes 0.5 hours to conduct these tasks at a clerical labor rate of $3</w:t>
      </w:r>
      <w:r>
        <w:rPr>
          <w:color w:val="000000"/>
          <w:sz w:val="20"/>
          <w:szCs w:val="20"/>
        </w:rPr>
        <w:t xml:space="preserve">8.14 per hour for a total labor cost of $19.07 per response. First-class postage is estimated at $7.63 per response. </w:t>
      </w:r>
    </w:p>
    <w:p w:rsidR="00EE300C" w:rsidRDefault="00445D3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2</w:t>
      </w:r>
      <w:r>
        <w:rPr>
          <w:color w:val="000000"/>
          <w:sz w:val="20"/>
          <w:szCs w:val="20"/>
        </w:rPr>
        <w:t>Based on our consultation with affected entities, we estimate that $7,500 per year are required on LDAR monitoring for the AR MACT.</w:t>
      </w:r>
    </w:p>
    <w:p w:rsidR="00EE300C" w:rsidRDefault="00445D3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3</w:t>
      </w:r>
      <w:r>
        <w:rPr>
          <w:color w:val="000000"/>
          <w:sz w:val="20"/>
          <w:szCs w:val="20"/>
        </w:rPr>
        <w:t>Base</w:t>
      </w:r>
      <w:r>
        <w:rPr>
          <w:color w:val="000000"/>
          <w:sz w:val="20"/>
          <w:szCs w:val="20"/>
        </w:rPr>
        <w:t>d on our consultation with affected entities, we estimate that 80 technical hours per year are required to maintain and calibrate the scrubber, monitor, and related instruments for the HF MACT unit ($54.66/hr x 80 hr = $4,373).</w:t>
      </w:r>
    </w:p>
    <w:p w:rsidR="00EE300C" w:rsidRDefault="00EE300C">
      <w:pPr>
        <w:pBdr>
          <w:top w:val="single" w:sz="6" w:space="0" w:color="FFFFFF"/>
          <w:left w:val="single" w:sz="6" w:space="0" w:color="FFFFFF"/>
          <w:bottom w:val="single" w:sz="6" w:space="0" w:color="FFFFFF"/>
          <w:right w:val="single" w:sz="6" w:space="0" w:color="FFFFFF"/>
        </w:pBdr>
        <w:rPr>
          <w:color w:val="000000"/>
        </w:rPr>
      </w:pPr>
    </w:p>
    <w:p w:rsidR="00EE300C" w:rsidRDefault="00EE300C">
      <w:pPr>
        <w:pBdr>
          <w:top w:val="single" w:sz="6" w:space="0" w:color="FFFFFF"/>
          <w:left w:val="single" w:sz="6" w:space="0" w:color="FFFFFF"/>
          <w:bottom w:val="single" w:sz="6" w:space="0" w:color="FFFFFF"/>
          <w:right w:val="single" w:sz="6" w:space="0" w:color="FFFFFF"/>
        </w:pBdr>
        <w:rPr>
          <w:color w:val="000000"/>
        </w:rPr>
      </w:pPr>
    </w:p>
    <w:p w:rsidR="00EE300C" w:rsidRDefault="00445D37">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 xml:space="preserve">The total capital/startup </w:t>
      </w:r>
      <w:r>
        <w:rPr>
          <w:color w:val="000000"/>
        </w:rPr>
        <w:t>costs for this ICR are $104,683. This is the total of column D in the above table. The total annualized capital costs and operation and maintenance (O&amp;M) costs for this ICR are $42,180 and are shown in column G.</w:t>
      </w:r>
    </w:p>
    <w:p w:rsidR="00EE300C" w:rsidRDefault="00445D37">
      <w:pPr>
        <w:widowControl/>
        <w:ind w:left="720" w:firstLine="720"/>
        <w:rPr>
          <w:b/>
          <w:iCs/>
          <w:lang w:eastAsia="en-US"/>
        </w:rPr>
      </w:pPr>
      <w:r>
        <w:rPr>
          <w:b/>
          <w:iCs/>
          <w:lang w:eastAsia="en-US"/>
        </w:rPr>
        <w:t xml:space="preserve"> (iv) Affirmative Defense/Root </w:t>
      </w:r>
      <w:proofErr w:type="gramStart"/>
      <w:r>
        <w:rPr>
          <w:b/>
          <w:iCs/>
          <w:lang w:eastAsia="en-US"/>
        </w:rPr>
        <w:t>Cause</w:t>
      </w:r>
      <w:proofErr w:type="gramEnd"/>
      <w:r>
        <w:rPr>
          <w:b/>
          <w:iCs/>
          <w:lang w:eastAsia="en-US"/>
        </w:rPr>
        <w:t xml:space="preserve"> Analysi</w:t>
      </w:r>
      <w:r>
        <w:rPr>
          <w:b/>
          <w:iCs/>
          <w:lang w:eastAsia="en-US"/>
        </w:rPr>
        <w:t>s/Malfunction Costs.</w:t>
      </w:r>
    </w:p>
    <w:p w:rsidR="00EE300C" w:rsidRDefault="00445D37">
      <w:pPr>
        <w:widowControl/>
        <w:spacing w:before="240" w:line="360" w:lineRule="auto"/>
        <w:ind w:firstLine="720"/>
        <w:rPr>
          <w:lang w:eastAsia="en-US"/>
        </w:rPr>
      </w:pPr>
      <w:r>
        <w:rPr>
          <w:lang w:eastAsia="en-US"/>
        </w:rPr>
        <w:t>The EPA’s estimate for an affirmative defense and root cause analysis in the table below is based on general experience to calculate the time and effort required of a source to review relevant data, interview plant employees, and reconstruct the events pri</w:t>
      </w:r>
      <w:r>
        <w:rPr>
          <w:lang w:eastAsia="en-US"/>
        </w:rPr>
        <w:t xml:space="preserve">or to a malfunction in order to determine primary and contributing causes. The level of effort also includes time to produce and </w:t>
      </w:r>
      <w:r>
        <w:rPr>
          <w:lang w:eastAsia="en-US"/>
        </w:rPr>
        <w:lastRenderedPageBreak/>
        <w:t>retain the report in document form so that the source will have it available should EPA or state enforcement agencies ever requ</w:t>
      </w:r>
      <w:r>
        <w:rPr>
          <w:lang w:eastAsia="en-US"/>
        </w:rPr>
        <w:t>est to review it.</w:t>
      </w:r>
    </w:p>
    <w:p w:rsidR="00EE300C" w:rsidRDefault="00445D37">
      <w:pPr>
        <w:widowControl/>
        <w:spacing w:before="240" w:line="360" w:lineRule="auto"/>
        <w:ind w:firstLine="720"/>
        <w:rPr>
          <w:lang w:eastAsia="en-US"/>
        </w:rPr>
      </w:pPr>
      <w:r>
        <w:rPr>
          <w:color w:val="000000"/>
        </w:rPr>
        <w:t>The labor rates used to estimate the costs for preparing an affirmative defense have been increased by 110 percent to account for the benefit packages available to those employed by private industry. These rates are from the May 2012 Nati</w:t>
      </w:r>
      <w:r>
        <w:rPr>
          <w:color w:val="000000"/>
        </w:rPr>
        <w:t>onal Occupational Employment and Wage Estimates United States for Production Occupations (</w:t>
      </w:r>
      <w:r>
        <w:rPr>
          <w:color w:val="000000"/>
          <w:u w:val="single"/>
        </w:rPr>
        <w:t>http://www.bls.gov/oes/current/oes_nat.htm#51-0000).</w:t>
      </w:r>
    </w:p>
    <w:p w:rsidR="00EE300C" w:rsidRDefault="00EE300C">
      <w:pPr>
        <w:widowControl/>
        <w:rPr>
          <w:b/>
          <w:bCs/>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EE300C">
        <w:tc>
          <w:tcPr>
            <w:tcW w:w="2448" w:type="dxa"/>
            <w:shd w:val="clear" w:color="auto" w:fill="auto"/>
          </w:tcPr>
          <w:p w:rsidR="00EE300C" w:rsidRDefault="00445D37">
            <w:pPr>
              <w:widowControl/>
              <w:jc w:val="center"/>
              <w:rPr>
                <w:b/>
                <w:bCs/>
                <w:sz w:val="22"/>
                <w:szCs w:val="22"/>
                <w:lang w:eastAsia="en-US"/>
              </w:rPr>
            </w:pPr>
            <w:r>
              <w:rPr>
                <w:b/>
                <w:bCs/>
                <w:sz w:val="22"/>
                <w:szCs w:val="22"/>
                <w:lang w:eastAsia="en-US"/>
              </w:rPr>
              <w:t>Personnel</w:t>
            </w:r>
          </w:p>
        </w:tc>
        <w:tc>
          <w:tcPr>
            <w:tcW w:w="1440" w:type="dxa"/>
            <w:shd w:val="clear" w:color="auto" w:fill="auto"/>
          </w:tcPr>
          <w:p w:rsidR="00EE300C" w:rsidRDefault="00445D37">
            <w:pPr>
              <w:widowControl/>
              <w:jc w:val="center"/>
              <w:rPr>
                <w:b/>
                <w:bCs/>
                <w:sz w:val="22"/>
                <w:szCs w:val="22"/>
                <w:lang w:eastAsia="en-US"/>
              </w:rPr>
            </w:pPr>
            <w:r>
              <w:rPr>
                <w:b/>
                <w:bCs/>
                <w:sz w:val="22"/>
                <w:szCs w:val="22"/>
                <w:lang w:eastAsia="en-US"/>
              </w:rPr>
              <w:t>Number of Personnel</w:t>
            </w:r>
          </w:p>
        </w:tc>
        <w:tc>
          <w:tcPr>
            <w:tcW w:w="1530" w:type="dxa"/>
            <w:shd w:val="clear" w:color="auto" w:fill="auto"/>
          </w:tcPr>
          <w:p w:rsidR="00EE300C" w:rsidRDefault="00445D37">
            <w:pPr>
              <w:widowControl/>
              <w:jc w:val="center"/>
              <w:rPr>
                <w:b/>
                <w:bCs/>
                <w:sz w:val="22"/>
                <w:szCs w:val="22"/>
                <w:lang w:eastAsia="en-US"/>
              </w:rPr>
            </w:pPr>
            <w:r>
              <w:rPr>
                <w:b/>
                <w:bCs/>
                <w:sz w:val="22"/>
                <w:szCs w:val="22"/>
                <w:lang w:eastAsia="en-US"/>
              </w:rPr>
              <w:t>Time Requirement (hours)</w:t>
            </w:r>
          </w:p>
        </w:tc>
        <w:tc>
          <w:tcPr>
            <w:tcW w:w="1350" w:type="dxa"/>
            <w:shd w:val="clear" w:color="auto" w:fill="auto"/>
          </w:tcPr>
          <w:p w:rsidR="00EE300C" w:rsidRDefault="00445D37">
            <w:pPr>
              <w:widowControl/>
              <w:jc w:val="center"/>
              <w:rPr>
                <w:b/>
                <w:bCs/>
                <w:sz w:val="22"/>
                <w:szCs w:val="22"/>
                <w:lang w:eastAsia="en-US"/>
              </w:rPr>
            </w:pPr>
            <w:r>
              <w:rPr>
                <w:b/>
                <w:bCs/>
                <w:sz w:val="22"/>
                <w:szCs w:val="22"/>
                <w:lang w:eastAsia="en-US"/>
              </w:rPr>
              <w:t>Total Hours</w:t>
            </w:r>
          </w:p>
        </w:tc>
        <w:tc>
          <w:tcPr>
            <w:tcW w:w="1440" w:type="dxa"/>
            <w:shd w:val="clear" w:color="auto" w:fill="auto"/>
          </w:tcPr>
          <w:p w:rsidR="00EE300C" w:rsidRDefault="00445D37">
            <w:pPr>
              <w:widowControl/>
              <w:jc w:val="center"/>
              <w:rPr>
                <w:b/>
                <w:bCs/>
                <w:sz w:val="22"/>
                <w:szCs w:val="22"/>
                <w:lang w:eastAsia="en-US"/>
              </w:rPr>
            </w:pPr>
            <w:r>
              <w:rPr>
                <w:b/>
                <w:bCs/>
                <w:sz w:val="22"/>
                <w:szCs w:val="22"/>
                <w:lang w:eastAsia="en-US"/>
              </w:rPr>
              <w:t>Hourly Rate ($/hr)</w:t>
            </w:r>
          </w:p>
        </w:tc>
        <w:tc>
          <w:tcPr>
            <w:tcW w:w="1440" w:type="dxa"/>
            <w:shd w:val="clear" w:color="auto" w:fill="auto"/>
          </w:tcPr>
          <w:p w:rsidR="00EE300C" w:rsidRDefault="00445D37">
            <w:pPr>
              <w:widowControl/>
              <w:jc w:val="center"/>
              <w:rPr>
                <w:b/>
                <w:bCs/>
                <w:sz w:val="22"/>
                <w:szCs w:val="22"/>
                <w:lang w:eastAsia="en-US"/>
              </w:rPr>
            </w:pPr>
            <w:r>
              <w:rPr>
                <w:b/>
                <w:bCs/>
                <w:sz w:val="22"/>
                <w:szCs w:val="22"/>
                <w:lang w:eastAsia="en-US"/>
              </w:rPr>
              <w:t>Total</w:t>
            </w:r>
          </w:p>
        </w:tc>
      </w:tr>
      <w:tr w:rsidR="00EE300C">
        <w:trPr>
          <w:trHeight w:val="432"/>
        </w:trPr>
        <w:tc>
          <w:tcPr>
            <w:tcW w:w="2448" w:type="dxa"/>
            <w:shd w:val="clear" w:color="auto" w:fill="auto"/>
            <w:vAlign w:val="center"/>
          </w:tcPr>
          <w:p w:rsidR="00EE300C" w:rsidRDefault="00445D37">
            <w:pPr>
              <w:widowControl/>
              <w:rPr>
                <w:bCs/>
                <w:sz w:val="22"/>
                <w:szCs w:val="22"/>
                <w:lang w:eastAsia="en-US"/>
              </w:rPr>
            </w:pPr>
            <w:r>
              <w:rPr>
                <w:bCs/>
                <w:sz w:val="22"/>
                <w:szCs w:val="22"/>
                <w:lang w:eastAsia="en-US"/>
              </w:rPr>
              <w:t>Technical Personnel</w:t>
            </w: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3</w:t>
            </w:r>
          </w:p>
        </w:tc>
        <w:tc>
          <w:tcPr>
            <w:tcW w:w="1530" w:type="dxa"/>
            <w:shd w:val="clear" w:color="auto" w:fill="auto"/>
            <w:vAlign w:val="center"/>
          </w:tcPr>
          <w:p w:rsidR="00EE300C" w:rsidRDefault="00445D37">
            <w:pPr>
              <w:widowControl/>
              <w:jc w:val="center"/>
              <w:rPr>
                <w:bCs/>
                <w:sz w:val="22"/>
                <w:szCs w:val="22"/>
                <w:lang w:eastAsia="en-US"/>
              </w:rPr>
            </w:pPr>
            <w:r>
              <w:rPr>
                <w:bCs/>
                <w:sz w:val="22"/>
                <w:szCs w:val="22"/>
                <w:lang w:eastAsia="en-US"/>
              </w:rPr>
              <w:t>6</w:t>
            </w:r>
          </w:p>
        </w:tc>
        <w:tc>
          <w:tcPr>
            <w:tcW w:w="1350" w:type="dxa"/>
            <w:shd w:val="clear" w:color="auto" w:fill="auto"/>
            <w:vAlign w:val="center"/>
          </w:tcPr>
          <w:p w:rsidR="00EE300C" w:rsidRDefault="00445D37">
            <w:pPr>
              <w:widowControl/>
              <w:jc w:val="center"/>
              <w:rPr>
                <w:bCs/>
                <w:sz w:val="22"/>
                <w:szCs w:val="22"/>
                <w:lang w:eastAsia="en-US"/>
              </w:rPr>
            </w:pPr>
            <w:r>
              <w:rPr>
                <w:bCs/>
                <w:sz w:val="22"/>
                <w:szCs w:val="22"/>
                <w:lang w:eastAsia="en-US"/>
              </w:rPr>
              <w:t>18</w:t>
            </w: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$54.66</w:t>
            </w: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$984</w:t>
            </w:r>
          </w:p>
        </w:tc>
      </w:tr>
      <w:tr w:rsidR="00EE300C">
        <w:trPr>
          <w:trHeight w:val="432"/>
        </w:trPr>
        <w:tc>
          <w:tcPr>
            <w:tcW w:w="2448" w:type="dxa"/>
            <w:shd w:val="clear" w:color="auto" w:fill="auto"/>
            <w:vAlign w:val="center"/>
          </w:tcPr>
          <w:p w:rsidR="00EE300C" w:rsidRDefault="00445D37">
            <w:pPr>
              <w:widowControl/>
              <w:rPr>
                <w:bCs/>
                <w:sz w:val="22"/>
                <w:szCs w:val="22"/>
                <w:lang w:eastAsia="en-US"/>
              </w:rPr>
            </w:pPr>
            <w:r>
              <w:rPr>
                <w:bCs/>
                <w:sz w:val="22"/>
                <w:szCs w:val="22"/>
                <w:lang w:eastAsia="en-US"/>
              </w:rPr>
              <w:t>Managerial Personnel</w:t>
            </w: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2</w:t>
            </w:r>
          </w:p>
        </w:tc>
        <w:tc>
          <w:tcPr>
            <w:tcW w:w="1530" w:type="dxa"/>
            <w:shd w:val="clear" w:color="auto" w:fill="auto"/>
            <w:vAlign w:val="center"/>
          </w:tcPr>
          <w:p w:rsidR="00EE300C" w:rsidRDefault="00445D37">
            <w:pPr>
              <w:widowControl/>
              <w:jc w:val="center"/>
              <w:rPr>
                <w:bCs/>
                <w:sz w:val="22"/>
                <w:szCs w:val="22"/>
                <w:lang w:eastAsia="en-US"/>
              </w:rPr>
            </w:pPr>
            <w:r>
              <w:rPr>
                <w:bCs/>
                <w:sz w:val="22"/>
                <w:szCs w:val="22"/>
                <w:lang w:eastAsia="en-US"/>
              </w:rPr>
              <w:t>6</w:t>
            </w:r>
          </w:p>
        </w:tc>
        <w:tc>
          <w:tcPr>
            <w:tcW w:w="1350" w:type="dxa"/>
            <w:shd w:val="clear" w:color="auto" w:fill="auto"/>
            <w:vAlign w:val="center"/>
          </w:tcPr>
          <w:p w:rsidR="00EE300C" w:rsidRDefault="00445D37">
            <w:pPr>
              <w:widowControl/>
              <w:jc w:val="center"/>
              <w:rPr>
                <w:bCs/>
                <w:sz w:val="22"/>
                <w:szCs w:val="22"/>
                <w:lang w:eastAsia="en-US"/>
              </w:rPr>
            </w:pPr>
            <w:r>
              <w:rPr>
                <w:bCs/>
                <w:sz w:val="22"/>
                <w:szCs w:val="22"/>
                <w:lang w:eastAsia="en-US"/>
              </w:rPr>
              <w:t>12</w:t>
            </w: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$115.96</w:t>
            </w: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$1,392</w:t>
            </w:r>
          </w:p>
        </w:tc>
      </w:tr>
      <w:tr w:rsidR="00EE300C">
        <w:trPr>
          <w:trHeight w:val="432"/>
        </w:trPr>
        <w:tc>
          <w:tcPr>
            <w:tcW w:w="2448" w:type="dxa"/>
            <w:shd w:val="clear" w:color="auto" w:fill="auto"/>
            <w:vAlign w:val="center"/>
          </w:tcPr>
          <w:p w:rsidR="00EE300C" w:rsidRDefault="00445D37">
            <w:pPr>
              <w:widowControl/>
              <w:rPr>
                <w:bCs/>
                <w:sz w:val="22"/>
                <w:szCs w:val="22"/>
                <w:lang w:eastAsia="en-US"/>
              </w:rPr>
            </w:pPr>
            <w:r>
              <w:rPr>
                <w:bCs/>
                <w:sz w:val="22"/>
                <w:szCs w:val="22"/>
                <w:lang w:eastAsia="en-US"/>
              </w:rPr>
              <w:t>Total</w:t>
            </w: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5</w:t>
            </w:r>
          </w:p>
        </w:tc>
        <w:tc>
          <w:tcPr>
            <w:tcW w:w="1530" w:type="dxa"/>
            <w:shd w:val="clear" w:color="auto" w:fill="auto"/>
            <w:vAlign w:val="center"/>
          </w:tcPr>
          <w:p w:rsidR="00EE300C" w:rsidRDefault="00EE300C">
            <w:pPr>
              <w:widowControl/>
              <w:jc w:val="center"/>
              <w:rPr>
                <w:bCs/>
                <w:sz w:val="22"/>
                <w:szCs w:val="22"/>
                <w:lang w:eastAsia="en-US"/>
              </w:rPr>
            </w:pPr>
          </w:p>
        </w:tc>
        <w:tc>
          <w:tcPr>
            <w:tcW w:w="1350" w:type="dxa"/>
            <w:shd w:val="clear" w:color="auto" w:fill="auto"/>
            <w:vAlign w:val="center"/>
          </w:tcPr>
          <w:p w:rsidR="00EE300C" w:rsidRDefault="00445D37">
            <w:pPr>
              <w:widowControl/>
              <w:jc w:val="center"/>
              <w:rPr>
                <w:bCs/>
                <w:sz w:val="22"/>
                <w:szCs w:val="22"/>
                <w:lang w:eastAsia="en-US"/>
              </w:rPr>
            </w:pPr>
            <w:r>
              <w:rPr>
                <w:bCs/>
                <w:sz w:val="22"/>
                <w:szCs w:val="22"/>
                <w:lang w:eastAsia="en-US"/>
              </w:rPr>
              <w:t>30</w:t>
            </w:r>
          </w:p>
        </w:tc>
        <w:tc>
          <w:tcPr>
            <w:tcW w:w="1440" w:type="dxa"/>
            <w:shd w:val="clear" w:color="auto" w:fill="auto"/>
            <w:vAlign w:val="center"/>
          </w:tcPr>
          <w:p w:rsidR="00EE300C" w:rsidRDefault="00EE300C">
            <w:pPr>
              <w:widowControl/>
              <w:jc w:val="center"/>
              <w:rPr>
                <w:bCs/>
                <w:sz w:val="22"/>
                <w:szCs w:val="22"/>
                <w:lang w:eastAsia="en-US"/>
              </w:rPr>
            </w:pPr>
          </w:p>
        </w:tc>
        <w:tc>
          <w:tcPr>
            <w:tcW w:w="1440" w:type="dxa"/>
            <w:shd w:val="clear" w:color="auto" w:fill="auto"/>
            <w:vAlign w:val="center"/>
          </w:tcPr>
          <w:p w:rsidR="00EE300C" w:rsidRDefault="00445D37">
            <w:pPr>
              <w:widowControl/>
              <w:jc w:val="center"/>
              <w:rPr>
                <w:bCs/>
                <w:sz w:val="22"/>
                <w:szCs w:val="22"/>
                <w:lang w:eastAsia="en-US"/>
              </w:rPr>
            </w:pPr>
            <w:r>
              <w:rPr>
                <w:bCs/>
                <w:sz w:val="22"/>
                <w:szCs w:val="22"/>
                <w:lang w:eastAsia="en-US"/>
              </w:rPr>
              <w:t>$2,375</w:t>
            </w:r>
          </w:p>
        </w:tc>
      </w:tr>
    </w:tbl>
    <w:p w:rsidR="00EE300C" w:rsidRDefault="00EE300C">
      <w:pPr>
        <w:widowControl/>
        <w:rPr>
          <w:b/>
          <w:bCs/>
          <w:lang w:eastAsia="en-US"/>
        </w:rPr>
      </w:pPr>
    </w:p>
    <w:p w:rsidR="00EE300C" w:rsidRDefault="00445D37">
      <w:pPr>
        <w:spacing w:after="240" w:line="360" w:lineRule="auto"/>
        <w:ind w:firstLine="720"/>
      </w:pPr>
      <w:r>
        <w:rPr>
          <w:b/>
          <w:bCs/>
        </w:rPr>
        <w:t>6(c</w:t>
      </w:r>
      <w:proofErr w:type="gramStart"/>
      <w:r>
        <w:rPr>
          <w:b/>
          <w:bCs/>
        </w:rPr>
        <w:t>)  Estimating</w:t>
      </w:r>
      <w:proofErr w:type="gramEnd"/>
      <w:r>
        <w:rPr>
          <w:b/>
          <w:bCs/>
        </w:rPr>
        <w:t xml:space="preserve"> Agency Burden and Cost</w:t>
      </w:r>
    </w:p>
    <w:p w:rsidR="00EE300C" w:rsidRDefault="00445D37">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Pr>
          <w:color w:val="000000"/>
        </w:rPr>
        <w:t xml:space="preserve">The only costs to the Agency are those costs associated with analysis of the reported information. The EPA compliance and </w:t>
      </w:r>
      <w:r>
        <w:rPr>
          <w:color w:val="000000"/>
        </w:rPr>
        <w:t>enforcement program includes activities such as: the examination of records maintained by the respondents; periodic inspection of sources of emissions; and the publication and distribution of collected information.</w:t>
      </w:r>
    </w:p>
    <w:p w:rsidR="00EE300C" w:rsidRDefault="00445D37">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Pr>
          <w:color w:val="000000"/>
        </w:rPr>
        <w:t>The average annual Agency cost during the</w:t>
      </w:r>
      <w:r>
        <w:rPr>
          <w:color w:val="000000"/>
        </w:rPr>
        <w:t xml:space="preserve"> three years of the ICR is estimated to be $4,291.</w:t>
      </w:r>
    </w:p>
    <w:p w:rsidR="00EE300C" w:rsidRDefault="00445D37">
      <w:pPr>
        <w:pBdr>
          <w:top w:val="single" w:sz="6" w:space="0" w:color="FFFFFF"/>
          <w:left w:val="single" w:sz="6" w:space="0" w:color="FFFFFF"/>
          <w:bottom w:val="single" w:sz="6" w:space="0" w:color="FFFFFF"/>
          <w:right w:val="single" w:sz="6" w:space="0" w:color="FFFFFF"/>
        </w:pBdr>
        <w:spacing w:after="240" w:line="360" w:lineRule="auto"/>
        <w:rPr>
          <w:color w:val="000000"/>
        </w:rPr>
      </w:pPr>
      <w:r>
        <w:rPr>
          <w:color w:val="000000"/>
        </w:rPr>
        <w:t>This cost is based on the average hourly labor rate as follows:</w:t>
      </w:r>
    </w:p>
    <w:p w:rsidR="00EE300C" w:rsidRDefault="00445D37">
      <w:pPr>
        <w:pBdr>
          <w:top w:val="single" w:sz="6" w:space="0" w:color="FFFFFF"/>
          <w:left w:val="single" w:sz="6" w:space="0" w:color="FFFFFF"/>
          <w:bottom w:val="single" w:sz="6" w:space="0" w:color="FFFFFF"/>
          <w:right w:val="single" w:sz="6" w:space="0" w:color="FFFFFF"/>
        </w:pBdr>
        <w:spacing w:after="240"/>
        <w:rPr>
          <w:color w:val="000000"/>
        </w:rPr>
      </w:pPr>
      <w:r>
        <w:rPr>
          <w:color w:val="000000"/>
        </w:rPr>
        <w:tab/>
      </w:r>
      <w:r>
        <w:rPr>
          <w:color w:val="000000"/>
        </w:rPr>
        <w:tab/>
        <w:t>Managerial</w:t>
      </w:r>
      <w:r>
        <w:rPr>
          <w:color w:val="000000"/>
        </w:rPr>
        <w:tab/>
        <w:t xml:space="preserve">$62.27 (GS-13, Step 5, $38.92 + 60%) </w:t>
      </w:r>
    </w:p>
    <w:p w:rsidR="00EE300C" w:rsidRDefault="00445D37">
      <w:pPr>
        <w:pBdr>
          <w:top w:val="single" w:sz="6" w:space="0" w:color="FFFFFF"/>
          <w:left w:val="single" w:sz="6" w:space="0" w:color="FFFFFF"/>
          <w:bottom w:val="single" w:sz="6" w:space="0" w:color="FFFFFF"/>
          <w:right w:val="single" w:sz="6" w:space="0" w:color="FFFFFF"/>
        </w:pBdr>
        <w:spacing w:after="240"/>
        <w:rPr>
          <w:color w:val="000000"/>
        </w:rPr>
      </w:pPr>
      <w:r>
        <w:rPr>
          <w:color w:val="000000"/>
        </w:rPr>
        <w:tab/>
      </w:r>
      <w:r>
        <w:rPr>
          <w:color w:val="000000"/>
        </w:rPr>
        <w:tab/>
        <w:t>Technical</w:t>
      </w:r>
      <w:r>
        <w:rPr>
          <w:color w:val="000000"/>
        </w:rPr>
        <w:tab/>
        <w:t>$46.21 (GS-12, Step 1, $28.88 + 60%)</w:t>
      </w:r>
    </w:p>
    <w:p w:rsidR="00EE300C" w:rsidRDefault="00445D37">
      <w:pPr>
        <w:pBdr>
          <w:top w:val="single" w:sz="6" w:space="0" w:color="FFFFFF"/>
          <w:left w:val="single" w:sz="6" w:space="0" w:color="FFFFFF"/>
          <w:bottom w:val="single" w:sz="6" w:space="0" w:color="FFFFFF"/>
          <w:right w:val="single" w:sz="6" w:space="0" w:color="FFFFFF"/>
        </w:pBdr>
        <w:spacing w:after="240"/>
        <w:rPr>
          <w:color w:val="000000"/>
        </w:rPr>
      </w:pPr>
      <w:r>
        <w:rPr>
          <w:color w:val="000000"/>
        </w:rPr>
        <w:tab/>
      </w:r>
      <w:r>
        <w:rPr>
          <w:color w:val="000000"/>
        </w:rPr>
        <w:tab/>
        <w:t>Clerical</w:t>
      </w:r>
      <w:r>
        <w:rPr>
          <w:color w:val="000000"/>
        </w:rPr>
        <w:tab/>
        <w:t>$25.01 (GS-6, Step 3, $15.63 +</w:t>
      </w:r>
      <w:r>
        <w:rPr>
          <w:color w:val="000000"/>
        </w:rPr>
        <w:t xml:space="preserve"> 60%)</w:t>
      </w:r>
    </w:p>
    <w:p w:rsidR="00EE300C" w:rsidRDefault="00445D37">
      <w:pPr>
        <w:pBdr>
          <w:top w:val="single" w:sz="6" w:space="0" w:color="FFFFFF"/>
          <w:left w:val="single" w:sz="6" w:space="0" w:color="FFFFFF"/>
          <w:bottom w:val="single" w:sz="6" w:space="0" w:color="FFFFFF"/>
          <w:right w:val="single" w:sz="6" w:space="0" w:color="FFFFFF"/>
        </w:pBdr>
        <w:spacing w:after="240" w:line="360" w:lineRule="auto"/>
        <w:ind w:firstLine="720"/>
      </w:pPr>
      <w:r>
        <w:rPr>
          <w:color w:val="000000"/>
        </w:rPr>
        <w:t>These rates are from the Office of Personnel Management (OPM), 2013 General Schedule, which excludes locality rates of pay (http://www.opm.gov/policy-data-oversight/pay-leave/salaries-wages/2013/general-schedule/201</w:t>
      </w:r>
      <w:r>
        <w:rPr>
          <w:color w:val="000000"/>
        </w:rPr>
        <w:lastRenderedPageBreak/>
        <w:t>3-gs-hourlyovertime-rates-by-grade-</w:t>
      </w:r>
      <w:r>
        <w:rPr>
          <w:color w:val="000000"/>
        </w:rPr>
        <w:t xml:space="preserve">and-step/). The rates have been increased by 60 percent to account for the benefit packages available to government employees. Details upon which this estimate is based appear below in Table 2: Average Annual EPA Burden for the Proposed NESHAP </w:t>
      </w:r>
      <w:r>
        <w:t>for Source C</w:t>
      </w:r>
      <w:r>
        <w:t>ategories: Generic Maximum Achievable Control Technology Standards</w:t>
      </w:r>
      <w:r>
        <w:rPr>
          <w:bCs/>
        </w:rPr>
        <w:t xml:space="preserve"> (40 CFR Part 63, Subpart YY) </w:t>
      </w:r>
      <w:r>
        <w:rPr>
          <w:color w:val="000000"/>
        </w:rPr>
        <w:t>(Revised)</w:t>
      </w:r>
      <w:r>
        <w:t>.</w:t>
      </w:r>
    </w:p>
    <w:p w:rsidR="00EE300C" w:rsidRDefault="00445D37">
      <w:pPr>
        <w:spacing w:after="240" w:line="360" w:lineRule="auto"/>
        <w:ind w:firstLine="720"/>
      </w:pPr>
      <w:r>
        <w:rPr>
          <w:b/>
          <w:bCs/>
        </w:rPr>
        <w:t>6(d</w:t>
      </w:r>
      <w:proofErr w:type="gramStart"/>
      <w:r>
        <w:rPr>
          <w:b/>
          <w:bCs/>
        </w:rPr>
        <w:t>)  Estimating</w:t>
      </w:r>
      <w:proofErr w:type="gramEnd"/>
      <w:r>
        <w:rPr>
          <w:b/>
          <w:bCs/>
        </w:rPr>
        <w:t xml:space="preserve"> the Respondent Universe and Total Burden and Costs</w:t>
      </w:r>
    </w:p>
    <w:p w:rsidR="00EE300C" w:rsidRDefault="00445D37">
      <w:pPr>
        <w:spacing w:after="240" w:line="360" w:lineRule="auto"/>
        <w:ind w:firstLine="720"/>
      </w:pPr>
      <w:r>
        <w:t>The number of respondents was updated based on the NEI database, which was used during the analysis to determine the MACT and information from the industry. The number of respondents is calculated using the following table which addresses the 3 years cover</w:t>
      </w:r>
      <w:r>
        <w:t xml:space="preserve">ed by this ICR. Over the three year period of this ICR, we expect 8 existing facilities to be respondents (4 in the PC source category, 1 in the AMF source category, 1 in the HF source category and 2 in the AR source category). </w:t>
      </w:r>
    </w:p>
    <w:p w:rsidR="00EE300C" w:rsidRDefault="00445D37">
      <w:pPr>
        <w:spacing w:line="360" w:lineRule="auto"/>
        <w:ind w:firstLine="720"/>
      </w:pPr>
      <w:r>
        <w:t xml:space="preserve">The total number of annual </w:t>
      </w:r>
      <w:r>
        <w:t>responses per year is calculated using the following table:</w:t>
      </w:r>
    </w:p>
    <w:tbl>
      <w:tblPr>
        <w:tblW w:w="5000" w:type="pct"/>
        <w:tblLook w:val="04A0"/>
      </w:tblPr>
      <w:tblGrid>
        <w:gridCol w:w="1596"/>
        <w:gridCol w:w="1596"/>
        <w:gridCol w:w="1596"/>
        <w:gridCol w:w="1596"/>
        <w:gridCol w:w="1596"/>
        <w:gridCol w:w="1596"/>
      </w:tblGrid>
      <w:tr w:rsidR="00EE300C">
        <w:trPr>
          <w:trHeight w:val="395"/>
        </w:trPr>
        <w:tc>
          <w:tcPr>
            <w:tcW w:w="8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300C" w:rsidRDefault="00445D37">
            <w:pPr>
              <w:widowControl/>
              <w:autoSpaceDE/>
              <w:autoSpaceDN/>
              <w:adjustRightInd/>
              <w:spacing w:line="360" w:lineRule="auto"/>
              <w:jc w:val="center"/>
              <w:rPr>
                <w:rFonts w:eastAsia="Times New Roman"/>
                <w:b/>
                <w:color w:val="000000"/>
                <w:sz w:val="20"/>
                <w:szCs w:val="20"/>
                <w:lang w:eastAsia="en-US"/>
              </w:rPr>
            </w:pPr>
            <w:r>
              <w:rPr>
                <w:rFonts w:eastAsia="Times New Roman"/>
                <w:b/>
                <w:color w:val="000000"/>
                <w:sz w:val="20"/>
                <w:szCs w:val="20"/>
                <w:lang w:eastAsia="en-US"/>
              </w:rPr>
              <w:t>YEAR</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E300C" w:rsidRDefault="00445D37">
            <w:pPr>
              <w:widowControl/>
              <w:autoSpaceDE/>
              <w:autoSpaceDN/>
              <w:adjustRightInd/>
              <w:spacing w:line="360" w:lineRule="auto"/>
              <w:jc w:val="center"/>
              <w:rPr>
                <w:rFonts w:eastAsia="Times New Roman"/>
                <w:b/>
                <w:color w:val="000000"/>
                <w:sz w:val="20"/>
                <w:szCs w:val="20"/>
                <w:lang w:eastAsia="en-US"/>
              </w:rPr>
            </w:pPr>
            <w:r>
              <w:rPr>
                <w:rFonts w:eastAsia="Times New Roman"/>
                <w:b/>
                <w:color w:val="000000"/>
                <w:sz w:val="20"/>
                <w:szCs w:val="20"/>
                <w:lang w:eastAsia="en-US"/>
              </w:rPr>
              <w:t>(A)</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E300C" w:rsidRDefault="00445D37">
            <w:pPr>
              <w:widowControl/>
              <w:autoSpaceDE/>
              <w:autoSpaceDN/>
              <w:adjustRightInd/>
              <w:spacing w:line="360" w:lineRule="auto"/>
              <w:jc w:val="center"/>
              <w:rPr>
                <w:rFonts w:eastAsia="Times New Roman"/>
                <w:b/>
                <w:color w:val="000000"/>
                <w:sz w:val="20"/>
                <w:szCs w:val="20"/>
                <w:lang w:eastAsia="en-US"/>
              </w:rPr>
            </w:pPr>
            <w:r>
              <w:rPr>
                <w:rFonts w:eastAsia="Times New Roman"/>
                <w:b/>
                <w:color w:val="000000"/>
                <w:sz w:val="20"/>
                <w:szCs w:val="20"/>
                <w:lang w:eastAsia="en-US"/>
              </w:rPr>
              <w:t>(B)</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E300C" w:rsidRDefault="00445D37">
            <w:pPr>
              <w:widowControl/>
              <w:autoSpaceDE/>
              <w:autoSpaceDN/>
              <w:adjustRightInd/>
              <w:spacing w:line="360" w:lineRule="auto"/>
              <w:jc w:val="center"/>
              <w:rPr>
                <w:rFonts w:eastAsia="Times New Roman"/>
                <w:b/>
                <w:color w:val="000000"/>
                <w:sz w:val="20"/>
                <w:szCs w:val="20"/>
                <w:lang w:eastAsia="en-US"/>
              </w:rPr>
            </w:pPr>
            <w:r>
              <w:rPr>
                <w:rFonts w:eastAsia="Times New Roman"/>
                <w:b/>
                <w:color w:val="000000"/>
                <w:sz w:val="20"/>
                <w:szCs w:val="20"/>
                <w:lang w:eastAsia="en-US"/>
              </w:rPr>
              <w:t>(C)</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EE300C" w:rsidRDefault="00445D37">
            <w:pPr>
              <w:widowControl/>
              <w:autoSpaceDE/>
              <w:autoSpaceDN/>
              <w:adjustRightInd/>
              <w:spacing w:line="360" w:lineRule="auto"/>
              <w:jc w:val="center"/>
              <w:rPr>
                <w:rFonts w:eastAsia="Times New Roman"/>
                <w:b/>
                <w:color w:val="000000"/>
                <w:sz w:val="20"/>
                <w:szCs w:val="20"/>
                <w:lang w:eastAsia="en-US"/>
              </w:rPr>
            </w:pPr>
            <w:r>
              <w:rPr>
                <w:rFonts w:eastAsia="Times New Roman"/>
                <w:b/>
                <w:color w:val="000000"/>
                <w:sz w:val="20"/>
                <w:szCs w:val="20"/>
                <w:lang w:eastAsia="en-US"/>
              </w:rPr>
              <w:t>(D)</w:t>
            </w:r>
          </w:p>
        </w:tc>
        <w:tc>
          <w:tcPr>
            <w:tcW w:w="833" w:type="pct"/>
            <w:tcBorders>
              <w:top w:val="single" w:sz="4" w:space="0" w:color="auto"/>
              <w:left w:val="nil"/>
              <w:bottom w:val="single" w:sz="4" w:space="0" w:color="auto"/>
              <w:right w:val="single" w:sz="4" w:space="0" w:color="auto"/>
            </w:tcBorders>
            <w:vAlign w:val="center"/>
          </w:tcPr>
          <w:p w:rsidR="00EE300C" w:rsidRDefault="00445D37">
            <w:pPr>
              <w:widowControl/>
              <w:autoSpaceDE/>
              <w:autoSpaceDN/>
              <w:adjustRightInd/>
              <w:spacing w:line="360" w:lineRule="auto"/>
              <w:jc w:val="center"/>
              <w:rPr>
                <w:rFonts w:eastAsia="Times New Roman"/>
                <w:b/>
                <w:color w:val="000000"/>
                <w:sz w:val="20"/>
                <w:szCs w:val="20"/>
                <w:lang w:eastAsia="en-US"/>
              </w:rPr>
            </w:pPr>
            <w:r>
              <w:rPr>
                <w:rFonts w:eastAsia="Times New Roman"/>
                <w:b/>
                <w:color w:val="000000"/>
                <w:sz w:val="20"/>
                <w:szCs w:val="20"/>
                <w:lang w:eastAsia="en-US"/>
              </w:rPr>
              <w:t>(E)</w:t>
            </w:r>
          </w:p>
        </w:tc>
      </w:tr>
      <w:tr w:rsidR="00EE300C">
        <w:tc>
          <w:tcPr>
            <w:tcW w:w="833" w:type="pct"/>
            <w:vMerge/>
            <w:tcBorders>
              <w:top w:val="single" w:sz="4" w:space="0" w:color="auto"/>
              <w:left w:val="single" w:sz="4" w:space="0" w:color="auto"/>
              <w:bottom w:val="single" w:sz="4" w:space="0" w:color="000000"/>
              <w:right w:val="single" w:sz="4" w:space="0" w:color="auto"/>
            </w:tcBorders>
            <w:vAlign w:val="center"/>
            <w:hideMark/>
          </w:tcPr>
          <w:p w:rsidR="00EE300C" w:rsidRDefault="00EE300C">
            <w:pPr>
              <w:widowControl/>
              <w:autoSpaceDE/>
              <w:autoSpaceDN/>
              <w:adjustRightInd/>
              <w:spacing w:line="360" w:lineRule="auto"/>
              <w:jc w:val="center"/>
              <w:rPr>
                <w:rFonts w:eastAsia="Times New Roman"/>
                <w:b/>
                <w:color w:val="000000"/>
                <w:sz w:val="20"/>
                <w:szCs w:val="20"/>
                <w:lang w:eastAsia="en-US"/>
              </w:rPr>
            </w:pP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Number of New Respondents</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Number Existing Respondents</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widowControl/>
              <w:autoSpaceDE/>
              <w:autoSpaceDN/>
              <w:adjustRightInd/>
              <w:jc w:val="center"/>
              <w:rPr>
                <w:rFonts w:eastAsia="Times New Roman"/>
                <w:b/>
                <w:color w:val="000000"/>
                <w:sz w:val="20"/>
                <w:szCs w:val="20"/>
                <w:vertAlign w:val="superscript"/>
                <w:lang w:eastAsia="en-US"/>
              </w:rPr>
            </w:pPr>
            <w:r>
              <w:rPr>
                <w:rFonts w:eastAsia="Times New Roman"/>
                <w:b/>
                <w:color w:val="000000"/>
                <w:sz w:val="20"/>
                <w:szCs w:val="20"/>
                <w:lang w:eastAsia="en-US"/>
              </w:rPr>
              <w:t>Number of Existing Respondents That Keep Records But Do Not Submit Reports</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 xml:space="preserve">Number of Existing Respondents That Are </w:t>
            </w:r>
            <w:r>
              <w:rPr>
                <w:rFonts w:eastAsia="Times New Roman"/>
                <w:b/>
                <w:color w:val="000000"/>
                <w:sz w:val="20"/>
                <w:szCs w:val="20"/>
                <w:lang w:eastAsia="en-US"/>
              </w:rPr>
              <w:t>Also New Respondents</w:t>
            </w:r>
          </w:p>
        </w:tc>
        <w:tc>
          <w:tcPr>
            <w:tcW w:w="833" w:type="pct"/>
            <w:tcBorders>
              <w:top w:val="nil"/>
              <w:left w:val="single" w:sz="4" w:space="0" w:color="auto"/>
              <w:bottom w:val="single" w:sz="4" w:space="0" w:color="auto"/>
              <w:right w:val="single" w:sz="4" w:space="0" w:color="auto"/>
            </w:tcBorders>
            <w:vAlign w:val="center"/>
          </w:tcPr>
          <w:p w:rsidR="00EE300C" w:rsidRDefault="00445D37">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Number of Respondents (E=A+B+C-D)</w:t>
            </w:r>
          </w:p>
        </w:tc>
      </w:tr>
      <w:tr w:rsidR="00EE300C">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lang w:eastAsia="en-US"/>
              </w:rPr>
            </w:pPr>
            <w:r>
              <w:rPr>
                <w:sz w:val="20"/>
                <w:szCs w:val="20"/>
                <w:lang w:eastAsia="en-US"/>
              </w:rPr>
              <w:t>1</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8</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0</w:t>
            </w:r>
          </w:p>
        </w:tc>
        <w:tc>
          <w:tcPr>
            <w:tcW w:w="833" w:type="pct"/>
            <w:tcBorders>
              <w:top w:val="single" w:sz="4" w:space="0" w:color="auto"/>
              <w:left w:val="nil"/>
              <w:bottom w:val="single" w:sz="4" w:space="0" w:color="auto"/>
              <w:right w:val="single" w:sz="4" w:space="0" w:color="auto"/>
            </w:tcBorders>
            <w:shd w:val="clear" w:color="auto" w:fill="auto"/>
            <w:noWrap/>
            <w:vAlign w:val="center"/>
          </w:tcPr>
          <w:p w:rsidR="00EE300C" w:rsidRDefault="00445D37">
            <w:pPr>
              <w:pStyle w:val="NoSpacing"/>
              <w:jc w:val="center"/>
              <w:rPr>
                <w:sz w:val="20"/>
                <w:szCs w:val="20"/>
              </w:rPr>
            </w:pPr>
            <w:r>
              <w:rPr>
                <w:sz w:val="20"/>
                <w:szCs w:val="20"/>
              </w:rPr>
              <w:t>0</w:t>
            </w:r>
          </w:p>
        </w:tc>
        <w:tc>
          <w:tcPr>
            <w:tcW w:w="833" w:type="pct"/>
            <w:tcBorders>
              <w:top w:val="single" w:sz="4" w:space="0" w:color="auto"/>
              <w:left w:val="nil"/>
              <w:bottom w:val="single" w:sz="4" w:space="0" w:color="auto"/>
              <w:right w:val="single" w:sz="4" w:space="0" w:color="auto"/>
            </w:tcBorders>
            <w:vAlign w:val="center"/>
          </w:tcPr>
          <w:p w:rsidR="00EE300C" w:rsidRDefault="00445D37">
            <w:pPr>
              <w:pStyle w:val="NoSpacing"/>
              <w:jc w:val="center"/>
              <w:rPr>
                <w:sz w:val="20"/>
                <w:szCs w:val="20"/>
              </w:rPr>
            </w:pPr>
            <w:r>
              <w:rPr>
                <w:sz w:val="20"/>
                <w:szCs w:val="20"/>
              </w:rPr>
              <w:t>8</w:t>
            </w:r>
          </w:p>
        </w:tc>
      </w:tr>
      <w:tr w:rsidR="00EE300C">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lang w:eastAsia="en-US"/>
              </w:rPr>
            </w:pPr>
            <w:r>
              <w:rPr>
                <w:sz w:val="20"/>
                <w:szCs w:val="20"/>
                <w:lang w:eastAsia="en-US"/>
              </w:rPr>
              <w:t>2</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8</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noWrap/>
            <w:vAlign w:val="center"/>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vAlign w:val="center"/>
          </w:tcPr>
          <w:p w:rsidR="00EE300C" w:rsidRDefault="00445D37">
            <w:pPr>
              <w:pStyle w:val="NoSpacing"/>
              <w:jc w:val="center"/>
              <w:rPr>
                <w:sz w:val="20"/>
                <w:szCs w:val="20"/>
              </w:rPr>
            </w:pPr>
            <w:r>
              <w:rPr>
                <w:sz w:val="20"/>
                <w:szCs w:val="20"/>
              </w:rPr>
              <w:t>8</w:t>
            </w:r>
          </w:p>
        </w:tc>
      </w:tr>
      <w:tr w:rsidR="00EE300C">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lang w:eastAsia="en-US"/>
              </w:rPr>
            </w:pPr>
            <w:r>
              <w:rPr>
                <w:sz w:val="20"/>
                <w:szCs w:val="20"/>
                <w:lang w:eastAsia="en-US"/>
              </w:rPr>
              <w:t>3</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8</w:t>
            </w:r>
          </w:p>
        </w:tc>
        <w:tc>
          <w:tcPr>
            <w:tcW w:w="833" w:type="pct"/>
            <w:tcBorders>
              <w:top w:val="nil"/>
              <w:left w:val="nil"/>
              <w:bottom w:val="single" w:sz="4" w:space="0" w:color="auto"/>
              <w:right w:val="single" w:sz="4" w:space="0" w:color="auto"/>
            </w:tcBorders>
            <w:shd w:val="clear" w:color="auto" w:fill="auto"/>
            <w:vAlign w:val="center"/>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noWrap/>
            <w:vAlign w:val="center"/>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vAlign w:val="center"/>
          </w:tcPr>
          <w:p w:rsidR="00EE300C" w:rsidRDefault="00445D37">
            <w:pPr>
              <w:pStyle w:val="NoSpacing"/>
              <w:jc w:val="center"/>
              <w:rPr>
                <w:sz w:val="20"/>
                <w:szCs w:val="20"/>
              </w:rPr>
            </w:pPr>
            <w:r>
              <w:rPr>
                <w:sz w:val="20"/>
                <w:szCs w:val="20"/>
              </w:rPr>
              <w:t>8</w:t>
            </w:r>
          </w:p>
        </w:tc>
      </w:tr>
      <w:tr w:rsidR="00EE300C">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lang w:eastAsia="en-US"/>
              </w:rPr>
            </w:pPr>
            <w:r>
              <w:rPr>
                <w:sz w:val="20"/>
                <w:szCs w:val="20"/>
                <w:lang w:eastAsia="en-US"/>
              </w:rPr>
              <w:t>Avg</w:t>
            </w:r>
          </w:p>
        </w:tc>
        <w:tc>
          <w:tcPr>
            <w:tcW w:w="833" w:type="pct"/>
            <w:tcBorders>
              <w:top w:val="nil"/>
              <w:left w:val="nil"/>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rPr>
            </w:pPr>
            <w:r>
              <w:rPr>
                <w:sz w:val="20"/>
                <w:szCs w:val="20"/>
              </w:rPr>
              <w:t>8</w:t>
            </w:r>
          </w:p>
        </w:tc>
        <w:tc>
          <w:tcPr>
            <w:tcW w:w="833" w:type="pct"/>
            <w:tcBorders>
              <w:top w:val="nil"/>
              <w:left w:val="nil"/>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hideMark/>
          </w:tcPr>
          <w:p w:rsidR="00EE300C" w:rsidRDefault="00445D37">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vAlign w:val="center"/>
          </w:tcPr>
          <w:p w:rsidR="00EE300C" w:rsidRDefault="00445D37">
            <w:pPr>
              <w:pStyle w:val="NoSpacing"/>
              <w:jc w:val="center"/>
              <w:rPr>
                <w:sz w:val="20"/>
                <w:szCs w:val="20"/>
              </w:rPr>
            </w:pPr>
            <w:r>
              <w:rPr>
                <w:sz w:val="20"/>
                <w:szCs w:val="20"/>
              </w:rPr>
              <w:t>8</w:t>
            </w:r>
          </w:p>
        </w:tc>
      </w:tr>
    </w:tbl>
    <w:p w:rsidR="00EE300C" w:rsidRDefault="00EE300C">
      <w:pPr>
        <w:spacing w:line="360" w:lineRule="auto"/>
        <w:rPr>
          <w:sz w:val="20"/>
          <w:szCs w:val="20"/>
        </w:rPr>
      </w:pPr>
    </w:p>
    <w:p w:rsidR="00EE300C" w:rsidRDefault="00445D37">
      <w:pPr>
        <w:spacing w:before="240" w:line="360" w:lineRule="auto"/>
      </w:pPr>
      <w:r>
        <w:t xml:space="preserve">To avoid double-counting respondents, column D is subtracted. As shown above, the average Number of Respondents over the three-year period of </w:t>
      </w:r>
      <w:r>
        <w:t>this ICR is 8.</w:t>
      </w:r>
    </w:p>
    <w:p w:rsidR="00EE300C" w:rsidRDefault="00445D37">
      <w:pPr>
        <w:spacing w:before="240" w:line="360" w:lineRule="auto"/>
      </w:pPr>
      <w:r>
        <w:t>The total number of annual responses per year is calculated using the following table:</w:t>
      </w:r>
    </w:p>
    <w:p w:rsidR="00EE300C" w:rsidRDefault="00EE300C">
      <w:pPr>
        <w:spacing w:before="240" w:line="360" w:lineRule="auto"/>
      </w:pPr>
    </w:p>
    <w:p w:rsidR="00EE300C" w:rsidRDefault="00EE300C">
      <w:pPr>
        <w:spacing w:before="240" w:line="360" w:lineRule="auto"/>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350"/>
        <w:gridCol w:w="1170"/>
        <w:gridCol w:w="1800"/>
        <w:gridCol w:w="1260"/>
      </w:tblGrid>
      <w:tr w:rsidR="00EE300C">
        <w:trPr>
          <w:cantSplit/>
          <w:tblHeader/>
          <w:jc w:val="center"/>
        </w:trPr>
        <w:tc>
          <w:tcPr>
            <w:tcW w:w="9360" w:type="dxa"/>
            <w:gridSpan w:val="5"/>
          </w:tcPr>
          <w:p w:rsidR="00EE300C" w:rsidRDefault="00445D37">
            <w:pPr>
              <w:pBdr>
                <w:top w:val="single" w:sz="6" w:space="0" w:color="FFFFFF"/>
                <w:left w:val="single" w:sz="6" w:space="0" w:color="FFFFFF"/>
                <w:bottom w:val="single" w:sz="6" w:space="0" w:color="FFFFFF"/>
                <w:right w:val="single" w:sz="6" w:space="0" w:color="FFFFFF"/>
              </w:pBdr>
              <w:spacing w:after="52" w:line="360" w:lineRule="auto"/>
              <w:jc w:val="center"/>
              <w:rPr>
                <w:b/>
                <w:bCs/>
                <w:color w:val="000000"/>
                <w:sz w:val="18"/>
                <w:szCs w:val="18"/>
              </w:rPr>
            </w:pPr>
            <w:r>
              <w:rPr>
                <w:b/>
                <w:bCs/>
                <w:color w:val="000000"/>
              </w:rPr>
              <w:lastRenderedPageBreak/>
              <w:t>Total Annual Responses</w:t>
            </w:r>
          </w:p>
        </w:tc>
      </w:tr>
      <w:tr w:rsidR="00EE300C">
        <w:trPr>
          <w:cantSplit/>
          <w:tblHeader/>
          <w:jc w:val="center"/>
        </w:trPr>
        <w:tc>
          <w:tcPr>
            <w:tcW w:w="3780" w:type="dxa"/>
          </w:tcPr>
          <w:p w:rsidR="00EE300C" w:rsidRDefault="00445D37">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(A)</w:t>
            </w:r>
          </w:p>
          <w:p w:rsidR="00EE300C" w:rsidRDefault="00445D37">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Information Collection Activity</w:t>
            </w:r>
          </w:p>
        </w:tc>
        <w:tc>
          <w:tcPr>
            <w:tcW w:w="1350" w:type="dxa"/>
          </w:tcPr>
          <w:p w:rsidR="00EE300C" w:rsidRDefault="00445D37">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(B)</w:t>
            </w:r>
          </w:p>
          <w:p w:rsidR="00EE300C" w:rsidRDefault="00445D3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Number of Respondents</w:t>
            </w:r>
          </w:p>
        </w:tc>
        <w:tc>
          <w:tcPr>
            <w:tcW w:w="1170" w:type="dxa"/>
          </w:tcPr>
          <w:p w:rsidR="00EE300C" w:rsidRDefault="00445D37">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(C)</w:t>
            </w:r>
          </w:p>
          <w:p w:rsidR="00EE300C" w:rsidRDefault="00445D3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Number of Responses</w:t>
            </w:r>
          </w:p>
        </w:tc>
        <w:tc>
          <w:tcPr>
            <w:tcW w:w="1800" w:type="dxa"/>
          </w:tcPr>
          <w:p w:rsidR="00EE300C" w:rsidRDefault="00445D37">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(D)</w:t>
            </w:r>
          </w:p>
          <w:p w:rsidR="00EE300C" w:rsidRDefault="00445D3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 xml:space="preserve">Number of Existing Respondents That </w:t>
            </w:r>
            <w:r>
              <w:rPr>
                <w:b/>
                <w:color w:val="000000"/>
                <w:sz w:val="20"/>
                <w:szCs w:val="20"/>
              </w:rPr>
              <w:t>Keep Records But Do Not Submit Reports</w:t>
            </w:r>
          </w:p>
        </w:tc>
        <w:tc>
          <w:tcPr>
            <w:tcW w:w="1260" w:type="dxa"/>
          </w:tcPr>
          <w:p w:rsidR="00EE300C" w:rsidRDefault="00445D37">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(E)</w:t>
            </w:r>
          </w:p>
          <w:p w:rsidR="00EE300C" w:rsidRDefault="00445D37">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Total Annual Responses</w:t>
            </w:r>
          </w:p>
          <w:p w:rsidR="00EE300C" w:rsidRDefault="00445D3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E=(</w:t>
            </w:r>
            <w:proofErr w:type="spellStart"/>
            <w:r>
              <w:rPr>
                <w:b/>
                <w:color w:val="000000"/>
                <w:sz w:val="20"/>
                <w:szCs w:val="20"/>
              </w:rPr>
              <w:t>BxC</w:t>
            </w:r>
            <w:proofErr w:type="spellEnd"/>
            <w:r>
              <w:rPr>
                <w:b/>
                <w:color w:val="000000"/>
                <w:sz w:val="20"/>
                <w:szCs w:val="20"/>
              </w:rPr>
              <w:t>)</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requirements for PC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EE300C" w:rsidRDefault="00445D37">
            <w:pPr>
              <w:jc w:val="cente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requirements for AMF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EE300C" w:rsidRDefault="00445D37">
            <w:pPr>
              <w:jc w:val="cente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Periodic reports for PC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Periodic reports for AMF </w:t>
            </w:r>
            <w:r>
              <w:rPr>
                <w:color w:val="000000"/>
                <w:sz w:val="20"/>
                <w:szCs w:val="20"/>
              </w:rPr>
              <w:t>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Periodic reports for AR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rPr>
                <w:color w:val="000000"/>
                <w:sz w:val="20"/>
                <w:szCs w:val="20"/>
              </w:rP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Periodic reports for HF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rPr>
                <w:color w:val="000000"/>
                <w:sz w:val="20"/>
                <w:szCs w:val="20"/>
              </w:rP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LDAR reports for PC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LDAR reports for AMF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LDAR reports for AR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rPr>
                <w:color w:val="000000"/>
                <w:sz w:val="20"/>
                <w:szCs w:val="20"/>
              </w:rP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LDAR reports </w:t>
            </w:r>
            <w:r>
              <w:rPr>
                <w:color w:val="000000"/>
                <w:sz w:val="20"/>
                <w:szCs w:val="20"/>
              </w:rPr>
              <w:t>for HF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EE300C" w:rsidRDefault="00445D37">
            <w:pPr>
              <w:jc w:val="center"/>
              <w:rPr>
                <w:color w:val="000000"/>
                <w:sz w:val="20"/>
                <w:szCs w:val="20"/>
              </w:rP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Affirmative Defense for PC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EE300C">
        <w:trPr>
          <w:cantSplit/>
          <w:jc w:val="center"/>
        </w:trPr>
        <w:tc>
          <w:tcPr>
            <w:tcW w:w="378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Affirmative Defense for AMF Production</w:t>
            </w:r>
          </w:p>
        </w:tc>
        <w:tc>
          <w:tcPr>
            <w:tcW w:w="135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17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260" w:type="dxa"/>
            <w:tcBorders>
              <w:bottom w:val="single" w:sz="6" w:space="0" w:color="000000"/>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EE300C">
        <w:trPr>
          <w:cantSplit/>
          <w:jc w:val="center"/>
        </w:trPr>
        <w:tc>
          <w:tcPr>
            <w:tcW w:w="3780" w:type="dxa"/>
            <w:tcBorders>
              <w:top w:val="single" w:sz="6" w:space="0" w:color="000000"/>
              <w:bottom w:val="single" w:sz="8" w:space="0" w:color="000000"/>
              <w:right w:val="nil"/>
            </w:tcBorders>
            <w:vAlign w:val="center"/>
          </w:tcPr>
          <w:p w:rsidR="00EE300C" w:rsidRDefault="00445D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Number of Annual Responses</w:t>
            </w:r>
          </w:p>
        </w:tc>
        <w:tc>
          <w:tcPr>
            <w:tcW w:w="1350" w:type="dxa"/>
            <w:tcBorders>
              <w:top w:val="single" w:sz="6" w:space="0" w:color="000000"/>
              <w:left w:val="nil"/>
              <w:bottom w:val="single" w:sz="8" w:space="0" w:color="000000"/>
              <w:right w:val="nil"/>
            </w:tcBorders>
            <w:vAlign w:val="center"/>
          </w:tcPr>
          <w:p w:rsidR="00EE300C" w:rsidRDefault="00EE30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tcBorders>
              <w:top w:val="single" w:sz="6" w:space="0" w:color="000000"/>
              <w:left w:val="nil"/>
              <w:bottom w:val="single" w:sz="8" w:space="0" w:color="000000"/>
              <w:right w:val="nil"/>
            </w:tcBorders>
            <w:vAlign w:val="center"/>
          </w:tcPr>
          <w:p w:rsidR="00EE300C" w:rsidRDefault="00EE30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tcBorders>
              <w:top w:val="single" w:sz="6" w:space="0" w:color="000000"/>
              <w:left w:val="nil"/>
              <w:bottom w:val="single" w:sz="8" w:space="0" w:color="000000"/>
            </w:tcBorders>
            <w:vAlign w:val="center"/>
          </w:tcPr>
          <w:p w:rsidR="00EE300C" w:rsidRDefault="00EE30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EE300C" w:rsidRDefault="00445D3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39</w:t>
            </w:r>
          </w:p>
        </w:tc>
      </w:tr>
    </w:tbl>
    <w:p w:rsidR="00EE300C" w:rsidRDefault="00EE300C">
      <w:pPr>
        <w:spacing w:line="360" w:lineRule="auto"/>
        <w:ind w:firstLine="720"/>
      </w:pPr>
    </w:p>
    <w:p w:rsidR="00EE300C" w:rsidRDefault="00445D37">
      <w:pPr>
        <w:spacing w:after="240" w:line="360" w:lineRule="auto"/>
        <w:ind w:firstLine="720"/>
      </w:pPr>
      <w:r>
        <w:t>The number of Total Annual Responses is 39 (rounded).</w:t>
      </w:r>
    </w:p>
    <w:p w:rsidR="00EE300C" w:rsidRDefault="00445D37">
      <w:pPr>
        <w:spacing w:after="240" w:line="360" w:lineRule="auto"/>
        <w:ind w:firstLine="720"/>
      </w:pPr>
      <w:r>
        <w:t xml:space="preserve">The total annual labor costs are </w:t>
      </w:r>
      <w:r>
        <w:t>$213,445 for 3,659 labor hours. Details regarding these estimates may be found below in Table 1: Annual Respondent Burden and Cost of Reporting and Recordkeeping Requirements for Source Categories: Generic Maximum Achievable Control Technology Standards</w:t>
      </w:r>
      <w:r>
        <w:rPr>
          <w:bCs/>
        </w:rPr>
        <w:t xml:space="preserve"> (4</w:t>
      </w:r>
      <w:r>
        <w:rPr>
          <w:bCs/>
        </w:rPr>
        <w:t>0 CFR Part 63, Subpart YY) (Revised)</w:t>
      </w:r>
      <w:r>
        <w:t>.</w:t>
      </w:r>
    </w:p>
    <w:p w:rsidR="00EE300C" w:rsidRDefault="00445D37">
      <w:pPr>
        <w:spacing w:after="240" w:line="360" w:lineRule="auto"/>
        <w:ind w:firstLine="720"/>
        <w:rPr>
          <w:b/>
          <w:bCs/>
        </w:rPr>
      </w:pPr>
      <w:r>
        <w:rPr>
          <w:b/>
          <w:bCs/>
        </w:rPr>
        <w:t>6(e</w:t>
      </w:r>
      <w:proofErr w:type="gramStart"/>
      <w:r>
        <w:rPr>
          <w:b/>
          <w:bCs/>
        </w:rPr>
        <w:t>)  Bottom</w:t>
      </w:r>
      <w:proofErr w:type="gramEnd"/>
      <w:r>
        <w:rPr>
          <w:b/>
          <w:bCs/>
        </w:rPr>
        <w:t xml:space="preserve"> Line Burden Hours Burden Hours and Cost Tables</w:t>
      </w:r>
    </w:p>
    <w:p w:rsidR="00EE300C" w:rsidRDefault="00445D37">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detailed bottom line burden hours and cost calculations for the respondents and the Agency are shown in Tables 1 and 2, respectively, and summarized below</w:t>
      </w:r>
      <w:r>
        <w:rPr>
          <w:color w:val="000000"/>
        </w:rPr>
        <w:t xml:space="preserve">. </w:t>
      </w:r>
    </w:p>
    <w:p w:rsidR="00EE300C" w:rsidRDefault="00445D37">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w:t>
      </w:r>
      <w:proofErr w:type="spellStart"/>
      <w:r>
        <w:rPr>
          <w:b/>
          <w:bCs/>
          <w:color w:val="000000"/>
        </w:rPr>
        <w:t>i</w:t>
      </w:r>
      <w:proofErr w:type="spellEnd"/>
      <w:r>
        <w:rPr>
          <w:b/>
          <w:bCs/>
          <w:color w:val="000000"/>
        </w:rPr>
        <w:t>)  Respondent Tally</w:t>
      </w:r>
    </w:p>
    <w:p w:rsidR="00EE300C" w:rsidRDefault="00445D37">
      <w:pPr>
        <w:spacing w:after="240" w:line="360" w:lineRule="auto"/>
        <w:ind w:firstLine="720"/>
      </w:pPr>
      <w:r>
        <w:rPr>
          <w:color w:val="000000"/>
        </w:rPr>
        <w:t xml:space="preserve">The total annual labor hours are 3,659. Details regarding these estimates may be found below in </w:t>
      </w:r>
      <w:r>
        <w:t xml:space="preserve">Table 1: Annual Respondent Burden and Cost of Reporting and Recordkeeping </w:t>
      </w:r>
      <w:r>
        <w:lastRenderedPageBreak/>
        <w:t xml:space="preserve">Requirements for Source Categories: Generic Maximum </w:t>
      </w:r>
      <w:r>
        <w:t>Achievable Control Technology Standards</w:t>
      </w:r>
      <w:r>
        <w:rPr>
          <w:bCs/>
        </w:rPr>
        <w:t xml:space="preserve"> (40 CFR Part 63, Subpart YY) (Revised)</w:t>
      </w:r>
      <w:r>
        <w:t>.</w:t>
      </w:r>
    </w:p>
    <w:p w:rsidR="00EE300C" w:rsidRDefault="00445D37">
      <w:pPr>
        <w:spacing w:after="240" w:line="360" w:lineRule="auto"/>
        <w:ind w:firstLine="720"/>
        <w:rPr>
          <w:color w:val="000000"/>
        </w:rPr>
      </w:pPr>
      <w:r>
        <w:rPr>
          <w:color w:val="000000"/>
        </w:rPr>
        <w:t>Furthermore, the annual public reporting and recordkeeping burden for this collection of information is estimated to average 9</w:t>
      </w:r>
      <w:r w:rsidR="000D0283">
        <w:rPr>
          <w:color w:val="000000"/>
        </w:rPr>
        <w:t>4</w:t>
      </w:r>
      <w:r>
        <w:rPr>
          <w:color w:val="000000"/>
        </w:rPr>
        <w:t xml:space="preserve"> hours per response.</w:t>
      </w:r>
    </w:p>
    <w:p w:rsidR="00EE300C" w:rsidRDefault="00445D37">
      <w:pPr>
        <w:spacing w:after="240" w:line="360" w:lineRule="auto"/>
        <w:ind w:firstLine="720"/>
      </w:pPr>
      <w:r>
        <w:rPr>
          <w:color w:val="000000"/>
        </w:rPr>
        <w:t>The total annual capital/sta</w:t>
      </w:r>
      <w:r>
        <w:rPr>
          <w:color w:val="000000"/>
        </w:rPr>
        <w:t>rtup and Operation and Maintenance (O&amp;M) costs to the regulated entity are $42,180.</w:t>
      </w:r>
      <w:r>
        <w:t xml:space="preserve"> The cost calculations are detailed in Section 6(b</w:t>
      </w:r>
      <w:proofErr w:type="gramStart"/>
      <w:r>
        <w:t>)(</w:t>
      </w:r>
      <w:proofErr w:type="gramEnd"/>
      <w:r>
        <w:t>ii).</w:t>
      </w:r>
    </w:p>
    <w:p w:rsidR="00EE300C" w:rsidRDefault="00445D37">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 xml:space="preserve"> (ii)  The Agency Tally</w:t>
      </w:r>
    </w:p>
    <w:p w:rsidR="00EE300C" w:rsidRDefault="00445D37">
      <w:pPr>
        <w:spacing w:line="360" w:lineRule="auto"/>
        <w:ind w:firstLine="720"/>
      </w:pPr>
      <w:r>
        <w:t xml:space="preserve">The average annual Agency burden and cost over next three years is estimated to be 95 labor </w:t>
      </w:r>
      <w:r>
        <w:t>hours at a cost of $4,291. See below Table 2: Average Annual EPA Burden for the Proposed NESHAP for Source Categories: Generic Maximum Achievable Control Technology Standards</w:t>
      </w:r>
      <w:r>
        <w:rPr>
          <w:bCs/>
        </w:rPr>
        <w:t xml:space="preserve"> (40 CFR </w:t>
      </w:r>
      <w:proofErr w:type="gramStart"/>
      <w:r>
        <w:rPr>
          <w:bCs/>
        </w:rPr>
        <w:t>Part</w:t>
      </w:r>
      <w:proofErr w:type="gramEnd"/>
      <w:r>
        <w:rPr>
          <w:bCs/>
        </w:rPr>
        <w:t xml:space="preserve"> 63, Subpart YY)</w:t>
      </w:r>
      <w:r>
        <w:t>.</w:t>
      </w:r>
    </w:p>
    <w:p w:rsidR="00EE300C" w:rsidRDefault="00EE300C">
      <w:pPr>
        <w:spacing w:line="360" w:lineRule="auto"/>
        <w:ind w:firstLine="720"/>
        <w:rPr>
          <w:b/>
          <w:bCs/>
        </w:rPr>
      </w:pPr>
    </w:p>
    <w:p w:rsidR="00EE300C" w:rsidRDefault="00445D37">
      <w:pPr>
        <w:spacing w:line="360" w:lineRule="auto"/>
        <w:ind w:firstLine="720"/>
      </w:pPr>
      <w:r>
        <w:rPr>
          <w:b/>
          <w:bCs/>
        </w:rPr>
        <w:t>6(f</w:t>
      </w:r>
      <w:proofErr w:type="gramStart"/>
      <w:r>
        <w:rPr>
          <w:b/>
          <w:bCs/>
        </w:rPr>
        <w:t>)  Reasons</w:t>
      </w:r>
      <w:proofErr w:type="gramEnd"/>
      <w:r>
        <w:rPr>
          <w:b/>
          <w:bCs/>
        </w:rPr>
        <w:t xml:space="preserve"> for Change in Burden</w:t>
      </w:r>
    </w:p>
    <w:p w:rsidR="00EE300C" w:rsidRDefault="00EE300C">
      <w:pPr>
        <w:spacing w:line="360" w:lineRule="auto"/>
      </w:pPr>
    </w:p>
    <w:p w:rsidR="00EE300C" w:rsidRDefault="00445D37">
      <w:pPr>
        <w:spacing w:line="360" w:lineRule="auto"/>
        <w:ind w:firstLine="720"/>
        <w:rPr>
          <w:color w:val="000000"/>
        </w:rPr>
      </w:pPr>
      <w:r>
        <w:rPr>
          <w:color w:val="000000"/>
        </w:rPr>
        <w:t>The proposed r</w:t>
      </w:r>
      <w:r>
        <w:rPr>
          <w:color w:val="000000"/>
        </w:rPr>
        <w:t xml:space="preserve">ulemaking would amend title 40, chapter I, part 63 subpart YY to include emission sources for which standards were not previously developed for the AMF source category, revisions to the LDAR requirements </w:t>
      </w:r>
      <w:r>
        <w:t>for the PC and AMF source categories, and requiremen</w:t>
      </w:r>
      <w:r>
        <w:t>ts</w:t>
      </w:r>
      <w:r>
        <w:rPr>
          <w:rFonts w:cs="Courier New"/>
        </w:rPr>
        <w:t xml:space="preserve"> to monitor PRDs. </w:t>
      </w:r>
      <w:r>
        <w:rPr>
          <w:color w:val="000000"/>
        </w:rPr>
        <w:t>The number of affected facilities under this subpart is not expected to increase. At this time, none of the proposed amendments will affect area sources. The overall change in burden found in this ICR reflect the provision changes, an u</w:t>
      </w:r>
      <w:r>
        <w:rPr>
          <w:color w:val="000000"/>
        </w:rPr>
        <w:t xml:space="preserve">pdate in the cost of labor, and corrections to errors found in EPA ICR number </w:t>
      </w:r>
      <w:r>
        <w:rPr>
          <w:bCs/>
          <w:color w:val="000000"/>
        </w:rPr>
        <w:t xml:space="preserve">1871.06. </w:t>
      </w:r>
    </w:p>
    <w:p w:rsidR="00EE300C" w:rsidRDefault="00445D37">
      <w:pPr>
        <w:spacing w:line="360" w:lineRule="auto"/>
        <w:rPr>
          <w:color w:val="000000"/>
        </w:rPr>
      </w:pPr>
      <w:r>
        <w:rPr>
          <w:color w:val="000000"/>
        </w:rPr>
        <w:tab/>
      </w:r>
    </w:p>
    <w:p w:rsidR="00EE300C" w:rsidRDefault="00445D37">
      <w:pPr>
        <w:spacing w:line="360" w:lineRule="auto"/>
        <w:ind w:firstLine="720"/>
        <w:rPr>
          <w:bCs/>
        </w:rPr>
      </w:pPr>
      <w:r>
        <w:rPr>
          <w:bCs/>
        </w:rPr>
        <w:t>The EPA also provides an adjustment to this ICR that estimates the costs of the notification, recordkeeping and reporting requirements associated with the assertion of the affirmative defense. The EPA’s estimate for the required notification, reports and r</w:t>
      </w:r>
      <w:r>
        <w:rPr>
          <w:bCs/>
        </w:rPr>
        <w:t>ecords, including the root cause analysis, associated with a single incident totals approximately $2,375 and is based on the time and effort required of a source to review relevant data, interview plant employees, and document the events surrounding a malf</w:t>
      </w:r>
      <w:r>
        <w:rPr>
          <w:bCs/>
        </w:rPr>
        <w:t xml:space="preserve">unction that has caused an exceedance of an emission limit. The estimate also includes time to produce and retain the records and reports for submission to the EPA. For the </w:t>
      </w:r>
      <w:r>
        <w:rPr>
          <w:bCs/>
        </w:rPr>
        <w:lastRenderedPageBreak/>
        <w:t>purpose of estimating the annual burden, the EPA is attributing a total of 3 instan</w:t>
      </w:r>
      <w:r>
        <w:rPr>
          <w:bCs/>
        </w:rPr>
        <w:t>ces of affirmative defense over a 3 year period across all sources in each category. The EPA is using this frequency of 3 events in 3 years, because of the number of excess emission events reported by source operators, only a small number would be expected</w:t>
      </w:r>
      <w:r>
        <w:rPr>
          <w:bCs/>
        </w:rPr>
        <w:t xml:space="preserve"> to result from a malfunction, and only a subset of excess emissions caused by malfunctions would result in the source choosing to assert the affirmative defense. Thus we believe the number of instances in which source operators might be expected to avail </w:t>
      </w:r>
      <w:r>
        <w:rPr>
          <w:bCs/>
        </w:rPr>
        <w:t>themselves of the affirmative defense will be extremely small.</w:t>
      </w:r>
    </w:p>
    <w:p w:rsidR="00EE300C" w:rsidRDefault="00EE300C">
      <w:pPr>
        <w:spacing w:line="360" w:lineRule="auto"/>
        <w:ind w:firstLine="720"/>
        <w:rPr>
          <w:bCs/>
        </w:rPr>
      </w:pPr>
    </w:p>
    <w:p w:rsidR="00EE300C" w:rsidRDefault="00445D37">
      <w:pPr>
        <w:spacing w:line="360" w:lineRule="auto"/>
        <w:ind w:firstLine="720"/>
        <w:rPr>
          <w:b/>
          <w:bCs/>
        </w:rPr>
      </w:pPr>
      <w:r>
        <w:rPr>
          <w:b/>
          <w:bCs/>
        </w:rPr>
        <w:t>6(g</w:t>
      </w:r>
      <w:proofErr w:type="gramStart"/>
      <w:r>
        <w:rPr>
          <w:b/>
          <w:bCs/>
        </w:rPr>
        <w:t>)  Burden</w:t>
      </w:r>
      <w:proofErr w:type="gramEnd"/>
      <w:r>
        <w:rPr>
          <w:b/>
          <w:bCs/>
        </w:rPr>
        <w:t xml:space="preserve"> Statement</w:t>
      </w:r>
    </w:p>
    <w:p w:rsidR="00EE300C" w:rsidRDefault="00EE300C">
      <w:pPr>
        <w:spacing w:line="360" w:lineRule="auto"/>
        <w:ind w:firstLine="720"/>
      </w:pPr>
    </w:p>
    <w:p w:rsidR="00EE300C" w:rsidRDefault="00445D37">
      <w:pPr>
        <w:spacing w:line="360" w:lineRule="auto"/>
        <w:ind w:firstLine="720"/>
      </w:pPr>
      <w:r>
        <w:t>The annual public reporting and recordkeeping burden for this collection of information is estimated to average 9</w:t>
      </w:r>
      <w:r w:rsidR="00CD3E69">
        <w:t>4</w:t>
      </w:r>
      <w:bookmarkStart w:id="0" w:name="_GoBack"/>
      <w:bookmarkEnd w:id="0"/>
      <w:r>
        <w:t xml:space="preserve"> hours per response. Burden means the total time, effo</w:t>
      </w:r>
      <w:r>
        <w:t>rt, or financial resources expended by persons to generate, maintain, retain, disclose or provide information to or for a Federal agency. This includes the time needed to review instructions; to develop, acquire, install, and utilize technology and systems</w:t>
      </w:r>
      <w:r>
        <w:t xml:space="preserve"> for the purposes of collecting, validating, and verifying information, processing and maintaining information, and disclosing and providing information; to adjust the existing ways to comply with any previously applicable instructions and requirements; to</w:t>
      </w:r>
      <w:r>
        <w:t xml:space="preserve"> train personnel to be able to respond to a collection of information; to search data sources; to complete and review the collection of information; and to transmit or otherwise disclose the information.</w:t>
      </w:r>
    </w:p>
    <w:p w:rsidR="00EE300C" w:rsidRDefault="00EE300C">
      <w:pPr>
        <w:pBdr>
          <w:top w:val="single" w:sz="6" w:space="0" w:color="FFFFFF"/>
          <w:left w:val="single" w:sz="6" w:space="0" w:color="FFFFFF"/>
          <w:bottom w:val="single" w:sz="6" w:space="0" w:color="FFFFFF"/>
          <w:right w:val="single" w:sz="6" w:space="0" w:color="FFFFFF"/>
        </w:pBdr>
        <w:spacing w:line="360" w:lineRule="auto"/>
        <w:ind w:firstLine="720"/>
        <w:rPr>
          <w:color w:val="000000"/>
        </w:rPr>
      </w:pPr>
    </w:p>
    <w:p w:rsidR="00EE300C" w:rsidRDefault="00445D37">
      <w:pPr>
        <w:pBdr>
          <w:top w:val="single" w:sz="6" w:space="0" w:color="FFFFFF"/>
          <w:left w:val="single" w:sz="6" w:space="0" w:color="FFFFFF"/>
          <w:bottom w:val="single" w:sz="6" w:space="0" w:color="FFFFFF"/>
          <w:right w:val="single" w:sz="6" w:space="0" w:color="FFFFFF"/>
        </w:pBdr>
        <w:spacing w:line="360" w:lineRule="auto"/>
        <w:ind w:firstLine="720"/>
        <w:rPr>
          <w:color w:val="000000"/>
        </w:rPr>
      </w:pPr>
      <w:r>
        <w:rPr>
          <w:color w:val="000000"/>
        </w:rPr>
        <w:t xml:space="preserve">An agency may not conduct or sponsor, and a person </w:t>
      </w:r>
      <w:r>
        <w:rPr>
          <w:color w:val="000000"/>
        </w:rPr>
        <w:t>is not required to respond to, a collection of information unless it displays a valid OMB Control Number. The OMB Control Numbers for EPA’s regulations are listed at 40 CFR part 9 and 48 CFR chapter 15.</w:t>
      </w:r>
    </w:p>
    <w:p w:rsidR="00EE300C" w:rsidRDefault="00EE300C">
      <w:pPr>
        <w:spacing w:line="360" w:lineRule="auto"/>
        <w:ind w:firstLine="720"/>
      </w:pPr>
    </w:p>
    <w:p w:rsidR="00EE300C" w:rsidRDefault="00445D37">
      <w:pPr>
        <w:spacing w:line="360" w:lineRule="auto"/>
        <w:ind w:firstLine="720"/>
      </w:pPr>
      <w:r>
        <w:t>To comment on the Agency's need for this information</w:t>
      </w:r>
      <w:r>
        <w:t>, the accuracy of the provided burden estimates, and any suggested methods for minimizing respondent burden, including the use of automated collection techniques, EPA has established a public docket for this ICR under Docket ID Number EPA-HQ-OAR-2012-0133.</w:t>
      </w:r>
      <w:r>
        <w:t xml:space="preserve"> An electronic version of the public docket is available at </w:t>
      </w:r>
      <w:hyperlink r:id="rId8" w:history="1">
        <w:r>
          <w:rPr>
            <w:rStyle w:val="Hyperlink"/>
            <w:color w:val="auto"/>
          </w:rPr>
          <w:t>http://www.regulations.gov/</w:t>
        </w:r>
      </w:hyperlink>
      <w:r>
        <w:t xml:space="preserve"> which may be used to obtain a copy of the draft collection of information, submit or view public comments, access the index li</w:t>
      </w:r>
      <w:r>
        <w:t xml:space="preserve">sting of the content of the docket, </w:t>
      </w:r>
      <w:r>
        <w:lastRenderedPageBreak/>
        <w:t>and to access those documents in the public docket that are available electronically. When in the system, select “search” than key in the docket ID number identified in this document. The documents are also available for</w:t>
      </w:r>
      <w:r>
        <w:t xml:space="preserve"> public viewing at the Enforcement and Compliance Docket and Information Center in the EPA Docket Center (EPA/DC), </w:t>
      </w:r>
      <w:r w:rsidR="00CD3E69">
        <w:t>WJC</w:t>
      </w:r>
      <w:r>
        <w:t xml:space="preserve"> West, Room 3334, 1301 Constitution Avenue, N.W., Washington, DC. The EPA Docket Center Public Reading Room is open from 8:30 a.m. to 4:30</w:t>
      </w:r>
      <w:r>
        <w:t xml:space="preserve"> p.m., Monday through Friday, excluding legal holidays. The telephone number for the Reading Room is (202) 566-1744, and the telephone number for the Enforcement and Compliance Docket and Information Center Docket is (202) 566-1752</w:t>
      </w:r>
      <w:r>
        <w:rPr>
          <w:rStyle w:val="1"/>
        </w:rPr>
        <w:t xml:space="preserve">. </w:t>
      </w:r>
      <w:r>
        <w:t>Also, you can send comm</w:t>
      </w:r>
      <w:r>
        <w:t>ents to the Office of Information and Regulatory Affairs, Office of Management and Budget, 725 17th Street, N.W., Washington, DC 20503, Attention: Desk Officer for EPA. Please include the EPA Docket ID Number EPA-HQ-OAR-2012-0133 and OMB Control Number 206</w:t>
      </w:r>
      <w:r>
        <w:t>0-0420 in any correspondence.</w:t>
      </w:r>
    </w:p>
    <w:p w:rsidR="00EE300C" w:rsidRDefault="00EE300C">
      <w:pPr>
        <w:spacing w:line="360" w:lineRule="auto"/>
        <w:rPr>
          <w:b/>
          <w:bCs/>
        </w:rPr>
      </w:pPr>
    </w:p>
    <w:p w:rsidR="00EE300C" w:rsidRDefault="00445D37">
      <w:pPr>
        <w:spacing w:line="360" w:lineRule="auto"/>
      </w:pPr>
      <w:r>
        <w:rPr>
          <w:b/>
          <w:bCs/>
        </w:rPr>
        <w:t>Part B of the Supporting Statement</w:t>
      </w:r>
    </w:p>
    <w:p w:rsidR="00EE300C" w:rsidRDefault="00445D37">
      <w:pPr>
        <w:spacing w:line="360" w:lineRule="auto"/>
        <w:ind w:firstLine="720"/>
      </w:pPr>
      <w:r>
        <w:t>This part is not applicable because no statistical methods were used in collecting this information.</w:t>
      </w:r>
    </w:p>
    <w:p w:rsidR="00EE300C" w:rsidRDefault="00EE300C">
      <w:pPr>
        <w:spacing w:line="360" w:lineRule="auto"/>
        <w:sectPr w:rsidR="00EE300C">
          <w:headerReference w:type="even" r:id="rId9"/>
          <w:headerReference w:type="default" r:id="rId10"/>
          <w:footerReference w:type="even" r:id="rId11"/>
          <w:headerReference w:type="first" r:id="rId12"/>
          <w:type w:val="continuous"/>
          <w:pgSz w:w="12240" w:h="15840" w:code="1"/>
          <w:pgMar w:top="1440" w:right="1440" w:bottom="1440" w:left="1440" w:header="1008" w:footer="0" w:gutter="0"/>
          <w:cols w:space="720"/>
          <w:noEndnote/>
          <w:titlePg/>
        </w:sectPr>
      </w:pPr>
    </w:p>
    <w:p w:rsidR="00EE300C" w:rsidRDefault="00445D37">
      <w:pPr>
        <w:spacing w:line="276" w:lineRule="auto"/>
        <w:jc w:val="center"/>
        <w:rPr>
          <w:b/>
        </w:rPr>
      </w:pPr>
      <w:r>
        <w:rPr>
          <w:b/>
          <w:bCs/>
        </w:rPr>
        <w:lastRenderedPageBreak/>
        <w:t xml:space="preserve">Table 1: </w:t>
      </w:r>
      <w:r>
        <w:rPr>
          <w:b/>
          <w:bCs/>
        </w:rPr>
        <w:t>Annual Respondent Burden and Cost of Reporting and Recordkeeping Requirements for Source Categories: Generic Maximum Achievable Control Technology Standards (40 CFR Part 63, Subpart YY) (Revised)</w:t>
      </w:r>
    </w:p>
    <w:tbl>
      <w:tblPr>
        <w:tblW w:w="5751" w:type="pct"/>
        <w:jc w:val="center"/>
        <w:tblCellMar>
          <w:left w:w="58" w:type="dxa"/>
          <w:right w:w="58" w:type="dxa"/>
        </w:tblCellMar>
        <w:tblLook w:val="04A0"/>
      </w:tblPr>
      <w:tblGrid>
        <w:gridCol w:w="5491"/>
        <w:gridCol w:w="1389"/>
        <w:gridCol w:w="1113"/>
        <w:gridCol w:w="1291"/>
        <w:gridCol w:w="1196"/>
        <w:gridCol w:w="1225"/>
        <w:gridCol w:w="1232"/>
        <w:gridCol w:w="1225"/>
        <w:gridCol w:w="878"/>
      </w:tblGrid>
      <w:tr w:rsidR="00EE300C">
        <w:trPr>
          <w:trHeight w:val="280"/>
          <w:tblHeader/>
          <w:jc w:val="center"/>
        </w:trPr>
        <w:tc>
          <w:tcPr>
            <w:tcW w:w="5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b/>
                <w:bCs/>
                <w:sz w:val="20"/>
                <w:szCs w:val="20"/>
                <w:lang w:eastAsia="en-US"/>
              </w:rPr>
              <w:t>Burden Item</w:t>
            </w:r>
          </w:p>
        </w:tc>
        <w:tc>
          <w:tcPr>
            <w:tcW w:w="1389"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(A)</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hours per</w:t>
            </w:r>
          </w:p>
          <w:p w:rsidR="00EE300C" w:rsidRDefault="00445D37">
            <w:pPr>
              <w:widowControl/>
              <w:autoSpaceDE/>
              <w:autoSpaceDN/>
              <w:adjustRightInd/>
              <w:jc w:val="center"/>
              <w:rPr>
                <w:rFonts w:ascii="Calibri" w:eastAsia="Times New Roman" w:hAnsi="Calibri" w:cs="Arial"/>
                <w:sz w:val="20"/>
                <w:szCs w:val="20"/>
                <w:lang w:eastAsia="en-US"/>
              </w:rPr>
            </w:pPr>
            <w:proofErr w:type="spellStart"/>
            <w:r>
              <w:rPr>
                <w:rFonts w:ascii="Calibri" w:eastAsia="Times New Roman" w:hAnsi="Calibri" w:cs="Arial"/>
                <w:b/>
                <w:bCs/>
                <w:sz w:val="20"/>
                <w:szCs w:val="20"/>
                <w:lang w:eastAsia="en-US"/>
              </w:rPr>
              <w:t>occurrence</w:t>
            </w:r>
            <w:r>
              <w:rPr>
                <w:rFonts w:ascii="Calibri" w:eastAsia="Times New Roman" w:hAnsi="Calibri" w:cs="Arial"/>
                <w:b/>
                <w:bCs/>
                <w:sz w:val="20"/>
                <w:szCs w:val="20"/>
                <w:vertAlign w:val="superscript"/>
                <w:lang w:eastAsia="en-US"/>
              </w:rPr>
              <w:t>a</w:t>
            </w:r>
            <w:proofErr w:type="spellEnd"/>
          </w:p>
        </w:tc>
        <w:tc>
          <w:tcPr>
            <w:tcW w:w="1113"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(B)</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No. of</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occ</w:t>
            </w:r>
            <w:r>
              <w:rPr>
                <w:rFonts w:ascii="Calibri" w:eastAsia="Times New Roman" w:hAnsi="Calibri" w:cs="Arial"/>
                <w:b/>
                <w:bCs/>
                <w:sz w:val="20"/>
                <w:szCs w:val="20"/>
                <w:lang w:eastAsia="en-US"/>
              </w:rPr>
              <w:t>urrences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source</w:t>
            </w:r>
          </w:p>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b/>
                <w:bCs/>
                <w:sz w:val="20"/>
                <w:szCs w:val="20"/>
                <w:lang w:eastAsia="en-US"/>
              </w:rPr>
              <w:t xml:space="preserve">per </w:t>
            </w:r>
            <w:proofErr w:type="spellStart"/>
            <w:r>
              <w:rPr>
                <w:rFonts w:ascii="Calibri" w:eastAsia="Times New Roman" w:hAnsi="Calibri" w:cs="Arial"/>
                <w:b/>
                <w:bCs/>
                <w:sz w:val="20"/>
                <w:szCs w:val="20"/>
                <w:lang w:eastAsia="en-US"/>
              </w:rPr>
              <w:t>year</w:t>
            </w:r>
            <w:r>
              <w:rPr>
                <w:rFonts w:ascii="Calibri" w:eastAsia="Times New Roman" w:hAnsi="Calibri" w:cs="Arial"/>
                <w:b/>
                <w:bCs/>
                <w:sz w:val="20"/>
                <w:szCs w:val="20"/>
                <w:vertAlign w:val="superscript"/>
                <w:lang w:eastAsia="en-US"/>
              </w:rPr>
              <w:t>b</w:t>
            </w:r>
            <w:proofErr w:type="spellEnd"/>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(C)</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Person-hours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source</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year</w:t>
            </w:r>
          </w:p>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b/>
                <w:bCs/>
                <w:sz w:val="20"/>
                <w:szCs w:val="20"/>
                <w:lang w:eastAsia="en-US"/>
              </w:rPr>
              <w:t>(C=</w:t>
            </w:r>
            <w:proofErr w:type="spellStart"/>
            <w:r>
              <w:rPr>
                <w:rFonts w:ascii="Calibri" w:eastAsia="Times New Roman" w:hAnsi="Calibri" w:cs="Arial"/>
                <w:b/>
                <w:bCs/>
                <w:sz w:val="20"/>
                <w:szCs w:val="20"/>
                <w:lang w:eastAsia="en-US"/>
              </w:rPr>
              <w:t>AxB</w:t>
            </w:r>
            <w:proofErr w:type="spellEnd"/>
            <w:r>
              <w:rPr>
                <w:rFonts w:ascii="Calibri" w:eastAsia="Times New Roman" w:hAnsi="Calibri" w:cs="Arial"/>
                <w:b/>
                <w:bCs/>
                <w:sz w:val="20"/>
                <w:szCs w:val="20"/>
                <w:lang w:eastAsia="en-US"/>
              </w:rPr>
              <w:t>)</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(D)</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Respondents</w:t>
            </w:r>
          </w:p>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b/>
                <w:bCs/>
                <w:sz w:val="20"/>
                <w:szCs w:val="20"/>
                <w:lang w:eastAsia="en-US"/>
              </w:rPr>
              <w:t xml:space="preserve">per </w:t>
            </w:r>
            <w:proofErr w:type="spellStart"/>
            <w:r>
              <w:rPr>
                <w:rFonts w:ascii="Calibri" w:eastAsia="Times New Roman" w:hAnsi="Calibri" w:cs="Arial"/>
                <w:b/>
                <w:bCs/>
                <w:sz w:val="20"/>
                <w:szCs w:val="20"/>
                <w:lang w:eastAsia="en-US"/>
              </w:rPr>
              <w:t>year</w:t>
            </w:r>
            <w:r>
              <w:rPr>
                <w:rFonts w:ascii="Calibri" w:eastAsia="Times New Roman" w:hAnsi="Calibri" w:cs="Arial"/>
                <w:b/>
                <w:bCs/>
                <w:sz w:val="20"/>
                <w:szCs w:val="20"/>
                <w:vertAlign w:val="superscript"/>
                <w:lang w:eastAsia="en-US"/>
              </w:rPr>
              <w:t>c</w:t>
            </w:r>
            <w:proofErr w:type="spellEnd"/>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(E)</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Technical</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person-hours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year</w:t>
            </w:r>
          </w:p>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b/>
                <w:bCs/>
                <w:sz w:val="20"/>
                <w:szCs w:val="20"/>
                <w:lang w:eastAsia="en-US"/>
              </w:rPr>
              <w:t>(E=</w:t>
            </w:r>
            <w:proofErr w:type="spellStart"/>
            <w:r>
              <w:rPr>
                <w:rFonts w:ascii="Calibri" w:eastAsia="Times New Roman" w:hAnsi="Calibri" w:cs="Arial"/>
                <w:b/>
                <w:bCs/>
                <w:sz w:val="20"/>
                <w:szCs w:val="20"/>
                <w:lang w:eastAsia="en-US"/>
              </w:rPr>
              <w:t>CxD</w:t>
            </w:r>
            <w:proofErr w:type="spellEnd"/>
            <w:r>
              <w:rPr>
                <w:rFonts w:ascii="Calibri" w:eastAsia="Times New Roman" w:hAnsi="Calibri" w:cs="Arial"/>
                <w:b/>
                <w:bCs/>
                <w:sz w:val="20"/>
                <w:szCs w:val="20"/>
                <w:lang w:eastAsia="en-US"/>
              </w:rPr>
              <w:t>)</w:t>
            </w:r>
          </w:p>
        </w:tc>
        <w:tc>
          <w:tcPr>
            <w:tcW w:w="1232"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(F)</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Management</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person-hours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year</w:t>
            </w:r>
          </w:p>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b/>
                <w:bCs/>
                <w:sz w:val="20"/>
                <w:szCs w:val="20"/>
                <w:lang w:eastAsia="en-US"/>
              </w:rPr>
              <w:t>(Ex0.05)</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(G)</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Clerical</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person-hours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year</w:t>
            </w:r>
          </w:p>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b/>
                <w:bCs/>
                <w:sz w:val="20"/>
                <w:szCs w:val="20"/>
                <w:lang w:eastAsia="en-US"/>
              </w:rPr>
              <w:t>(Ex0.1)</w:t>
            </w:r>
          </w:p>
        </w:tc>
        <w:tc>
          <w:tcPr>
            <w:tcW w:w="878" w:type="dxa"/>
            <w:tcBorders>
              <w:top w:val="single" w:sz="4" w:space="0" w:color="auto"/>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(H)</w:t>
            </w:r>
          </w:p>
          <w:p w:rsidR="00EE300C" w:rsidRDefault="00445D37">
            <w:pPr>
              <w:widowControl/>
              <w:autoSpaceDE/>
              <w:autoSpaceDN/>
              <w:adjustRightInd/>
              <w:jc w:val="center"/>
              <w:rPr>
                <w:rFonts w:ascii="Calibri" w:eastAsia="Times New Roman" w:hAnsi="Calibri" w:cs="Arial"/>
                <w:sz w:val="20"/>
                <w:szCs w:val="20"/>
                <w:lang w:eastAsia="en-US"/>
              </w:rPr>
            </w:pPr>
            <w:proofErr w:type="spellStart"/>
            <w:r>
              <w:rPr>
                <w:rFonts w:ascii="Calibri" w:eastAsia="Times New Roman" w:hAnsi="Calibri" w:cs="Arial"/>
                <w:b/>
                <w:bCs/>
                <w:sz w:val="20"/>
                <w:szCs w:val="20"/>
                <w:lang w:eastAsia="en-US"/>
              </w:rPr>
              <w:t>Cost,$</w:t>
            </w:r>
            <w:r>
              <w:rPr>
                <w:rFonts w:ascii="Calibri" w:eastAsia="Times New Roman" w:hAnsi="Calibri" w:cs="Arial"/>
                <w:b/>
                <w:bCs/>
                <w:sz w:val="20"/>
                <w:szCs w:val="20"/>
                <w:vertAlign w:val="superscript"/>
                <w:lang w:eastAsia="en-US"/>
              </w:rPr>
              <w:t>d</w:t>
            </w:r>
            <w:proofErr w:type="spellEnd"/>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1. </w:t>
            </w:r>
            <w:r>
              <w:rPr>
                <w:rFonts w:ascii="Calibri" w:eastAsia="Times New Roman" w:hAnsi="Calibri" w:cs="Arial"/>
                <w:sz w:val="20"/>
                <w:szCs w:val="20"/>
                <w:lang w:eastAsia="en-US"/>
              </w:rPr>
              <w:t>Applications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2. Survey and Studies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3. Reporting Requirements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Read instructions </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B. Required Activities for PC, AMF, AR, HF </w:t>
            </w:r>
            <w:r>
              <w:rPr>
                <w:rFonts w:ascii="Calibri" w:eastAsia="Times New Roman" w:hAnsi="Calibri" w:cs="Arial"/>
                <w:sz w:val="20"/>
                <w:szCs w:val="20"/>
                <w:vertAlign w:val="superscript"/>
                <w:lang w:eastAsia="en-US"/>
              </w:rPr>
              <w:t>(e)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Included in 4C</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 Create Information for PC, AMF, AR, HF</w:t>
            </w:r>
            <w:r>
              <w:rPr>
                <w:rFonts w:ascii="Calibri" w:eastAsia="Times New Roman" w:hAnsi="Calibri" w:cs="Arial"/>
                <w:sz w:val="20"/>
                <w:szCs w:val="20"/>
                <w:vertAlign w:val="superscript"/>
                <w:lang w:eastAsia="en-US"/>
              </w:rPr>
              <w:t xml:space="preserve"> (e)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Included in 4C</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D. Gather Information for PC, AMF, AR, HF </w:t>
            </w:r>
            <w:r>
              <w:rPr>
                <w:rFonts w:ascii="Calibri" w:eastAsia="Times New Roman" w:hAnsi="Calibri" w:cs="Arial"/>
                <w:sz w:val="20"/>
                <w:szCs w:val="20"/>
                <w:vertAlign w:val="superscript"/>
                <w:lang w:eastAsia="en-US"/>
              </w:rPr>
              <w:t>(e)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Included in 4C</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E. Write report</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Initial notification requirements</w:t>
            </w:r>
            <w:r>
              <w:rPr>
                <w:rFonts w:ascii="Calibri" w:eastAsia="Times New Roman" w:hAnsi="Calibri" w:cs="Arial"/>
                <w:sz w:val="20"/>
                <w:szCs w:val="20"/>
                <w:vertAlign w:val="superscript"/>
                <w:lang w:eastAsia="en-US"/>
              </w:rPr>
              <w:t xml:space="preserve"> (e)(f)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Periodic reports</w:t>
            </w:r>
            <w:r>
              <w:rPr>
                <w:rFonts w:ascii="Calibri" w:eastAsia="Times New Roman" w:hAnsi="Calibri" w:cs="Arial"/>
                <w:sz w:val="20"/>
                <w:szCs w:val="20"/>
                <w:vertAlign w:val="superscript"/>
                <w:lang w:eastAsia="en-US"/>
              </w:rPr>
              <w:t xml:space="preserve"> (g)</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13.5</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27</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$6,941</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15.5</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31</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31</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1.55</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3.1</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$1,992</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$2,057</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Leak detection and repair reporting (e)(h)</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$6,170</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$1,543</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$2,057</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Affirmative defense (</w:t>
            </w:r>
            <w:proofErr w:type="spellStart"/>
            <w:r>
              <w:rPr>
                <w:rFonts w:ascii="Calibri" w:eastAsia="Times New Roman" w:hAnsi="Calibri" w:cs="Arial"/>
                <w:sz w:val="20"/>
                <w:szCs w:val="20"/>
                <w:lang w:eastAsia="en-US"/>
              </w:rPr>
              <w:t>i</w:t>
            </w:r>
            <w:proofErr w:type="spellEnd"/>
            <w:r>
              <w:rPr>
                <w:rFonts w:ascii="Calibri" w:eastAsia="Times New Roman" w:hAnsi="Calibri" w:cs="Arial"/>
                <w:sz w:val="20"/>
                <w:szCs w:val="20"/>
                <w:lang w:eastAsia="en-US"/>
              </w:rPr>
              <w:t>)</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$2,375</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$2,375</w:t>
            </w:r>
          </w:p>
        </w:tc>
      </w:tr>
      <w:tr w:rsidR="00EE300C">
        <w:trPr>
          <w:trHeight w:val="554"/>
          <w:jc w:val="center"/>
        </w:trPr>
        <w:tc>
          <w:tcPr>
            <w:tcW w:w="5491" w:type="dxa"/>
            <w:tcBorders>
              <w:top w:val="nil"/>
              <w:left w:val="single" w:sz="4" w:space="0" w:color="auto"/>
              <w:bottom w:val="single" w:sz="4" w:space="0" w:color="auto"/>
              <w:right w:val="nil"/>
            </w:tcBorders>
            <w:shd w:val="clear" w:color="auto" w:fill="auto"/>
            <w:vAlign w:val="center"/>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lastRenderedPageBreak/>
              <w:t>REPORTING SUBTOTAL (Rounded)</w:t>
            </w:r>
          </w:p>
        </w:tc>
        <w:tc>
          <w:tcPr>
            <w:tcW w:w="1389" w:type="dxa"/>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1232" w:type="dxa"/>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491</w:t>
            </w:r>
          </w:p>
        </w:tc>
        <w:tc>
          <w:tcPr>
            <w:tcW w:w="1225" w:type="dxa"/>
            <w:tcBorders>
              <w:top w:val="nil"/>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right"/>
              <w:rPr>
                <w:rFonts w:ascii="Calibri" w:eastAsia="Times New Roman" w:hAnsi="Calibri" w:cs="Arial"/>
                <w:b/>
                <w:bCs/>
                <w:sz w:val="20"/>
                <w:szCs w:val="20"/>
                <w:lang w:eastAsia="en-US"/>
              </w:rPr>
            </w:pPr>
            <w:r>
              <w:rPr>
                <w:rFonts w:ascii="Calibri" w:eastAsia="Times New Roman" w:hAnsi="Calibri" w:cs="Arial"/>
                <w:b/>
                <w:bCs/>
                <w:sz w:val="20"/>
                <w:szCs w:val="20"/>
                <w:lang w:eastAsia="en-US"/>
              </w:rPr>
              <w:t>$28,851</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4.  Recordkeeping Requirements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Read instructions</w:t>
            </w:r>
            <w:r>
              <w:rPr>
                <w:rFonts w:ascii="Calibri" w:eastAsia="Times New Roman" w:hAnsi="Calibri" w:cs="Arial"/>
                <w:sz w:val="20"/>
                <w:szCs w:val="20"/>
                <w:vertAlign w:val="superscript"/>
                <w:lang w:eastAsia="en-US"/>
              </w:rPr>
              <w:t xml:space="preserve"> (e)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B. Plan activities</w:t>
            </w:r>
            <w:r>
              <w:rPr>
                <w:rFonts w:ascii="Calibri" w:eastAsia="Times New Roman" w:hAnsi="Calibri" w:cs="Arial"/>
                <w:sz w:val="20"/>
                <w:szCs w:val="20"/>
                <w:vertAlign w:val="superscript"/>
                <w:lang w:eastAsia="en-US"/>
              </w:rPr>
              <w:t xml:space="preserve"> (e)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160</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$10,284</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40</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$2,571</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 Implementation activities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Material determinations </w:t>
            </w:r>
            <w:r>
              <w:rPr>
                <w:rFonts w:ascii="Calibri" w:eastAsia="Times New Roman" w:hAnsi="Calibri" w:cs="Arial"/>
                <w:sz w:val="20"/>
                <w:szCs w:val="20"/>
                <w:vertAlign w:val="superscript"/>
                <w:lang w:eastAsia="en-US"/>
              </w:rPr>
              <w:t>(e)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equipment inspections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Tanks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$1,543</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$3,085</w:t>
            </w:r>
          </w:p>
        </w:tc>
      </w:tr>
      <w:tr w:rsidR="00EE300C">
        <w:trPr>
          <w:trHeight w:val="280"/>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b. Closed-vent systems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equipment leak monitoring</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Cover vented to control device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lastRenderedPageBreak/>
              <w:t xml:space="preserve">                 a. Closed vent system</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devices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Initial requirements design analysis, performance test (e)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sz w:val="20"/>
                <w:szCs w:val="20"/>
                <w:lang w:eastAsia="en-US"/>
              </w:rPr>
            </w:pP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80</w:t>
            </w:r>
          </w:p>
        </w:tc>
        <w:tc>
          <w:tcPr>
            <w:tcW w:w="1113"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80</w:t>
            </w:r>
          </w:p>
        </w:tc>
        <w:tc>
          <w:tcPr>
            <w:tcW w:w="1196"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80</w:t>
            </w:r>
          </w:p>
        </w:tc>
        <w:tc>
          <w:tcPr>
            <w:tcW w:w="1232"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878" w:type="dxa"/>
            <w:tcBorders>
              <w:top w:val="nil"/>
              <w:left w:val="nil"/>
              <w:bottom w:val="single" w:sz="4" w:space="0" w:color="auto"/>
              <w:right w:val="single" w:sz="4" w:space="0" w:color="auto"/>
            </w:tcBorders>
            <w:shd w:val="clear" w:color="auto" w:fill="auto"/>
            <w:noWrap/>
            <w:vAlign w:val="bottom"/>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$5,142</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b. Operate and maintain CMS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384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19.2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38.4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$24,680</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$6,170</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192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19.2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$12,340</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9.6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$6,170</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Pressure relief devices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Leak detection and repair program</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Initial requirements: Identify all affected streams </w:t>
            </w:r>
            <w:r>
              <w:rPr>
                <w:rFonts w:ascii="Calibri" w:eastAsia="Times New Roman" w:hAnsi="Calibri" w:cs="Arial"/>
                <w:sz w:val="20"/>
                <w:szCs w:val="20"/>
                <w:vertAlign w:val="superscript"/>
                <w:lang w:eastAsia="en-US"/>
              </w:rPr>
              <w:t>(e)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b. Perform monitoring/repairs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$6,020</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$1,505</w:t>
            </w:r>
          </w:p>
        </w:tc>
      </w:tr>
      <w:tr w:rsidR="00EE300C">
        <w:trPr>
          <w:trHeight w:val="286"/>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192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384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19.2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38.4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$24,680</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 </w:t>
            </w:r>
            <w:r>
              <w:rPr>
                <w:rFonts w:ascii="Calibri" w:eastAsia="Times New Roman" w:hAnsi="Calibri" w:cs="Arial"/>
                <w:sz w:val="20"/>
                <w:szCs w:val="20"/>
                <w:vertAlign w:val="superscript"/>
                <w:lang w:eastAsia="en-US"/>
              </w:rPr>
              <w:t>(j)</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1092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109</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109</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5.5</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10.9</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$7,006</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Container vapor tightness certification</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D. Develop Record System</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lastRenderedPageBreak/>
              <w:t xml:space="preserve">            Develop startup, shutdown, malfunction plan</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equipment</w:t>
            </w:r>
            <w:r>
              <w:rPr>
                <w:rFonts w:ascii="Calibri" w:eastAsia="Times New Roman" w:hAnsi="Calibri" w:cs="Arial"/>
                <w:sz w:val="20"/>
                <w:szCs w:val="20"/>
                <w:vertAlign w:val="superscript"/>
                <w:lang w:eastAsia="en-US"/>
              </w:rPr>
              <w:t xml:space="preserve"> (e)</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Spinning Lines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Pressure relief devices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Leak detection and repair program</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44</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176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17.6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$11,312</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44</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44</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$2,828</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E. Record All Information Required by Standards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Initial requirements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equipment inspections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equipment monitoring </w:t>
            </w:r>
            <w:r>
              <w:rPr>
                <w:rFonts w:ascii="Calibri" w:eastAsia="Times New Roman" w:hAnsi="Calibri" w:cs="Arial"/>
                <w:sz w:val="20"/>
                <w:szCs w:val="20"/>
                <w:vertAlign w:val="superscript"/>
                <w:lang w:eastAsia="en-US"/>
              </w:rPr>
              <w:t>(k)</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$13,369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$3,342</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$6,684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$3,342</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device CMS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$3,085</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$771</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$1,543</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$771</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Pressure relief devices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lastRenderedPageBreak/>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Leak detection and repair program</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80</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$5,142</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$1,285</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$2,057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F. Time to Train Personnel</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Material determination methods</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Control equipment inspection and monitoring </w:t>
            </w:r>
            <w:r>
              <w:rPr>
                <w:rFonts w:ascii="Calibri" w:eastAsia="Times New Roman" w:hAnsi="Calibri" w:cs="Arial"/>
                <w:sz w:val="20"/>
                <w:szCs w:val="20"/>
                <w:vertAlign w:val="superscript"/>
                <w:lang w:eastAsia="en-US"/>
              </w:rPr>
              <w:t>(l)</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$2,057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1.6</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$1,028</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8</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0.8</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$514</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Leak detection and repair program</w:t>
            </w:r>
            <w:r>
              <w:rPr>
                <w:rFonts w:ascii="Calibri" w:eastAsia="Times New Roman" w:hAnsi="Calibri" w:cs="Arial"/>
                <w:sz w:val="20"/>
                <w:szCs w:val="20"/>
                <w:vertAlign w:val="superscript"/>
                <w:lang w:eastAsia="en-US"/>
              </w:rPr>
              <w:t xml:space="preserve"> (</w:t>
            </w:r>
            <w:proofErr w:type="spellStart"/>
            <w:r>
              <w:rPr>
                <w:rFonts w:ascii="Calibri" w:eastAsia="Times New Roman" w:hAnsi="Calibri" w:cs="Arial"/>
                <w:sz w:val="20"/>
                <w:szCs w:val="20"/>
                <w:vertAlign w:val="superscript"/>
                <w:lang w:eastAsia="en-US"/>
              </w:rPr>
              <w:t>h,l</w:t>
            </w:r>
            <w:proofErr w:type="spellEnd"/>
            <w:r>
              <w:rPr>
                <w:rFonts w:ascii="Calibri" w:eastAsia="Times New Roman" w:hAnsi="Calibri" w:cs="Arial"/>
                <w:sz w:val="20"/>
                <w:szCs w:val="20"/>
                <w:vertAlign w:val="superscript"/>
                <w:lang w:eastAsia="en-US"/>
              </w:rPr>
              <w:t>)</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Polycarbonates (PC)</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40</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$2,571</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Acrylic and Modacrylic Fibers (AMF)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0.5</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$643</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Acetal Resins (AR)</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0.4</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$257</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Hydrogen Fluoride (HF)</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0.2</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$129</w:t>
            </w:r>
          </w:p>
        </w:tc>
      </w:tr>
      <w:tr w:rsidR="00EE300C">
        <w:trPr>
          <w:trHeight w:val="274"/>
          <w:jc w:val="center"/>
        </w:trPr>
        <w:tc>
          <w:tcPr>
            <w:tcW w:w="5491" w:type="dxa"/>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Container leak tight method</w:t>
            </w:r>
          </w:p>
        </w:tc>
        <w:tc>
          <w:tcPr>
            <w:tcW w:w="1389"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N/A</w:t>
            </w:r>
          </w:p>
        </w:tc>
        <w:tc>
          <w:tcPr>
            <w:tcW w:w="1113"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right"/>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4"/>
          <w:jc w:val="center"/>
        </w:trPr>
        <w:tc>
          <w:tcPr>
            <w:tcW w:w="5491" w:type="dxa"/>
            <w:tcBorders>
              <w:top w:val="single" w:sz="4" w:space="0" w:color="auto"/>
              <w:left w:val="single" w:sz="4" w:space="0" w:color="auto"/>
              <w:bottom w:val="single" w:sz="4" w:space="0" w:color="auto"/>
              <w:right w:val="nil"/>
            </w:tcBorders>
            <w:shd w:val="clear" w:color="auto" w:fill="auto"/>
            <w:vAlign w:val="center"/>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RECORDKEEPING SUBTOTAL (Rounded)</w:t>
            </w:r>
          </w:p>
        </w:tc>
        <w:tc>
          <w:tcPr>
            <w:tcW w:w="1389"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25"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3,168</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right"/>
              <w:rPr>
                <w:rFonts w:ascii="Calibri" w:eastAsia="Times New Roman" w:hAnsi="Calibri" w:cs="Arial"/>
                <w:b/>
                <w:bCs/>
                <w:sz w:val="20"/>
                <w:szCs w:val="20"/>
                <w:lang w:eastAsia="en-US"/>
              </w:rPr>
            </w:pPr>
            <w:r>
              <w:rPr>
                <w:rFonts w:ascii="Calibri" w:eastAsia="Times New Roman" w:hAnsi="Calibri" w:cs="Arial"/>
                <w:b/>
                <w:bCs/>
                <w:sz w:val="20"/>
                <w:szCs w:val="20"/>
                <w:lang w:eastAsia="en-US"/>
              </w:rPr>
              <w:t>$184,594</w:t>
            </w:r>
          </w:p>
        </w:tc>
      </w:tr>
      <w:tr w:rsidR="00EE300C">
        <w:trPr>
          <w:trHeight w:val="274"/>
          <w:jc w:val="center"/>
        </w:trPr>
        <w:tc>
          <w:tcPr>
            <w:tcW w:w="5491" w:type="dxa"/>
            <w:tcBorders>
              <w:top w:val="single" w:sz="4" w:space="0" w:color="auto"/>
              <w:left w:val="single" w:sz="4" w:space="0" w:color="auto"/>
              <w:bottom w:val="single" w:sz="4" w:space="0" w:color="auto"/>
              <w:right w:val="nil"/>
            </w:tcBorders>
            <w:shd w:val="clear" w:color="auto" w:fill="auto"/>
            <w:noWrap/>
            <w:vAlign w:val="center"/>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TOTAL LABOR BURDEN AND COST (Rounded)</w:t>
            </w:r>
          </w:p>
        </w:tc>
        <w:tc>
          <w:tcPr>
            <w:tcW w:w="1389"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13"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91"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xml:space="preserve"> </w:t>
            </w:r>
          </w:p>
        </w:tc>
        <w:tc>
          <w:tcPr>
            <w:tcW w:w="1225" w:type="dxa"/>
            <w:tcBorders>
              <w:top w:val="single" w:sz="4" w:space="0" w:color="auto"/>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3,659</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right"/>
              <w:rPr>
                <w:rFonts w:ascii="Calibri" w:eastAsia="Times New Roman" w:hAnsi="Calibri" w:cs="Arial"/>
                <w:b/>
                <w:bCs/>
                <w:sz w:val="20"/>
                <w:szCs w:val="20"/>
                <w:lang w:eastAsia="en-US"/>
              </w:rPr>
            </w:pPr>
            <w:r>
              <w:rPr>
                <w:rFonts w:ascii="Calibri" w:eastAsia="Times New Roman" w:hAnsi="Calibri" w:cs="Arial"/>
                <w:b/>
                <w:bCs/>
                <w:sz w:val="20"/>
                <w:szCs w:val="20"/>
                <w:lang w:eastAsia="en-US"/>
              </w:rPr>
              <w:t>$213,445</w:t>
            </w:r>
          </w:p>
        </w:tc>
      </w:tr>
    </w:tbl>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N/A = Not Applicable.</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(a) Estimate of burden for each activity, technical hours only.</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(b) Estimate based on average facilities. </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 xml:space="preserve">(c) We have assumed that there are 8 existing sources (4 PC, 1 AMF, 2 AR, and 1 HF) and that no </w:t>
      </w:r>
      <w:r>
        <w:rPr>
          <w:rFonts w:ascii="Calibri" w:eastAsia="Times New Roman" w:hAnsi="Calibri" w:cs="Arial"/>
          <w:sz w:val="18"/>
          <w:szCs w:val="18"/>
          <w:lang w:eastAsia="en-US"/>
        </w:rPr>
        <w:t>additional new sources will become subject to the rule over the next three years.  We have also assumed that existing sources have already complied with this activity, except for facilities in the AMF and PC source categories subject to new requirements.</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w:t>
      </w:r>
      <w:r>
        <w:rPr>
          <w:rFonts w:ascii="Calibri" w:eastAsia="Times New Roman" w:hAnsi="Calibri" w:cs="Arial"/>
          <w:sz w:val="18"/>
          <w:szCs w:val="18"/>
          <w:lang w:eastAsia="en-US"/>
        </w:rPr>
        <w:t>d) Costs are rounded and based on the following hourly rates:  Technical at $54.66, Management at $115.96, and Clerical at $38.14 from May 2012 National Occupational Employment and Wage Estimates United States -   Occupations. Mean Hourly Rate (http://www.</w:t>
      </w:r>
      <w:r>
        <w:rPr>
          <w:rFonts w:ascii="Calibri" w:eastAsia="Times New Roman" w:hAnsi="Calibri" w:cs="Arial"/>
          <w:sz w:val="18"/>
          <w:szCs w:val="18"/>
          <w:lang w:eastAsia="en-US"/>
        </w:rPr>
        <w:t>bls.gov/oes/current/oes_nat.htm#51-0000).</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lastRenderedPageBreak/>
        <w:t>(e) We have assumed that there will be no new sources over the next three years of this ICR.  For PRDs located at PC and AMF, facilities are required to submit a Notification of Compliance Status within 150 days af</w:t>
      </w:r>
      <w:r>
        <w:rPr>
          <w:rFonts w:ascii="Calibri" w:eastAsia="Times New Roman" w:hAnsi="Calibri" w:cs="Arial"/>
          <w:sz w:val="18"/>
          <w:szCs w:val="18"/>
          <w:lang w:eastAsia="en-US"/>
        </w:rPr>
        <w:t>ter the first applicable compliance date for pressure relief device monitoring.</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(f) Initial notification requirements include: initial notifications, initial compliance determination, and initial performance tests.</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 xml:space="preserve">(g) The rules </w:t>
      </w:r>
      <w:proofErr w:type="gramStart"/>
      <w:r>
        <w:rPr>
          <w:rFonts w:ascii="Calibri" w:eastAsia="Times New Roman" w:hAnsi="Calibri" w:cs="Arial"/>
          <w:sz w:val="18"/>
          <w:szCs w:val="18"/>
          <w:lang w:eastAsia="en-US"/>
        </w:rPr>
        <w:t>requires</w:t>
      </w:r>
      <w:proofErr w:type="gramEnd"/>
      <w:r>
        <w:rPr>
          <w:rFonts w:ascii="Calibri" w:eastAsia="Times New Roman" w:hAnsi="Calibri" w:cs="Arial"/>
          <w:sz w:val="18"/>
          <w:szCs w:val="18"/>
          <w:lang w:eastAsia="en-US"/>
        </w:rPr>
        <w:t xml:space="preserve"> that all sources s</w:t>
      </w:r>
      <w:r>
        <w:rPr>
          <w:rFonts w:ascii="Calibri" w:eastAsia="Times New Roman" w:hAnsi="Calibri" w:cs="Arial"/>
          <w:sz w:val="18"/>
          <w:szCs w:val="18"/>
          <w:lang w:eastAsia="en-US"/>
        </w:rPr>
        <w:t>ubmit periodic reports (semiannually or according to the schedule for Title V).</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(h) The standards for equipment leak requires the submittal of an initial report and semiannual reports of leak detection and repair (LDAR) and any changes to the processes, mo</w:t>
      </w:r>
      <w:r>
        <w:rPr>
          <w:rFonts w:ascii="Calibri" w:eastAsia="Times New Roman" w:hAnsi="Calibri" w:cs="Arial"/>
          <w:sz w:val="18"/>
          <w:szCs w:val="18"/>
          <w:lang w:eastAsia="en-US"/>
        </w:rPr>
        <w:t>nitoring frequency and initiation of a quality improvement program.  We have assumed that sources are submitting the required LDAR information with the periodic reports</w:t>
      </w:r>
    </w:p>
    <w:p w:rsidR="00EE300C" w:rsidRDefault="00445D37">
      <w:pPr>
        <w:spacing w:line="276" w:lineRule="auto"/>
        <w:rPr>
          <w:rFonts w:ascii="Calibri" w:eastAsia="Times New Roman" w:hAnsi="Calibri" w:cs="Arial"/>
          <w:sz w:val="18"/>
          <w:szCs w:val="18"/>
          <w:lang w:eastAsia="en-US"/>
        </w:rPr>
      </w:pPr>
      <w:r>
        <w:rPr>
          <w:rFonts w:ascii="Calibri" w:eastAsia="Times New Roman" w:hAnsi="Calibri" w:cs="Arial"/>
          <w:sz w:val="18"/>
          <w:szCs w:val="18"/>
          <w:lang w:eastAsia="en-US"/>
        </w:rPr>
        <w:t>(</w:t>
      </w:r>
      <w:proofErr w:type="spellStart"/>
      <w:r>
        <w:rPr>
          <w:rFonts w:ascii="Calibri" w:eastAsia="Times New Roman" w:hAnsi="Calibri" w:cs="Arial"/>
          <w:sz w:val="18"/>
          <w:szCs w:val="18"/>
          <w:lang w:eastAsia="en-US"/>
        </w:rPr>
        <w:t>i</w:t>
      </w:r>
      <w:proofErr w:type="spellEnd"/>
      <w:r>
        <w:rPr>
          <w:rFonts w:ascii="Calibri" w:eastAsia="Times New Roman" w:hAnsi="Calibri" w:cs="Arial"/>
          <w:sz w:val="18"/>
          <w:szCs w:val="18"/>
          <w:lang w:eastAsia="en-US"/>
        </w:rPr>
        <w:t>) Assumes 3 affirmative defense reports for each industry during the 3-year ICR perio</w:t>
      </w:r>
      <w:r>
        <w:rPr>
          <w:rFonts w:ascii="Calibri" w:eastAsia="Times New Roman" w:hAnsi="Calibri" w:cs="Arial"/>
          <w:sz w:val="18"/>
          <w:szCs w:val="18"/>
          <w:lang w:eastAsia="en-US"/>
        </w:rPr>
        <w:t>d.  For affirmative defense, hours required assumes 18 hours technical, 12 hours management, and 0 hours clerical for each instance of affirmative defense.  Formulas not followed for person hours per year.</w:t>
      </w:r>
    </w:p>
    <w:p w:rsidR="00EE300C" w:rsidRDefault="00445D37">
      <w:pPr>
        <w:spacing w:line="276" w:lineRule="auto"/>
        <w:rPr>
          <w:b/>
          <w:bCs/>
        </w:rPr>
      </w:pPr>
      <w:r>
        <w:rPr>
          <w:rFonts w:ascii="Calibri" w:eastAsia="Times New Roman" w:hAnsi="Calibri" w:cs="Arial"/>
          <w:sz w:val="18"/>
          <w:szCs w:val="18"/>
          <w:lang w:eastAsia="en-US"/>
        </w:rPr>
        <w:t>(j) Visual inspections are required once per shift</w:t>
      </w:r>
      <w:r>
        <w:rPr>
          <w:rFonts w:ascii="Calibri" w:eastAsia="Times New Roman" w:hAnsi="Calibri" w:cs="Arial"/>
          <w:sz w:val="18"/>
          <w:szCs w:val="18"/>
          <w:lang w:eastAsia="en-US"/>
        </w:rPr>
        <w:t xml:space="preserve"> with a total of three shifts per day, at seven days per week, for 52 weeks per year. </w:t>
      </w:r>
      <w:proofErr w:type="gramStart"/>
      <w:r>
        <w:rPr>
          <w:rFonts w:ascii="Calibri" w:eastAsia="Times New Roman" w:hAnsi="Calibri" w:cs="Arial"/>
          <w:sz w:val="18"/>
          <w:szCs w:val="18"/>
          <w:lang w:eastAsia="en-US"/>
        </w:rPr>
        <w:t>(3x7x52) for a total of 1,092 inspections per year.</w:t>
      </w:r>
      <w:proofErr w:type="gramEnd"/>
      <w:r>
        <w:rPr>
          <w:rFonts w:ascii="Calibri" w:eastAsia="Times New Roman" w:hAnsi="Calibri" w:cs="Arial"/>
          <w:sz w:val="20"/>
          <w:szCs w:val="20"/>
          <w:lang w:eastAsia="en-US"/>
        </w:rPr>
        <w:t> </w:t>
      </w:r>
    </w:p>
    <w:p w:rsidR="00EE300C" w:rsidRDefault="00445D37">
      <w:pPr>
        <w:spacing w:line="276" w:lineRule="auto"/>
        <w:rPr>
          <w:b/>
          <w:bCs/>
        </w:rPr>
      </w:pPr>
      <w:r>
        <w:rPr>
          <w:rFonts w:ascii="Calibri" w:eastAsia="Times New Roman" w:hAnsi="Calibri" w:cs="Arial"/>
          <w:sz w:val="18"/>
          <w:szCs w:val="18"/>
          <w:lang w:eastAsia="en-US"/>
        </w:rPr>
        <w:t>(k) We have assumed that control equipment monitoring should be done on a weekly basis.</w:t>
      </w:r>
    </w:p>
    <w:p w:rsidR="00EE300C" w:rsidRDefault="00445D37">
      <w:pPr>
        <w:spacing w:line="276" w:lineRule="auto"/>
        <w:rPr>
          <w:b/>
          <w:bCs/>
        </w:rPr>
        <w:sectPr w:rsidR="00EE300C">
          <w:pgSz w:w="15840" w:h="12240" w:orient="landscape" w:code="1"/>
          <w:pgMar w:top="1440" w:right="1440" w:bottom="1440" w:left="1440" w:header="1008" w:footer="0" w:gutter="0"/>
          <w:cols w:space="720"/>
          <w:noEndnote/>
          <w:titlePg/>
          <w:docGrid w:linePitch="326"/>
        </w:sectPr>
      </w:pPr>
      <w:r>
        <w:rPr>
          <w:rFonts w:ascii="Calibri" w:eastAsia="Times New Roman" w:hAnsi="Calibri" w:cs="Arial"/>
          <w:sz w:val="18"/>
          <w:szCs w:val="18"/>
          <w:lang w:eastAsia="en-US"/>
        </w:rPr>
        <w:t>(l) We have</w:t>
      </w:r>
      <w:r>
        <w:rPr>
          <w:rFonts w:ascii="Calibri" w:eastAsia="Times New Roman" w:hAnsi="Calibri" w:cs="Arial"/>
          <w:sz w:val="18"/>
          <w:szCs w:val="18"/>
          <w:lang w:eastAsia="en-US"/>
        </w:rPr>
        <w:t xml:space="preserve"> assumed that there will be some labor hours associated with rule analysis and training per year.</w:t>
      </w:r>
      <w:r>
        <w:rPr>
          <w:rFonts w:ascii="Calibri" w:eastAsia="Times New Roman" w:hAnsi="Calibri" w:cs="Arial"/>
          <w:sz w:val="20"/>
          <w:szCs w:val="20"/>
          <w:lang w:eastAsia="en-US"/>
        </w:rPr>
        <w:t> </w:t>
      </w:r>
    </w:p>
    <w:p w:rsidR="00EE300C" w:rsidRDefault="00445D37">
      <w:pPr>
        <w:spacing w:line="276" w:lineRule="auto"/>
        <w:jc w:val="center"/>
        <w:rPr>
          <w:b/>
          <w:bCs/>
        </w:rPr>
      </w:pPr>
      <w:r>
        <w:rPr>
          <w:b/>
          <w:bCs/>
        </w:rPr>
        <w:lastRenderedPageBreak/>
        <w:t xml:space="preserve">Table 2:  Average Annual EPA Burden for the Proposed NESHAP for Source Categories: Generic Maximum Achievable Control Technology Standards (40 CFR </w:t>
      </w:r>
      <w:proofErr w:type="gramStart"/>
      <w:r>
        <w:rPr>
          <w:b/>
          <w:bCs/>
        </w:rPr>
        <w:t>Part</w:t>
      </w:r>
      <w:proofErr w:type="gramEnd"/>
      <w:r>
        <w:rPr>
          <w:b/>
          <w:bCs/>
        </w:rPr>
        <w:t xml:space="preserve"> 63, S</w:t>
      </w:r>
      <w:r>
        <w:rPr>
          <w:b/>
          <w:bCs/>
        </w:rPr>
        <w:t>ubpart YY)</w:t>
      </w:r>
    </w:p>
    <w:p w:rsidR="00EE300C" w:rsidRDefault="00EE300C">
      <w:pPr>
        <w:spacing w:line="276" w:lineRule="auto"/>
        <w:jc w:val="center"/>
        <w:rPr>
          <w:b/>
          <w:bCs/>
        </w:rPr>
      </w:pPr>
    </w:p>
    <w:tbl>
      <w:tblPr>
        <w:tblW w:w="5077" w:type="pct"/>
        <w:tblLayout w:type="fixed"/>
        <w:tblLook w:val="04A0"/>
      </w:tblPr>
      <w:tblGrid>
        <w:gridCol w:w="4231"/>
        <w:gridCol w:w="1290"/>
        <w:gridCol w:w="1282"/>
        <w:gridCol w:w="1284"/>
        <w:gridCol w:w="824"/>
        <w:gridCol w:w="1188"/>
        <w:gridCol w:w="1375"/>
        <w:gridCol w:w="998"/>
        <w:gridCol w:w="907"/>
      </w:tblGrid>
      <w:tr w:rsidR="00EE300C">
        <w:trPr>
          <w:trHeight w:val="276"/>
        </w:trPr>
        <w:tc>
          <w:tcPr>
            <w:tcW w:w="1581" w:type="pct"/>
            <w:tcBorders>
              <w:top w:val="single" w:sz="4" w:space="0" w:color="auto"/>
              <w:left w:val="single" w:sz="4" w:space="0" w:color="auto"/>
              <w:bottom w:val="single" w:sz="4" w:space="0" w:color="FFFFFF"/>
              <w:right w:val="nil"/>
            </w:tcBorders>
            <w:shd w:val="clear" w:color="auto" w:fill="auto"/>
            <w:noWrap/>
            <w:vAlign w:val="bottom"/>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82" w:type="pct"/>
            <w:vMerge w:val="restart"/>
            <w:tcBorders>
              <w:top w:val="single" w:sz="4" w:space="0" w:color="auto"/>
              <w:left w:val="single" w:sz="4" w:space="0" w:color="auto"/>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(A)</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EPA person-</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hours per</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occurrence</w:t>
            </w:r>
          </w:p>
        </w:tc>
        <w:tc>
          <w:tcPr>
            <w:tcW w:w="479" w:type="pct"/>
            <w:vMerge w:val="restart"/>
            <w:tcBorders>
              <w:top w:val="single" w:sz="4" w:space="0" w:color="auto"/>
              <w:left w:val="single" w:sz="4" w:space="0" w:color="auto"/>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(B)</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No. of</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occurrences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plant</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year</w:t>
            </w:r>
          </w:p>
        </w:tc>
        <w:tc>
          <w:tcPr>
            <w:tcW w:w="480" w:type="pct"/>
            <w:vMerge w:val="restart"/>
            <w:tcBorders>
              <w:top w:val="single" w:sz="4" w:space="0" w:color="auto"/>
              <w:left w:val="single" w:sz="4" w:space="0" w:color="auto"/>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(C)</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EPA person-</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hours per</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plant per</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year</w:t>
            </w:r>
          </w:p>
          <w:p w:rsidR="00EE300C" w:rsidRDefault="00445D37">
            <w:pPr>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(C=</w:t>
            </w:r>
            <w:proofErr w:type="spellStart"/>
            <w:r>
              <w:rPr>
                <w:rFonts w:ascii="Calibri" w:eastAsia="Times New Roman" w:hAnsi="Calibri" w:cs="Arial"/>
                <w:b/>
                <w:bCs/>
                <w:sz w:val="20"/>
                <w:szCs w:val="20"/>
                <w:lang w:eastAsia="en-US"/>
              </w:rPr>
              <w:t>AxB</w:t>
            </w:r>
            <w:proofErr w:type="spellEnd"/>
            <w:r>
              <w:rPr>
                <w:rFonts w:ascii="Calibri" w:eastAsia="Times New Roman" w:hAnsi="Calibri" w:cs="Arial"/>
                <w:b/>
                <w:bCs/>
                <w:sz w:val="20"/>
                <w:szCs w:val="20"/>
                <w:lang w:eastAsia="en-US"/>
              </w:rPr>
              <w:t>)</w:t>
            </w:r>
          </w:p>
        </w:tc>
        <w:tc>
          <w:tcPr>
            <w:tcW w:w="308" w:type="pct"/>
            <w:vMerge w:val="restart"/>
            <w:tcBorders>
              <w:top w:val="single" w:sz="4" w:space="0" w:color="auto"/>
              <w:left w:val="single" w:sz="4" w:space="0" w:color="auto"/>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(D)</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Plants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w:t>
            </w:r>
          </w:p>
          <w:p w:rsidR="00EE300C" w:rsidRDefault="00445D37">
            <w:pPr>
              <w:widowControl/>
              <w:autoSpaceDE/>
              <w:autoSpaceDN/>
              <w:adjustRightInd/>
              <w:jc w:val="center"/>
              <w:rPr>
                <w:rFonts w:ascii="Calibri" w:eastAsia="Times New Roman" w:hAnsi="Calibri" w:cs="Arial"/>
                <w:b/>
                <w:bCs/>
                <w:sz w:val="20"/>
                <w:szCs w:val="20"/>
                <w:lang w:eastAsia="en-US"/>
              </w:rPr>
            </w:pPr>
            <w:proofErr w:type="spellStart"/>
            <w:r>
              <w:rPr>
                <w:rFonts w:ascii="Calibri" w:eastAsia="Times New Roman" w:hAnsi="Calibri" w:cs="Arial"/>
                <w:b/>
                <w:bCs/>
                <w:sz w:val="20"/>
                <w:szCs w:val="20"/>
                <w:lang w:eastAsia="en-US"/>
              </w:rPr>
              <w:t>year</w:t>
            </w:r>
            <w:r>
              <w:rPr>
                <w:rFonts w:ascii="Calibri" w:eastAsia="Times New Roman" w:hAnsi="Calibri" w:cs="Arial"/>
                <w:b/>
                <w:bCs/>
                <w:sz w:val="20"/>
                <w:szCs w:val="20"/>
                <w:vertAlign w:val="superscript"/>
                <w:lang w:eastAsia="en-US"/>
              </w:rPr>
              <w:t>a</w:t>
            </w:r>
            <w:proofErr w:type="spellEnd"/>
          </w:p>
        </w:tc>
        <w:tc>
          <w:tcPr>
            <w:tcW w:w="444" w:type="pct"/>
            <w:vMerge w:val="restart"/>
            <w:tcBorders>
              <w:top w:val="single" w:sz="4" w:space="0" w:color="auto"/>
              <w:left w:val="single" w:sz="4" w:space="0" w:color="auto"/>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(E)</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Technical</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person-hours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year</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(E=</w:t>
            </w:r>
            <w:proofErr w:type="spellStart"/>
            <w:r>
              <w:rPr>
                <w:rFonts w:ascii="Calibri" w:eastAsia="Times New Roman" w:hAnsi="Calibri" w:cs="Arial"/>
                <w:b/>
                <w:bCs/>
                <w:sz w:val="20"/>
                <w:szCs w:val="20"/>
                <w:lang w:eastAsia="en-US"/>
              </w:rPr>
              <w:t>CxD</w:t>
            </w:r>
            <w:proofErr w:type="spellEnd"/>
            <w:r>
              <w:rPr>
                <w:rFonts w:ascii="Calibri" w:eastAsia="Times New Roman" w:hAnsi="Calibri" w:cs="Arial"/>
                <w:b/>
                <w:bCs/>
                <w:sz w:val="20"/>
                <w:szCs w:val="20"/>
                <w:lang w:eastAsia="en-US"/>
              </w:rPr>
              <w:t>)</w:t>
            </w:r>
          </w:p>
        </w:tc>
        <w:tc>
          <w:tcPr>
            <w:tcW w:w="514" w:type="pct"/>
            <w:vMerge w:val="restart"/>
            <w:tcBorders>
              <w:top w:val="single" w:sz="4" w:space="0" w:color="auto"/>
              <w:left w:val="single" w:sz="4" w:space="0" w:color="auto"/>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(F)</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Management</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person-hours</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 year</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(Ex0.05)</w:t>
            </w:r>
          </w:p>
        </w:tc>
        <w:tc>
          <w:tcPr>
            <w:tcW w:w="373" w:type="pct"/>
            <w:vMerge w:val="restart"/>
            <w:tcBorders>
              <w:top w:val="single" w:sz="4" w:space="0" w:color="auto"/>
              <w:left w:val="single" w:sz="4" w:space="0" w:color="auto"/>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(G)</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Clerical</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person-</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hours per</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year</w:t>
            </w:r>
          </w:p>
          <w:p w:rsidR="00EE300C" w:rsidRDefault="00445D37">
            <w:pPr>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(Ex0.1)</w:t>
            </w:r>
          </w:p>
        </w:tc>
        <w:tc>
          <w:tcPr>
            <w:tcW w:w="339" w:type="pct"/>
            <w:vMerge w:val="restart"/>
            <w:tcBorders>
              <w:top w:val="single" w:sz="4" w:space="0" w:color="auto"/>
              <w:left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(H)</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Agency</w:t>
            </w:r>
          </w:p>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Cost, $</w:t>
            </w:r>
            <w:r>
              <w:rPr>
                <w:rFonts w:ascii="Calibri" w:eastAsia="Times New Roman" w:hAnsi="Calibri" w:cs="Arial"/>
                <w:b/>
                <w:bCs/>
                <w:sz w:val="20"/>
                <w:szCs w:val="20"/>
                <w:vertAlign w:val="superscript"/>
                <w:lang w:eastAsia="en-US"/>
              </w:rPr>
              <w:t>b</w:t>
            </w:r>
          </w:p>
        </w:tc>
      </w:tr>
      <w:tr w:rsidR="00EE300C">
        <w:trPr>
          <w:trHeight w:val="276"/>
        </w:trPr>
        <w:tc>
          <w:tcPr>
            <w:tcW w:w="1581" w:type="pct"/>
            <w:tcBorders>
              <w:top w:val="nil"/>
              <w:left w:val="single" w:sz="4" w:space="0" w:color="auto"/>
              <w:bottom w:val="single" w:sz="4" w:space="0" w:color="FFFFFF"/>
              <w:right w:val="nil"/>
            </w:tcBorders>
            <w:shd w:val="clear" w:color="auto" w:fill="auto"/>
            <w:noWrap/>
            <w:vAlign w:val="bottom"/>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82" w:type="pct"/>
            <w:vMerge/>
            <w:tcBorders>
              <w:left w:val="single" w:sz="4" w:space="0" w:color="auto"/>
              <w:right w:val="nil"/>
            </w:tcBorders>
            <w:shd w:val="clear" w:color="auto" w:fill="auto"/>
            <w:noWrap/>
            <w:vAlign w:val="bottom"/>
            <w:hideMark/>
          </w:tcPr>
          <w:p w:rsidR="00EE300C" w:rsidRDefault="00EE300C">
            <w:pPr>
              <w:rPr>
                <w:rFonts w:ascii="Calibri" w:eastAsia="Times New Roman" w:hAnsi="Calibri" w:cs="Arial"/>
                <w:b/>
                <w:bCs/>
                <w:sz w:val="20"/>
                <w:szCs w:val="20"/>
                <w:lang w:eastAsia="en-US"/>
              </w:rPr>
            </w:pPr>
          </w:p>
        </w:tc>
        <w:tc>
          <w:tcPr>
            <w:tcW w:w="479"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80"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08"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4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51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73"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39" w:type="pct"/>
            <w:vMerge/>
            <w:tcBorders>
              <w:left w:val="single" w:sz="4" w:space="0" w:color="auto"/>
              <w:right w:val="single" w:sz="4" w:space="0" w:color="auto"/>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r>
      <w:tr w:rsidR="00EE300C">
        <w:trPr>
          <w:trHeight w:val="276"/>
        </w:trPr>
        <w:tc>
          <w:tcPr>
            <w:tcW w:w="1581" w:type="pct"/>
            <w:tcBorders>
              <w:top w:val="nil"/>
              <w:left w:val="single" w:sz="4" w:space="0" w:color="auto"/>
              <w:bottom w:val="single" w:sz="4" w:space="0" w:color="FFFFFF"/>
              <w:right w:val="nil"/>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Burden Item</w:t>
            </w:r>
          </w:p>
        </w:tc>
        <w:tc>
          <w:tcPr>
            <w:tcW w:w="482" w:type="pct"/>
            <w:vMerge/>
            <w:tcBorders>
              <w:left w:val="single" w:sz="4" w:space="0" w:color="auto"/>
              <w:right w:val="nil"/>
            </w:tcBorders>
            <w:shd w:val="clear" w:color="auto" w:fill="auto"/>
            <w:noWrap/>
            <w:vAlign w:val="bottom"/>
            <w:hideMark/>
          </w:tcPr>
          <w:p w:rsidR="00EE300C" w:rsidRDefault="00EE300C">
            <w:pPr>
              <w:rPr>
                <w:rFonts w:ascii="Calibri" w:eastAsia="Times New Roman" w:hAnsi="Calibri" w:cs="Arial"/>
                <w:b/>
                <w:bCs/>
                <w:sz w:val="20"/>
                <w:szCs w:val="20"/>
                <w:lang w:eastAsia="en-US"/>
              </w:rPr>
            </w:pPr>
          </w:p>
        </w:tc>
        <w:tc>
          <w:tcPr>
            <w:tcW w:w="479"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80"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08"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4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51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73"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39" w:type="pct"/>
            <w:vMerge/>
            <w:tcBorders>
              <w:left w:val="single" w:sz="4" w:space="0" w:color="auto"/>
              <w:right w:val="single" w:sz="4" w:space="0" w:color="auto"/>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r>
      <w:tr w:rsidR="00EE300C">
        <w:trPr>
          <w:trHeight w:val="276"/>
        </w:trPr>
        <w:tc>
          <w:tcPr>
            <w:tcW w:w="1581" w:type="pct"/>
            <w:tcBorders>
              <w:top w:val="nil"/>
              <w:left w:val="single" w:sz="4" w:space="0" w:color="auto"/>
              <w:bottom w:val="single" w:sz="4" w:space="0" w:color="FFFFFF"/>
              <w:right w:val="nil"/>
            </w:tcBorders>
            <w:shd w:val="clear" w:color="auto" w:fill="auto"/>
            <w:noWrap/>
            <w:vAlign w:val="bottom"/>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82" w:type="pct"/>
            <w:vMerge/>
            <w:tcBorders>
              <w:left w:val="single" w:sz="4" w:space="0" w:color="auto"/>
              <w:right w:val="nil"/>
            </w:tcBorders>
            <w:shd w:val="clear" w:color="auto" w:fill="auto"/>
            <w:noWrap/>
            <w:vAlign w:val="bottom"/>
            <w:hideMark/>
          </w:tcPr>
          <w:p w:rsidR="00EE300C" w:rsidRDefault="00EE300C">
            <w:pPr>
              <w:rPr>
                <w:rFonts w:ascii="Calibri" w:eastAsia="Times New Roman" w:hAnsi="Calibri" w:cs="Arial"/>
                <w:b/>
                <w:bCs/>
                <w:sz w:val="20"/>
                <w:szCs w:val="20"/>
                <w:lang w:eastAsia="en-US"/>
              </w:rPr>
            </w:pPr>
          </w:p>
        </w:tc>
        <w:tc>
          <w:tcPr>
            <w:tcW w:w="479"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80"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08"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4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51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73"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39" w:type="pct"/>
            <w:vMerge/>
            <w:tcBorders>
              <w:left w:val="single" w:sz="4" w:space="0" w:color="auto"/>
              <w:right w:val="single" w:sz="4" w:space="0" w:color="auto"/>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r>
      <w:tr w:rsidR="00EE300C">
        <w:trPr>
          <w:trHeight w:val="276"/>
        </w:trPr>
        <w:tc>
          <w:tcPr>
            <w:tcW w:w="1581" w:type="pct"/>
            <w:tcBorders>
              <w:top w:val="nil"/>
              <w:left w:val="single" w:sz="4" w:space="0" w:color="auto"/>
              <w:bottom w:val="nil"/>
              <w:right w:val="nil"/>
            </w:tcBorders>
            <w:shd w:val="clear" w:color="auto" w:fill="auto"/>
            <w:noWrap/>
            <w:vAlign w:val="bottom"/>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82" w:type="pct"/>
            <w:vMerge/>
            <w:tcBorders>
              <w:left w:val="single" w:sz="4" w:space="0" w:color="auto"/>
              <w:right w:val="nil"/>
            </w:tcBorders>
            <w:shd w:val="clear" w:color="auto" w:fill="auto"/>
            <w:noWrap/>
            <w:vAlign w:val="bottom"/>
            <w:hideMark/>
          </w:tcPr>
          <w:p w:rsidR="00EE300C" w:rsidRDefault="00EE300C">
            <w:pPr>
              <w:rPr>
                <w:rFonts w:ascii="Calibri" w:eastAsia="Times New Roman" w:hAnsi="Calibri" w:cs="Arial"/>
                <w:b/>
                <w:bCs/>
                <w:sz w:val="20"/>
                <w:szCs w:val="20"/>
                <w:lang w:eastAsia="en-US"/>
              </w:rPr>
            </w:pPr>
          </w:p>
        </w:tc>
        <w:tc>
          <w:tcPr>
            <w:tcW w:w="479"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80"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08"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44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514"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73" w:type="pct"/>
            <w:vMerge/>
            <w:tcBorders>
              <w:left w:val="single" w:sz="4" w:space="0" w:color="auto"/>
              <w:right w:val="nil"/>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c>
          <w:tcPr>
            <w:tcW w:w="339" w:type="pct"/>
            <w:vMerge/>
            <w:tcBorders>
              <w:left w:val="single" w:sz="4" w:space="0" w:color="auto"/>
              <w:right w:val="single" w:sz="4" w:space="0" w:color="auto"/>
            </w:tcBorders>
            <w:shd w:val="clear" w:color="auto" w:fill="auto"/>
            <w:noWrap/>
            <w:vAlign w:val="bottom"/>
            <w:hideMark/>
          </w:tcPr>
          <w:p w:rsidR="00EE300C" w:rsidRDefault="00EE300C">
            <w:pPr>
              <w:jc w:val="center"/>
              <w:rPr>
                <w:rFonts w:ascii="Calibri" w:eastAsia="Times New Roman" w:hAnsi="Calibri" w:cs="Arial"/>
                <w:b/>
                <w:bCs/>
                <w:sz w:val="20"/>
                <w:szCs w:val="20"/>
                <w:lang w:eastAsia="en-US"/>
              </w:rPr>
            </w:pP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82"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rPr>
                <w:rFonts w:ascii="Calibri" w:eastAsia="Times New Roman" w:hAnsi="Calibri" w:cs="Arial"/>
                <w:b/>
                <w:bCs/>
                <w:sz w:val="20"/>
                <w:szCs w:val="20"/>
                <w:lang w:eastAsia="en-US"/>
              </w:rPr>
            </w:pPr>
          </w:p>
        </w:tc>
        <w:tc>
          <w:tcPr>
            <w:tcW w:w="479"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b/>
                <w:bCs/>
                <w:sz w:val="20"/>
                <w:szCs w:val="20"/>
                <w:lang w:eastAsia="en-US"/>
              </w:rPr>
            </w:pPr>
          </w:p>
        </w:tc>
        <w:tc>
          <w:tcPr>
            <w:tcW w:w="480"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b/>
                <w:bCs/>
                <w:sz w:val="20"/>
                <w:szCs w:val="20"/>
                <w:lang w:eastAsia="en-US"/>
              </w:rPr>
            </w:pPr>
          </w:p>
        </w:tc>
        <w:tc>
          <w:tcPr>
            <w:tcW w:w="308"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b/>
                <w:bCs/>
                <w:sz w:val="20"/>
                <w:szCs w:val="20"/>
                <w:lang w:eastAsia="en-US"/>
              </w:rPr>
            </w:pPr>
          </w:p>
        </w:tc>
        <w:tc>
          <w:tcPr>
            <w:tcW w:w="444"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b/>
                <w:bCs/>
                <w:sz w:val="20"/>
                <w:szCs w:val="20"/>
                <w:lang w:eastAsia="en-US"/>
              </w:rPr>
            </w:pPr>
          </w:p>
        </w:tc>
        <w:tc>
          <w:tcPr>
            <w:tcW w:w="514"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b/>
                <w:bCs/>
                <w:sz w:val="20"/>
                <w:szCs w:val="20"/>
                <w:lang w:eastAsia="en-US"/>
              </w:rPr>
            </w:pPr>
          </w:p>
        </w:tc>
        <w:tc>
          <w:tcPr>
            <w:tcW w:w="373"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b/>
                <w:bCs/>
                <w:sz w:val="20"/>
                <w:szCs w:val="20"/>
                <w:lang w:eastAsia="en-US"/>
              </w:rPr>
            </w:pPr>
          </w:p>
        </w:tc>
        <w:tc>
          <w:tcPr>
            <w:tcW w:w="339" w:type="pct"/>
            <w:vMerge/>
            <w:tcBorders>
              <w:left w:val="single" w:sz="4" w:space="0" w:color="auto"/>
              <w:bottom w:val="single" w:sz="4" w:space="0" w:color="auto"/>
              <w:right w:val="single" w:sz="4" w:space="0" w:color="auto"/>
            </w:tcBorders>
            <w:shd w:val="clear" w:color="auto" w:fill="auto"/>
            <w:noWrap/>
            <w:vAlign w:val="bottom"/>
            <w:hideMark/>
          </w:tcPr>
          <w:p w:rsidR="00EE300C" w:rsidRDefault="00EE300C">
            <w:pPr>
              <w:widowControl/>
              <w:autoSpaceDE/>
              <w:autoSpaceDN/>
              <w:adjustRightInd/>
              <w:jc w:val="center"/>
              <w:rPr>
                <w:rFonts w:ascii="Calibri" w:eastAsia="Times New Roman" w:hAnsi="Calibri" w:cs="Arial"/>
                <w:b/>
                <w:bCs/>
                <w:sz w:val="20"/>
                <w:szCs w:val="20"/>
                <w:lang w:eastAsia="en-US"/>
              </w:rPr>
            </w:pP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REPORT REVIEW</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Initial Requirements</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Initial notification (c)</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b. Performance test (c)(d)</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c. Compliance status (c)</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20</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$1,036</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d. Performance test reports (c)(d)</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4</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Periodic Requirements</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 </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 Periodic reports</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6</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30</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1.5</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$1,555</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b. Leak detection and repair reports</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6</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5</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30</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1.5</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3</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$1,555</w:t>
            </w:r>
          </w:p>
        </w:tc>
      </w:tr>
      <w:tr w:rsidR="00EE300C">
        <w:trPr>
          <w:trHeight w:val="276"/>
        </w:trPr>
        <w:tc>
          <w:tcPr>
            <w:tcW w:w="1581" w:type="pct"/>
            <w:tcBorders>
              <w:top w:val="nil"/>
              <w:left w:val="single" w:sz="4" w:space="0" w:color="auto"/>
              <w:bottom w:val="single" w:sz="4" w:space="0" w:color="auto"/>
              <w:right w:val="single" w:sz="4" w:space="0" w:color="auto"/>
            </w:tcBorders>
            <w:shd w:val="clear" w:color="auto" w:fill="auto"/>
            <w:noWrap/>
            <w:vAlign w:val="bottom"/>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     Affirmative defense (e)</w:t>
            </w:r>
          </w:p>
        </w:tc>
        <w:tc>
          <w:tcPr>
            <w:tcW w:w="482"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47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0.7</w:t>
            </w:r>
          </w:p>
        </w:tc>
        <w:tc>
          <w:tcPr>
            <w:tcW w:w="480"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1.4</w:t>
            </w:r>
          </w:p>
        </w:tc>
        <w:tc>
          <w:tcPr>
            <w:tcW w:w="308"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w:t>
            </w:r>
          </w:p>
        </w:tc>
        <w:tc>
          <w:tcPr>
            <w:tcW w:w="44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2.8</w:t>
            </w:r>
          </w:p>
        </w:tc>
        <w:tc>
          <w:tcPr>
            <w:tcW w:w="514"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0.1</w:t>
            </w:r>
          </w:p>
        </w:tc>
        <w:tc>
          <w:tcPr>
            <w:tcW w:w="373"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0.3</w:t>
            </w:r>
          </w:p>
        </w:tc>
        <w:tc>
          <w:tcPr>
            <w:tcW w:w="339" w:type="pct"/>
            <w:tcBorders>
              <w:top w:val="nil"/>
              <w:left w:val="nil"/>
              <w:bottom w:val="single" w:sz="4" w:space="0" w:color="auto"/>
              <w:right w:val="single" w:sz="4" w:space="0" w:color="auto"/>
            </w:tcBorders>
            <w:shd w:val="clear" w:color="auto" w:fill="auto"/>
            <w:noWrap/>
            <w:vAlign w:val="bottom"/>
            <w:hideMark/>
          </w:tcPr>
          <w:p w:rsidR="00EE300C" w:rsidRDefault="00445D37">
            <w:pPr>
              <w:widowControl/>
              <w:autoSpaceDE/>
              <w:autoSpaceDN/>
              <w:adjustRightInd/>
              <w:jc w:val="center"/>
              <w:rPr>
                <w:rFonts w:ascii="Calibri" w:eastAsia="Times New Roman" w:hAnsi="Calibri" w:cs="Arial"/>
                <w:sz w:val="20"/>
                <w:szCs w:val="20"/>
                <w:lang w:eastAsia="en-US"/>
              </w:rPr>
            </w:pPr>
            <w:r>
              <w:rPr>
                <w:rFonts w:ascii="Calibri" w:eastAsia="Times New Roman" w:hAnsi="Calibri" w:cs="Arial"/>
                <w:sz w:val="20"/>
                <w:szCs w:val="20"/>
                <w:lang w:eastAsia="en-US"/>
              </w:rPr>
              <w:t>$145</w:t>
            </w:r>
          </w:p>
        </w:tc>
      </w:tr>
      <w:tr w:rsidR="00EE300C">
        <w:trPr>
          <w:trHeight w:val="498"/>
        </w:trPr>
        <w:tc>
          <w:tcPr>
            <w:tcW w:w="1581" w:type="pct"/>
            <w:tcBorders>
              <w:top w:val="nil"/>
              <w:left w:val="single" w:sz="4" w:space="0" w:color="auto"/>
              <w:bottom w:val="single" w:sz="4" w:space="0" w:color="auto"/>
              <w:right w:val="nil"/>
            </w:tcBorders>
            <w:shd w:val="clear" w:color="auto" w:fill="auto"/>
            <w:noWrap/>
            <w:vAlign w:val="center"/>
            <w:hideMark/>
          </w:tcPr>
          <w:p w:rsidR="00EE300C" w:rsidRDefault="00445D37">
            <w:pPr>
              <w:widowControl/>
              <w:autoSpaceDE/>
              <w:autoSpaceDN/>
              <w:adjustRightInd/>
              <w:rPr>
                <w:rFonts w:ascii="Calibri" w:eastAsia="Times New Roman" w:hAnsi="Calibri" w:cs="Arial"/>
                <w:b/>
                <w:bCs/>
                <w:sz w:val="20"/>
                <w:szCs w:val="20"/>
                <w:lang w:eastAsia="en-US"/>
              </w:rPr>
            </w:pPr>
            <w:r>
              <w:rPr>
                <w:rFonts w:ascii="Calibri" w:eastAsia="Times New Roman" w:hAnsi="Calibri" w:cs="Arial"/>
                <w:b/>
                <w:bCs/>
                <w:sz w:val="20"/>
                <w:szCs w:val="20"/>
                <w:lang w:eastAsia="en-US"/>
              </w:rPr>
              <w:t>TOTAL ANNUAL EPA BURDEN AND COST (Rounded)</w:t>
            </w:r>
          </w:p>
        </w:tc>
        <w:tc>
          <w:tcPr>
            <w:tcW w:w="482" w:type="pct"/>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79" w:type="pct"/>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80" w:type="pct"/>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308" w:type="pct"/>
            <w:tcBorders>
              <w:top w:val="nil"/>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444" w:type="pct"/>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514" w:type="pct"/>
            <w:tcBorders>
              <w:top w:val="nil"/>
              <w:left w:val="nil"/>
              <w:bottom w:val="single" w:sz="4" w:space="0" w:color="auto"/>
              <w:right w:val="nil"/>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95</w:t>
            </w:r>
          </w:p>
        </w:tc>
        <w:tc>
          <w:tcPr>
            <w:tcW w:w="373" w:type="pct"/>
            <w:tcBorders>
              <w:top w:val="nil"/>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339" w:type="pct"/>
            <w:tcBorders>
              <w:top w:val="nil"/>
              <w:left w:val="nil"/>
              <w:bottom w:val="single" w:sz="4" w:space="0" w:color="auto"/>
              <w:right w:val="single" w:sz="4" w:space="0" w:color="auto"/>
            </w:tcBorders>
            <w:shd w:val="clear" w:color="auto" w:fill="auto"/>
            <w:noWrap/>
            <w:vAlign w:val="center"/>
            <w:hideMark/>
          </w:tcPr>
          <w:p w:rsidR="00EE300C" w:rsidRDefault="00445D37">
            <w:pPr>
              <w:widowControl/>
              <w:autoSpaceDE/>
              <w:autoSpaceDN/>
              <w:adjustRightInd/>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$4,291</w:t>
            </w:r>
          </w:p>
        </w:tc>
      </w:tr>
      <w:tr w:rsidR="00EE300C">
        <w:trPr>
          <w:trHeight w:val="795"/>
        </w:trPr>
        <w:tc>
          <w:tcPr>
            <w:tcW w:w="5000" w:type="pct"/>
            <w:gridSpan w:val="9"/>
            <w:tcBorders>
              <w:top w:val="nil"/>
              <w:left w:val="nil"/>
              <w:bottom w:val="nil"/>
              <w:right w:val="nil"/>
            </w:tcBorders>
            <w:shd w:val="clear" w:color="auto" w:fill="auto"/>
            <w:hideMark/>
          </w:tcPr>
          <w:p w:rsidR="00EE300C" w:rsidRDefault="00445D37">
            <w:pPr>
              <w:widowControl/>
              <w:autoSpaceDE/>
              <w:autoSpaceDN/>
              <w:adjustRightInd/>
              <w:rPr>
                <w:rFonts w:ascii="Calibri" w:hAnsi="Calibri" w:cs="Arial"/>
                <w:sz w:val="20"/>
                <w:szCs w:val="20"/>
              </w:rPr>
            </w:pPr>
            <w:r>
              <w:rPr>
                <w:rFonts w:ascii="Calibri" w:hAnsi="Calibri" w:cs="Arial"/>
                <w:sz w:val="20"/>
                <w:szCs w:val="20"/>
              </w:rPr>
              <w:t xml:space="preserve">(a) We have assumed that there are 8 existing sources (4 PC, 1 AMF, 2 AR, and 1 HF) and that no additional new sources will become subject to the rule over the next three years. </w:t>
            </w:r>
          </w:p>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(b) Agency labor rates are from the Office of Personnel Management (OP</w:t>
            </w:r>
            <w:r>
              <w:rPr>
                <w:rFonts w:ascii="Calibri" w:eastAsia="Times New Roman" w:hAnsi="Calibri" w:cs="Arial"/>
                <w:sz w:val="20"/>
                <w:szCs w:val="20"/>
                <w:lang w:eastAsia="en-US"/>
              </w:rPr>
              <w:t>M) 2013 General Schedule which excludes locality rates of pay. Salary Table 2013-GS. Labor rates are inflated to reflect average locality pay increase from base rates. Available at http://www.opm.gov/policy-data-oversight/pay-leave/salaries-wages/2013/gene</w:t>
            </w:r>
            <w:r>
              <w:rPr>
                <w:rFonts w:ascii="Calibri" w:eastAsia="Times New Roman" w:hAnsi="Calibri" w:cs="Arial"/>
                <w:sz w:val="20"/>
                <w:szCs w:val="20"/>
                <w:lang w:eastAsia="en-US"/>
              </w:rPr>
              <w:t>ral-schedule/2013-gs-hourlyovertime-rates-by-grade-and-step/</w:t>
            </w:r>
          </w:p>
        </w:tc>
      </w:tr>
      <w:tr w:rsidR="00EE300C">
        <w:trPr>
          <w:trHeight w:val="276"/>
        </w:trPr>
        <w:tc>
          <w:tcPr>
            <w:tcW w:w="4288" w:type="pct"/>
            <w:gridSpan w:val="7"/>
            <w:tcBorders>
              <w:top w:val="nil"/>
              <w:left w:val="nil"/>
              <w:bottom w:val="nil"/>
              <w:right w:val="nil"/>
            </w:tcBorders>
            <w:shd w:val="clear" w:color="auto" w:fill="auto"/>
            <w:noWrap/>
            <w:vAlign w:val="bottom"/>
            <w:hideMark/>
          </w:tcPr>
          <w:p w:rsidR="00EE300C" w:rsidRDefault="00445D37">
            <w:pPr>
              <w:widowControl/>
              <w:autoSpaceDE/>
              <w:autoSpaceDN/>
              <w:adjustRightInd/>
              <w:rPr>
                <w:rFonts w:ascii="Calibri" w:hAnsi="Calibri" w:cs="Arial"/>
                <w:sz w:val="20"/>
                <w:szCs w:val="20"/>
                <w:lang w:eastAsia="en-US"/>
              </w:rPr>
            </w:pPr>
            <w:r>
              <w:rPr>
                <w:rFonts w:ascii="Calibri" w:hAnsi="Calibri" w:cs="Arial"/>
                <w:sz w:val="20"/>
                <w:szCs w:val="20"/>
                <w:lang w:eastAsia="en-US"/>
              </w:rPr>
              <w:t>(c) We have assumed there will be no new sources over the next three years of this ICR. We have also assumed that existing sources have already complied with this activity, except for facilities</w:t>
            </w:r>
            <w:r>
              <w:rPr>
                <w:rFonts w:ascii="Calibri" w:hAnsi="Calibri" w:cs="Arial"/>
                <w:sz w:val="20"/>
                <w:szCs w:val="20"/>
                <w:lang w:eastAsia="en-US"/>
              </w:rPr>
              <w:t xml:space="preserve"> in the AMF and PC source categories subject to new requirements. </w:t>
            </w:r>
          </w:p>
        </w:tc>
        <w:tc>
          <w:tcPr>
            <w:tcW w:w="373" w:type="pct"/>
            <w:tcBorders>
              <w:top w:val="nil"/>
              <w:left w:val="nil"/>
              <w:bottom w:val="nil"/>
              <w:right w:val="nil"/>
            </w:tcBorders>
            <w:shd w:val="clear" w:color="auto" w:fill="auto"/>
            <w:noWrap/>
            <w:vAlign w:val="bottom"/>
            <w:hideMark/>
          </w:tcPr>
          <w:p w:rsidR="00EE300C" w:rsidRDefault="00EE300C">
            <w:pPr>
              <w:widowControl/>
              <w:autoSpaceDE/>
              <w:autoSpaceDN/>
              <w:adjustRightInd/>
              <w:rPr>
                <w:rFonts w:ascii="Calibri" w:eastAsia="Times New Roman" w:hAnsi="Calibri" w:cs="Arial"/>
                <w:sz w:val="20"/>
                <w:szCs w:val="20"/>
                <w:lang w:eastAsia="en-US"/>
              </w:rPr>
            </w:pPr>
          </w:p>
        </w:tc>
        <w:tc>
          <w:tcPr>
            <w:tcW w:w="339" w:type="pct"/>
            <w:tcBorders>
              <w:top w:val="nil"/>
              <w:left w:val="nil"/>
              <w:bottom w:val="nil"/>
              <w:right w:val="nil"/>
            </w:tcBorders>
            <w:shd w:val="clear" w:color="auto" w:fill="auto"/>
            <w:noWrap/>
            <w:vAlign w:val="bottom"/>
            <w:hideMark/>
          </w:tcPr>
          <w:p w:rsidR="00EE300C" w:rsidRDefault="00EE300C">
            <w:pPr>
              <w:widowControl/>
              <w:autoSpaceDE/>
              <w:autoSpaceDN/>
              <w:adjustRightInd/>
              <w:rPr>
                <w:rFonts w:eastAsia="Times New Roman"/>
                <w:sz w:val="20"/>
                <w:szCs w:val="20"/>
                <w:lang w:eastAsia="en-US"/>
              </w:rPr>
            </w:pPr>
          </w:p>
        </w:tc>
      </w:tr>
      <w:tr w:rsidR="00EE300C">
        <w:trPr>
          <w:trHeight w:val="255"/>
        </w:trPr>
        <w:tc>
          <w:tcPr>
            <w:tcW w:w="4661" w:type="pct"/>
            <w:gridSpan w:val="8"/>
            <w:vMerge w:val="restart"/>
            <w:tcBorders>
              <w:top w:val="nil"/>
              <w:left w:val="nil"/>
              <w:bottom w:val="nil"/>
              <w:right w:val="nil"/>
            </w:tcBorders>
            <w:shd w:val="clear" w:color="auto" w:fill="auto"/>
            <w:hideMark/>
          </w:tcPr>
          <w:p w:rsidR="00EE300C" w:rsidRDefault="00445D37">
            <w:pPr>
              <w:widowControl/>
              <w:autoSpaceDE/>
              <w:autoSpaceDN/>
              <w:adjustRightInd/>
              <w:rPr>
                <w:rFonts w:ascii="Calibri" w:eastAsia="Times New Roman" w:hAnsi="Calibri" w:cs="Arial"/>
                <w:sz w:val="20"/>
                <w:szCs w:val="20"/>
                <w:lang w:eastAsia="en-US"/>
              </w:rPr>
            </w:pPr>
            <w:r>
              <w:rPr>
                <w:rFonts w:ascii="Calibri" w:eastAsia="Times New Roman" w:hAnsi="Calibri" w:cs="Arial"/>
                <w:sz w:val="20"/>
                <w:szCs w:val="20"/>
                <w:lang w:eastAsia="en-US"/>
              </w:rPr>
              <w:t xml:space="preserve">(d) We have assumed that the Agency will not have additional burden from sources conducting performance tests due to a process change that may or may not result in the source meeting </w:t>
            </w:r>
            <w:r>
              <w:rPr>
                <w:rFonts w:ascii="Calibri" w:eastAsia="Times New Roman" w:hAnsi="Calibri" w:cs="Arial"/>
                <w:sz w:val="20"/>
                <w:szCs w:val="20"/>
                <w:lang w:eastAsia="en-US"/>
              </w:rPr>
              <w:t>additional requirements.</w:t>
            </w:r>
          </w:p>
        </w:tc>
        <w:tc>
          <w:tcPr>
            <w:tcW w:w="339" w:type="pct"/>
            <w:tcBorders>
              <w:top w:val="nil"/>
              <w:left w:val="nil"/>
              <w:bottom w:val="nil"/>
              <w:right w:val="nil"/>
            </w:tcBorders>
            <w:shd w:val="clear" w:color="auto" w:fill="auto"/>
            <w:noWrap/>
            <w:vAlign w:val="bottom"/>
            <w:hideMark/>
          </w:tcPr>
          <w:p w:rsidR="00EE300C" w:rsidRDefault="00EE300C">
            <w:pPr>
              <w:widowControl/>
              <w:autoSpaceDE/>
              <w:autoSpaceDN/>
              <w:adjustRightInd/>
              <w:rPr>
                <w:rFonts w:ascii="Calibri" w:eastAsia="Times New Roman" w:hAnsi="Calibri" w:cs="Arial"/>
                <w:sz w:val="20"/>
                <w:szCs w:val="20"/>
                <w:lang w:eastAsia="en-US"/>
              </w:rPr>
            </w:pPr>
          </w:p>
        </w:tc>
      </w:tr>
      <w:tr w:rsidR="00EE300C">
        <w:trPr>
          <w:trHeight w:val="276"/>
        </w:trPr>
        <w:tc>
          <w:tcPr>
            <w:tcW w:w="4661" w:type="pct"/>
            <w:gridSpan w:val="8"/>
            <w:vMerge/>
            <w:tcBorders>
              <w:top w:val="nil"/>
              <w:left w:val="nil"/>
              <w:bottom w:val="nil"/>
              <w:right w:val="nil"/>
            </w:tcBorders>
            <w:vAlign w:val="center"/>
            <w:hideMark/>
          </w:tcPr>
          <w:p w:rsidR="00EE300C" w:rsidRDefault="00EE300C">
            <w:pPr>
              <w:widowControl/>
              <w:autoSpaceDE/>
              <w:autoSpaceDN/>
              <w:adjustRightInd/>
              <w:rPr>
                <w:rFonts w:ascii="Calibri" w:eastAsia="Times New Roman" w:hAnsi="Calibri" w:cs="Arial"/>
                <w:sz w:val="20"/>
                <w:szCs w:val="20"/>
                <w:lang w:eastAsia="en-US"/>
              </w:rPr>
            </w:pPr>
          </w:p>
        </w:tc>
        <w:tc>
          <w:tcPr>
            <w:tcW w:w="339" w:type="pct"/>
            <w:tcBorders>
              <w:top w:val="nil"/>
              <w:left w:val="nil"/>
              <w:bottom w:val="nil"/>
              <w:right w:val="nil"/>
            </w:tcBorders>
            <w:shd w:val="clear" w:color="auto" w:fill="auto"/>
            <w:noWrap/>
            <w:vAlign w:val="bottom"/>
            <w:hideMark/>
          </w:tcPr>
          <w:p w:rsidR="00EE300C" w:rsidRDefault="00EE300C">
            <w:pPr>
              <w:widowControl/>
              <w:autoSpaceDE/>
              <w:autoSpaceDN/>
              <w:adjustRightInd/>
              <w:rPr>
                <w:rFonts w:eastAsia="Times New Roman"/>
                <w:sz w:val="20"/>
                <w:szCs w:val="20"/>
                <w:lang w:eastAsia="en-US"/>
              </w:rPr>
            </w:pPr>
          </w:p>
        </w:tc>
      </w:tr>
      <w:tr w:rsidR="00EE300C">
        <w:trPr>
          <w:trHeight w:val="206"/>
        </w:trPr>
        <w:tc>
          <w:tcPr>
            <w:tcW w:w="5000" w:type="pct"/>
            <w:gridSpan w:val="9"/>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rsidR="00EE300C" w:rsidRDefault="00445D37">
            <w:pPr>
              <w:widowControl/>
              <w:autoSpaceDE/>
              <w:autoSpaceDN/>
              <w:adjustRightInd/>
              <w:rPr>
                <w:rFonts w:eastAsia="Times New Roman"/>
                <w:sz w:val="20"/>
                <w:szCs w:val="20"/>
                <w:lang w:eastAsia="en-US"/>
              </w:rPr>
            </w:pPr>
            <w:r>
              <w:rPr>
                <w:rFonts w:ascii="Calibri" w:hAnsi="Calibri" w:cs="Arial"/>
                <w:sz w:val="20"/>
                <w:szCs w:val="20"/>
              </w:rPr>
              <w:t xml:space="preserve">(e) Assumes 2 affirmative defense reports for each industry during the 3-year ICR period. For affirmative defense, hours required assumes 18 hours technical, 12 hours management, and 0 hours clerical for each instance of </w:t>
            </w:r>
            <w:r>
              <w:rPr>
                <w:rFonts w:ascii="Calibri" w:hAnsi="Calibri" w:cs="Arial"/>
                <w:sz w:val="20"/>
                <w:szCs w:val="20"/>
              </w:rPr>
              <w:t>affirmative defense. Formulas not followed for person hours per year.</w:t>
            </w:r>
          </w:p>
        </w:tc>
      </w:tr>
    </w:tbl>
    <w:p w:rsidR="00EE300C" w:rsidRDefault="00EE300C">
      <w:pPr>
        <w:spacing w:line="276" w:lineRule="auto"/>
        <w:rPr>
          <w:b/>
          <w:bCs/>
        </w:rPr>
      </w:pPr>
    </w:p>
    <w:sectPr w:rsidR="00EE300C" w:rsidSect="00EE300C">
      <w:pgSz w:w="15840" w:h="12240" w:orient="landscape" w:code="1"/>
      <w:pgMar w:top="1440" w:right="1440" w:bottom="1440" w:left="1440" w:header="1008"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D37" w:rsidRDefault="00445D37">
      <w:r>
        <w:separator/>
      </w:r>
    </w:p>
  </w:endnote>
  <w:endnote w:type="continuationSeparator" w:id="0">
    <w:p w:rsidR="00445D37" w:rsidRDefault="00445D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CY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C" w:rsidRDefault="00EE300C">
    <w:pPr>
      <w:pStyle w:val="Footer"/>
      <w:framePr w:wrap="around" w:vAnchor="text" w:hAnchor="margin" w:xAlign="center" w:y="1"/>
      <w:rPr>
        <w:rStyle w:val="PageNumber"/>
      </w:rPr>
    </w:pPr>
    <w:r>
      <w:rPr>
        <w:rStyle w:val="PageNumber"/>
      </w:rPr>
      <w:fldChar w:fldCharType="begin"/>
    </w:r>
    <w:r w:rsidR="00445D37">
      <w:rPr>
        <w:rStyle w:val="PageNumber"/>
      </w:rPr>
      <w:instrText xml:space="preserve">PAGE  </w:instrText>
    </w:r>
    <w:r>
      <w:rPr>
        <w:rStyle w:val="PageNumber"/>
      </w:rPr>
      <w:fldChar w:fldCharType="end"/>
    </w:r>
  </w:p>
  <w:p w:rsidR="00EE300C" w:rsidRDefault="00EE3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D37" w:rsidRDefault="00445D37">
      <w:r>
        <w:separator/>
      </w:r>
    </w:p>
  </w:footnote>
  <w:footnote w:type="continuationSeparator" w:id="0">
    <w:p w:rsidR="00445D37" w:rsidRDefault="00445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C" w:rsidRDefault="00EE300C">
    <w:pPr>
      <w:pStyle w:val="Header"/>
      <w:framePr w:wrap="around" w:vAnchor="text" w:hAnchor="margin" w:xAlign="center" w:y="1"/>
      <w:rPr>
        <w:rStyle w:val="PageNumber"/>
      </w:rPr>
    </w:pPr>
    <w:r>
      <w:rPr>
        <w:rStyle w:val="PageNumber"/>
      </w:rPr>
      <w:fldChar w:fldCharType="begin"/>
    </w:r>
    <w:r w:rsidR="00445D37">
      <w:rPr>
        <w:rStyle w:val="PageNumber"/>
      </w:rPr>
      <w:instrText xml:space="preserve">PAGE  </w:instrText>
    </w:r>
    <w:r>
      <w:rPr>
        <w:rStyle w:val="PageNumber"/>
      </w:rPr>
      <w:fldChar w:fldCharType="end"/>
    </w:r>
  </w:p>
  <w:p w:rsidR="00EE300C" w:rsidRDefault="00EE3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C" w:rsidRDefault="00EE300C">
    <w:pPr>
      <w:pStyle w:val="Header"/>
      <w:framePr w:wrap="around" w:vAnchor="text" w:hAnchor="margin" w:xAlign="center" w:y="1"/>
      <w:rPr>
        <w:rStyle w:val="PageNumber"/>
      </w:rPr>
    </w:pPr>
    <w:r>
      <w:rPr>
        <w:rStyle w:val="PageNumber"/>
      </w:rPr>
      <w:fldChar w:fldCharType="begin"/>
    </w:r>
    <w:r w:rsidR="00445D37">
      <w:rPr>
        <w:rStyle w:val="PageNumber"/>
      </w:rPr>
      <w:instrText xml:space="preserve">PAGE  </w:instrText>
    </w:r>
    <w:r>
      <w:rPr>
        <w:rStyle w:val="PageNumber"/>
      </w:rPr>
      <w:fldChar w:fldCharType="separate"/>
    </w:r>
    <w:r w:rsidR="000D0283">
      <w:rPr>
        <w:rStyle w:val="PageNumber"/>
        <w:noProof/>
      </w:rPr>
      <w:t>5</w:t>
    </w:r>
    <w:r>
      <w:rPr>
        <w:rStyle w:val="PageNumber"/>
      </w:rPr>
      <w:fldChar w:fldCharType="end"/>
    </w:r>
  </w:p>
  <w:p w:rsidR="00EE300C" w:rsidRDefault="00EE300C">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202161"/>
      <w:docPartObj>
        <w:docPartGallery w:val="Page Numbers (Top of Page)"/>
        <w:docPartUnique/>
      </w:docPartObj>
    </w:sdtPr>
    <w:sdtEndPr>
      <w:rPr>
        <w:noProof/>
      </w:rPr>
    </w:sdtEndPr>
    <w:sdtContent>
      <w:p w:rsidR="00EE300C" w:rsidRDefault="00EE300C">
        <w:pPr>
          <w:pStyle w:val="Header"/>
          <w:jc w:val="center"/>
        </w:pPr>
        <w:fldSimple w:instr=" PAGE   \* MERGEFORMAT ">
          <w:r w:rsidR="000D0283">
            <w:rPr>
              <w:noProof/>
            </w:rPr>
            <w:t>1</w:t>
          </w:r>
        </w:fldSimple>
      </w:p>
    </w:sdtContent>
  </w:sdt>
  <w:p w:rsidR="00EE300C" w:rsidRDefault="00EE30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09007C10"/>
    <w:multiLevelType w:val="hybridMultilevel"/>
    <w:tmpl w:val="BCAC9D94"/>
    <w:lvl w:ilvl="0" w:tplc="AE74340A">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1">
    <w:nsid w:val="0A3A76F3"/>
    <w:multiLevelType w:val="hybridMultilevel"/>
    <w:tmpl w:val="F9E0A340"/>
    <w:lvl w:ilvl="0" w:tplc="226AA61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0AA21519"/>
    <w:multiLevelType w:val="hybridMultilevel"/>
    <w:tmpl w:val="11FC3460"/>
    <w:lvl w:ilvl="0" w:tplc="3392F4B2">
      <w:start w:val="3"/>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1BD03C81"/>
    <w:multiLevelType w:val="hybridMultilevel"/>
    <w:tmpl w:val="1CFA18DA"/>
    <w:lvl w:ilvl="0" w:tplc="A832119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4">
    <w:nsid w:val="1E0D7FB0"/>
    <w:multiLevelType w:val="hybridMultilevel"/>
    <w:tmpl w:val="ACBAF2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6F7594"/>
    <w:multiLevelType w:val="hybridMultilevel"/>
    <w:tmpl w:val="506CB590"/>
    <w:lvl w:ilvl="0" w:tplc="785E4B8A">
      <w:start w:val="3"/>
      <w:numFmt w:val="lowerRoman"/>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
    <w:nsid w:val="283E0D3D"/>
    <w:multiLevelType w:val="hybridMultilevel"/>
    <w:tmpl w:val="89A058BA"/>
    <w:lvl w:ilvl="0" w:tplc="0BB0A0FC">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A355C57"/>
    <w:multiLevelType w:val="hybridMultilevel"/>
    <w:tmpl w:val="4D7AD118"/>
    <w:lvl w:ilvl="0" w:tplc="C4FCAA50">
      <w:start w:val="7"/>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2DE4448C"/>
    <w:multiLevelType w:val="hybridMultilevel"/>
    <w:tmpl w:val="0D90BDA8"/>
    <w:lvl w:ilvl="0" w:tplc="667E4A40">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2F0C213D"/>
    <w:multiLevelType w:val="hybridMultilevel"/>
    <w:tmpl w:val="06567CEE"/>
    <w:lvl w:ilvl="0" w:tplc="4B0C94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2483571"/>
    <w:multiLevelType w:val="hybridMultilevel"/>
    <w:tmpl w:val="0192AB7A"/>
    <w:lvl w:ilvl="0" w:tplc="6DF003B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1">
    <w:nsid w:val="3DBD4EE6"/>
    <w:multiLevelType w:val="hybridMultilevel"/>
    <w:tmpl w:val="99725618"/>
    <w:lvl w:ilvl="0" w:tplc="3A56793C">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51252F5D"/>
    <w:multiLevelType w:val="hybridMultilevel"/>
    <w:tmpl w:val="3146BF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520F39"/>
    <w:multiLevelType w:val="hybridMultilevel"/>
    <w:tmpl w:val="97B22DC0"/>
    <w:lvl w:ilvl="0" w:tplc="4CA4815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B6C7AFA"/>
    <w:multiLevelType w:val="hybridMultilevel"/>
    <w:tmpl w:val="5A4A34A0"/>
    <w:lvl w:ilvl="0" w:tplc="DA7C4F58">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5">
    <w:nsid w:val="6F8229A8"/>
    <w:multiLevelType w:val="hybridMultilevel"/>
    <w:tmpl w:val="870EB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202B63"/>
    <w:multiLevelType w:val="hybridMultilevel"/>
    <w:tmpl w:val="E91EB564"/>
    <w:lvl w:ilvl="0" w:tplc="5920A3F8">
      <w:start w:val="1"/>
      <w:numFmt w:val="decimal"/>
      <w:lvlText w:val="%1"/>
      <w:lvlJc w:val="left"/>
      <w:pPr>
        <w:tabs>
          <w:tab w:val="num" w:pos="360"/>
        </w:tabs>
        <w:ind w:left="360" w:hanging="360"/>
      </w:pPr>
      <w:rPr>
        <w:rFonts w:hint="default"/>
        <w:sz w:val="24"/>
        <w:szCs w:val="24"/>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AA71E41"/>
    <w:multiLevelType w:val="hybridMultilevel"/>
    <w:tmpl w:val="1E66B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256043"/>
    <w:multiLevelType w:val="hybridMultilevel"/>
    <w:tmpl w:val="8702E33E"/>
    <w:lvl w:ilvl="0" w:tplc="E34C9DEA">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0">
    <w:nsid w:val="7E7F33FF"/>
    <w:multiLevelType w:val="hybridMultilevel"/>
    <w:tmpl w:val="B7C69F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23"/>
  </w:num>
  <w:num w:numId="6">
    <w:abstractNumId w:val="19"/>
  </w:num>
  <w:num w:numId="7">
    <w:abstractNumId w:val="27"/>
  </w:num>
  <w:num w:numId="8">
    <w:abstractNumId w:val="11"/>
  </w:num>
  <w:num w:numId="9">
    <w:abstractNumId w:val="21"/>
  </w:num>
  <w:num w:numId="10">
    <w:abstractNumId w:val="18"/>
  </w:num>
  <w:num w:numId="11">
    <w:abstractNumId w:val="28"/>
  </w:num>
  <w:num w:numId="12">
    <w:abstractNumId w:val="14"/>
  </w:num>
  <w:num w:numId="13">
    <w:abstractNumId w:val="22"/>
  </w:num>
  <w:num w:numId="14">
    <w:abstractNumId w:val="26"/>
  </w:num>
  <w:num w:numId="15">
    <w:abstractNumId w:val="17"/>
  </w:num>
  <w:num w:numId="16">
    <w:abstractNumId w:val="13"/>
  </w:num>
  <w:num w:numId="17">
    <w:abstractNumId w:val="24"/>
  </w:num>
  <w:num w:numId="18">
    <w:abstractNumId w:val="20"/>
  </w:num>
  <w:num w:numId="19">
    <w:abstractNumId w:val="10"/>
  </w:num>
  <w:num w:numId="20">
    <w:abstractNumId w:val="25"/>
  </w:num>
  <w:num w:numId="21">
    <w:abstractNumId w:val="30"/>
  </w:num>
  <w:num w:numId="22">
    <w:abstractNumId w:val="29"/>
  </w:num>
  <w:num w:numId="23">
    <w:abstractNumId w:val="15"/>
  </w:num>
  <w:num w:numId="24">
    <w:abstractNumId w:val="12"/>
  </w:num>
  <w:num w:numId="25">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4"/>
  </w:hdrShapeDefaults>
  <w:footnotePr>
    <w:footnote w:id="-1"/>
    <w:footnote w:id="0"/>
  </w:footnotePr>
  <w:endnotePr>
    <w:endnote w:id="-1"/>
    <w:endnote w:id="0"/>
  </w:endnotePr>
  <w:compat>
    <w:useFELayout/>
  </w:compat>
  <w:rsids>
    <w:rsidRoot w:val="00EE300C"/>
    <w:rsid w:val="000D0283"/>
    <w:rsid w:val="00445D37"/>
    <w:rsid w:val="00CD3E69"/>
    <w:rsid w:val="00EE3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0C"/>
    <w:pPr>
      <w:widowControl w:val="0"/>
      <w:autoSpaceDE w:val="0"/>
      <w:autoSpaceDN w:val="0"/>
      <w:adjustRightInd w:val="0"/>
    </w:pPr>
    <w:rPr>
      <w:sz w:val="24"/>
      <w:szCs w:val="24"/>
      <w:lang w:eastAsia="zh-CN"/>
    </w:rPr>
  </w:style>
  <w:style w:type="paragraph" w:styleId="Heading1">
    <w:name w:val="heading 1"/>
    <w:basedOn w:val="Normal"/>
    <w:next w:val="Normal"/>
    <w:link w:val="Heading1Char"/>
    <w:uiPriority w:val="9"/>
    <w:qFormat/>
    <w:rsid w:val="00EE300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300C"/>
  </w:style>
  <w:style w:type="paragraph" w:customStyle="1" w:styleId="WPNormal">
    <w:name w:val="WP_Normal"/>
    <w:basedOn w:val="Normal"/>
    <w:rsid w:val="00EE300C"/>
    <w:rPr>
      <w:rFonts w:ascii="Times New Roman CYR" w:hAnsi="Times New Roman CYR" w:cs="Times New Roman CYR"/>
      <w:b/>
      <w:bCs/>
    </w:rPr>
  </w:style>
  <w:style w:type="paragraph" w:customStyle="1" w:styleId="Level1">
    <w:name w:val="Level 1"/>
    <w:basedOn w:val="Normal"/>
    <w:rsid w:val="00EE300C"/>
    <w:pPr>
      <w:numPr>
        <w:numId w:val="3"/>
      </w:numPr>
      <w:ind w:left="240" w:hanging="240"/>
      <w:outlineLvl w:val="0"/>
    </w:pPr>
  </w:style>
  <w:style w:type="paragraph" w:styleId="Header">
    <w:name w:val="header"/>
    <w:basedOn w:val="Normal"/>
    <w:link w:val="HeaderChar"/>
    <w:uiPriority w:val="99"/>
    <w:rsid w:val="00EE300C"/>
    <w:pPr>
      <w:tabs>
        <w:tab w:val="center" w:pos="4320"/>
        <w:tab w:val="right" w:pos="8640"/>
      </w:tabs>
    </w:pPr>
  </w:style>
  <w:style w:type="paragraph" w:styleId="Footer">
    <w:name w:val="footer"/>
    <w:basedOn w:val="Normal"/>
    <w:link w:val="FooterChar"/>
    <w:rsid w:val="00EE300C"/>
    <w:pPr>
      <w:tabs>
        <w:tab w:val="center" w:pos="4320"/>
        <w:tab w:val="right" w:pos="8640"/>
      </w:tabs>
    </w:pPr>
  </w:style>
  <w:style w:type="character" w:customStyle="1" w:styleId="1">
    <w:name w:val="1"/>
    <w:rsid w:val="00EE300C"/>
  </w:style>
  <w:style w:type="character" w:styleId="Hyperlink">
    <w:name w:val="Hyperlink"/>
    <w:uiPriority w:val="99"/>
    <w:rsid w:val="00EE300C"/>
    <w:rPr>
      <w:color w:val="0000FF"/>
      <w:u w:val="single"/>
    </w:rPr>
  </w:style>
  <w:style w:type="character" w:styleId="PageNumber">
    <w:name w:val="page number"/>
    <w:basedOn w:val="DefaultParagraphFont"/>
    <w:semiHidden/>
    <w:rsid w:val="00EE300C"/>
  </w:style>
  <w:style w:type="character" w:styleId="FollowedHyperlink">
    <w:name w:val="FollowedHyperlink"/>
    <w:uiPriority w:val="99"/>
    <w:semiHidden/>
    <w:rsid w:val="00EE300C"/>
    <w:rPr>
      <w:color w:val="800080"/>
      <w:u w:val="single"/>
    </w:rPr>
  </w:style>
  <w:style w:type="paragraph" w:styleId="BalloonText">
    <w:name w:val="Balloon Text"/>
    <w:basedOn w:val="Normal"/>
    <w:link w:val="BalloonTextChar"/>
    <w:unhideWhenUsed/>
    <w:rsid w:val="00EE300C"/>
    <w:rPr>
      <w:rFonts w:ascii="Tahoma" w:hAnsi="Tahoma"/>
      <w:sz w:val="16"/>
      <w:szCs w:val="16"/>
    </w:rPr>
  </w:style>
  <w:style w:type="character" w:customStyle="1" w:styleId="BalloonTextChar">
    <w:name w:val="Balloon Text Char"/>
    <w:link w:val="BalloonText"/>
    <w:rsid w:val="00EE300C"/>
    <w:rPr>
      <w:rFonts w:ascii="Tahoma" w:hAnsi="Tahoma" w:cs="Tahoma"/>
      <w:sz w:val="16"/>
      <w:szCs w:val="16"/>
      <w:lang w:eastAsia="zh-CN"/>
    </w:rPr>
  </w:style>
  <w:style w:type="character" w:styleId="CommentReference">
    <w:name w:val="annotation reference"/>
    <w:unhideWhenUsed/>
    <w:rsid w:val="00EE300C"/>
    <w:rPr>
      <w:sz w:val="16"/>
      <w:szCs w:val="16"/>
    </w:rPr>
  </w:style>
  <w:style w:type="paragraph" w:styleId="CommentText">
    <w:name w:val="annotation text"/>
    <w:basedOn w:val="Normal"/>
    <w:link w:val="CommentTextChar"/>
    <w:unhideWhenUsed/>
    <w:rsid w:val="00EE300C"/>
    <w:rPr>
      <w:sz w:val="20"/>
      <w:szCs w:val="20"/>
    </w:rPr>
  </w:style>
  <w:style w:type="character" w:customStyle="1" w:styleId="CommentTextChar">
    <w:name w:val="Comment Text Char"/>
    <w:link w:val="CommentText"/>
    <w:rsid w:val="00EE300C"/>
    <w:rPr>
      <w:lang w:eastAsia="zh-CN"/>
    </w:rPr>
  </w:style>
  <w:style w:type="paragraph" w:styleId="CommentSubject">
    <w:name w:val="annotation subject"/>
    <w:basedOn w:val="CommentText"/>
    <w:next w:val="CommentText"/>
    <w:link w:val="CommentSubjectChar"/>
    <w:unhideWhenUsed/>
    <w:rsid w:val="00EE300C"/>
    <w:rPr>
      <w:b/>
      <w:bCs/>
    </w:rPr>
  </w:style>
  <w:style w:type="character" w:customStyle="1" w:styleId="CommentSubjectChar">
    <w:name w:val="Comment Subject Char"/>
    <w:link w:val="CommentSubject"/>
    <w:rsid w:val="00EE300C"/>
    <w:rPr>
      <w:b/>
      <w:bCs/>
      <w:lang w:eastAsia="zh-CN"/>
    </w:rPr>
  </w:style>
  <w:style w:type="paragraph" w:styleId="NoSpacing">
    <w:name w:val="No Spacing"/>
    <w:uiPriority w:val="1"/>
    <w:qFormat/>
    <w:rsid w:val="00EE300C"/>
    <w:pPr>
      <w:widowControl w:val="0"/>
      <w:autoSpaceDE w:val="0"/>
      <w:autoSpaceDN w:val="0"/>
      <w:adjustRightInd w:val="0"/>
    </w:pPr>
    <w:rPr>
      <w:sz w:val="24"/>
      <w:szCs w:val="24"/>
      <w:lang w:eastAsia="zh-CN"/>
    </w:rPr>
  </w:style>
  <w:style w:type="character" w:customStyle="1" w:styleId="Heading1Char">
    <w:name w:val="Heading 1 Char"/>
    <w:link w:val="Heading1"/>
    <w:uiPriority w:val="9"/>
    <w:rsid w:val="00EE300C"/>
    <w:rPr>
      <w:rFonts w:ascii="Cambria" w:eastAsia="Times New Roman" w:hAnsi="Cambria" w:cs="Times New Roman"/>
      <w:b/>
      <w:bCs/>
      <w:kern w:val="32"/>
      <w:sz w:val="32"/>
      <w:szCs w:val="32"/>
      <w:lang w:eastAsia="zh-CN"/>
    </w:rPr>
  </w:style>
  <w:style w:type="paragraph" w:styleId="FootnoteText">
    <w:name w:val="footnote text"/>
    <w:basedOn w:val="Normal"/>
    <w:link w:val="FootnoteTextChar"/>
    <w:uiPriority w:val="99"/>
    <w:semiHidden/>
    <w:rsid w:val="00EE300C"/>
    <w:rPr>
      <w:rFonts w:eastAsia="Times New Roman"/>
      <w:sz w:val="20"/>
      <w:szCs w:val="20"/>
    </w:rPr>
  </w:style>
  <w:style w:type="character" w:customStyle="1" w:styleId="FootnoteTextChar">
    <w:name w:val="Footnote Text Char"/>
    <w:link w:val="FootnoteText"/>
    <w:uiPriority w:val="99"/>
    <w:semiHidden/>
    <w:rsid w:val="00EE300C"/>
    <w:rPr>
      <w:rFonts w:eastAsia="Times New Roman"/>
    </w:rPr>
  </w:style>
  <w:style w:type="table" w:styleId="TableGrid">
    <w:name w:val="Table Grid"/>
    <w:basedOn w:val="TableNormal"/>
    <w:uiPriority w:val="59"/>
    <w:rsid w:val="00EE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text">
    <w:name w:val="Hypertext"/>
    <w:rsid w:val="00EE300C"/>
    <w:rPr>
      <w:color w:val="0000FF"/>
      <w:u w:val="single"/>
    </w:rPr>
  </w:style>
  <w:style w:type="character" w:customStyle="1" w:styleId="HeaderChar">
    <w:name w:val="Header Char"/>
    <w:link w:val="Header"/>
    <w:uiPriority w:val="99"/>
    <w:rsid w:val="00EE300C"/>
    <w:rPr>
      <w:sz w:val="24"/>
      <w:szCs w:val="24"/>
      <w:lang w:eastAsia="zh-CN"/>
    </w:rPr>
  </w:style>
  <w:style w:type="character" w:customStyle="1" w:styleId="FooterChar">
    <w:name w:val="Footer Char"/>
    <w:link w:val="Footer"/>
    <w:rsid w:val="00EE300C"/>
    <w:rPr>
      <w:sz w:val="24"/>
      <w:szCs w:val="24"/>
      <w:lang w:eastAsia="zh-CN"/>
    </w:rPr>
  </w:style>
  <w:style w:type="paragraph" w:styleId="ListParagraph">
    <w:name w:val="List Paragraph"/>
    <w:basedOn w:val="Normal"/>
    <w:uiPriority w:val="34"/>
    <w:qFormat/>
    <w:rsid w:val="00EE300C"/>
    <w:pPr>
      <w:ind w:left="720"/>
      <w:contextualSpacing/>
    </w:pPr>
    <w:rPr>
      <w:rFonts w:eastAsia="Times New Roman"/>
      <w:lang w:eastAsia="en-US"/>
    </w:rPr>
  </w:style>
  <w:style w:type="paragraph" w:customStyle="1" w:styleId="xl66">
    <w:name w:val="xl66"/>
    <w:basedOn w:val="Normal"/>
    <w:rsid w:val="00EE300C"/>
    <w:pPr>
      <w:widowControl/>
      <w:autoSpaceDE/>
      <w:autoSpaceDN/>
      <w:adjustRightInd/>
      <w:spacing w:before="100" w:beforeAutospacing="1" w:after="100" w:afterAutospacing="1"/>
    </w:pPr>
    <w:rPr>
      <w:rFonts w:ascii="Calibri" w:eastAsia="Times New Roman" w:hAnsi="Calibri"/>
      <w:lang w:eastAsia="en-US"/>
    </w:rPr>
  </w:style>
  <w:style w:type="paragraph" w:customStyle="1" w:styleId="xl67">
    <w:name w:val="xl67"/>
    <w:basedOn w:val="Normal"/>
    <w:rsid w:val="00EE300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Calibri" w:eastAsia="Times New Roman" w:hAnsi="Calibri"/>
      <w:lang w:eastAsia="en-US"/>
    </w:rPr>
  </w:style>
  <w:style w:type="paragraph" w:customStyle="1" w:styleId="xl68">
    <w:name w:val="xl68"/>
    <w:basedOn w:val="Normal"/>
    <w:rsid w:val="00EE300C"/>
    <w:pPr>
      <w:widowControl/>
      <w:autoSpaceDE/>
      <w:autoSpaceDN/>
      <w:adjustRightInd/>
      <w:spacing w:before="100" w:beforeAutospacing="1" w:after="100" w:afterAutospacing="1"/>
    </w:pPr>
    <w:rPr>
      <w:rFonts w:ascii="Calibri" w:eastAsia="Times New Roman" w:hAnsi="Calibri"/>
      <w:lang w:eastAsia="en-US"/>
    </w:rPr>
  </w:style>
  <w:style w:type="paragraph" w:customStyle="1" w:styleId="xl69">
    <w:name w:val="xl69"/>
    <w:basedOn w:val="Normal"/>
    <w:rsid w:val="00EE300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lang w:eastAsia="en-US"/>
    </w:rPr>
  </w:style>
  <w:style w:type="paragraph" w:customStyle="1" w:styleId="xl70">
    <w:name w:val="xl70"/>
    <w:basedOn w:val="Normal"/>
    <w:rsid w:val="00EE300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lang w:eastAsia="en-US"/>
    </w:rPr>
  </w:style>
  <w:style w:type="paragraph" w:customStyle="1" w:styleId="xl71">
    <w:name w:val="xl71"/>
    <w:basedOn w:val="Normal"/>
    <w:rsid w:val="00EE300C"/>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Calibri" w:eastAsia="Times New Roman" w:hAnsi="Calibri"/>
      <w:b/>
      <w:bCs/>
      <w:lang w:eastAsia="en-US"/>
    </w:rPr>
  </w:style>
  <w:style w:type="paragraph" w:customStyle="1" w:styleId="xl72">
    <w:name w:val="xl72"/>
    <w:basedOn w:val="Normal"/>
    <w:rsid w:val="00EE300C"/>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73">
    <w:name w:val="xl73"/>
    <w:basedOn w:val="Normal"/>
    <w:rsid w:val="00EE300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74">
    <w:name w:val="xl74"/>
    <w:basedOn w:val="Normal"/>
    <w:rsid w:val="00EE300C"/>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5">
    <w:name w:val="xl75"/>
    <w:basedOn w:val="Normal"/>
    <w:rsid w:val="00EE300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6">
    <w:name w:val="xl76"/>
    <w:basedOn w:val="Normal"/>
    <w:rsid w:val="00EE300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7">
    <w:name w:val="xl77"/>
    <w:basedOn w:val="Normal"/>
    <w:rsid w:val="00EE300C"/>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78">
    <w:name w:val="xl78"/>
    <w:basedOn w:val="Normal"/>
    <w:rsid w:val="00EE300C"/>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9">
    <w:name w:val="xl79"/>
    <w:basedOn w:val="Normal"/>
    <w:rsid w:val="00EE300C"/>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Calibri" w:eastAsia="Times New Roman" w:hAnsi="Calibri"/>
      <w:b/>
      <w:bCs/>
      <w:lang w:eastAsia="en-US"/>
    </w:rPr>
  </w:style>
  <w:style w:type="paragraph" w:customStyle="1" w:styleId="xl80">
    <w:name w:val="xl80"/>
    <w:basedOn w:val="Normal"/>
    <w:rsid w:val="00EE300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81">
    <w:name w:val="xl81"/>
    <w:basedOn w:val="Normal"/>
    <w:rsid w:val="00EE300C"/>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82">
    <w:name w:val="xl82"/>
    <w:basedOn w:val="Normal"/>
    <w:rsid w:val="00EE300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83">
    <w:name w:val="xl83"/>
    <w:basedOn w:val="Normal"/>
    <w:rsid w:val="00EE300C"/>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84">
    <w:name w:val="xl84"/>
    <w:basedOn w:val="Normal"/>
    <w:rsid w:val="00EE300C"/>
    <w:pPr>
      <w:widowControl/>
      <w:pBdr>
        <w:top w:val="single" w:sz="4" w:space="0" w:color="auto"/>
        <w:left w:val="single" w:sz="4" w:space="0" w:color="auto"/>
        <w:bottom w:val="single" w:sz="4" w:space="0" w:color="FFFFFF"/>
      </w:pBdr>
      <w:shd w:val="clear" w:color="000000" w:fill="FFFFFF"/>
      <w:autoSpaceDE/>
      <w:autoSpaceDN/>
      <w:adjustRightInd/>
      <w:spacing w:before="100" w:beforeAutospacing="1" w:after="100" w:afterAutospacing="1"/>
    </w:pPr>
    <w:rPr>
      <w:rFonts w:ascii="Calibri" w:eastAsia="Times New Roman" w:hAnsi="Calibri"/>
      <w:b/>
      <w:bCs/>
      <w:lang w:eastAsia="en-US"/>
    </w:rPr>
  </w:style>
  <w:style w:type="paragraph" w:customStyle="1" w:styleId="xl85">
    <w:name w:val="xl85"/>
    <w:basedOn w:val="Normal"/>
    <w:rsid w:val="00EE300C"/>
    <w:pPr>
      <w:widowControl/>
      <w:pBdr>
        <w:top w:val="single" w:sz="4" w:space="0" w:color="auto"/>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86">
    <w:name w:val="xl86"/>
    <w:basedOn w:val="Normal"/>
    <w:rsid w:val="00EE300C"/>
    <w:pPr>
      <w:widowControl/>
      <w:pBdr>
        <w:top w:val="single" w:sz="4" w:space="0" w:color="auto"/>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87">
    <w:name w:val="xl87"/>
    <w:basedOn w:val="Normal"/>
    <w:rsid w:val="00EE300C"/>
    <w:pPr>
      <w:widowControl/>
      <w:pBdr>
        <w:top w:val="single" w:sz="4" w:space="0" w:color="FFFFFF"/>
        <w:left w:val="single" w:sz="4" w:space="0" w:color="auto"/>
        <w:bottom w:val="single" w:sz="4" w:space="0" w:color="FFFFFF"/>
      </w:pBdr>
      <w:shd w:val="clear" w:color="000000" w:fill="FFFFFF"/>
      <w:autoSpaceDE/>
      <w:autoSpaceDN/>
      <w:adjustRightInd/>
      <w:spacing w:before="100" w:beforeAutospacing="1" w:after="100" w:afterAutospacing="1"/>
    </w:pPr>
    <w:rPr>
      <w:rFonts w:ascii="Calibri" w:eastAsia="Times New Roman" w:hAnsi="Calibri"/>
      <w:b/>
      <w:bCs/>
      <w:lang w:eastAsia="en-US"/>
    </w:rPr>
  </w:style>
  <w:style w:type="paragraph" w:customStyle="1" w:styleId="xl88">
    <w:name w:val="xl88"/>
    <w:basedOn w:val="Normal"/>
    <w:rsid w:val="00EE300C"/>
    <w:pPr>
      <w:widowControl/>
      <w:pBdr>
        <w:top w:val="single" w:sz="4" w:space="0" w:color="FFFFFF"/>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89">
    <w:name w:val="xl89"/>
    <w:basedOn w:val="Normal"/>
    <w:rsid w:val="00EE300C"/>
    <w:pPr>
      <w:widowControl/>
      <w:pBdr>
        <w:top w:val="single" w:sz="4" w:space="0" w:color="FFFFFF"/>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90">
    <w:name w:val="xl90"/>
    <w:basedOn w:val="Normal"/>
    <w:rsid w:val="00EE300C"/>
    <w:pPr>
      <w:widowControl/>
      <w:pBdr>
        <w:top w:val="single" w:sz="4" w:space="0" w:color="FFFFFF"/>
        <w:left w:val="single" w:sz="4" w:space="0" w:color="auto"/>
        <w:bottom w:val="single" w:sz="4" w:space="0" w:color="auto"/>
      </w:pBdr>
      <w:shd w:val="clear" w:color="000000" w:fill="FFFFFF"/>
      <w:autoSpaceDE/>
      <w:autoSpaceDN/>
      <w:adjustRightInd/>
      <w:spacing w:before="100" w:beforeAutospacing="1" w:after="100" w:afterAutospacing="1"/>
    </w:pPr>
    <w:rPr>
      <w:rFonts w:ascii="Calibri" w:eastAsia="Times New Roman" w:hAnsi="Calibri"/>
      <w:b/>
      <w:bCs/>
      <w:lang w:eastAsia="en-US"/>
    </w:rPr>
  </w:style>
  <w:style w:type="paragraph" w:customStyle="1" w:styleId="xl91">
    <w:name w:val="xl91"/>
    <w:basedOn w:val="Normal"/>
    <w:rsid w:val="00EE300C"/>
    <w:pPr>
      <w:widowControl/>
      <w:pBdr>
        <w:top w:val="single" w:sz="4" w:space="0" w:color="FFFFFF"/>
        <w:left w:val="single" w:sz="4" w:space="0" w:color="auto"/>
        <w:bottom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92">
    <w:name w:val="xl92"/>
    <w:basedOn w:val="Normal"/>
    <w:rsid w:val="00EE300C"/>
    <w:pPr>
      <w:widowControl/>
      <w:pBdr>
        <w:top w:val="single" w:sz="4" w:space="0" w:color="FFFFFF"/>
        <w:left w:val="single" w:sz="4" w:space="0" w:color="auto"/>
        <w:bottom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93">
    <w:name w:val="xl93"/>
    <w:basedOn w:val="Normal"/>
    <w:rsid w:val="00EE300C"/>
    <w:pPr>
      <w:widowControl/>
      <w:pBdr>
        <w:left w:val="single" w:sz="4" w:space="0" w:color="FFFFFF"/>
        <w:bottom w:val="single" w:sz="4" w:space="0" w:color="FFFFFF"/>
        <w:righ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94">
    <w:name w:val="xl94"/>
    <w:basedOn w:val="Normal"/>
    <w:rsid w:val="00EE300C"/>
    <w:pPr>
      <w:widowControl/>
      <w:autoSpaceDE/>
      <w:autoSpaceDN/>
      <w:adjustRightInd/>
      <w:spacing w:before="100" w:beforeAutospacing="1" w:after="100" w:afterAutospacing="1"/>
    </w:pPr>
    <w:rPr>
      <w:rFonts w:ascii="Calibri" w:eastAsia="Times New Roman" w:hAnsi="Calibri"/>
      <w:lang w:eastAsia="en-US"/>
    </w:rPr>
  </w:style>
  <w:style w:type="paragraph" w:customStyle="1" w:styleId="xl95">
    <w:name w:val="xl95"/>
    <w:basedOn w:val="Normal"/>
    <w:rsid w:val="00EE300C"/>
    <w:pPr>
      <w:widowControl/>
      <w:pBdr>
        <w:top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6">
    <w:name w:val="xl96"/>
    <w:basedOn w:val="Normal"/>
    <w:rsid w:val="00EE300C"/>
    <w:pPr>
      <w:widowControl/>
      <w:pBdr>
        <w:top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7">
    <w:name w:val="xl97"/>
    <w:basedOn w:val="Normal"/>
    <w:rsid w:val="00EE300C"/>
    <w:pPr>
      <w:widowControl/>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8">
    <w:name w:val="xl98"/>
    <w:basedOn w:val="Normal"/>
    <w:rsid w:val="00EE300C"/>
    <w:pPr>
      <w:widowControl/>
      <w:pBdr>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9">
    <w:name w:val="xl99"/>
    <w:basedOn w:val="Normal"/>
    <w:rsid w:val="00EE300C"/>
    <w:pPr>
      <w:widowControl/>
      <w:pBdr>
        <w:left w:val="single" w:sz="4" w:space="0" w:color="FFFFFF"/>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0">
    <w:name w:val="xl100"/>
    <w:basedOn w:val="Normal"/>
    <w:rsid w:val="00EE300C"/>
    <w:pPr>
      <w:widowControl/>
      <w:pBdr>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1">
    <w:name w:val="xl101"/>
    <w:basedOn w:val="Normal"/>
    <w:rsid w:val="00EE300C"/>
    <w:pPr>
      <w:widowControl/>
      <w:pBdr>
        <w:bottom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2">
    <w:name w:val="xl102"/>
    <w:basedOn w:val="Normal"/>
    <w:rsid w:val="00EE300C"/>
    <w:pPr>
      <w:widowControl/>
      <w:pBdr>
        <w:top w:val="single" w:sz="4" w:space="0" w:color="auto"/>
        <w:left w:val="single" w:sz="4" w:space="0" w:color="auto"/>
        <w:bottom w:val="single" w:sz="4" w:space="0" w:color="FFFFFF"/>
      </w:pBdr>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103">
    <w:name w:val="xl103"/>
    <w:basedOn w:val="Normal"/>
    <w:rsid w:val="00EE300C"/>
    <w:pPr>
      <w:widowControl/>
      <w:pBdr>
        <w:top w:val="single" w:sz="4" w:space="0" w:color="FFFFFF"/>
        <w:left w:val="single" w:sz="4" w:space="0" w:color="auto"/>
        <w:bottom w:val="single" w:sz="4" w:space="0" w:color="FFFFFF"/>
      </w:pBdr>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104">
    <w:name w:val="xl104"/>
    <w:basedOn w:val="Normal"/>
    <w:rsid w:val="00EE300C"/>
    <w:pPr>
      <w:widowControl/>
      <w:pBdr>
        <w:top w:val="single" w:sz="4" w:space="0" w:color="FFFFFF"/>
        <w:left w:val="single" w:sz="4" w:space="0" w:color="auto"/>
        <w:bottom w:val="single" w:sz="4" w:space="0" w:color="auto"/>
      </w:pBdr>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105">
    <w:name w:val="xl105"/>
    <w:basedOn w:val="Normal"/>
    <w:rsid w:val="00EE300C"/>
    <w:pPr>
      <w:widowControl/>
      <w:pBdr>
        <w:top w:val="single" w:sz="4" w:space="0" w:color="FFFFFF"/>
        <w:lef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6">
    <w:name w:val="xl106"/>
    <w:basedOn w:val="Normal"/>
    <w:rsid w:val="00EE300C"/>
    <w:pPr>
      <w:widowControl/>
      <w:pBdr>
        <w:top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7">
    <w:name w:val="xl107"/>
    <w:basedOn w:val="Normal"/>
    <w:rsid w:val="00EE300C"/>
    <w:pPr>
      <w:widowControl/>
      <w:pBdr>
        <w:lef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8">
    <w:name w:val="xl108"/>
    <w:basedOn w:val="Normal"/>
    <w:rsid w:val="00EE300C"/>
    <w:pPr>
      <w:widowControl/>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9">
    <w:name w:val="xl109"/>
    <w:basedOn w:val="Normal"/>
    <w:rsid w:val="00EE300C"/>
    <w:pPr>
      <w:widowControl/>
      <w:pBdr>
        <w:top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0">
    <w:name w:val="xl110"/>
    <w:basedOn w:val="Normal"/>
    <w:rsid w:val="00EE300C"/>
    <w:pPr>
      <w:widowControl/>
      <w:pBdr>
        <w:left w:val="single" w:sz="4" w:space="0" w:color="FFFFFF"/>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1">
    <w:name w:val="xl111"/>
    <w:basedOn w:val="Normal"/>
    <w:rsid w:val="00EE300C"/>
    <w:pPr>
      <w:widowControl/>
      <w:pBdr>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2">
    <w:name w:val="xl112"/>
    <w:basedOn w:val="Normal"/>
    <w:rsid w:val="00EE300C"/>
    <w:pPr>
      <w:widowControl/>
      <w:pBdr>
        <w:bottom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3">
    <w:name w:val="xl113"/>
    <w:basedOn w:val="Normal"/>
    <w:rsid w:val="00EE300C"/>
    <w:pPr>
      <w:widowControl/>
      <w:pBdr>
        <w:top w:val="single" w:sz="4" w:space="0" w:color="FFFFFF"/>
        <w:lef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4">
    <w:name w:val="xl114"/>
    <w:basedOn w:val="Normal"/>
    <w:rsid w:val="00EE300C"/>
    <w:pPr>
      <w:widowControl/>
      <w:pBdr>
        <w:top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5">
    <w:name w:val="xl115"/>
    <w:basedOn w:val="Normal"/>
    <w:rsid w:val="00EE300C"/>
    <w:pPr>
      <w:widowControl/>
      <w:pBdr>
        <w:top w:val="single" w:sz="4" w:space="0" w:color="FFFFFF"/>
        <w:righ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6">
    <w:name w:val="xl116"/>
    <w:basedOn w:val="Normal"/>
    <w:rsid w:val="00EE300C"/>
    <w:pPr>
      <w:widowControl/>
      <w:pBdr>
        <w:left w:val="single" w:sz="4" w:space="0" w:color="FFFFFF"/>
        <w:bottom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7">
    <w:name w:val="xl117"/>
    <w:basedOn w:val="Normal"/>
    <w:rsid w:val="00EE300C"/>
    <w:pPr>
      <w:widowControl/>
      <w:pBdr>
        <w:bottom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8">
    <w:name w:val="xl118"/>
    <w:basedOn w:val="Normal"/>
    <w:rsid w:val="00EE300C"/>
    <w:pPr>
      <w:widowControl/>
      <w:pBdr>
        <w:bottom w:val="single" w:sz="4" w:space="0" w:color="FFFFFF"/>
        <w:righ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9">
    <w:name w:val="xl119"/>
    <w:basedOn w:val="Normal"/>
    <w:rsid w:val="00EE300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eastAsia="Times New Roman" w:hAnsi="Calibri"/>
      <w:lang w:eastAsia="en-US"/>
    </w:rPr>
  </w:style>
  <w:style w:type="paragraph" w:customStyle="1" w:styleId="xl120">
    <w:name w:val="xl120"/>
    <w:basedOn w:val="Normal"/>
    <w:rsid w:val="00EE300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121">
    <w:name w:val="xl121"/>
    <w:basedOn w:val="Normal"/>
    <w:rsid w:val="00EE300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122">
    <w:name w:val="xl122"/>
    <w:basedOn w:val="Normal"/>
    <w:rsid w:val="00EE300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123">
    <w:name w:val="xl123"/>
    <w:basedOn w:val="Normal"/>
    <w:rsid w:val="00EE300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D1"/>
    <w:pPr>
      <w:widowControl w:val="0"/>
      <w:autoSpaceDE w:val="0"/>
      <w:autoSpaceDN w:val="0"/>
      <w:adjustRightInd w:val="0"/>
    </w:pPr>
    <w:rPr>
      <w:sz w:val="24"/>
      <w:szCs w:val="24"/>
      <w:lang w:eastAsia="zh-CN"/>
    </w:rPr>
  </w:style>
  <w:style w:type="paragraph" w:styleId="Heading1">
    <w:name w:val="heading 1"/>
    <w:basedOn w:val="Normal"/>
    <w:next w:val="Normal"/>
    <w:link w:val="Heading1Char"/>
    <w:uiPriority w:val="9"/>
    <w:qFormat/>
    <w:rsid w:val="00A973D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F48D1"/>
  </w:style>
  <w:style w:type="paragraph" w:customStyle="1" w:styleId="WPNormal">
    <w:name w:val="WP_Normal"/>
    <w:basedOn w:val="Normal"/>
    <w:rsid w:val="00DF48D1"/>
    <w:rPr>
      <w:rFonts w:ascii="Times New Roman CYR" w:hAnsi="Times New Roman CYR" w:cs="Times New Roman CYR"/>
      <w:b/>
      <w:bCs/>
    </w:rPr>
  </w:style>
  <w:style w:type="paragraph" w:customStyle="1" w:styleId="Level1">
    <w:name w:val="Level 1"/>
    <w:basedOn w:val="Normal"/>
    <w:rsid w:val="00DF48D1"/>
    <w:pPr>
      <w:numPr>
        <w:numId w:val="3"/>
      </w:numPr>
      <w:ind w:left="240" w:hanging="240"/>
      <w:outlineLvl w:val="0"/>
    </w:pPr>
  </w:style>
  <w:style w:type="paragraph" w:styleId="Header">
    <w:name w:val="header"/>
    <w:basedOn w:val="Normal"/>
    <w:link w:val="HeaderChar"/>
    <w:uiPriority w:val="99"/>
    <w:rsid w:val="00DF48D1"/>
    <w:pPr>
      <w:tabs>
        <w:tab w:val="center" w:pos="4320"/>
        <w:tab w:val="right" w:pos="8640"/>
      </w:tabs>
    </w:pPr>
  </w:style>
  <w:style w:type="paragraph" w:styleId="Footer">
    <w:name w:val="footer"/>
    <w:basedOn w:val="Normal"/>
    <w:link w:val="FooterChar"/>
    <w:rsid w:val="00DF48D1"/>
    <w:pPr>
      <w:tabs>
        <w:tab w:val="center" w:pos="4320"/>
        <w:tab w:val="right" w:pos="8640"/>
      </w:tabs>
    </w:pPr>
  </w:style>
  <w:style w:type="character" w:customStyle="1" w:styleId="1">
    <w:name w:val="1"/>
    <w:rsid w:val="00DF48D1"/>
  </w:style>
  <w:style w:type="character" w:styleId="Hyperlink">
    <w:name w:val="Hyperlink"/>
    <w:uiPriority w:val="99"/>
    <w:rsid w:val="00DF48D1"/>
    <w:rPr>
      <w:color w:val="0000FF"/>
      <w:u w:val="single"/>
    </w:rPr>
  </w:style>
  <w:style w:type="character" w:styleId="PageNumber">
    <w:name w:val="page number"/>
    <w:basedOn w:val="DefaultParagraphFont"/>
    <w:semiHidden/>
    <w:rsid w:val="00DF48D1"/>
  </w:style>
  <w:style w:type="character" w:styleId="FollowedHyperlink">
    <w:name w:val="FollowedHyperlink"/>
    <w:uiPriority w:val="99"/>
    <w:semiHidden/>
    <w:rsid w:val="00DF48D1"/>
    <w:rPr>
      <w:color w:val="800080"/>
      <w:u w:val="single"/>
    </w:rPr>
  </w:style>
  <w:style w:type="paragraph" w:styleId="BalloonText">
    <w:name w:val="Balloon Text"/>
    <w:basedOn w:val="Normal"/>
    <w:link w:val="BalloonTextChar"/>
    <w:unhideWhenUsed/>
    <w:rsid w:val="005449F7"/>
    <w:rPr>
      <w:rFonts w:ascii="Tahoma" w:hAnsi="Tahoma"/>
      <w:sz w:val="16"/>
      <w:szCs w:val="16"/>
    </w:rPr>
  </w:style>
  <w:style w:type="character" w:customStyle="1" w:styleId="BalloonTextChar">
    <w:name w:val="Balloon Text Char"/>
    <w:link w:val="BalloonText"/>
    <w:rsid w:val="005449F7"/>
    <w:rPr>
      <w:rFonts w:ascii="Tahoma" w:hAnsi="Tahoma" w:cs="Tahoma"/>
      <w:sz w:val="16"/>
      <w:szCs w:val="16"/>
      <w:lang w:eastAsia="zh-CN"/>
    </w:rPr>
  </w:style>
  <w:style w:type="character" w:styleId="CommentReference">
    <w:name w:val="annotation reference"/>
    <w:unhideWhenUsed/>
    <w:rsid w:val="00B35B8E"/>
    <w:rPr>
      <w:sz w:val="16"/>
      <w:szCs w:val="16"/>
    </w:rPr>
  </w:style>
  <w:style w:type="paragraph" w:styleId="CommentText">
    <w:name w:val="annotation text"/>
    <w:basedOn w:val="Normal"/>
    <w:link w:val="CommentTextChar"/>
    <w:unhideWhenUsed/>
    <w:rsid w:val="00B35B8E"/>
    <w:rPr>
      <w:sz w:val="20"/>
      <w:szCs w:val="20"/>
    </w:rPr>
  </w:style>
  <w:style w:type="character" w:customStyle="1" w:styleId="CommentTextChar">
    <w:name w:val="Comment Text Char"/>
    <w:link w:val="CommentText"/>
    <w:rsid w:val="00B35B8E"/>
    <w:rPr>
      <w:lang w:eastAsia="zh-CN"/>
    </w:rPr>
  </w:style>
  <w:style w:type="paragraph" w:styleId="CommentSubject">
    <w:name w:val="annotation subject"/>
    <w:basedOn w:val="CommentText"/>
    <w:next w:val="CommentText"/>
    <w:link w:val="CommentSubjectChar"/>
    <w:unhideWhenUsed/>
    <w:rsid w:val="00B35B8E"/>
    <w:rPr>
      <w:b/>
      <w:bCs/>
    </w:rPr>
  </w:style>
  <w:style w:type="character" w:customStyle="1" w:styleId="CommentSubjectChar">
    <w:name w:val="Comment Subject Char"/>
    <w:link w:val="CommentSubject"/>
    <w:rsid w:val="00B35B8E"/>
    <w:rPr>
      <w:b/>
      <w:bCs/>
      <w:lang w:eastAsia="zh-CN"/>
    </w:rPr>
  </w:style>
  <w:style w:type="paragraph" w:styleId="NoSpacing">
    <w:name w:val="No Spacing"/>
    <w:uiPriority w:val="1"/>
    <w:qFormat/>
    <w:rsid w:val="00A973DF"/>
    <w:pPr>
      <w:widowControl w:val="0"/>
      <w:autoSpaceDE w:val="0"/>
      <w:autoSpaceDN w:val="0"/>
      <w:adjustRightInd w:val="0"/>
    </w:pPr>
    <w:rPr>
      <w:sz w:val="24"/>
      <w:szCs w:val="24"/>
      <w:lang w:eastAsia="zh-CN"/>
    </w:rPr>
  </w:style>
  <w:style w:type="character" w:customStyle="1" w:styleId="Heading1Char">
    <w:name w:val="Heading 1 Char"/>
    <w:link w:val="Heading1"/>
    <w:uiPriority w:val="9"/>
    <w:rsid w:val="00A973DF"/>
    <w:rPr>
      <w:rFonts w:ascii="Cambria" w:eastAsia="Times New Roman" w:hAnsi="Cambria" w:cs="Times New Roman"/>
      <w:b/>
      <w:bCs/>
      <w:kern w:val="32"/>
      <w:sz w:val="32"/>
      <w:szCs w:val="32"/>
      <w:lang w:eastAsia="zh-CN"/>
    </w:rPr>
  </w:style>
  <w:style w:type="paragraph" w:styleId="FootnoteText">
    <w:name w:val="footnote text"/>
    <w:basedOn w:val="Normal"/>
    <w:link w:val="FootnoteTextChar"/>
    <w:uiPriority w:val="99"/>
    <w:semiHidden/>
    <w:rsid w:val="00A36917"/>
    <w:rPr>
      <w:rFonts w:eastAsia="Times New Roman"/>
      <w:sz w:val="20"/>
      <w:szCs w:val="20"/>
    </w:rPr>
  </w:style>
  <w:style w:type="character" w:customStyle="1" w:styleId="FootnoteTextChar">
    <w:name w:val="Footnote Text Char"/>
    <w:link w:val="FootnoteText"/>
    <w:uiPriority w:val="99"/>
    <w:semiHidden/>
    <w:rsid w:val="00A36917"/>
    <w:rPr>
      <w:rFonts w:eastAsia="Times New Roman"/>
    </w:rPr>
  </w:style>
  <w:style w:type="table" w:styleId="TableGrid">
    <w:name w:val="Table Grid"/>
    <w:basedOn w:val="TableNormal"/>
    <w:uiPriority w:val="59"/>
    <w:rsid w:val="00CB0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text">
    <w:name w:val="Hypertext"/>
    <w:rsid w:val="000145DD"/>
    <w:rPr>
      <w:color w:val="0000FF"/>
      <w:u w:val="single"/>
    </w:rPr>
  </w:style>
  <w:style w:type="character" w:customStyle="1" w:styleId="HeaderChar">
    <w:name w:val="Header Char"/>
    <w:link w:val="Header"/>
    <w:uiPriority w:val="99"/>
    <w:rsid w:val="000145DD"/>
    <w:rPr>
      <w:sz w:val="24"/>
      <w:szCs w:val="24"/>
      <w:lang w:eastAsia="zh-CN"/>
    </w:rPr>
  </w:style>
  <w:style w:type="character" w:customStyle="1" w:styleId="FooterChar">
    <w:name w:val="Footer Char"/>
    <w:link w:val="Footer"/>
    <w:rsid w:val="000145DD"/>
    <w:rPr>
      <w:sz w:val="24"/>
      <w:szCs w:val="24"/>
      <w:lang w:eastAsia="zh-CN"/>
    </w:rPr>
  </w:style>
  <w:style w:type="paragraph" w:styleId="ListParagraph">
    <w:name w:val="List Paragraph"/>
    <w:basedOn w:val="Normal"/>
    <w:uiPriority w:val="34"/>
    <w:qFormat/>
    <w:rsid w:val="000145DD"/>
    <w:pPr>
      <w:ind w:left="720"/>
      <w:contextualSpacing/>
    </w:pPr>
    <w:rPr>
      <w:rFonts w:eastAsia="Times New Roman"/>
      <w:lang w:eastAsia="en-US"/>
    </w:rPr>
  </w:style>
  <w:style w:type="paragraph" w:customStyle="1" w:styleId="xl66">
    <w:name w:val="xl66"/>
    <w:basedOn w:val="Normal"/>
    <w:rsid w:val="00B95EE8"/>
    <w:pPr>
      <w:widowControl/>
      <w:autoSpaceDE/>
      <w:autoSpaceDN/>
      <w:adjustRightInd/>
      <w:spacing w:before="100" w:beforeAutospacing="1" w:after="100" w:afterAutospacing="1"/>
    </w:pPr>
    <w:rPr>
      <w:rFonts w:ascii="Calibri" w:eastAsia="Times New Roman" w:hAnsi="Calibri"/>
      <w:lang w:eastAsia="en-US"/>
    </w:rPr>
  </w:style>
  <w:style w:type="paragraph" w:customStyle="1" w:styleId="xl67">
    <w:name w:val="xl67"/>
    <w:basedOn w:val="Normal"/>
    <w:rsid w:val="00B95EE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Calibri" w:eastAsia="Times New Roman" w:hAnsi="Calibri"/>
      <w:lang w:eastAsia="en-US"/>
    </w:rPr>
  </w:style>
  <w:style w:type="paragraph" w:customStyle="1" w:styleId="xl68">
    <w:name w:val="xl68"/>
    <w:basedOn w:val="Normal"/>
    <w:rsid w:val="00B95EE8"/>
    <w:pPr>
      <w:widowControl/>
      <w:autoSpaceDE/>
      <w:autoSpaceDN/>
      <w:adjustRightInd/>
      <w:spacing w:before="100" w:beforeAutospacing="1" w:after="100" w:afterAutospacing="1"/>
    </w:pPr>
    <w:rPr>
      <w:rFonts w:ascii="Calibri" w:eastAsia="Times New Roman" w:hAnsi="Calibri"/>
      <w:lang w:eastAsia="en-US"/>
    </w:rPr>
  </w:style>
  <w:style w:type="paragraph" w:customStyle="1" w:styleId="xl69">
    <w:name w:val="xl69"/>
    <w:basedOn w:val="Normal"/>
    <w:rsid w:val="00B95EE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lang w:eastAsia="en-US"/>
    </w:rPr>
  </w:style>
  <w:style w:type="paragraph" w:customStyle="1" w:styleId="xl70">
    <w:name w:val="xl70"/>
    <w:basedOn w:val="Normal"/>
    <w:rsid w:val="00B95EE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lang w:eastAsia="en-US"/>
    </w:rPr>
  </w:style>
  <w:style w:type="paragraph" w:customStyle="1" w:styleId="xl71">
    <w:name w:val="xl71"/>
    <w:basedOn w:val="Normal"/>
    <w:rsid w:val="00B95EE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Calibri" w:eastAsia="Times New Roman" w:hAnsi="Calibri"/>
      <w:b/>
      <w:bCs/>
      <w:lang w:eastAsia="en-US"/>
    </w:rPr>
  </w:style>
  <w:style w:type="paragraph" w:customStyle="1" w:styleId="xl72">
    <w:name w:val="xl72"/>
    <w:basedOn w:val="Normal"/>
    <w:rsid w:val="00B95EE8"/>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73">
    <w:name w:val="xl73"/>
    <w:basedOn w:val="Normal"/>
    <w:rsid w:val="00B95EE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74">
    <w:name w:val="xl74"/>
    <w:basedOn w:val="Normal"/>
    <w:rsid w:val="00B95EE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5">
    <w:name w:val="xl75"/>
    <w:basedOn w:val="Normal"/>
    <w:rsid w:val="00B95EE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6">
    <w:name w:val="xl76"/>
    <w:basedOn w:val="Normal"/>
    <w:rsid w:val="00B95EE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7">
    <w:name w:val="xl77"/>
    <w:basedOn w:val="Normal"/>
    <w:rsid w:val="00B95EE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78">
    <w:name w:val="xl78"/>
    <w:basedOn w:val="Normal"/>
    <w:rsid w:val="00B95EE8"/>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79">
    <w:name w:val="xl79"/>
    <w:basedOn w:val="Normal"/>
    <w:rsid w:val="00B95EE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Calibri" w:eastAsia="Times New Roman" w:hAnsi="Calibri"/>
      <w:b/>
      <w:bCs/>
      <w:lang w:eastAsia="en-US"/>
    </w:rPr>
  </w:style>
  <w:style w:type="paragraph" w:customStyle="1" w:styleId="xl80">
    <w:name w:val="xl80"/>
    <w:basedOn w:val="Normal"/>
    <w:rsid w:val="00B95EE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81">
    <w:name w:val="xl81"/>
    <w:basedOn w:val="Normal"/>
    <w:rsid w:val="00B95EE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82">
    <w:name w:val="xl82"/>
    <w:basedOn w:val="Normal"/>
    <w:rsid w:val="00B95EE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83">
    <w:name w:val="xl83"/>
    <w:basedOn w:val="Normal"/>
    <w:rsid w:val="00B95EE8"/>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84">
    <w:name w:val="xl84"/>
    <w:basedOn w:val="Normal"/>
    <w:rsid w:val="00B95EE8"/>
    <w:pPr>
      <w:widowControl/>
      <w:pBdr>
        <w:top w:val="single" w:sz="4" w:space="0" w:color="auto"/>
        <w:left w:val="single" w:sz="4" w:space="0" w:color="auto"/>
        <w:bottom w:val="single" w:sz="4" w:space="0" w:color="FFFFFF"/>
      </w:pBdr>
      <w:shd w:val="clear" w:color="000000" w:fill="FFFFFF"/>
      <w:autoSpaceDE/>
      <w:autoSpaceDN/>
      <w:adjustRightInd/>
      <w:spacing w:before="100" w:beforeAutospacing="1" w:after="100" w:afterAutospacing="1"/>
    </w:pPr>
    <w:rPr>
      <w:rFonts w:ascii="Calibri" w:eastAsia="Times New Roman" w:hAnsi="Calibri"/>
      <w:b/>
      <w:bCs/>
      <w:lang w:eastAsia="en-US"/>
    </w:rPr>
  </w:style>
  <w:style w:type="paragraph" w:customStyle="1" w:styleId="xl85">
    <w:name w:val="xl85"/>
    <w:basedOn w:val="Normal"/>
    <w:rsid w:val="00B95EE8"/>
    <w:pPr>
      <w:widowControl/>
      <w:pBdr>
        <w:top w:val="single" w:sz="4" w:space="0" w:color="auto"/>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86">
    <w:name w:val="xl86"/>
    <w:basedOn w:val="Normal"/>
    <w:rsid w:val="00B95EE8"/>
    <w:pPr>
      <w:widowControl/>
      <w:pBdr>
        <w:top w:val="single" w:sz="4" w:space="0" w:color="auto"/>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87">
    <w:name w:val="xl87"/>
    <w:basedOn w:val="Normal"/>
    <w:rsid w:val="00B95EE8"/>
    <w:pPr>
      <w:widowControl/>
      <w:pBdr>
        <w:top w:val="single" w:sz="4" w:space="0" w:color="FFFFFF"/>
        <w:left w:val="single" w:sz="4" w:space="0" w:color="auto"/>
        <w:bottom w:val="single" w:sz="4" w:space="0" w:color="FFFFFF"/>
      </w:pBdr>
      <w:shd w:val="clear" w:color="000000" w:fill="FFFFFF"/>
      <w:autoSpaceDE/>
      <w:autoSpaceDN/>
      <w:adjustRightInd/>
      <w:spacing w:before="100" w:beforeAutospacing="1" w:after="100" w:afterAutospacing="1"/>
    </w:pPr>
    <w:rPr>
      <w:rFonts w:ascii="Calibri" w:eastAsia="Times New Roman" w:hAnsi="Calibri"/>
      <w:b/>
      <w:bCs/>
      <w:lang w:eastAsia="en-US"/>
    </w:rPr>
  </w:style>
  <w:style w:type="paragraph" w:customStyle="1" w:styleId="xl88">
    <w:name w:val="xl88"/>
    <w:basedOn w:val="Normal"/>
    <w:rsid w:val="00B95EE8"/>
    <w:pPr>
      <w:widowControl/>
      <w:pBdr>
        <w:top w:val="single" w:sz="4" w:space="0" w:color="FFFFFF"/>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89">
    <w:name w:val="xl89"/>
    <w:basedOn w:val="Normal"/>
    <w:rsid w:val="00B95EE8"/>
    <w:pPr>
      <w:widowControl/>
      <w:pBdr>
        <w:top w:val="single" w:sz="4" w:space="0" w:color="FFFFFF"/>
        <w:left w:val="single" w:sz="4" w:space="0" w:color="auto"/>
        <w:bottom w:val="single" w:sz="4" w:space="0" w:color="FFFFFF"/>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90">
    <w:name w:val="xl90"/>
    <w:basedOn w:val="Normal"/>
    <w:rsid w:val="00B95EE8"/>
    <w:pPr>
      <w:widowControl/>
      <w:pBdr>
        <w:top w:val="single" w:sz="4" w:space="0" w:color="FFFFFF"/>
        <w:left w:val="single" w:sz="4" w:space="0" w:color="auto"/>
        <w:bottom w:val="single" w:sz="4" w:space="0" w:color="auto"/>
      </w:pBdr>
      <w:shd w:val="clear" w:color="000000" w:fill="FFFFFF"/>
      <w:autoSpaceDE/>
      <w:autoSpaceDN/>
      <w:adjustRightInd/>
      <w:spacing w:before="100" w:beforeAutospacing="1" w:after="100" w:afterAutospacing="1"/>
    </w:pPr>
    <w:rPr>
      <w:rFonts w:ascii="Calibri" w:eastAsia="Times New Roman" w:hAnsi="Calibri"/>
      <w:b/>
      <w:bCs/>
      <w:lang w:eastAsia="en-US"/>
    </w:rPr>
  </w:style>
  <w:style w:type="paragraph" w:customStyle="1" w:styleId="xl91">
    <w:name w:val="xl91"/>
    <w:basedOn w:val="Normal"/>
    <w:rsid w:val="00B95EE8"/>
    <w:pPr>
      <w:widowControl/>
      <w:pBdr>
        <w:top w:val="single" w:sz="4" w:space="0" w:color="FFFFFF"/>
        <w:left w:val="single" w:sz="4" w:space="0" w:color="auto"/>
        <w:bottom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92">
    <w:name w:val="xl92"/>
    <w:basedOn w:val="Normal"/>
    <w:rsid w:val="00B95EE8"/>
    <w:pPr>
      <w:widowControl/>
      <w:pBdr>
        <w:top w:val="single" w:sz="4" w:space="0" w:color="FFFFFF"/>
        <w:left w:val="single" w:sz="4" w:space="0" w:color="auto"/>
        <w:bottom w:val="single" w:sz="4" w:space="0" w:color="auto"/>
      </w:pBdr>
      <w:shd w:val="clear" w:color="000000" w:fill="FFFFFF"/>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93">
    <w:name w:val="xl93"/>
    <w:basedOn w:val="Normal"/>
    <w:rsid w:val="004A7998"/>
    <w:pPr>
      <w:widowControl/>
      <w:pBdr>
        <w:left w:val="single" w:sz="4" w:space="0" w:color="FFFFFF"/>
        <w:bottom w:val="single" w:sz="4" w:space="0" w:color="FFFFFF"/>
        <w:righ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94">
    <w:name w:val="xl94"/>
    <w:basedOn w:val="Normal"/>
    <w:rsid w:val="004A7998"/>
    <w:pPr>
      <w:widowControl/>
      <w:autoSpaceDE/>
      <w:autoSpaceDN/>
      <w:adjustRightInd/>
      <w:spacing w:before="100" w:beforeAutospacing="1" w:after="100" w:afterAutospacing="1"/>
    </w:pPr>
    <w:rPr>
      <w:rFonts w:ascii="Calibri" w:eastAsia="Times New Roman" w:hAnsi="Calibri"/>
      <w:lang w:eastAsia="en-US"/>
    </w:rPr>
  </w:style>
  <w:style w:type="paragraph" w:customStyle="1" w:styleId="xl95">
    <w:name w:val="xl95"/>
    <w:basedOn w:val="Normal"/>
    <w:rsid w:val="004A7998"/>
    <w:pPr>
      <w:widowControl/>
      <w:pBdr>
        <w:top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6">
    <w:name w:val="xl96"/>
    <w:basedOn w:val="Normal"/>
    <w:rsid w:val="004A7998"/>
    <w:pPr>
      <w:widowControl/>
      <w:pBdr>
        <w:top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7">
    <w:name w:val="xl97"/>
    <w:basedOn w:val="Normal"/>
    <w:rsid w:val="004A7998"/>
    <w:pPr>
      <w:widowControl/>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8">
    <w:name w:val="xl98"/>
    <w:basedOn w:val="Normal"/>
    <w:rsid w:val="004A7998"/>
    <w:pPr>
      <w:widowControl/>
      <w:pBdr>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99">
    <w:name w:val="xl99"/>
    <w:basedOn w:val="Normal"/>
    <w:rsid w:val="004A7998"/>
    <w:pPr>
      <w:widowControl/>
      <w:pBdr>
        <w:left w:val="single" w:sz="4" w:space="0" w:color="FFFFFF"/>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0">
    <w:name w:val="xl100"/>
    <w:basedOn w:val="Normal"/>
    <w:rsid w:val="004A7998"/>
    <w:pPr>
      <w:widowControl/>
      <w:pBdr>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1">
    <w:name w:val="xl101"/>
    <w:basedOn w:val="Normal"/>
    <w:rsid w:val="004A7998"/>
    <w:pPr>
      <w:widowControl/>
      <w:pBdr>
        <w:bottom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2">
    <w:name w:val="xl102"/>
    <w:basedOn w:val="Normal"/>
    <w:rsid w:val="004A7998"/>
    <w:pPr>
      <w:widowControl/>
      <w:pBdr>
        <w:top w:val="single" w:sz="4" w:space="0" w:color="auto"/>
        <w:left w:val="single" w:sz="4" w:space="0" w:color="auto"/>
        <w:bottom w:val="single" w:sz="4" w:space="0" w:color="FFFFFF"/>
      </w:pBdr>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103">
    <w:name w:val="xl103"/>
    <w:basedOn w:val="Normal"/>
    <w:rsid w:val="004A7998"/>
    <w:pPr>
      <w:widowControl/>
      <w:pBdr>
        <w:top w:val="single" w:sz="4" w:space="0" w:color="FFFFFF"/>
        <w:left w:val="single" w:sz="4" w:space="0" w:color="auto"/>
        <w:bottom w:val="single" w:sz="4" w:space="0" w:color="FFFFFF"/>
      </w:pBdr>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104">
    <w:name w:val="xl104"/>
    <w:basedOn w:val="Normal"/>
    <w:rsid w:val="004A7998"/>
    <w:pPr>
      <w:widowControl/>
      <w:pBdr>
        <w:top w:val="single" w:sz="4" w:space="0" w:color="FFFFFF"/>
        <w:left w:val="single" w:sz="4" w:space="0" w:color="auto"/>
        <w:bottom w:val="single" w:sz="4" w:space="0" w:color="auto"/>
      </w:pBdr>
      <w:autoSpaceDE/>
      <w:autoSpaceDN/>
      <w:adjustRightInd/>
      <w:spacing w:before="100" w:beforeAutospacing="1" w:after="100" w:afterAutospacing="1"/>
      <w:jc w:val="center"/>
    </w:pPr>
    <w:rPr>
      <w:rFonts w:ascii="Calibri" w:eastAsia="Times New Roman" w:hAnsi="Calibri"/>
      <w:b/>
      <w:bCs/>
      <w:lang w:eastAsia="en-US"/>
    </w:rPr>
  </w:style>
  <w:style w:type="paragraph" w:customStyle="1" w:styleId="xl105">
    <w:name w:val="xl105"/>
    <w:basedOn w:val="Normal"/>
    <w:rsid w:val="004A7998"/>
    <w:pPr>
      <w:widowControl/>
      <w:pBdr>
        <w:top w:val="single" w:sz="4" w:space="0" w:color="FFFFFF"/>
        <w:lef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6">
    <w:name w:val="xl106"/>
    <w:basedOn w:val="Normal"/>
    <w:rsid w:val="004A7998"/>
    <w:pPr>
      <w:widowControl/>
      <w:pBdr>
        <w:top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7">
    <w:name w:val="xl107"/>
    <w:basedOn w:val="Normal"/>
    <w:rsid w:val="004A7998"/>
    <w:pPr>
      <w:widowControl/>
      <w:pBdr>
        <w:lef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8">
    <w:name w:val="xl108"/>
    <w:basedOn w:val="Normal"/>
    <w:rsid w:val="004A7998"/>
    <w:pPr>
      <w:widowControl/>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09">
    <w:name w:val="xl109"/>
    <w:basedOn w:val="Normal"/>
    <w:rsid w:val="004A7998"/>
    <w:pPr>
      <w:widowControl/>
      <w:pBdr>
        <w:top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0">
    <w:name w:val="xl110"/>
    <w:basedOn w:val="Normal"/>
    <w:rsid w:val="004A7998"/>
    <w:pPr>
      <w:widowControl/>
      <w:pBdr>
        <w:left w:val="single" w:sz="4" w:space="0" w:color="FFFFFF"/>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1">
    <w:name w:val="xl111"/>
    <w:basedOn w:val="Normal"/>
    <w:rsid w:val="004A7998"/>
    <w:pPr>
      <w:widowControl/>
      <w:pBdr>
        <w:bottom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2">
    <w:name w:val="xl112"/>
    <w:basedOn w:val="Normal"/>
    <w:rsid w:val="004A7998"/>
    <w:pPr>
      <w:widowControl/>
      <w:pBdr>
        <w:bottom w:val="single" w:sz="4" w:space="0" w:color="FFFFFF"/>
        <w:right w:val="single" w:sz="4" w:space="0" w:color="FFFFFF"/>
      </w:pBdr>
      <w:autoSpaceDE/>
      <w:autoSpaceDN/>
      <w:adjustRightInd/>
      <w:spacing w:before="100" w:beforeAutospacing="1" w:after="100" w:afterAutospacing="1"/>
      <w:textAlignment w:val="top"/>
    </w:pPr>
    <w:rPr>
      <w:rFonts w:ascii="Calibri" w:eastAsia="Times New Roman" w:hAnsi="Calibri"/>
      <w:lang w:eastAsia="en-US"/>
    </w:rPr>
  </w:style>
  <w:style w:type="paragraph" w:customStyle="1" w:styleId="xl113">
    <w:name w:val="xl113"/>
    <w:basedOn w:val="Normal"/>
    <w:rsid w:val="004A7998"/>
    <w:pPr>
      <w:widowControl/>
      <w:pBdr>
        <w:top w:val="single" w:sz="4" w:space="0" w:color="FFFFFF"/>
        <w:lef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4">
    <w:name w:val="xl114"/>
    <w:basedOn w:val="Normal"/>
    <w:rsid w:val="004A7998"/>
    <w:pPr>
      <w:widowControl/>
      <w:pBdr>
        <w:top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5">
    <w:name w:val="xl115"/>
    <w:basedOn w:val="Normal"/>
    <w:rsid w:val="004A7998"/>
    <w:pPr>
      <w:widowControl/>
      <w:pBdr>
        <w:top w:val="single" w:sz="4" w:space="0" w:color="FFFFFF"/>
        <w:righ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6">
    <w:name w:val="xl116"/>
    <w:basedOn w:val="Normal"/>
    <w:rsid w:val="004A7998"/>
    <w:pPr>
      <w:widowControl/>
      <w:pBdr>
        <w:left w:val="single" w:sz="4" w:space="0" w:color="FFFFFF"/>
        <w:bottom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7">
    <w:name w:val="xl117"/>
    <w:basedOn w:val="Normal"/>
    <w:rsid w:val="004A7998"/>
    <w:pPr>
      <w:widowControl/>
      <w:pBdr>
        <w:bottom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8">
    <w:name w:val="xl118"/>
    <w:basedOn w:val="Normal"/>
    <w:rsid w:val="004A7998"/>
    <w:pPr>
      <w:widowControl/>
      <w:pBdr>
        <w:bottom w:val="single" w:sz="4" w:space="0" w:color="FFFFFF"/>
        <w:right w:val="single" w:sz="4" w:space="0" w:color="FFFFFF"/>
      </w:pBdr>
      <w:autoSpaceDE/>
      <w:autoSpaceDN/>
      <w:adjustRightInd/>
      <w:spacing w:before="100" w:beforeAutospacing="1" w:after="100" w:afterAutospacing="1"/>
    </w:pPr>
    <w:rPr>
      <w:rFonts w:ascii="Calibri" w:eastAsia="Times New Roman" w:hAnsi="Calibri"/>
      <w:lang w:eastAsia="en-US"/>
    </w:rPr>
  </w:style>
  <w:style w:type="paragraph" w:customStyle="1" w:styleId="xl119">
    <w:name w:val="xl119"/>
    <w:basedOn w:val="Normal"/>
    <w:rsid w:val="004A79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eastAsia="Times New Roman" w:hAnsi="Calibri"/>
      <w:lang w:eastAsia="en-US"/>
    </w:rPr>
  </w:style>
  <w:style w:type="paragraph" w:customStyle="1" w:styleId="xl120">
    <w:name w:val="xl120"/>
    <w:basedOn w:val="Normal"/>
    <w:rsid w:val="004A79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121">
    <w:name w:val="xl121"/>
    <w:basedOn w:val="Normal"/>
    <w:rsid w:val="004A79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b/>
      <w:bCs/>
      <w:lang w:eastAsia="en-US"/>
    </w:rPr>
  </w:style>
  <w:style w:type="paragraph" w:customStyle="1" w:styleId="xl122">
    <w:name w:val="xl122"/>
    <w:basedOn w:val="Normal"/>
    <w:rsid w:val="004A79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lang w:eastAsia="en-US"/>
    </w:rPr>
  </w:style>
  <w:style w:type="paragraph" w:customStyle="1" w:styleId="xl123">
    <w:name w:val="xl123"/>
    <w:basedOn w:val="Normal"/>
    <w:rsid w:val="004A79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eastAsia="Times New Roman" w:hAnsi="Calibri"/>
      <w:b/>
      <w:bCs/>
      <w:lang w:eastAsia="en-US"/>
    </w:rPr>
  </w:style>
</w:styles>
</file>

<file path=word/webSettings.xml><?xml version="1.0" encoding="utf-8"?>
<w:webSettings xmlns:r="http://schemas.openxmlformats.org/officeDocument/2006/relationships" xmlns:w="http://schemas.openxmlformats.org/wordprocessingml/2006/main">
  <w:divs>
    <w:div w:id="73013750">
      <w:bodyDiv w:val="1"/>
      <w:marLeft w:val="0"/>
      <w:marRight w:val="0"/>
      <w:marTop w:val="0"/>
      <w:marBottom w:val="0"/>
      <w:divBdr>
        <w:top w:val="none" w:sz="0" w:space="0" w:color="auto"/>
        <w:left w:val="none" w:sz="0" w:space="0" w:color="auto"/>
        <w:bottom w:val="none" w:sz="0" w:space="0" w:color="auto"/>
        <w:right w:val="none" w:sz="0" w:space="0" w:color="auto"/>
      </w:divBdr>
    </w:div>
    <w:div w:id="74936131">
      <w:bodyDiv w:val="1"/>
      <w:marLeft w:val="0"/>
      <w:marRight w:val="0"/>
      <w:marTop w:val="0"/>
      <w:marBottom w:val="0"/>
      <w:divBdr>
        <w:top w:val="none" w:sz="0" w:space="0" w:color="auto"/>
        <w:left w:val="none" w:sz="0" w:space="0" w:color="auto"/>
        <w:bottom w:val="none" w:sz="0" w:space="0" w:color="auto"/>
        <w:right w:val="none" w:sz="0" w:space="0" w:color="auto"/>
      </w:divBdr>
    </w:div>
    <w:div w:id="94984332">
      <w:bodyDiv w:val="1"/>
      <w:marLeft w:val="0"/>
      <w:marRight w:val="0"/>
      <w:marTop w:val="0"/>
      <w:marBottom w:val="0"/>
      <w:divBdr>
        <w:top w:val="none" w:sz="0" w:space="0" w:color="auto"/>
        <w:left w:val="none" w:sz="0" w:space="0" w:color="auto"/>
        <w:bottom w:val="none" w:sz="0" w:space="0" w:color="auto"/>
        <w:right w:val="none" w:sz="0" w:space="0" w:color="auto"/>
      </w:divBdr>
    </w:div>
    <w:div w:id="118259645">
      <w:bodyDiv w:val="1"/>
      <w:marLeft w:val="0"/>
      <w:marRight w:val="0"/>
      <w:marTop w:val="0"/>
      <w:marBottom w:val="0"/>
      <w:divBdr>
        <w:top w:val="none" w:sz="0" w:space="0" w:color="auto"/>
        <w:left w:val="none" w:sz="0" w:space="0" w:color="auto"/>
        <w:bottom w:val="none" w:sz="0" w:space="0" w:color="auto"/>
        <w:right w:val="none" w:sz="0" w:space="0" w:color="auto"/>
      </w:divBdr>
    </w:div>
    <w:div w:id="178933429">
      <w:bodyDiv w:val="1"/>
      <w:marLeft w:val="0"/>
      <w:marRight w:val="0"/>
      <w:marTop w:val="0"/>
      <w:marBottom w:val="0"/>
      <w:divBdr>
        <w:top w:val="none" w:sz="0" w:space="0" w:color="auto"/>
        <w:left w:val="none" w:sz="0" w:space="0" w:color="auto"/>
        <w:bottom w:val="none" w:sz="0" w:space="0" w:color="auto"/>
        <w:right w:val="none" w:sz="0" w:space="0" w:color="auto"/>
      </w:divBdr>
    </w:div>
    <w:div w:id="199057206">
      <w:bodyDiv w:val="1"/>
      <w:marLeft w:val="0"/>
      <w:marRight w:val="0"/>
      <w:marTop w:val="0"/>
      <w:marBottom w:val="0"/>
      <w:divBdr>
        <w:top w:val="none" w:sz="0" w:space="0" w:color="auto"/>
        <w:left w:val="none" w:sz="0" w:space="0" w:color="auto"/>
        <w:bottom w:val="none" w:sz="0" w:space="0" w:color="auto"/>
        <w:right w:val="none" w:sz="0" w:space="0" w:color="auto"/>
      </w:divBdr>
    </w:div>
    <w:div w:id="214586476">
      <w:bodyDiv w:val="1"/>
      <w:marLeft w:val="0"/>
      <w:marRight w:val="0"/>
      <w:marTop w:val="0"/>
      <w:marBottom w:val="0"/>
      <w:divBdr>
        <w:top w:val="none" w:sz="0" w:space="0" w:color="auto"/>
        <w:left w:val="none" w:sz="0" w:space="0" w:color="auto"/>
        <w:bottom w:val="none" w:sz="0" w:space="0" w:color="auto"/>
        <w:right w:val="none" w:sz="0" w:space="0" w:color="auto"/>
      </w:divBdr>
    </w:div>
    <w:div w:id="241911259">
      <w:bodyDiv w:val="1"/>
      <w:marLeft w:val="0"/>
      <w:marRight w:val="0"/>
      <w:marTop w:val="0"/>
      <w:marBottom w:val="0"/>
      <w:divBdr>
        <w:top w:val="none" w:sz="0" w:space="0" w:color="auto"/>
        <w:left w:val="none" w:sz="0" w:space="0" w:color="auto"/>
        <w:bottom w:val="none" w:sz="0" w:space="0" w:color="auto"/>
        <w:right w:val="none" w:sz="0" w:space="0" w:color="auto"/>
      </w:divBdr>
    </w:div>
    <w:div w:id="286473790">
      <w:bodyDiv w:val="1"/>
      <w:marLeft w:val="0"/>
      <w:marRight w:val="0"/>
      <w:marTop w:val="0"/>
      <w:marBottom w:val="0"/>
      <w:divBdr>
        <w:top w:val="none" w:sz="0" w:space="0" w:color="auto"/>
        <w:left w:val="none" w:sz="0" w:space="0" w:color="auto"/>
        <w:bottom w:val="none" w:sz="0" w:space="0" w:color="auto"/>
        <w:right w:val="none" w:sz="0" w:space="0" w:color="auto"/>
      </w:divBdr>
    </w:div>
    <w:div w:id="304893595">
      <w:bodyDiv w:val="1"/>
      <w:marLeft w:val="0"/>
      <w:marRight w:val="0"/>
      <w:marTop w:val="0"/>
      <w:marBottom w:val="0"/>
      <w:divBdr>
        <w:top w:val="none" w:sz="0" w:space="0" w:color="auto"/>
        <w:left w:val="none" w:sz="0" w:space="0" w:color="auto"/>
        <w:bottom w:val="none" w:sz="0" w:space="0" w:color="auto"/>
        <w:right w:val="none" w:sz="0" w:space="0" w:color="auto"/>
      </w:divBdr>
    </w:div>
    <w:div w:id="314336232">
      <w:bodyDiv w:val="1"/>
      <w:marLeft w:val="0"/>
      <w:marRight w:val="0"/>
      <w:marTop w:val="0"/>
      <w:marBottom w:val="0"/>
      <w:divBdr>
        <w:top w:val="none" w:sz="0" w:space="0" w:color="auto"/>
        <w:left w:val="none" w:sz="0" w:space="0" w:color="auto"/>
        <w:bottom w:val="none" w:sz="0" w:space="0" w:color="auto"/>
        <w:right w:val="none" w:sz="0" w:space="0" w:color="auto"/>
      </w:divBdr>
    </w:div>
    <w:div w:id="319312928">
      <w:bodyDiv w:val="1"/>
      <w:marLeft w:val="0"/>
      <w:marRight w:val="0"/>
      <w:marTop w:val="0"/>
      <w:marBottom w:val="0"/>
      <w:divBdr>
        <w:top w:val="none" w:sz="0" w:space="0" w:color="auto"/>
        <w:left w:val="none" w:sz="0" w:space="0" w:color="auto"/>
        <w:bottom w:val="none" w:sz="0" w:space="0" w:color="auto"/>
        <w:right w:val="none" w:sz="0" w:space="0" w:color="auto"/>
      </w:divBdr>
    </w:div>
    <w:div w:id="340400120">
      <w:bodyDiv w:val="1"/>
      <w:marLeft w:val="0"/>
      <w:marRight w:val="0"/>
      <w:marTop w:val="0"/>
      <w:marBottom w:val="0"/>
      <w:divBdr>
        <w:top w:val="none" w:sz="0" w:space="0" w:color="auto"/>
        <w:left w:val="none" w:sz="0" w:space="0" w:color="auto"/>
        <w:bottom w:val="none" w:sz="0" w:space="0" w:color="auto"/>
        <w:right w:val="none" w:sz="0" w:space="0" w:color="auto"/>
      </w:divBdr>
    </w:div>
    <w:div w:id="497963234">
      <w:bodyDiv w:val="1"/>
      <w:marLeft w:val="0"/>
      <w:marRight w:val="0"/>
      <w:marTop w:val="0"/>
      <w:marBottom w:val="0"/>
      <w:divBdr>
        <w:top w:val="none" w:sz="0" w:space="0" w:color="auto"/>
        <w:left w:val="none" w:sz="0" w:space="0" w:color="auto"/>
        <w:bottom w:val="none" w:sz="0" w:space="0" w:color="auto"/>
        <w:right w:val="none" w:sz="0" w:space="0" w:color="auto"/>
      </w:divBdr>
    </w:div>
    <w:div w:id="512770827">
      <w:bodyDiv w:val="1"/>
      <w:marLeft w:val="0"/>
      <w:marRight w:val="0"/>
      <w:marTop w:val="0"/>
      <w:marBottom w:val="0"/>
      <w:divBdr>
        <w:top w:val="none" w:sz="0" w:space="0" w:color="auto"/>
        <w:left w:val="none" w:sz="0" w:space="0" w:color="auto"/>
        <w:bottom w:val="none" w:sz="0" w:space="0" w:color="auto"/>
        <w:right w:val="none" w:sz="0" w:space="0" w:color="auto"/>
      </w:divBdr>
    </w:div>
    <w:div w:id="539897987">
      <w:bodyDiv w:val="1"/>
      <w:marLeft w:val="0"/>
      <w:marRight w:val="0"/>
      <w:marTop w:val="0"/>
      <w:marBottom w:val="0"/>
      <w:divBdr>
        <w:top w:val="none" w:sz="0" w:space="0" w:color="auto"/>
        <w:left w:val="none" w:sz="0" w:space="0" w:color="auto"/>
        <w:bottom w:val="none" w:sz="0" w:space="0" w:color="auto"/>
        <w:right w:val="none" w:sz="0" w:space="0" w:color="auto"/>
      </w:divBdr>
    </w:div>
    <w:div w:id="764882087">
      <w:bodyDiv w:val="1"/>
      <w:marLeft w:val="0"/>
      <w:marRight w:val="0"/>
      <w:marTop w:val="0"/>
      <w:marBottom w:val="0"/>
      <w:divBdr>
        <w:top w:val="none" w:sz="0" w:space="0" w:color="auto"/>
        <w:left w:val="none" w:sz="0" w:space="0" w:color="auto"/>
        <w:bottom w:val="none" w:sz="0" w:space="0" w:color="auto"/>
        <w:right w:val="none" w:sz="0" w:space="0" w:color="auto"/>
      </w:divBdr>
    </w:div>
    <w:div w:id="780801275">
      <w:bodyDiv w:val="1"/>
      <w:marLeft w:val="0"/>
      <w:marRight w:val="0"/>
      <w:marTop w:val="0"/>
      <w:marBottom w:val="0"/>
      <w:divBdr>
        <w:top w:val="none" w:sz="0" w:space="0" w:color="auto"/>
        <w:left w:val="none" w:sz="0" w:space="0" w:color="auto"/>
        <w:bottom w:val="none" w:sz="0" w:space="0" w:color="auto"/>
        <w:right w:val="none" w:sz="0" w:space="0" w:color="auto"/>
      </w:divBdr>
    </w:div>
    <w:div w:id="856886702">
      <w:bodyDiv w:val="1"/>
      <w:marLeft w:val="0"/>
      <w:marRight w:val="0"/>
      <w:marTop w:val="0"/>
      <w:marBottom w:val="0"/>
      <w:divBdr>
        <w:top w:val="none" w:sz="0" w:space="0" w:color="auto"/>
        <w:left w:val="none" w:sz="0" w:space="0" w:color="auto"/>
        <w:bottom w:val="none" w:sz="0" w:space="0" w:color="auto"/>
        <w:right w:val="none" w:sz="0" w:space="0" w:color="auto"/>
      </w:divBdr>
    </w:div>
    <w:div w:id="893350970">
      <w:bodyDiv w:val="1"/>
      <w:marLeft w:val="0"/>
      <w:marRight w:val="0"/>
      <w:marTop w:val="0"/>
      <w:marBottom w:val="0"/>
      <w:divBdr>
        <w:top w:val="none" w:sz="0" w:space="0" w:color="auto"/>
        <w:left w:val="none" w:sz="0" w:space="0" w:color="auto"/>
        <w:bottom w:val="none" w:sz="0" w:space="0" w:color="auto"/>
        <w:right w:val="none" w:sz="0" w:space="0" w:color="auto"/>
      </w:divBdr>
    </w:div>
    <w:div w:id="899752181">
      <w:bodyDiv w:val="1"/>
      <w:marLeft w:val="0"/>
      <w:marRight w:val="0"/>
      <w:marTop w:val="0"/>
      <w:marBottom w:val="0"/>
      <w:divBdr>
        <w:top w:val="none" w:sz="0" w:space="0" w:color="auto"/>
        <w:left w:val="none" w:sz="0" w:space="0" w:color="auto"/>
        <w:bottom w:val="none" w:sz="0" w:space="0" w:color="auto"/>
        <w:right w:val="none" w:sz="0" w:space="0" w:color="auto"/>
      </w:divBdr>
    </w:div>
    <w:div w:id="974869920">
      <w:bodyDiv w:val="1"/>
      <w:marLeft w:val="0"/>
      <w:marRight w:val="0"/>
      <w:marTop w:val="0"/>
      <w:marBottom w:val="0"/>
      <w:divBdr>
        <w:top w:val="none" w:sz="0" w:space="0" w:color="auto"/>
        <w:left w:val="none" w:sz="0" w:space="0" w:color="auto"/>
        <w:bottom w:val="none" w:sz="0" w:space="0" w:color="auto"/>
        <w:right w:val="none" w:sz="0" w:space="0" w:color="auto"/>
      </w:divBdr>
    </w:div>
    <w:div w:id="987517711">
      <w:bodyDiv w:val="1"/>
      <w:marLeft w:val="0"/>
      <w:marRight w:val="0"/>
      <w:marTop w:val="0"/>
      <w:marBottom w:val="0"/>
      <w:divBdr>
        <w:top w:val="none" w:sz="0" w:space="0" w:color="auto"/>
        <w:left w:val="none" w:sz="0" w:space="0" w:color="auto"/>
        <w:bottom w:val="none" w:sz="0" w:space="0" w:color="auto"/>
        <w:right w:val="none" w:sz="0" w:space="0" w:color="auto"/>
      </w:divBdr>
    </w:div>
    <w:div w:id="1003359498">
      <w:bodyDiv w:val="1"/>
      <w:marLeft w:val="0"/>
      <w:marRight w:val="0"/>
      <w:marTop w:val="0"/>
      <w:marBottom w:val="0"/>
      <w:divBdr>
        <w:top w:val="none" w:sz="0" w:space="0" w:color="auto"/>
        <w:left w:val="none" w:sz="0" w:space="0" w:color="auto"/>
        <w:bottom w:val="none" w:sz="0" w:space="0" w:color="auto"/>
        <w:right w:val="none" w:sz="0" w:space="0" w:color="auto"/>
      </w:divBdr>
    </w:div>
    <w:div w:id="1056079394">
      <w:bodyDiv w:val="1"/>
      <w:marLeft w:val="0"/>
      <w:marRight w:val="0"/>
      <w:marTop w:val="0"/>
      <w:marBottom w:val="0"/>
      <w:divBdr>
        <w:top w:val="none" w:sz="0" w:space="0" w:color="auto"/>
        <w:left w:val="none" w:sz="0" w:space="0" w:color="auto"/>
        <w:bottom w:val="none" w:sz="0" w:space="0" w:color="auto"/>
        <w:right w:val="none" w:sz="0" w:space="0" w:color="auto"/>
      </w:divBdr>
    </w:div>
    <w:div w:id="1058817155">
      <w:bodyDiv w:val="1"/>
      <w:marLeft w:val="0"/>
      <w:marRight w:val="0"/>
      <w:marTop w:val="0"/>
      <w:marBottom w:val="0"/>
      <w:divBdr>
        <w:top w:val="none" w:sz="0" w:space="0" w:color="auto"/>
        <w:left w:val="none" w:sz="0" w:space="0" w:color="auto"/>
        <w:bottom w:val="none" w:sz="0" w:space="0" w:color="auto"/>
        <w:right w:val="none" w:sz="0" w:space="0" w:color="auto"/>
      </w:divBdr>
    </w:div>
    <w:div w:id="1060404610">
      <w:bodyDiv w:val="1"/>
      <w:marLeft w:val="0"/>
      <w:marRight w:val="0"/>
      <w:marTop w:val="0"/>
      <w:marBottom w:val="0"/>
      <w:divBdr>
        <w:top w:val="none" w:sz="0" w:space="0" w:color="auto"/>
        <w:left w:val="none" w:sz="0" w:space="0" w:color="auto"/>
        <w:bottom w:val="none" w:sz="0" w:space="0" w:color="auto"/>
        <w:right w:val="none" w:sz="0" w:space="0" w:color="auto"/>
      </w:divBdr>
    </w:div>
    <w:div w:id="1134054800">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70410250">
      <w:bodyDiv w:val="1"/>
      <w:marLeft w:val="0"/>
      <w:marRight w:val="0"/>
      <w:marTop w:val="0"/>
      <w:marBottom w:val="0"/>
      <w:divBdr>
        <w:top w:val="none" w:sz="0" w:space="0" w:color="auto"/>
        <w:left w:val="none" w:sz="0" w:space="0" w:color="auto"/>
        <w:bottom w:val="none" w:sz="0" w:space="0" w:color="auto"/>
        <w:right w:val="none" w:sz="0" w:space="0" w:color="auto"/>
      </w:divBdr>
    </w:div>
    <w:div w:id="1206714666">
      <w:bodyDiv w:val="1"/>
      <w:marLeft w:val="0"/>
      <w:marRight w:val="0"/>
      <w:marTop w:val="0"/>
      <w:marBottom w:val="0"/>
      <w:divBdr>
        <w:top w:val="none" w:sz="0" w:space="0" w:color="auto"/>
        <w:left w:val="none" w:sz="0" w:space="0" w:color="auto"/>
        <w:bottom w:val="none" w:sz="0" w:space="0" w:color="auto"/>
        <w:right w:val="none" w:sz="0" w:space="0" w:color="auto"/>
      </w:divBdr>
    </w:div>
    <w:div w:id="1249192092">
      <w:bodyDiv w:val="1"/>
      <w:marLeft w:val="0"/>
      <w:marRight w:val="0"/>
      <w:marTop w:val="0"/>
      <w:marBottom w:val="0"/>
      <w:divBdr>
        <w:top w:val="none" w:sz="0" w:space="0" w:color="auto"/>
        <w:left w:val="none" w:sz="0" w:space="0" w:color="auto"/>
        <w:bottom w:val="none" w:sz="0" w:space="0" w:color="auto"/>
        <w:right w:val="none" w:sz="0" w:space="0" w:color="auto"/>
      </w:divBdr>
    </w:div>
    <w:div w:id="1282347023">
      <w:bodyDiv w:val="1"/>
      <w:marLeft w:val="0"/>
      <w:marRight w:val="0"/>
      <w:marTop w:val="0"/>
      <w:marBottom w:val="0"/>
      <w:divBdr>
        <w:top w:val="none" w:sz="0" w:space="0" w:color="auto"/>
        <w:left w:val="none" w:sz="0" w:space="0" w:color="auto"/>
        <w:bottom w:val="none" w:sz="0" w:space="0" w:color="auto"/>
        <w:right w:val="none" w:sz="0" w:space="0" w:color="auto"/>
      </w:divBdr>
    </w:div>
    <w:div w:id="1304890449">
      <w:bodyDiv w:val="1"/>
      <w:marLeft w:val="0"/>
      <w:marRight w:val="0"/>
      <w:marTop w:val="0"/>
      <w:marBottom w:val="0"/>
      <w:divBdr>
        <w:top w:val="none" w:sz="0" w:space="0" w:color="auto"/>
        <w:left w:val="none" w:sz="0" w:space="0" w:color="auto"/>
        <w:bottom w:val="none" w:sz="0" w:space="0" w:color="auto"/>
        <w:right w:val="none" w:sz="0" w:space="0" w:color="auto"/>
      </w:divBdr>
    </w:div>
    <w:div w:id="1376395384">
      <w:bodyDiv w:val="1"/>
      <w:marLeft w:val="0"/>
      <w:marRight w:val="0"/>
      <w:marTop w:val="0"/>
      <w:marBottom w:val="0"/>
      <w:divBdr>
        <w:top w:val="none" w:sz="0" w:space="0" w:color="auto"/>
        <w:left w:val="none" w:sz="0" w:space="0" w:color="auto"/>
        <w:bottom w:val="none" w:sz="0" w:space="0" w:color="auto"/>
        <w:right w:val="none" w:sz="0" w:space="0" w:color="auto"/>
      </w:divBdr>
    </w:div>
    <w:div w:id="1449424048">
      <w:bodyDiv w:val="1"/>
      <w:marLeft w:val="0"/>
      <w:marRight w:val="0"/>
      <w:marTop w:val="0"/>
      <w:marBottom w:val="0"/>
      <w:divBdr>
        <w:top w:val="none" w:sz="0" w:space="0" w:color="auto"/>
        <w:left w:val="none" w:sz="0" w:space="0" w:color="auto"/>
        <w:bottom w:val="none" w:sz="0" w:space="0" w:color="auto"/>
        <w:right w:val="none" w:sz="0" w:space="0" w:color="auto"/>
      </w:divBdr>
    </w:div>
    <w:div w:id="1541943310">
      <w:bodyDiv w:val="1"/>
      <w:marLeft w:val="0"/>
      <w:marRight w:val="0"/>
      <w:marTop w:val="0"/>
      <w:marBottom w:val="0"/>
      <w:divBdr>
        <w:top w:val="none" w:sz="0" w:space="0" w:color="auto"/>
        <w:left w:val="none" w:sz="0" w:space="0" w:color="auto"/>
        <w:bottom w:val="none" w:sz="0" w:space="0" w:color="auto"/>
        <w:right w:val="none" w:sz="0" w:space="0" w:color="auto"/>
      </w:divBdr>
    </w:div>
    <w:div w:id="1608734145">
      <w:bodyDiv w:val="1"/>
      <w:marLeft w:val="0"/>
      <w:marRight w:val="0"/>
      <w:marTop w:val="0"/>
      <w:marBottom w:val="0"/>
      <w:divBdr>
        <w:top w:val="none" w:sz="0" w:space="0" w:color="auto"/>
        <w:left w:val="none" w:sz="0" w:space="0" w:color="auto"/>
        <w:bottom w:val="none" w:sz="0" w:space="0" w:color="auto"/>
        <w:right w:val="none" w:sz="0" w:space="0" w:color="auto"/>
      </w:divBdr>
    </w:div>
    <w:div w:id="1640303354">
      <w:bodyDiv w:val="1"/>
      <w:marLeft w:val="0"/>
      <w:marRight w:val="0"/>
      <w:marTop w:val="0"/>
      <w:marBottom w:val="0"/>
      <w:divBdr>
        <w:top w:val="none" w:sz="0" w:space="0" w:color="auto"/>
        <w:left w:val="none" w:sz="0" w:space="0" w:color="auto"/>
        <w:bottom w:val="none" w:sz="0" w:space="0" w:color="auto"/>
        <w:right w:val="none" w:sz="0" w:space="0" w:color="auto"/>
      </w:divBdr>
    </w:div>
    <w:div w:id="1644389648">
      <w:bodyDiv w:val="1"/>
      <w:marLeft w:val="0"/>
      <w:marRight w:val="0"/>
      <w:marTop w:val="0"/>
      <w:marBottom w:val="0"/>
      <w:divBdr>
        <w:top w:val="none" w:sz="0" w:space="0" w:color="auto"/>
        <w:left w:val="none" w:sz="0" w:space="0" w:color="auto"/>
        <w:bottom w:val="none" w:sz="0" w:space="0" w:color="auto"/>
        <w:right w:val="none" w:sz="0" w:space="0" w:color="auto"/>
      </w:divBdr>
    </w:div>
    <w:div w:id="1682274192">
      <w:bodyDiv w:val="1"/>
      <w:marLeft w:val="0"/>
      <w:marRight w:val="0"/>
      <w:marTop w:val="0"/>
      <w:marBottom w:val="0"/>
      <w:divBdr>
        <w:top w:val="none" w:sz="0" w:space="0" w:color="auto"/>
        <w:left w:val="none" w:sz="0" w:space="0" w:color="auto"/>
        <w:bottom w:val="none" w:sz="0" w:space="0" w:color="auto"/>
        <w:right w:val="none" w:sz="0" w:space="0" w:color="auto"/>
      </w:divBdr>
    </w:div>
    <w:div w:id="1720587769">
      <w:bodyDiv w:val="1"/>
      <w:marLeft w:val="0"/>
      <w:marRight w:val="0"/>
      <w:marTop w:val="0"/>
      <w:marBottom w:val="0"/>
      <w:divBdr>
        <w:top w:val="none" w:sz="0" w:space="0" w:color="auto"/>
        <w:left w:val="none" w:sz="0" w:space="0" w:color="auto"/>
        <w:bottom w:val="none" w:sz="0" w:space="0" w:color="auto"/>
        <w:right w:val="none" w:sz="0" w:space="0" w:color="auto"/>
      </w:divBdr>
    </w:div>
    <w:div w:id="1772314507">
      <w:bodyDiv w:val="1"/>
      <w:marLeft w:val="0"/>
      <w:marRight w:val="0"/>
      <w:marTop w:val="0"/>
      <w:marBottom w:val="0"/>
      <w:divBdr>
        <w:top w:val="none" w:sz="0" w:space="0" w:color="auto"/>
        <w:left w:val="none" w:sz="0" w:space="0" w:color="auto"/>
        <w:bottom w:val="none" w:sz="0" w:space="0" w:color="auto"/>
        <w:right w:val="none" w:sz="0" w:space="0" w:color="auto"/>
      </w:divBdr>
    </w:div>
    <w:div w:id="1817379917">
      <w:bodyDiv w:val="1"/>
      <w:marLeft w:val="0"/>
      <w:marRight w:val="0"/>
      <w:marTop w:val="0"/>
      <w:marBottom w:val="0"/>
      <w:divBdr>
        <w:top w:val="none" w:sz="0" w:space="0" w:color="auto"/>
        <w:left w:val="none" w:sz="0" w:space="0" w:color="auto"/>
        <w:bottom w:val="none" w:sz="0" w:space="0" w:color="auto"/>
        <w:right w:val="none" w:sz="0" w:space="0" w:color="auto"/>
      </w:divBdr>
    </w:div>
    <w:div w:id="1940481267">
      <w:bodyDiv w:val="1"/>
      <w:marLeft w:val="0"/>
      <w:marRight w:val="0"/>
      <w:marTop w:val="0"/>
      <w:marBottom w:val="0"/>
      <w:divBdr>
        <w:top w:val="none" w:sz="0" w:space="0" w:color="auto"/>
        <w:left w:val="none" w:sz="0" w:space="0" w:color="auto"/>
        <w:bottom w:val="none" w:sz="0" w:space="0" w:color="auto"/>
        <w:right w:val="none" w:sz="0" w:space="0" w:color="auto"/>
      </w:divBdr>
    </w:div>
    <w:div w:id="1976645173">
      <w:bodyDiv w:val="1"/>
      <w:marLeft w:val="0"/>
      <w:marRight w:val="0"/>
      <w:marTop w:val="0"/>
      <w:marBottom w:val="0"/>
      <w:divBdr>
        <w:top w:val="none" w:sz="0" w:space="0" w:color="auto"/>
        <w:left w:val="none" w:sz="0" w:space="0" w:color="auto"/>
        <w:bottom w:val="none" w:sz="0" w:space="0" w:color="auto"/>
        <w:right w:val="none" w:sz="0" w:space="0" w:color="auto"/>
      </w:divBdr>
    </w:div>
    <w:div w:id="2015759148">
      <w:bodyDiv w:val="1"/>
      <w:marLeft w:val="0"/>
      <w:marRight w:val="0"/>
      <w:marTop w:val="0"/>
      <w:marBottom w:val="0"/>
      <w:divBdr>
        <w:top w:val="none" w:sz="0" w:space="0" w:color="auto"/>
        <w:left w:val="none" w:sz="0" w:space="0" w:color="auto"/>
        <w:bottom w:val="none" w:sz="0" w:space="0" w:color="auto"/>
        <w:right w:val="none" w:sz="0" w:space="0" w:color="auto"/>
      </w:divBdr>
    </w:div>
    <w:div w:id="2020740673">
      <w:bodyDiv w:val="1"/>
      <w:marLeft w:val="0"/>
      <w:marRight w:val="0"/>
      <w:marTop w:val="0"/>
      <w:marBottom w:val="0"/>
      <w:divBdr>
        <w:top w:val="none" w:sz="0" w:space="0" w:color="auto"/>
        <w:left w:val="none" w:sz="0" w:space="0" w:color="auto"/>
        <w:bottom w:val="none" w:sz="0" w:space="0" w:color="auto"/>
        <w:right w:val="none" w:sz="0" w:space="0" w:color="auto"/>
      </w:divBdr>
    </w:div>
    <w:div w:id="2061780117">
      <w:bodyDiv w:val="1"/>
      <w:marLeft w:val="0"/>
      <w:marRight w:val="0"/>
      <w:marTop w:val="0"/>
      <w:marBottom w:val="0"/>
      <w:divBdr>
        <w:top w:val="none" w:sz="0" w:space="0" w:color="auto"/>
        <w:left w:val="none" w:sz="0" w:space="0" w:color="auto"/>
        <w:bottom w:val="none" w:sz="0" w:space="0" w:color="auto"/>
        <w:right w:val="none" w:sz="0" w:space="0" w:color="auto"/>
      </w:divBdr>
    </w:div>
    <w:div w:id="2063170988">
      <w:bodyDiv w:val="1"/>
      <w:marLeft w:val="0"/>
      <w:marRight w:val="0"/>
      <w:marTop w:val="0"/>
      <w:marBottom w:val="0"/>
      <w:divBdr>
        <w:top w:val="none" w:sz="0" w:space="0" w:color="auto"/>
        <w:left w:val="none" w:sz="0" w:space="0" w:color="auto"/>
        <w:bottom w:val="none" w:sz="0" w:space="0" w:color="auto"/>
        <w:right w:val="none" w:sz="0" w:space="0" w:color="auto"/>
      </w:divBdr>
    </w:div>
    <w:div w:id="2095592889">
      <w:bodyDiv w:val="1"/>
      <w:marLeft w:val="0"/>
      <w:marRight w:val="0"/>
      <w:marTop w:val="0"/>
      <w:marBottom w:val="0"/>
      <w:divBdr>
        <w:top w:val="none" w:sz="0" w:space="0" w:color="auto"/>
        <w:left w:val="none" w:sz="0" w:space="0" w:color="auto"/>
        <w:bottom w:val="none" w:sz="0" w:space="0" w:color="auto"/>
        <w:right w:val="none" w:sz="0" w:space="0" w:color="auto"/>
      </w:divBdr>
    </w:div>
    <w:div w:id="21199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952C-0301-44C4-AED7-94584A79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7406</Words>
  <Characters>42215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49522</CharactersWithSpaces>
  <SharedDoc>false</SharedDoc>
  <HLinks>
    <vt:vector size="24" baseType="variant">
      <vt:variant>
        <vt:i4>7143540</vt:i4>
      </vt:variant>
      <vt:variant>
        <vt:i4>9</vt:i4>
      </vt:variant>
      <vt:variant>
        <vt:i4>0</vt:i4>
      </vt:variant>
      <vt:variant>
        <vt:i4>5</vt:i4>
      </vt:variant>
      <vt:variant>
        <vt:lpwstr>http://www.bls.gov/ncs/ocs/sp/nctb1478.pdf</vt:lpwstr>
      </vt:variant>
      <vt:variant>
        <vt:lpwstr/>
      </vt:variant>
      <vt:variant>
        <vt:i4>2818151</vt:i4>
      </vt:variant>
      <vt:variant>
        <vt:i4>6</vt:i4>
      </vt:variant>
      <vt:variant>
        <vt:i4>0</vt:i4>
      </vt:variant>
      <vt:variant>
        <vt:i4>5</vt:i4>
      </vt:variant>
      <vt:variant>
        <vt:lpwstr>http://www.regulations.gov/</vt:lpwstr>
      </vt:variant>
      <vt:variant>
        <vt:lpwstr/>
      </vt:variant>
      <vt:variant>
        <vt:i4>7143540</vt:i4>
      </vt:variant>
      <vt:variant>
        <vt:i4>3</vt:i4>
      </vt:variant>
      <vt:variant>
        <vt:i4>0</vt:i4>
      </vt:variant>
      <vt:variant>
        <vt:i4>5</vt:i4>
      </vt:variant>
      <vt:variant>
        <vt:lpwstr>http://www.bls.gov/ncs/ocs/sp/nctb1478.pdf</vt:lpwstr>
      </vt:variant>
      <vt:variant>
        <vt:lpwstr/>
      </vt:variant>
      <vt:variant>
        <vt:i4>7143540</vt:i4>
      </vt:variant>
      <vt:variant>
        <vt:i4>0</vt:i4>
      </vt:variant>
      <vt:variant>
        <vt:i4>0</vt:i4>
      </vt:variant>
      <vt:variant>
        <vt:i4>5</vt:i4>
      </vt:variant>
      <vt:variant>
        <vt:lpwstr>http://www.bls.gov/ncs/ocs/sp/nctb1478.pdf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Denise Grubert</dc:creator>
  <cp:lastModifiedBy>U.S. EPA User or Contractor</cp:lastModifiedBy>
  <cp:revision>3</cp:revision>
  <cp:lastPrinted>2013-12-03T17:14:00Z</cp:lastPrinted>
  <dcterms:created xsi:type="dcterms:W3CDTF">2013-12-13T14:11:00Z</dcterms:created>
  <dcterms:modified xsi:type="dcterms:W3CDTF">2013-12-13T14:19:00Z</dcterms:modified>
</cp:coreProperties>
</file>