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C07" w:rsidRPr="00F245EA" w:rsidRDefault="00F57C07" w:rsidP="00F57C0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F57C07" w:rsidRPr="000A065A" w:rsidRDefault="00F57C07" w:rsidP="00F57C07">
      <w:pPr>
        <w:pStyle w:val="Subtitle"/>
        <w:rPr>
          <w:rFonts w:ascii="Times New Roman" w:hAnsi="Times New Roman"/>
          <w:b/>
          <w:bCs/>
          <w:kern w:val="28"/>
          <w:szCs w:val="32"/>
        </w:rPr>
      </w:pPr>
    </w:p>
    <w:p w:rsidR="00F57C07" w:rsidRPr="000A065A" w:rsidRDefault="000A065A" w:rsidP="00F57C07">
      <w:pPr>
        <w:pStyle w:val="Subtitle"/>
        <w:rPr>
          <w:rFonts w:ascii="Times New Roman" w:hAnsi="Times New Roman"/>
          <w:b/>
          <w:bCs/>
          <w:kern w:val="28"/>
          <w:szCs w:val="32"/>
        </w:rPr>
      </w:pPr>
      <w:r w:rsidRPr="000A065A">
        <w:rPr>
          <w:rFonts w:ascii="Times New Roman" w:hAnsi="Times New Roman"/>
          <w:b/>
          <w:bCs/>
        </w:rPr>
        <w:t>Standards of Performance for Greenhouse Gas Emissions for New Stationary Sources: Electric Utility Generating Units</w:t>
      </w:r>
    </w:p>
    <w:p w:rsidR="00F57C07" w:rsidRPr="000A065A" w:rsidRDefault="00F57C07" w:rsidP="00F57C07">
      <w:pPr>
        <w:pStyle w:val="Subtitle"/>
        <w:rPr>
          <w:rFonts w:ascii="Times New Roman" w:hAnsi="Times New Roman"/>
          <w:b/>
          <w:bCs/>
          <w:kern w:val="28"/>
          <w:szCs w:val="32"/>
        </w:rPr>
      </w:pPr>
      <w:r w:rsidRPr="000A065A">
        <w:rPr>
          <w:rFonts w:ascii="Times New Roman" w:hAnsi="Times New Roman"/>
          <w:b/>
          <w:bCs/>
          <w:kern w:val="28"/>
          <w:szCs w:val="32"/>
        </w:rPr>
        <w:t>(40 CFR part 6</w:t>
      </w:r>
      <w:r w:rsidR="000A065A">
        <w:rPr>
          <w:rFonts w:ascii="Times New Roman" w:hAnsi="Times New Roman"/>
          <w:b/>
          <w:bCs/>
          <w:kern w:val="28"/>
          <w:szCs w:val="32"/>
        </w:rPr>
        <w:t>0</w:t>
      </w:r>
      <w:r w:rsidRPr="000A065A">
        <w:rPr>
          <w:rFonts w:ascii="Times New Roman" w:hAnsi="Times New Roman"/>
          <w:b/>
          <w:bCs/>
          <w:kern w:val="28"/>
          <w:szCs w:val="32"/>
        </w:rPr>
        <w:t xml:space="preserve">, subpart </w:t>
      </w:r>
      <w:r w:rsidR="000A065A">
        <w:rPr>
          <w:rFonts w:ascii="Times New Roman" w:hAnsi="Times New Roman"/>
          <w:b/>
          <w:bCs/>
          <w:kern w:val="28"/>
          <w:szCs w:val="32"/>
        </w:rPr>
        <w:t>TTTT</w:t>
      </w:r>
      <w:r w:rsidRPr="000A065A">
        <w:rPr>
          <w:rFonts w:ascii="Times New Roman" w:hAnsi="Times New Roman"/>
          <w:b/>
          <w:bCs/>
          <w:kern w:val="28"/>
          <w:szCs w:val="32"/>
        </w:rPr>
        <w:t xml:space="preserve">) </w:t>
      </w:r>
    </w:p>
    <w:p w:rsidR="00F57C07" w:rsidRPr="00035B1A" w:rsidRDefault="005004A9" w:rsidP="00F57C07">
      <w:pPr>
        <w:pStyle w:val="Subtitle"/>
        <w:rPr>
          <w:rFonts w:ascii="Times New Roman" w:hAnsi="Times New Roman"/>
        </w:rPr>
      </w:pPr>
      <w:r w:rsidRPr="00035B1A">
        <w:rPr>
          <w:rFonts w:ascii="Times New Roman" w:hAnsi="Times New Roman"/>
          <w:b/>
          <w:bCs/>
          <w:kern w:val="28"/>
          <w:szCs w:val="32"/>
        </w:rPr>
        <w:t xml:space="preserve">September </w:t>
      </w:r>
      <w:r w:rsidR="00F57C07" w:rsidRPr="00035B1A">
        <w:rPr>
          <w:rFonts w:ascii="Times New Roman" w:hAnsi="Times New Roman"/>
          <w:b/>
          <w:bCs/>
          <w:kern w:val="28"/>
          <w:szCs w:val="32"/>
        </w:rPr>
        <w:t>201</w:t>
      </w:r>
      <w:r w:rsidRPr="00035B1A">
        <w:rPr>
          <w:rFonts w:ascii="Times New Roman" w:hAnsi="Times New Roman"/>
          <w:b/>
          <w:bCs/>
          <w:kern w:val="28"/>
          <w:szCs w:val="32"/>
        </w:rPr>
        <w:t>3</w:t>
      </w:r>
    </w:p>
    <w:p w:rsidR="00F57C07" w:rsidRPr="00F245EA" w:rsidRDefault="00F57C07" w:rsidP="00F57C07">
      <w:pPr>
        <w:pStyle w:val="Heading1"/>
      </w:pPr>
      <w:r w:rsidRPr="00F245EA">
        <w:t>Part A of the Supporting Statement</w:t>
      </w:r>
    </w:p>
    <w:p w:rsidR="00F57C07" w:rsidRPr="00F245EA" w:rsidRDefault="00F57C07" w:rsidP="00F57C07">
      <w:pPr>
        <w:pStyle w:val="Heading1"/>
      </w:pPr>
      <w:r w:rsidRPr="00F245EA">
        <w:t>1.</w:t>
      </w:r>
      <w:r w:rsidRPr="00F245EA">
        <w:tab/>
        <w:t>Identification of the Information Collection</w:t>
      </w:r>
    </w:p>
    <w:p w:rsidR="00F57C07" w:rsidRPr="0068644D" w:rsidRDefault="00F57C07" w:rsidP="00F57C07">
      <w:pPr>
        <w:pStyle w:val="Heading2"/>
        <w:rPr>
          <w:i/>
          <w:iCs w:val="0"/>
        </w:rPr>
      </w:pPr>
      <w:r w:rsidRPr="0068644D">
        <w:rPr>
          <w:i/>
          <w:iCs w:val="0"/>
        </w:rPr>
        <w:t>(a)</w:t>
      </w:r>
      <w:r w:rsidRPr="0068644D">
        <w:rPr>
          <w:i/>
          <w:iCs w:val="0"/>
        </w:rPr>
        <w:tab/>
        <w:t>Title and Number of the Information Collection</w:t>
      </w:r>
    </w:p>
    <w:p w:rsidR="00F57C07" w:rsidRPr="00F7243D" w:rsidRDefault="00F57C07" w:rsidP="00F7243D">
      <w:pPr>
        <w:pStyle w:val="Para"/>
        <w:rPr>
          <w:rFonts w:ascii="Times New Roman" w:hAnsi="Times New Roman"/>
        </w:rPr>
      </w:pPr>
      <w:r w:rsidRPr="00F245EA">
        <w:rPr>
          <w:rFonts w:ascii="Times New Roman" w:hAnsi="Times New Roman"/>
        </w:rPr>
        <w:t xml:space="preserve">“Recordkeeping and Reporting </w:t>
      </w:r>
      <w:r w:rsidRPr="000A065A">
        <w:rPr>
          <w:rFonts w:ascii="Times New Roman" w:hAnsi="Times New Roman"/>
        </w:rPr>
        <w:t xml:space="preserve">Requirements for </w:t>
      </w:r>
      <w:r w:rsidR="000A065A" w:rsidRPr="000A065A">
        <w:rPr>
          <w:rFonts w:ascii="Times New Roman" w:hAnsi="Times New Roman"/>
          <w:bCs/>
        </w:rPr>
        <w:t>Standards of Performance for Greenhouse Gas Emissions for New Electric Utility Generating Units</w:t>
      </w:r>
      <w:r w:rsidR="000A065A" w:rsidRPr="000A065A">
        <w:rPr>
          <w:rFonts w:ascii="Times New Roman" w:hAnsi="Times New Roman"/>
        </w:rPr>
        <w:t xml:space="preserve"> </w:t>
      </w:r>
      <w:r w:rsidRPr="000A065A">
        <w:rPr>
          <w:rFonts w:ascii="Times New Roman" w:hAnsi="Times New Roman"/>
        </w:rPr>
        <w:t>(40 CFR Part 6</w:t>
      </w:r>
      <w:r w:rsidR="000A065A" w:rsidRPr="000A065A">
        <w:rPr>
          <w:rFonts w:ascii="Times New Roman" w:hAnsi="Times New Roman"/>
        </w:rPr>
        <w:t>0</w:t>
      </w:r>
      <w:r w:rsidRPr="000A065A">
        <w:rPr>
          <w:rFonts w:ascii="Times New Roman" w:hAnsi="Times New Roman"/>
        </w:rPr>
        <w:t xml:space="preserve">, Subpart </w:t>
      </w:r>
      <w:r w:rsidR="000A065A" w:rsidRPr="000A065A">
        <w:rPr>
          <w:rFonts w:ascii="Times New Roman" w:hAnsi="Times New Roman"/>
        </w:rPr>
        <w:t>TTTT</w:t>
      </w:r>
      <w:r w:rsidRPr="000A065A">
        <w:rPr>
          <w:rFonts w:ascii="Times New Roman" w:hAnsi="Times New Roman"/>
        </w:rPr>
        <w:t xml:space="preserve">).” </w:t>
      </w:r>
      <w:r w:rsidR="003D1344">
        <w:rPr>
          <w:rFonts w:ascii="Times New Roman" w:hAnsi="Times New Roman"/>
        </w:rPr>
        <w:t xml:space="preserve">The proposed standards </w:t>
      </w:r>
      <w:r w:rsidR="003D1344" w:rsidRPr="003D1344">
        <w:rPr>
          <w:rFonts w:ascii="Times New Roman" w:hAnsi="Times New Roman"/>
        </w:rPr>
        <w:t xml:space="preserve">would </w:t>
      </w:r>
      <w:r w:rsidR="000A065A" w:rsidRPr="003D1344">
        <w:rPr>
          <w:rFonts w:ascii="Times New Roman" w:hAnsi="Times New Roman"/>
        </w:rPr>
        <w:t xml:space="preserve">establish standards of performance for </w:t>
      </w:r>
      <w:r w:rsidR="002A626A">
        <w:rPr>
          <w:rFonts w:ascii="Times New Roman" w:hAnsi="Times New Roman"/>
        </w:rPr>
        <w:t>carbon dioxide (</w:t>
      </w:r>
      <w:r w:rsidR="000A065A" w:rsidRPr="003D1344">
        <w:rPr>
          <w:rFonts w:ascii="Times New Roman" w:hAnsi="Times New Roman"/>
        </w:rPr>
        <w:t>CO</w:t>
      </w:r>
      <w:r w:rsidR="000A065A" w:rsidRPr="003D1344">
        <w:rPr>
          <w:rFonts w:ascii="Times New Roman" w:hAnsi="Times New Roman"/>
          <w:vertAlign w:val="subscript"/>
        </w:rPr>
        <w:t>2</w:t>
      </w:r>
      <w:r w:rsidR="002A626A">
        <w:rPr>
          <w:rFonts w:ascii="Times New Roman" w:hAnsi="Times New Roman"/>
        </w:rPr>
        <w:t>)</w:t>
      </w:r>
      <w:r w:rsidR="000A065A" w:rsidRPr="003D1344">
        <w:rPr>
          <w:rFonts w:ascii="Times New Roman" w:hAnsi="Times New Roman"/>
        </w:rPr>
        <w:t xml:space="preserve"> emissions from </w:t>
      </w:r>
      <w:r w:rsidR="003D1344">
        <w:rPr>
          <w:rFonts w:ascii="Times New Roman" w:hAnsi="Times New Roman"/>
        </w:rPr>
        <w:t>electric utility generating units (</w:t>
      </w:r>
      <w:r w:rsidR="000A065A" w:rsidRPr="003D1344">
        <w:rPr>
          <w:rFonts w:ascii="Times New Roman" w:hAnsi="Times New Roman"/>
        </w:rPr>
        <w:t>EGUs</w:t>
      </w:r>
      <w:r w:rsidR="003D1344">
        <w:rPr>
          <w:rFonts w:ascii="Times New Roman" w:hAnsi="Times New Roman"/>
        </w:rPr>
        <w:t>)</w:t>
      </w:r>
      <w:r w:rsidR="000A065A" w:rsidRPr="003D1344">
        <w:rPr>
          <w:rFonts w:ascii="Times New Roman" w:hAnsi="Times New Roman"/>
        </w:rPr>
        <w:t xml:space="preserve"> currently in </w:t>
      </w:r>
      <w:r w:rsidR="000A065A" w:rsidRPr="00F7243D">
        <w:rPr>
          <w:rFonts w:ascii="Times New Roman" w:hAnsi="Times New Roman"/>
        </w:rPr>
        <w:t xml:space="preserve">the </w:t>
      </w:r>
      <w:r w:rsidR="003D1344" w:rsidRPr="00F7243D">
        <w:rPr>
          <w:rFonts w:ascii="Times New Roman" w:hAnsi="Times New Roman"/>
        </w:rPr>
        <w:t xml:space="preserve">40 CFR part 60, </w:t>
      </w:r>
      <w:r w:rsidR="000A065A" w:rsidRPr="00F7243D">
        <w:rPr>
          <w:rFonts w:ascii="Times New Roman" w:hAnsi="Times New Roman"/>
        </w:rPr>
        <w:t>Da and KKKK source categories</w:t>
      </w:r>
      <w:r w:rsidR="00FE7AD0" w:rsidRPr="00F7243D">
        <w:rPr>
          <w:rFonts w:ascii="Times New Roman" w:hAnsi="Times New Roman"/>
        </w:rPr>
        <w:t xml:space="preserve"> under a new subpart TTTT</w:t>
      </w:r>
      <w:r w:rsidR="003D1344" w:rsidRPr="00F7243D">
        <w:rPr>
          <w:rFonts w:ascii="Times New Roman" w:hAnsi="Times New Roman"/>
        </w:rPr>
        <w:t>. Subpart Da currently regulates utility boilers</w:t>
      </w:r>
      <w:r w:rsidR="006D73DD" w:rsidRPr="006D73DD">
        <w:rPr>
          <w:rFonts w:ascii="Times New Roman" w:hAnsi="Times New Roman"/>
          <w:color w:val="000000"/>
        </w:rPr>
        <w:t xml:space="preserve"> </w:t>
      </w:r>
      <w:r w:rsidR="006D73DD">
        <w:rPr>
          <w:rFonts w:ascii="Times New Roman" w:hAnsi="Times New Roman"/>
          <w:color w:val="000000"/>
        </w:rPr>
        <w:t>and integrated gasification combined cycle (IGCC) units</w:t>
      </w:r>
      <w:r w:rsidR="00BD2336">
        <w:rPr>
          <w:rFonts w:ascii="Times New Roman" w:hAnsi="Times New Roman"/>
        </w:rPr>
        <w:t>,</w:t>
      </w:r>
      <w:r w:rsidR="003D1344" w:rsidRPr="00F7243D">
        <w:rPr>
          <w:rFonts w:ascii="Times New Roman" w:hAnsi="Times New Roman"/>
        </w:rPr>
        <w:t xml:space="preserve"> and</w:t>
      </w:r>
      <w:r w:rsidR="000A065A" w:rsidRPr="00F7243D">
        <w:rPr>
          <w:rFonts w:ascii="Times New Roman" w:hAnsi="Times New Roman"/>
        </w:rPr>
        <w:t xml:space="preserve"> </w:t>
      </w:r>
      <w:r w:rsidR="000A065A" w:rsidRPr="00F7243D">
        <w:rPr>
          <w:rFonts w:ascii="Times New Roman" w:hAnsi="Times New Roman"/>
          <w:color w:val="000000"/>
        </w:rPr>
        <w:t xml:space="preserve">subpart KKKK </w:t>
      </w:r>
      <w:r w:rsidR="003D1344" w:rsidRPr="00F7243D">
        <w:rPr>
          <w:rFonts w:ascii="Times New Roman" w:hAnsi="Times New Roman"/>
          <w:color w:val="000000"/>
        </w:rPr>
        <w:t xml:space="preserve">currently regulates </w:t>
      </w:r>
      <w:r w:rsidR="00F7243D" w:rsidRPr="00F7243D">
        <w:rPr>
          <w:rFonts w:ascii="Times New Roman" w:hAnsi="Times New Roman"/>
        </w:rPr>
        <w:t xml:space="preserve">stationary </w:t>
      </w:r>
      <w:r w:rsidR="006D73DD">
        <w:rPr>
          <w:rFonts w:ascii="Times New Roman" w:hAnsi="Times New Roman"/>
        </w:rPr>
        <w:t xml:space="preserve">combustion </w:t>
      </w:r>
      <w:r w:rsidR="00F7243D" w:rsidRPr="00F7243D">
        <w:rPr>
          <w:rFonts w:ascii="Times New Roman" w:hAnsi="Times New Roman"/>
        </w:rPr>
        <w:t>turbine</w:t>
      </w:r>
      <w:r w:rsidR="006D73DD">
        <w:rPr>
          <w:rFonts w:ascii="Times New Roman" w:hAnsi="Times New Roman"/>
        </w:rPr>
        <w:t>s</w:t>
      </w:r>
      <w:r w:rsidR="003D1344" w:rsidRPr="00F7243D">
        <w:rPr>
          <w:rFonts w:ascii="Times New Roman" w:hAnsi="Times New Roman"/>
          <w:color w:val="000000"/>
        </w:rPr>
        <w:t>.</w:t>
      </w:r>
      <w:r w:rsidR="000A065A" w:rsidRPr="00F7243D">
        <w:rPr>
          <w:rFonts w:ascii="Times New Roman" w:hAnsi="Times New Roman"/>
        </w:rPr>
        <w:t xml:space="preserve"> </w:t>
      </w:r>
      <w:r w:rsidR="00FE7AD0" w:rsidRPr="00F7243D">
        <w:rPr>
          <w:rFonts w:ascii="Times New Roman" w:hAnsi="Times New Roman"/>
        </w:rPr>
        <w:t>A new information collection request (ICR) has been prepared in support of the standards being proposed.</w:t>
      </w:r>
      <w:r w:rsidRPr="00F7243D">
        <w:rPr>
          <w:rFonts w:ascii="Times New Roman" w:hAnsi="Times New Roman"/>
        </w:rPr>
        <w:t xml:space="preserve"> The EPA ICR tracking number is</w:t>
      </w:r>
      <w:r w:rsidR="008F44E1">
        <w:rPr>
          <w:rFonts w:ascii="Times New Roman" w:hAnsi="Times New Roman"/>
        </w:rPr>
        <w:t xml:space="preserve"> 2465.0</w:t>
      </w:r>
      <w:r w:rsidR="00265E31">
        <w:rPr>
          <w:rFonts w:ascii="Times New Roman" w:hAnsi="Times New Roman"/>
        </w:rPr>
        <w:t>2</w:t>
      </w:r>
      <w:r w:rsidRPr="00F7243D">
        <w:rPr>
          <w:rFonts w:ascii="Times New Roman" w:hAnsi="Times New Roman"/>
        </w:rPr>
        <w:t>.</w:t>
      </w:r>
      <w:r w:rsidR="006D73DD">
        <w:rPr>
          <w:rFonts w:ascii="Times New Roman" w:hAnsi="Times New Roman"/>
        </w:rPr>
        <w:t xml:space="preserve"> The EPA is co-proposing </w:t>
      </w:r>
      <w:r w:rsidR="00237778">
        <w:rPr>
          <w:rFonts w:ascii="Times New Roman" w:hAnsi="Times New Roman"/>
        </w:rPr>
        <w:t xml:space="preserve">amending subparts Da and KKKK as an alternative to creating a new subpart, subpart TTTT. Since both approaches would have the same burden, this ICR </w:t>
      </w:r>
      <w:r w:rsidR="00E74473">
        <w:rPr>
          <w:rFonts w:ascii="Times New Roman" w:hAnsi="Times New Roman"/>
        </w:rPr>
        <w:t xml:space="preserve">burden estimate </w:t>
      </w:r>
      <w:r w:rsidR="00237778">
        <w:rPr>
          <w:rFonts w:ascii="Times New Roman" w:hAnsi="Times New Roman"/>
        </w:rPr>
        <w:t xml:space="preserve">is intended to cover whatever approach is finalized. </w:t>
      </w:r>
    </w:p>
    <w:p w:rsidR="00F57C07" w:rsidRPr="002A626A" w:rsidRDefault="00F57C07" w:rsidP="00F57C07">
      <w:pPr>
        <w:pStyle w:val="Heading2"/>
        <w:rPr>
          <w:i/>
          <w:iCs w:val="0"/>
        </w:rPr>
      </w:pPr>
      <w:r w:rsidRPr="002A626A">
        <w:rPr>
          <w:i/>
          <w:iCs w:val="0"/>
        </w:rPr>
        <w:t>(b)</w:t>
      </w:r>
      <w:r w:rsidRPr="002A626A">
        <w:rPr>
          <w:i/>
          <w:iCs w:val="0"/>
        </w:rPr>
        <w:tab/>
        <w:t>Short Characterization</w:t>
      </w:r>
    </w:p>
    <w:p w:rsidR="002A626A" w:rsidRPr="002A626A" w:rsidRDefault="00E56873" w:rsidP="00F7243D">
      <w:pPr>
        <w:pStyle w:val="Para"/>
        <w:rPr>
          <w:rFonts w:ascii="Times New Roman" w:hAnsi="Times New Roman"/>
        </w:rPr>
      </w:pPr>
      <w:r>
        <w:rPr>
          <w:rFonts w:ascii="Times New Roman" w:hAnsi="Times New Roman"/>
        </w:rPr>
        <w:t xml:space="preserve">Pursuant to CAA section 111, </w:t>
      </w:r>
      <w:r w:rsidRPr="00A87AE7">
        <w:rPr>
          <w:rFonts w:ascii="Times New Roman" w:hAnsi="Times New Roman"/>
        </w:rPr>
        <w:t>t</w:t>
      </w:r>
      <w:r w:rsidR="002A626A" w:rsidRPr="00A87AE7">
        <w:rPr>
          <w:rFonts w:ascii="Times New Roman" w:hAnsi="Times New Roman"/>
        </w:rPr>
        <w:t xml:space="preserve">he United States </w:t>
      </w:r>
      <w:r w:rsidR="00F7243D" w:rsidRPr="00A87AE7">
        <w:rPr>
          <w:rFonts w:ascii="Times New Roman" w:hAnsi="Times New Roman"/>
        </w:rPr>
        <w:t xml:space="preserve">(U.S.) </w:t>
      </w:r>
      <w:r w:rsidR="002A626A" w:rsidRPr="00A87AE7">
        <w:rPr>
          <w:rFonts w:ascii="Times New Roman" w:hAnsi="Times New Roman"/>
        </w:rPr>
        <w:t>Environmental Protection Agency (EPA) is proposing new source performance standards (NSPS) for emissions of CO</w:t>
      </w:r>
      <w:r w:rsidR="002A626A" w:rsidRPr="00A87AE7">
        <w:rPr>
          <w:rFonts w:ascii="Times New Roman" w:hAnsi="Times New Roman"/>
          <w:vertAlign w:val="subscript"/>
        </w:rPr>
        <w:t>2</w:t>
      </w:r>
      <w:r w:rsidR="002A626A" w:rsidRPr="00A87AE7">
        <w:rPr>
          <w:rFonts w:ascii="Times New Roman" w:hAnsi="Times New Roman"/>
        </w:rPr>
        <w:t xml:space="preserve"> for new affected fossil fuel-fired EGUs. </w:t>
      </w:r>
      <w:r w:rsidR="00A87AE7" w:rsidRPr="00A87AE7">
        <w:rPr>
          <w:rFonts w:ascii="Times New Roman" w:hAnsi="Times New Roman"/>
        </w:rPr>
        <w:t xml:space="preserve">For purposes of this rule, fossil fuel-fired EGUs include fossil fuel-fired boilers, </w:t>
      </w:r>
      <w:r w:rsidR="00BD2336">
        <w:rPr>
          <w:rFonts w:ascii="Times New Roman" w:hAnsi="Times New Roman"/>
        </w:rPr>
        <w:t>IGCC</w:t>
      </w:r>
      <w:r w:rsidR="00A87AE7" w:rsidRPr="00A87AE7">
        <w:rPr>
          <w:rFonts w:ascii="Times New Roman" w:hAnsi="Times New Roman"/>
        </w:rPr>
        <w:t xml:space="preserve"> units and stationary </w:t>
      </w:r>
      <w:r w:rsidR="005004A9">
        <w:rPr>
          <w:rFonts w:ascii="Times New Roman" w:hAnsi="Times New Roman"/>
        </w:rPr>
        <w:t>combustion</w:t>
      </w:r>
      <w:r w:rsidR="00A87AE7" w:rsidRPr="00A87AE7">
        <w:rPr>
          <w:rFonts w:ascii="Times New Roman" w:hAnsi="Times New Roman"/>
        </w:rPr>
        <w:t xml:space="preserve"> turbine</w:t>
      </w:r>
      <w:r w:rsidR="005004A9">
        <w:rPr>
          <w:rFonts w:ascii="Times New Roman" w:hAnsi="Times New Roman"/>
        </w:rPr>
        <w:t>s</w:t>
      </w:r>
      <w:r w:rsidR="00A87AE7" w:rsidRPr="00A87AE7">
        <w:rPr>
          <w:rFonts w:ascii="Times New Roman" w:hAnsi="Times New Roman"/>
        </w:rPr>
        <w:t xml:space="preserve"> units that generate electricity for sale and are larger than 25 megawatts (MW)</w:t>
      </w:r>
      <w:r w:rsidR="00A87AE7">
        <w:rPr>
          <w:rFonts w:ascii="Times New Roman" w:hAnsi="Times New Roman"/>
        </w:rPr>
        <w:t xml:space="preserve">. </w:t>
      </w:r>
      <w:r w:rsidR="002A626A" w:rsidRPr="00A87AE7">
        <w:rPr>
          <w:rFonts w:ascii="Times New Roman" w:hAnsi="Times New Roman"/>
        </w:rPr>
        <w:t>The EPA is proposing these requirements because CO</w:t>
      </w:r>
      <w:r w:rsidR="002A626A" w:rsidRPr="00A87AE7">
        <w:rPr>
          <w:rFonts w:ascii="Times New Roman" w:hAnsi="Times New Roman"/>
          <w:vertAlign w:val="subscript"/>
        </w:rPr>
        <w:t>2</w:t>
      </w:r>
      <w:r w:rsidR="002A626A" w:rsidRPr="00A87AE7">
        <w:rPr>
          <w:rFonts w:ascii="Times New Roman" w:hAnsi="Times New Roman"/>
        </w:rPr>
        <w:t xml:space="preserve"> is a greenhouse gas (GHG) and fossil fuel-fired power plants are the country’s largest stationary source</w:t>
      </w:r>
      <w:r w:rsidR="002A626A" w:rsidRPr="002A626A">
        <w:rPr>
          <w:rFonts w:ascii="Times New Roman" w:hAnsi="Times New Roman"/>
        </w:rPr>
        <w:t xml:space="preserve"> emitters of GHGs. The EPA in 2009 found that by causing or contributing to climate change, GHGs endanger both the public health and the public welfare of current and future generations.</w:t>
      </w:r>
    </w:p>
    <w:p w:rsidR="00E74473" w:rsidRDefault="00E74473" w:rsidP="00E74473">
      <w:pPr>
        <w:pStyle w:val="FRBodyTextDS"/>
        <w:widowControl w:val="0"/>
        <w:spacing w:line="240" w:lineRule="auto"/>
        <w:ind w:firstLine="720"/>
        <w:rPr>
          <w:rFonts w:ascii="Times New Roman" w:hAnsi="Times New Roman" w:cs="Times New Roman"/>
        </w:rPr>
      </w:pPr>
      <w:r w:rsidRPr="00E74473">
        <w:rPr>
          <w:rFonts w:ascii="Times New Roman" w:hAnsi="Times New Roman" w:cs="Times New Roman"/>
        </w:rPr>
        <w:t xml:space="preserve">This action proposes a standard of performance for utility boilers and IGCC units based on partial implementation of carbon capture and storage (CCS) as the </w:t>
      </w:r>
      <w:r w:rsidR="005004A9">
        <w:rPr>
          <w:rFonts w:ascii="Times New Roman" w:hAnsi="Times New Roman" w:cs="Times New Roman"/>
        </w:rPr>
        <w:t>Best System of Emission Reduction (</w:t>
      </w:r>
      <w:r w:rsidRPr="00E74473">
        <w:rPr>
          <w:rFonts w:ascii="Times New Roman" w:hAnsi="Times New Roman" w:cs="Times New Roman"/>
        </w:rPr>
        <w:t>BSER</w:t>
      </w:r>
      <w:r w:rsidR="005004A9">
        <w:rPr>
          <w:rFonts w:ascii="Times New Roman" w:hAnsi="Times New Roman" w:cs="Times New Roman"/>
        </w:rPr>
        <w:t>)</w:t>
      </w:r>
      <w:r w:rsidRPr="00E74473">
        <w:rPr>
          <w:rFonts w:ascii="Times New Roman" w:hAnsi="Times New Roman" w:cs="Times New Roman"/>
        </w:rPr>
        <w:t>. The proposed emission limit for those sources is 1,100 lb CO</w:t>
      </w:r>
      <w:r w:rsidRPr="00E74473">
        <w:rPr>
          <w:rFonts w:ascii="Times New Roman" w:hAnsi="Times New Roman" w:cs="Times New Roman"/>
          <w:vertAlign w:val="subscript"/>
        </w:rPr>
        <w:t>2</w:t>
      </w:r>
      <w:r w:rsidRPr="00E74473">
        <w:rPr>
          <w:rFonts w:ascii="Times New Roman" w:hAnsi="Times New Roman" w:cs="Times New Roman"/>
        </w:rPr>
        <w:t>/MWh. This action also proposes standards of performance for natural gas-fired stationary combustion turbines based on modern, efficient natural gas combined cycle (NGCC) technology as the BSER. The proposed emission limits for those sources are 1,000 lb CO</w:t>
      </w:r>
      <w:r w:rsidRPr="00E74473">
        <w:rPr>
          <w:rFonts w:ascii="Times New Roman" w:hAnsi="Times New Roman" w:cs="Times New Roman"/>
          <w:vertAlign w:val="subscript"/>
        </w:rPr>
        <w:t>2</w:t>
      </w:r>
      <w:r w:rsidRPr="00E74473">
        <w:rPr>
          <w:rFonts w:ascii="Times New Roman" w:hAnsi="Times New Roman" w:cs="Times New Roman"/>
        </w:rPr>
        <w:t>/MWh for larger units and 1,100 lb CO</w:t>
      </w:r>
      <w:r w:rsidRPr="00E74473">
        <w:rPr>
          <w:rFonts w:ascii="Times New Roman" w:hAnsi="Times New Roman" w:cs="Times New Roman"/>
          <w:vertAlign w:val="subscript"/>
        </w:rPr>
        <w:t>2</w:t>
      </w:r>
      <w:r w:rsidRPr="00E74473">
        <w:rPr>
          <w:rFonts w:ascii="Times New Roman" w:hAnsi="Times New Roman" w:cs="Times New Roman"/>
        </w:rPr>
        <w:t>/MWh for smaller units. At this time, the EPA is not proposing standards of performance for modified or reconstructed sources.</w:t>
      </w:r>
    </w:p>
    <w:p w:rsidR="005004A9" w:rsidRPr="00E74473" w:rsidRDefault="005004A9" w:rsidP="00E74473">
      <w:pPr>
        <w:pStyle w:val="FRBodyTextDS"/>
        <w:widowControl w:val="0"/>
        <w:spacing w:line="240" w:lineRule="auto"/>
        <w:ind w:firstLine="720"/>
        <w:rPr>
          <w:rFonts w:ascii="Times New Roman" w:hAnsi="Times New Roman" w:cs="Times New Roman"/>
        </w:rPr>
      </w:pPr>
    </w:p>
    <w:p w:rsidR="00F57C07" w:rsidRPr="008950BA" w:rsidRDefault="00F57C07" w:rsidP="00C33809">
      <w:pPr>
        <w:pStyle w:val="Para"/>
        <w:spacing w:after="0"/>
        <w:rPr>
          <w:rFonts w:ascii="Times New Roman" w:hAnsi="Times New Roman"/>
        </w:rPr>
      </w:pPr>
      <w:r w:rsidRPr="002A626A">
        <w:rPr>
          <w:rFonts w:ascii="Times New Roman" w:hAnsi="Times New Roman"/>
        </w:rPr>
        <w:lastRenderedPageBreak/>
        <w:t xml:space="preserve">In general, all </w:t>
      </w:r>
      <w:r w:rsidR="00E56873">
        <w:rPr>
          <w:rFonts w:ascii="Times New Roman" w:hAnsi="Times New Roman"/>
        </w:rPr>
        <w:t>CAA section 111</w:t>
      </w:r>
      <w:r w:rsidRPr="002A626A">
        <w:rPr>
          <w:rFonts w:ascii="Times New Roman" w:hAnsi="Times New Roman"/>
        </w:rPr>
        <w:t xml:space="preserve"> </w:t>
      </w:r>
      <w:r w:rsidRPr="00FE3E4D">
        <w:rPr>
          <w:rFonts w:ascii="Times New Roman" w:hAnsi="Times New Roman"/>
        </w:rPr>
        <w:t xml:space="preserve">standards require notifications, reports, and records </w:t>
      </w:r>
      <w:r w:rsidR="00E56873" w:rsidRPr="00FE3E4D">
        <w:rPr>
          <w:rFonts w:ascii="Times New Roman" w:hAnsi="Times New Roman"/>
        </w:rPr>
        <w:t xml:space="preserve">that </w:t>
      </w:r>
      <w:r w:rsidRPr="00FE3E4D">
        <w:rPr>
          <w:rFonts w:ascii="Times New Roman" w:hAnsi="Times New Roman"/>
        </w:rPr>
        <w:t xml:space="preserve">are essential in determining compliance, and are required of all sources subject to the </w:t>
      </w:r>
      <w:r w:rsidR="00E56873" w:rsidRPr="00FE3E4D">
        <w:rPr>
          <w:rFonts w:ascii="Times New Roman" w:hAnsi="Times New Roman"/>
        </w:rPr>
        <w:t>standards</w:t>
      </w:r>
      <w:r w:rsidRPr="00FE3E4D">
        <w:rPr>
          <w:rFonts w:ascii="Times New Roman" w:hAnsi="Times New Roman"/>
        </w:rPr>
        <w:t>.</w:t>
      </w:r>
      <w:r w:rsidR="00FE3E4D" w:rsidRPr="00FE3E4D">
        <w:rPr>
          <w:rFonts w:ascii="Times New Roman" w:hAnsi="Times New Roman"/>
        </w:rPr>
        <w:t xml:space="preserve"> </w:t>
      </w:r>
      <w:r w:rsidR="00FE3E4D" w:rsidRPr="00FE3E4D">
        <w:rPr>
          <w:rFonts w:ascii="Times New Roman" w:eastAsia="Times New Roman" w:hAnsi="Times New Roman"/>
          <w:bCs/>
          <w:szCs w:val="24"/>
        </w:rPr>
        <w:t>This proposed action would impose minimal new information collection burden on affected sources</w:t>
      </w:r>
      <w:r w:rsidR="00FE3E4D" w:rsidRPr="00FE3E4D">
        <w:rPr>
          <w:rFonts w:ascii="Times New Roman" w:eastAsia="Times New Roman" w:hAnsi="Times New Roman"/>
          <w:szCs w:val="24"/>
        </w:rPr>
        <w:t xml:space="preserve"> beyond what those sources would already be subject to under the authorities of CAA parts 75 and 98. </w:t>
      </w:r>
      <w:r w:rsidR="00FE3E4D" w:rsidRPr="00FE3E4D">
        <w:rPr>
          <w:rFonts w:ascii="Times New Roman" w:hAnsi="Times New Roman"/>
          <w:color w:val="000000"/>
          <w:szCs w:val="24"/>
        </w:rPr>
        <w:t xml:space="preserve">OMB has previously approved the information collection requirements contained in the existing part 75 and 98 regulations (40 CFR part 75 and 40 CFR part 98) under the provisions of the </w:t>
      </w:r>
      <w:r w:rsidR="00FE3E4D" w:rsidRPr="00FE3E4D">
        <w:rPr>
          <w:rFonts w:ascii="Times New Roman" w:hAnsi="Times New Roman"/>
          <w:color w:val="000000"/>
          <w:szCs w:val="24"/>
          <w:u w:val="single"/>
        </w:rPr>
        <w:t>Paperwork Reduction Act</w:t>
      </w:r>
      <w:r w:rsidR="00FE3E4D" w:rsidRPr="00FE3E4D">
        <w:rPr>
          <w:rFonts w:ascii="Times New Roman" w:hAnsi="Times New Roman"/>
          <w:color w:val="000000"/>
          <w:szCs w:val="24"/>
        </w:rPr>
        <w:t xml:space="preserve">, 44 U.S.C. 3501 </w:t>
      </w:r>
      <w:r w:rsidR="00FE3E4D" w:rsidRPr="00FE3E4D">
        <w:rPr>
          <w:rFonts w:ascii="Times New Roman" w:hAnsi="Times New Roman"/>
          <w:color w:val="000000"/>
          <w:szCs w:val="24"/>
          <w:u w:val="single"/>
        </w:rPr>
        <w:t>et</w:t>
      </w:r>
      <w:r w:rsidR="00FE3E4D" w:rsidRPr="00FE3E4D">
        <w:rPr>
          <w:rFonts w:ascii="Times New Roman" w:hAnsi="Times New Roman"/>
          <w:color w:val="000000"/>
          <w:szCs w:val="24"/>
        </w:rPr>
        <w:t xml:space="preserve"> </w:t>
      </w:r>
      <w:r w:rsidR="00FE3E4D" w:rsidRPr="00FE3E4D">
        <w:rPr>
          <w:rFonts w:ascii="Times New Roman" w:hAnsi="Times New Roman"/>
          <w:color w:val="000000"/>
          <w:szCs w:val="24"/>
          <w:u w:val="single"/>
        </w:rPr>
        <w:t>seq</w:t>
      </w:r>
      <w:r w:rsidR="00FE3E4D" w:rsidRPr="00FE3E4D">
        <w:rPr>
          <w:rFonts w:ascii="Times New Roman" w:hAnsi="Times New Roman"/>
          <w:color w:val="000000"/>
          <w:szCs w:val="24"/>
        </w:rPr>
        <w:t>. and has assigned OMB control numbers 2060-0626 and 2060-0629, respectively.</w:t>
      </w:r>
      <w:r w:rsidR="00FE3E4D" w:rsidRPr="00FE3E4D">
        <w:rPr>
          <w:rFonts w:ascii="Times New Roman" w:hAnsi="Times New Roman"/>
          <w:b/>
          <w:color w:val="0000FF"/>
          <w:szCs w:val="24"/>
        </w:rPr>
        <w:t xml:space="preserve"> </w:t>
      </w:r>
      <w:r w:rsidR="00FE3E4D" w:rsidRPr="00FE3E4D">
        <w:rPr>
          <w:rFonts w:ascii="Times New Roman" w:hAnsi="Times New Roman"/>
          <w:szCs w:val="24"/>
        </w:rPr>
        <w:t xml:space="preserve">Apart from certain reporting costs based on requirements in the NSPS General Provisions (40 CFR part 60, subpart A), which are mandatory for all owners/operators subject to CAA section 111 national emission standards, there are no new information collection costs, as the information required by this proposed rule is already collected </w:t>
      </w:r>
      <w:r w:rsidR="00FE3E4D" w:rsidRPr="00F7243D">
        <w:rPr>
          <w:rFonts w:ascii="Times New Roman" w:hAnsi="Times New Roman"/>
          <w:szCs w:val="24"/>
        </w:rPr>
        <w:t>and reported by other regulatory programs.</w:t>
      </w:r>
    </w:p>
    <w:p w:rsidR="00F7243D" w:rsidRPr="008950BA" w:rsidRDefault="00F7243D" w:rsidP="008950BA">
      <w:pPr>
        <w:widowControl w:val="0"/>
        <w:autoSpaceDE w:val="0"/>
        <w:autoSpaceDN w:val="0"/>
        <w:adjustRightInd w:val="0"/>
        <w:ind w:firstLine="720"/>
        <w:outlineLvl w:val="5"/>
        <w:rPr>
          <w:rFonts w:ascii="Times New Roman" w:hAnsi="Times New Roman"/>
        </w:rPr>
      </w:pPr>
    </w:p>
    <w:p w:rsidR="008950BA" w:rsidRDefault="00F7243D" w:rsidP="005F54FD">
      <w:pPr>
        <w:pStyle w:val="FRBodyTextDSIndent"/>
        <w:widowControl w:val="0"/>
        <w:spacing w:line="240" w:lineRule="auto"/>
        <w:rPr>
          <w:rFonts w:ascii="Times New Roman" w:hAnsi="Times New Roman" w:cs="Times New Roman"/>
        </w:rPr>
      </w:pPr>
      <w:r w:rsidRPr="008950BA">
        <w:rPr>
          <w:rFonts w:ascii="Times New Roman" w:hAnsi="Times New Roman" w:cs="Times New Roman"/>
        </w:rPr>
        <w:t xml:space="preserve">Potential respondents are owners and operators of </w:t>
      </w:r>
      <w:r w:rsidR="00FC73C5" w:rsidRPr="008950BA">
        <w:rPr>
          <w:rFonts w:ascii="Times New Roman" w:hAnsi="Times New Roman" w:cs="Times New Roman"/>
        </w:rPr>
        <w:t>new fossil fuel-fired EGUs greater than 25 MWe</w:t>
      </w:r>
      <w:r w:rsidRPr="008950BA">
        <w:rPr>
          <w:rFonts w:ascii="Times New Roman" w:hAnsi="Times New Roman" w:cs="Times New Roman"/>
        </w:rPr>
        <w:t>.</w:t>
      </w:r>
      <w:r w:rsidR="00280FC3" w:rsidRPr="008950BA">
        <w:rPr>
          <w:rFonts w:ascii="Times New Roman" w:hAnsi="Times New Roman" w:cs="Times New Roman"/>
        </w:rPr>
        <w:t xml:space="preserve"> The proposed rule would regulate emissions of CO</w:t>
      </w:r>
      <w:r w:rsidR="00280FC3" w:rsidRPr="008950BA">
        <w:rPr>
          <w:rFonts w:ascii="Times New Roman" w:hAnsi="Times New Roman" w:cs="Times New Roman"/>
          <w:vertAlign w:val="subscript"/>
        </w:rPr>
        <w:t>2</w:t>
      </w:r>
      <w:r w:rsidR="008950BA" w:rsidRPr="008950BA">
        <w:rPr>
          <w:rFonts w:ascii="Times New Roman" w:hAnsi="Times New Roman" w:cs="Times New Roman"/>
        </w:rPr>
        <w:t xml:space="preserve"> and would require that</w:t>
      </w:r>
      <w:r w:rsidR="00280FC3" w:rsidRPr="008950BA">
        <w:rPr>
          <w:rFonts w:ascii="Times New Roman" w:hAnsi="Times New Roman" w:cs="Times New Roman"/>
        </w:rPr>
        <w:t xml:space="preserve"> CO</w:t>
      </w:r>
      <w:r w:rsidR="00280FC3" w:rsidRPr="008950BA">
        <w:rPr>
          <w:rFonts w:ascii="Times New Roman" w:hAnsi="Times New Roman" w:cs="Times New Roman"/>
          <w:vertAlign w:val="subscript"/>
        </w:rPr>
        <w:t>2</w:t>
      </w:r>
      <w:r w:rsidR="00280FC3" w:rsidRPr="008950BA">
        <w:rPr>
          <w:rFonts w:ascii="Times New Roman" w:hAnsi="Times New Roman" w:cs="Times New Roman"/>
        </w:rPr>
        <w:t xml:space="preserve"> mass rate CEMS and </w:t>
      </w:r>
      <w:r w:rsidR="00280FC3" w:rsidRPr="00B0378C">
        <w:rPr>
          <w:rFonts w:ascii="Times New Roman" w:hAnsi="Times New Roman" w:cs="Times New Roman"/>
        </w:rPr>
        <w:t xml:space="preserve">the associated automatic data acquisition and handling system </w:t>
      </w:r>
      <w:r w:rsidR="008950BA" w:rsidRPr="00B0378C">
        <w:rPr>
          <w:rFonts w:ascii="Times New Roman" w:hAnsi="Times New Roman" w:cs="Times New Roman"/>
        </w:rPr>
        <w:t xml:space="preserve">be </w:t>
      </w:r>
      <w:r w:rsidR="00280FC3" w:rsidRPr="00B0378C">
        <w:rPr>
          <w:rFonts w:ascii="Times New Roman" w:hAnsi="Times New Roman" w:cs="Times New Roman"/>
        </w:rPr>
        <w:t>installed and operated</w:t>
      </w:r>
      <w:r w:rsidR="008950BA" w:rsidRPr="00B0378C">
        <w:rPr>
          <w:rFonts w:ascii="Times New Roman" w:hAnsi="Times New Roman" w:cs="Times New Roman"/>
        </w:rPr>
        <w:t>.</w:t>
      </w:r>
      <w:r w:rsidR="00280FC3" w:rsidRPr="00B0378C">
        <w:rPr>
          <w:rFonts w:ascii="Times New Roman" w:hAnsi="Times New Roman" w:cs="Times New Roman"/>
        </w:rPr>
        <w:t xml:space="preserve"> </w:t>
      </w:r>
      <w:r w:rsidR="008950BA" w:rsidRPr="00B0378C">
        <w:rPr>
          <w:rFonts w:ascii="Times New Roman" w:hAnsi="Times New Roman" w:cs="Times New Roman"/>
        </w:rPr>
        <w:t>T</w:t>
      </w:r>
      <w:r w:rsidR="00280FC3" w:rsidRPr="00B0378C">
        <w:rPr>
          <w:rFonts w:ascii="Times New Roman" w:hAnsi="Times New Roman" w:cs="Times New Roman"/>
        </w:rPr>
        <w:t xml:space="preserve">he initial performance test </w:t>
      </w:r>
      <w:r w:rsidR="008950BA" w:rsidRPr="00B0378C">
        <w:rPr>
          <w:rFonts w:ascii="Times New Roman" w:hAnsi="Times New Roman" w:cs="Times New Roman"/>
        </w:rPr>
        <w:t xml:space="preserve">would </w:t>
      </w:r>
      <w:r w:rsidR="00280FC3" w:rsidRPr="00B0378C">
        <w:rPr>
          <w:rFonts w:ascii="Times New Roman" w:hAnsi="Times New Roman" w:cs="Times New Roman"/>
        </w:rPr>
        <w:t>consist of collection of hourly CO</w:t>
      </w:r>
      <w:r w:rsidR="00280FC3" w:rsidRPr="00B0378C">
        <w:rPr>
          <w:rFonts w:ascii="Times New Roman" w:hAnsi="Times New Roman" w:cs="Times New Roman"/>
          <w:vertAlign w:val="subscript"/>
        </w:rPr>
        <w:t>2</w:t>
      </w:r>
      <w:r w:rsidR="00FA0E52">
        <w:rPr>
          <w:rFonts w:ascii="Times New Roman" w:hAnsi="Times New Roman" w:cs="Times New Roman"/>
        </w:rPr>
        <w:t xml:space="preserve"> average concentration, mass</w:t>
      </w:r>
      <w:r w:rsidR="00280FC3" w:rsidRPr="008950BA">
        <w:rPr>
          <w:rFonts w:ascii="Times New Roman" w:hAnsi="Times New Roman" w:cs="Times New Roman"/>
        </w:rPr>
        <w:t xml:space="preserve"> flow rate recorded with the certified CO</w:t>
      </w:r>
      <w:r w:rsidR="00280FC3" w:rsidRPr="008950BA">
        <w:rPr>
          <w:rFonts w:ascii="Times New Roman" w:hAnsi="Times New Roman" w:cs="Times New Roman"/>
          <w:vertAlign w:val="subscript"/>
        </w:rPr>
        <w:t>2</w:t>
      </w:r>
      <w:r w:rsidR="00280FC3" w:rsidRPr="008950BA">
        <w:rPr>
          <w:rFonts w:ascii="Times New Roman" w:hAnsi="Times New Roman" w:cs="Times New Roman"/>
        </w:rPr>
        <w:t xml:space="preserve"> concentration and flow rate CEMS and the corresponding electrical power generation data for all of the hours of operation for the first calendar year beginning on the first day of the first month following completion of the CEMS installation and certification.</w:t>
      </w:r>
      <w:r w:rsidR="008950BA" w:rsidRPr="008950BA">
        <w:rPr>
          <w:rFonts w:ascii="Times New Roman" w:hAnsi="Times New Roman" w:cs="Times New Roman"/>
        </w:rPr>
        <w:t xml:space="preserve"> </w:t>
      </w:r>
      <w:r w:rsidR="00B0378C" w:rsidRPr="00B0378C">
        <w:rPr>
          <w:rFonts w:ascii="Times New Roman" w:hAnsi="Times New Roman" w:cs="Times New Roman"/>
        </w:rPr>
        <w:t>The proposed rule would allow owners or operators of EGUs that burn exclusively gaseous or liquid fuels to install fuel flow meters as an alternative to CEMS</w:t>
      </w:r>
      <w:r w:rsidR="00B0378C">
        <w:rPr>
          <w:rFonts w:ascii="Times New Roman" w:hAnsi="Times New Roman" w:cs="Times New Roman"/>
        </w:rPr>
        <w:t>.</w:t>
      </w:r>
      <w:r w:rsidR="00B0378C" w:rsidRPr="00B0378C">
        <w:rPr>
          <w:rFonts w:ascii="Times New Roman" w:hAnsi="Times New Roman" w:cs="Times New Roman"/>
        </w:rPr>
        <w:t xml:space="preserve"> </w:t>
      </w:r>
      <w:r w:rsidR="008950BA" w:rsidRPr="008950BA">
        <w:rPr>
          <w:rFonts w:ascii="Times New Roman" w:hAnsi="Times New Roman" w:cs="Times New Roman"/>
        </w:rPr>
        <w:t>Compliance with the applicable average CO</w:t>
      </w:r>
      <w:r w:rsidR="008950BA" w:rsidRPr="008950BA">
        <w:rPr>
          <w:rFonts w:ascii="Times New Roman" w:hAnsi="Times New Roman" w:cs="Times New Roman"/>
          <w:vertAlign w:val="subscript"/>
        </w:rPr>
        <w:t>2</w:t>
      </w:r>
      <w:r w:rsidR="008950BA" w:rsidRPr="008950BA">
        <w:rPr>
          <w:rFonts w:ascii="Times New Roman" w:hAnsi="Times New Roman" w:cs="Times New Roman"/>
        </w:rPr>
        <w:t xml:space="preserve"> mass emissions rate (lb/MWh) would be calculated as a 12-month rolling average, updated monthly, using the reported hourly CO</w:t>
      </w:r>
      <w:r w:rsidR="008950BA" w:rsidRPr="008950BA">
        <w:rPr>
          <w:rFonts w:ascii="Times New Roman" w:hAnsi="Times New Roman" w:cs="Times New Roman"/>
          <w:vertAlign w:val="subscript"/>
        </w:rPr>
        <w:t xml:space="preserve">2 </w:t>
      </w:r>
      <w:r w:rsidR="008950BA" w:rsidRPr="008950BA">
        <w:rPr>
          <w:rFonts w:ascii="Times New Roman" w:hAnsi="Times New Roman" w:cs="Times New Roman"/>
        </w:rPr>
        <w:t>average concentration and flow rate values from the certified CEMS data collected for the previous month’s process operating days along with generation data tracked by the facility for the unit. In this rulemaking, the EPA propos</w:t>
      </w:r>
      <w:r w:rsidR="00D05F95">
        <w:rPr>
          <w:rFonts w:ascii="Times New Roman" w:hAnsi="Times New Roman" w:cs="Times New Roman"/>
        </w:rPr>
        <w:t>es</w:t>
      </w:r>
      <w:r w:rsidR="008950BA" w:rsidRPr="008950BA">
        <w:rPr>
          <w:rFonts w:ascii="Times New Roman" w:hAnsi="Times New Roman" w:cs="Times New Roman"/>
        </w:rPr>
        <w:t xml:space="preserve"> that </w:t>
      </w:r>
      <w:r w:rsidR="00D05F95">
        <w:rPr>
          <w:rFonts w:ascii="Times New Roman" w:hAnsi="Times New Roman" w:cs="Times New Roman"/>
        </w:rPr>
        <w:t>t</w:t>
      </w:r>
      <w:r w:rsidR="008950BA" w:rsidRPr="008950BA">
        <w:rPr>
          <w:rFonts w:ascii="Times New Roman" w:hAnsi="Times New Roman" w:cs="Times New Roman"/>
        </w:rPr>
        <w:t xml:space="preserve">he owner or operator of a new unit </w:t>
      </w:r>
      <w:r w:rsidR="00D05F95">
        <w:rPr>
          <w:rFonts w:ascii="Times New Roman" w:hAnsi="Times New Roman" w:cs="Times New Roman"/>
        </w:rPr>
        <w:t>would be required to</w:t>
      </w:r>
      <w:r w:rsidR="008950BA" w:rsidRPr="008950BA">
        <w:rPr>
          <w:rFonts w:ascii="Times New Roman" w:hAnsi="Times New Roman" w:cs="Times New Roman"/>
        </w:rPr>
        <w:t xml:space="preserve"> comply with the notification and recordkeeping requirements in the section 111 regulatory general provisions, 40 CFR part 60, subpart A, and </w:t>
      </w:r>
      <w:r w:rsidR="00D05F95">
        <w:rPr>
          <w:rFonts w:ascii="Times New Roman" w:hAnsi="Times New Roman" w:cs="Times New Roman"/>
        </w:rPr>
        <w:t xml:space="preserve">would </w:t>
      </w:r>
      <w:r w:rsidR="008950BA" w:rsidRPr="008950BA">
        <w:rPr>
          <w:rFonts w:ascii="Times New Roman" w:hAnsi="Times New Roman" w:cs="Times New Roman"/>
        </w:rPr>
        <w:t xml:space="preserve">need to </w:t>
      </w:r>
      <w:r w:rsidR="008950BA" w:rsidRPr="00D05F95">
        <w:rPr>
          <w:rFonts w:ascii="Times New Roman" w:hAnsi="Times New Roman" w:cs="Times New Roman"/>
        </w:rPr>
        <w:t>report results of performance testing and excess emissions; as well as record and maintain hourly average CO</w:t>
      </w:r>
      <w:r w:rsidR="008950BA" w:rsidRPr="00D05F95">
        <w:rPr>
          <w:rFonts w:ascii="Times New Roman" w:hAnsi="Times New Roman" w:cs="Times New Roman"/>
          <w:vertAlign w:val="subscript"/>
        </w:rPr>
        <w:t>2</w:t>
      </w:r>
      <w:r w:rsidR="008950BA" w:rsidRPr="00D05F95">
        <w:rPr>
          <w:rFonts w:ascii="Times New Roman" w:hAnsi="Times New Roman" w:cs="Times New Roman"/>
        </w:rPr>
        <w:t xml:space="preserve"> emissions concentration, hourly average flow rate, and hourly useful electrical generation. As part of an Agency-wide effort to facilitate reporting of environmental data and reports, </w:t>
      </w:r>
      <w:r w:rsidR="00D05F95">
        <w:rPr>
          <w:rFonts w:ascii="Times New Roman" w:hAnsi="Times New Roman" w:cs="Times New Roman"/>
        </w:rPr>
        <w:t>the proposal would</w:t>
      </w:r>
      <w:r w:rsidR="008950BA" w:rsidRPr="00D05F95">
        <w:rPr>
          <w:rFonts w:ascii="Times New Roman" w:hAnsi="Times New Roman" w:cs="Times New Roman"/>
        </w:rPr>
        <w:t xml:space="preserve"> requir</w:t>
      </w:r>
      <w:r w:rsidR="00D05F95">
        <w:rPr>
          <w:rFonts w:ascii="Times New Roman" w:hAnsi="Times New Roman" w:cs="Times New Roman"/>
        </w:rPr>
        <w:t>e</w:t>
      </w:r>
      <w:r w:rsidR="008950BA" w:rsidRPr="00D05F95">
        <w:rPr>
          <w:rFonts w:ascii="Times New Roman" w:hAnsi="Times New Roman" w:cs="Times New Roman"/>
        </w:rPr>
        <w:t xml:space="preserve"> that owners and operators subject to this regulation must electronically submit excess emissions, continuous monitoring systems performance and-or summary reports. </w:t>
      </w:r>
    </w:p>
    <w:p w:rsidR="005F54FD" w:rsidRPr="005F54FD" w:rsidRDefault="005F54FD" w:rsidP="005F54FD">
      <w:pPr>
        <w:pStyle w:val="FRBodyTextDSIndent"/>
        <w:widowControl w:val="0"/>
        <w:spacing w:line="240" w:lineRule="auto"/>
        <w:rPr>
          <w:rFonts w:ascii="Times New Roman" w:hAnsi="Times New Roman" w:cs="Times New Roman"/>
        </w:rPr>
      </w:pPr>
    </w:p>
    <w:p w:rsidR="00C33809" w:rsidRDefault="00C33809" w:rsidP="00022C1D">
      <w:pPr>
        <w:pStyle w:val="Para"/>
        <w:spacing w:after="0"/>
        <w:rPr>
          <w:rFonts w:ascii="Times New Roman" w:hAnsi="Times New Roman"/>
        </w:rPr>
      </w:pPr>
      <w:r w:rsidRPr="00F7243D">
        <w:rPr>
          <w:rFonts w:ascii="Times New Roman" w:hAnsi="Times New Roman"/>
        </w:rPr>
        <w:t xml:space="preserve">Any owner or operator subject to the provisions of this </w:t>
      </w:r>
      <w:r w:rsidR="00077A62">
        <w:rPr>
          <w:rFonts w:ascii="Times New Roman" w:hAnsi="Times New Roman"/>
        </w:rPr>
        <w:t>proposed sub</w:t>
      </w:r>
      <w:r w:rsidRPr="00F7243D">
        <w:rPr>
          <w:rFonts w:ascii="Times New Roman" w:hAnsi="Times New Roman"/>
        </w:rPr>
        <w:t xml:space="preserve">part </w:t>
      </w:r>
      <w:r w:rsidR="00077A62">
        <w:rPr>
          <w:rFonts w:ascii="Times New Roman" w:hAnsi="Times New Roman"/>
        </w:rPr>
        <w:t>would be required</w:t>
      </w:r>
      <w:r w:rsidRPr="00F7243D">
        <w:rPr>
          <w:rFonts w:ascii="Times New Roman" w:hAnsi="Times New Roman"/>
        </w:rPr>
        <w:t xml:space="preserve"> </w:t>
      </w:r>
      <w:r w:rsidR="00077A62">
        <w:rPr>
          <w:rFonts w:ascii="Times New Roman" w:hAnsi="Times New Roman"/>
        </w:rPr>
        <w:t xml:space="preserve">to </w:t>
      </w:r>
      <w:r w:rsidRPr="00F7243D">
        <w:rPr>
          <w:rFonts w:ascii="Times New Roman" w:hAnsi="Times New Roman"/>
        </w:rPr>
        <w:t>keep each record for 5 years</w:t>
      </w:r>
      <w:r w:rsidR="006F7F85">
        <w:rPr>
          <w:rFonts w:ascii="Times New Roman" w:hAnsi="Times New Roman"/>
        </w:rPr>
        <w:t>. T</w:t>
      </w:r>
      <w:r w:rsidRPr="00F7243D">
        <w:rPr>
          <w:rFonts w:ascii="Times New Roman" w:hAnsi="Times New Roman"/>
        </w:rPr>
        <w:t xml:space="preserve">hose records required to demonstrate compliance with the </w:t>
      </w:r>
      <w:r w:rsidR="006F7F85">
        <w:rPr>
          <w:rFonts w:ascii="Times New Roman" w:hAnsi="Times New Roman"/>
        </w:rPr>
        <w:t xml:space="preserve">84-operating month </w:t>
      </w:r>
      <w:r w:rsidRPr="00F7243D">
        <w:rPr>
          <w:rFonts w:ascii="Times New Roman" w:hAnsi="Times New Roman"/>
        </w:rPr>
        <w:t>emissions limits in section 60.5520</w:t>
      </w:r>
      <w:r w:rsidR="006F7F85">
        <w:rPr>
          <w:rFonts w:ascii="Times New Roman" w:hAnsi="Times New Roman"/>
        </w:rPr>
        <w:t xml:space="preserve"> </w:t>
      </w:r>
      <w:r w:rsidRPr="00F7243D">
        <w:rPr>
          <w:rFonts w:ascii="Times New Roman" w:hAnsi="Times New Roman"/>
        </w:rPr>
        <w:t>of the proposed standards</w:t>
      </w:r>
      <w:r w:rsidR="006F7F85">
        <w:rPr>
          <w:rFonts w:ascii="Times New Roman" w:hAnsi="Times New Roman"/>
        </w:rPr>
        <w:t xml:space="preserve"> would however need to be kept for 10 years</w:t>
      </w:r>
      <w:r w:rsidRPr="00F7243D">
        <w:rPr>
          <w:rFonts w:ascii="Times New Roman" w:hAnsi="Times New Roman"/>
        </w:rPr>
        <w:t>. Each record must be kept on site for at least 2 years</w:t>
      </w:r>
      <w:r w:rsidR="00686E60">
        <w:rPr>
          <w:rFonts w:ascii="Times New Roman" w:hAnsi="Times New Roman"/>
        </w:rPr>
        <w:t xml:space="preserve"> and</w:t>
      </w:r>
      <w:r w:rsidRPr="00F7243D">
        <w:rPr>
          <w:rFonts w:ascii="Times New Roman" w:hAnsi="Times New Roman"/>
        </w:rPr>
        <w:t xml:space="preserve"> may be kept off site for the remaining years.</w:t>
      </w:r>
      <w:r w:rsidR="005F54FD" w:rsidRPr="005F54FD">
        <w:rPr>
          <w:rFonts w:ascii="Times New Roman" w:hAnsi="Times New Roman"/>
        </w:rPr>
        <w:t xml:space="preserve"> </w:t>
      </w:r>
    </w:p>
    <w:p w:rsidR="00022C1D" w:rsidRDefault="00022C1D" w:rsidP="00022C1D">
      <w:pPr>
        <w:pStyle w:val="Para"/>
        <w:spacing w:after="0"/>
        <w:rPr>
          <w:rFonts w:ascii="Times New Roman" w:eastAsia="Times New Roman" w:hAnsi="Times New Roman"/>
          <w:szCs w:val="24"/>
        </w:rPr>
      </w:pPr>
    </w:p>
    <w:p w:rsidR="00F57C07" w:rsidRPr="00B443B8" w:rsidRDefault="00F7243D" w:rsidP="00022C1D">
      <w:pPr>
        <w:pStyle w:val="Para"/>
        <w:spacing w:after="0"/>
        <w:rPr>
          <w:rFonts w:ascii="Times New Roman" w:hAnsi="Times New Roman"/>
        </w:rPr>
      </w:pPr>
      <w:r w:rsidRPr="008950BA">
        <w:rPr>
          <w:rFonts w:ascii="Times New Roman" w:eastAsia="Times New Roman" w:hAnsi="Times New Roman"/>
          <w:szCs w:val="24"/>
        </w:rPr>
        <w:t xml:space="preserve">The EPA believes that electric power companies will choose to build new EGUs that comply with the regulatory requirements of this proposal because of existing and expected market conditions. The EPA does not project any new coal-fired EGUs that commence construction after this proposal to commence operation over the 3-year period covered by this ICR. We estimate that 17 new </w:t>
      </w:r>
      <w:r w:rsidR="00964312">
        <w:rPr>
          <w:rFonts w:ascii="Times New Roman" w:eastAsia="Times New Roman" w:hAnsi="Times New Roman"/>
          <w:szCs w:val="24"/>
        </w:rPr>
        <w:t xml:space="preserve">affected </w:t>
      </w:r>
      <w:r w:rsidRPr="008950BA">
        <w:rPr>
          <w:rFonts w:ascii="Times New Roman" w:eastAsia="Times New Roman" w:hAnsi="Times New Roman"/>
          <w:szCs w:val="24"/>
        </w:rPr>
        <w:t xml:space="preserve">NGCC units would commence operation during that time </w:t>
      </w:r>
      <w:r w:rsidRPr="008950BA">
        <w:rPr>
          <w:rFonts w:ascii="Times New Roman" w:eastAsia="Times New Roman" w:hAnsi="Times New Roman"/>
          <w:szCs w:val="24"/>
        </w:rPr>
        <w:lastRenderedPageBreak/>
        <w:t xml:space="preserve">period. As a result of this proposal, those units would be required to prepare a </w:t>
      </w:r>
      <w:r w:rsidR="003B5DEA">
        <w:rPr>
          <w:rFonts w:ascii="Times New Roman" w:eastAsia="Times New Roman" w:hAnsi="Times New Roman"/>
          <w:szCs w:val="24"/>
        </w:rPr>
        <w:t xml:space="preserve">quarterly </w:t>
      </w:r>
      <w:r w:rsidRPr="008950BA">
        <w:rPr>
          <w:rFonts w:ascii="Times New Roman" w:eastAsia="Times New Roman" w:hAnsi="Times New Roman"/>
          <w:szCs w:val="24"/>
        </w:rPr>
        <w:t xml:space="preserve">summary report, which includes reporting of </w:t>
      </w:r>
      <w:r w:rsidRPr="00B443B8">
        <w:rPr>
          <w:rFonts w:ascii="Times New Roman" w:eastAsia="Times New Roman" w:hAnsi="Times New Roman"/>
          <w:szCs w:val="24"/>
        </w:rPr>
        <w:t xml:space="preserve">emissions and downtime, every </w:t>
      </w:r>
      <w:r w:rsidR="003B5DEA">
        <w:rPr>
          <w:rFonts w:ascii="Times New Roman" w:eastAsia="Times New Roman" w:hAnsi="Times New Roman"/>
          <w:szCs w:val="24"/>
        </w:rPr>
        <w:t>3</w:t>
      </w:r>
      <w:r w:rsidRPr="00B443B8">
        <w:rPr>
          <w:rFonts w:ascii="Times New Roman" w:eastAsia="Times New Roman" w:hAnsi="Times New Roman"/>
          <w:szCs w:val="24"/>
        </w:rPr>
        <w:t xml:space="preserve"> months.</w:t>
      </w:r>
    </w:p>
    <w:p w:rsidR="00F57C07" w:rsidRPr="00B443B8" w:rsidRDefault="00F57C07" w:rsidP="00F57C07">
      <w:pPr>
        <w:pStyle w:val="Heading1"/>
        <w:ind w:left="0" w:firstLine="0"/>
      </w:pPr>
      <w:r w:rsidRPr="00B443B8">
        <w:t>2.</w:t>
      </w:r>
      <w:r w:rsidRPr="00B443B8">
        <w:tab/>
        <w:t>Need for and Use of the Collection</w:t>
      </w:r>
    </w:p>
    <w:p w:rsidR="00F57C07" w:rsidRPr="00B443B8" w:rsidRDefault="00F57C07" w:rsidP="00F57C07">
      <w:pPr>
        <w:pStyle w:val="Heading2"/>
        <w:rPr>
          <w:i/>
          <w:iCs w:val="0"/>
        </w:rPr>
      </w:pPr>
      <w:r w:rsidRPr="00B443B8">
        <w:rPr>
          <w:i/>
          <w:iCs w:val="0"/>
        </w:rPr>
        <w:t>(a)</w:t>
      </w:r>
      <w:r w:rsidRPr="00B443B8">
        <w:rPr>
          <w:i/>
          <w:iCs w:val="0"/>
        </w:rPr>
        <w:tab/>
        <w:t>Need/Authority for the Collection</w:t>
      </w:r>
    </w:p>
    <w:p w:rsidR="00B443B8" w:rsidRPr="00B443B8" w:rsidRDefault="00B443B8" w:rsidP="00B443B8">
      <w:pPr>
        <w:keepNext/>
        <w:ind w:firstLine="720"/>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 xml:space="preserve">EPA is charged under section 111 of the </w:t>
      </w:r>
      <w:r>
        <w:rPr>
          <w:rFonts w:ascii="Times New Roman" w:hAnsi="Times New Roman"/>
          <w:szCs w:val="24"/>
        </w:rPr>
        <w:t>CAA</w:t>
      </w:r>
      <w:r w:rsidRPr="00B443B8">
        <w:rPr>
          <w:rFonts w:ascii="Times New Roman" w:hAnsi="Times New Roman"/>
          <w:szCs w:val="24"/>
        </w:rPr>
        <w:t xml:space="preserve"> to establish standards of performance for new stationary sources that reflect:</w:t>
      </w:r>
    </w:p>
    <w:p w:rsidR="00B443B8" w:rsidRPr="00B443B8" w:rsidRDefault="00B443B8" w:rsidP="00B443B8">
      <w:pPr>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b/>
          <w:bCs/>
          <w:szCs w:val="24"/>
        </w:rPr>
        <w:t>. . .</w:t>
      </w:r>
      <w:r w:rsidRPr="00B443B8">
        <w:rPr>
          <w:rFonts w:ascii="Times New Roman" w:hAnsi="Times New Roman"/>
          <w:szCs w:val="24"/>
        </w:rPr>
        <w:t xml:space="preserve"> application of the best system of emission reduction which (taking into account the cost of achieving such reduction and any non-air quality health and environmental impact and energy requirements) the Administrator determines has been adequately demonstrated. Section 111(a)(l).</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 xml:space="preserve">The </w:t>
      </w:r>
      <w:r w:rsidRPr="00B443B8">
        <w:rPr>
          <w:rFonts w:ascii="Times New Roman" w:hAnsi="Times New Roman"/>
          <w:szCs w:val="24"/>
        </w:rPr>
        <w:t>EPA refers to this charge as selecting the best demonstrated technology (BDT).  Section 111 also requires that the Administrator review and, if appropriate, revise such standards every eight years.</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B443B8">
        <w:rPr>
          <w:rFonts w:ascii="Times New Roman" w:hAnsi="Times New Roman"/>
          <w:szCs w:val="24"/>
        </w:rPr>
        <w:tab/>
        <w:t>In addition, CAA section 114(a) states that the Administrator may require any owner or operator subject to any requirement of this Act to:</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B443B8" w:rsidRPr="00B443B8" w:rsidRDefault="00B443B8" w:rsidP="00B443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szCs w:val="24"/>
        </w:rPr>
      </w:pPr>
      <w:r w:rsidRPr="00B443B8">
        <w:rPr>
          <w:rFonts w:ascii="Times New Roman" w:hAnsi="Times New Roman"/>
          <w:szCs w:val="24"/>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443B8" w:rsidRPr="00B443B8" w:rsidRDefault="00B443B8" w:rsidP="00B44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785CC9" w:rsidRDefault="00B443B8" w:rsidP="00B443B8">
      <w:pPr>
        <w:pStyle w:val="Para"/>
        <w:rPr>
          <w:rFonts w:ascii="Times New Roman" w:hAnsi="Times New Roman"/>
          <w:szCs w:val="24"/>
        </w:rPr>
      </w:pPr>
      <w:r>
        <w:rPr>
          <w:rFonts w:ascii="Times New Roman" w:hAnsi="Times New Roman"/>
        </w:rPr>
        <w:t>As previously stated, t</w:t>
      </w:r>
      <w:r w:rsidRPr="002A626A">
        <w:rPr>
          <w:rFonts w:ascii="Times New Roman" w:hAnsi="Times New Roman"/>
        </w:rPr>
        <w:t>he EPA in 2009 found that by causing or contributing to climate change, GHGs endanger both the public health and the public welfare of current and future generations</w:t>
      </w:r>
      <w:r>
        <w:rPr>
          <w:rFonts w:ascii="Times New Roman" w:hAnsi="Times New Roman"/>
        </w:rPr>
        <w:t>. F</w:t>
      </w:r>
      <w:r w:rsidRPr="009B3321">
        <w:t>ossil</w:t>
      </w:r>
      <w:r>
        <w:t xml:space="preserve"> </w:t>
      </w:r>
      <w:r w:rsidRPr="009B3321">
        <w:t>fuel-fired power plants are the country’s largest stationary source emitters of GHGs</w:t>
      </w:r>
      <w:r>
        <w:t xml:space="preserve">. </w:t>
      </w:r>
      <w:r w:rsidRPr="00B443B8">
        <w:rPr>
          <w:rFonts w:ascii="Times New Roman" w:hAnsi="Times New Roman"/>
          <w:szCs w:val="24"/>
        </w:rPr>
        <w:t xml:space="preserve">Therefore, NSPS </w:t>
      </w:r>
      <w:r>
        <w:rPr>
          <w:rFonts w:ascii="Times New Roman" w:hAnsi="Times New Roman"/>
          <w:szCs w:val="24"/>
        </w:rPr>
        <w:t>for emissions of CO</w:t>
      </w:r>
      <w:r w:rsidRPr="00B443B8">
        <w:rPr>
          <w:rFonts w:ascii="Times New Roman" w:hAnsi="Times New Roman"/>
          <w:szCs w:val="24"/>
          <w:vertAlign w:val="subscript"/>
        </w:rPr>
        <w:t>2</w:t>
      </w:r>
      <w:r>
        <w:rPr>
          <w:rFonts w:ascii="Times New Roman" w:hAnsi="Times New Roman"/>
          <w:szCs w:val="24"/>
        </w:rPr>
        <w:t xml:space="preserve"> are being proposed</w:t>
      </w:r>
      <w:r w:rsidRPr="00B443B8">
        <w:rPr>
          <w:rFonts w:ascii="Times New Roman" w:hAnsi="Times New Roman"/>
          <w:szCs w:val="24"/>
        </w:rPr>
        <w:t xml:space="preserve"> for this </w:t>
      </w:r>
      <w:r>
        <w:rPr>
          <w:rFonts w:ascii="Times New Roman" w:hAnsi="Times New Roman"/>
          <w:szCs w:val="24"/>
        </w:rPr>
        <w:t xml:space="preserve">category of </w:t>
      </w:r>
      <w:r w:rsidRPr="00B443B8">
        <w:rPr>
          <w:rFonts w:ascii="Times New Roman" w:hAnsi="Times New Roman"/>
          <w:szCs w:val="24"/>
        </w:rPr>
        <w:t>source</w:t>
      </w:r>
      <w:r>
        <w:rPr>
          <w:rFonts w:ascii="Times New Roman" w:hAnsi="Times New Roman"/>
          <w:szCs w:val="24"/>
        </w:rPr>
        <w:t>s</w:t>
      </w:r>
      <w:r w:rsidRPr="00B443B8">
        <w:rPr>
          <w:rFonts w:ascii="Times New Roman" w:hAnsi="Times New Roman"/>
          <w:szCs w:val="24"/>
        </w:rPr>
        <w:t xml:space="preserve"> at 40 CFR part 60,</w:t>
      </w:r>
      <w:r w:rsidRPr="00B443B8">
        <w:rPr>
          <w:rFonts w:ascii="Times New Roman" w:hAnsi="Times New Roman"/>
          <w:b/>
          <w:bCs/>
          <w:i/>
          <w:iCs/>
          <w:szCs w:val="24"/>
        </w:rPr>
        <w:t xml:space="preserve"> </w:t>
      </w:r>
      <w:r w:rsidRPr="00B443B8">
        <w:rPr>
          <w:rFonts w:ascii="Times New Roman" w:hAnsi="Times New Roman"/>
          <w:szCs w:val="24"/>
        </w:rPr>
        <w:t xml:space="preserve">subpart </w:t>
      </w:r>
      <w:r>
        <w:rPr>
          <w:rFonts w:ascii="Times New Roman" w:hAnsi="Times New Roman"/>
          <w:szCs w:val="24"/>
        </w:rPr>
        <w:t>TTTT.</w:t>
      </w:r>
    </w:p>
    <w:p w:rsidR="00F57C07" w:rsidRPr="00B443B8" w:rsidRDefault="00F57C07" w:rsidP="00B443B8">
      <w:pPr>
        <w:pStyle w:val="Para"/>
        <w:rPr>
          <w:rFonts w:ascii="Times New Roman" w:hAnsi="Times New Roman"/>
        </w:rPr>
      </w:pPr>
      <w:r w:rsidRPr="00B443B8">
        <w:rPr>
          <w:rFonts w:ascii="Times New Roman" w:hAnsi="Times New Roman"/>
        </w:rPr>
        <w:t xml:space="preserve">Certain records and reports are necessary for the Administrator to: </w:t>
      </w:r>
      <w:r w:rsidR="00785CC9" w:rsidRPr="006029F8">
        <w:rPr>
          <w:szCs w:val="24"/>
        </w:rPr>
        <w:t>1) identify new</w:t>
      </w:r>
      <w:r w:rsidR="00785CC9">
        <w:rPr>
          <w:szCs w:val="24"/>
        </w:rPr>
        <w:t xml:space="preserve"> EGUs</w:t>
      </w:r>
      <w:r w:rsidR="00785CC9" w:rsidRPr="006029F8">
        <w:rPr>
          <w:szCs w:val="24"/>
        </w:rPr>
        <w:t xml:space="preserve"> subject to the standards, 2) ensure that the NSPS is being properly applied; </w:t>
      </w:r>
      <w:r w:rsidR="00785CC9">
        <w:rPr>
          <w:szCs w:val="24"/>
        </w:rPr>
        <w:t>3</w:t>
      </w:r>
      <w:r w:rsidR="00785CC9" w:rsidRPr="006029F8">
        <w:rPr>
          <w:szCs w:val="24"/>
        </w:rPr>
        <w:t xml:space="preserve">) identify those facilities that should be inspected; </w:t>
      </w:r>
      <w:r w:rsidR="00785CC9">
        <w:rPr>
          <w:szCs w:val="24"/>
        </w:rPr>
        <w:t>4</w:t>
      </w:r>
      <w:r w:rsidR="00785CC9" w:rsidRPr="006029F8">
        <w:rPr>
          <w:szCs w:val="24"/>
        </w:rPr>
        <w:t xml:space="preserve">) identify those facilities that may benefit from compliance assistance activities; and </w:t>
      </w:r>
      <w:r w:rsidR="00785CC9">
        <w:rPr>
          <w:szCs w:val="24"/>
        </w:rPr>
        <w:t>5</w:t>
      </w:r>
      <w:r w:rsidR="00785CC9" w:rsidRPr="006029F8">
        <w:rPr>
          <w:szCs w:val="24"/>
        </w:rPr>
        <w:t xml:space="preserve">) ensure that </w:t>
      </w:r>
      <w:r w:rsidR="00785CC9">
        <w:rPr>
          <w:szCs w:val="24"/>
        </w:rPr>
        <w:t xml:space="preserve">process and </w:t>
      </w:r>
      <w:r w:rsidR="00785CC9" w:rsidRPr="006029F8">
        <w:rPr>
          <w:szCs w:val="24"/>
        </w:rPr>
        <w:t>emission</w:t>
      </w:r>
      <w:r w:rsidR="00785CC9">
        <w:rPr>
          <w:szCs w:val="24"/>
        </w:rPr>
        <w:t>s</w:t>
      </w:r>
      <w:r w:rsidR="00785CC9" w:rsidRPr="006029F8">
        <w:rPr>
          <w:szCs w:val="24"/>
        </w:rPr>
        <w:t xml:space="preserve"> control</w:t>
      </w:r>
      <w:r w:rsidR="00785CC9">
        <w:rPr>
          <w:szCs w:val="24"/>
        </w:rPr>
        <w:t>/monitoring</w:t>
      </w:r>
      <w:r w:rsidR="00785CC9" w:rsidRPr="006029F8">
        <w:rPr>
          <w:szCs w:val="24"/>
        </w:rPr>
        <w:t xml:space="preserve"> </w:t>
      </w:r>
      <w:r w:rsidR="00785CC9">
        <w:rPr>
          <w:szCs w:val="24"/>
        </w:rPr>
        <w:t>equipment</w:t>
      </w:r>
      <w:r w:rsidR="00785CC9" w:rsidRPr="006029F8">
        <w:rPr>
          <w:szCs w:val="24"/>
        </w:rPr>
        <w:t xml:space="preserve"> are being properly operated and maintained on a continuous basis</w:t>
      </w:r>
      <w:r w:rsidR="00785CC9">
        <w:rPr>
          <w:szCs w:val="24"/>
        </w:rPr>
        <w:t>.</w:t>
      </w:r>
    </w:p>
    <w:p w:rsidR="00F57C07" w:rsidRPr="00B443B8" w:rsidRDefault="00F57C07" w:rsidP="00F57C07">
      <w:pPr>
        <w:pStyle w:val="Heading2"/>
        <w:rPr>
          <w:i/>
          <w:iCs w:val="0"/>
        </w:rPr>
      </w:pPr>
      <w:r w:rsidRPr="00B443B8">
        <w:rPr>
          <w:i/>
          <w:iCs w:val="0"/>
        </w:rPr>
        <w:lastRenderedPageBreak/>
        <w:t>(b)</w:t>
      </w:r>
      <w:r w:rsidRPr="00B443B8">
        <w:rPr>
          <w:i/>
          <w:iCs w:val="0"/>
        </w:rPr>
        <w:tab/>
        <w:t>Use/Users of the Data</w:t>
      </w:r>
    </w:p>
    <w:p w:rsidR="00F57C07" w:rsidRPr="00B443B8" w:rsidRDefault="00F57C07" w:rsidP="00F57C07">
      <w:pPr>
        <w:pStyle w:val="Para"/>
        <w:rPr>
          <w:rFonts w:ascii="Times New Roman" w:hAnsi="Times New Roman"/>
        </w:rPr>
      </w:pPr>
      <w:r w:rsidRPr="00B443B8">
        <w:rPr>
          <w:rFonts w:ascii="Times New Roman" w:hAnsi="Times New Roman"/>
        </w:rPr>
        <w:t xml:space="preserve">The </w:t>
      </w:r>
      <w:r w:rsidR="00785CC9">
        <w:rPr>
          <w:rFonts w:ascii="Times New Roman" w:hAnsi="Times New Roman"/>
        </w:rPr>
        <w:t>required</w:t>
      </w:r>
      <w:r w:rsidRPr="00B443B8">
        <w:rPr>
          <w:rFonts w:ascii="Times New Roman" w:hAnsi="Times New Roman"/>
        </w:rPr>
        <w:t xml:space="preserve"> information w</w:t>
      </w:r>
      <w:r w:rsidR="00785CC9">
        <w:rPr>
          <w:rFonts w:ascii="Times New Roman" w:hAnsi="Times New Roman"/>
        </w:rPr>
        <w:t>ould</w:t>
      </w:r>
      <w:r w:rsidRPr="00B443B8">
        <w:rPr>
          <w:rFonts w:ascii="Times New Roman" w:hAnsi="Times New Roman"/>
        </w:rPr>
        <w:t xml:space="preserve"> be used by </w:t>
      </w:r>
      <w:r w:rsidR="006B65BC" w:rsidRPr="00B443B8">
        <w:rPr>
          <w:rFonts w:ascii="Times New Roman" w:hAnsi="Times New Roman"/>
        </w:rPr>
        <w:t>a</w:t>
      </w:r>
      <w:r w:rsidRPr="00B443B8">
        <w:rPr>
          <w:rFonts w:ascii="Times New Roman" w:hAnsi="Times New Roman"/>
        </w:rPr>
        <w:t xml:space="preserve">gency enforcement personnel to ensure that the emission limitations are being achieved. Based on review of the recorded information at the site and the reported information, </w:t>
      </w:r>
      <w:r w:rsidR="006B65BC" w:rsidRPr="00B443B8">
        <w:rPr>
          <w:rFonts w:ascii="Times New Roman" w:hAnsi="Times New Roman"/>
        </w:rPr>
        <w:t xml:space="preserve">the </w:t>
      </w:r>
      <w:r w:rsidRPr="00B443B8">
        <w:rPr>
          <w:rFonts w:ascii="Times New Roman" w:hAnsi="Times New Roman"/>
        </w:rPr>
        <w:t>EPA can identify facilities that may not be in compliance and decide which plants, records, or processes should be inspected.</w:t>
      </w:r>
    </w:p>
    <w:p w:rsidR="00F57C07" w:rsidRPr="00B443B8" w:rsidRDefault="00F57C07" w:rsidP="00F57C07">
      <w:pPr>
        <w:pStyle w:val="Heading1"/>
        <w:ind w:left="0" w:firstLine="0"/>
      </w:pPr>
      <w:r w:rsidRPr="00B443B8">
        <w:t>3.</w:t>
      </w:r>
      <w:r w:rsidRPr="00B443B8">
        <w:tab/>
        <w:t>Nonduplication, Consultations, and Other Collection Criteria</w:t>
      </w:r>
    </w:p>
    <w:p w:rsidR="00B82754" w:rsidRPr="00B82754" w:rsidRDefault="00F57C07" w:rsidP="00B82754">
      <w:pPr>
        <w:pStyle w:val="Heading2"/>
        <w:rPr>
          <w:i/>
          <w:iCs w:val="0"/>
        </w:rPr>
      </w:pPr>
      <w:r w:rsidRPr="00B443B8">
        <w:rPr>
          <w:i/>
          <w:iCs w:val="0"/>
        </w:rPr>
        <w:t>(a)</w:t>
      </w:r>
      <w:r w:rsidRPr="00B443B8">
        <w:rPr>
          <w:i/>
          <w:iCs w:val="0"/>
        </w:rPr>
        <w:tab/>
        <w:t>Nonduplication</w:t>
      </w:r>
    </w:p>
    <w:p w:rsidR="00F57C07" w:rsidRPr="00AD5CAB" w:rsidRDefault="00B82754" w:rsidP="00F57C07">
      <w:pPr>
        <w:pStyle w:val="Para"/>
        <w:rPr>
          <w:rFonts w:ascii="Times New Roman" w:hAnsi="Times New Roman"/>
        </w:rPr>
      </w:pPr>
      <w:r>
        <w:rPr>
          <w:rFonts w:ascii="Times New Roman" w:eastAsia="Times New Roman" w:hAnsi="Times New Roman"/>
          <w:bCs/>
          <w:szCs w:val="24"/>
        </w:rPr>
        <w:t>As previously stated, t</w:t>
      </w:r>
      <w:r w:rsidRPr="00FE3E4D">
        <w:rPr>
          <w:rFonts w:ascii="Times New Roman" w:eastAsia="Times New Roman" w:hAnsi="Times New Roman"/>
          <w:bCs/>
          <w:szCs w:val="24"/>
        </w:rPr>
        <w:t>his proposed action would impose minimal new information collection burden on affected sources</w:t>
      </w:r>
      <w:r w:rsidRPr="00FE3E4D">
        <w:rPr>
          <w:rFonts w:ascii="Times New Roman" w:eastAsia="Times New Roman" w:hAnsi="Times New Roman"/>
          <w:szCs w:val="24"/>
        </w:rPr>
        <w:t xml:space="preserve"> beyond what those sources would already be subject to under the authorities of CAA parts 75 and 98.</w:t>
      </w:r>
      <w:r w:rsidRPr="00FE3E4D">
        <w:rPr>
          <w:rFonts w:ascii="Times New Roman" w:hAnsi="Times New Roman"/>
          <w:b/>
          <w:color w:val="0000FF"/>
          <w:szCs w:val="24"/>
        </w:rPr>
        <w:t xml:space="preserve"> </w:t>
      </w:r>
      <w:r w:rsidRPr="00FE3E4D">
        <w:rPr>
          <w:rFonts w:ascii="Times New Roman" w:hAnsi="Times New Roman"/>
          <w:szCs w:val="24"/>
        </w:rPr>
        <w:t xml:space="preserve">Apart from certain reporting </w:t>
      </w:r>
      <w:r w:rsidR="00825B7D">
        <w:rPr>
          <w:rFonts w:ascii="Times New Roman" w:hAnsi="Times New Roman"/>
          <w:szCs w:val="24"/>
        </w:rPr>
        <w:t>requirements</w:t>
      </w:r>
      <w:r w:rsidRPr="00FE3E4D">
        <w:rPr>
          <w:rFonts w:ascii="Times New Roman" w:hAnsi="Times New Roman"/>
          <w:szCs w:val="24"/>
        </w:rPr>
        <w:t xml:space="preserve"> which are mandatory for all owners/operators subject to CAA section 111 national emission standards, there are no new information collection costs, as the information required by this proposed rule is already collected </w:t>
      </w:r>
      <w:r w:rsidRPr="00F7243D">
        <w:rPr>
          <w:rFonts w:ascii="Times New Roman" w:hAnsi="Times New Roman"/>
          <w:szCs w:val="24"/>
        </w:rPr>
        <w:t xml:space="preserve">and reported by other </w:t>
      </w:r>
      <w:r w:rsidRPr="00AD5CAB">
        <w:rPr>
          <w:rFonts w:ascii="Times New Roman" w:hAnsi="Times New Roman"/>
          <w:szCs w:val="24"/>
        </w:rPr>
        <w:t>regulatory programs.</w:t>
      </w:r>
      <w:r w:rsidR="00825B7D" w:rsidRPr="00AD5CAB">
        <w:rPr>
          <w:rFonts w:ascii="Times New Roman" w:hAnsi="Times New Roman"/>
          <w:szCs w:val="24"/>
        </w:rPr>
        <w:t xml:space="preserve"> The proposed rule would require that affected owners or operators </w:t>
      </w:r>
      <w:r w:rsidR="00825B7D" w:rsidRPr="00AD5CAB">
        <w:rPr>
          <w:rFonts w:ascii="Times New Roman" w:hAnsi="Times New Roman"/>
        </w:rPr>
        <w:t xml:space="preserve">follow the applicable reporting requirements and submit reports as required by the other regulatory programs. </w:t>
      </w:r>
      <w:r w:rsidR="00AD5CAB" w:rsidRPr="00AD5CAB">
        <w:rPr>
          <w:rFonts w:ascii="Times New Roman" w:hAnsi="Times New Roman"/>
        </w:rPr>
        <w:t>The additional reporting requirements proposed (t</w:t>
      </w:r>
      <w:r w:rsidR="00825B7D" w:rsidRPr="00AD5CAB">
        <w:rPr>
          <w:rFonts w:ascii="Times New Roman" w:hAnsi="Times New Roman"/>
        </w:rPr>
        <w:t>he excess emissions and continuous monitoring systems performance reports and-or summary report</w:t>
      </w:r>
      <w:r w:rsidR="00AD5CAB" w:rsidRPr="00AD5CAB">
        <w:rPr>
          <w:rFonts w:ascii="Times New Roman" w:hAnsi="Times New Roman"/>
        </w:rPr>
        <w:t>s)</w:t>
      </w:r>
      <w:r w:rsidR="00825B7D" w:rsidRPr="00AD5CAB">
        <w:rPr>
          <w:rFonts w:ascii="Times New Roman" w:hAnsi="Times New Roman"/>
        </w:rPr>
        <w:t xml:space="preserve"> </w:t>
      </w:r>
      <w:r w:rsidR="00AD5CAB" w:rsidRPr="00AD5CAB">
        <w:rPr>
          <w:rFonts w:ascii="Times New Roman" w:hAnsi="Times New Roman"/>
        </w:rPr>
        <w:t>are not currently required from owners</w:t>
      </w:r>
      <w:r w:rsidR="00AD5CAB">
        <w:rPr>
          <w:rFonts w:ascii="Times New Roman" w:hAnsi="Times New Roman"/>
        </w:rPr>
        <w:t xml:space="preserve"> or </w:t>
      </w:r>
      <w:r w:rsidR="00AD5CAB" w:rsidRPr="00AD5CAB">
        <w:rPr>
          <w:rFonts w:ascii="Times New Roman" w:hAnsi="Times New Roman"/>
        </w:rPr>
        <w:t>operators of EGUs that would be regulated under proposed 40 CFR part 60, subpart TTTT.</w:t>
      </w:r>
      <w:r w:rsidR="00F57C07" w:rsidRPr="00AD5CAB">
        <w:rPr>
          <w:rFonts w:ascii="Times New Roman" w:hAnsi="Times New Roman"/>
        </w:rPr>
        <w:t xml:space="preserve"> Therefore, no duplication exists. </w:t>
      </w:r>
    </w:p>
    <w:p w:rsidR="00F57C07" w:rsidRPr="00AD5CAB" w:rsidRDefault="00F57C07" w:rsidP="00F57C07">
      <w:pPr>
        <w:pStyle w:val="Heading2"/>
        <w:rPr>
          <w:i/>
          <w:iCs w:val="0"/>
        </w:rPr>
      </w:pPr>
      <w:r w:rsidRPr="00AD5CAB">
        <w:rPr>
          <w:i/>
          <w:iCs w:val="0"/>
        </w:rPr>
        <w:t>(b)</w:t>
      </w:r>
      <w:r w:rsidRPr="00AD5CAB">
        <w:rPr>
          <w:i/>
          <w:iCs w:val="0"/>
        </w:rPr>
        <w:tab/>
        <w:t>Public Notice Required Prior to ICR Submission to OMB</w:t>
      </w:r>
    </w:p>
    <w:p w:rsidR="00F57C07" w:rsidRPr="00946040" w:rsidRDefault="00F57C07" w:rsidP="00946040">
      <w:pPr>
        <w:pStyle w:val="Para"/>
        <w:rPr>
          <w:rFonts w:ascii="Times New Roman" w:hAnsi="Times New Roman"/>
        </w:rPr>
      </w:pPr>
      <w:r w:rsidRPr="00AD5CAB">
        <w:rPr>
          <w:rFonts w:ascii="Times New Roman" w:hAnsi="Times New Roman"/>
        </w:rPr>
        <w:t xml:space="preserve">This </w:t>
      </w:r>
      <w:r w:rsidRPr="00946040">
        <w:rPr>
          <w:rFonts w:ascii="Times New Roman" w:hAnsi="Times New Roman"/>
        </w:rPr>
        <w:t>section is not applicable because this is a rule-related ICR.</w:t>
      </w:r>
    </w:p>
    <w:p w:rsidR="00946040" w:rsidRPr="00946040" w:rsidRDefault="00F57C07" w:rsidP="00946040">
      <w:pPr>
        <w:pStyle w:val="Heading2"/>
        <w:rPr>
          <w:i/>
          <w:iCs w:val="0"/>
          <w:highlight w:val="yellow"/>
        </w:rPr>
      </w:pPr>
      <w:r w:rsidRPr="00946040">
        <w:rPr>
          <w:i/>
          <w:iCs w:val="0"/>
        </w:rPr>
        <w:t>(c)</w:t>
      </w:r>
      <w:r w:rsidRPr="00946040">
        <w:rPr>
          <w:i/>
          <w:iCs w:val="0"/>
        </w:rPr>
        <w:tab/>
        <w:t>Consultations</w:t>
      </w:r>
    </w:p>
    <w:p w:rsidR="00946040" w:rsidRPr="00946040" w:rsidRDefault="00946040" w:rsidP="00946040">
      <w:pPr>
        <w:ind w:firstLine="720"/>
        <w:rPr>
          <w:rFonts w:ascii="Times New Roman" w:hAnsi="Times New Roman"/>
        </w:rPr>
      </w:pPr>
      <w:r w:rsidRPr="00946040">
        <w:rPr>
          <w:rFonts w:ascii="Times New Roman" w:hAnsi="Times New Roman"/>
        </w:rPr>
        <w:t xml:space="preserve">The EPA has been engaged in extensive interactions with many different stakeholders on the subjects of climate change, source contributions, and potential emission reduction opportunities. These stakeholders have included industries, environmental organizations, and many regional, State, and local air quality management agencies that have been actively engaged in efforts to address GHG emissions over a period of several years. In addition to these conversations, as part of </w:t>
      </w:r>
      <w:r w:rsidRPr="00291DB0">
        <w:rPr>
          <w:rFonts w:ascii="Times New Roman" w:hAnsi="Times New Roman"/>
        </w:rPr>
        <w:t>developing this proposed rule, the EPA held four listening sessions in February and March 2011 to obtain additional information and input from</w:t>
      </w:r>
      <w:r w:rsidRPr="00946040">
        <w:rPr>
          <w:rFonts w:ascii="Times New Roman" w:hAnsi="Times New Roman"/>
        </w:rPr>
        <w:t xml:space="preserve"> key stakeholders and the public. Each of the sessions had a particular target audience: the electric power industry, environmental and environmental justice organizations, States and Tribes, </w:t>
      </w:r>
      <w:r>
        <w:rPr>
          <w:rFonts w:ascii="Times New Roman" w:hAnsi="Times New Roman"/>
        </w:rPr>
        <w:t xml:space="preserve">and </w:t>
      </w:r>
      <w:r w:rsidRPr="00946040">
        <w:rPr>
          <w:rFonts w:ascii="Times New Roman" w:hAnsi="Times New Roman"/>
        </w:rPr>
        <w:t>coalition groups. Each session lasted two hours and featured a facilitated round table discussion among stakeholder representatives who were identified and selected for their expertise in the CAA standard-setting process. The EPA accepted comments from the public at the end of each session and via the electronic docket system.</w:t>
      </w:r>
      <w:r>
        <w:rPr>
          <w:rFonts w:ascii="Times New Roman" w:hAnsi="Times New Roman"/>
        </w:rPr>
        <w:t xml:space="preserve"> </w:t>
      </w:r>
      <w:r w:rsidRPr="00946040">
        <w:rPr>
          <w:rFonts w:ascii="Times New Roman" w:hAnsi="Times New Roman"/>
        </w:rPr>
        <w:t>Comments submitted via the electronic docket system are available at www.regulations.gov (docket number EPA-HQ-OAR-2011-0090).</w:t>
      </w:r>
    </w:p>
    <w:p w:rsidR="00C55F8F" w:rsidRPr="00946040" w:rsidRDefault="00C55F8F" w:rsidP="00946040">
      <w:pPr>
        <w:pStyle w:val="ListParagraph"/>
        <w:autoSpaceDE w:val="0"/>
        <w:autoSpaceDN w:val="0"/>
        <w:adjustRightInd w:val="0"/>
        <w:spacing w:after="240"/>
        <w:ind w:left="0" w:firstLine="720"/>
      </w:pPr>
    </w:p>
    <w:p w:rsidR="00946040" w:rsidRPr="00946040" w:rsidRDefault="00946040" w:rsidP="00946040">
      <w:pPr>
        <w:pStyle w:val="ListParagraph"/>
        <w:autoSpaceDE w:val="0"/>
        <w:autoSpaceDN w:val="0"/>
        <w:adjustRightInd w:val="0"/>
        <w:spacing w:after="240"/>
        <w:ind w:left="0" w:firstLine="720"/>
      </w:pPr>
      <w:r w:rsidRPr="00946040">
        <w:t>The EPA’s consultation</w:t>
      </w:r>
      <w:r w:rsidR="00AC7AF0">
        <w:t xml:space="preserve"> activities</w:t>
      </w:r>
      <w:r w:rsidRPr="00946040">
        <w:t xml:space="preserve"> </w:t>
      </w:r>
      <w:r>
        <w:t xml:space="preserve">with governmental entities and </w:t>
      </w:r>
      <w:r w:rsidR="00AC7AF0">
        <w:t xml:space="preserve">tribal leaders as described below </w:t>
      </w:r>
      <w:r w:rsidRPr="00946040">
        <w:t>regarded planned actions for new and existing sources, but only new sources would be affected by this proposed action.</w:t>
      </w:r>
    </w:p>
    <w:p w:rsidR="00946040" w:rsidRPr="00946040" w:rsidRDefault="00946040" w:rsidP="00946040">
      <w:pPr>
        <w:pStyle w:val="ListParagraph"/>
        <w:autoSpaceDE w:val="0"/>
        <w:autoSpaceDN w:val="0"/>
        <w:adjustRightInd w:val="0"/>
        <w:ind w:left="0" w:firstLine="720"/>
      </w:pPr>
    </w:p>
    <w:p w:rsidR="00C55F8F" w:rsidRPr="00291DB0" w:rsidRDefault="00C55F8F" w:rsidP="00946040">
      <w:pPr>
        <w:pStyle w:val="ListParagraph"/>
        <w:autoSpaceDE w:val="0"/>
        <w:autoSpaceDN w:val="0"/>
        <w:adjustRightInd w:val="0"/>
        <w:ind w:left="0" w:firstLine="720"/>
      </w:pPr>
      <w:r w:rsidRPr="00946040">
        <w:t xml:space="preserve">In light of the </w:t>
      </w:r>
      <w:r w:rsidRPr="00291DB0">
        <w:t>interest in this proposed rule among</w:t>
      </w:r>
      <w:r w:rsidRPr="00946040">
        <w:t xml:space="preserve"> governmental entities, the EPA initiated consultations with governmental entities. The EPA invited the following 10 national </w:t>
      </w:r>
      <w:r w:rsidRPr="00946040">
        <w:lastRenderedPageBreak/>
        <w:t xml:space="preserve">organizations representing state and local elected </w:t>
      </w:r>
      <w:r w:rsidRPr="00291DB0">
        <w:t>officials to a meeting held on April 12, 2011, in Washington DC: 1) National Governors Association; 2) National Conference of State Legislatures, 3) Council of State Governments, 4) National League of Cities, 5) U.S. Conference of Mayors, 6) National Association of Counties, 7) International City/County Management Association, 8) National Association of Towns and Townships, 9) County Executives of America, and 10) Environmental Council of States. These 10 organizations representing elected state and local officials have been identified by the EPA as the “Big 10” organizations appropriate to contact for purpose of consultation with elected officials.</w:t>
      </w:r>
      <w:r w:rsidR="00946040" w:rsidRPr="00291DB0">
        <w:t xml:space="preserve"> The purposes of the consultation were</w:t>
      </w:r>
      <w:r w:rsidR="00F57C07" w:rsidRPr="00291DB0">
        <w:t xml:space="preserve"> to provide general background on the proposal, answer questions, and solicit input from </w:t>
      </w:r>
      <w:r w:rsidR="006B65BC" w:rsidRPr="00291DB0">
        <w:t>s</w:t>
      </w:r>
      <w:r w:rsidR="00F57C07" w:rsidRPr="00291DB0">
        <w:t>tate/local governments.</w:t>
      </w:r>
    </w:p>
    <w:p w:rsidR="00C55F8F" w:rsidRPr="00291DB0" w:rsidRDefault="00C55F8F" w:rsidP="00946040">
      <w:pPr>
        <w:pStyle w:val="ListParagraph"/>
        <w:autoSpaceDE w:val="0"/>
        <w:autoSpaceDN w:val="0"/>
        <w:adjustRightInd w:val="0"/>
        <w:ind w:left="0" w:firstLine="720"/>
      </w:pPr>
    </w:p>
    <w:p w:rsidR="00C55F8F" w:rsidRPr="00C55F8F" w:rsidRDefault="00C55F8F" w:rsidP="00946040">
      <w:pPr>
        <w:pStyle w:val="ListParagraph"/>
        <w:autoSpaceDE w:val="0"/>
        <w:autoSpaceDN w:val="0"/>
        <w:adjustRightInd w:val="0"/>
        <w:ind w:left="0" w:firstLine="720"/>
        <w:rPr>
          <w:color w:val="000000"/>
        </w:rPr>
      </w:pPr>
      <w:r w:rsidRPr="00291DB0">
        <w:rPr>
          <w:color w:val="000000"/>
        </w:rPr>
        <w:t>Because the EPA is aware of Tribal interest in this proposed rule, the EPA offered consultation with tribal officials early in the process of developing this proposed regulation to permit them to have meaningful and timely input into its development. Consultation letters were sent to 584 tribal leaders. The letters provided information regarding the EPA’s development of NSPS and emission guidelines for EGUs and offered consultation. A consultation/outreach meeting was held on May 23, 2011, with the Forest County Potawatomi Community, the Fond du Lac Band of Lake Superior Chippewa Reservation, and the Leech Lake Band of Ojibwe. Other tribes participated in the call for information gat</w:t>
      </w:r>
      <w:r w:rsidRPr="00C55F8F">
        <w:rPr>
          <w:color w:val="000000"/>
        </w:rPr>
        <w:t xml:space="preserve">hering purposes. In this meeting, the EPA provided background information on the GHG emission standards to be developed and a summary of issues being explored by the Agency. In addition, </w:t>
      </w:r>
      <w:r w:rsidR="00AC7AF0">
        <w:rPr>
          <w:color w:val="000000"/>
        </w:rPr>
        <w:t>t</w:t>
      </w:r>
      <w:r w:rsidRPr="00C55F8F">
        <w:rPr>
          <w:color w:val="000000"/>
        </w:rPr>
        <w:t xml:space="preserve">ribes participated in </w:t>
      </w:r>
      <w:r w:rsidR="00AC7AF0">
        <w:rPr>
          <w:color w:val="000000"/>
        </w:rPr>
        <w:t>the listening</w:t>
      </w:r>
      <w:r w:rsidRPr="00C55F8F">
        <w:rPr>
          <w:color w:val="000000"/>
        </w:rPr>
        <w:t xml:space="preserve"> session on February 17, 2011 with the state agencies, as well as in a separate session with tribes on April 20, 2011.</w:t>
      </w:r>
    </w:p>
    <w:p w:rsidR="00946040" w:rsidRDefault="00946040" w:rsidP="00946040">
      <w:pPr>
        <w:pStyle w:val="Para"/>
        <w:spacing w:after="0"/>
        <w:rPr>
          <w:rFonts w:ascii="Times New Roman" w:hAnsi="Times New Roman"/>
          <w:color w:val="000000"/>
        </w:rPr>
      </w:pPr>
    </w:p>
    <w:p w:rsidR="00F57C07" w:rsidRPr="00E545A0" w:rsidRDefault="00C55F8F" w:rsidP="00946040">
      <w:pPr>
        <w:pStyle w:val="Para"/>
        <w:spacing w:after="0"/>
        <w:rPr>
          <w:rFonts w:ascii="Times New Roman" w:hAnsi="Times New Roman"/>
        </w:rPr>
      </w:pPr>
      <w:r w:rsidRPr="00C55F8F">
        <w:rPr>
          <w:rFonts w:ascii="Times New Roman" w:hAnsi="Times New Roman"/>
          <w:color w:val="000000"/>
        </w:rPr>
        <w:t>The EPA will also hold additional meetings with tribal environmental staff to inform them of the content of this proposal as well as provide additional consultation with tribal elected officials where it is appropriate.</w:t>
      </w:r>
      <w:r w:rsidR="00F57C07" w:rsidRPr="00E545A0">
        <w:rPr>
          <w:rFonts w:ascii="Times New Roman" w:hAnsi="Times New Roman"/>
        </w:rPr>
        <w:t xml:space="preserve"> </w:t>
      </w:r>
    </w:p>
    <w:p w:rsidR="00F57C07" w:rsidRPr="00E545A0" w:rsidRDefault="00F57C07" w:rsidP="00F57C07">
      <w:pPr>
        <w:pStyle w:val="Heading2"/>
        <w:rPr>
          <w:i/>
          <w:iCs w:val="0"/>
        </w:rPr>
      </w:pPr>
      <w:r w:rsidRPr="00E545A0">
        <w:rPr>
          <w:i/>
          <w:iCs w:val="0"/>
        </w:rPr>
        <w:t>(d)</w:t>
      </w:r>
      <w:r w:rsidRPr="00E545A0">
        <w:rPr>
          <w:i/>
          <w:iCs w:val="0"/>
        </w:rPr>
        <w:tab/>
        <w:t>Effects of Less Frequent Collection</w:t>
      </w:r>
    </w:p>
    <w:p w:rsidR="00F57C07" w:rsidRPr="00E545A0" w:rsidRDefault="00F57C07" w:rsidP="00F57C07">
      <w:pPr>
        <w:pStyle w:val="Para"/>
        <w:rPr>
          <w:rFonts w:ascii="Times New Roman" w:hAnsi="Times New Roman"/>
        </w:rPr>
      </w:pPr>
      <w:r w:rsidRPr="00E545A0">
        <w:rPr>
          <w:rFonts w:ascii="Times New Roman" w:hAnsi="Times New Roman"/>
        </w:rPr>
        <w:t xml:space="preserve">If the relevant information were collected less frequently, </w:t>
      </w:r>
      <w:r w:rsidR="006B65BC">
        <w:rPr>
          <w:rFonts w:ascii="Times New Roman" w:hAnsi="Times New Roman"/>
        </w:rPr>
        <w:t xml:space="preserve">the </w:t>
      </w:r>
      <w:r w:rsidRPr="00E545A0">
        <w:rPr>
          <w:rFonts w:ascii="Times New Roman" w:hAnsi="Times New Roman"/>
        </w:rPr>
        <w:t>EPA would not be reasonably assured that a plant is in compliance with the standards.</w:t>
      </w:r>
    </w:p>
    <w:p w:rsidR="00F57C07" w:rsidRPr="0068644D" w:rsidRDefault="00F57C07" w:rsidP="00F57C07">
      <w:pPr>
        <w:pStyle w:val="Heading2"/>
        <w:rPr>
          <w:i/>
          <w:iCs w:val="0"/>
        </w:rPr>
      </w:pPr>
      <w:r w:rsidRPr="0068644D">
        <w:rPr>
          <w:i/>
          <w:iCs w:val="0"/>
        </w:rPr>
        <w:t>(e)</w:t>
      </w:r>
      <w:r w:rsidRPr="0068644D">
        <w:rPr>
          <w:i/>
          <w:iCs w:val="0"/>
        </w:rPr>
        <w:tab/>
        <w:t>General Guidelines</w:t>
      </w:r>
    </w:p>
    <w:p w:rsidR="00F57C07" w:rsidRPr="009B35B5" w:rsidRDefault="00F57C07" w:rsidP="00F57C07">
      <w:pPr>
        <w:pStyle w:val="Para"/>
        <w:rPr>
          <w:rFonts w:ascii="Times New Roman" w:hAnsi="Times New Roman"/>
        </w:rPr>
      </w:pPr>
      <w:r w:rsidRPr="009B35B5">
        <w:rPr>
          <w:rFonts w:ascii="Times New Roman" w:hAnsi="Times New Roman"/>
        </w:rPr>
        <w:t>None of the guidelines in 5 CFR 1320.5 are being exceeded.</w:t>
      </w:r>
    </w:p>
    <w:p w:rsidR="00F57C07" w:rsidRPr="0068644D" w:rsidRDefault="00F57C07" w:rsidP="00F57C07">
      <w:pPr>
        <w:pStyle w:val="Heading2"/>
        <w:rPr>
          <w:i/>
          <w:iCs w:val="0"/>
        </w:rPr>
      </w:pPr>
      <w:r w:rsidRPr="0068644D">
        <w:rPr>
          <w:i/>
          <w:iCs w:val="0"/>
        </w:rPr>
        <w:t>(f)</w:t>
      </w:r>
      <w:r w:rsidRPr="0068644D">
        <w:rPr>
          <w:i/>
          <w:iCs w:val="0"/>
        </w:rPr>
        <w:tab/>
        <w:t>Confidentiality</w:t>
      </w:r>
    </w:p>
    <w:p w:rsidR="00F57C07" w:rsidRPr="009B35B5" w:rsidRDefault="00F57C07" w:rsidP="00F57C07">
      <w:pPr>
        <w:pStyle w:val="Para"/>
        <w:rPr>
          <w:rFonts w:ascii="Times New Roman" w:hAnsi="Times New Roman"/>
        </w:rPr>
      </w:pPr>
      <w:r w:rsidRPr="009B35B5">
        <w:rPr>
          <w:rFonts w:ascii="Times New Roman" w:hAnsi="Times New Roman"/>
        </w:rPr>
        <w:t xml:space="preserve">All information submitted to the </w:t>
      </w:r>
      <w:r w:rsidR="006B65BC">
        <w:rPr>
          <w:rFonts w:ascii="Times New Roman" w:hAnsi="Times New Roman"/>
        </w:rPr>
        <w:t>a</w:t>
      </w:r>
      <w:r w:rsidRPr="009B35B5">
        <w:rPr>
          <w:rFonts w:ascii="Times New Roman" w:hAnsi="Times New Roman"/>
        </w:rPr>
        <w:t xml:space="preserve">gency for which a claim of confidentiality is made will be safeguarded according to the </w:t>
      </w:r>
      <w:r w:rsidR="006B65BC">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01, 1976; amended by 43 FR 39999, September 28, 1978; 43 FR 42251, September 28, 1978; 44 FR 17674, March 23, 1979).</w:t>
      </w:r>
    </w:p>
    <w:p w:rsidR="00F57C07" w:rsidRPr="0068644D" w:rsidRDefault="00F57C07" w:rsidP="00F57C07">
      <w:pPr>
        <w:pStyle w:val="Heading2"/>
        <w:rPr>
          <w:i/>
          <w:iCs w:val="0"/>
        </w:rPr>
      </w:pPr>
      <w:r w:rsidRPr="0068644D">
        <w:rPr>
          <w:i/>
          <w:iCs w:val="0"/>
        </w:rPr>
        <w:t>(g)</w:t>
      </w:r>
      <w:r w:rsidRPr="0068644D">
        <w:rPr>
          <w:i/>
          <w:iCs w:val="0"/>
        </w:rPr>
        <w:tab/>
        <w:t>Sensitive Questions</w:t>
      </w:r>
    </w:p>
    <w:p w:rsidR="00F57C07" w:rsidRPr="009B35B5" w:rsidRDefault="00F57C07" w:rsidP="00F57C0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F57C07" w:rsidRPr="009B35B5" w:rsidRDefault="00F57C07" w:rsidP="00F57C07">
      <w:pPr>
        <w:pStyle w:val="Heading1"/>
      </w:pPr>
      <w:r w:rsidRPr="009B35B5">
        <w:lastRenderedPageBreak/>
        <w:t>4.</w:t>
      </w:r>
      <w:r w:rsidRPr="009B35B5">
        <w:tab/>
        <w:t>The Respondents and the Information Requested</w:t>
      </w:r>
    </w:p>
    <w:p w:rsidR="00F57C07" w:rsidRPr="007E09A5" w:rsidRDefault="00F57C07" w:rsidP="00F57C07">
      <w:pPr>
        <w:pStyle w:val="Heading2"/>
        <w:rPr>
          <w:i/>
          <w:iCs w:val="0"/>
        </w:rPr>
      </w:pPr>
      <w:r w:rsidRPr="0068644D">
        <w:rPr>
          <w:i/>
          <w:iCs w:val="0"/>
        </w:rPr>
        <w:t>(a)</w:t>
      </w:r>
      <w:r w:rsidRPr="0068644D">
        <w:rPr>
          <w:i/>
          <w:iCs w:val="0"/>
        </w:rPr>
        <w:tab/>
        <w:t>Respondents/NAICS C</w:t>
      </w:r>
      <w:r w:rsidRPr="007E09A5">
        <w:rPr>
          <w:i/>
          <w:iCs w:val="0"/>
        </w:rPr>
        <w:t>odes</w:t>
      </w:r>
    </w:p>
    <w:p w:rsidR="00F57C07" w:rsidRPr="0053251F" w:rsidRDefault="00AC7AF0" w:rsidP="00F57C07">
      <w:pPr>
        <w:pStyle w:val="Para"/>
        <w:rPr>
          <w:rFonts w:ascii="Times New Roman" w:hAnsi="Times New Roman"/>
        </w:rPr>
      </w:pPr>
      <w:r>
        <w:rPr>
          <w:rFonts w:ascii="Times New Roman" w:hAnsi="Times New Roman"/>
        </w:rPr>
        <w:t>R</w:t>
      </w:r>
      <w:r w:rsidR="00F57C07" w:rsidRPr="007E09A5">
        <w:rPr>
          <w:rFonts w:ascii="Times New Roman" w:hAnsi="Times New Roman"/>
        </w:rPr>
        <w:t xml:space="preserve">espondents are owners or operators of </w:t>
      </w:r>
      <w:r>
        <w:rPr>
          <w:rFonts w:ascii="Times New Roman" w:hAnsi="Times New Roman"/>
        </w:rPr>
        <w:t>new fossil fuel-fired</w:t>
      </w:r>
      <w:r w:rsidR="00F57C07" w:rsidRPr="007E09A5">
        <w:rPr>
          <w:rFonts w:ascii="Times New Roman" w:hAnsi="Times New Roman"/>
        </w:rPr>
        <w:t xml:space="preserve"> </w:t>
      </w:r>
      <w:r>
        <w:rPr>
          <w:rFonts w:ascii="Times New Roman" w:hAnsi="Times New Roman"/>
        </w:rPr>
        <w:t>EGUs</w:t>
      </w:r>
      <w:r w:rsidR="00F57C07">
        <w:rPr>
          <w:rFonts w:ascii="Times New Roman" w:hAnsi="Times New Roman"/>
        </w:rPr>
        <w:t xml:space="preserve">. </w:t>
      </w:r>
      <w:r w:rsidR="00F57C07" w:rsidRPr="007E09A5">
        <w:rPr>
          <w:rFonts w:ascii="Times New Roman" w:hAnsi="Times New Roman"/>
        </w:rPr>
        <w:t xml:space="preserve">It is estimated that </w:t>
      </w:r>
      <w:r>
        <w:rPr>
          <w:rFonts w:ascii="Times New Roman" w:hAnsi="Times New Roman"/>
        </w:rPr>
        <w:t>17 new EGUs would commence operation during the 3-year period of this ICR</w:t>
      </w:r>
      <w:r w:rsidR="00F57C07">
        <w:rPr>
          <w:rFonts w:ascii="Times New Roman" w:hAnsi="Times New Roman"/>
        </w:rPr>
        <w:t xml:space="preserve">. </w:t>
      </w:r>
      <w:r w:rsidR="00F57C07" w:rsidRPr="007E09A5">
        <w:rPr>
          <w:rFonts w:ascii="Times New Roman" w:hAnsi="Times New Roman"/>
        </w:rPr>
        <w:t>All respondents w</w:t>
      </w:r>
      <w:r>
        <w:rPr>
          <w:rFonts w:ascii="Times New Roman" w:hAnsi="Times New Roman"/>
        </w:rPr>
        <w:t>ould</w:t>
      </w:r>
      <w:r w:rsidR="00F57C07" w:rsidRPr="007E09A5">
        <w:rPr>
          <w:rFonts w:ascii="Times New Roman" w:hAnsi="Times New Roman"/>
        </w:rPr>
        <w:t xml:space="preserve"> be subject to the </w:t>
      </w:r>
      <w:r w:rsidR="00F57C07" w:rsidRPr="0053251F">
        <w:rPr>
          <w:rFonts w:ascii="Times New Roman" w:hAnsi="Times New Roman"/>
        </w:rPr>
        <w:t xml:space="preserve">monitoring, recordkeeping, and reporting requirements. The </w:t>
      </w:r>
      <w:r w:rsidR="004D1FE2" w:rsidRPr="0053251F">
        <w:rPr>
          <w:rFonts w:ascii="Times New Roman" w:hAnsi="Times New Roman"/>
        </w:rPr>
        <w:t xml:space="preserve">applicable </w:t>
      </w:r>
      <w:r w:rsidR="00F57C07" w:rsidRPr="0053251F">
        <w:rPr>
          <w:rFonts w:ascii="Times New Roman" w:hAnsi="Times New Roman"/>
        </w:rPr>
        <w:t>NAICS code</w:t>
      </w:r>
      <w:r w:rsidR="004D1FE2" w:rsidRPr="0053251F">
        <w:rPr>
          <w:rFonts w:ascii="Times New Roman" w:hAnsi="Times New Roman"/>
        </w:rPr>
        <w:t>s</w:t>
      </w:r>
      <w:r w:rsidR="00F57C07" w:rsidRPr="0053251F">
        <w:rPr>
          <w:rFonts w:ascii="Times New Roman" w:hAnsi="Times New Roman"/>
        </w:rPr>
        <w:t xml:space="preserve"> </w:t>
      </w:r>
      <w:r w:rsidR="004D1FE2" w:rsidRPr="0053251F">
        <w:rPr>
          <w:rFonts w:ascii="Times New Roman" w:hAnsi="Times New Roman"/>
        </w:rPr>
        <w:t>are</w:t>
      </w:r>
      <w:r w:rsidR="00F57C07" w:rsidRPr="0053251F">
        <w:rPr>
          <w:rFonts w:ascii="Times New Roman" w:hAnsi="Times New Roman"/>
        </w:rPr>
        <w:t xml:space="preserve"> 2211</w:t>
      </w:r>
      <w:r w:rsidR="005A7029" w:rsidRPr="0053251F">
        <w:rPr>
          <w:rFonts w:ascii="Times New Roman" w:hAnsi="Times New Roman"/>
        </w:rPr>
        <w:t>12</w:t>
      </w:r>
      <w:r w:rsidR="00F57C07" w:rsidRPr="0053251F">
        <w:rPr>
          <w:rFonts w:ascii="Times New Roman" w:hAnsi="Times New Roman"/>
        </w:rPr>
        <w:t xml:space="preserve">, </w:t>
      </w:r>
      <w:r w:rsidR="005A7029" w:rsidRPr="0053251F">
        <w:rPr>
          <w:rFonts w:ascii="Times New Roman" w:hAnsi="Times New Roman"/>
        </w:rPr>
        <w:t>Fossil fuel electric power generating units</w:t>
      </w:r>
      <w:r w:rsidR="0053251F">
        <w:rPr>
          <w:rFonts w:ascii="Times New Roman" w:hAnsi="Times New Roman"/>
        </w:rPr>
        <w:t xml:space="preserve"> </w:t>
      </w:r>
      <w:r w:rsidR="005A7029" w:rsidRPr="0053251F">
        <w:rPr>
          <w:rFonts w:ascii="Times New Roman" w:hAnsi="Times New Roman"/>
        </w:rPr>
        <w:t xml:space="preserve">(covers owners/operators of </w:t>
      </w:r>
      <w:r w:rsidR="004D1FE2" w:rsidRPr="0053251F">
        <w:rPr>
          <w:rFonts w:ascii="Times New Roman" w:hAnsi="Times New Roman"/>
        </w:rPr>
        <w:t>industry or federal, state or local government establishments)</w:t>
      </w:r>
      <w:r w:rsidR="0053251F">
        <w:rPr>
          <w:rFonts w:ascii="Times New Roman" w:hAnsi="Times New Roman"/>
        </w:rPr>
        <w:t>,</w:t>
      </w:r>
      <w:r w:rsidR="004D1FE2" w:rsidRPr="0053251F">
        <w:rPr>
          <w:rFonts w:ascii="Times New Roman" w:hAnsi="Times New Roman"/>
        </w:rPr>
        <w:t xml:space="preserve"> and 921150</w:t>
      </w:r>
      <w:r w:rsidR="0053251F">
        <w:rPr>
          <w:rFonts w:ascii="Times New Roman" w:hAnsi="Times New Roman"/>
        </w:rPr>
        <w:t>,</w:t>
      </w:r>
      <w:r w:rsidR="0053251F" w:rsidRPr="0053251F">
        <w:rPr>
          <w:rFonts w:ascii="Times New Roman" w:hAnsi="Times New Roman"/>
        </w:rPr>
        <w:t xml:space="preserve"> Fossil fuel electric power generating units in Indian Country</w:t>
      </w:r>
      <w:r w:rsidR="0053251F">
        <w:rPr>
          <w:rFonts w:ascii="Times New Roman" w:hAnsi="Times New Roman"/>
        </w:rPr>
        <w:t>.</w:t>
      </w:r>
    </w:p>
    <w:p w:rsidR="00F57C07" w:rsidRPr="0053251F" w:rsidRDefault="00F57C07" w:rsidP="00F57C07">
      <w:pPr>
        <w:pStyle w:val="Heading2"/>
        <w:rPr>
          <w:i/>
          <w:iCs w:val="0"/>
        </w:rPr>
      </w:pPr>
      <w:r w:rsidRPr="0053251F">
        <w:rPr>
          <w:i/>
          <w:iCs w:val="0"/>
        </w:rPr>
        <w:t>(b) Information Requested</w:t>
      </w:r>
    </w:p>
    <w:p w:rsidR="00F57C07" w:rsidRPr="00BB68B4" w:rsidRDefault="00F57C07" w:rsidP="00F57C07">
      <w:pPr>
        <w:pStyle w:val="Heading2"/>
        <w:rPr>
          <w:i/>
          <w:iCs w:val="0"/>
        </w:rPr>
      </w:pPr>
      <w:r w:rsidRPr="0053251F">
        <w:rPr>
          <w:i/>
          <w:iCs w:val="0"/>
        </w:rPr>
        <w:t xml:space="preserve">(i) Data Items, Including </w:t>
      </w:r>
      <w:r w:rsidRPr="00BB68B4">
        <w:rPr>
          <w:i/>
          <w:iCs w:val="0"/>
        </w:rPr>
        <w:t xml:space="preserve">Recordkeeping Requirements. </w:t>
      </w:r>
    </w:p>
    <w:p w:rsidR="00F57C07" w:rsidRPr="00BB68B4" w:rsidRDefault="00BB68B4" w:rsidP="00F57C07">
      <w:pPr>
        <w:pStyle w:val="Para"/>
        <w:rPr>
          <w:rFonts w:ascii="Times New Roman" w:hAnsi="Times New Roman"/>
        </w:rPr>
      </w:pPr>
      <w:r w:rsidRPr="00BB68B4">
        <w:rPr>
          <w:rFonts w:ascii="Times New Roman" w:hAnsi="Times New Roman"/>
          <w:szCs w:val="24"/>
        </w:rPr>
        <w:t xml:space="preserve">Apart from certain reporting costs based on requirements in the NSPS General Provisions (40 CFR part 60, subpart A), which are mandatory for all owners/operators subject to CAA section 111 national emission standards, there are no new information collection costs, as the information required by this proposed rule is already collected and reported by other regulatory programs (CAA parts 75 and 98). </w:t>
      </w:r>
      <w:r w:rsidRPr="00BB68B4">
        <w:rPr>
          <w:rFonts w:ascii="Times New Roman" w:eastAsia="Times New Roman" w:hAnsi="Times New Roman"/>
          <w:szCs w:val="24"/>
        </w:rPr>
        <w:t xml:space="preserve">The EPA does not project any new coal-fired EGUs that commence construction after this proposal to commence operation over the 3-year period covered by this ICR. We estimate that 17 new </w:t>
      </w:r>
      <w:r w:rsidR="00964312">
        <w:rPr>
          <w:rFonts w:ascii="Times New Roman" w:eastAsia="Times New Roman" w:hAnsi="Times New Roman"/>
          <w:szCs w:val="24"/>
        </w:rPr>
        <w:t xml:space="preserve">affected </w:t>
      </w:r>
      <w:r w:rsidRPr="00BB68B4">
        <w:rPr>
          <w:rFonts w:ascii="Times New Roman" w:eastAsia="Times New Roman" w:hAnsi="Times New Roman"/>
          <w:szCs w:val="24"/>
        </w:rPr>
        <w:t xml:space="preserve">NGCC units would commence operation during that time period. As a result of this proposal, those units would be required to prepare a </w:t>
      </w:r>
      <w:r w:rsidR="00535585">
        <w:rPr>
          <w:rFonts w:ascii="Times New Roman" w:eastAsia="Times New Roman" w:hAnsi="Times New Roman"/>
          <w:szCs w:val="24"/>
        </w:rPr>
        <w:t>quarterly</w:t>
      </w:r>
      <w:r w:rsidRPr="00BB68B4">
        <w:rPr>
          <w:rFonts w:ascii="Times New Roman" w:eastAsia="Times New Roman" w:hAnsi="Times New Roman"/>
          <w:szCs w:val="24"/>
        </w:rPr>
        <w:t xml:space="preserve"> report, which includes reporting of emissions and downtime, every </w:t>
      </w:r>
      <w:r w:rsidR="00535585">
        <w:rPr>
          <w:rFonts w:ascii="Times New Roman" w:eastAsia="Times New Roman" w:hAnsi="Times New Roman"/>
          <w:szCs w:val="24"/>
        </w:rPr>
        <w:t>3</w:t>
      </w:r>
      <w:r w:rsidRPr="00BB68B4">
        <w:rPr>
          <w:rFonts w:ascii="Times New Roman" w:eastAsia="Times New Roman" w:hAnsi="Times New Roman"/>
          <w:szCs w:val="24"/>
        </w:rPr>
        <w:t xml:space="preserve"> months.</w:t>
      </w:r>
    </w:p>
    <w:p w:rsidR="00F57C07" w:rsidRPr="00BB68B4" w:rsidRDefault="00F57C07" w:rsidP="00F57C07">
      <w:pPr>
        <w:pStyle w:val="Para"/>
        <w:rPr>
          <w:rFonts w:ascii="Times New Roman" w:hAnsi="Times New Roman"/>
        </w:rPr>
      </w:pPr>
      <w:r w:rsidRPr="00BB68B4">
        <w:rPr>
          <w:rFonts w:ascii="Times New Roman" w:hAnsi="Times New Roman"/>
        </w:rPr>
        <w:t xml:space="preserve">The EPA is including in </w:t>
      </w:r>
      <w:r w:rsidR="00BB68B4" w:rsidRPr="00BB68B4">
        <w:rPr>
          <w:rFonts w:ascii="Times New Roman" w:hAnsi="Times New Roman"/>
        </w:rPr>
        <w:t>this ICR</w:t>
      </w:r>
      <w:r w:rsidRPr="00BB68B4">
        <w:rPr>
          <w:rFonts w:ascii="Times New Roman" w:hAnsi="Times New Roman"/>
        </w:rPr>
        <w:t xml:space="preserve">, an estimate of the burden associated with performing an affirmative defense. The EPA is providing this as an illustrative example of the potential additional administrative burden a source may incur to assert in an Affirmative Defense in response to an action to enforce the standards set forth in the applicable subpart. </w:t>
      </w:r>
    </w:p>
    <w:p w:rsidR="00F57C07" w:rsidRPr="00BB68B4" w:rsidRDefault="00F57C07" w:rsidP="00F57C07">
      <w:pPr>
        <w:pStyle w:val="Para"/>
        <w:rPr>
          <w:rFonts w:ascii="Times New Roman" w:hAnsi="Times New Roman"/>
        </w:rPr>
      </w:pPr>
      <w:r w:rsidRPr="00BB68B4">
        <w:rPr>
          <w:rFonts w:ascii="Times New Roman" w:hAnsi="Times New Roman"/>
        </w:rPr>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F57C07" w:rsidRPr="00F13D30" w:rsidRDefault="00F57C07" w:rsidP="00022C1D">
      <w:pPr>
        <w:pStyle w:val="Para"/>
        <w:rPr>
          <w:rFonts w:ascii="Times New Roman" w:hAnsi="Times New Roman"/>
        </w:rPr>
      </w:pPr>
      <w:r w:rsidRPr="00BB68B4">
        <w:rPr>
          <w:rFonts w:ascii="Times New Roman" w:hAnsi="Times New Roman"/>
        </w:rPr>
        <w:t xml:space="preserve">To provide the public with an estimate of the relative </w:t>
      </w:r>
      <w:r w:rsidRPr="00F13D30">
        <w:rPr>
          <w:rFonts w:ascii="Times New Roman" w:hAnsi="Times New Roman"/>
        </w:rPr>
        <w:t xml:space="preserve">magnitude of the burden associated with an assertion of the affirmative defense position adopted by a source, </w:t>
      </w:r>
      <w:r>
        <w:rPr>
          <w:rFonts w:ascii="Times New Roman" w:hAnsi="Times New Roman"/>
        </w:rPr>
        <w:t xml:space="preserve">the </w:t>
      </w:r>
      <w:r w:rsidRPr="00F13D30">
        <w:rPr>
          <w:rFonts w:ascii="Times New Roman" w:hAnsi="Times New Roman"/>
        </w:rPr>
        <w:t>EPA provides an administrative adjustment to this ICR that estimates the costs of the notification, recordkeeping and reporting requirements associated with the assertion of the affirmative defense.</w:t>
      </w:r>
      <w:r>
        <w:rPr>
          <w:rFonts w:ascii="Times New Roman" w:hAnsi="Times New Roman"/>
        </w:rPr>
        <w:t xml:space="preserve"> The</w:t>
      </w:r>
      <w:r w:rsidRPr="00F13D30">
        <w:rPr>
          <w:rFonts w:ascii="Times New Roman" w:hAnsi="Times New Roman"/>
        </w:rPr>
        <w:t xml:space="preserve"> EPA’s estimate for the required notification, reports and records, including the root cause analysis, associated with a single incident totals </w:t>
      </w:r>
      <w:r w:rsidRPr="00556B17">
        <w:rPr>
          <w:rFonts w:ascii="Times New Roman" w:hAnsi="Times New Roman"/>
        </w:rPr>
        <w:t>approximately $3,141</w:t>
      </w:r>
      <w:r w:rsidRPr="00F13D30">
        <w:rPr>
          <w:rFonts w:ascii="Times New Roman" w:hAnsi="Times New Roman"/>
        </w:rPr>
        <w:t xml:space="preserve"> and is based on the time and effort required of a source to review relevant data, interview plant employees, and document the events surrounding a malfunction that has caused an exceed</w:t>
      </w:r>
      <w:r>
        <w:rPr>
          <w:rFonts w:ascii="Times New Roman" w:hAnsi="Times New Roman"/>
        </w:rPr>
        <w:t>a</w:t>
      </w:r>
      <w:r w:rsidRPr="00F13D30">
        <w:rPr>
          <w:rFonts w:ascii="Times New Roman" w:hAnsi="Times New Roman"/>
        </w:rPr>
        <w:t xml:space="preserve">nce of an emission limit. The estimate also includes time to produce and retain the records and reports for submission to </w:t>
      </w:r>
      <w:r>
        <w:rPr>
          <w:rFonts w:ascii="Times New Roman" w:hAnsi="Times New Roman"/>
        </w:rPr>
        <w:t xml:space="preserve">the </w:t>
      </w:r>
      <w:r w:rsidRPr="00F13D30">
        <w:rPr>
          <w:rFonts w:ascii="Times New Roman" w:hAnsi="Times New Roman"/>
        </w:rPr>
        <w:t xml:space="preserve">EPA. </w:t>
      </w:r>
      <w:r>
        <w:rPr>
          <w:rFonts w:ascii="Times New Roman" w:hAnsi="Times New Roman"/>
        </w:rPr>
        <w:t xml:space="preserve">The </w:t>
      </w:r>
      <w:r w:rsidRPr="00F13D30">
        <w:rPr>
          <w:rFonts w:ascii="Times New Roman" w:hAnsi="Times New Roman"/>
        </w:rPr>
        <w:t xml:space="preserve">EPA </w:t>
      </w:r>
      <w:r w:rsidRPr="00F13D30">
        <w:rPr>
          <w:rFonts w:ascii="Times New Roman" w:hAnsi="Times New Roman"/>
        </w:rPr>
        <w:lastRenderedPageBreak/>
        <w:t xml:space="preserve">provides this illustrative estimate of this burden because these costs are only incurred if there has been a violation and a source chooses to take advantage of the affirmative defense.  </w:t>
      </w:r>
    </w:p>
    <w:p w:rsidR="00F57C07" w:rsidRDefault="00F57C07" w:rsidP="00FC2A13">
      <w:pPr>
        <w:pStyle w:val="Para"/>
        <w:spacing w:after="0"/>
        <w:rPr>
          <w:rFonts w:ascii="Times New Roman" w:hAnsi="Times New Roman"/>
        </w:rPr>
      </w:pPr>
      <w:r w:rsidRPr="00F13D30">
        <w:rPr>
          <w:rFonts w:ascii="Times New Roman" w:hAnsi="Times New Roman"/>
        </w:rPr>
        <w:t>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w:t>
      </w:r>
      <w:r>
        <w:rPr>
          <w:rFonts w:ascii="Times New Roman" w:hAnsi="Times New Roman"/>
        </w:rPr>
        <w:t xml:space="preserve">fense will be extremely small. </w:t>
      </w:r>
      <w:r w:rsidR="00FC2A13">
        <w:rPr>
          <w:rFonts w:ascii="Times New Roman" w:hAnsi="Times New Roman"/>
        </w:rPr>
        <w:t>In fact,</w:t>
      </w:r>
      <w:r w:rsidRPr="00F13D30">
        <w:rPr>
          <w:rFonts w:ascii="Times New Roman" w:hAnsi="Times New Roman"/>
        </w:rPr>
        <w:t xml:space="preserve"> we estimate </w:t>
      </w:r>
      <w:r w:rsidR="00FC2A13">
        <w:rPr>
          <w:rFonts w:ascii="Times New Roman" w:hAnsi="Times New Roman"/>
        </w:rPr>
        <w:t xml:space="preserve">that there would be </w:t>
      </w:r>
      <w:r w:rsidRPr="00F13D30">
        <w:rPr>
          <w:rFonts w:ascii="Times New Roman" w:hAnsi="Times New Roman"/>
        </w:rPr>
        <w:t xml:space="preserve">no such occurrences for </w:t>
      </w:r>
      <w:r w:rsidR="00FC2A13">
        <w:rPr>
          <w:rFonts w:ascii="Times New Roman" w:hAnsi="Times New Roman"/>
        </w:rPr>
        <w:t>new EGUs subject to this proposed rule</w:t>
      </w:r>
      <w:r w:rsidRPr="00F13D30">
        <w:rPr>
          <w:rFonts w:ascii="Times New Roman" w:hAnsi="Times New Roman"/>
        </w:rPr>
        <w:t xml:space="preserve"> over the 3-year period covered by this ICR.</w:t>
      </w:r>
      <w:r>
        <w:rPr>
          <w:rFonts w:ascii="Times New Roman" w:hAnsi="Times New Roman"/>
        </w:rPr>
        <w:t xml:space="preserve"> </w:t>
      </w:r>
      <w:r w:rsidRPr="00F13D30">
        <w:rPr>
          <w:rFonts w:ascii="Times New Roman" w:hAnsi="Times New Roman"/>
        </w:rPr>
        <w:t>We expect to gather information on such events in the future and will revise this estimate as better information becomes available.</w:t>
      </w:r>
    </w:p>
    <w:p w:rsidR="00FC2A13" w:rsidRPr="00FC2A13" w:rsidRDefault="00FC2A13" w:rsidP="00FC2A13">
      <w:pPr>
        <w:pStyle w:val="Para"/>
        <w:spacing w:after="0"/>
        <w:ind w:firstLine="0"/>
        <w:rPr>
          <w:rFonts w:ascii="Times New Roman" w:hAnsi="Times New Roman"/>
        </w:rPr>
      </w:pPr>
    </w:p>
    <w:p w:rsidR="00F57C07" w:rsidRPr="00E545A0" w:rsidRDefault="00F57C07" w:rsidP="00F57C07">
      <w:pPr>
        <w:rPr>
          <w:rFonts w:ascii="Times New Roman" w:eastAsia="Times New Roman" w:hAnsi="Times New Roman"/>
          <w:bCs/>
          <w:i/>
          <w:szCs w:val="28"/>
        </w:rPr>
      </w:pPr>
      <w:r w:rsidRPr="005239A4">
        <w:rPr>
          <w:i/>
          <w:iCs/>
        </w:rPr>
        <w:t>(ii) Respondent Activities.</w:t>
      </w:r>
      <w:r w:rsidRPr="0068644D">
        <w:rPr>
          <w:i/>
          <w:iCs/>
        </w:rPr>
        <w:t xml:space="preserve"> </w:t>
      </w:r>
    </w:p>
    <w:p w:rsidR="00F57C07" w:rsidRPr="00500F7C" w:rsidRDefault="00F57C07" w:rsidP="00F57C07">
      <w:pPr>
        <w:pStyle w:val="Para"/>
        <w:rPr>
          <w:rFonts w:ascii="Times New Roman" w:hAnsi="Times New Roman"/>
        </w:rPr>
      </w:pPr>
      <w:r w:rsidRPr="00500F7C">
        <w:rPr>
          <w:rFonts w:ascii="Times New Roman" w:hAnsi="Times New Roman"/>
        </w:rPr>
        <w:t xml:space="preserve">The respondent activities </w:t>
      </w:r>
      <w:r w:rsidR="00A23AD3">
        <w:rPr>
          <w:rFonts w:ascii="Times New Roman" w:hAnsi="Times New Roman"/>
        </w:rPr>
        <w:t xml:space="preserve">that would be </w:t>
      </w:r>
      <w:r w:rsidRPr="00500F7C">
        <w:rPr>
          <w:rFonts w:ascii="Times New Roman" w:hAnsi="Times New Roman"/>
        </w:rPr>
        <w:t xml:space="preserve">required by the </w:t>
      </w:r>
      <w:r w:rsidR="00A23AD3">
        <w:rPr>
          <w:rFonts w:ascii="Times New Roman" w:hAnsi="Times New Roman"/>
        </w:rPr>
        <w:t>proposed NSPS</w:t>
      </w:r>
      <w:r w:rsidRPr="00500F7C">
        <w:rPr>
          <w:rFonts w:ascii="Times New Roman" w:hAnsi="Times New Roman"/>
        </w:rPr>
        <w:t xml:space="preserve"> are introduced in section 6(a).</w:t>
      </w:r>
    </w:p>
    <w:p w:rsidR="006B65BC" w:rsidRDefault="00F57C07" w:rsidP="006B65BC">
      <w:pPr>
        <w:pStyle w:val="Para"/>
        <w:rPr>
          <w:i/>
          <w:iCs/>
        </w:rPr>
      </w:pPr>
      <w:r w:rsidRPr="009B35B5">
        <w:rPr>
          <w:rFonts w:ascii="Times New Roman" w:hAnsi="Times New Roman"/>
        </w:rPr>
        <w:t>While multiple coal-fired EGUs have recently commenced operation and several are presently under construction, no new coal-fired power plants have commenced construction in either 2009 or 2010</w:t>
      </w:r>
      <w:r>
        <w:rPr>
          <w:rFonts w:ascii="Times New Roman" w:hAnsi="Times New Roman"/>
        </w:rPr>
        <w:t xml:space="preserve">. </w:t>
      </w:r>
      <w:r w:rsidRPr="009B35B5">
        <w:rPr>
          <w:rFonts w:ascii="Times New Roman" w:hAnsi="Times New Roman"/>
        </w:rPr>
        <w:t>In addition, forecasts of new generation capacity from both the Energy Information Administration and the Edison Electric Institute do not project any new coal-fired power plants will be constructed in the short term</w:t>
      </w:r>
      <w:r>
        <w:rPr>
          <w:rFonts w:ascii="Times New Roman" w:hAnsi="Times New Roman"/>
        </w:rPr>
        <w:t xml:space="preserve">. </w:t>
      </w:r>
      <w:r w:rsidR="00A23AD3" w:rsidRPr="00BB68B4">
        <w:rPr>
          <w:rFonts w:ascii="Times New Roman" w:eastAsia="Times New Roman" w:hAnsi="Times New Roman"/>
          <w:szCs w:val="24"/>
        </w:rPr>
        <w:t>Th</w:t>
      </w:r>
      <w:r w:rsidR="00A23AD3">
        <w:rPr>
          <w:rFonts w:ascii="Times New Roman" w:eastAsia="Times New Roman" w:hAnsi="Times New Roman"/>
          <w:szCs w:val="24"/>
        </w:rPr>
        <w:t>us, th</w:t>
      </w:r>
      <w:r w:rsidR="00A23AD3" w:rsidRPr="00BB68B4">
        <w:rPr>
          <w:rFonts w:ascii="Times New Roman" w:eastAsia="Times New Roman" w:hAnsi="Times New Roman"/>
          <w:szCs w:val="24"/>
        </w:rPr>
        <w:t>e EPA does not project any new coal-fired EGUs that commence construction after this proposal to commence operation over the 3-year period covered by this ICR.</w:t>
      </w:r>
      <w:r w:rsidR="00A23AD3">
        <w:rPr>
          <w:rFonts w:ascii="Times New Roman" w:eastAsia="Times New Roman" w:hAnsi="Times New Roman"/>
          <w:szCs w:val="24"/>
        </w:rPr>
        <w:t xml:space="preserve"> </w:t>
      </w:r>
      <w:r w:rsidR="00A23AD3">
        <w:rPr>
          <w:rFonts w:ascii="Times New Roman" w:hAnsi="Times New Roman"/>
        </w:rPr>
        <w:t>B</w:t>
      </w:r>
      <w:r w:rsidR="00A23AD3" w:rsidRPr="009B35B5">
        <w:rPr>
          <w:rFonts w:ascii="Times New Roman" w:hAnsi="Times New Roman"/>
        </w:rPr>
        <w:t xml:space="preserve">ecause of fuel supply availability and cost considerations, we </w:t>
      </w:r>
      <w:r w:rsidR="00A23AD3">
        <w:rPr>
          <w:rFonts w:ascii="Times New Roman" w:hAnsi="Times New Roman"/>
        </w:rPr>
        <w:t>also do not project that any</w:t>
      </w:r>
      <w:r w:rsidR="00A23AD3" w:rsidRPr="007E09A5">
        <w:rPr>
          <w:rFonts w:ascii="Times New Roman" w:hAnsi="Times New Roman"/>
        </w:rPr>
        <w:t xml:space="preserve"> new oil-fired electric utility steam generating units will be built during the </w:t>
      </w:r>
      <w:r w:rsidR="005239A4">
        <w:rPr>
          <w:rFonts w:ascii="Times New Roman" w:hAnsi="Times New Roman"/>
        </w:rPr>
        <w:t>3-year ICR period</w:t>
      </w:r>
      <w:r w:rsidR="00A23AD3" w:rsidRPr="007E09A5">
        <w:rPr>
          <w:rFonts w:ascii="Times New Roman" w:hAnsi="Times New Roman"/>
        </w:rPr>
        <w:t>.</w:t>
      </w:r>
      <w:r w:rsidR="005239A4">
        <w:rPr>
          <w:rFonts w:ascii="Times New Roman" w:hAnsi="Times New Roman"/>
        </w:rPr>
        <w:t xml:space="preserve"> </w:t>
      </w:r>
      <w:r w:rsidR="005239A4" w:rsidRPr="00BB68B4">
        <w:rPr>
          <w:rFonts w:ascii="Times New Roman" w:eastAsia="Times New Roman" w:hAnsi="Times New Roman"/>
          <w:szCs w:val="24"/>
        </w:rPr>
        <w:t xml:space="preserve">We estimate that 17 new </w:t>
      </w:r>
      <w:r w:rsidR="00964312">
        <w:rPr>
          <w:rFonts w:ascii="Times New Roman" w:eastAsia="Times New Roman" w:hAnsi="Times New Roman"/>
          <w:szCs w:val="24"/>
        </w:rPr>
        <w:t xml:space="preserve">affected </w:t>
      </w:r>
      <w:r w:rsidR="005239A4" w:rsidRPr="00BB68B4">
        <w:rPr>
          <w:rFonts w:ascii="Times New Roman" w:eastAsia="Times New Roman" w:hAnsi="Times New Roman"/>
          <w:szCs w:val="24"/>
        </w:rPr>
        <w:t>NGCC units would commence operation during that time period.</w:t>
      </w:r>
      <w:r w:rsidR="005239A4">
        <w:rPr>
          <w:rFonts w:ascii="Times New Roman" w:hAnsi="Times New Roman"/>
        </w:rPr>
        <w:t xml:space="preserve"> </w:t>
      </w:r>
      <w:r>
        <w:rPr>
          <w:rFonts w:ascii="Times New Roman" w:hAnsi="Times New Roman"/>
        </w:rPr>
        <w:t xml:space="preserve"> </w:t>
      </w:r>
    </w:p>
    <w:p w:rsidR="00F57C07" w:rsidRPr="00D96562" w:rsidRDefault="00F57C07" w:rsidP="006B65BC">
      <w:pPr>
        <w:pStyle w:val="Para"/>
        <w:ind w:firstLine="0"/>
        <w:rPr>
          <w:rFonts w:ascii="Times New Roman" w:eastAsia="Times New Roman" w:hAnsi="Times New Roman"/>
          <w:bCs/>
          <w:i/>
          <w:szCs w:val="28"/>
        </w:rPr>
      </w:pPr>
      <w:r w:rsidRPr="0068644D">
        <w:rPr>
          <w:i/>
          <w:iCs/>
        </w:rPr>
        <w:t xml:space="preserve">(iii) Electronic Reporting. </w:t>
      </w:r>
    </w:p>
    <w:p w:rsidR="00A85CDB" w:rsidRPr="00A85CDB" w:rsidRDefault="005239A4" w:rsidP="00A85CDB">
      <w:pPr>
        <w:autoSpaceDE w:val="0"/>
        <w:autoSpaceDN w:val="0"/>
        <w:adjustRightInd w:val="0"/>
        <w:ind w:firstLine="720"/>
        <w:rPr>
          <w:rFonts w:ascii="Times New Roman" w:hAnsi="Times New Roman"/>
        </w:rPr>
      </w:pPr>
      <w:r w:rsidRPr="00A85CDB">
        <w:rPr>
          <w:rFonts w:ascii="Times New Roman" w:hAnsi="Times New Roman"/>
        </w:rPr>
        <w:t xml:space="preserve">The proposal would require that owners and operators subject to this regulation must electronically submit </w:t>
      </w:r>
      <w:r w:rsidR="00A85CDB">
        <w:rPr>
          <w:rFonts w:ascii="Times New Roman" w:hAnsi="Times New Roman"/>
        </w:rPr>
        <w:t xml:space="preserve">quarterly reports of </w:t>
      </w:r>
      <w:r w:rsidRPr="00A85CDB">
        <w:rPr>
          <w:rFonts w:ascii="Times New Roman" w:hAnsi="Times New Roman"/>
        </w:rPr>
        <w:t>emissions</w:t>
      </w:r>
      <w:r w:rsidR="00A85CDB">
        <w:rPr>
          <w:rFonts w:ascii="Times New Roman" w:hAnsi="Times New Roman"/>
        </w:rPr>
        <w:t xml:space="preserve"> and</w:t>
      </w:r>
      <w:r w:rsidRPr="00A85CDB">
        <w:rPr>
          <w:rFonts w:ascii="Times New Roman" w:hAnsi="Times New Roman"/>
        </w:rPr>
        <w:t xml:space="preserve"> continuous</w:t>
      </w:r>
      <w:r w:rsidR="00A85CDB">
        <w:rPr>
          <w:rFonts w:ascii="Times New Roman" w:hAnsi="Times New Roman"/>
        </w:rPr>
        <w:t xml:space="preserve"> monitoring systems performance</w:t>
      </w:r>
      <w:r w:rsidRPr="00A85CDB">
        <w:rPr>
          <w:rFonts w:ascii="Times New Roman" w:hAnsi="Times New Roman"/>
        </w:rPr>
        <w:t>. Owners and operators would need to submit these reports to the EPA</w:t>
      </w:r>
      <w:r w:rsidR="00A85CDB">
        <w:rPr>
          <w:rFonts w:ascii="Times New Roman" w:hAnsi="Times New Roman"/>
        </w:rPr>
        <w:t xml:space="preserve"> using the </w:t>
      </w:r>
      <w:r w:rsidR="00A85CDB" w:rsidRPr="00A85CDB">
        <w:rPr>
          <w:rFonts w:ascii="Times New Roman" w:hAnsi="Times New Roman"/>
        </w:rPr>
        <w:t>Emissions Collection and Monitoring Plan System (ECMPS) Client Tool provided by the Clean Air Markets Division in the EPA Office of Atmospheric Programs.</w:t>
      </w:r>
    </w:p>
    <w:p w:rsidR="00F57C07" w:rsidRPr="009B35B5" w:rsidRDefault="00F57C07" w:rsidP="00F57C07">
      <w:pPr>
        <w:pStyle w:val="Heading1"/>
        <w:ind w:left="0" w:firstLine="0"/>
      </w:pPr>
      <w:r w:rsidRPr="009B35B5">
        <w:t>5.</w:t>
      </w:r>
      <w:r w:rsidRPr="009B35B5">
        <w:tab/>
        <w:t>The Information Collected: Agency Activities, Collection Methodology, and Information Management</w:t>
      </w:r>
    </w:p>
    <w:p w:rsidR="00F57C07" w:rsidRPr="0068644D" w:rsidRDefault="00F57C07" w:rsidP="00F57C07">
      <w:pPr>
        <w:pStyle w:val="Heading2"/>
        <w:rPr>
          <w:i/>
          <w:iCs w:val="0"/>
        </w:rPr>
      </w:pPr>
      <w:r w:rsidRPr="0068644D">
        <w:rPr>
          <w:i/>
          <w:iCs w:val="0"/>
        </w:rPr>
        <w:t>(a)</w:t>
      </w:r>
      <w:r w:rsidRPr="0068644D">
        <w:rPr>
          <w:i/>
          <w:iCs w:val="0"/>
        </w:rPr>
        <w:tab/>
        <w:t>Agency Activities</w:t>
      </w:r>
    </w:p>
    <w:p w:rsidR="00F57C07" w:rsidRDefault="006B65BC" w:rsidP="00686E60">
      <w:pPr>
        <w:pStyle w:val="Para"/>
        <w:spacing w:after="0"/>
        <w:rPr>
          <w:rFonts w:ascii="Times New Roman" w:eastAsia="Times New Roman" w:hAnsi="Times New Roman"/>
          <w:szCs w:val="24"/>
        </w:rPr>
      </w:pPr>
      <w:r>
        <w:rPr>
          <w:rFonts w:ascii="Times New Roman" w:hAnsi="Times New Roman"/>
        </w:rPr>
        <w:t>The</w:t>
      </w:r>
      <w:r w:rsidR="005239A4">
        <w:rPr>
          <w:rFonts w:ascii="Times New Roman" w:hAnsi="Times New Roman"/>
        </w:rPr>
        <w:t>re would be no</w:t>
      </w:r>
      <w:r>
        <w:rPr>
          <w:rFonts w:ascii="Times New Roman" w:hAnsi="Times New Roman"/>
        </w:rPr>
        <w:t xml:space="preserve"> </w:t>
      </w:r>
      <w:r w:rsidR="00F57C07" w:rsidRPr="009B35B5">
        <w:rPr>
          <w:rFonts w:ascii="Times New Roman" w:hAnsi="Times New Roman"/>
        </w:rPr>
        <w:t xml:space="preserve">EPA </w:t>
      </w:r>
      <w:r w:rsidR="005239A4">
        <w:rPr>
          <w:rFonts w:ascii="Times New Roman" w:hAnsi="Times New Roman"/>
        </w:rPr>
        <w:t xml:space="preserve">burden associated with the </w:t>
      </w:r>
      <w:r w:rsidR="00843607">
        <w:rPr>
          <w:rFonts w:ascii="Times New Roman" w:hAnsi="Times New Roman"/>
        </w:rPr>
        <w:t xml:space="preserve">reporting requirements of the </w:t>
      </w:r>
      <w:r w:rsidR="005239A4">
        <w:rPr>
          <w:rFonts w:ascii="Times New Roman" w:hAnsi="Times New Roman"/>
        </w:rPr>
        <w:t xml:space="preserve">proposed standards. </w:t>
      </w:r>
      <w:r w:rsidR="00843607" w:rsidRPr="00BB68B4">
        <w:rPr>
          <w:rFonts w:ascii="Times New Roman" w:eastAsia="Times New Roman" w:hAnsi="Times New Roman"/>
          <w:szCs w:val="24"/>
        </w:rPr>
        <w:t>As a result of this proposal, th</w:t>
      </w:r>
      <w:r w:rsidR="00843607">
        <w:rPr>
          <w:rFonts w:ascii="Times New Roman" w:eastAsia="Times New Roman" w:hAnsi="Times New Roman"/>
          <w:szCs w:val="24"/>
        </w:rPr>
        <w:t xml:space="preserve">e 17 new </w:t>
      </w:r>
      <w:r w:rsidR="00964312">
        <w:rPr>
          <w:rFonts w:ascii="Times New Roman" w:eastAsia="Times New Roman" w:hAnsi="Times New Roman"/>
          <w:szCs w:val="24"/>
        </w:rPr>
        <w:t xml:space="preserve">affected </w:t>
      </w:r>
      <w:r w:rsidR="00843607">
        <w:rPr>
          <w:rFonts w:ascii="Times New Roman" w:eastAsia="Times New Roman" w:hAnsi="Times New Roman"/>
          <w:szCs w:val="24"/>
        </w:rPr>
        <w:t>NGCC units that we estimate w</w:t>
      </w:r>
      <w:r w:rsidR="00686E60">
        <w:rPr>
          <w:rFonts w:ascii="Times New Roman" w:eastAsia="Times New Roman" w:hAnsi="Times New Roman"/>
          <w:szCs w:val="24"/>
        </w:rPr>
        <w:t>ill</w:t>
      </w:r>
      <w:r w:rsidR="00843607">
        <w:rPr>
          <w:rFonts w:ascii="Times New Roman" w:eastAsia="Times New Roman" w:hAnsi="Times New Roman"/>
          <w:szCs w:val="24"/>
        </w:rPr>
        <w:t xml:space="preserve"> commence operation </w:t>
      </w:r>
      <w:r w:rsidR="00843607" w:rsidRPr="00686E60">
        <w:rPr>
          <w:rFonts w:ascii="Times New Roman" w:eastAsia="Times New Roman" w:hAnsi="Times New Roman"/>
          <w:szCs w:val="24"/>
        </w:rPr>
        <w:t xml:space="preserve">during the 3-year period of the ICR would be required to electronically submit a </w:t>
      </w:r>
      <w:r w:rsidR="00A85CDB">
        <w:rPr>
          <w:rFonts w:ascii="Times New Roman" w:eastAsia="Times New Roman" w:hAnsi="Times New Roman"/>
          <w:szCs w:val="24"/>
        </w:rPr>
        <w:t>quarterly</w:t>
      </w:r>
      <w:r w:rsidR="00843607" w:rsidRPr="00686E60">
        <w:rPr>
          <w:rFonts w:ascii="Times New Roman" w:eastAsia="Times New Roman" w:hAnsi="Times New Roman"/>
          <w:szCs w:val="24"/>
        </w:rPr>
        <w:t xml:space="preserve"> </w:t>
      </w:r>
      <w:r w:rsidR="00A85CDB">
        <w:rPr>
          <w:rFonts w:ascii="Times New Roman" w:eastAsia="Times New Roman" w:hAnsi="Times New Roman"/>
          <w:szCs w:val="24"/>
        </w:rPr>
        <w:t xml:space="preserve">summary </w:t>
      </w:r>
      <w:r w:rsidR="00843607" w:rsidRPr="00686E60">
        <w:rPr>
          <w:rFonts w:ascii="Times New Roman" w:eastAsia="Times New Roman" w:hAnsi="Times New Roman"/>
          <w:szCs w:val="24"/>
        </w:rPr>
        <w:t xml:space="preserve">report, which includes reporting </w:t>
      </w:r>
      <w:r w:rsidR="00A85CDB">
        <w:rPr>
          <w:rFonts w:ascii="Times New Roman" w:eastAsia="Times New Roman" w:hAnsi="Times New Roman"/>
          <w:szCs w:val="24"/>
        </w:rPr>
        <w:t>emissions and downtime</w:t>
      </w:r>
      <w:r w:rsidR="00843607" w:rsidRPr="00686E60">
        <w:rPr>
          <w:rFonts w:ascii="Times New Roman" w:eastAsia="Times New Roman" w:hAnsi="Times New Roman"/>
          <w:szCs w:val="24"/>
        </w:rPr>
        <w:t xml:space="preserve">. </w:t>
      </w:r>
      <w:r w:rsidR="00686E60" w:rsidRPr="00686E60">
        <w:rPr>
          <w:rFonts w:ascii="Times New Roman" w:hAnsi="Times New Roman"/>
          <w:szCs w:val="24"/>
        </w:rPr>
        <w:t>The fees for upkeep of this electronic database are already funded through other rules. Thus, t</w:t>
      </w:r>
      <w:r w:rsidR="00843607" w:rsidRPr="00686E60">
        <w:rPr>
          <w:rFonts w:ascii="Times New Roman" w:eastAsia="Times New Roman" w:hAnsi="Times New Roman"/>
          <w:szCs w:val="24"/>
        </w:rPr>
        <w:t>here would be no burden to the agency</w:t>
      </w:r>
      <w:r w:rsidR="00686E60">
        <w:rPr>
          <w:rFonts w:ascii="Times New Roman" w:eastAsia="Times New Roman" w:hAnsi="Times New Roman"/>
          <w:szCs w:val="24"/>
        </w:rPr>
        <w:t xml:space="preserve"> associated with these reporting requirements</w:t>
      </w:r>
      <w:r w:rsidR="00843607" w:rsidRPr="00686E60">
        <w:rPr>
          <w:rFonts w:ascii="Times New Roman" w:eastAsia="Times New Roman" w:hAnsi="Times New Roman"/>
          <w:szCs w:val="24"/>
        </w:rPr>
        <w:t>.</w:t>
      </w:r>
    </w:p>
    <w:p w:rsidR="00686E60" w:rsidRPr="00686E60" w:rsidRDefault="00686E60" w:rsidP="00686E60">
      <w:pPr>
        <w:pStyle w:val="Para"/>
        <w:spacing w:after="0"/>
        <w:ind w:firstLine="0"/>
        <w:rPr>
          <w:rFonts w:ascii="Times New Roman" w:hAnsi="Times New Roman"/>
          <w:szCs w:val="24"/>
        </w:rPr>
      </w:pPr>
    </w:p>
    <w:p w:rsidR="00F57C07" w:rsidRPr="0068644D" w:rsidRDefault="00F57C07" w:rsidP="00F57C07">
      <w:pPr>
        <w:pStyle w:val="Heading2"/>
        <w:spacing w:before="0"/>
        <w:rPr>
          <w:i/>
          <w:iCs w:val="0"/>
        </w:rPr>
      </w:pPr>
      <w:r w:rsidRPr="0068644D">
        <w:rPr>
          <w:i/>
          <w:iCs w:val="0"/>
        </w:rPr>
        <w:t>(b)</w:t>
      </w:r>
      <w:r w:rsidRPr="0068644D">
        <w:rPr>
          <w:i/>
          <w:iCs w:val="0"/>
        </w:rPr>
        <w:tab/>
        <w:t>Collection Methodology and Management</w:t>
      </w:r>
    </w:p>
    <w:p w:rsidR="00F57C07" w:rsidRPr="009B35B5" w:rsidRDefault="00F57C07" w:rsidP="00F57C07">
      <w:pPr>
        <w:pStyle w:val="Para"/>
        <w:rPr>
          <w:rFonts w:ascii="Times New Roman" w:hAnsi="Times New Roman"/>
        </w:rPr>
      </w:pPr>
      <w:r w:rsidRPr="009B35B5">
        <w:rPr>
          <w:rFonts w:ascii="Times New Roman" w:hAnsi="Times New Roman"/>
        </w:rPr>
        <w:t xml:space="preserve">Following notification of startup, the reviewing authority might inspect the source to determine whether the </w:t>
      </w:r>
      <w:r w:rsidR="00747B2C" w:rsidRPr="008950BA">
        <w:rPr>
          <w:rFonts w:ascii="Times New Roman" w:hAnsi="Times New Roman"/>
        </w:rPr>
        <w:t>CO</w:t>
      </w:r>
      <w:r w:rsidR="00747B2C" w:rsidRPr="008950BA">
        <w:rPr>
          <w:rFonts w:ascii="Times New Roman" w:hAnsi="Times New Roman"/>
          <w:vertAlign w:val="subscript"/>
        </w:rPr>
        <w:t>2</w:t>
      </w:r>
      <w:r w:rsidR="00747B2C" w:rsidRPr="008950BA">
        <w:rPr>
          <w:rFonts w:ascii="Times New Roman" w:hAnsi="Times New Roman"/>
        </w:rPr>
        <w:t xml:space="preserve"> CEMS and the associated automatic data acquisition and handling </w:t>
      </w:r>
      <w:r w:rsidR="00747B2C" w:rsidRPr="008950BA">
        <w:rPr>
          <w:rFonts w:ascii="Times New Roman" w:hAnsi="Times New Roman"/>
        </w:rPr>
        <w:lastRenderedPageBreak/>
        <w:t xml:space="preserve">system </w:t>
      </w:r>
      <w:r w:rsidRPr="009B35B5">
        <w:rPr>
          <w:rFonts w:ascii="Times New Roman" w:hAnsi="Times New Roman"/>
        </w:rPr>
        <w:t>are properly installed and operated</w:t>
      </w:r>
      <w:r>
        <w:rPr>
          <w:rFonts w:ascii="Times New Roman" w:hAnsi="Times New Roman"/>
        </w:rPr>
        <w:t xml:space="preserve">. </w:t>
      </w:r>
      <w:r w:rsidRPr="009B35B5">
        <w:rPr>
          <w:rFonts w:ascii="Times New Roman" w:hAnsi="Times New Roman"/>
        </w:rPr>
        <w:t xml:space="preserve">Performance test reports are used by the </w:t>
      </w:r>
      <w:r w:rsidR="006B65BC">
        <w:rPr>
          <w:rFonts w:ascii="Times New Roman" w:hAnsi="Times New Roman"/>
        </w:rPr>
        <w:t>a</w:t>
      </w:r>
      <w:r w:rsidRPr="009B35B5">
        <w:rPr>
          <w:rFonts w:ascii="Times New Roman" w:hAnsi="Times New Roman"/>
        </w:rPr>
        <w:t>gency to discern a source’s initial capability to comply with the emission standard. Data and records maintained by the respondents are use</w:t>
      </w:r>
      <w:r w:rsidR="00747B2C">
        <w:rPr>
          <w:rFonts w:ascii="Times New Roman" w:hAnsi="Times New Roman"/>
        </w:rPr>
        <w:t>d</w:t>
      </w:r>
      <w:r w:rsidRPr="009B35B5">
        <w:rPr>
          <w:rFonts w:ascii="Times New Roman" w:hAnsi="Times New Roman"/>
        </w:rPr>
        <w:t xml:space="preserve"> in compliance and enforcement programs. The </w:t>
      </w:r>
      <w:r w:rsidR="00A85CDB">
        <w:rPr>
          <w:rFonts w:ascii="Times New Roman" w:hAnsi="Times New Roman"/>
        </w:rPr>
        <w:t xml:space="preserve">quarterly </w:t>
      </w:r>
      <w:r w:rsidRPr="009B35B5">
        <w:rPr>
          <w:rFonts w:ascii="Times New Roman" w:hAnsi="Times New Roman"/>
        </w:rPr>
        <w:t>reports are used for problem identification, as a check on source operation and maintenance, and for compliance determinations.</w:t>
      </w:r>
    </w:p>
    <w:p w:rsidR="00F57C07" w:rsidRPr="009B35B5" w:rsidRDefault="00F57C07" w:rsidP="00F57C07">
      <w:pPr>
        <w:pStyle w:val="Para"/>
        <w:rPr>
          <w:rFonts w:ascii="Times New Roman" w:hAnsi="Times New Roman"/>
        </w:rPr>
      </w:pPr>
      <w:r>
        <w:rPr>
          <w:rFonts w:ascii="Times New Roman" w:hAnsi="Times New Roman"/>
        </w:rPr>
        <w:t>The i</w:t>
      </w:r>
      <w:r w:rsidRPr="009B35B5">
        <w:rPr>
          <w:rFonts w:ascii="Times New Roman" w:hAnsi="Times New Roman"/>
        </w:rPr>
        <w:t xml:space="preserve">nformation </w:t>
      </w:r>
      <w:r>
        <w:rPr>
          <w:rFonts w:ascii="Times New Roman" w:hAnsi="Times New Roman"/>
        </w:rPr>
        <w:t>ob</w:t>
      </w:r>
      <w:r w:rsidRPr="009B35B5">
        <w:rPr>
          <w:rFonts w:ascii="Times New Roman" w:hAnsi="Times New Roman"/>
        </w:rPr>
        <w:t xml:space="preserve">tained is </w:t>
      </w:r>
      <w:r>
        <w:rPr>
          <w:rFonts w:ascii="Times New Roman" w:hAnsi="Times New Roman"/>
        </w:rPr>
        <w:t xml:space="preserve">then </w:t>
      </w:r>
      <w:r w:rsidRPr="009B35B5">
        <w:rPr>
          <w:rFonts w:ascii="Times New Roman" w:hAnsi="Times New Roman"/>
        </w:rPr>
        <w:t xml:space="preserve">entered into the AIRS Facility Subsystem (AFS) which is operated and maintained by </w:t>
      </w:r>
      <w:r w:rsidR="006B65BC">
        <w:rPr>
          <w:rFonts w:ascii="Times New Roman" w:hAnsi="Times New Roman"/>
        </w:rPr>
        <w:t xml:space="preserve">the </w:t>
      </w:r>
      <w:r w:rsidRPr="009B35B5">
        <w:rPr>
          <w:rFonts w:ascii="Times New Roman" w:hAnsi="Times New Roman"/>
        </w:rPr>
        <w:t>EPA’s Office of Compliance</w:t>
      </w:r>
      <w:r>
        <w:rPr>
          <w:rFonts w:ascii="Times New Roman" w:hAnsi="Times New Roman"/>
        </w:rPr>
        <w:t xml:space="preserve">. </w:t>
      </w:r>
      <w:r w:rsidRPr="009B35B5">
        <w:rPr>
          <w:rFonts w:ascii="Times New Roman" w:hAnsi="Times New Roman"/>
        </w:rPr>
        <w:t xml:space="preserve">AFS is </w:t>
      </w:r>
      <w:r w:rsidR="006B65BC">
        <w:rPr>
          <w:rFonts w:ascii="Times New Roman" w:hAnsi="Times New Roman"/>
        </w:rPr>
        <w:t xml:space="preserve">the </w:t>
      </w:r>
      <w:r w:rsidRPr="009B35B5">
        <w:rPr>
          <w:rFonts w:ascii="Times New Roman" w:hAnsi="Times New Roman"/>
        </w:rPr>
        <w:t>EPA’s database for the collection, maintenance, and retrieval of compliance and annual emission inventory data for over 125,000 industrial and government owned facilities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uses the AFS for tracking air pollution compliance and enforcement by local and state regulatory agencies, EPA regional offices and EPA headquarters</w:t>
      </w:r>
      <w:r>
        <w:rPr>
          <w:rFonts w:ascii="Times New Roman" w:hAnsi="Times New Roman"/>
        </w:rPr>
        <w:t xml:space="preserve">. </w:t>
      </w:r>
      <w:r w:rsidR="006B65BC">
        <w:rPr>
          <w:rFonts w:ascii="Times New Roman" w:hAnsi="Times New Roman"/>
        </w:rPr>
        <w:t xml:space="preserve">The </w:t>
      </w:r>
      <w:r w:rsidRPr="009B35B5">
        <w:rPr>
          <w:rFonts w:ascii="Times New Roman" w:hAnsi="Times New Roman"/>
        </w:rPr>
        <w:t>EPA and its delegated Authorities can edit, store, retrieve, and analyze the data.</w:t>
      </w:r>
    </w:p>
    <w:p w:rsidR="00686E60" w:rsidRPr="007C17B7" w:rsidRDefault="00686E60" w:rsidP="007C17B7">
      <w:pPr>
        <w:pStyle w:val="Para"/>
        <w:rPr>
          <w:rFonts w:ascii="Times New Roman" w:hAnsi="Times New Roman"/>
        </w:rPr>
      </w:pPr>
      <w:r w:rsidRPr="00F7243D">
        <w:rPr>
          <w:rFonts w:ascii="Times New Roman" w:hAnsi="Times New Roman"/>
        </w:rPr>
        <w:t xml:space="preserve">Any owner or operator subject to the provisions of this </w:t>
      </w:r>
      <w:r>
        <w:rPr>
          <w:rFonts w:ascii="Times New Roman" w:hAnsi="Times New Roman"/>
        </w:rPr>
        <w:t>proposed sub</w:t>
      </w:r>
      <w:r w:rsidRPr="00F7243D">
        <w:rPr>
          <w:rFonts w:ascii="Times New Roman" w:hAnsi="Times New Roman"/>
        </w:rPr>
        <w:t xml:space="preserve">part </w:t>
      </w:r>
      <w:r>
        <w:rPr>
          <w:rFonts w:ascii="Times New Roman" w:hAnsi="Times New Roman"/>
        </w:rPr>
        <w:t>would be required</w:t>
      </w:r>
      <w:r w:rsidRPr="00F7243D">
        <w:rPr>
          <w:rFonts w:ascii="Times New Roman" w:hAnsi="Times New Roman"/>
        </w:rPr>
        <w:t xml:space="preserve"> </w:t>
      </w:r>
      <w:r>
        <w:rPr>
          <w:rFonts w:ascii="Times New Roman" w:hAnsi="Times New Roman"/>
        </w:rPr>
        <w:t xml:space="preserve">to </w:t>
      </w:r>
      <w:r w:rsidRPr="00F7243D">
        <w:rPr>
          <w:rFonts w:ascii="Times New Roman" w:hAnsi="Times New Roman"/>
        </w:rPr>
        <w:t>keep each record for 5</w:t>
      </w:r>
      <w:r w:rsidR="00A85CDB">
        <w:rPr>
          <w:rFonts w:ascii="Times New Roman" w:hAnsi="Times New Roman"/>
        </w:rPr>
        <w:t xml:space="preserve"> </w:t>
      </w:r>
      <w:r w:rsidRPr="00F7243D">
        <w:rPr>
          <w:rFonts w:ascii="Times New Roman" w:hAnsi="Times New Roman"/>
        </w:rPr>
        <w:t xml:space="preserve">years following the date of each occurrence, measurement, maintenance, corrective action, report, or record except those records required to demonstrate compliance with the </w:t>
      </w:r>
      <w:r w:rsidR="00A85CDB">
        <w:rPr>
          <w:rFonts w:ascii="Times New Roman" w:hAnsi="Times New Roman"/>
        </w:rPr>
        <w:t xml:space="preserve">84-operating month </w:t>
      </w:r>
      <w:r w:rsidRPr="00F7243D">
        <w:rPr>
          <w:rFonts w:ascii="Times New Roman" w:hAnsi="Times New Roman"/>
        </w:rPr>
        <w:t>emissions limits in section 60.5520</w:t>
      </w:r>
      <w:r w:rsidR="00A85CDB">
        <w:rPr>
          <w:rFonts w:ascii="Times New Roman" w:hAnsi="Times New Roman"/>
        </w:rPr>
        <w:t xml:space="preserve"> </w:t>
      </w:r>
      <w:r w:rsidRPr="00F7243D">
        <w:rPr>
          <w:rFonts w:ascii="Times New Roman" w:hAnsi="Times New Roman"/>
        </w:rPr>
        <w:t xml:space="preserve">of the proposed standards. Records required to demonstrate compliance with the </w:t>
      </w:r>
      <w:r w:rsidR="00A85CDB">
        <w:rPr>
          <w:rFonts w:ascii="Times New Roman" w:hAnsi="Times New Roman"/>
        </w:rPr>
        <w:t xml:space="preserve">84-operating month </w:t>
      </w:r>
      <w:r w:rsidRPr="00F7243D">
        <w:rPr>
          <w:rFonts w:ascii="Times New Roman" w:hAnsi="Times New Roman"/>
        </w:rPr>
        <w:t>emissions limits in section 60.5520</w:t>
      </w:r>
      <w:r w:rsidR="00A85CDB">
        <w:rPr>
          <w:rFonts w:ascii="Times New Roman" w:hAnsi="Times New Roman"/>
        </w:rPr>
        <w:t xml:space="preserve"> </w:t>
      </w:r>
      <w:r w:rsidRPr="00F7243D">
        <w:rPr>
          <w:rFonts w:ascii="Times New Roman" w:hAnsi="Times New Roman"/>
        </w:rPr>
        <w:t xml:space="preserve">must be kept for at least </w:t>
      </w:r>
      <w:r w:rsidR="00A85CDB">
        <w:rPr>
          <w:rFonts w:ascii="Times New Roman" w:hAnsi="Times New Roman"/>
        </w:rPr>
        <w:t>10</w:t>
      </w:r>
      <w:r w:rsidRPr="00F7243D">
        <w:rPr>
          <w:rFonts w:ascii="Times New Roman" w:hAnsi="Times New Roman"/>
        </w:rPr>
        <w:t xml:space="preserve"> years following the date of initial startup of the affected EGU. Each record must be kept on site for at least 2 years after the date of each occurrence, measurement, maintenance, corrective action, report, or record. The records may be kept off site for the remaining years. </w:t>
      </w:r>
      <w:r w:rsidR="006F7F85" w:rsidRPr="00F7243D">
        <w:rPr>
          <w:rFonts w:ascii="Times New Roman" w:hAnsi="Times New Roman"/>
        </w:rPr>
        <w:t xml:space="preserve">All </w:t>
      </w:r>
      <w:r w:rsidR="006F7F85">
        <w:rPr>
          <w:rFonts w:ascii="Times New Roman" w:hAnsi="Times New Roman"/>
        </w:rPr>
        <w:t xml:space="preserve">electronic </w:t>
      </w:r>
      <w:r w:rsidR="006F7F85" w:rsidRPr="00F7243D">
        <w:rPr>
          <w:rFonts w:ascii="Times New Roman" w:hAnsi="Times New Roman"/>
        </w:rPr>
        <w:t xml:space="preserve">reports </w:t>
      </w:r>
      <w:r w:rsidR="006F7F85">
        <w:rPr>
          <w:rFonts w:ascii="Times New Roman" w:hAnsi="Times New Roman"/>
        </w:rPr>
        <w:t>are sent to the EPA using the ECMPS Client Tool</w:t>
      </w:r>
      <w:r w:rsidR="006F7F85" w:rsidRPr="00F7243D">
        <w:rPr>
          <w:rFonts w:ascii="Times New Roman" w:hAnsi="Times New Roman"/>
        </w:rPr>
        <w:t>.</w:t>
      </w:r>
      <w:r w:rsidR="006F7F85">
        <w:rPr>
          <w:rFonts w:ascii="Times New Roman" w:hAnsi="Times New Roman"/>
        </w:rPr>
        <w:t xml:space="preserve"> </w:t>
      </w:r>
      <w:r w:rsidRPr="00F7243D">
        <w:rPr>
          <w:rFonts w:ascii="Times New Roman" w:hAnsi="Times New Roman"/>
        </w:rPr>
        <w:t xml:space="preserve">All </w:t>
      </w:r>
      <w:r w:rsidR="006F7F85">
        <w:rPr>
          <w:rFonts w:ascii="Times New Roman" w:hAnsi="Times New Roman"/>
        </w:rPr>
        <w:t xml:space="preserve">non-electronic </w:t>
      </w:r>
      <w:r w:rsidRPr="00F7243D">
        <w:rPr>
          <w:rFonts w:ascii="Times New Roman" w:hAnsi="Times New Roman"/>
        </w:rPr>
        <w:t xml:space="preserve">reports are sent to the delegated state or local authority. In the event that there is no such delegated authority, the reports are sent </w:t>
      </w:r>
      <w:r w:rsidRPr="008950BA">
        <w:rPr>
          <w:rFonts w:ascii="Times New Roman" w:hAnsi="Times New Roman"/>
        </w:rPr>
        <w:t>directly to the U.S. EPA regional office.</w:t>
      </w:r>
      <w:r w:rsidRPr="005F54FD">
        <w:rPr>
          <w:rFonts w:ascii="Times New Roman" w:hAnsi="Times New Roman"/>
        </w:rPr>
        <w:t xml:space="preserve"> </w:t>
      </w:r>
    </w:p>
    <w:p w:rsidR="00F57C07" w:rsidRPr="007C17B7" w:rsidRDefault="00747B2C" w:rsidP="007C17B7">
      <w:pPr>
        <w:pStyle w:val="Heading2"/>
        <w:ind w:left="0" w:firstLine="0"/>
        <w:rPr>
          <w:i/>
          <w:iCs w:val="0"/>
        </w:rPr>
      </w:pPr>
      <w:r w:rsidRPr="007C17B7">
        <w:rPr>
          <w:i/>
          <w:iCs w:val="0"/>
        </w:rPr>
        <w:t xml:space="preserve"> </w:t>
      </w:r>
      <w:r w:rsidR="00F57C07" w:rsidRPr="007C17B7">
        <w:rPr>
          <w:i/>
          <w:iCs w:val="0"/>
        </w:rPr>
        <w:t>(c)</w:t>
      </w:r>
      <w:r w:rsidR="00F57C07" w:rsidRPr="007C17B7">
        <w:rPr>
          <w:i/>
          <w:iCs w:val="0"/>
        </w:rPr>
        <w:tab/>
        <w:t>Small Entity Flexibility</w:t>
      </w:r>
    </w:p>
    <w:p w:rsidR="007C17B7" w:rsidRDefault="007C17B7" w:rsidP="0092114E">
      <w:pPr>
        <w:autoSpaceDE w:val="0"/>
        <w:autoSpaceDN w:val="0"/>
        <w:adjustRightInd w:val="0"/>
        <w:spacing w:after="120"/>
        <w:ind w:firstLine="720"/>
        <w:rPr>
          <w:rFonts w:ascii="Times New Roman" w:hAnsi="Times New Roman"/>
        </w:rPr>
      </w:pPr>
      <w:r>
        <w:rPr>
          <w:rFonts w:ascii="Times New Roman" w:hAnsi="Times New Roman"/>
        </w:rPr>
        <w:t>T</w:t>
      </w:r>
      <w:r w:rsidRPr="007C17B7">
        <w:rPr>
          <w:rFonts w:ascii="Times New Roman" w:hAnsi="Times New Roman"/>
        </w:rPr>
        <w:t xml:space="preserve">he EPA is aware that there is substantial interest in this rule among small entities (municipal and rural electric cooperatives). In light of this interest, the EPA determined to seek early input from representatives of small entities while formulating the provisions of this proposed regulation. This process has enabled the EPA to hear directly from these representatives, at a very preliminary stage, about how it should approach the complex question of how to apply </w:t>
      </w:r>
      <w:r>
        <w:rPr>
          <w:rFonts w:ascii="Times New Roman" w:hAnsi="Times New Roman"/>
        </w:rPr>
        <w:t>s</w:t>
      </w:r>
      <w:r w:rsidRPr="007C17B7">
        <w:rPr>
          <w:rFonts w:ascii="Times New Roman" w:hAnsi="Times New Roman"/>
        </w:rPr>
        <w:t>ection 111 of the CAA to the regulation of GHGs from these source</w:t>
      </w:r>
      <w:r>
        <w:rPr>
          <w:rFonts w:ascii="Times New Roman" w:hAnsi="Times New Roman"/>
        </w:rPr>
        <w:t>s</w:t>
      </w:r>
      <w:r w:rsidRPr="007C17B7">
        <w:rPr>
          <w:rFonts w:ascii="Times New Roman" w:hAnsi="Times New Roman"/>
        </w:rPr>
        <w:t>. The EPA’s outreach regarded planned actions for new and existing sources, but only new sources would be affected by this proposed action.</w:t>
      </w:r>
    </w:p>
    <w:p w:rsidR="007C17B7" w:rsidRPr="007C17B7" w:rsidRDefault="007C17B7" w:rsidP="0092114E">
      <w:pPr>
        <w:widowControl w:val="0"/>
        <w:numPr>
          <w:ilvl w:val="12"/>
          <w:numId w:val="0"/>
        </w:numPr>
        <w:spacing w:after="120"/>
        <w:ind w:firstLine="720"/>
        <w:rPr>
          <w:rFonts w:ascii="Times New Roman" w:hAnsi="Times New Roman"/>
        </w:rPr>
      </w:pPr>
      <w:r w:rsidRPr="007C17B7">
        <w:rPr>
          <w:rFonts w:ascii="Times New Roman" w:hAnsi="Times New Roman"/>
        </w:rPr>
        <w:t>The EPA conducted an initial outreach meeting with small entity representatives on April 6, 2011. The purpose of the meeting was to provide an overview of recent EPA proposals impacting the power sector. Specifically, overviews of the Transport Rule, the Mercury and Air Toxics Standards, and the Clean Water Act 316(b) Rule proposals were presented.</w:t>
      </w:r>
    </w:p>
    <w:p w:rsidR="007C17B7" w:rsidRPr="00291DB0" w:rsidRDefault="007C17B7" w:rsidP="0092114E">
      <w:pPr>
        <w:autoSpaceDE w:val="0"/>
        <w:autoSpaceDN w:val="0"/>
        <w:adjustRightInd w:val="0"/>
        <w:spacing w:after="120"/>
        <w:ind w:firstLine="720"/>
        <w:rPr>
          <w:rFonts w:ascii="Times New Roman" w:hAnsi="Times New Roman"/>
        </w:rPr>
      </w:pPr>
      <w:r w:rsidRPr="007C17B7">
        <w:rPr>
          <w:rFonts w:ascii="Times New Roman" w:hAnsi="Times New Roman"/>
        </w:rPr>
        <w:t>The EPA conducted outreach with representatives from 20 various small entities that potentially would be affected by this rule. The representatives included small entity municipalities, cooperatives, and private investors. We distributed outreach materials to the small entity representatives; these materials included background, an overview of affected sources and GHG emissions from the power sector, an overview of CAA section 111, an assessment of CO</w:t>
      </w:r>
      <w:r w:rsidRPr="007C17B7">
        <w:rPr>
          <w:rFonts w:ascii="Times New Roman" w:hAnsi="Times New Roman"/>
          <w:vertAlign w:val="subscript"/>
        </w:rPr>
        <w:t>2</w:t>
      </w:r>
      <w:r w:rsidRPr="007C17B7">
        <w:rPr>
          <w:rFonts w:ascii="Times New Roman" w:hAnsi="Times New Roman"/>
        </w:rPr>
        <w:t xml:space="preserve"> emissions control technologies, potential impacts on small entities, and a summary of the listening sessions. We met with eight of the small entity representatives, as well as three </w:t>
      </w:r>
      <w:r w:rsidRPr="007C17B7">
        <w:rPr>
          <w:rFonts w:ascii="Times New Roman" w:hAnsi="Times New Roman"/>
        </w:rPr>
        <w:lastRenderedPageBreak/>
        <w:t xml:space="preserve">participants from organizations </w:t>
      </w:r>
      <w:r w:rsidRPr="00291DB0">
        <w:rPr>
          <w:rFonts w:ascii="Times New Roman" w:hAnsi="Times New Roman"/>
        </w:rPr>
        <w:t>representing power producers, on June 17, 2011, to discuss the outreach materials, potential requirements of the rule, and regulatory areas where the EPA has discretion and could potentially provide flexibility.</w:t>
      </w:r>
    </w:p>
    <w:p w:rsidR="00F57C07" w:rsidRPr="007E09A5" w:rsidRDefault="007C17B7" w:rsidP="0092114E">
      <w:pPr>
        <w:pStyle w:val="Para"/>
        <w:rPr>
          <w:rFonts w:ascii="Times New Roman" w:hAnsi="Times New Roman"/>
        </w:rPr>
      </w:pPr>
      <w:r w:rsidRPr="00291DB0">
        <w:rPr>
          <w:rFonts w:ascii="Times New Roman" w:hAnsi="Times New Roman"/>
        </w:rPr>
        <w:t>A second outreach meeting was conducted on July 13, 2011. We met with nine of the small entity representatives, as well as three participants from organizations representing power producers. During the second outreach meeting, various small entity representatives and participants from organizations representing power producers presented information regarding issues of concern with respect to development of standards for GHG emissions.</w:t>
      </w:r>
      <w:r w:rsidR="002D4FE7" w:rsidRPr="00291DB0">
        <w:rPr>
          <w:rFonts w:ascii="Times New Roman" w:hAnsi="Times New Roman"/>
        </w:rPr>
        <w:t xml:space="preserve"> Several small entity representatives provided written comments </w:t>
      </w:r>
      <w:r w:rsidR="00F57C07" w:rsidRPr="00291DB0">
        <w:rPr>
          <w:rFonts w:ascii="Times New Roman" w:hAnsi="Times New Roman"/>
        </w:rPr>
        <w:t>in response to discussions at the meeting</w:t>
      </w:r>
      <w:r w:rsidR="002D4FE7" w:rsidRPr="00291DB0">
        <w:rPr>
          <w:rFonts w:ascii="Times New Roman" w:hAnsi="Times New Roman"/>
        </w:rPr>
        <w:t>s</w:t>
      </w:r>
      <w:r w:rsidR="00F57C07" w:rsidRPr="00291DB0">
        <w:rPr>
          <w:rFonts w:ascii="Times New Roman" w:hAnsi="Times New Roman"/>
        </w:rPr>
        <w:t xml:space="preserve"> and the questions posed to the </w:t>
      </w:r>
      <w:r w:rsidR="002D4FE7" w:rsidRPr="00291DB0">
        <w:rPr>
          <w:rFonts w:ascii="Times New Roman" w:hAnsi="Times New Roman"/>
        </w:rPr>
        <w:t>small entity representatives</w:t>
      </w:r>
      <w:r w:rsidR="00F57C07" w:rsidRPr="007E09A5">
        <w:rPr>
          <w:rFonts w:ascii="Times New Roman" w:hAnsi="Times New Roman"/>
        </w:rPr>
        <w:t xml:space="preserve"> by the Agency</w:t>
      </w:r>
      <w:r w:rsidR="00F57C07">
        <w:rPr>
          <w:rFonts w:ascii="Times New Roman" w:hAnsi="Times New Roman"/>
        </w:rPr>
        <w:t>.</w:t>
      </w:r>
    </w:p>
    <w:p w:rsidR="00F57C07" w:rsidRPr="0068644D" w:rsidRDefault="00F57C07" w:rsidP="00F57C07">
      <w:pPr>
        <w:pStyle w:val="Heading2"/>
        <w:rPr>
          <w:i/>
          <w:iCs w:val="0"/>
        </w:rPr>
      </w:pPr>
      <w:r w:rsidRPr="0068644D">
        <w:rPr>
          <w:i/>
          <w:iCs w:val="0"/>
        </w:rPr>
        <w:t>(d)</w:t>
      </w:r>
      <w:r w:rsidRPr="0068644D">
        <w:rPr>
          <w:i/>
          <w:iCs w:val="0"/>
        </w:rPr>
        <w:tab/>
        <w:t>Collection Schedule</w:t>
      </w:r>
    </w:p>
    <w:p w:rsidR="00F57C07" w:rsidRPr="000B5C1A" w:rsidRDefault="002D4FE7" w:rsidP="00F57C07">
      <w:pPr>
        <w:pStyle w:val="Para"/>
        <w:rPr>
          <w:rFonts w:ascii="Times New Roman" w:hAnsi="Times New Roman"/>
          <w:b/>
          <w:bCs/>
        </w:rPr>
      </w:pPr>
      <w:r>
        <w:rPr>
          <w:rFonts w:ascii="Times New Roman" w:hAnsi="Times New Roman"/>
        </w:rPr>
        <w:t>E</w:t>
      </w:r>
      <w:r w:rsidR="00F57C07" w:rsidRPr="009B35B5">
        <w:rPr>
          <w:rFonts w:ascii="Times New Roman" w:hAnsi="Times New Roman"/>
        </w:rPr>
        <w:t xml:space="preserve">ach </w:t>
      </w:r>
      <w:r>
        <w:rPr>
          <w:rFonts w:ascii="Times New Roman" w:hAnsi="Times New Roman"/>
        </w:rPr>
        <w:t>i</w:t>
      </w:r>
      <w:r w:rsidR="00F57C07" w:rsidRPr="009B35B5">
        <w:rPr>
          <w:rFonts w:ascii="Times New Roman" w:hAnsi="Times New Roman"/>
        </w:rPr>
        <w:t xml:space="preserve">nformation collection activity within this request </w:t>
      </w:r>
      <w:r>
        <w:rPr>
          <w:rFonts w:ascii="Times New Roman" w:hAnsi="Times New Roman"/>
        </w:rPr>
        <w:t>(Summary Report including excess emissions and downtime reporting) occurs on a semi-annual basis.</w:t>
      </w:r>
    </w:p>
    <w:p w:rsidR="00F57C07" w:rsidRDefault="00F57C07" w:rsidP="00F57C07">
      <w:pPr>
        <w:pStyle w:val="Heading1"/>
      </w:pPr>
      <w:r w:rsidRPr="007C7E34">
        <w:t>6.</w:t>
      </w:r>
      <w:r w:rsidRPr="007C7E34">
        <w:tab/>
        <w:t>Estimating the Burden and Cost of the Collection</w:t>
      </w:r>
    </w:p>
    <w:p w:rsidR="00BC4643" w:rsidRPr="00BC4643" w:rsidRDefault="00BC4643" w:rsidP="00BC4643"/>
    <w:p w:rsidR="00F57C07" w:rsidRDefault="00F57C07" w:rsidP="00F57C07">
      <w:pPr>
        <w:pStyle w:val="Para"/>
        <w:spacing w:after="0"/>
        <w:rPr>
          <w:rFonts w:ascii="Times New Roman" w:hAnsi="Times New Roman"/>
        </w:rPr>
      </w:pP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1c document the computation of individual burdens for the reporting requirements applicable to the industry for the subpart included in this ICR for each of the first 3 years</w:t>
      </w:r>
      <w:r>
        <w:rPr>
          <w:rFonts w:ascii="Times New Roman" w:hAnsi="Times New Roman"/>
        </w:rPr>
        <w:t xml:space="preserve">. </w:t>
      </w: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 xml:space="preserve"> contains a summary of the respondent burden hours and costs detailed in Exhibit 1a, Exhibit 1b, and Exhibit 1c.</w:t>
      </w:r>
    </w:p>
    <w:p w:rsidR="00F57C07" w:rsidRPr="008403BE" w:rsidRDefault="00F57C07" w:rsidP="00F57C07">
      <w:pPr>
        <w:pStyle w:val="Para"/>
        <w:spacing w:after="0"/>
        <w:ind w:firstLine="0"/>
        <w:rPr>
          <w:rFonts w:ascii="Times New Roman" w:hAnsi="Times New Roman"/>
        </w:rPr>
      </w:pPr>
    </w:p>
    <w:p w:rsidR="00F57C07" w:rsidRPr="001F421B" w:rsidRDefault="00F57C07" w:rsidP="00F57C07">
      <w:pPr>
        <w:pStyle w:val="ExhibitTitle"/>
        <w:spacing w:after="0"/>
        <w:rPr>
          <w:rFonts w:ascii="Times New Roman" w:hAnsi="Times New Roman"/>
        </w:rPr>
      </w:pPr>
      <w:r w:rsidRPr="005E01D7">
        <w:rPr>
          <w:rFonts w:ascii="Times New Roman" w:hAnsi="Times New Roman"/>
        </w:rPr>
        <w:t>Table</w:t>
      </w:r>
      <w:r w:rsidRPr="008403BE">
        <w:rPr>
          <w:rFonts w:ascii="Times New Roman" w:hAnsi="Times New Roman"/>
        </w:rPr>
        <w:t xml:space="preserve"> </w:t>
      </w:r>
      <w:r w:rsidR="00EB3C94">
        <w:rPr>
          <w:rFonts w:ascii="Times New Roman" w:hAnsi="Times New Roman"/>
        </w:rPr>
        <w:t>1</w:t>
      </w:r>
      <w:r w:rsidRPr="008403BE">
        <w:rPr>
          <w:rFonts w:ascii="Times New Roman" w:hAnsi="Times New Roman"/>
        </w:rPr>
        <w:t>.</w:t>
      </w:r>
      <w:r w:rsidRPr="008403BE">
        <w:rPr>
          <w:rFonts w:ascii="Times New Roman" w:hAnsi="Times New Roman"/>
        </w:rPr>
        <w:tab/>
        <w:t>Summary of Respondent Burden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3962"/>
        <w:gridCol w:w="3149"/>
      </w:tblGrid>
      <w:tr w:rsidR="00F57C07" w:rsidRPr="001F421B" w:rsidTr="006B65BC">
        <w:trPr>
          <w:trHeight w:val="278"/>
        </w:trPr>
        <w:tc>
          <w:tcPr>
            <w:tcW w:w="1202" w:type="pct"/>
            <w:hideMark/>
          </w:tcPr>
          <w:p w:rsidR="00F57C07" w:rsidRPr="001F421B" w:rsidRDefault="00F57C07" w:rsidP="006B65BC">
            <w:pPr>
              <w:pStyle w:val="TableHeader"/>
              <w:rPr>
                <w:rFonts w:ascii="Times New Roman" w:hAnsi="Times New Roman"/>
              </w:rPr>
            </w:pPr>
            <w:r w:rsidRPr="001F421B">
              <w:rPr>
                <w:rFonts w:ascii="Times New Roman" w:hAnsi="Times New Roman"/>
              </w:rPr>
              <w:t>Year</w:t>
            </w:r>
          </w:p>
        </w:tc>
        <w:tc>
          <w:tcPr>
            <w:tcW w:w="2116"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Burden (hours)</w:t>
            </w:r>
          </w:p>
        </w:tc>
        <w:tc>
          <w:tcPr>
            <w:tcW w:w="1682" w:type="pct"/>
            <w:hideMark/>
          </w:tcPr>
          <w:p w:rsidR="00F57C07" w:rsidRPr="00EA35FE" w:rsidRDefault="00F57C07" w:rsidP="006B65BC">
            <w:pPr>
              <w:pStyle w:val="TableHeader"/>
              <w:rPr>
                <w:rFonts w:ascii="Times New Roman" w:hAnsi="Times New Roman"/>
              </w:rPr>
            </w:pPr>
            <w:r>
              <w:rPr>
                <w:rFonts w:ascii="Times New Roman" w:hAnsi="Times New Roman"/>
              </w:rPr>
              <w:t>Total Annual Labor Costs ($)</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1</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264</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10,380</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2</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363</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14,272</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561</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22,057</w:t>
            </w:r>
          </w:p>
        </w:tc>
      </w:tr>
      <w:tr w:rsidR="00F57C07" w:rsidRPr="001F421B" w:rsidTr="00EB3C94">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Total</w:t>
            </w:r>
          </w:p>
        </w:tc>
        <w:tc>
          <w:tcPr>
            <w:tcW w:w="2116" w:type="pct"/>
          </w:tcPr>
          <w:p w:rsidR="00F57C07" w:rsidRPr="00556B17" w:rsidRDefault="00E84A73" w:rsidP="006B65BC">
            <w:pPr>
              <w:pStyle w:val="TableRow"/>
              <w:jc w:val="center"/>
              <w:rPr>
                <w:rFonts w:ascii="Times New Roman" w:hAnsi="Times New Roman"/>
              </w:rPr>
            </w:pPr>
            <w:r>
              <w:rPr>
                <w:rFonts w:ascii="Times New Roman" w:hAnsi="Times New Roman"/>
              </w:rPr>
              <w:t>1188</w:t>
            </w:r>
          </w:p>
        </w:tc>
        <w:tc>
          <w:tcPr>
            <w:tcW w:w="1682" w:type="pct"/>
          </w:tcPr>
          <w:p w:rsidR="00F57C07" w:rsidRPr="00556B17" w:rsidRDefault="00E84A73" w:rsidP="006B65BC">
            <w:pPr>
              <w:pStyle w:val="TableRow"/>
              <w:jc w:val="center"/>
              <w:rPr>
                <w:rFonts w:ascii="Times New Roman" w:hAnsi="Times New Roman"/>
              </w:rPr>
            </w:pPr>
            <w:r>
              <w:rPr>
                <w:rFonts w:ascii="Times New Roman" w:hAnsi="Times New Roman"/>
              </w:rPr>
              <w:t>46,709</w:t>
            </w:r>
          </w:p>
        </w:tc>
      </w:tr>
      <w:tr w:rsidR="00F57C07" w:rsidRPr="001F421B" w:rsidTr="006B65BC">
        <w:trPr>
          <w:trHeight w:val="255"/>
        </w:trPr>
        <w:tc>
          <w:tcPr>
            <w:tcW w:w="1202" w:type="pct"/>
            <w:hideMark/>
          </w:tcPr>
          <w:p w:rsidR="00F57C07" w:rsidRPr="001F421B" w:rsidRDefault="00F57C07" w:rsidP="006B65BC">
            <w:pPr>
              <w:pStyle w:val="TableRow"/>
              <w:jc w:val="center"/>
              <w:rPr>
                <w:rFonts w:ascii="Times New Roman" w:hAnsi="Times New Roman"/>
              </w:rPr>
            </w:pPr>
            <w:r w:rsidRPr="001F421B">
              <w:rPr>
                <w:rFonts w:ascii="Times New Roman" w:hAnsi="Times New Roman"/>
              </w:rPr>
              <w:t>3-Year Average</w:t>
            </w:r>
          </w:p>
        </w:tc>
        <w:tc>
          <w:tcPr>
            <w:tcW w:w="2116" w:type="pct"/>
            <w:hideMark/>
          </w:tcPr>
          <w:p w:rsidR="00F57C07" w:rsidRPr="00556B17" w:rsidRDefault="00E84A73" w:rsidP="006B65BC">
            <w:pPr>
              <w:pStyle w:val="TableRow"/>
              <w:jc w:val="center"/>
              <w:rPr>
                <w:rFonts w:ascii="Times New Roman" w:hAnsi="Times New Roman"/>
              </w:rPr>
            </w:pPr>
            <w:r>
              <w:rPr>
                <w:rFonts w:ascii="Times New Roman" w:hAnsi="Times New Roman"/>
              </w:rPr>
              <w:t>396</w:t>
            </w:r>
          </w:p>
        </w:tc>
        <w:tc>
          <w:tcPr>
            <w:tcW w:w="1682" w:type="pct"/>
            <w:hideMark/>
          </w:tcPr>
          <w:p w:rsidR="00F57C07" w:rsidRPr="00556B17" w:rsidRDefault="00E84A73" w:rsidP="006B65BC">
            <w:pPr>
              <w:pStyle w:val="TableRow"/>
              <w:jc w:val="center"/>
              <w:rPr>
                <w:rFonts w:ascii="Times New Roman" w:hAnsi="Times New Roman"/>
              </w:rPr>
            </w:pPr>
            <w:r>
              <w:rPr>
                <w:rFonts w:ascii="Times New Roman" w:hAnsi="Times New Roman"/>
              </w:rPr>
              <w:t>15,570</w:t>
            </w:r>
          </w:p>
        </w:tc>
      </w:tr>
    </w:tbl>
    <w:p w:rsidR="00F57C07" w:rsidRDefault="00F57C07" w:rsidP="00F57C07">
      <w:pPr>
        <w:pStyle w:val="Para"/>
        <w:rPr>
          <w:rFonts w:ascii="Times New Roman" w:hAnsi="Times New Roman"/>
        </w:rPr>
      </w:pPr>
    </w:p>
    <w:p w:rsidR="00F57C07" w:rsidRPr="009B35B5" w:rsidRDefault="00F57C07" w:rsidP="00F57C07">
      <w:pPr>
        <w:pStyle w:val="Para"/>
        <w:rPr>
          <w:rFonts w:ascii="Times New Roman" w:hAnsi="Times New Roman"/>
        </w:rPr>
      </w:pPr>
      <w:r w:rsidRPr="009B35B5">
        <w:rPr>
          <w:rFonts w:ascii="Times New Roman" w:hAnsi="Times New Roman"/>
        </w:rPr>
        <w:t>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F57C07" w:rsidRPr="009B35B5" w:rsidRDefault="00F57C07" w:rsidP="00F57C07">
      <w:pPr>
        <w:pStyle w:val="Para"/>
        <w:rPr>
          <w:rFonts w:ascii="Times New Roman" w:hAnsi="Times New Roman"/>
        </w:rPr>
      </w:pPr>
      <w:r w:rsidRPr="009B35B5">
        <w:rPr>
          <w:rFonts w:ascii="Times New Roman" w:hAnsi="Times New Roman"/>
        </w:rPr>
        <w:t xml:space="preserve">The </w:t>
      </w:r>
      <w:r w:rsidR="00BC4643">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F57C07" w:rsidRPr="0068644D" w:rsidRDefault="00F57C07" w:rsidP="00F57C07">
      <w:pPr>
        <w:pStyle w:val="Heading2"/>
        <w:rPr>
          <w:i/>
          <w:iCs w:val="0"/>
        </w:rPr>
      </w:pPr>
      <w:r w:rsidRPr="0068644D">
        <w:rPr>
          <w:i/>
          <w:iCs w:val="0"/>
        </w:rPr>
        <w:t>(a)</w:t>
      </w:r>
      <w:r w:rsidRPr="0068644D">
        <w:rPr>
          <w:i/>
          <w:iCs w:val="0"/>
        </w:rPr>
        <w:tab/>
        <w:t>Estimating Respondent Burden</w:t>
      </w:r>
    </w:p>
    <w:p w:rsidR="00F57C07" w:rsidRDefault="00F57C07" w:rsidP="00F57C07">
      <w:pPr>
        <w:pStyle w:val="Para"/>
        <w:rPr>
          <w:rFonts w:ascii="Times New Roman" w:hAnsi="Times New Roman"/>
        </w:rPr>
      </w:pPr>
      <w:r w:rsidRPr="007C7E34">
        <w:rPr>
          <w:rFonts w:ascii="Times New Roman" w:hAnsi="Times New Roman"/>
        </w:rPr>
        <w:t xml:space="preserve">The average annual burden to industry over the </w:t>
      </w:r>
      <w:r w:rsidR="00BC4643">
        <w:rPr>
          <w:rFonts w:ascii="Times New Roman" w:hAnsi="Times New Roman"/>
        </w:rPr>
        <w:t>3</w:t>
      </w:r>
      <w:r w:rsidR="00EB3C94">
        <w:rPr>
          <w:rFonts w:ascii="Times New Roman" w:hAnsi="Times New Roman"/>
        </w:rPr>
        <w:t>-</w:t>
      </w:r>
      <w:r w:rsidRPr="007C7E34">
        <w:rPr>
          <w:rFonts w:ascii="Times New Roman" w:hAnsi="Times New Roman"/>
        </w:rPr>
        <w:t>year</w:t>
      </w:r>
      <w:r w:rsidR="00EB3C94">
        <w:rPr>
          <w:rFonts w:ascii="Times New Roman" w:hAnsi="Times New Roman"/>
        </w:rPr>
        <w:t xml:space="preserve"> period of this ICR</w:t>
      </w:r>
      <w:r w:rsidRPr="007C7E34">
        <w:rPr>
          <w:rFonts w:ascii="Times New Roman" w:hAnsi="Times New Roman"/>
        </w:rPr>
        <w:t xml:space="preserve"> from these reporting requirements is estimated to </w:t>
      </w:r>
      <w:r w:rsidRPr="008403BE">
        <w:rPr>
          <w:rFonts w:ascii="Times New Roman" w:hAnsi="Times New Roman"/>
        </w:rPr>
        <w:t>be</w:t>
      </w:r>
      <w:r w:rsidR="001A089E">
        <w:rPr>
          <w:rFonts w:ascii="Times New Roman" w:hAnsi="Times New Roman"/>
        </w:rPr>
        <w:t xml:space="preserve"> 396</w:t>
      </w:r>
      <w:r w:rsidRPr="007C7E34">
        <w:rPr>
          <w:rFonts w:ascii="Times New Roman" w:hAnsi="Times New Roman"/>
        </w:rPr>
        <w:t xml:space="preserve"> </w:t>
      </w:r>
      <w:r w:rsidR="00601472">
        <w:rPr>
          <w:rFonts w:ascii="Times New Roman" w:hAnsi="Times New Roman"/>
        </w:rPr>
        <w:t xml:space="preserve">hours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 xml:space="preserve">1c). These hours are based on </w:t>
      </w:r>
      <w:r w:rsidR="00BC4643">
        <w:rPr>
          <w:rFonts w:ascii="Times New Roman" w:hAnsi="Times New Roman"/>
        </w:rPr>
        <w:t>a</w:t>
      </w:r>
      <w:r w:rsidRPr="007C7E34">
        <w:rPr>
          <w:rFonts w:ascii="Times New Roman" w:hAnsi="Times New Roman"/>
        </w:rPr>
        <w:t xml:space="preserve">gency studies and background documents from the development of the regulation, </w:t>
      </w:r>
      <w:r w:rsidR="00BC4643">
        <w:rPr>
          <w:rFonts w:ascii="Times New Roman" w:hAnsi="Times New Roman"/>
        </w:rPr>
        <w:t>a</w:t>
      </w:r>
      <w:r w:rsidRPr="007C7E34">
        <w:rPr>
          <w:rFonts w:ascii="Times New Roman" w:hAnsi="Times New Roman"/>
        </w:rPr>
        <w:t>gency knowledge, and experience with the N</w:t>
      </w:r>
      <w:r w:rsidR="00EB3C94">
        <w:rPr>
          <w:rFonts w:ascii="Times New Roman" w:hAnsi="Times New Roman"/>
        </w:rPr>
        <w:t>SPS</w:t>
      </w:r>
      <w:r w:rsidRPr="007C7E34">
        <w:rPr>
          <w:rFonts w:ascii="Times New Roman" w:hAnsi="Times New Roman"/>
        </w:rPr>
        <w:t xml:space="preserve"> program.</w:t>
      </w:r>
    </w:p>
    <w:p w:rsidR="00F57C07" w:rsidRPr="0068644D" w:rsidRDefault="00F57C07" w:rsidP="00F57C07">
      <w:pPr>
        <w:pStyle w:val="Heading2"/>
        <w:rPr>
          <w:i/>
          <w:iCs w:val="0"/>
        </w:rPr>
      </w:pPr>
      <w:r w:rsidRPr="0068644D">
        <w:rPr>
          <w:i/>
          <w:iCs w:val="0"/>
        </w:rPr>
        <w:lastRenderedPageBreak/>
        <w:t>(b)</w:t>
      </w:r>
      <w:r w:rsidRPr="0068644D">
        <w:rPr>
          <w:i/>
          <w:iCs w:val="0"/>
        </w:rPr>
        <w:tab/>
        <w:t>Estimating Respondent Costs</w:t>
      </w:r>
    </w:p>
    <w:p w:rsidR="00F57C07" w:rsidRDefault="00F57C07" w:rsidP="00F57C07">
      <w:pPr>
        <w:pStyle w:val="Para"/>
        <w:rPr>
          <w:rFonts w:ascii="Times New Roman" w:hAnsi="Times New Roman"/>
        </w:rPr>
      </w:pPr>
      <w:r w:rsidRPr="00B70F1C">
        <w:rPr>
          <w:rFonts w:ascii="Times New Roman" w:hAnsi="Times New Roman"/>
        </w:rPr>
        <w:t xml:space="preserve">Respondent costs are </w:t>
      </w:r>
      <w:r w:rsidR="00EB3C94">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operations and maintenance costs, and annualized capital costs</w:t>
      </w:r>
      <w:r>
        <w:rPr>
          <w:rFonts w:ascii="Times New Roman" w:hAnsi="Times New Roman"/>
        </w:rPr>
        <w:t xml:space="preserve">. </w:t>
      </w:r>
      <w:r w:rsidR="00EB3C94">
        <w:rPr>
          <w:rFonts w:ascii="Times New Roman" w:hAnsi="Times New Roman"/>
        </w:rPr>
        <w:t xml:space="preserve">Labor costs are the only respondent costs associated with this </w:t>
      </w:r>
      <w:r w:rsidR="00CC5D90">
        <w:rPr>
          <w:rFonts w:ascii="Times New Roman" w:hAnsi="Times New Roman"/>
        </w:rPr>
        <w:t>ICR</w:t>
      </w:r>
      <w:r w:rsidR="00EB3C94">
        <w:rPr>
          <w:rFonts w:ascii="Times New Roman" w:hAnsi="Times New Roman"/>
        </w:rPr>
        <w:t xml:space="preserve">. </w:t>
      </w:r>
    </w:p>
    <w:p w:rsidR="00F57C07" w:rsidRPr="0068644D" w:rsidRDefault="00F57C07" w:rsidP="00F57C07">
      <w:pPr>
        <w:pStyle w:val="Heading2"/>
        <w:rPr>
          <w:i/>
          <w:iCs w:val="0"/>
        </w:rPr>
      </w:pPr>
      <w:r w:rsidRPr="0068644D">
        <w:rPr>
          <w:i/>
          <w:iCs w:val="0"/>
        </w:rPr>
        <w:t>(i)</w:t>
      </w:r>
      <w:r w:rsidRPr="0068644D">
        <w:rPr>
          <w:i/>
          <w:iCs w:val="0"/>
        </w:rPr>
        <w:tab/>
        <w:t>Estimating Labor Costs</w:t>
      </w:r>
    </w:p>
    <w:p w:rsidR="00F57C07" w:rsidRDefault="003E47F8" w:rsidP="00F57C0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to industry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is estimated to </w:t>
      </w:r>
      <w:r w:rsidRPr="008403BE">
        <w:rPr>
          <w:rFonts w:ascii="Times New Roman" w:hAnsi="Times New Roman"/>
        </w:rPr>
        <w:t>be</w:t>
      </w:r>
      <w:r w:rsidRPr="00E87EC5">
        <w:rPr>
          <w:rFonts w:ascii="Times New Roman" w:hAnsi="Times New Roman"/>
        </w:rPr>
        <w:t xml:space="preserve"> </w:t>
      </w:r>
      <w:r>
        <w:rPr>
          <w:rFonts w:ascii="Times New Roman" w:hAnsi="Times New Roman"/>
        </w:rPr>
        <w:t>$15,570</w:t>
      </w:r>
      <w:r w:rsidR="00601472">
        <w:rPr>
          <w:rFonts w:ascii="Times New Roman" w:hAnsi="Times New Roman"/>
        </w:rPr>
        <w:t xml:space="preserve"> per year</w:t>
      </w:r>
      <w:r>
        <w:rPr>
          <w:rFonts w:ascii="Times New Roman" w:hAnsi="Times New Roman"/>
        </w:rPr>
        <w:t xml:space="preserve">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1a, </w:t>
      </w:r>
      <w:r>
        <w:rPr>
          <w:rFonts w:ascii="Times New Roman" w:hAnsi="Times New Roman"/>
        </w:rPr>
        <w:t xml:space="preserve">Exhibit </w:t>
      </w:r>
      <w:r w:rsidRPr="007C7E34">
        <w:rPr>
          <w:rFonts w:ascii="Times New Roman" w:hAnsi="Times New Roman"/>
        </w:rPr>
        <w:t xml:space="preserve">1b, and </w:t>
      </w:r>
      <w:r>
        <w:rPr>
          <w:rFonts w:ascii="Times New Roman" w:hAnsi="Times New Roman"/>
        </w:rPr>
        <w:t xml:space="preserve">Exhibit </w:t>
      </w:r>
      <w:r w:rsidRPr="007C7E34">
        <w:rPr>
          <w:rFonts w:ascii="Times New Roman" w:hAnsi="Times New Roman"/>
        </w:rPr>
        <w:t>1c)</w:t>
      </w:r>
      <w:r>
        <w:rPr>
          <w:rFonts w:ascii="Times New Roman" w:hAnsi="Times New Roman"/>
        </w:rPr>
        <w:t xml:space="preserve">. </w:t>
      </w:r>
      <w:r w:rsidR="00F57C07" w:rsidRPr="00E87EC5">
        <w:rPr>
          <w:rFonts w:ascii="Times New Roman" w:hAnsi="Times New Roman"/>
        </w:rPr>
        <w:t>Labor rates and associated costs are based on Bureau of Labor Statistics (BLS) data</w:t>
      </w:r>
      <w:r w:rsidR="00F57C07">
        <w:rPr>
          <w:rFonts w:ascii="Times New Roman" w:hAnsi="Times New Roman"/>
        </w:rPr>
        <w:t xml:space="preserve">. </w:t>
      </w:r>
      <w:r w:rsidR="00F57C07" w:rsidRPr="00E87EC5">
        <w:rPr>
          <w:rFonts w:ascii="Times New Roman" w:hAnsi="Times New Roman"/>
        </w:rPr>
        <w:t xml:space="preserve">Technical, management, and clerical average hourly rates for private industry workers were </w:t>
      </w:r>
      <w:r w:rsidR="00F57C07">
        <w:rPr>
          <w:rFonts w:ascii="Times New Roman" w:hAnsi="Times New Roman"/>
        </w:rPr>
        <w:t>based on</w:t>
      </w:r>
      <w:r w:rsidR="00F57C07" w:rsidRPr="00E87EC5">
        <w:rPr>
          <w:rFonts w:ascii="Times New Roman" w:hAnsi="Times New Roman"/>
        </w:rPr>
        <w:t xml:space="preserve"> </w:t>
      </w:r>
      <w:r w:rsidR="00F57C07">
        <w:rPr>
          <w:rFonts w:ascii="Times New Roman" w:hAnsi="Times New Roman"/>
        </w:rPr>
        <w:t xml:space="preserve">the </w:t>
      </w:r>
      <w:r w:rsidR="00F57C07" w:rsidRPr="00ED18AB">
        <w:rPr>
          <w:rFonts w:ascii="Times New Roman" w:hAnsi="Times New Roman"/>
        </w:rPr>
        <w:t>Bureau of Labor Statistics, Occupational Employment Statistics, 20</w:t>
      </w:r>
      <w:r w:rsidR="00EB3C94">
        <w:rPr>
          <w:rFonts w:ascii="Times New Roman" w:hAnsi="Times New Roman"/>
        </w:rPr>
        <w:t>1</w:t>
      </w:r>
      <w:r w:rsidR="00F57C07" w:rsidRPr="00ED18AB">
        <w:rPr>
          <w:rFonts w:ascii="Times New Roman" w:hAnsi="Times New Roman"/>
        </w:rPr>
        <w:t>0 National Industry-Specific Occupational Employment and Wage Estimates</w:t>
      </w:r>
      <w:r w:rsidR="00F57C07">
        <w:rPr>
          <w:rFonts w:ascii="Times New Roman" w:hAnsi="Times New Roman"/>
        </w:rPr>
        <w:t xml:space="preserve">. The approximate labor rates are </w:t>
      </w:r>
      <w:r w:rsidR="00F57C07" w:rsidRPr="005E01D7">
        <w:rPr>
          <w:rFonts w:ascii="Times New Roman" w:hAnsi="Times New Roman"/>
        </w:rPr>
        <w:t>$3</w:t>
      </w:r>
      <w:r w:rsidR="00CC5D90">
        <w:rPr>
          <w:rFonts w:ascii="Times New Roman" w:hAnsi="Times New Roman"/>
        </w:rPr>
        <w:t>9</w:t>
      </w:r>
      <w:r w:rsidR="00F57C07" w:rsidRPr="005E01D7">
        <w:rPr>
          <w:rFonts w:ascii="Times New Roman" w:hAnsi="Times New Roman"/>
        </w:rPr>
        <w:t>.3</w:t>
      </w:r>
      <w:r w:rsidR="00CC5D90">
        <w:rPr>
          <w:rFonts w:ascii="Times New Roman" w:hAnsi="Times New Roman"/>
        </w:rPr>
        <w:t>7 per hour for technical, $61</w:t>
      </w:r>
      <w:r w:rsidR="00F57C07" w:rsidRPr="005E01D7">
        <w:rPr>
          <w:rFonts w:ascii="Times New Roman" w:hAnsi="Times New Roman"/>
        </w:rPr>
        <w:t>.</w:t>
      </w:r>
      <w:r w:rsidR="00CC5D90">
        <w:rPr>
          <w:rFonts w:ascii="Times New Roman" w:hAnsi="Times New Roman"/>
        </w:rPr>
        <w:t>75</w:t>
      </w:r>
      <w:r w:rsidR="00F57C07" w:rsidRPr="005E01D7">
        <w:rPr>
          <w:rFonts w:ascii="Times New Roman" w:hAnsi="Times New Roman"/>
        </w:rPr>
        <w:t xml:space="preserve"> per hour for managerial, and $</w:t>
      </w:r>
      <w:r w:rsidR="00CC5D90">
        <w:rPr>
          <w:rFonts w:ascii="Times New Roman" w:hAnsi="Times New Roman"/>
        </w:rPr>
        <w:t>22</w:t>
      </w:r>
      <w:r w:rsidR="00F57C07" w:rsidRPr="005E01D7">
        <w:rPr>
          <w:rFonts w:ascii="Times New Roman" w:hAnsi="Times New Roman"/>
        </w:rPr>
        <w:t>.1</w:t>
      </w:r>
      <w:r w:rsidR="00CC5D90">
        <w:rPr>
          <w:rFonts w:ascii="Times New Roman" w:hAnsi="Times New Roman"/>
        </w:rPr>
        <w:t>5</w:t>
      </w:r>
      <w:r w:rsidR="00F57C07" w:rsidRPr="005E01D7">
        <w:rPr>
          <w:rFonts w:ascii="Times New Roman" w:hAnsi="Times New Roman"/>
        </w:rPr>
        <w:t xml:space="preserve"> per hour for clerical. </w:t>
      </w:r>
    </w:p>
    <w:p w:rsidR="00F57C07" w:rsidRPr="0068644D" w:rsidRDefault="00F57C07" w:rsidP="00F57C07">
      <w:pPr>
        <w:pStyle w:val="Heading2"/>
        <w:rPr>
          <w:i/>
          <w:iCs w:val="0"/>
        </w:rPr>
      </w:pPr>
      <w:r w:rsidRPr="005E01D7">
        <w:t xml:space="preserve"> </w:t>
      </w:r>
      <w:r w:rsidRPr="005E01D7">
        <w:rPr>
          <w:i/>
          <w:iCs w:val="0"/>
        </w:rPr>
        <w:t>(ii)</w:t>
      </w:r>
      <w:r w:rsidRPr="0068644D">
        <w:rPr>
          <w:i/>
          <w:iCs w:val="0"/>
        </w:rPr>
        <w:tab/>
        <w:t xml:space="preserve">Estimating </w:t>
      </w:r>
      <w:r>
        <w:rPr>
          <w:i/>
          <w:iCs w:val="0"/>
        </w:rPr>
        <w:t xml:space="preserve">Annualized </w:t>
      </w:r>
      <w:r w:rsidRPr="0068644D">
        <w:rPr>
          <w:i/>
          <w:iCs w:val="0"/>
        </w:rPr>
        <w:t>Capital Costs</w:t>
      </w:r>
    </w:p>
    <w:p w:rsidR="00F57C07" w:rsidRDefault="00F57C07" w:rsidP="006D1E26">
      <w:pPr>
        <w:pStyle w:val="Para"/>
        <w:spacing w:after="0"/>
        <w:rPr>
          <w:rFonts w:ascii="Times New Roman" w:hAnsi="Times New Roman"/>
        </w:rPr>
      </w:pPr>
      <w:r w:rsidRPr="007E09A5">
        <w:rPr>
          <w:rFonts w:ascii="Times New Roman" w:hAnsi="Times New Roman"/>
        </w:rPr>
        <w:t>The</w:t>
      </w:r>
      <w:r w:rsidR="00CC5D90">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sidR="00CC5D90">
        <w:rPr>
          <w:rFonts w:ascii="Times New Roman" w:hAnsi="Times New Roman"/>
        </w:rPr>
        <w:t>is ICR.</w:t>
      </w:r>
    </w:p>
    <w:p w:rsidR="00F57C07" w:rsidRPr="00640B02" w:rsidRDefault="00F57C07" w:rsidP="00F57C07">
      <w:pPr>
        <w:pStyle w:val="Heading2"/>
        <w:ind w:left="0" w:firstLine="0"/>
        <w:rPr>
          <w:i/>
          <w:iCs w:val="0"/>
        </w:rPr>
      </w:pPr>
      <w:r w:rsidRPr="0068644D">
        <w:rPr>
          <w:i/>
          <w:iCs w:val="0"/>
        </w:rPr>
        <w:t>(iii)</w:t>
      </w:r>
      <w:r w:rsidRPr="0068644D">
        <w:rPr>
          <w:i/>
          <w:iCs w:val="0"/>
        </w:rPr>
        <w:tab/>
      </w:r>
      <w:r w:rsidRPr="00640B02">
        <w:rPr>
          <w:i/>
          <w:iCs w:val="0"/>
        </w:rPr>
        <w:t>Estimating Operations and Maintenance (O&amp;M) Costs</w:t>
      </w:r>
    </w:p>
    <w:p w:rsidR="00F57C07" w:rsidRDefault="00F57C07" w:rsidP="00726482">
      <w:pPr>
        <w:ind w:firstLine="720"/>
        <w:rPr>
          <w:rFonts w:ascii="Calibri" w:eastAsia="Times New Roman" w:hAnsi="Calibri"/>
          <w:sz w:val="20"/>
        </w:rPr>
      </w:pPr>
      <w:r w:rsidRPr="00640B02">
        <w:rPr>
          <w:rFonts w:ascii="Times New Roman" w:hAnsi="Times New Roman"/>
        </w:rPr>
        <w:t>The</w:t>
      </w:r>
      <w:r w:rsidR="00726482">
        <w:rPr>
          <w:rFonts w:ascii="Times New Roman" w:hAnsi="Times New Roman"/>
        </w:rPr>
        <w:t xml:space="preserve">re are no </w:t>
      </w:r>
      <w:r w:rsidRPr="00640B02">
        <w:rPr>
          <w:rFonts w:ascii="Times New Roman" w:hAnsi="Times New Roman"/>
        </w:rPr>
        <w:t xml:space="preserve">annual operation and maintenance costs </w:t>
      </w:r>
      <w:r w:rsidR="00726482">
        <w:rPr>
          <w:rFonts w:ascii="Times New Roman" w:hAnsi="Times New Roman"/>
        </w:rPr>
        <w:t>associated with this ICR</w:t>
      </w:r>
      <w:r w:rsidRPr="005E01D7">
        <w:rPr>
          <w:rFonts w:ascii="Times New Roman" w:hAnsi="Times New Roman"/>
        </w:rPr>
        <w:t>.</w:t>
      </w:r>
      <w:r w:rsidRPr="004A1FC4">
        <w:rPr>
          <w:rFonts w:ascii="Calibri" w:eastAsia="Times New Roman" w:hAnsi="Calibri"/>
          <w:sz w:val="20"/>
        </w:rPr>
        <w:t xml:space="preserve"> </w:t>
      </w:r>
    </w:p>
    <w:p w:rsidR="00726482" w:rsidRPr="00726482" w:rsidRDefault="00726482" w:rsidP="00726482">
      <w:pPr>
        <w:ind w:firstLine="720"/>
        <w:rPr>
          <w:rFonts w:ascii="Calibri" w:eastAsia="Times New Roman" w:hAnsi="Calibri"/>
          <w:sz w:val="20"/>
        </w:rPr>
      </w:pPr>
    </w:p>
    <w:p w:rsidR="00F57C07" w:rsidRDefault="00F57C07" w:rsidP="00F57C07">
      <w:pPr>
        <w:spacing w:line="360" w:lineRule="auto"/>
        <w:rPr>
          <w:rFonts w:asciiTheme="majorBidi" w:hAnsiTheme="majorBidi" w:cstheme="majorBidi"/>
          <w:i/>
          <w:iCs/>
          <w:szCs w:val="24"/>
        </w:rPr>
      </w:pPr>
      <w:r w:rsidRPr="000D48D4">
        <w:rPr>
          <w:rFonts w:asciiTheme="majorBidi" w:hAnsiTheme="majorBidi" w:cstheme="majorBidi"/>
          <w:i/>
          <w:iCs/>
          <w:szCs w:val="24"/>
        </w:rPr>
        <w:t xml:space="preserve">(iv)  </w:t>
      </w:r>
      <w:r>
        <w:rPr>
          <w:rFonts w:asciiTheme="majorBidi" w:hAnsiTheme="majorBidi" w:cstheme="majorBidi"/>
          <w:i/>
          <w:iCs/>
          <w:szCs w:val="24"/>
        </w:rPr>
        <w:tab/>
      </w:r>
      <w:r w:rsidRPr="000D48D4">
        <w:rPr>
          <w:rFonts w:asciiTheme="majorBidi" w:hAnsiTheme="majorBidi" w:cstheme="majorBidi"/>
          <w:i/>
          <w:iCs/>
          <w:szCs w:val="24"/>
        </w:rPr>
        <w:t xml:space="preserve">Affirmative Defense/Root Cause Analysis/Malfunction Costs. </w:t>
      </w:r>
    </w:p>
    <w:p w:rsidR="00F57C07" w:rsidRDefault="00F57C07" w:rsidP="00BC4643">
      <w:pPr>
        <w:ind w:firstLine="720"/>
        <w:rPr>
          <w:rFonts w:asciiTheme="majorBidi" w:hAnsiTheme="majorBidi" w:cstheme="majorBidi"/>
          <w:szCs w:val="24"/>
        </w:rPr>
      </w:pPr>
      <w:r>
        <w:rPr>
          <w:rFonts w:asciiTheme="majorBidi" w:hAnsiTheme="majorBidi" w:cstheme="majorBidi"/>
          <w:szCs w:val="24"/>
        </w:rPr>
        <w:t xml:space="preserve">The </w:t>
      </w:r>
      <w:r w:rsidRPr="000D48D4">
        <w:rPr>
          <w:rFonts w:asciiTheme="majorBidi" w:hAnsiTheme="majorBidi" w:cstheme="majorBidi"/>
          <w:szCs w:val="24"/>
        </w:rPr>
        <w:t xml:space="preserve">EPA’s estimate for an affirmative defense and root cause analysis </w:t>
      </w:r>
      <w:r>
        <w:rPr>
          <w:rFonts w:asciiTheme="majorBidi" w:hAnsiTheme="majorBidi" w:cstheme="majorBidi"/>
          <w:szCs w:val="24"/>
        </w:rPr>
        <w:t xml:space="preserve">in Table </w:t>
      </w:r>
      <w:r w:rsidR="001A089E">
        <w:rPr>
          <w:rFonts w:asciiTheme="majorBidi" w:hAnsiTheme="majorBidi" w:cstheme="majorBidi"/>
          <w:szCs w:val="24"/>
        </w:rPr>
        <w:t>2</w:t>
      </w:r>
      <w:r>
        <w:rPr>
          <w:rFonts w:asciiTheme="majorBidi" w:hAnsiTheme="majorBidi" w:cstheme="majorBidi"/>
          <w:szCs w:val="24"/>
        </w:rPr>
        <w:t xml:space="preserve"> </w:t>
      </w:r>
      <w:r w:rsidRPr="000D48D4">
        <w:rPr>
          <w:rFonts w:asciiTheme="majorBidi" w:hAnsiTheme="majorBidi" w:cstheme="majorBidi"/>
          <w:szCs w:val="24"/>
        </w:rPr>
        <w:t>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F57C07" w:rsidRPr="000D48D4" w:rsidRDefault="00F57C07" w:rsidP="00BC4643">
      <w:pPr>
        <w:spacing w:before="240"/>
        <w:ind w:firstLine="720"/>
        <w:rPr>
          <w:rFonts w:asciiTheme="majorBidi" w:hAnsiTheme="majorBidi" w:cstheme="majorBidi"/>
          <w:szCs w:val="24"/>
        </w:rPr>
      </w:pPr>
      <w:r>
        <w:rPr>
          <w:rFonts w:asciiTheme="majorBidi" w:hAnsiTheme="majorBidi" w:cstheme="majorBidi"/>
          <w:szCs w:val="24"/>
        </w:rPr>
        <w:t xml:space="preserve">The labor rates used for these costs are </w:t>
      </w:r>
      <w:r w:rsidRPr="0050750E">
        <w:rPr>
          <w:rFonts w:asciiTheme="majorBidi" w:hAnsiTheme="majorBidi" w:cstheme="majorBidi"/>
          <w:szCs w:val="24"/>
        </w:rPr>
        <w:t>from the United States Department of Labor, Bureau of Labor Statistics, September 2009, Table 2. Civilian Workers, by occupational and industry group. The rates are from column 1, Total compensation. The rates have been increased by 110 percent to account for the benefit packages available to those employed by private industry</w:t>
      </w:r>
      <w:r>
        <w:rPr>
          <w:rFonts w:asciiTheme="majorBidi" w:hAnsiTheme="majorBidi" w:cstheme="majorBidi"/>
          <w:szCs w:val="24"/>
        </w:rPr>
        <w:t>.</w:t>
      </w:r>
    </w:p>
    <w:p w:rsidR="00F57C07" w:rsidRPr="000D48D4" w:rsidRDefault="00F57C07" w:rsidP="00F57C07">
      <w:pPr>
        <w:spacing w:before="240" w:line="360" w:lineRule="auto"/>
        <w:rPr>
          <w:rFonts w:asciiTheme="majorBidi" w:hAnsiTheme="majorBidi" w:cstheme="majorBidi"/>
          <w:b/>
          <w:bCs/>
          <w:szCs w:val="24"/>
        </w:rPr>
      </w:pPr>
      <w:r w:rsidRPr="000D48D4">
        <w:rPr>
          <w:rFonts w:asciiTheme="majorBidi" w:hAnsiTheme="majorBidi" w:cstheme="majorBidi"/>
          <w:b/>
          <w:bCs/>
          <w:szCs w:val="24"/>
        </w:rPr>
        <w:t xml:space="preserve">Table </w:t>
      </w:r>
      <w:r w:rsidR="001A089E">
        <w:rPr>
          <w:rFonts w:asciiTheme="majorBidi" w:hAnsiTheme="majorBidi" w:cstheme="majorBidi"/>
          <w:b/>
          <w:bCs/>
          <w:szCs w:val="24"/>
        </w:rPr>
        <w:t>2</w:t>
      </w:r>
      <w:r w:rsidRPr="000D48D4">
        <w:rPr>
          <w:rFonts w:asciiTheme="majorBidi" w:hAnsiTheme="majorBidi" w:cstheme="majorBidi"/>
          <w:b/>
          <w:bCs/>
          <w:szCs w:val="24"/>
        </w:rPr>
        <w:t>. Burden Associated with Performing an Affirmative Defense</w:t>
      </w:r>
    </w:p>
    <w:tbl>
      <w:tblPr>
        <w:tblW w:w="9555" w:type="dxa"/>
        <w:tblInd w:w="93" w:type="dxa"/>
        <w:tblLook w:val="04A0"/>
      </w:tblPr>
      <w:tblGrid>
        <w:gridCol w:w="2161"/>
        <w:gridCol w:w="1454"/>
        <w:gridCol w:w="1649"/>
        <w:gridCol w:w="1231"/>
        <w:gridCol w:w="1620"/>
        <w:gridCol w:w="1440"/>
      </w:tblGrid>
      <w:tr w:rsidR="00F57C07" w:rsidRPr="006C76C5" w:rsidTr="006B65BC">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b/>
                <w:bCs/>
                <w:sz w:val="20"/>
                <w:szCs w:val="18"/>
              </w:rPr>
            </w:pPr>
            <w:r w:rsidRPr="006C76C5">
              <w:rPr>
                <w:rFonts w:asciiTheme="majorBidi" w:hAnsiTheme="majorBidi" w:cstheme="majorBidi"/>
                <w:b/>
                <w:bCs/>
                <w:sz w:val="20"/>
                <w:szCs w:val="18"/>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b/>
                <w:bCs/>
                <w:sz w:val="20"/>
                <w:szCs w:val="18"/>
              </w:rPr>
            </w:pPr>
            <w:r w:rsidRPr="006C76C5">
              <w:rPr>
                <w:rFonts w:asciiTheme="majorBidi" w:hAnsiTheme="majorBidi" w:cstheme="majorBidi"/>
                <w:b/>
                <w:bCs/>
                <w:sz w:val="20"/>
                <w:szCs w:val="18"/>
              </w:rPr>
              <w:t>Total</w:t>
            </w:r>
          </w:p>
        </w:tc>
      </w:tr>
      <w:tr w:rsidR="00F57C07" w:rsidRPr="006C76C5" w:rsidTr="006B65BC">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18</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97.59</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1,757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2</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6</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12</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114.77</w:t>
            </w: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1,377</w:t>
            </w:r>
          </w:p>
        </w:tc>
      </w:tr>
      <w:tr w:rsidR="00F57C07" w:rsidRPr="006C76C5" w:rsidTr="006B65BC">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5</w:t>
            </w:r>
          </w:p>
        </w:tc>
        <w:tc>
          <w:tcPr>
            <w:tcW w:w="1649"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w:t>
            </w:r>
          </w:p>
        </w:tc>
        <w:tc>
          <w:tcPr>
            <w:tcW w:w="1231"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jc w:val="center"/>
              <w:rPr>
                <w:rFonts w:asciiTheme="majorBidi" w:hAnsiTheme="majorBidi" w:cstheme="majorBidi"/>
                <w:sz w:val="20"/>
                <w:szCs w:val="18"/>
              </w:rPr>
            </w:pPr>
            <w:r w:rsidRPr="006C76C5">
              <w:rPr>
                <w:rFonts w:asciiTheme="majorBidi" w:hAnsiTheme="majorBidi" w:cstheme="majorBidi"/>
                <w:sz w:val="20"/>
                <w:szCs w:val="18"/>
              </w:rPr>
              <w:t>30</w:t>
            </w:r>
          </w:p>
        </w:tc>
        <w:tc>
          <w:tcPr>
            <w:tcW w:w="1620" w:type="dxa"/>
            <w:tcBorders>
              <w:top w:val="nil"/>
              <w:left w:val="nil"/>
              <w:bottom w:val="single" w:sz="4" w:space="0" w:color="auto"/>
              <w:right w:val="single" w:sz="4" w:space="0" w:color="auto"/>
            </w:tcBorders>
            <w:shd w:val="clear" w:color="auto" w:fill="auto"/>
            <w:noWrap/>
            <w:vAlign w:val="center"/>
            <w:hideMark/>
          </w:tcPr>
          <w:p w:rsidR="00F57C07" w:rsidRPr="006C76C5" w:rsidRDefault="00F57C07" w:rsidP="006B65BC">
            <w:pPr>
              <w:jc w:val="center"/>
              <w:rPr>
                <w:rFonts w:asciiTheme="majorBidi" w:hAnsiTheme="majorBidi" w:cstheme="majorBidi"/>
                <w:sz w:val="20"/>
                <w:szCs w:val="18"/>
              </w:rPr>
            </w:pPr>
          </w:p>
        </w:tc>
        <w:tc>
          <w:tcPr>
            <w:tcW w:w="1440" w:type="dxa"/>
            <w:tcBorders>
              <w:top w:val="nil"/>
              <w:left w:val="nil"/>
              <w:bottom w:val="single" w:sz="4" w:space="0" w:color="auto"/>
              <w:right w:val="single" w:sz="4" w:space="0" w:color="auto"/>
            </w:tcBorders>
            <w:shd w:val="clear" w:color="auto" w:fill="auto"/>
            <w:noWrap/>
            <w:vAlign w:val="bottom"/>
            <w:hideMark/>
          </w:tcPr>
          <w:p w:rsidR="00F57C07" w:rsidRPr="006C76C5" w:rsidRDefault="00F57C07" w:rsidP="006B65BC">
            <w:pPr>
              <w:rPr>
                <w:rFonts w:asciiTheme="majorBidi" w:hAnsiTheme="majorBidi" w:cstheme="majorBidi"/>
                <w:sz w:val="20"/>
                <w:szCs w:val="18"/>
              </w:rPr>
            </w:pPr>
            <w:r w:rsidRPr="006C76C5">
              <w:rPr>
                <w:rFonts w:asciiTheme="majorBidi" w:hAnsiTheme="majorBidi" w:cstheme="majorBidi"/>
                <w:sz w:val="20"/>
                <w:szCs w:val="18"/>
              </w:rPr>
              <w:t xml:space="preserve"> $   3,134</w:t>
            </w:r>
          </w:p>
        </w:tc>
      </w:tr>
    </w:tbl>
    <w:p w:rsidR="00F57C07" w:rsidRDefault="00F57C07" w:rsidP="006E47DC">
      <w:pPr>
        <w:pStyle w:val="Para"/>
        <w:ind w:firstLine="0"/>
        <w:rPr>
          <w:rFonts w:ascii="Times New Roman" w:hAnsi="Times New Roman"/>
        </w:rPr>
      </w:pPr>
    </w:p>
    <w:p w:rsidR="00F57C07" w:rsidRPr="0068644D" w:rsidRDefault="00F57C07" w:rsidP="00F57C07">
      <w:pPr>
        <w:pStyle w:val="Heading2"/>
        <w:ind w:left="0" w:firstLine="0"/>
        <w:rPr>
          <w:i/>
          <w:iCs w:val="0"/>
        </w:rPr>
      </w:pPr>
      <w:r w:rsidRPr="0068644D">
        <w:rPr>
          <w:i/>
          <w:iCs w:val="0"/>
        </w:rPr>
        <w:lastRenderedPageBreak/>
        <w:t>(c)</w:t>
      </w:r>
      <w:r w:rsidRPr="0068644D">
        <w:rPr>
          <w:i/>
          <w:iCs w:val="0"/>
        </w:rPr>
        <w:tab/>
        <w:t>Estimating Agency Burden and Cost</w:t>
      </w:r>
    </w:p>
    <w:p w:rsidR="00F57C07" w:rsidRPr="004A460D" w:rsidRDefault="00F57C07" w:rsidP="004A460D">
      <w:pPr>
        <w:pStyle w:val="Para"/>
        <w:spacing w:after="0"/>
        <w:rPr>
          <w:rFonts w:ascii="Times New Roman" w:hAnsi="Times New Roman"/>
          <w:highlight w:val="green"/>
        </w:rPr>
      </w:pPr>
      <w:r w:rsidRPr="007C7E34">
        <w:rPr>
          <w:rFonts w:ascii="Times New Roman" w:hAnsi="Times New Roman"/>
        </w:rPr>
        <w:t>Because the information collection requirements were developed as an incidental part of standards development, no costs can be attributed to the development of the information collection requirements</w:t>
      </w:r>
      <w:r>
        <w:rPr>
          <w:rFonts w:ascii="Times New Roman" w:hAnsi="Times New Roman"/>
        </w:rPr>
        <w:t xml:space="preserve">. </w:t>
      </w:r>
      <w:r w:rsidRPr="007C7E34">
        <w:rPr>
          <w:rFonts w:ascii="Times New Roman" w:hAnsi="Times New Roman"/>
        </w:rPr>
        <w:t xml:space="preserve">Because reporting and recordkeeping requirements on the part of the respondents are required under the </w:t>
      </w:r>
      <w:r w:rsidR="004A460D">
        <w:rPr>
          <w:rFonts w:ascii="Times New Roman" w:hAnsi="Times New Roman"/>
        </w:rPr>
        <w:t>part 60</w:t>
      </w:r>
      <w:r w:rsidRPr="007C7E34">
        <w:rPr>
          <w:rFonts w:ascii="Times New Roman" w:hAnsi="Times New Roman"/>
        </w:rPr>
        <w:t xml:space="preserve"> General Provisions, no operational costs will be incurred by the Federal Government</w:t>
      </w:r>
      <w:r>
        <w:rPr>
          <w:rFonts w:ascii="Times New Roman" w:hAnsi="Times New Roman"/>
        </w:rPr>
        <w:t xml:space="preserve">. </w:t>
      </w:r>
      <w:r w:rsidRPr="007C7E34">
        <w:rPr>
          <w:rFonts w:ascii="Times New Roman" w:hAnsi="Times New Roman"/>
        </w:rPr>
        <w:t>Publication and distribution of the information are part of the Compliance Data System, with the result that no Federal costs can be directly attributed to the ICR</w:t>
      </w:r>
      <w:r>
        <w:rPr>
          <w:rFonts w:ascii="Times New Roman" w:hAnsi="Times New Roman"/>
        </w:rPr>
        <w:t xml:space="preserve">. </w:t>
      </w:r>
      <w:r w:rsidRPr="007C7E34">
        <w:rPr>
          <w:rFonts w:ascii="Times New Roman" w:hAnsi="Times New Roman"/>
        </w:rPr>
        <w:t xml:space="preserve">Examination of records to be maintained by the respondents will occur incidentally as part of the periodic inspection of sources that is part of EPA's overall compliance and enforcement program, and, therefore, is not attributable to the ICR. The only costs that the Federal government </w:t>
      </w:r>
      <w:r w:rsidR="004A460D">
        <w:rPr>
          <w:rFonts w:ascii="Times New Roman" w:hAnsi="Times New Roman"/>
        </w:rPr>
        <w:t xml:space="preserve">could </w:t>
      </w:r>
      <w:r w:rsidRPr="007C7E34">
        <w:rPr>
          <w:rFonts w:ascii="Times New Roman" w:hAnsi="Times New Roman"/>
        </w:rPr>
        <w:t>incur are user costs associated with the analysis of the reported information</w:t>
      </w:r>
      <w:r w:rsidR="000177F7">
        <w:rPr>
          <w:rFonts w:ascii="Times New Roman" w:hAnsi="Times New Roman"/>
        </w:rPr>
        <w:t>. The Federal government would not incur those costs as a result of these proposed standards.</w:t>
      </w:r>
      <w:r>
        <w:rPr>
          <w:rFonts w:ascii="Times New Roman" w:hAnsi="Times New Roman"/>
        </w:rPr>
        <w:t xml:space="preserve"> </w:t>
      </w:r>
    </w:p>
    <w:p w:rsidR="00F57C07" w:rsidRPr="0068644D" w:rsidRDefault="00F57C07" w:rsidP="00F57C07">
      <w:pPr>
        <w:pStyle w:val="Heading2"/>
        <w:ind w:left="0" w:firstLine="0"/>
        <w:rPr>
          <w:i/>
          <w:iCs w:val="0"/>
        </w:rPr>
      </w:pPr>
      <w:r w:rsidRPr="0068644D">
        <w:rPr>
          <w:i/>
          <w:iCs w:val="0"/>
        </w:rPr>
        <w:t>(d)</w:t>
      </w:r>
      <w:r>
        <w:rPr>
          <w:i/>
          <w:iCs w:val="0"/>
        </w:rPr>
        <w:tab/>
      </w:r>
      <w:r w:rsidRPr="0068644D">
        <w:rPr>
          <w:i/>
          <w:iCs w:val="0"/>
        </w:rPr>
        <w:t xml:space="preserve"> Estimating the Respondent Universe and Total Burden and Costs.</w:t>
      </w:r>
    </w:p>
    <w:p w:rsidR="00F57C07" w:rsidRDefault="00B27002" w:rsidP="00F57C07">
      <w:pPr>
        <w:pStyle w:val="Para"/>
        <w:rPr>
          <w:rFonts w:ascii="Times New Roman" w:hAnsi="Times New Roman"/>
        </w:rPr>
      </w:pPr>
      <w:r>
        <w:rPr>
          <w:rFonts w:ascii="Times New Roman" w:hAnsi="Times New Roman"/>
        </w:rPr>
        <w:t>The EPA</w:t>
      </w:r>
      <w:r w:rsidR="00F57C07" w:rsidRPr="00640B02">
        <w:rPr>
          <w:rFonts w:ascii="Times New Roman" w:hAnsi="Times New Roman"/>
        </w:rPr>
        <w:t xml:space="preserve"> estimate</w:t>
      </w:r>
      <w:r>
        <w:rPr>
          <w:rFonts w:ascii="Times New Roman" w:hAnsi="Times New Roman"/>
        </w:rPr>
        <w:t>s</w:t>
      </w:r>
      <w:r w:rsidR="00F57C07" w:rsidRPr="00640B02">
        <w:rPr>
          <w:rFonts w:ascii="Times New Roman" w:hAnsi="Times New Roman"/>
        </w:rPr>
        <w:t xml:space="preserve"> that </w:t>
      </w:r>
      <w:r>
        <w:rPr>
          <w:rFonts w:ascii="Times New Roman" w:hAnsi="Times New Roman"/>
        </w:rPr>
        <w:t>17</w:t>
      </w:r>
      <w:r w:rsidR="00F57C07" w:rsidRPr="00640B02">
        <w:rPr>
          <w:rFonts w:ascii="Times New Roman" w:hAnsi="Times New Roman"/>
        </w:rPr>
        <w:t xml:space="preserve"> new </w:t>
      </w:r>
      <w:r>
        <w:rPr>
          <w:rFonts w:ascii="Times New Roman" w:hAnsi="Times New Roman"/>
        </w:rPr>
        <w:t>EGUs</w:t>
      </w:r>
      <w:r w:rsidR="00F57C07" w:rsidRPr="00640B02">
        <w:rPr>
          <w:rFonts w:ascii="Times New Roman" w:hAnsi="Times New Roman"/>
        </w:rPr>
        <w:t xml:space="preserve"> will become subject to the </w:t>
      </w:r>
      <w:r>
        <w:rPr>
          <w:rFonts w:ascii="Times New Roman" w:hAnsi="Times New Roman"/>
        </w:rPr>
        <w:t xml:space="preserve">proposed </w:t>
      </w:r>
      <w:r w:rsidR="00F57C07" w:rsidRPr="00640B02">
        <w:rPr>
          <w:rFonts w:ascii="Times New Roman" w:hAnsi="Times New Roman"/>
        </w:rPr>
        <w:t>regulation</w:t>
      </w:r>
      <w:r>
        <w:rPr>
          <w:rFonts w:ascii="Times New Roman" w:hAnsi="Times New Roman"/>
        </w:rPr>
        <w:t xml:space="preserve"> over the 3-year period of the ICR</w:t>
      </w:r>
      <w:r w:rsidR="00F57C07" w:rsidRPr="00640B02">
        <w:rPr>
          <w:rFonts w:ascii="Times New Roman" w:hAnsi="Times New Roman"/>
        </w:rPr>
        <w:t>.</w:t>
      </w:r>
    </w:p>
    <w:p w:rsidR="00F57C07" w:rsidRDefault="00F57C07" w:rsidP="00F57C07">
      <w:pPr>
        <w:pStyle w:val="Para"/>
        <w:rPr>
          <w:rFonts w:ascii="Times New Roman" w:hAnsi="Times New Roman"/>
        </w:rPr>
      </w:pPr>
      <w:r w:rsidRPr="00640B02">
        <w:rPr>
          <w:rFonts w:ascii="Times New Roman" w:hAnsi="Times New Roman"/>
        </w:rPr>
        <w:t xml:space="preserve"> </w:t>
      </w:r>
      <w:r w:rsidRPr="0004725D">
        <w:rPr>
          <w:rFonts w:ascii="Times New Roman" w:hAnsi="Times New Roman"/>
        </w:rPr>
        <w:t xml:space="preserve">The total annual number of responses for the new monitoring, recordkeeping, and reporting requirements in </w:t>
      </w:r>
      <w:r w:rsidR="001A089E" w:rsidRPr="0004725D">
        <w:rPr>
          <w:rFonts w:ascii="Times New Roman" w:hAnsi="Times New Roman"/>
        </w:rPr>
        <w:t xml:space="preserve">proposed </w:t>
      </w:r>
      <w:r w:rsidRPr="0004725D">
        <w:rPr>
          <w:rFonts w:ascii="Times New Roman" w:hAnsi="Times New Roman"/>
        </w:rPr>
        <w:t xml:space="preserve">subpart </w:t>
      </w:r>
      <w:r w:rsidR="001A089E" w:rsidRPr="0004725D">
        <w:rPr>
          <w:rFonts w:ascii="Times New Roman" w:hAnsi="Times New Roman"/>
        </w:rPr>
        <w:t>TTTT</w:t>
      </w:r>
      <w:r w:rsidRPr="0004725D">
        <w:rPr>
          <w:rFonts w:ascii="Times New Roman" w:hAnsi="Times New Roman"/>
        </w:rPr>
        <w:t xml:space="preserve"> </w:t>
      </w:r>
      <w:r w:rsidR="001A089E" w:rsidRPr="0004725D">
        <w:rPr>
          <w:rFonts w:ascii="Times New Roman" w:hAnsi="Times New Roman"/>
        </w:rPr>
        <w:t xml:space="preserve">over the 3-year ICR period </w:t>
      </w:r>
      <w:r w:rsidRPr="0004725D">
        <w:rPr>
          <w:rFonts w:ascii="Times New Roman" w:hAnsi="Times New Roman"/>
        </w:rPr>
        <w:t xml:space="preserve">is </w:t>
      </w:r>
      <w:r w:rsidR="001A089E" w:rsidRPr="0004725D">
        <w:rPr>
          <w:rFonts w:ascii="Times New Roman" w:hAnsi="Times New Roman"/>
        </w:rPr>
        <w:t xml:space="preserve">estimated to be 72. </w:t>
      </w:r>
      <w:r w:rsidR="0004725D" w:rsidRPr="0004725D">
        <w:rPr>
          <w:rFonts w:ascii="Times New Roman" w:hAnsi="Times New Roman"/>
        </w:rPr>
        <w:t>The average number of annual responses over the 3-year ICR period is 24</w:t>
      </w:r>
      <w:r w:rsidR="003E47F8">
        <w:rPr>
          <w:rFonts w:ascii="Times New Roman" w:hAnsi="Times New Roman"/>
        </w:rPr>
        <w:t xml:space="preserve"> per year</w:t>
      </w:r>
      <w:r w:rsidR="0004725D" w:rsidRPr="0004725D">
        <w:rPr>
          <w:rFonts w:ascii="Times New Roman" w:hAnsi="Times New Roman"/>
        </w:rPr>
        <w:t>.</w:t>
      </w:r>
      <w:bookmarkStart w:id="0" w:name="_GoBack"/>
      <w:bookmarkEnd w:id="0"/>
    </w:p>
    <w:p w:rsidR="006E47DC" w:rsidRDefault="006E47DC" w:rsidP="00F57C07">
      <w:pPr>
        <w:pStyle w:val="Para"/>
        <w:rPr>
          <w:rFonts w:ascii="Times New Roman" w:hAnsi="Times New Roman"/>
        </w:rPr>
      </w:pPr>
      <w:r>
        <w:rPr>
          <w:rFonts w:ascii="Times New Roman" w:hAnsi="Times New Roman"/>
        </w:rPr>
        <w:t>T</w:t>
      </w:r>
      <w:r w:rsidRPr="00640B02">
        <w:rPr>
          <w:rFonts w:ascii="Times New Roman" w:hAnsi="Times New Roman"/>
        </w:rPr>
        <w:t xml:space="preserve">he annual public reporting and recordkeeping burden for this collection of information is estimated </w:t>
      </w:r>
      <w:r w:rsidRPr="005E01D7">
        <w:rPr>
          <w:rFonts w:ascii="Times New Roman" w:hAnsi="Times New Roman"/>
        </w:rPr>
        <w:t>to average 16</w:t>
      </w:r>
      <w:r>
        <w:rPr>
          <w:rFonts w:ascii="Times New Roman" w:hAnsi="Times New Roman"/>
        </w:rPr>
        <w:t>.5</w:t>
      </w:r>
      <w:r w:rsidRPr="005E01D7">
        <w:rPr>
          <w:rFonts w:ascii="Times New Roman" w:hAnsi="Times New Roman"/>
        </w:rPr>
        <w:t xml:space="preserve"> hours per response.</w:t>
      </w:r>
      <w:r>
        <w:rPr>
          <w:rFonts w:ascii="Times New Roman" w:hAnsi="Times New Roman"/>
        </w:rPr>
        <w:t xml:space="preserve"> </w:t>
      </w:r>
      <w:r w:rsidRPr="005E01D7">
        <w:rPr>
          <w:rFonts w:ascii="Times New Roman" w:hAnsi="Times New Roman"/>
        </w:rPr>
        <w:t xml:space="preserve">The total annual </w:t>
      </w:r>
      <w:r>
        <w:rPr>
          <w:rFonts w:ascii="Times New Roman" w:hAnsi="Times New Roman"/>
        </w:rPr>
        <w:t>labor</w:t>
      </w:r>
      <w:r w:rsidRPr="005E01D7">
        <w:rPr>
          <w:rFonts w:ascii="Times New Roman" w:hAnsi="Times New Roman"/>
        </w:rPr>
        <w:t xml:space="preserve"> burden </w:t>
      </w:r>
      <w:r>
        <w:rPr>
          <w:rFonts w:ascii="Times New Roman" w:hAnsi="Times New Roman"/>
        </w:rPr>
        <w:t>over the 3-year ICR period</w:t>
      </w:r>
      <w:r w:rsidRPr="005E01D7">
        <w:rPr>
          <w:rFonts w:ascii="Times New Roman" w:hAnsi="Times New Roman"/>
        </w:rPr>
        <w:t xml:space="preserve"> </w:t>
      </w:r>
      <w:r>
        <w:rPr>
          <w:rFonts w:ascii="Times New Roman" w:hAnsi="Times New Roman"/>
        </w:rPr>
        <w:t>is estimated to</w:t>
      </w:r>
      <w:r w:rsidRPr="005E01D7">
        <w:rPr>
          <w:rFonts w:ascii="Times New Roman" w:hAnsi="Times New Roman"/>
        </w:rPr>
        <w:t xml:space="preserve"> be </w:t>
      </w:r>
      <w:r>
        <w:rPr>
          <w:rFonts w:ascii="Times New Roman" w:hAnsi="Times New Roman"/>
        </w:rPr>
        <w:t>1,188</w:t>
      </w:r>
      <w:r w:rsidRPr="005E01D7">
        <w:rPr>
          <w:rFonts w:ascii="Times New Roman" w:hAnsi="Times New Roman"/>
        </w:rPr>
        <w:t xml:space="preserve"> person hours.</w:t>
      </w:r>
      <w:r>
        <w:rPr>
          <w:rFonts w:ascii="Times New Roman" w:hAnsi="Times New Roman"/>
        </w:rPr>
        <w:t xml:space="preserve"> </w:t>
      </w:r>
      <w:r w:rsidR="00601472">
        <w:rPr>
          <w:rFonts w:ascii="Times New Roman" w:hAnsi="Times New Roman"/>
        </w:rPr>
        <w:t>T</w:t>
      </w:r>
      <w:r w:rsidRPr="005E01D7">
        <w:rPr>
          <w:rFonts w:ascii="Times New Roman" w:hAnsi="Times New Roman"/>
        </w:rPr>
        <w:t xml:space="preserve">he </w:t>
      </w:r>
      <w:r>
        <w:rPr>
          <w:rFonts w:ascii="Times New Roman" w:hAnsi="Times New Roman"/>
        </w:rPr>
        <w:t xml:space="preserve">average </w:t>
      </w:r>
      <w:r w:rsidRPr="005E01D7">
        <w:rPr>
          <w:rFonts w:ascii="Times New Roman" w:hAnsi="Times New Roman"/>
        </w:rPr>
        <w:t xml:space="preserve">annual </w:t>
      </w:r>
      <w:r w:rsidR="00601472">
        <w:rPr>
          <w:rFonts w:ascii="Times New Roman" w:hAnsi="Times New Roman"/>
        </w:rPr>
        <w:t xml:space="preserve">labor </w:t>
      </w:r>
      <w:r w:rsidRPr="005E01D7">
        <w:rPr>
          <w:rFonts w:ascii="Times New Roman" w:hAnsi="Times New Roman"/>
        </w:rPr>
        <w:t xml:space="preserve">burden for the rule </w:t>
      </w:r>
      <w:r>
        <w:rPr>
          <w:rFonts w:ascii="Times New Roman" w:hAnsi="Times New Roman"/>
        </w:rPr>
        <w:t>is estimated to</w:t>
      </w:r>
      <w:r w:rsidRPr="005E01D7">
        <w:rPr>
          <w:rFonts w:ascii="Times New Roman" w:hAnsi="Times New Roman"/>
        </w:rPr>
        <w:t xml:space="preserve"> be </w:t>
      </w:r>
      <w:r>
        <w:rPr>
          <w:rFonts w:ascii="Times New Roman" w:hAnsi="Times New Roman"/>
        </w:rPr>
        <w:t>396</w:t>
      </w:r>
      <w:r w:rsidRPr="005E01D7">
        <w:rPr>
          <w:rFonts w:ascii="Times New Roman" w:hAnsi="Times New Roman"/>
        </w:rPr>
        <w:t xml:space="preserve"> person hours</w:t>
      </w:r>
      <w:r>
        <w:rPr>
          <w:rFonts w:ascii="Times New Roman" w:hAnsi="Times New Roman"/>
        </w:rPr>
        <w:t xml:space="preserve"> per year</w:t>
      </w:r>
      <w:r w:rsidRPr="005E01D7">
        <w:rPr>
          <w:rFonts w:ascii="Times New Roman" w:hAnsi="Times New Roman"/>
        </w:rPr>
        <w:t>.</w:t>
      </w:r>
    </w:p>
    <w:p w:rsidR="00F57C07" w:rsidRDefault="00F57C07" w:rsidP="00F57C07">
      <w:pPr>
        <w:pStyle w:val="Para"/>
        <w:rPr>
          <w:rFonts w:ascii="Times New Roman" w:hAnsi="Times New Roman"/>
        </w:rPr>
      </w:pPr>
      <w:r w:rsidRPr="005E01D7">
        <w:rPr>
          <w:rFonts w:ascii="Times New Roman" w:hAnsi="Times New Roman"/>
        </w:rPr>
        <w:t xml:space="preserve">The total annual labor costs </w:t>
      </w:r>
      <w:r w:rsidR="0004725D">
        <w:rPr>
          <w:rFonts w:ascii="Times New Roman" w:hAnsi="Times New Roman"/>
        </w:rPr>
        <w:t xml:space="preserve">over the 3-year ICR period </w:t>
      </w:r>
      <w:r w:rsidRPr="005E01D7">
        <w:rPr>
          <w:rFonts w:ascii="Times New Roman" w:hAnsi="Times New Roman"/>
        </w:rPr>
        <w:t xml:space="preserve">are </w:t>
      </w:r>
      <w:r w:rsidR="0004725D">
        <w:rPr>
          <w:rFonts w:ascii="Times New Roman" w:hAnsi="Times New Roman"/>
        </w:rPr>
        <w:t xml:space="preserve">estimated at </w:t>
      </w:r>
      <w:r w:rsidRPr="005E01D7">
        <w:rPr>
          <w:rFonts w:ascii="Times New Roman" w:hAnsi="Times New Roman"/>
        </w:rPr>
        <w:t>$4</w:t>
      </w:r>
      <w:r w:rsidR="0004725D">
        <w:rPr>
          <w:rFonts w:ascii="Times New Roman" w:hAnsi="Times New Roman"/>
        </w:rPr>
        <w:t>6</w:t>
      </w:r>
      <w:r w:rsidRPr="005E01D7">
        <w:rPr>
          <w:rFonts w:ascii="Times New Roman" w:hAnsi="Times New Roman"/>
        </w:rPr>
        <w:t>,</w:t>
      </w:r>
      <w:r w:rsidR="0004725D">
        <w:rPr>
          <w:rFonts w:ascii="Times New Roman" w:hAnsi="Times New Roman"/>
        </w:rPr>
        <w:t>709</w:t>
      </w:r>
      <w:r>
        <w:rPr>
          <w:rFonts w:ascii="Times New Roman" w:hAnsi="Times New Roman"/>
        </w:rPr>
        <w:t>.</w:t>
      </w:r>
      <w:r w:rsidRPr="005E01D7">
        <w:rPr>
          <w:rFonts w:ascii="Times New Roman" w:hAnsi="Times New Roman"/>
        </w:rPr>
        <w:t xml:space="preserve"> </w:t>
      </w:r>
      <w:r w:rsidR="00601472">
        <w:rPr>
          <w:rFonts w:ascii="Times New Roman" w:hAnsi="Times New Roman"/>
        </w:rPr>
        <w:t>T</w:t>
      </w:r>
      <w:r w:rsidR="003E47F8" w:rsidRPr="007C7E34">
        <w:rPr>
          <w:rFonts w:ascii="Times New Roman" w:hAnsi="Times New Roman"/>
        </w:rPr>
        <w:t xml:space="preserve">he average annual </w:t>
      </w:r>
      <w:r w:rsidR="003E47F8">
        <w:rPr>
          <w:rFonts w:ascii="Times New Roman" w:hAnsi="Times New Roman"/>
        </w:rPr>
        <w:t>labor costs</w:t>
      </w:r>
      <w:r w:rsidR="003E47F8" w:rsidRPr="007C7E34">
        <w:rPr>
          <w:rFonts w:ascii="Times New Roman" w:hAnsi="Times New Roman"/>
        </w:rPr>
        <w:t xml:space="preserve"> to industry over the </w:t>
      </w:r>
      <w:r w:rsidR="003E47F8">
        <w:rPr>
          <w:rFonts w:ascii="Times New Roman" w:hAnsi="Times New Roman"/>
        </w:rPr>
        <w:t>3-</w:t>
      </w:r>
      <w:r w:rsidR="003E47F8" w:rsidRPr="007C7E34">
        <w:rPr>
          <w:rFonts w:ascii="Times New Roman" w:hAnsi="Times New Roman"/>
        </w:rPr>
        <w:t>year</w:t>
      </w:r>
      <w:r w:rsidR="003E47F8">
        <w:rPr>
          <w:rFonts w:ascii="Times New Roman" w:hAnsi="Times New Roman"/>
        </w:rPr>
        <w:t xml:space="preserve"> period of this ICR</w:t>
      </w:r>
      <w:r w:rsidR="006E47DC">
        <w:rPr>
          <w:rFonts w:ascii="Times New Roman" w:hAnsi="Times New Roman"/>
        </w:rPr>
        <w:t xml:space="preserve"> are</w:t>
      </w:r>
      <w:r w:rsidR="003E47F8" w:rsidRPr="007C7E34">
        <w:rPr>
          <w:rFonts w:ascii="Times New Roman" w:hAnsi="Times New Roman"/>
        </w:rPr>
        <w:t xml:space="preserve"> estimated to </w:t>
      </w:r>
      <w:r w:rsidR="003E47F8" w:rsidRPr="008403BE">
        <w:rPr>
          <w:rFonts w:ascii="Times New Roman" w:hAnsi="Times New Roman"/>
        </w:rPr>
        <w:t>be</w:t>
      </w:r>
      <w:r w:rsidR="003E47F8" w:rsidRPr="00E87EC5">
        <w:rPr>
          <w:rFonts w:ascii="Times New Roman" w:hAnsi="Times New Roman"/>
        </w:rPr>
        <w:t xml:space="preserve"> </w:t>
      </w:r>
      <w:r w:rsidR="003E47F8">
        <w:rPr>
          <w:rFonts w:ascii="Times New Roman" w:hAnsi="Times New Roman"/>
        </w:rPr>
        <w:t>$15,570 per year.</w:t>
      </w:r>
    </w:p>
    <w:p w:rsidR="00F57C07" w:rsidRPr="0068644D" w:rsidRDefault="00F57C07" w:rsidP="00F57C07">
      <w:pPr>
        <w:pStyle w:val="Heading2"/>
        <w:rPr>
          <w:i/>
          <w:iCs w:val="0"/>
        </w:rPr>
      </w:pPr>
      <w:r w:rsidRPr="0068644D">
        <w:rPr>
          <w:i/>
          <w:iCs w:val="0"/>
        </w:rPr>
        <w:t>(e)</w:t>
      </w:r>
      <w:r w:rsidRPr="0068644D">
        <w:rPr>
          <w:i/>
          <w:iCs w:val="0"/>
        </w:rPr>
        <w:tab/>
        <w:t>Bottom Line Burden Hours and Cost Tables</w:t>
      </w:r>
    </w:p>
    <w:p w:rsidR="00F57C07" w:rsidRDefault="006E47DC" w:rsidP="00F57C07">
      <w:pPr>
        <w:pStyle w:val="Para"/>
        <w:rPr>
          <w:rFonts w:ascii="Times New Roman" w:hAnsi="Times New Roman"/>
        </w:rPr>
      </w:pPr>
      <w:r>
        <w:rPr>
          <w:rFonts w:ascii="Times New Roman" w:hAnsi="Times New Roman"/>
        </w:rPr>
        <w:t>There are no annualized capital costs or O&amp;M costs</w:t>
      </w:r>
      <w:r w:rsidR="00E52B72">
        <w:rPr>
          <w:rFonts w:ascii="Times New Roman" w:hAnsi="Times New Roman"/>
        </w:rPr>
        <w:t xml:space="preserve"> associated with this ICR</w:t>
      </w:r>
      <w:r>
        <w:rPr>
          <w:rFonts w:ascii="Times New Roman" w:hAnsi="Times New Roman"/>
        </w:rPr>
        <w:t xml:space="preserve">. The bottom line </w:t>
      </w:r>
      <w:r w:rsidR="00E52B72">
        <w:rPr>
          <w:rFonts w:ascii="Times New Roman" w:hAnsi="Times New Roman"/>
        </w:rPr>
        <w:t xml:space="preserve">labor </w:t>
      </w:r>
      <w:r>
        <w:rPr>
          <w:rFonts w:ascii="Times New Roman" w:hAnsi="Times New Roman"/>
        </w:rPr>
        <w:t>hours</w:t>
      </w:r>
      <w:r w:rsidR="00E52B72">
        <w:rPr>
          <w:rFonts w:ascii="Times New Roman" w:hAnsi="Times New Roman"/>
        </w:rPr>
        <w:t xml:space="preserve"> and costs </w:t>
      </w:r>
      <w:r w:rsidR="00601472">
        <w:rPr>
          <w:rFonts w:ascii="Times New Roman" w:hAnsi="Times New Roman"/>
        </w:rPr>
        <w:t xml:space="preserve">burden </w:t>
      </w:r>
      <w:r w:rsidR="00E52B72">
        <w:rPr>
          <w:rFonts w:ascii="Times New Roman" w:hAnsi="Times New Roman"/>
        </w:rPr>
        <w:t xml:space="preserve">for each year of the 3-year ICR period </w:t>
      </w:r>
      <w:r w:rsidR="00E52B72" w:rsidRPr="00807DF8">
        <w:rPr>
          <w:rFonts w:ascii="Times New Roman" w:hAnsi="Times New Roman"/>
        </w:rPr>
        <w:t xml:space="preserve">appear in </w:t>
      </w:r>
      <w:r w:rsidR="00E52B72">
        <w:rPr>
          <w:rFonts w:ascii="Times New Roman" w:hAnsi="Times New Roman"/>
        </w:rPr>
        <w:t>Exhibit</w:t>
      </w:r>
      <w:r w:rsidR="00E52B72" w:rsidRPr="00807DF8">
        <w:rPr>
          <w:rFonts w:ascii="Times New Roman" w:hAnsi="Times New Roman"/>
        </w:rPr>
        <w:t xml:space="preserve"> 1a, </w:t>
      </w:r>
      <w:r w:rsidR="00E52B72">
        <w:rPr>
          <w:rFonts w:ascii="Times New Roman" w:hAnsi="Times New Roman"/>
        </w:rPr>
        <w:t xml:space="preserve">Exhibit </w:t>
      </w:r>
      <w:r w:rsidR="00E52B72" w:rsidRPr="00807DF8">
        <w:rPr>
          <w:rFonts w:ascii="Times New Roman" w:hAnsi="Times New Roman"/>
        </w:rPr>
        <w:t xml:space="preserve">1b, and </w:t>
      </w:r>
      <w:r w:rsidR="00E52B72">
        <w:rPr>
          <w:rFonts w:ascii="Times New Roman" w:hAnsi="Times New Roman"/>
        </w:rPr>
        <w:t xml:space="preserve">Exhibit </w:t>
      </w:r>
      <w:r w:rsidR="00E52B72" w:rsidRPr="00807DF8">
        <w:rPr>
          <w:rFonts w:ascii="Times New Roman" w:hAnsi="Times New Roman"/>
        </w:rPr>
        <w:t>1c.</w:t>
      </w:r>
    </w:p>
    <w:p w:rsidR="00F57C07" w:rsidRPr="0068644D" w:rsidRDefault="00F57C07" w:rsidP="00F57C07">
      <w:pPr>
        <w:pStyle w:val="Heading2"/>
        <w:rPr>
          <w:i/>
          <w:iCs w:val="0"/>
        </w:rPr>
      </w:pPr>
      <w:r w:rsidRPr="0068644D">
        <w:rPr>
          <w:i/>
          <w:iCs w:val="0"/>
        </w:rPr>
        <w:t>(f)</w:t>
      </w:r>
      <w:r w:rsidRPr="0068644D">
        <w:rPr>
          <w:i/>
          <w:iCs w:val="0"/>
        </w:rPr>
        <w:tab/>
        <w:t>Reasons for Change in Burden.</w:t>
      </w:r>
    </w:p>
    <w:p w:rsidR="00F57C07" w:rsidRDefault="00F57C07" w:rsidP="00F57C07">
      <w:pPr>
        <w:pStyle w:val="Para"/>
        <w:rPr>
          <w:rFonts w:ascii="Times New Roman" w:hAnsi="Times New Roman"/>
        </w:rPr>
      </w:pPr>
      <w:r w:rsidRPr="00332DD0">
        <w:rPr>
          <w:rFonts w:ascii="Times New Roman" w:hAnsi="Times New Roman"/>
        </w:rPr>
        <w:t>The increase in burden is due to th</w:t>
      </w:r>
      <w:r w:rsidR="00D44132">
        <w:rPr>
          <w:rFonts w:ascii="Times New Roman" w:hAnsi="Times New Roman"/>
        </w:rPr>
        <w:t>is being a new ICR associated with a new subpart</w:t>
      </w:r>
      <w:r w:rsidR="00BC4643">
        <w:rPr>
          <w:rFonts w:ascii="Times New Roman" w:hAnsi="Times New Roman"/>
        </w:rPr>
        <w:t>.</w:t>
      </w:r>
    </w:p>
    <w:p w:rsidR="00F57C07" w:rsidRDefault="00F57C07" w:rsidP="00F57C07">
      <w:pPr>
        <w:pStyle w:val="Para"/>
        <w:rPr>
          <w:rFonts w:ascii="Times New Roman" w:hAnsi="Times New Roman"/>
        </w:rPr>
      </w:pPr>
      <w:r>
        <w:rPr>
          <w:rFonts w:ascii="Times New Roman" w:hAnsi="Times New Roman"/>
        </w:rPr>
        <w:t xml:space="preserve">The </w:t>
      </w:r>
      <w:r w:rsidRPr="00FD19F0">
        <w:rPr>
          <w:rFonts w:ascii="Times New Roman" w:hAnsi="Times New Roman"/>
        </w:rPr>
        <w:t xml:space="preserve">EPA </w:t>
      </w:r>
      <w:r>
        <w:rPr>
          <w:rFonts w:ascii="Times New Roman" w:hAnsi="Times New Roman"/>
        </w:rPr>
        <w:t xml:space="preserve">also </w:t>
      </w:r>
      <w:r w:rsidRPr="00FD19F0">
        <w:rPr>
          <w:rFonts w:ascii="Times New Roman" w:hAnsi="Times New Roman"/>
        </w:rPr>
        <w:t xml:space="preserve">provides an estimate </w:t>
      </w:r>
      <w:r w:rsidR="00603010">
        <w:rPr>
          <w:rFonts w:ascii="Times New Roman" w:hAnsi="Times New Roman"/>
        </w:rPr>
        <w:t xml:space="preserve">of </w:t>
      </w:r>
      <w:r w:rsidRPr="00FD19F0">
        <w:rPr>
          <w:rFonts w:ascii="Times New Roman" w:hAnsi="Times New Roman"/>
        </w:rPr>
        <w:t xml:space="preserve">the costs of the notification, recordkeeping and reporting requirements associated with the assertion of the affirmative defense. </w:t>
      </w:r>
      <w:r>
        <w:rPr>
          <w:rFonts w:ascii="Times New Roman" w:hAnsi="Times New Roman"/>
        </w:rPr>
        <w:t xml:space="preserve">The </w:t>
      </w:r>
      <w:r w:rsidRPr="00FD19F0">
        <w:rPr>
          <w:rFonts w:ascii="Times New Roman" w:hAnsi="Times New Roman"/>
        </w:rPr>
        <w:t xml:space="preserve">EPA’s estimate for the required notification, reports and records, including the root cause analysis, associated with a single incident totals approximately </w:t>
      </w:r>
      <w:r w:rsidRPr="00556B17">
        <w:rPr>
          <w:rFonts w:ascii="Times New Roman" w:hAnsi="Times New Roman"/>
        </w:rPr>
        <w:t>$3,141</w:t>
      </w:r>
      <w:r>
        <w:rPr>
          <w:rFonts w:ascii="Times New Roman" w:hAnsi="Times New Roman"/>
        </w:rPr>
        <w:t xml:space="preserve"> </w:t>
      </w:r>
      <w:r w:rsidRPr="00FD19F0">
        <w:rPr>
          <w:rFonts w:ascii="Times New Roman" w:hAnsi="Times New Roman"/>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w:t>
      </w:r>
      <w:r>
        <w:rPr>
          <w:rFonts w:ascii="Times New Roman" w:hAnsi="Times New Roman"/>
        </w:rPr>
        <w:t xml:space="preserve">the </w:t>
      </w:r>
      <w:r w:rsidRPr="00FD19F0">
        <w:rPr>
          <w:rFonts w:ascii="Times New Roman" w:hAnsi="Times New Roman"/>
        </w:rPr>
        <w:t>EPA. For th</w:t>
      </w:r>
      <w:r w:rsidR="00603010">
        <w:rPr>
          <w:rFonts w:ascii="Times New Roman" w:hAnsi="Times New Roman"/>
        </w:rPr>
        <w:t>is</w:t>
      </w:r>
      <w:r w:rsidRPr="00FD19F0">
        <w:rPr>
          <w:rFonts w:ascii="Times New Roman" w:hAnsi="Times New Roman"/>
        </w:rPr>
        <w:t xml:space="preserve"> </w:t>
      </w:r>
      <w:r w:rsidR="00603010">
        <w:rPr>
          <w:rFonts w:ascii="Times New Roman" w:hAnsi="Times New Roman"/>
        </w:rPr>
        <w:t>ICR</w:t>
      </w:r>
      <w:r w:rsidRPr="00FD19F0">
        <w:rPr>
          <w:rFonts w:ascii="Times New Roman" w:hAnsi="Times New Roman"/>
        </w:rPr>
        <w:t xml:space="preserve">, </w:t>
      </w:r>
      <w:r>
        <w:rPr>
          <w:rFonts w:ascii="Times New Roman" w:hAnsi="Times New Roman"/>
        </w:rPr>
        <w:t xml:space="preserve">the </w:t>
      </w:r>
      <w:r w:rsidRPr="00FD19F0">
        <w:rPr>
          <w:rFonts w:ascii="Times New Roman" w:hAnsi="Times New Roman"/>
        </w:rPr>
        <w:t xml:space="preserve">EPA is </w:t>
      </w:r>
      <w:r w:rsidR="00603010">
        <w:rPr>
          <w:rFonts w:ascii="Times New Roman" w:hAnsi="Times New Roman"/>
        </w:rPr>
        <w:t>estimating that there will no</w:t>
      </w:r>
      <w:r w:rsidRPr="00FD19F0">
        <w:rPr>
          <w:rFonts w:ascii="Times New Roman" w:hAnsi="Times New Roman"/>
        </w:rPr>
        <w:t xml:space="preserve"> instances of affirmative defense over </w:t>
      </w:r>
      <w:r w:rsidR="00603010">
        <w:rPr>
          <w:rFonts w:ascii="Times New Roman" w:hAnsi="Times New Roman"/>
        </w:rPr>
        <w:t>the</w:t>
      </w:r>
      <w:r w:rsidRPr="00FD19F0">
        <w:rPr>
          <w:rFonts w:ascii="Times New Roman" w:hAnsi="Times New Roman"/>
        </w:rPr>
        <w:t xml:space="preserve"> </w:t>
      </w:r>
      <w:r w:rsidR="00BC4643">
        <w:rPr>
          <w:rFonts w:ascii="Times New Roman" w:hAnsi="Times New Roman"/>
        </w:rPr>
        <w:t>3</w:t>
      </w:r>
      <w:r w:rsidR="00603010">
        <w:rPr>
          <w:rFonts w:ascii="Times New Roman" w:hAnsi="Times New Roman"/>
        </w:rPr>
        <w:t>-</w:t>
      </w:r>
      <w:r w:rsidRPr="00FD19F0">
        <w:rPr>
          <w:rFonts w:ascii="Times New Roman" w:hAnsi="Times New Roman"/>
        </w:rPr>
        <w:t xml:space="preserve">year </w:t>
      </w:r>
      <w:r w:rsidR="00603010">
        <w:rPr>
          <w:rFonts w:ascii="Times New Roman" w:hAnsi="Times New Roman"/>
        </w:rPr>
        <w:t xml:space="preserve">ICR </w:t>
      </w:r>
      <w:r w:rsidRPr="00FD19F0">
        <w:rPr>
          <w:rFonts w:ascii="Times New Roman" w:hAnsi="Times New Roman"/>
        </w:rPr>
        <w:t>period.</w:t>
      </w:r>
      <w:r>
        <w:rPr>
          <w:rFonts w:ascii="Times New Roman" w:hAnsi="Times New Roman"/>
        </w:rPr>
        <w:t xml:space="preserve"> The </w:t>
      </w:r>
      <w:r w:rsidRPr="00FD19F0">
        <w:rPr>
          <w:rFonts w:ascii="Times New Roman" w:hAnsi="Times New Roman"/>
        </w:rPr>
        <w:t xml:space="preserve">EPA is using this </w:t>
      </w:r>
      <w:r w:rsidR="00603010">
        <w:rPr>
          <w:rFonts w:ascii="Times New Roman" w:hAnsi="Times New Roman"/>
        </w:rPr>
        <w:t>estimate of no</w:t>
      </w:r>
      <w:r w:rsidRPr="00FD19F0">
        <w:rPr>
          <w:rFonts w:ascii="Times New Roman" w:hAnsi="Times New Roman"/>
        </w:rPr>
        <w:t xml:space="preserve"> events in </w:t>
      </w:r>
      <w:r>
        <w:rPr>
          <w:rFonts w:ascii="Times New Roman" w:hAnsi="Times New Roman"/>
        </w:rPr>
        <w:t>3</w:t>
      </w:r>
      <w:r w:rsidRPr="00FD19F0">
        <w:rPr>
          <w:rFonts w:ascii="Times New Roman" w:hAnsi="Times New Roman"/>
        </w:rPr>
        <w:t xml:space="preserve"> years, because of the number of </w:t>
      </w:r>
      <w:r w:rsidRPr="00FD19F0">
        <w:rPr>
          <w:rFonts w:ascii="Times New Roman" w:hAnsi="Times New Roman"/>
        </w:rPr>
        <w:lastRenderedPageBreak/>
        <w:t>excess emission events reported by source operators, only a small number would be expected to result from a malfunction, and only a subset of excess emissions caused by malfunctions would result in the source choosing to a</w:t>
      </w:r>
      <w:r>
        <w:rPr>
          <w:rFonts w:ascii="Times New Roman" w:hAnsi="Times New Roman"/>
        </w:rPr>
        <w:t xml:space="preserve">ssert the affirmative defense. </w:t>
      </w:r>
      <w:r w:rsidR="00603010">
        <w:rPr>
          <w:rFonts w:ascii="Times New Roman" w:hAnsi="Times New Roman"/>
        </w:rPr>
        <w:t xml:space="preserve">We estimate that 17 new </w:t>
      </w:r>
      <w:r w:rsidR="00964312">
        <w:rPr>
          <w:rFonts w:ascii="Times New Roman" w:hAnsi="Times New Roman"/>
        </w:rPr>
        <w:t xml:space="preserve">affected </w:t>
      </w:r>
      <w:r w:rsidR="00603010">
        <w:rPr>
          <w:rFonts w:ascii="Times New Roman" w:hAnsi="Times New Roman"/>
        </w:rPr>
        <w:t>NGCC units would commence operation during the 3-year ICR period and</w:t>
      </w:r>
      <w:r w:rsidRPr="00FD19F0">
        <w:rPr>
          <w:rFonts w:ascii="Times New Roman" w:hAnsi="Times New Roman"/>
        </w:rPr>
        <w:t xml:space="preserve"> believe </w:t>
      </w:r>
      <w:r w:rsidR="00603010">
        <w:rPr>
          <w:rFonts w:ascii="Times New Roman" w:hAnsi="Times New Roman"/>
        </w:rPr>
        <w:t>that there would be no</w:t>
      </w:r>
      <w:r w:rsidRPr="00FD19F0">
        <w:rPr>
          <w:rFonts w:ascii="Times New Roman" w:hAnsi="Times New Roman"/>
        </w:rPr>
        <w:t xml:space="preserve"> instances in which source operators might be expected to avail themselves of the affirmative defense.</w:t>
      </w:r>
    </w:p>
    <w:p w:rsidR="00F57C07" w:rsidRPr="0068644D" w:rsidRDefault="00F57C07" w:rsidP="00F57C07">
      <w:pPr>
        <w:pStyle w:val="Heading2"/>
        <w:ind w:left="0" w:firstLine="0"/>
        <w:rPr>
          <w:i/>
          <w:iCs w:val="0"/>
        </w:rPr>
      </w:pPr>
      <w:r w:rsidRPr="0068644D">
        <w:rPr>
          <w:i/>
          <w:iCs w:val="0"/>
        </w:rPr>
        <w:t>(g)</w:t>
      </w:r>
      <w:r w:rsidRPr="0068644D">
        <w:rPr>
          <w:i/>
          <w:iCs w:val="0"/>
        </w:rPr>
        <w:tab/>
        <w:t>Burden Statement</w:t>
      </w:r>
    </w:p>
    <w:p w:rsidR="00F57C07" w:rsidRDefault="00F57C07" w:rsidP="00E52B72">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 xml:space="preserve">public reporting and recordkeeping burden for this collection of information is estimated to average </w:t>
      </w:r>
      <w:r w:rsidR="006F7F85">
        <w:rPr>
          <w:rFonts w:ascii="Times New Roman" w:hAnsi="Times New Roman"/>
        </w:rPr>
        <w:t>8.25</w:t>
      </w:r>
      <w:r w:rsidRPr="005E01D7">
        <w:rPr>
          <w:rFonts w:ascii="Times New Roman" w:hAnsi="Times New Roman"/>
        </w:rPr>
        <w:t xml:space="preserve"> hours per response. </w:t>
      </w:r>
      <w:r w:rsidR="00E52B72">
        <w:rPr>
          <w:rFonts w:ascii="Times New Roman" w:hAnsi="Times New Roman"/>
        </w:rPr>
        <w:t>T</w:t>
      </w:r>
      <w:r w:rsidR="00E52B72" w:rsidRPr="005E01D7">
        <w:rPr>
          <w:rFonts w:ascii="Times New Roman" w:hAnsi="Times New Roman"/>
        </w:rPr>
        <w:t xml:space="preserve">he </w:t>
      </w:r>
      <w:r w:rsidR="00E52B72">
        <w:rPr>
          <w:rFonts w:ascii="Times New Roman" w:hAnsi="Times New Roman"/>
        </w:rPr>
        <w:t xml:space="preserve">average </w:t>
      </w:r>
      <w:r w:rsidR="00E52B72" w:rsidRPr="005E01D7">
        <w:rPr>
          <w:rFonts w:ascii="Times New Roman" w:hAnsi="Times New Roman"/>
        </w:rPr>
        <w:t xml:space="preserve">annual </w:t>
      </w:r>
      <w:r w:rsidR="00E52B72">
        <w:rPr>
          <w:rFonts w:ascii="Times New Roman" w:hAnsi="Times New Roman"/>
        </w:rPr>
        <w:t>labor</w:t>
      </w:r>
      <w:r w:rsidR="00762A90">
        <w:rPr>
          <w:rFonts w:ascii="Times New Roman" w:hAnsi="Times New Roman"/>
        </w:rPr>
        <w:t>-</w:t>
      </w:r>
      <w:r w:rsidR="00E52B72">
        <w:rPr>
          <w:rFonts w:ascii="Times New Roman" w:hAnsi="Times New Roman"/>
        </w:rPr>
        <w:t xml:space="preserve">hour </w:t>
      </w:r>
      <w:r w:rsidR="00E52B72" w:rsidRPr="005E01D7">
        <w:rPr>
          <w:rFonts w:ascii="Times New Roman" w:hAnsi="Times New Roman"/>
        </w:rPr>
        <w:t xml:space="preserve">burden for the rule </w:t>
      </w:r>
      <w:r w:rsidR="00E52B72">
        <w:rPr>
          <w:rFonts w:ascii="Times New Roman" w:hAnsi="Times New Roman"/>
        </w:rPr>
        <w:t>is estimated to</w:t>
      </w:r>
      <w:r w:rsidR="00E52B72" w:rsidRPr="005E01D7">
        <w:rPr>
          <w:rFonts w:ascii="Times New Roman" w:hAnsi="Times New Roman"/>
        </w:rPr>
        <w:t xml:space="preserve"> be </w:t>
      </w:r>
      <w:r w:rsidR="00E52B72">
        <w:rPr>
          <w:rFonts w:ascii="Times New Roman" w:hAnsi="Times New Roman"/>
        </w:rPr>
        <w:t>396</w:t>
      </w:r>
      <w:r w:rsidR="00E52B72" w:rsidRPr="005E01D7">
        <w:rPr>
          <w:rFonts w:ascii="Times New Roman" w:hAnsi="Times New Roman"/>
        </w:rPr>
        <w:t xml:space="preserve"> person hours</w:t>
      </w:r>
      <w:r w:rsidR="00E52B72">
        <w:rPr>
          <w:rFonts w:ascii="Times New Roman" w:hAnsi="Times New Roman"/>
        </w:rPr>
        <w:t xml:space="preserve"> per year and t</w:t>
      </w:r>
      <w:r w:rsidR="00E52B72" w:rsidRPr="007C7E34">
        <w:rPr>
          <w:rFonts w:ascii="Times New Roman" w:hAnsi="Times New Roman"/>
        </w:rPr>
        <w:t xml:space="preserve">he average annual </w:t>
      </w:r>
      <w:r w:rsidR="00E52B72">
        <w:rPr>
          <w:rFonts w:ascii="Times New Roman" w:hAnsi="Times New Roman"/>
        </w:rPr>
        <w:t>labor costs</w:t>
      </w:r>
      <w:r w:rsidR="00E52B72" w:rsidRPr="007C7E34">
        <w:rPr>
          <w:rFonts w:ascii="Times New Roman" w:hAnsi="Times New Roman"/>
        </w:rPr>
        <w:t xml:space="preserve"> </w:t>
      </w:r>
      <w:r w:rsidR="00E52B72">
        <w:rPr>
          <w:rFonts w:ascii="Times New Roman" w:hAnsi="Times New Roman"/>
        </w:rPr>
        <w:t>are</w:t>
      </w:r>
      <w:r w:rsidR="00E52B72" w:rsidRPr="007C7E34">
        <w:rPr>
          <w:rFonts w:ascii="Times New Roman" w:hAnsi="Times New Roman"/>
        </w:rPr>
        <w:t xml:space="preserve"> estimated to </w:t>
      </w:r>
      <w:r w:rsidR="00E52B72" w:rsidRPr="008403BE">
        <w:rPr>
          <w:rFonts w:ascii="Times New Roman" w:hAnsi="Times New Roman"/>
        </w:rPr>
        <w:t>be</w:t>
      </w:r>
      <w:r w:rsidR="00E52B72" w:rsidRPr="00E87EC5">
        <w:rPr>
          <w:rFonts w:ascii="Times New Roman" w:hAnsi="Times New Roman"/>
        </w:rPr>
        <w:t xml:space="preserve"> </w:t>
      </w:r>
      <w:r w:rsidR="00E52B72">
        <w:rPr>
          <w:rFonts w:ascii="Times New Roman" w:hAnsi="Times New Roman"/>
        </w:rPr>
        <w:t xml:space="preserve">$15,570 per year. There are no annualized capital costs or O&amp;M costs associated with this ICR. </w:t>
      </w:r>
      <w:r w:rsidRPr="005E01D7">
        <w:rPr>
          <w:rFonts w:ascii="Times New Roman" w:hAnsi="Times New Roman"/>
        </w:rPr>
        <w:t>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Federal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7C07" w:rsidRPr="007C7E34" w:rsidRDefault="00F57C07" w:rsidP="00F57C0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sidR="001B5E6D">
        <w:rPr>
          <w:rFonts w:ascii="Times New Roman" w:hAnsi="Times New Roman"/>
        </w:rPr>
        <w:t>0</w:t>
      </w:r>
      <w:r w:rsidRPr="007C7E34">
        <w:rPr>
          <w:rFonts w:ascii="Times New Roman" w:hAnsi="Times New Roman"/>
        </w:rPr>
        <w:t xml:space="preserve"> are listed in 40 CFR part 9.</w:t>
      </w:r>
    </w:p>
    <w:p w:rsidR="00F57C07" w:rsidRPr="007C7E34" w:rsidRDefault="00F57C07" w:rsidP="00F57C07">
      <w:pPr>
        <w:pStyle w:val="Para"/>
        <w:rPr>
          <w:rFonts w:ascii="Times New Roman" w:hAnsi="Times New Roman"/>
        </w:rPr>
      </w:pPr>
      <w:r w:rsidRPr="007C7E34">
        <w:rPr>
          <w:rFonts w:ascii="Times New Roman" w:hAnsi="Times New Roman"/>
        </w:rPr>
        <w:t xml:space="preserve">To comment on the </w:t>
      </w:r>
      <w:r w:rsidR="00BC4643">
        <w:rPr>
          <w:rFonts w:ascii="Times New Roman" w:hAnsi="Times New Roman"/>
        </w:rPr>
        <w:t>a</w:t>
      </w:r>
      <w:r w:rsidRPr="007C7E34">
        <w:rPr>
          <w:rFonts w:ascii="Times New Roman" w:hAnsi="Times New Roman"/>
        </w:rPr>
        <w:t xml:space="preserve">gency's need for this information, the accuracy of the provided burden estimates, and any suggested methods for minimizing respondent burden, including the use of automated collection techniques, </w:t>
      </w:r>
      <w:r w:rsidR="00BC4643">
        <w:rPr>
          <w:rFonts w:ascii="Times New Roman" w:hAnsi="Times New Roman"/>
        </w:rPr>
        <w:t xml:space="preserve">the </w:t>
      </w:r>
      <w:r w:rsidRPr="007C7E34">
        <w:rPr>
          <w:rFonts w:ascii="Times New Roman" w:hAnsi="Times New Roman"/>
        </w:rPr>
        <w:t xml:space="preserve">EPA has established a public docket for this ICR under </w:t>
      </w:r>
      <w:r w:rsidRPr="000F3B39">
        <w:rPr>
          <w:rFonts w:ascii="Times New Roman" w:hAnsi="Times New Roman"/>
        </w:rPr>
        <w:t>Docket ID Number EPA-HQ-OAR-20</w:t>
      </w:r>
      <w:r w:rsidR="001B5E6D">
        <w:rPr>
          <w:rFonts w:ascii="Times New Roman" w:hAnsi="Times New Roman"/>
        </w:rPr>
        <w:t>11</w:t>
      </w:r>
      <w:r w:rsidRPr="000F3B39">
        <w:rPr>
          <w:rFonts w:ascii="Times New Roman" w:hAnsi="Times New Roman"/>
        </w:rPr>
        <w:t>-0</w:t>
      </w:r>
      <w:r w:rsidR="001B5E6D">
        <w:rPr>
          <w:rFonts w:ascii="Times New Roman" w:hAnsi="Times New Roman"/>
        </w:rPr>
        <w:t>660</w:t>
      </w:r>
      <w:r w:rsidRPr="007C7E34">
        <w:rPr>
          <w:rFonts w:ascii="Times New Roman" w:hAnsi="Times New Roman"/>
        </w:rPr>
        <w:t>, which is available for online viewing at www.regulations.gov, or in person viewing at the Air and Radiation Docket and Information Center in the EPA Docket Center (EPA/DC), EPA West, Room B102, 1301 Constitution Avenue, NW, Washington, D.C. The EPA Docket Center Public Reading Room is open from 8:30 a.m. to 4:30 p.m., Monday through Friday, excluding legal holidays</w:t>
      </w:r>
      <w:r>
        <w:rPr>
          <w:rFonts w:ascii="Times New Roman" w:hAnsi="Times New Roman"/>
        </w:rPr>
        <w:t xml:space="preserve">. </w:t>
      </w:r>
      <w:r w:rsidRPr="007C7E34">
        <w:rPr>
          <w:rFonts w:ascii="Times New Roman" w:hAnsi="Times New Roman"/>
        </w:rPr>
        <w:t>The telephone number for the Reading Room is (202) 566-1744, and the telephone number for the Air and Radiation Docket and Information Center is (202) 566-1742</w:t>
      </w:r>
      <w:r>
        <w:rPr>
          <w:rFonts w:ascii="Times New Roman" w:hAnsi="Times New Roman"/>
        </w:rPr>
        <w:t xml:space="preserve">. </w:t>
      </w:r>
      <w:r w:rsidRPr="007C7E34">
        <w:rPr>
          <w:rFonts w:ascii="Times New Roman" w:hAnsi="Times New Roman"/>
        </w:rPr>
        <w:t>An electronic version of the public docket is available at www.regulations.gov</w:t>
      </w:r>
      <w:r>
        <w:rPr>
          <w:rFonts w:ascii="Times New Roman" w:hAnsi="Times New Roman"/>
        </w:rPr>
        <w:t xml:space="preserve">. </w:t>
      </w:r>
      <w:r w:rsidRPr="007C7E34">
        <w:rPr>
          <w:rFonts w:ascii="Times New Roman" w:hAnsi="Times New Roman"/>
        </w:rPr>
        <w:t>This site can be used to submit or view public comments, access the index listing of the contents of the public docket, and to access those documents in the public docket that are available electronically</w:t>
      </w:r>
      <w:r>
        <w:rPr>
          <w:rFonts w:ascii="Times New Roman" w:hAnsi="Times New Roman"/>
        </w:rPr>
        <w:t xml:space="preserve">. </w:t>
      </w:r>
      <w:r w:rsidRPr="007C7E34">
        <w:rPr>
          <w:rFonts w:ascii="Times New Roman" w:hAnsi="Times New Roman"/>
        </w:rPr>
        <w:t>When in the system, select “search,” then key in the Docket ID Number identified above</w:t>
      </w:r>
      <w:r>
        <w:rPr>
          <w:rFonts w:ascii="Times New Roman" w:hAnsi="Times New Roman"/>
        </w:rPr>
        <w:t xml:space="preserve">. </w:t>
      </w:r>
      <w:r w:rsidRPr="007C7E34">
        <w:rPr>
          <w:rFonts w:ascii="Times New Roman" w:hAnsi="Times New Roman"/>
        </w:rPr>
        <w:t>Also, you can send comments to the Office of Information and Regulatory Affairs, Office of Management and Budget, 725 17th Street, NW, Washington, D.C. 20503, Attention: Desk Officer for EPA</w:t>
      </w:r>
      <w:r>
        <w:rPr>
          <w:rFonts w:ascii="Times New Roman" w:hAnsi="Times New Roman"/>
        </w:rPr>
        <w:t xml:space="preserve">. </w:t>
      </w:r>
      <w:r w:rsidRPr="007C7E34">
        <w:rPr>
          <w:rFonts w:ascii="Times New Roman" w:hAnsi="Times New Roman"/>
        </w:rPr>
        <w:t>Please include the EPA Docket ID Number EPA-HQ-OAR-20</w:t>
      </w:r>
      <w:r w:rsidR="001B16B8">
        <w:rPr>
          <w:rFonts w:ascii="Times New Roman" w:hAnsi="Times New Roman"/>
        </w:rPr>
        <w:t>11</w:t>
      </w:r>
      <w:r w:rsidRPr="007C7E34">
        <w:rPr>
          <w:rFonts w:ascii="Times New Roman" w:hAnsi="Times New Roman"/>
        </w:rPr>
        <w:t>-0</w:t>
      </w:r>
      <w:r w:rsidR="001B16B8">
        <w:rPr>
          <w:rFonts w:ascii="Times New Roman" w:hAnsi="Times New Roman"/>
        </w:rPr>
        <w:t>660</w:t>
      </w:r>
      <w:r>
        <w:rPr>
          <w:rFonts w:ascii="Times New Roman" w:hAnsi="Times New Roman"/>
        </w:rPr>
        <w:t xml:space="preserve"> </w:t>
      </w:r>
      <w:r w:rsidRPr="007C7E34">
        <w:rPr>
          <w:rFonts w:ascii="Times New Roman" w:hAnsi="Times New Roman"/>
        </w:rPr>
        <w:t>in any correspondence.</w:t>
      </w:r>
    </w:p>
    <w:p w:rsidR="00F57C07" w:rsidRPr="007C7E34" w:rsidRDefault="00F57C07" w:rsidP="00F57C07">
      <w:pPr>
        <w:pStyle w:val="Heading1"/>
      </w:pPr>
      <w:r w:rsidRPr="007C7E34">
        <w:t>PART B</w:t>
      </w:r>
    </w:p>
    <w:p w:rsidR="00F57C07" w:rsidRDefault="00F57C07" w:rsidP="00F57C07">
      <w:pPr>
        <w:pStyle w:val="Para"/>
        <w:rPr>
          <w:rFonts w:ascii="Times New Roman" w:hAnsi="Times New Roman"/>
        </w:rPr>
      </w:pPr>
      <w:r w:rsidRPr="007C7E34">
        <w:rPr>
          <w:rFonts w:ascii="Times New Roman" w:hAnsi="Times New Roman"/>
        </w:rPr>
        <w:t>This section is not applicable because statistical methods are not used in data collection associated with the final amendments.</w:t>
      </w:r>
      <w:r>
        <w:rPr>
          <w:rFonts w:ascii="Times New Roman" w:hAnsi="Times New Roman"/>
        </w:rPr>
        <w:br w:type="page"/>
      </w:r>
    </w:p>
    <w:p w:rsidR="00F57C07" w:rsidRDefault="00F57C07" w:rsidP="00F57C07">
      <w:pPr>
        <w:jc w:val="center"/>
        <w:rPr>
          <w:rFonts w:ascii="Times New Roman" w:hAnsi="Times New Roman"/>
        </w:rPr>
      </w:pPr>
      <w:r>
        <w:rPr>
          <w:rFonts w:ascii="Times New Roman" w:hAnsi="Times New Roman"/>
        </w:rPr>
        <w:lastRenderedPageBreak/>
        <w:t>ATTACHMENTS</w:t>
      </w:r>
    </w:p>
    <w:p w:rsidR="00F57C07" w:rsidRDefault="00F57C07" w:rsidP="00F57C07">
      <w:pPr>
        <w:rPr>
          <w:rFonts w:ascii="Times New Roman" w:hAnsi="Times New Roman"/>
        </w:rPr>
      </w:pPr>
    </w:p>
    <w:p w:rsidR="00F57C07" w:rsidRDefault="00F57C07" w:rsidP="00F57C07">
      <w:pPr>
        <w:rPr>
          <w:rFonts w:ascii="Times New Roman" w:hAnsi="Times New Roman"/>
        </w:rPr>
      </w:pPr>
    </w:p>
    <w:p w:rsidR="00F57C07" w:rsidRDefault="00F57C07" w:rsidP="00F57C07">
      <w:pPr>
        <w:rPr>
          <w:rFonts w:ascii="Times New Roman" w:hAnsi="Times New Roman"/>
        </w:rPr>
      </w:pPr>
      <w:r>
        <w:rPr>
          <w:rFonts w:ascii="Times New Roman" w:hAnsi="Times New Roman"/>
        </w:rPr>
        <w:t xml:space="preserve">Exhibit 1a. </w:t>
      </w:r>
      <w:r w:rsidRPr="002D24E2">
        <w:rPr>
          <w:rFonts w:ascii="Times New Roman" w:hAnsi="Times New Roman"/>
        </w:rPr>
        <w:t>Year 1 Respondent Burden of Reporting and Recordkeeping Requirements, N</w:t>
      </w:r>
      <w:r w:rsidR="001B5E6D">
        <w:rPr>
          <w:rFonts w:ascii="Times New Roman" w:hAnsi="Times New Roman"/>
        </w:rPr>
        <w:t>SPS</w:t>
      </w:r>
      <w:r w:rsidRPr="002D24E2">
        <w:rPr>
          <w:rFonts w:ascii="Times New Roman" w:hAnsi="Times New Roman"/>
        </w:rPr>
        <w:t xml:space="preserve"> for</w:t>
      </w:r>
      <w:r w:rsidR="001B5E6D">
        <w:rPr>
          <w:rFonts w:ascii="Times New Roman" w:hAnsi="Times New Roman"/>
        </w:rPr>
        <w:t xml:space="preserve"> GHG Emissions for</w:t>
      </w:r>
      <w:r w:rsidRPr="002D24E2">
        <w:rPr>
          <w:rFonts w:ascii="Times New Roman" w:hAnsi="Times New Roman"/>
        </w:rPr>
        <w:t xml:space="preserve"> E</w:t>
      </w:r>
      <w:r w:rsidR="001B5E6D">
        <w:rPr>
          <w:rFonts w:ascii="Times New Roman" w:hAnsi="Times New Roman"/>
        </w:rPr>
        <w:t>GUs</w:t>
      </w:r>
      <w:r w:rsidRPr="002D24E2">
        <w:rPr>
          <w:rFonts w:ascii="Times New Roman" w:hAnsi="Times New Roman"/>
        </w:rPr>
        <w:t xml:space="preserve"> (40 CFR part 6</w:t>
      </w:r>
      <w:r w:rsidR="001B5E6D">
        <w:rPr>
          <w:rFonts w:ascii="Times New Roman" w:hAnsi="Times New Roman"/>
        </w:rPr>
        <w:t>0</w:t>
      </w:r>
      <w:r w:rsidRPr="002D24E2">
        <w:rPr>
          <w:rFonts w:ascii="Times New Roman" w:hAnsi="Times New Roman"/>
        </w:rPr>
        <w:t xml:space="preserve">, subpart </w:t>
      </w:r>
      <w:r w:rsidR="001B5E6D">
        <w:rPr>
          <w:rFonts w:ascii="Times New Roman" w:hAnsi="Times New Roman"/>
        </w:rPr>
        <w:t>TTTT</w:t>
      </w:r>
      <w:r w:rsidRPr="002D24E2">
        <w:rPr>
          <w:rFonts w:ascii="Times New Roman" w:hAnsi="Times New Roman"/>
        </w:rPr>
        <w:t>)</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1b.</w:t>
      </w:r>
      <w:r w:rsidRPr="002D24E2">
        <w:rPr>
          <w:rFonts w:ascii="Times New Roman" w:hAnsi="Times New Roman"/>
        </w:rPr>
        <w:t xml:space="preserve"> Year </w:t>
      </w:r>
      <w:r>
        <w:rPr>
          <w:rFonts w:ascii="Times New Roman" w:hAnsi="Times New Roman"/>
        </w:rPr>
        <w:t>2</w:t>
      </w:r>
      <w:r w:rsidRPr="002D24E2">
        <w:rPr>
          <w:rFonts w:ascii="Times New Roman" w:hAnsi="Times New Roman"/>
        </w:rPr>
        <w:t xml:space="preserve">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F57C07" w:rsidRDefault="00F57C07" w:rsidP="00F57C07">
      <w:pPr>
        <w:rPr>
          <w:rFonts w:ascii="Times New Roman" w:hAnsi="Times New Roman"/>
        </w:rPr>
      </w:pPr>
    </w:p>
    <w:p w:rsidR="00F57C07" w:rsidRPr="002D24E2" w:rsidRDefault="00F57C07" w:rsidP="00F57C07">
      <w:pPr>
        <w:rPr>
          <w:rFonts w:ascii="Times New Roman" w:hAnsi="Times New Roman"/>
        </w:rPr>
      </w:pPr>
      <w:r w:rsidRPr="002D24E2">
        <w:rPr>
          <w:rFonts w:ascii="Times New Roman" w:hAnsi="Times New Roman"/>
        </w:rPr>
        <w:t>Exhibit</w:t>
      </w:r>
      <w:r>
        <w:rPr>
          <w:rFonts w:ascii="Times New Roman" w:hAnsi="Times New Roman"/>
        </w:rPr>
        <w:t xml:space="preserve"> 1c. Year 3</w:t>
      </w:r>
      <w:r w:rsidRPr="002D24E2">
        <w:rPr>
          <w:rFonts w:ascii="Times New Roman" w:hAnsi="Times New Roman"/>
        </w:rPr>
        <w:t xml:space="preserve">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2D24E2" w:rsidRDefault="002D24E2" w:rsidP="00593F37">
      <w:pPr>
        <w:rPr>
          <w:rFonts w:ascii="Times New Roman" w:hAnsi="Times New Roman"/>
        </w:rPr>
      </w:pPr>
    </w:p>
    <w:p w:rsidR="002D24E2" w:rsidRPr="00640B02" w:rsidRDefault="002D24E2" w:rsidP="00593F37">
      <w:pPr>
        <w:rPr>
          <w:rFonts w:ascii="Times New Roman" w:hAnsi="Times New Roman"/>
        </w:rPr>
        <w:sectPr w:rsidR="002D24E2" w:rsidRPr="00640B02" w:rsidSect="00F773E1">
          <w:footerReference w:type="default" r:id="rId9"/>
          <w:pgSz w:w="12240" w:h="15840"/>
          <w:pgMar w:top="1440" w:right="1440" w:bottom="1440" w:left="1440" w:header="720" w:footer="720" w:gutter="0"/>
          <w:cols w:space="720"/>
          <w:docGrid w:linePitch="360"/>
        </w:sectPr>
      </w:pPr>
    </w:p>
    <w:p w:rsidR="00F11CCB" w:rsidRPr="00640B02" w:rsidRDefault="008403BE" w:rsidP="00BB591A">
      <w:pPr>
        <w:pStyle w:val="ExhibitTitle"/>
        <w:jc w:val="center"/>
        <w:rPr>
          <w:rFonts w:ascii="Times New Roman" w:hAnsi="Times New Roman"/>
        </w:rPr>
      </w:pPr>
      <w:r>
        <w:rPr>
          <w:rFonts w:ascii="Times New Roman" w:hAnsi="Times New Roman"/>
        </w:rPr>
        <w:lastRenderedPageBreak/>
        <w:t>Exhibit</w:t>
      </w:r>
      <w:r w:rsidRPr="00640B02">
        <w:rPr>
          <w:rFonts w:ascii="Times New Roman" w:hAnsi="Times New Roman"/>
        </w:rPr>
        <w:t xml:space="preserve"> </w:t>
      </w:r>
      <w:r w:rsidR="00F11CCB" w:rsidRPr="00640B02">
        <w:rPr>
          <w:rFonts w:ascii="Times New Roman" w:hAnsi="Times New Roman"/>
        </w:rPr>
        <w:t>1a</w:t>
      </w:r>
      <w:r w:rsidR="00C81012">
        <w:rPr>
          <w:rFonts w:ascii="Times New Roman" w:hAnsi="Times New Roman"/>
        </w:rPr>
        <w:t>.</w:t>
      </w:r>
      <w:r w:rsidR="00F11CCB" w:rsidRPr="00640B02">
        <w:rPr>
          <w:rFonts w:ascii="Times New Roman" w:hAnsi="Times New Roman"/>
        </w:rPr>
        <w:tab/>
      </w:r>
      <w:r w:rsidR="00180971" w:rsidRPr="00640B02">
        <w:rPr>
          <w:rFonts w:ascii="Times New Roman" w:hAnsi="Times New Roman"/>
        </w:rPr>
        <w:t xml:space="preserve">Year 1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F11CCB" w:rsidRDefault="00F11CCB" w:rsidP="00593F37">
      <w:pPr>
        <w:rPr>
          <w:rFonts w:ascii="Times New Roman" w:hAnsi="Times New Roman"/>
          <w:highlight w:val="yellow"/>
        </w:rPr>
      </w:pPr>
    </w:p>
    <w:tbl>
      <w:tblPr>
        <w:tblW w:w="4992" w:type="pct"/>
        <w:tblInd w:w="18" w:type="dxa"/>
        <w:tblLayout w:type="fixed"/>
        <w:tblLook w:val="04A0"/>
      </w:tblPr>
      <w:tblGrid>
        <w:gridCol w:w="238"/>
        <w:gridCol w:w="258"/>
        <w:gridCol w:w="3823"/>
        <w:gridCol w:w="992"/>
        <w:gridCol w:w="1350"/>
        <w:gridCol w:w="1079"/>
        <w:gridCol w:w="1081"/>
        <w:gridCol w:w="1079"/>
        <w:gridCol w:w="1260"/>
        <w:gridCol w:w="1079"/>
        <w:gridCol w:w="916"/>
      </w:tblGrid>
      <w:tr w:rsidR="00A013E7" w:rsidRPr="00332DD0" w:rsidTr="00BE38FA">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32DD0" w:rsidRPr="00332DD0" w:rsidRDefault="00332DD0" w:rsidP="00332DD0">
            <w:pPr>
              <w:jc w:val="center"/>
              <w:rPr>
                <w:rFonts w:ascii="Times New Roman" w:eastAsia="Times New Roman" w:hAnsi="Times New Roman"/>
                <w:b/>
                <w:bCs/>
                <w:color w:val="000000"/>
                <w:sz w:val="16"/>
                <w:szCs w:val="16"/>
              </w:rPr>
            </w:pPr>
            <w:bookmarkStart w:id="1" w:name="RANGE!A1:K81"/>
            <w:r w:rsidRPr="00332DD0">
              <w:rPr>
                <w:rFonts w:ascii="Times New Roman" w:eastAsia="Times New Roman" w:hAnsi="Times New Roman"/>
                <w:b/>
                <w:bCs/>
                <w:color w:val="000000"/>
                <w:sz w:val="16"/>
                <w:szCs w:val="16"/>
              </w:rPr>
              <w:t>Year 1</w:t>
            </w:r>
            <w:bookmarkEnd w:id="1"/>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A013E7" w:rsidRDefault="00332DD0" w:rsidP="00A013E7">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332DD0" w:rsidRPr="00332DD0" w:rsidRDefault="00332DD0" w:rsidP="00A013E7">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332DD0" w:rsidRP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5E1AAD" w:rsidRPr="00332DD0" w:rsidRDefault="00BE38FA" w:rsidP="00BE38FA">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332DD0"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BE38FA" w:rsidRPr="00332DD0" w:rsidRDefault="00BE38FA"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A013E7" w:rsidRDefault="00A013E7"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BE38FA" w:rsidRDefault="00332DD0" w:rsidP="00332DD0">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332DD0" w:rsidRPr="00332DD0" w:rsidRDefault="00BE38FA" w:rsidP="00332DD0">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00332DD0"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A013E7" w:rsidRDefault="00332DD0" w:rsidP="00A013E7">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332DD0" w:rsidRPr="00332DD0" w:rsidRDefault="00332DD0" w:rsidP="00A013E7">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A013E7" w:rsidRPr="00332DD0" w:rsidTr="00BE38FA">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A14ACE" w:rsidRDefault="00332DD0">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5E1AAD"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5E1AAD" w:rsidRPr="00332DD0" w:rsidRDefault="005E1AAD" w:rsidP="00332DD0">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5E1AAD" w:rsidRPr="00332DD0" w:rsidRDefault="005E1AAD" w:rsidP="00BB591A">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5E1AAD"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8.25</w:t>
            </w:r>
          </w:p>
        </w:tc>
        <w:tc>
          <w:tcPr>
            <w:tcW w:w="513" w:type="pct"/>
            <w:tcBorders>
              <w:top w:val="nil"/>
              <w:left w:val="nil"/>
              <w:bottom w:val="single" w:sz="4" w:space="0" w:color="auto"/>
              <w:right w:val="single" w:sz="4" w:space="0" w:color="auto"/>
            </w:tcBorders>
            <w:shd w:val="clear" w:color="auto" w:fill="auto"/>
            <w:vAlign w:val="bottom"/>
            <w:hideMark/>
          </w:tcPr>
          <w:p w:rsidR="005E1AAD"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p>
        </w:tc>
        <w:tc>
          <w:tcPr>
            <w:tcW w:w="411" w:type="pct"/>
            <w:tcBorders>
              <w:top w:val="nil"/>
              <w:left w:val="nil"/>
              <w:bottom w:val="single" w:sz="4" w:space="0" w:color="auto"/>
              <w:right w:val="single" w:sz="4" w:space="0" w:color="auto"/>
            </w:tcBorders>
            <w:shd w:val="clear" w:color="auto" w:fill="auto"/>
            <w:noWrap/>
            <w:vAlign w:val="bottom"/>
            <w:hideMark/>
          </w:tcPr>
          <w:p w:rsidR="005E1AAD" w:rsidRDefault="005E1AAD"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208</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32</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A013E7"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332DD0" w:rsidRPr="00332DD0" w:rsidRDefault="00332DD0"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332DD0" w:rsidRPr="00332DD0" w:rsidRDefault="00332DD0" w:rsidP="007D3C76">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332DD0" w:rsidRPr="00332DD0" w:rsidRDefault="008323BD" w:rsidP="008323BD">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r w:rsidR="00BB591A">
              <w:rPr>
                <w:rFonts w:ascii="Times New Roman" w:eastAsia="Times New Roman" w:hAnsi="Times New Roman"/>
                <w:color w:val="000000"/>
                <w:sz w:val="16"/>
                <w:szCs w:val="16"/>
              </w:rPr>
              <w:t xml:space="preserve">Includes reporting of excess emissions </w:t>
            </w:r>
            <w:r>
              <w:rPr>
                <w:rFonts w:ascii="Times New Roman" w:eastAsia="Times New Roman" w:hAnsi="Times New Roman"/>
                <w:color w:val="000000"/>
                <w:sz w:val="16"/>
                <w:szCs w:val="16"/>
              </w:rPr>
              <w:t>&amp;</w:t>
            </w:r>
            <w:r w:rsidR="00BB591A">
              <w:rPr>
                <w:rFonts w:ascii="Times New Roman" w:eastAsia="Times New Roman" w:hAnsi="Times New Roman"/>
                <w:color w:val="000000"/>
                <w:sz w:val="16"/>
                <w:szCs w:val="16"/>
              </w:rPr>
              <w:t xml:space="preserve"> downtime</w:t>
            </w:r>
          </w:p>
        </w:tc>
        <w:tc>
          <w:tcPr>
            <w:tcW w:w="377" w:type="pct"/>
            <w:tcBorders>
              <w:top w:val="nil"/>
              <w:left w:val="nil"/>
              <w:bottom w:val="single" w:sz="4" w:space="0" w:color="auto"/>
              <w:right w:val="single" w:sz="4" w:space="0" w:color="auto"/>
            </w:tcBorders>
            <w:shd w:val="clear" w:color="auto" w:fill="auto"/>
            <w:vAlign w:val="bottom"/>
            <w:hideMark/>
          </w:tcPr>
          <w:p w:rsidR="00EB67E1" w:rsidRDefault="00EB67E1">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B67E1" w:rsidRDefault="00EB67E1" w:rsidP="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B67E1" w:rsidRDefault="00EB67E1">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B67E1" w:rsidRDefault="00EB67E1">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A14ACE" w:rsidRDefault="00A14ACE" w:rsidP="007D3C76">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B67E1" w:rsidRDefault="00EB67E1" w:rsidP="00537DAA">
            <w:pPr>
              <w:jc w:val="right"/>
              <w:rPr>
                <w:rFonts w:ascii="Times New Roman" w:eastAsia="Times New Roman" w:hAnsi="Times New Roman"/>
                <w:sz w:val="16"/>
                <w:szCs w:val="16"/>
              </w:rPr>
            </w:pPr>
          </w:p>
        </w:tc>
      </w:tr>
      <w:tr w:rsidR="00A013E7" w:rsidRPr="00332DD0" w:rsidTr="00BE38FA">
        <w:trPr>
          <w:trHeight w:val="300"/>
        </w:trPr>
        <w:tc>
          <w:tcPr>
            <w:tcW w:w="91" w:type="pct"/>
            <w:tcBorders>
              <w:top w:val="nil"/>
              <w:left w:val="single" w:sz="4" w:space="0" w:color="auto"/>
              <w:bottom w:val="single" w:sz="4" w:space="0" w:color="auto"/>
              <w:right w:val="nil"/>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537DAA" w:rsidRPr="00332DD0" w:rsidRDefault="00537DAA"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sz w:val="16"/>
                <w:szCs w:val="16"/>
              </w:rPr>
            </w:pPr>
          </w:p>
        </w:tc>
      </w:tr>
      <w:tr w:rsidR="008323BD" w:rsidRPr="00332DD0" w:rsidTr="00BE38FA">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332DD0">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8323BD" w:rsidRPr="00332DD0" w:rsidTr="00BE38FA">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7D3C76">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087CC7">
            <w:pPr>
              <w:jc w:val="right"/>
              <w:rPr>
                <w:rFonts w:ascii="Times New Roman" w:eastAsia="Times New Roman" w:hAnsi="Times New Roman"/>
                <w:sz w:val="16"/>
                <w:szCs w:val="16"/>
              </w:rPr>
            </w:pPr>
          </w:p>
        </w:tc>
      </w:tr>
      <w:tr w:rsidR="00A013E7" w:rsidRPr="00332DD0" w:rsidTr="00BE38FA">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37DAA" w:rsidRPr="00332DD0" w:rsidRDefault="00537DAA" w:rsidP="00332DD0">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7D3C76">
              <w:rPr>
                <w:rFonts w:ascii="Times New Roman" w:eastAsia="Times New Roman" w:hAnsi="Times New Roman"/>
                <w:color w:val="000000"/>
                <w:sz w:val="16"/>
                <w:szCs w:val="16"/>
              </w:rPr>
              <w:t>2</w:t>
            </w:r>
            <w:r w:rsidR="005E1AAD">
              <w:rPr>
                <w:rFonts w:ascii="Times New Roman" w:eastAsia="Times New Roman" w:hAnsi="Times New Roman"/>
                <w:color w:val="000000"/>
                <w:sz w:val="16"/>
                <w:szCs w:val="16"/>
              </w:rPr>
              <w:t>08</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E1AAD">
              <w:rPr>
                <w:rFonts w:ascii="Times New Roman" w:eastAsia="Times New Roman" w:hAnsi="Times New Roman"/>
                <w:color w:val="000000"/>
                <w:sz w:val="16"/>
                <w:szCs w:val="16"/>
              </w:rPr>
              <w:t>24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rsidP="005E1AAD">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5E1AAD">
              <w:rPr>
                <w:rFonts w:ascii="Times New Roman" w:eastAsia="Times New Roman" w:hAnsi="Times New Roman"/>
                <w:color w:val="000000"/>
                <w:sz w:val="16"/>
                <w:szCs w:val="16"/>
              </w:rPr>
              <w:t>32</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rsidP="00087CC7">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A013E7" w:rsidRPr="00332DD0" w:rsidTr="00BE38FA">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537DAA" w:rsidRPr="00332DD0" w:rsidRDefault="00537DAA" w:rsidP="00332DD0">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537DAA" w:rsidRDefault="00537DAA" w:rsidP="007D3C7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7D3C76">
              <w:rPr>
                <w:rFonts w:ascii="Times New Roman" w:eastAsia="Times New Roman" w:hAnsi="Times New Roman"/>
                <w:color w:val="000000"/>
                <w:sz w:val="16"/>
                <w:szCs w:val="16"/>
              </w:rPr>
              <w:t>264</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537DAA" w:rsidRDefault="00537DAA">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A013E7" w:rsidRPr="008323BD" w:rsidRDefault="008F44E1" w:rsidP="008323BD">
      <w:pPr>
        <w:jc w:val="center"/>
        <w:rPr>
          <w:rFonts w:ascii="Times New Roman" w:hAnsi="Times New Roman"/>
          <w:b/>
        </w:rPr>
      </w:pPr>
      <w:r>
        <w:rPr>
          <w:rFonts w:ascii="Times New Roman" w:hAnsi="Times New Roman"/>
        </w:rPr>
        <w:br w:type="page"/>
      </w:r>
      <w:r w:rsidR="00BB591A" w:rsidRPr="00BB591A">
        <w:rPr>
          <w:rFonts w:ascii="Times New Roman" w:hAnsi="Times New Roman"/>
          <w:b/>
        </w:rPr>
        <w:lastRenderedPageBreak/>
        <w:t>Exhibit 1</w:t>
      </w:r>
      <w:r w:rsidR="00BB591A">
        <w:rPr>
          <w:rFonts w:ascii="Times New Roman" w:hAnsi="Times New Roman"/>
          <w:b/>
        </w:rPr>
        <w:t>b</w:t>
      </w:r>
      <w:r w:rsidR="00247BA6">
        <w:rPr>
          <w:rFonts w:ascii="Times New Roman" w:hAnsi="Times New Roman"/>
          <w:b/>
        </w:rPr>
        <w:t>.</w:t>
      </w:r>
      <w:r w:rsidR="00BB591A">
        <w:rPr>
          <w:rFonts w:ascii="Times New Roman" w:hAnsi="Times New Roman"/>
          <w:b/>
        </w:rPr>
        <w:t xml:space="preserve"> </w:t>
      </w:r>
      <w:r w:rsidR="00BB591A" w:rsidRPr="00BB591A">
        <w:rPr>
          <w:rFonts w:ascii="Times New Roman" w:hAnsi="Times New Roman"/>
          <w:b/>
        </w:rPr>
        <w:t xml:space="preserve">Year </w:t>
      </w:r>
      <w:r w:rsidR="00BB591A">
        <w:rPr>
          <w:rFonts w:ascii="Times New Roman" w:hAnsi="Times New Roman"/>
          <w:b/>
        </w:rPr>
        <w:t>2</w:t>
      </w:r>
      <w:r w:rsidR="00BB591A" w:rsidRPr="00BB591A">
        <w:rPr>
          <w:rFonts w:ascii="Times New Roman" w:hAnsi="Times New Roman"/>
          <w:b/>
        </w:rPr>
        <w:t xml:space="preserve"> Respondent Burden of Reporting and Recordkeeping Requirements, NSPS for GHG Emissions for EGUs (40 CFR part 60, subpart TTTT)</w:t>
      </w:r>
    </w:p>
    <w:p w:rsidR="008323BD" w:rsidRDefault="008323BD" w:rsidP="00DB3DB1">
      <w:pPr>
        <w:rPr>
          <w:rFonts w:ascii="Times New Roman" w:hAnsi="Times New Roman"/>
          <w:sz w:val="20"/>
          <w:szCs w:val="16"/>
        </w:rPr>
      </w:pPr>
    </w:p>
    <w:p w:rsidR="008323BD" w:rsidRDefault="008323BD" w:rsidP="00DB3DB1">
      <w:pPr>
        <w:rPr>
          <w:rFonts w:ascii="Times New Roman" w:hAnsi="Times New Roman"/>
          <w:sz w:val="20"/>
          <w:szCs w:val="16"/>
        </w:rPr>
      </w:pPr>
    </w:p>
    <w:tbl>
      <w:tblPr>
        <w:tblW w:w="4992" w:type="pct"/>
        <w:tblInd w:w="18" w:type="dxa"/>
        <w:tblLayout w:type="fixed"/>
        <w:tblLook w:val="04A0"/>
      </w:tblPr>
      <w:tblGrid>
        <w:gridCol w:w="236"/>
        <w:gridCol w:w="258"/>
        <w:gridCol w:w="3825"/>
        <w:gridCol w:w="992"/>
        <w:gridCol w:w="1350"/>
        <w:gridCol w:w="1079"/>
        <w:gridCol w:w="1081"/>
        <w:gridCol w:w="1079"/>
        <w:gridCol w:w="1260"/>
        <w:gridCol w:w="1079"/>
        <w:gridCol w:w="916"/>
      </w:tblGrid>
      <w:tr w:rsidR="00EA6C83" w:rsidRPr="00332DD0" w:rsidTr="00EA6C83">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A6C83" w:rsidRPr="00332DD0" w:rsidRDefault="00EA6C83" w:rsidP="00A977FD">
            <w:pPr>
              <w:jc w:val="center"/>
              <w:rPr>
                <w:rFonts w:ascii="Times New Roman" w:eastAsia="Times New Roman" w:hAnsi="Times New Roman"/>
                <w:b/>
                <w:bCs/>
                <w:color w:val="000000"/>
                <w:sz w:val="16"/>
                <w:szCs w:val="16"/>
              </w:rPr>
            </w:pPr>
            <w:r w:rsidRPr="00332DD0">
              <w:rPr>
                <w:rFonts w:ascii="Times New Roman" w:eastAsia="Times New Roman" w:hAnsi="Times New Roman"/>
                <w:b/>
                <w:bCs/>
                <w:color w:val="000000"/>
                <w:sz w:val="16"/>
                <w:szCs w:val="16"/>
              </w:rPr>
              <w:t xml:space="preserve">Year </w:t>
            </w:r>
            <w:r w:rsidR="00A977FD">
              <w:rPr>
                <w:rFonts w:ascii="Times New Roman" w:eastAsia="Times New Roman" w:hAnsi="Times New Roman"/>
                <w:b/>
                <w:bCs/>
                <w:color w:val="000000"/>
                <w:sz w:val="16"/>
                <w:szCs w:val="16"/>
              </w:rPr>
              <w:t>2</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EA6C83" w:rsidRPr="00332DD0"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8323BD" w:rsidRPr="00332DD0" w:rsidTr="00EA6C83">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5E1AA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5E1AAD" w:rsidRPr="00332DD0" w:rsidRDefault="005E1AAD" w:rsidP="00C81012">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5E1AAD" w:rsidRPr="00332DD0" w:rsidRDefault="005E1AA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5E1AAD"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8.25</w:t>
            </w:r>
          </w:p>
        </w:tc>
        <w:tc>
          <w:tcPr>
            <w:tcW w:w="513" w:type="pct"/>
            <w:tcBorders>
              <w:top w:val="nil"/>
              <w:left w:val="nil"/>
              <w:bottom w:val="single" w:sz="4" w:space="0" w:color="auto"/>
              <w:right w:val="single" w:sz="4" w:space="0" w:color="auto"/>
            </w:tcBorders>
            <w:shd w:val="clear" w:color="auto" w:fill="auto"/>
            <w:vAlign w:val="bottom"/>
            <w:hideMark/>
          </w:tcPr>
          <w:p w:rsidR="005E1AAD"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noWrap/>
            <w:vAlign w:val="bottom"/>
            <w:hideMark/>
          </w:tcPr>
          <w:p w:rsidR="005E1AAD" w:rsidRDefault="005E1AAD" w:rsidP="005E1AAD">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w:t>
            </w:r>
            <w:r w:rsidR="00EA6C83">
              <w:rPr>
                <w:rFonts w:ascii="Times New Roman" w:eastAsia="Times New Roman" w:hAnsi="Times New Roman"/>
                <w:color w:val="000000"/>
                <w:sz w:val="16"/>
                <w:szCs w:val="16"/>
              </w:rPr>
              <w:t>87</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3</w:t>
            </w:r>
            <w:r>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5E1AAD" w:rsidRDefault="005E1AA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5E1AAD" w:rsidRDefault="005E1AAD" w:rsidP="005E1AAD">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14,272</w:t>
            </w:r>
          </w:p>
        </w:tc>
      </w:tr>
      <w:tr w:rsidR="008323B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Includes reporting of excess emissions &amp; downtime</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8323BD"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8323BD"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8323BD"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8323BD" w:rsidRPr="00332DD0" w:rsidRDefault="008323BD"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287</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33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43</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5E1AAD">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Pr>
                <w:rFonts w:ascii="Times New Roman" w:eastAsia="Times New Roman" w:hAnsi="Times New Roman"/>
                <w:sz w:val="16"/>
                <w:szCs w:val="16"/>
              </w:rPr>
              <w:t>14,272</w:t>
            </w:r>
          </w:p>
        </w:tc>
      </w:tr>
      <w:tr w:rsidR="008323BD" w:rsidRPr="00332DD0" w:rsidTr="00EA6C83">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8323BD" w:rsidRPr="00332DD0" w:rsidRDefault="008323BD"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8323BD" w:rsidRDefault="008323BD"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sidR="00EA6C83">
              <w:rPr>
                <w:rFonts w:ascii="Times New Roman" w:eastAsia="Times New Roman" w:hAnsi="Times New Roman"/>
                <w:color w:val="000000"/>
                <w:sz w:val="16"/>
                <w:szCs w:val="16"/>
              </w:rPr>
              <w:t>3</w:t>
            </w:r>
            <w:r>
              <w:rPr>
                <w:rFonts w:ascii="Times New Roman" w:eastAsia="Times New Roman" w:hAnsi="Times New Roman"/>
                <w:color w:val="000000"/>
                <w:sz w:val="16"/>
                <w:szCs w:val="16"/>
              </w:rPr>
              <w:t>6</w:t>
            </w:r>
            <w:r w:rsidR="00EA6C83">
              <w:rPr>
                <w:rFonts w:ascii="Times New Roman" w:eastAsia="Times New Roman" w:hAnsi="Times New Roman"/>
                <w:color w:val="000000"/>
                <w:sz w:val="16"/>
                <w:szCs w:val="16"/>
              </w:rPr>
              <w:t>3</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8323BD" w:rsidRPr="00600970" w:rsidRDefault="008323BD" w:rsidP="00DB3DB1">
      <w:pPr>
        <w:rPr>
          <w:rFonts w:ascii="Times New Roman" w:hAnsi="Times New Roman"/>
          <w:sz w:val="20"/>
          <w:szCs w:val="16"/>
        </w:rPr>
        <w:sectPr w:rsidR="008323BD" w:rsidRPr="00600970" w:rsidSect="00593F37">
          <w:pgSz w:w="15840" w:h="12240" w:orient="landscape"/>
          <w:pgMar w:top="1440" w:right="1440" w:bottom="1440" w:left="1440" w:header="720" w:footer="720" w:gutter="0"/>
          <w:cols w:space="720"/>
          <w:docGrid w:linePitch="360"/>
        </w:sectPr>
      </w:pPr>
    </w:p>
    <w:p w:rsidR="00593F37" w:rsidRDefault="008403BE" w:rsidP="00E14996">
      <w:pPr>
        <w:pStyle w:val="ExhibitTitle"/>
        <w:rPr>
          <w:rFonts w:ascii="Times New Roman" w:hAnsi="Times New Roman"/>
          <w:b w:val="0"/>
        </w:rPr>
      </w:pPr>
      <w:r>
        <w:rPr>
          <w:rFonts w:ascii="Times New Roman" w:hAnsi="Times New Roman"/>
        </w:rPr>
        <w:lastRenderedPageBreak/>
        <w:t>Exhibit</w:t>
      </w:r>
      <w:r w:rsidRPr="00E14996">
        <w:rPr>
          <w:rFonts w:ascii="Times New Roman" w:hAnsi="Times New Roman"/>
        </w:rPr>
        <w:t xml:space="preserve"> </w:t>
      </w:r>
      <w:r w:rsidR="00F11CCB" w:rsidRPr="00E14996">
        <w:rPr>
          <w:rFonts w:ascii="Times New Roman" w:hAnsi="Times New Roman"/>
        </w:rPr>
        <w:t>1c</w:t>
      </w:r>
      <w:r w:rsidR="00247BA6">
        <w:rPr>
          <w:rFonts w:ascii="Times New Roman" w:hAnsi="Times New Roman"/>
        </w:rPr>
        <w:t>.</w:t>
      </w:r>
      <w:r w:rsidR="00F11CCB" w:rsidRPr="00E14996">
        <w:rPr>
          <w:rFonts w:ascii="Times New Roman" w:hAnsi="Times New Roman"/>
        </w:rPr>
        <w:tab/>
      </w:r>
      <w:r w:rsidR="00180971" w:rsidRPr="00E14996">
        <w:rPr>
          <w:rFonts w:ascii="Times New Roman" w:hAnsi="Times New Roman"/>
        </w:rPr>
        <w:t xml:space="preserve">Year 3 Respondent Burden of Reporting and Recordkeeping Requirements, </w:t>
      </w:r>
      <w:r w:rsidR="001B5E6D" w:rsidRPr="002D24E2">
        <w:rPr>
          <w:rFonts w:ascii="Times New Roman" w:hAnsi="Times New Roman"/>
        </w:rPr>
        <w:t>N</w:t>
      </w:r>
      <w:r w:rsidR="001B5E6D">
        <w:rPr>
          <w:rFonts w:ascii="Times New Roman" w:hAnsi="Times New Roman"/>
        </w:rPr>
        <w:t>SPS</w:t>
      </w:r>
      <w:r w:rsidR="001B5E6D" w:rsidRPr="002D24E2">
        <w:rPr>
          <w:rFonts w:ascii="Times New Roman" w:hAnsi="Times New Roman"/>
        </w:rPr>
        <w:t xml:space="preserve"> for</w:t>
      </w:r>
      <w:r w:rsidR="001B5E6D">
        <w:rPr>
          <w:rFonts w:ascii="Times New Roman" w:hAnsi="Times New Roman"/>
        </w:rPr>
        <w:t xml:space="preserve"> GHG Emissions for</w:t>
      </w:r>
      <w:r w:rsidR="001B5E6D" w:rsidRPr="002D24E2">
        <w:rPr>
          <w:rFonts w:ascii="Times New Roman" w:hAnsi="Times New Roman"/>
        </w:rPr>
        <w:t xml:space="preserve"> E</w:t>
      </w:r>
      <w:r w:rsidR="001B5E6D">
        <w:rPr>
          <w:rFonts w:ascii="Times New Roman" w:hAnsi="Times New Roman"/>
        </w:rPr>
        <w:t>GUs</w:t>
      </w:r>
      <w:r w:rsidR="001B5E6D" w:rsidRPr="002D24E2">
        <w:rPr>
          <w:rFonts w:ascii="Times New Roman" w:hAnsi="Times New Roman"/>
        </w:rPr>
        <w:t xml:space="preserve"> (40 CFR part 6</w:t>
      </w:r>
      <w:r w:rsidR="001B5E6D">
        <w:rPr>
          <w:rFonts w:ascii="Times New Roman" w:hAnsi="Times New Roman"/>
        </w:rPr>
        <w:t>0</w:t>
      </w:r>
      <w:r w:rsidR="001B5E6D" w:rsidRPr="002D24E2">
        <w:rPr>
          <w:rFonts w:ascii="Times New Roman" w:hAnsi="Times New Roman"/>
        </w:rPr>
        <w:t xml:space="preserve">, subpart </w:t>
      </w:r>
      <w:r w:rsidR="001B5E6D">
        <w:rPr>
          <w:rFonts w:ascii="Times New Roman" w:hAnsi="Times New Roman"/>
        </w:rPr>
        <w:t>TTTT</w:t>
      </w:r>
      <w:r w:rsidR="001B5E6D" w:rsidRPr="002D24E2">
        <w:rPr>
          <w:rFonts w:ascii="Times New Roman" w:hAnsi="Times New Roman"/>
        </w:rPr>
        <w:t>)</w:t>
      </w:r>
    </w:p>
    <w:p w:rsidR="008323BD" w:rsidRDefault="008323BD" w:rsidP="00E14996">
      <w:pPr>
        <w:pStyle w:val="ExhibitTitle"/>
        <w:rPr>
          <w:rFonts w:ascii="Times New Roman" w:hAnsi="Times New Roman"/>
          <w:b w:val="0"/>
        </w:rPr>
      </w:pPr>
    </w:p>
    <w:tbl>
      <w:tblPr>
        <w:tblW w:w="4992" w:type="pct"/>
        <w:tblInd w:w="18" w:type="dxa"/>
        <w:tblLayout w:type="fixed"/>
        <w:tblLook w:val="04A0"/>
      </w:tblPr>
      <w:tblGrid>
        <w:gridCol w:w="236"/>
        <w:gridCol w:w="258"/>
        <w:gridCol w:w="3825"/>
        <w:gridCol w:w="992"/>
        <w:gridCol w:w="1350"/>
        <w:gridCol w:w="1079"/>
        <w:gridCol w:w="1081"/>
        <w:gridCol w:w="1079"/>
        <w:gridCol w:w="1260"/>
        <w:gridCol w:w="1079"/>
        <w:gridCol w:w="916"/>
      </w:tblGrid>
      <w:tr w:rsidR="00EA6C83" w:rsidRPr="00332DD0" w:rsidTr="00EA6C83">
        <w:trPr>
          <w:cantSplit/>
          <w:trHeight w:val="780"/>
          <w:tblHeader/>
        </w:trPr>
        <w:tc>
          <w:tcPr>
            <w:tcW w:w="164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A6C83" w:rsidRPr="00332DD0" w:rsidRDefault="00EA6C83" w:rsidP="00A977FD">
            <w:pPr>
              <w:jc w:val="center"/>
              <w:rPr>
                <w:rFonts w:ascii="Times New Roman" w:eastAsia="Times New Roman" w:hAnsi="Times New Roman"/>
                <w:b/>
                <w:bCs/>
                <w:color w:val="000000"/>
                <w:sz w:val="16"/>
                <w:szCs w:val="16"/>
              </w:rPr>
            </w:pPr>
            <w:r w:rsidRPr="00332DD0">
              <w:rPr>
                <w:rFonts w:ascii="Times New Roman" w:eastAsia="Times New Roman" w:hAnsi="Times New Roman"/>
                <w:b/>
                <w:bCs/>
                <w:color w:val="000000"/>
                <w:sz w:val="16"/>
                <w:szCs w:val="16"/>
              </w:rPr>
              <w:t xml:space="preserve">Year </w:t>
            </w:r>
            <w:r w:rsidR="00A977FD">
              <w:rPr>
                <w:rFonts w:ascii="Times New Roman" w:eastAsia="Times New Roman" w:hAnsi="Times New Roman"/>
                <w:b/>
                <w:bCs/>
                <w:color w:val="000000"/>
                <w:sz w:val="16"/>
                <w:szCs w:val="16"/>
              </w:rPr>
              <w:t>3</w:t>
            </w:r>
          </w:p>
        </w:tc>
        <w:tc>
          <w:tcPr>
            <w:tcW w:w="377"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 per Occurrence</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(B)  Occurrences/ Respondent/Year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w:t>
            </w:r>
          </w:p>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Hours/ Respondent/ </w:t>
            </w:r>
            <w:r w:rsidRPr="00332DD0">
              <w:rPr>
                <w:rFonts w:ascii="Times New Roman" w:eastAsia="Times New Roman" w:hAnsi="Times New Roman"/>
                <w:color w:val="000000"/>
                <w:sz w:val="16"/>
                <w:szCs w:val="16"/>
              </w:rPr>
              <w:br/>
              <w:t>Year (A x B)</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(D)  Respondents/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(E)  Technical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.79)</w:t>
            </w:r>
          </w:p>
        </w:tc>
        <w:tc>
          <w:tcPr>
            <w:tcW w:w="479"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(F)</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Managerial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.09)</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(G)</w:t>
            </w:r>
          </w:p>
          <w:p w:rsidR="00EA6C83" w:rsidRDefault="00EA6C83" w:rsidP="00EA6C83">
            <w:pPr>
              <w:jc w:val="cente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Clerical Hours/Year</w:t>
            </w:r>
          </w:p>
          <w:p w:rsidR="00EA6C83" w:rsidRPr="00332DD0" w:rsidRDefault="00EA6C83" w:rsidP="00EA6C83">
            <w:pPr>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 x D x .12)</w:t>
            </w:r>
            <w:r w:rsidRPr="00332DD0">
              <w:rPr>
                <w:rFonts w:ascii="Times New Roman" w:eastAsia="Times New Roman" w:hAnsi="Times New Roman"/>
                <w:color w:val="000000"/>
                <w:sz w:val="16"/>
                <w:szCs w:val="16"/>
              </w:rPr>
              <w:t xml:space="preserve"> </w:t>
            </w:r>
          </w:p>
        </w:tc>
        <w:tc>
          <w:tcPr>
            <w:tcW w:w="348" w:type="pct"/>
            <w:tcBorders>
              <w:top w:val="single" w:sz="4" w:space="0" w:color="auto"/>
              <w:left w:val="nil"/>
              <w:bottom w:val="single" w:sz="4" w:space="0" w:color="auto"/>
              <w:right w:val="single" w:sz="4" w:space="0" w:color="auto"/>
            </w:tcBorders>
            <w:shd w:val="clear" w:color="auto" w:fill="auto"/>
            <w:vAlign w:val="bottom"/>
            <w:hideMark/>
          </w:tcPr>
          <w:p w:rsidR="00EA6C83"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(H)</w:t>
            </w:r>
          </w:p>
          <w:p w:rsidR="00EA6C83" w:rsidRPr="00332DD0" w:rsidRDefault="00EA6C83" w:rsidP="00C81012">
            <w:pPr>
              <w:jc w:val="center"/>
              <w:rPr>
                <w:rFonts w:ascii="Times New Roman" w:eastAsia="Times New Roman" w:hAnsi="Times New Roman"/>
                <w:sz w:val="16"/>
                <w:szCs w:val="16"/>
              </w:rPr>
            </w:pPr>
            <w:r w:rsidRPr="00332DD0">
              <w:rPr>
                <w:rFonts w:ascii="Times New Roman" w:eastAsia="Times New Roman" w:hAnsi="Times New Roman"/>
                <w:sz w:val="16"/>
                <w:szCs w:val="16"/>
              </w:rPr>
              <w:t>Cost/ Year</w:t>
            </w:r>
          </w:p>
        </w:tc>
      </w:tr>
      <w:tr w:rsidR="008323BD" w:rsidRPr="00332DD0" w:rsidTr="00EA6C83">
        <w:trPr>
          <w:trHeight w:val="255"/>
        </w:trPr>
        <w:tc>
          <w:tcPr>
            <w:tcW w:w="16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323BD" w:rsidRPr="00332DD0" w:rsidRDefault="008323BD"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REPORT REQUIREMENTS</w:t>
            </w:r>
          </w:p>
        </w:tc>
        <w:tc>
          <w:tcPr>
            <w:tcW w:w="377"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348" w:type="pct"/>
            <w:tcBorders>
              <w:top w:val="nil"/>
              <w:left w:val="nil"/>
              <w:bottom w:val="single" w:sz="4" w:space="0" w:color="auto"/>
              <w:right w:val="single" w:sz="4" w:space="0" w:color="auto"/>
            </w:tcBorders>
            <w:shd w:val="clear" w:color="auto" w:fill="auto"/>
            <w:vAlign w:val="bottom"/>
            <w:hideMark/>
          </w:tcPr>
          <w:p w:rsidR="008323BD" w:rsidRDefault="008323BD"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Prepare/Submit</w:t>
            </w: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 xml:space="preserve">Summary </w:t>
            </w:r>
            <w:r w:rsidRPr="00332DD0">
              <w:rPr>
                <w:rFonts w:ascii="Times New Roman" w:eastAsia="Times New Roman" w:hAnsi="Times New Roman"/>
                <w:color w:val="000000"/>
                <w:sz w:val="16"/>
                <w:szCs w:val="16"/>
              </w:rPr>
              <w:t>Report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8.25</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6F7F85"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33</w:t>
            </w: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EA6C83">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17</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443</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247BA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sz w:val="16"/>
                <w:szCs w:val="16"/>
              </w:rPr>
            </w:pPr>
            <w:r w:rsidRPr="00332DD0">
              <w:rPr>
                <w:rFonts w:ascii="Times New Roman" w:eastAsia="Times New Roman" w:hAnsi="Times New Roman"/>
                <w:sz w:val="16"/>
                <w:szCs w:val="16"/>
              </w:rPr>
              <w:t>$</w:t>
            </w:r>
            <w:r>
              <w:rPr>
                <w:rFonts w:ascii="Times New Roman" w:eastAsia="Times New Roman" w:hAnsi="Times New Roman"/>
                <w:sz w:val="16"/>
                <w:szCs w:val="16"/>
              </w:rPr>
              <w:t>10,380</w:t>
            </w: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1453"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Includes reporting of excess emissions &amp; downtime</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300"/>
        </w:trPr>
        <w:tc>
          <w:tcPr>
            <w:tcW w:w="90" w:type="pct"/>
            <w:tcBorders>
              <w:top w:val="nil"/>
              <w:left w:val="single" w:sz="4" w:space="0" w:color="auto"/>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98" w:type="pct"/>
            <w:tcBorders>
              <w:top w:val="nil"/>
              <w:left w:val="nil"/>
              <w:bottom w:val="single" w:sz="4" w:space="0" w:color="auto"/>
              <w:right w:val="nil"/>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1453"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noWrap/>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Pr>
                <w:rFonts w:ascii="Times New Roman" w:eastAsia="Times New Roman" w:hAnsi="Times New Roman"/>
                <w:color w:val="000000"/>
                <w:sz w:val="16"/>
                <w:szCs w:val="16"/>
              </w:rPr>
              <w:t>AFFIRMATIVE DEFENSE</w:t>
            </w:r>
          </w:p>
        </w:tc>
        <w:tc>
          <w:tcPr>
            <w:tcW w:w="377"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30</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79"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0</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r>
              <w:rPr>
                <w:rFonts w:ascii="Times New Roman" w:eastAsia="Times New Roman" w:hAnsi="Times New Roman"/>
                <w:sz w:val="16"/>
                <w:szCs w:val="16"/>
              </w:rPr>
              <w:t>0</w:t>
            </w:r>
          </w:p>
        </w:tc>
      </w:tr>
      <w:tr w:rsidR="00EA6C83" w:rsidRPr="00332DD0" w:rsidTr="00EA6C83">
        <w:trPr>
          <w:trHeight w:val="255"/>
        </w:trPr>
        <w:tc>
          <w:tcPr>
            <w:tcW w:w="1642" w:type="pct"/>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79"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410" w:type="pct"/>
            <w:tcBorders>
              <w:top w:val="nil"/>
              <w:left w:val="nil"/>
              <w:bottom w:val="single" w:sz="4" w:space="0" w:color="auto"/>
              <w:right w:val="single" w:sz="4" w:space="0" w:color="auto"/>
            </w:tcBorders>
            <w:shd w:val="clear" w:color="auto" w:fill="auto"/>
            <w:vAlign w:val="bottom"/>
            <w:hideMark/>
          </w:tcPr>
          <w:p w:rsidR="00EA6C83" w:rsidRPr="00332DD0" w:rsidRDefault="00EA6C83" w:rsidP="00C81012">
            <w:pPr>
              <w:jc w:val="right"/>
              <w:rPr>
                <w:rFonts w:ascii="Times New Roman" w:eastAsia="Times New Roman" w:hAnsi="Times New Roman"/>
                <w:color w:val="000000"/>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p>
        </w:tc>
      </w:tr>
      <w:tr w:rsidR="00EA6C83" w:rsidRPr="00332DD0" w:rsidTr="00EA6C83">
        <w:trPr>
          <w:trHeight w:val="255"/>
        </w:trPr>
        <w:tc>
          <w:tcPr>
            <w:tcW w:w="164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A6C83" w:rsidRPr="00332DD0" w:rsidRDefault="00EA6C83" w:rsidP="00C81012">
            <w:pPr>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TOTAL ANNUAL LABOR BURDEN AND COST</w:t>
            </w: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443</w:t>
            </w:r>
            <w:r w:rsidRPr="00332DD0">
              <w:rPr>
                <w:rFonts w:ascii="Times New Roman" w:eastAsia="Times New Roman" w:hAnsi="Times New Roman"/>
                <w:color w:val="000000"/>
                <w:sz w:val="16"/>
                <w:szCs w:val="16"/>
              </w:rPr>
              <w:t xml:space="preserve"> </w:t>
            </w:r>
          </w:p>
        </w:tc>
        <w:tc>
          <w:tcPr>
            <w:tcW w:w="479"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w:t>
            </w:r>
            <w:r w:rsidR="00247BA6">
              <w:rPr>
                <w:rFonts w:ascii="Times New Roman" w:eastAsia="Times New Roman" w:hAnsi="Times New Roman"/>
                <w:color w:val="000000"/>
                <w:sz w:val="16"/>
                <w:szCs w:val="16"/>
              </w:rPr>
              <w:t>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67</w:t>
            </w:r>
            <w:r w:rsidRPr="00332DD0">
              <w:rPr>
                <w:rFonts w:ascii="Times New Roman" w:eastAsia="Times New Roman" w:hAnsi="Times New Roman"/>
                <w:color w:val="000000"/>
                <w:sz w:val="16"/>
                <w:szCs w:val="16"/>
              </w:rPr>
              <w:t xml:space="preserve"> </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247BA6">
            <w:pPr>
              <w:jc w:val="right"/>
              <w:rPr>
                <w:rFonts w:ascii="Times New Roman" w:eastAsia="Times New Roman" w:hAnsi="Times New Roman"/>
                <w:sz w:val="16"/>
                <w:szCs w:val="16"/>
              </w:rPr>
            </w:pPr>
            <w:r>
              <w:rPr>
                <w:rFonts w:ascii="Times New Roman" w:eastAsia="Times New Roman" w:hAnsi="Times New Roman"/>
                <w:sz w:val="16"/>
                <w:szCs w:val="16"/>
              </w:rPr>
              <w:t xml:space="preserve"> </w:t>
            </w:r>
            <w:r w:rsidRPr="00332DD0">
              <w:rPr>
                <w:rFonts w:ascii="Times New Roman" w:eastAsia="Times New Roman" w:hAnsi="Times New Roman"/>
                <w:sz w:val="16"/>
                <w:szCs w:val="16"/>
              </w:rPr>
              <w:t>$</w:t>
            </w:r>
            <w:r w:rsidR="00247BA6">
              <w:rPr>
                <w:rFonts w:ascii="Times New Roman" w:eastAsia="Times New Roman" w:hAnsi="Times New Roman"/>
                <w:sz w:val="16"/>
                <w:szCs w:val="16"/>
              </w:rPr>
              <w:t>22</w:t>
            </w:r>
            <w:r>
              <w:rPr>
                <w:rFonts w:ascii="Times New Roman" w:eastAsia="Times New Roman" w:hAnsi="Times New Roman"/>
                <w:sz w:val="16"/>
                <w:szCs w:val="16"/>
              </w:rPr>
              <w:t>,0</w:t>
            </w:r>
            <w:r w:rsidR="00247BA6">
              <w:rPr>
                <w:rFonts w:ascii="Times New Roman" w:eastAsia="Times New Roman" w:hAnsi="Times New Roman"/>
                <w:sz w:val="16"/>
                <w:szCs w:val="16"/>
              </w:rPr>
              <w:t>57</w:t>
            </w:r>
          </w:p>
        </w:tc>
      </w:tr>
      <w:tr w:rsidR="00EA6C83" w:rsidRPr="00332DD0" w:rsidTr="00EA6C83">
        <w:trPr>
          <w:trHeight w:val="255"/>
        </w:trPr>
        <w:tc>
          <w:tcPr>
            <w:tcW w:w="1642" w:type="pct"/>
            <w:gridSpan w:val="3"/>
            <w:vMerge/>
            <w:tcBorders>
              <w:top w:val="single" w:sz="4" w:space="0" w:color="auto"/>
              <w:left w:val="single" w:sz="4" w:space="0" w:color="auto"/>
              <w:bottom w:val="single" w:sz="4" w:space="0" w:color="000000"/>
              <w:right w:val="single" w:sz="4" w:space="0" w:color="000000"/>
            </w:tcBorders>
            <w:vAlign w:val="center"/>
            <w:hideMark/>
          </w:tcPr>
          <w:p w:rsidR="00EA6C83" w:rsidRPr="00332DD0" w:rsidRDefault="00EA6C83" w:rsidP="00C81012">
            <w:pPr>
              <w:rPr>
                <w:rFonts w:ascii="Times New Roman" w:eastAsia="Times New Roman" w:hAnsi="Times New Roman"/>
                <w:color w:val="000000"/>
                <w:sz w:val="16"/>
                <w:szCs w:val="16"/>
              </w:rPr>
            </w:pPr>
          </w:p>
        </w:tc>
        <w:tc>
          <w:tcPr>
            <w:tcW w:w="377"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513"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1"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w:t>
            </w:r>
          </w:p>
        </w:tc>
        <w:tc>
          <w:tcPr>
            <w:tcW w:w="479" w:type="pct"/>
            <w:tcBorders>
              <w:top w:val="nil"/>
              <w:left w:val="nil"/>
              <w:bottom w:val="single" w:sz="4" w:space="0" w:color="auto"/>
              <w:right w:val="single" w:sz="4" w:space="0" w:color="auto"/>
            </w:tcBorders>
            <w:shd w:val="clear" w:color="auto" w:fill="FFFFFF" w:themeFill="background1"/>
            <w:vAlign w:val="bottom"/>
            <w:hideMark/>
          </w:tcPr>
          <w:p w:rsidR="00EA6C83" w:rsidRDefault="00EA6C83" w:rsidP="00EA6C83">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 xml:space="preserve">                         </w:t>
            </w:r>
            <w:r>
              <w:rPr>
                <w:rFonts w:ascii="Times New Roman" w:eastAsia="Times New Roman" w:hAnsi="Times New Roman"/>
                <w:color w:val="000000"/>
                <w:sz w:val="16"/>
                <w:szCs w:val="16"/>
              </w:rPr>
              <w:t>561</w:t>
            </w:r>
            <w:r w:rsidRPr="00332DD0">
              <w:rPr>
                <w:rFonts w:ascii="Times New Roman" w:eastAsia="Times New Roman" w:hAnsi="Times New Roman"/>
                <w:color w:val="000000"/>
                <w:sz w:val="16"/>
                <w:szCs w:val="16"/>
              </w:rPr>
              <w:t xml:space="preserve"> </w:t>
            </w:r>
          </w:p>
        </w:tc>
        <w:tc>
          <w:tcPr>
            <w:tcW w:w="410"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color w:val="000000"/>
                <w:sz w:val="16"/>
                <w:szCs w:val="16"/>
              </w:rPr>
            </w:pPr>
            <w:r w:rsidRPr="00332DD0">
              <w:rPr>
                <w:rFonts w:ascii="Times New Roman" w:eastAsia="Times New Roman" w:hAnsi="Times New Roman"/>
                <w:color w:val="000000"/>
                <w:sz w:val="16"/>
                <w:szCs w:val="16"/>
              </w:rPr>
              <w:t>Hours</w:t>
            </w:r>
          </w:p>
        </w:tc>
        <w:tc>
          <w:tcPr>
            <w:tcW w:w="348" w:type="pct"/>
            <w:tcBorders>
              <w:top w:val="nil"/>
              <w:left w:val="nil"/>
              <w:bottom w:val="single" w:sz="4" w:space="0" w:color="auto"/>
              <w:right w:val="single" w:sz="4" w:space="0" w:color="auto"/>
            </w:tcBorders>
            <w:shd w:val="clear" w:color="auto" w:fill="auto"/>
            <w:vAlign w:val="bottom"/>
            <w:hideMark/>
          </w:tcPr>
          <w:p w:rsidR="00EA6C83" w:rsidRDefault="00EA6C83" w:rsidP="00C81012">
            <w:pPr>
              <w:jc w:val="right"/>
              <w:rPr>
                <w:rFonts w:ascii="Times New Roman" w:eastAsia="Times New Roman" w:hAnsi="Times New Roman"/>
                <w:sz w:val="16"/>
                <w:szCs w:val="16"/>
              </w:rPr>
            </w:pPr>
            <w:r w:rsidRPr="00332DD0">
              <w:rPr>
                <w:rFonts w:ascii="Times New Roman" w:eastAsia="Times New Roman" w:hAnsi="Times New Roman"/>
                <w:sz w:val="16"/>
                <w:szCs w:val="16"/>
              </w:rPr>
              <w:t> </w:t>
            </w:r>
          </w:p>
        </w:tc>
      </w:tr>
    </w:tbl>
    <w:p w:rsidR="008323BD" w:rsidRPr="008323BD" w:rsidRDefault="008323BD" w:rsidP="00E14996">
      <w:pPr>
        <w:pStyle w:val="ExhibitTitle"/>
        <w:rPr>
          <w:rFonts w:ascii="Times New Roman" w:hAnsi="Times New Roman"/>
          <w:b w:val="0"/>
        </w:rPr>
      </w:pPr>
    </w:p>
    <w:sectPr w:rsidR="008323BD" w:rsidRPr="008323BD"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775" w:rsidRDefault="00A61775" w:rsidP="004A3758">
      <w:r>
        <w:separator/>
      </w:r>
    </w:p>
  </w:endnote>
  <w:endnote w:type="continuationSeparator" w:id="0">
    <w:p w:rsidR="00A61775" w:rsidRDefault="00A61775"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0" w:rsidRDefault="006427ED">
    <w:pPr>
      <w:pStyle w:val="Footer"/>
      <w:jc w:val="center"/>
    </w:pPr>
    <w:fldSimple w:instr=" PAGE   \* MERGEFORMAT ">
      <w:r w:rsidR="00A977FD">
        <w:rPr>
          <w:noProof/>
        </w:rPr>
        <w:t>13</w:t>
      </w:r>
    </w:fldSimple>
  </w:p>
  <w:p w:rsidR="00762A90" w:rsidRDefault="00762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775" w:rsidRDefault="00A61775" w:rsidP="004A3758">
      <w:r>
        <w:separator/>
      </w:r>
    </w:p>
  </w:footnote>
  <w:footnote w:type="continuationSeparator" w:id="0">
    <w:p w:rsidR="00A61775" w:rsidRDefault="00A61775" w:rsidP="004A3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19981D9C"/>
    <w:multiLevelType w:val="hybridMultilevel"/>
    <w:tmpl w:val="393C1A48"/>
    <w:lvl w:ilvl="0" w:tplc="96D86D34">
      <w:start w:val="1"/>
      <w:numFmt w:val="bullet"/>
      <w:lvlText w:val=""/>
      <w:lvlJc w:val="left"/>
      <w:pPr>
        <w:ind w:left="720" w:hanging="360"/>
      </w:pPr>
      <w:rPr>
        <w:rFonts w:ascii="Symbol" w:hAnsi="Symbol" w:cs="Symbol" w:hint="default"/>
      </w:rPr>
    </w:lvl>
    <w:lvl w:ilvl="1" w:tplc="C798A3A2">
      <w:start w:val="1"/>
      <w:numFmt w:val="bullet"/>
      <w:lvlText w:val="o"/>
      <w:lvlJc w:val="left"/>
      <w:pPr>
        <w:ind w:left="1440" w:hanging="360"/>
      </w:pPr>
      <w:rPr>
        <w:rFonts w:ascii="Courier New" w:hAnsi="Courier New" w:cs="Courier New" w:hint="default"/>
      </w:rPr>
    </w:lvl>
    <w:lvl w:ilvl="2" w:tplc="FAD676AA" w:tentative="1">
      <w:start w:val="1"/>
      <w:numFmt w:val="bullet"/>
      <w:lvlText w:val=""/>
      <w:lvlJc w:val="left"/>
      <w:pPr>
        <w:ind w:left="2160" w:hanging="360"/>
      </w:pPr>
      <w:rPr>
        <w:rFonts w:ascii="Wingdings" w:hAnsi="Wingdings" w:cs="Wingdings" w:hint="default"/>
      </w:rPr>
    </w:lvl>
    <w:lvl w:ilvl="3" w:tplc="F3103BF8" w:tentative="1">
      <w:start w:val="1"/>
      <w:numFmt w:val="bullet"/>
      <w:lvlText w:val=""/>
      <w:lvlJc w:val="left"/>
      <w:pPr>
        <w:ind w:left="2880" w:hanging="360"/>
      </w:pPr>
      <w:rPr>
        <w:rFonts w:ascii="Symbol" w:hAnsi="Symbol" w:cs="Symbol" w:hint="default"/>
      </w:rPr>
    </w:lvl>
    <w:lvl w:ilvl="4" w:tplc="FAA059BE" w:tentative="1">
      <w:start w:val="1"/>
      <w:numFmt w:val="bullet"/>
      <w:lvlText w:val="o"/>
      <w:lvlJc w:val="left"/>
      <w:pPr>
        <w:ind w:left="3600" w:hanging="360"/>
      </w:pPr>
      <w:rPr>
        <w:rFonts w:ascii="Courier New" w:hAnsi="Courier New" w:cs="Courier New" w:hint="default"/>
      </w:rPr>
    </w:lvl>
    <w:lvl w:ilvl="5" w:tplc="4444768E" w:tentative="1">
      <w:start w:val="1"/>
      <w:numFmt w:val="bullet"/>
      <w:lvlText w:val=""/>
      <w:lvlJc w:val="left"/>
      <w:pPr>
        <w:ind w:left="4320" w:hanging="360"/>
      </w:pPr>
      <w:rPr>
        <w:rFonts w:ascii="Wingdings" w:hAnsi="Wingdings" w:cs="Wingdings" w:hint="default"/>
      </w:rPr>
    </w:lvl>
    <w:lvl w:ilvl="6" w:tplc="8BD00C1A" w:tentative="1">
      <w:start w:val="1"/>
      <w:numFmt w:val="bullet"/>
      <w:lvlText w:val=""/>
      <w:lvlJc w:val="left"/>
      <w:pPr>
        <w:ind w:left="5040" w:hanging="360"/>
      </w:pPr>
      <w:rPr>
        <w:rFonts w:ascii="Symbol" w:hAnsi="Symbol" w:cs="Symbol" w:hint="default"/>
      </w:rPr>
    </w:lvl>
    <w:lvl w:ilvl="7" w:tplc="B16C3110" w:tentative="1">
      <w:start w:val="1"/>
      <w:numFmt w:val="bullet"/>
      <w:lvlText w:val="o"/>
      <w:lvlJc w:val="left"/>
      <w:pPr>
        <w:ind w:left="5760" w:hanging="360"/>
      </w:pPr>
      <w:rPr>
        <w:rFonts w:ascii="Courier New" w:hAnsi="Courier New" w:cs="Courier New" w:hint="default"/>
      </w:rPr>
    </w:lvl>
    <w:lvl w:ilvl="8" w:tplc="9614F4B4"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177F7"/>
    <w:rsid w:val="00017867"/>
    <w:rsid w:val="00017F30"/>
    <w:rsid w:val="0002271B"/>
    <w:rsid w:val="00022C1D"/>
    <w:rsid w:val="00026E9D"/>
    <w:rsid w:val="00035B1A"/>
    <w:rsid w:val="0004725D"/>
    <w:rsid w:val="00071EC8"/>
    <w:rsid w:val="00077A62"/>
    <w:rsid w:val="00087CC7"/>
    <w:rsid w:val="00091C3C"/>
    <w:rsid w:val="000A065A"/>
    <w:rsid w:val="000A7801"/>
    <w:rsid w:val="000B5397"/>
    <w:rsid w:val="000B6C12"/>
    <w:rsid w:val="000D48D4"/>
    <w:rsid w:val="000D64A1"/>
    <w:rsid w:val="000E0122"/>
    <w:rsid w:val="000E0E67"/>
    <w:rsid w:val="000F01A4"/>
    <w:rsid w:val="000F3B39"/>
    <w:rsid w:val="00110F58"/>
    <w:rsid w:val="001111D2"/>
    <w:rsid w:val="00113ABD"/>
    <w:rsid w:val="00114096"/>
    <w:rsid w:val="0011515F"/>
    <w:rsid w:val="00124A0B"/>
    <w:rsid w:val="001300E8"/>
    <w:rsid w:val="00145C70"/>
    <w:rsid w:val="00163B3E"/>
    <w:rsid w:val="00180971"/>
    <w:rsid w:val="0019526C"/>
    <w:rsid w:val="00196700"/>
    <w:rsid w:val="001A089E"/>
    <w:rsid w:val="001B16B8"/>
    <w:rsid w:val="001B3DC2"/>
    <w:rsid w:val="001B5E6D"/>
    <w:rsid w:val="001C04AD"/>
    <w:rsid w:val="001D2AB7"/>
    <w:rsid w:val="001D3852"/>
    <w:rsid w:val="001D5E17"/>
    <w:rsid w:val="001E6EFB"/>
    <w:rsid w:val="001F3386"/>
    <w:rsid w:val="001F41F7"/>
    <w:rsid w:val="001F421B"/>
    <w:rsid w:val="0022013D"/>
    <w:rsid w:val="00230BD1"/>
    <w:rsid w:val="00237778"/>
    <w:rsid w:val="00247BA6"/>
    <w:rsid w:val="00250307"/>
    <w:rsid w:val="002542EB"/>
    <w:rsid w:val="002559B1"/>
    <w:rsid w:val="00256CB3"/>
    <w:rsid w:val="00263A39"/>
    <w:rsid w:val="00265E31"/>
    <w:rsid w:val="002777CB"/>
    <w:rsid w:val="00280FC3"/>
    <w:rsid w:val="00290F20"/>
    <w:rsid w:val="00291DB0"/>
    <w:rsid w:val="002977E9"/>
    <w:rsid w:val="002A21EA"/>
    <w:rsid w:val="002A626A"/>
    <w:rsid w:val="002B3CAB"/>
    <w:rsid w:val="002B5782"/>
    <w:rsid w:val="002B6E5F"/>
    <w:rsid w:val="002D1915"/>
    <w:rsid w:val="002D24E2"/>
    <w:rsid w:val="002D4FE7"/>
    <w:rsid w:val="002D550B"/>
    <w:rsid w:val="002E495C"/>
    <w:rsid w:val="003024CD"/>
    <w:rsid w:val="003069C0"/>
    <w:rsid w:val="00315242"/>
    <w:rsid w:val="00332DD0"/>
    <w:rsid w:val="003363A0"/>
    <w:rsid w:val="00337CF4"/>
    <w:rsid w:val="00341A80"/>
    <w:rsid w:val="003453CC"/>
    <w:rsid w:val="0034549F"/>
    <w:rsid w:val="0035244C"/>
    <w:rsid w:val="00372DBB"/>
    <w:rsid w:val="003A0BBE"/>
    <w:rsid w:val="003A3FE2"/>
    <w:rsid w:val="003B1201"/>
    <w:rsid w:val="003B4EAE"/>
    <w:rsid w:val="003B5DEA"/>
    <w:rsid w:val="003B6B97"/>
    <w:rsid w:val="003B6EA8"/>
    <w:rsid w:val="003C3042"/>
    <w:rsid w:val="003D1344"/>
    <w:rsid w:val="003D47E1"/>
    <w:rsid w:val="003E0AD3"/>
    <w:rsid w:val="003E47F8"/>
    <w:rsid w:val="003F3C46"/>
    <w:rsid w:val="004025BF"/>
    <w:rsid w:val="004069FA"/>
    <w:rsid w:val="00417DA0"/>
    <w:rsid w:val="00421DF7"/>
    <w:rsid w:val="004229BF"/>
    <w:rsid w:val="004264BA"/>
    <w:rsid w:val="00430CBF"/>
    <w:rsid w:val="004377DA"/>
    <w:rsid w:val="00441BE8"/>
    <w:rsid w:val="00452648"/>
    <w:rsid w:val="00452C08"/>
    <w:rsid w:val="00452F1F"/>
    <w:rsid w:val="00453FD1"/>
    <w:rsid w:val="00462D22"/>
    <w:rsid w:val="00466BEB"/>
    <w:rsid w:val="0048328C"/>
    <w:rsid w:val="00485743"/>
    <w:rsid w:val="00491575"/>
    <w:rsid w:val="004A02B6"/>
    <w:rsid w:val="004A1FC4"/>
    <w:rsid w:val="004A3758"/>
    <w:rsid w:val="004A460D"/>
    <w:rsid w:val="004B1208"/>
    <w:rsid w:val="004C3386"/>
    <w:rsid w:val="004D126B"/>
    <w:rsid w:val="004D1FE2"/>
    <w:rsid w:val="004D7275"/>
    <w:rsid w:val="005004A9"/>
    <w:rsid w:val="00500F7C"/>
    <w:rsid w:val="0050750E"/>
    <w:rsid w:val="00510D95"/>
    <w:rsid w:val="00511438"/>
    <w:rsid w:val="005170B7"/>
    <w:rsid w:val="005239A4"/>
    <w:rsid w:val="0052403B"/>
    <w:rsid w:val="0053022F"/>
    <w:rsid w:val="0053251F"/>
    <w:rsid w:val="005332CE"/>
    <w:rsid w:val="00535585"/>
    <w:rsid w:val="00537DAA"/>
    <w:rsid w:val="00553CA4"/>
    <w:rsid w:val="00556B17"/>
    <w:rsid w:val="00556D4D"/>
    <w:rsid w:val="005615C5"/>
    <w:rsid w:val="00566056"/>
    <w:rsid w:val="005720EA"/>
    <w:rsid w:val="00573E04"/>
    <w:rsid w:val="00576D07"/>
    <w:rsid w:val="00576D5C"/>
    <w:rsid w:val="00580463"/>
    <w:rsid w:val="005922C3"/>
    <w:rsid w:val="00593F37"/>
    <w:rsid w:val="005A7029"/>
    <w:rsid w:val="005C36FA"/>
    <w:rsid w:val="005C543F"/>
    <w:rsid w:val="005D59D8"/>
    <w:rsid w:val="005E01D7"/>
    <w:rsid w:val="005E1AAD"/>
    <w:rsid w:val="005F3BAC"/>
    <w:rsid w:val="005F54FD"/>
    <w:rsid w:val="005F6931"/>
    <w:rsid w:val="00600970"/>
    <w:rsid w:val="00601472"/>
    <w:rsid w:val="00603010"/>
    <w:rsid w:val="00610899"/>
    <w:rsid w:val="00614897"/>
    <w:rsid w:val="006305AC"/>
    <w:rsid w:val="006308D0"/>
    <w:rsid w:val="00631340"/>
    <w:rsid w:val="0063222D"/>
    <w:rsid w:val="00640B02"/>
    <w:rsid w:val="0064173F"/>
    <w:rsid w:val="006427ED"/>
    <w:rsid w:val="00644F59"/>
    <w:rsid w:val="006524C5"/>
    <w:rsid w:val="00656C55"/>
    <w:rsid w:val="0066152B"/>
    <w:rsid w:val="0066365A"/>
    <w:rsid w:val="006773F1"/>
    <w:rsid w:val="0068644D"/>
    <w:rsid w:val="00686E60"/>
    <w:rsid w:val="006A66E1"/>
    <w:rsid w:val="006B65BC"/>
    <w:rsid w:val="006C067F"/>
    <w:rsid w:val="006C76C5"/>
    <w:rsid w:val="006D1E26"/>
    <w:rsid w:val="006D73DD"/>
    <w:rsid w:val="006E47DC"/>
    <w:rsid w:val="006E6041"/>
    <w:rsid w:val="006F2EE1"/>
    <w:rsid w:val="006F7F85"/>
    <w:rsid w:val="00716EF5"/>
    <w:rsid w:val="00726482"/>
    <w:rsid w:val="007445B5"/>
    <w:rsid w:val="00747B2C"/>
    <w:rsid w:val="0075039A"/>
    <w:rsid w:val="0075508C"/>
    <w:rsid w:val="00762252"/>
    <w:rsid w:val="007627E8"/>
    <w:rsid w:val="00762A90"/>
    <w:rsid w:val="00764E0D"/>
    <w:rsid w:val="007706AA"/>
    <w:rsid w:val="00777DB4"/>
    <w:rsid w:val="00785CC9"/>
    <w:rsid w:val="0079404A"/>
    <w:rsid w:val="007A10D7"/>
    <w:rsid w:val="007A4BBD"/>
    <w:rsid w:val="007B675D"/>
    <w:rsid w:val="007C17B7"/>
    <w:rsid w:val="007C7E34"/>
    <w:rsid w:val="007D3C76"/>
    <w:rsid w:val="007D6FDD"/>
    <w:rsid w:val="007E086D"/>
    <w:rsid w:val="007E09A5"/>
    <w:rsid w:val="007E2D1E"/>
    <w:rsid w:val="007F5F0B"/>
    <w:rsid w:val="00802128"/>
    <w:rsid w:val="00806E75"/>
    <w:rsid w:val="00807DF8"/>
    <w:rsid w:val="0081279C"/>
    <w:rsid w:val="008170C2"/>
    <w:rsid w:val="00817EED"/>
    <w:rsid w:val="00820B20"/>
    <w:rsid w:val="00822530"/>
    <w:rsid w:val="0082491A"/>
    <w:rsid w:val="008254B2"/>
    <w:rsid w:val="00825B7D"/>
    <w:rsid w:val="008323BD"/>
    <w:rsid w:val="00832EA7"/>
    <w:rsid w:val="008403BE"/>
    <w:rsid w:val="00840BAE"/>
    <w:rsid w:val="00841C33"/>
    <w:rsid w:val="00843607"/>
    <w:rsid w:val="00862539"/>
    <w:rsid w:val="008677D2"/>
    <w:rsid w:val="00886238"/>
    <w:rsid w:val="008950BA"/>
    <w:rsid w:val="00897BAA"/>
    <w:rsid w:val="008A19ED"/>
    <w:rsid w:val="008A2083"/>
    <w:rsid w:val="008A6188"/>
    <w:rsid w:val="008C52F2"/>
    <w:rsid w:val="008C5BF2"/>
    <w:rsid w:val="008C7349"/>
    <w:rsid w:val="008C76D8"/>
    <w:rsid w:val="008D1F9D"/>
    <w:rsid w:val="008D5D05"/>
    <w:rsid w:val="008F0081"/>
    <w:rsid w:val="008F4044"/>
    <w:rsid w:val="008F44E1"/>
    <w:rsid w:val="009060A6"/>
    <w:rsid w:val="009114F8"/>
    <w:rsid w:val="00916005"/>
    <w:rsid w:val="0092114E"/>
    <w:rsid w:val="009213CA"/>
    <w:rsid w:val="00921989"/>
    <w:rsid w:val="009303F3"/>
    <w:rsid w:val="00946040"/>
    <w:rsid w:val="00950A3A"/>
    <w:rsid w:val="00961ECE"/>
    <w:rsid w:val="00962A15"/>
    <w:rsid w:val="00964312"/>
    <w:rsid w:val="00972D5B"/>
    <w:rsid w:val="00997A88"/>
    <w:rsid w:val="009A404D"/>
    <w:rsid w:val="009A61D7"/>
    <w:rsid w:val="009B35B5"/>
    <w:rsid w:val="009B4F7B"/>
    <w:rsid w:val="009C4B44"/>
    <w:rsid w:val="009D3674"/>
    <w:rsid w:val="009E7118"/>
    <w:rsid w:val="009F2F28"/>
    <w:rsid w:val="009F2F4C"/>
    <w:rsid w:val="00A013E7"/>
    <w:rsid w:val="00A0220C"/>
    <w:rsid w:val="00A078CA"/>
    <w:rsid w:val="00A11A24"/>
    <w:rsid w:val="00A14ACE"/>
    <w:rsid w:val="00A23AD3"/>
    <w:rsid w:val="00A2750A"/>
    <w:rsid w:val="00A377AA"/>
    <w:rsid w:val="00A44C2C"/>
    <w:rsid w:val="00A57A0A"/>
    <w:rsid w:val="00A61775"/>
    <w:rsid w:val="00A66F83"/>
    <w:rsid w:val="00A6706F"/>
    <w:rsid w:val="00A747CF"/>
    <w:rsid w:val="00A839EE"/>
    <w:rsid w:val="00A845AD"/>
    <w:rsid w:val="00A85CDB"/>
    <w:rsid w:val="00A87AE7"/>
    <w:rsid w:val="00A90269"/>
    <w:rsid w:val="00A977FD"/>
    <w:rsid w:val="00AA05BF"/>
    <w:rsid w:val="00AA607B"/>
    <w:rsid w:val="00AB48C3"/>
    <w:rsid w:val="00AB64F0"/>
    <w:rsid w:val="00AC11C3"/>
    <w:rsid w:val="00AC7AF0"/>
    <w:rsid w:val="00AD513C"/>
    <w:rsid w:val="00AD5CAB"/>
    <w:rsid w:val="00AD6E84"/>
    <w:rsid w:val="00AE1AE0"/>
    <w:rsid w:val="00AE6A8E"/>
    <w:rsid w:val="00AF3589"/>
    <w:rsid w:val="00B0378C"/>
    <w:rsid w:val="00B11341"/>
    <w:rsid w:val="00B12CCC"/>
    <w:rsid w:val="00B17E82"/>
    <w:rsid w:val="00B27002"/>
    <w:rsid w:val="00B443B8"/>
    <w:rsid w:val="00B44B13"/>
    <w:rsid w:val="00B45885"/>
    <w:rsid w:val="00B462D4"/>
    <w:rsid w:val="00B47C5E"/>
    <w:rsid w:val="00B55C28"/>
    <w:rsid w:val="00B602D6"/>
    <w:rsid w:val="00B616E2"/>
    <w:rsid w:val="00B61B0D"/>
    <w:rsid w:val="00B62B21"/>
    <w:rsid w:val="00B632F8"/>
    <w:rsid w:val="00B65890"/>
    <w:rsid w:val="00B70F1C"/>
    <w:rsid w:val="00B72E16"/>
    <w:rsid w:val="00B76529"/>
    <w:rsid w:val="00B82754"/>
    <w:rsid w:val="00B925B5"/>
    <w:rsid w:val="00BA07F4"/>
    <w:rsid w:val="00BA2057"/>
    <w:rsid w:val="00BB4F2B"/>
    <w:rsid w:val="00BB591A"/>
    <w:rsid w:val="00BB68B4"/>
    <w:rsid w:val="00BC4643"/>
    <w:rsid w:val="00BC6A4E"/>
    <w:rsid w:val="00BD2336"/>
    <w:rsid w:val="00BD5072"/>
    <w:rsid w:val="00BE38FA"/>
    <w:rsid w:val="00BF45D5"/>
    <w:rsid w:val="00BF4E90"/>
    <w:rsid w:val="00C1452D"/>
    <w:rsid w:val="00C24630"/>
    <w:rsid w:val="00C33809"/>
    <w:rsid w:val="00C35481"/>
    <w:rsid w:val="00C37EB9"/>
    <w:rsid w:val="00C4215B"/>
    <w:rsid w:val="00C43DB0"/>
    <w:rsid w:val="00C455D7"/>
    <w:rsid w:val="00C45CE2"/>
    <w:rsid w:val="00C514E3"/>
    <w:rsid w:val="00C52459"/>
    <w:rsid w:val="00C532E5"/>
    <w:rsid w:val="00C55F8F"/>
    <w:rsid w:val="00C67A2D"/>
    <w:rsid w:val="00C70366"/>
    <w:rsid w:val="00C71A62"/>
    <w:rsid w:val="00C77FD4"/>
    <w:rsid w:val="00C81012"/>
    <w:rsid w:val="00C90758"/>
    <w:rsid w:val="00CA46D3"/>
    <w:rsid w:val="00CC41F0"/>
    <w:rsid w:val="00CC5D90"/>
    <w:rsid w:val="00CE356F"/>
    <w:rsid w:val="00CF40E7"/>
    <w:rsid w:val="00D057B2"/>
    <w:rsid w:val="00D05F95"/>
    <w:rsid w:val="00D145D6"/>
    <w:rsid w:val="00D17CAD"/>
    <w:rsid w:val="00D17F70"/>
    <w:rsid w:val="00D207AF"/>
    <w:rsid w:val="00D228F8"/>
    <w:rsid w:val="00D2425B"/>
    <w:rsid w:val="00D32EA2"/>
    <w:rsid w:val="00D35AD8"/>
    <w:rsid w:val="00D44132"/>
    <w:rsid w:val="00D53BA6"/>
    <w:rsid w:val="00D61405"/>
    <w:rsid w:val="00D64476"/>
    <w:rsid w:val="00D772CE"/>
    <w:rsid w:val="00D820B1"/>
    <w:rsid w:val="00D832FA"/>
    <w:rsid w:val="00D90536"/>
    <w:rsid w:val="00D914F0"/>
    <w:rsid w:val="00D95EBA"/>
    <w:rsid w:val="00D97CA2"/>
    <w:rsid w:val="00DA178E"/>
    <w:rsid w:val="00DB3DB1"/>
    <w:rsid w:val="00DC405C"/>
    <w:rsid w:val="00DC6C04"/>
    <w:rsid w:val="00DD1A85"/>
    <w:rsid w:val="00DF130F"/>
    <w:rsid w:val="00DF7695"/>
    <w:rsid w:val="00E01358"/>
    <w:rsid w:val="00E0215D"/>
    <w:rsid w:val="00E02688"/>
    <w:rsid w:val="00E13134"/>
    <w:rsid w:val="00E14996"/>
    <w:rsid w:val="00E22D87"/>
    <w:rsid w:val="00E25C24"/>
    <w:rsid w:val="00E2665A"/>
    <w:rsid w:val="00E26C1D"/>
    <w:rsid w:val="00E41201"/>
    <w:rsid w:val="00E43B32"/>
    <w:rsid w:val="00E43E1B"/>
    <w:rsid w:val="00E500C9"/>
    <w:rsid w:val="00E52B72"/>
    <w:rsid w:val="00E55844"/>
    <w:rsid w:val="00E56873"/>
    <w:rsid w:val="00E60BB2"/>
    <w:rsid w:val="00E67CCD"/>
    <w:rsid w:val="00E73E63"/>
    <w:rsid w:val="00E74473"/>
    <w:rsid w:val="00E80931"/>
    <w:rsid w:val="00E84A73"/>
    <w:rsid w:val="00E86A21"/>
    <w:rsid w:val="00E86E80"/>
    <w:rsid w:val="00E87EC5"/>
    <w:rsid w:val="00E9177B"/>
    <w:rsid w:val="00EA35FE"/>
    <w:rsid w:val="00EA6C83"/>
    <w:rsid w:val="00EB3C94"/>
    <w:rsid w:val="00EB46DF"/>
    <w:rsid w:val="00EB67E1"/>
    <w:rsid w:val="00EC1192"/>
    <w:rsid w:val="00ED18AB"/>
    <w:rsid w:val="00EE5AC5"/>
    <w:rsid w:val="00EE7658"/>
    <w:rsid w:val="00EF7A55"/>
    <w:rsid w:val="00F013C0"/>
    <w:rsid w:val="00F041F7"/>
    <w:rsid w:val="00F04795"/>
    <w:rsid w:val="00F06526"/>
    <w:rsid w:val="00F07F2D"/>
    <w:rsid w:val="00F11CCB"/>
    <w:rsid w:val="00F13BBC"/>
    <w:rsid w:val="00F13D30"/>
    <w:rsid w:val="00F245EA"/>
    <w:rsid w:val="00F319A1"/>
    <w:rsid w:val="00F32FC6"/>
    <w:rsid w:val="00F34910"/>
    <w:rsid w:val="00F37C0F"/>
    <w:rsid w:val="00F4215B"/>
    <w:rsid w:val="00F47FCF"/>
    <w:rsid w:val="00F57C07"/>
    <w:rsid w:val="00F67C74"/>
    <w:rsid w:val="00F7243D"/>
    <w:rsid w:val="00F773E1"/>
    <w:rsid w:val="00F8194C"/>
    <w:rsid w:val="00F92DC7"/>
    <w:rsid w:val="00FA0E52"/>
    <w:rsid w:val="00FA1796"/>
    <w:rsid w:val="00FB09E2"/>
    <w:rsid w:val="00FB4847"/>
    <w:rsid w:val="00FC2A13"/>
    <w:rsid w:val="00FC73C5"/>
    <w:rsid w:val="00FD1612"/>
    <w:rsid w:val="00FD19F0"/>
    <w:rsid w:val="00FD4199"/>
    <w:rsid w:val="00FE3E4D"/>
    <w:rsid w:val="00FE6118"/>
    <w:rsid w:val="00FE7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paragraph" w:styleId="Heading9">
    <w:name w:val="heading 9"/>
    <w:basedOn w:val="Normal"/>
    <w:next w:val="Normal"/>
    <w:link w:val="Heading9Char"/>
    <w:uiPriority w:val="9"/>
    <w:semiHidden/>
    <w:unhideWhenUsed/>
    <w:qFormat/>
    <w:rsid w:val="00F7243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uiPriority w:val="99"/>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semiHidden/>
    <w:unhideWhenUsed/>
    <w:rsid w:val="004A3758"/>
    <w:pPr>
      <w:tabs>
        <w:tab w:val="center" w:pos="4680"/>
        <w:tab w:val="right" w:pos="9360"/>
      </w:tabs>
    </w:pPr>
  </w:style>
  <w:style w:type="character" w:customStyle="1" w:styleId="HeaderChar">
    <w:name w:val="Header Char"/>
    <w:basedOn w:val="DefaultParagraphFont"/>
    <w:link w:val="Header"/>
    <w:uiPriority w:val="99"/>
    <w:semiHidden/>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character" w:styleId="CommentReference">
    <w:name w:val="annotation reference"/>
    <w:basedOn w:val="DefaultParagraphFont"/>
    <w:uiPriority w:val="99"/>
    <w:semiHidden/>
    <w:unhideWhenUsed/>
    <w:rsid w:val="000F3B39"/>
    <w:rPr>
      <w:sz w:val="16"/>
      <w:szCs w:val="16"/>
    </w:rPr>
  </w:style>
  <w:style w:type="paragraph" w:styleId="CommentText">
    <w:name w:val="annotation text"/>
    <w:basedOn w:val="Normal"/>
    <w:link w:val="CommentTextChar"/>
    <w:uiPriority w:val="99"/>
    <w:semiHidden/>
    <w:unhideWhenUsed/>
    <w:rsid w:val="000F3B39"/>
    <w:rPr>
      <w:sz w:val="20"/>
    </w:rPr>
  </w:style>
  <w:style w:type="character" w:customStyle="1" w:styleId="CommentTextChar">
    <w:name w:val="Comment Text Char"/>
    <w:basedOn w:val="DefaultParagraphFont"/>
    <w:link w:val="CommentText"/>
    <w:uiPriority w:val="99"/>
    <w:semiHidden/>
    <w:rsid w:val="000F3B39"/>
    <w:rPr>
      <w:rFonts w:ascii="ZapfEllipt BT" w:hAnsi="ZapfEllipt BT"/>
    </w:rPr>
  </w:style>
  <w:style w:type="paragraph" w:styleId="CommentSubject">
    <w:name w:val="annotation subject"/>
    <w:basedOn w:val="CommentText"/>
    <w:next w:val="CommentText"/>
    <w:link w:val="CommentSubjectChar"/>
    <w:uiPriority w:val="99"/>
    <w:semiHidden/>
    <w:unhideWhenUsed/>
    <w:rsid w:val="000F3B39"/>
    <w:rPr>
      <w:b/>
      <w:bCs/>
    </w:rPr>
  </w:style>
  <w:style w:type="character" w:customStyle="1" w:styleId="CommentSubjectChar">
    <w:name w:val="Comment Subject Char"/>
    <w:basedOn w:val="CommentTextChar"/>
    <w:link w:val="CommentSubject"/>
    <w:uiPriority w:val="99"/>
    <w:rsid w:val="000F3B39"/>
    <w:rPr>
      <w:rFonts w:ascii="ZapfEllipt BT" w:hAnsi="ZapfEllipt BT"/>
      <w:b/>
      <w:bCs/>
    </w:rPr>
  </w:style>
  <w:style w:type="paragraph" w:styleId="BalloonText">
    <w:name w:val="Balloon Text"/>
    <w:basedOn w:val="Normal"/>
    <w:link w:val="BalloonTextChar"/>
    <w:uiPriority w:val="99"/>
    <w:semiHidden/>
    <w:unhideWhenUsed/>
    <w:rsid w:val="000F3B39"/>
    <w:rPr>
      <w:rFonts w:ascii="Tahoma" w:hAnsi="Tahoma" w:cs="Tahoma"/>
      <w:sz w:val="16"/>
      <w:szCs w:val="16"/>
    </w:rPr>
  </w:style>
  <w:style w:type="character" w:customStyle="1" w:styleId="BalloonTextChar">
    <w:name w:val="Balloon Text Char"/>
    <w:basedOn w:val="DefaultParagraphFont"/>
    <w:link w:val="BalloonText"/>
    <w:uiPriority w:val="99"/>
    <w:semiHidden/>
    <w:rsid w:val="000F3B39"/>
    <w:rPr>
      <w:rFonts w:ascii="Tahoma" w:hAnsi="Tahoma" w:cs="Tahoma"/>
      <w:sz w:val="16"/>
      <w:szCs w:val="16"/>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t,f, Char, Char4, Char2, Char3"/>
    <w:basedOn w:val="Normal"/>
    <w:link w:val="FootnoteTextChar1"/>
    <w:uiPriority w:val="99"/>
    <w:qFormat/>
    <w:rsid w:val="002A626A"/>
    <w:rPr>
      <w:rFonts w:ascii="Times New Roman" w:eastAsia="Times New Roman" w:hAnsi="Times New Roman"/>
      <w:sz w:val="20"/>
    </w:rPr>
  </w:style>
  <w:style w:type="character" w:customStyle="1" w:styleId="FootnoteTextChar">
    <w:name w:val="Footnote Text Char"/>
    <w:basedOn w:val="DefaultParagraphFont"/>
    <w:uiPriority w:val="99"/>
    <w:semiHidden/>
    <w:rsid w:val="002A626A"/>
    <w:rPr>
      <w:rFonts w:ascii="ZapfEllipt BT" w:hAnsi="ZapfEllipt BT"/>
    </w:rPr>
  </w:style>
  <w:style w:type="character" w:styleId="FootnoteReference">
    <w:name w:val="footnote reference"/>
    <w:basedOn w:val="DefaultParagraphFont"/>
    <w:uiPriority w:val="99"/>
    <w:rsid w:val="002A626A"/>
    <w:rPr>
      <w:vertAlign w:val="superscript"/>
    </w:rPr>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2A626A"/>
    <w:rPr>
      <w:rFonts w:eastAsia="Times New Roman"/>
    </w:rPr>
  </w:style>
  <w:style w:type="character" w:customStyle="1" w:styleId="Heading9Char">
    <w:name w:val="Heading 9 Char"/>
    <w:basedOn w:val="DefaultParagraphFont"/>
    <w:link w:val="Heading9"/>
    <w:uiPriority w:val="99"/>
    <w:rsid w:val="00F7243D"/>
    <w:rPr>
      <w:rFonts w:asciiTheme="majorHAnsi" w:eastAsiaTheme="majorEastAsia" w:hAnsiTheme="majorHAnsi" w:cstheme="majorBidi"/>
      <w:i/>
      <w:iCs/>
      <w:color w:val="404040" w:themeColor="text1" w:themeTint="BF"/>
    </w:rPr>
  </w:style>
  <w:style w:type="paragraph" w:customStyle="1" w:styleId="FRBodyTextDSIndent">
    <w:name w:val="FR Body Text DS Indent"/>
    <w:basedOn w:val="Normal"/>
    <w:uiPriority w:val="99"/>
    <w:rsid w:val="008950BA"/>
    <w:pPr>
      <w:spacing w:line="480" w:lineRule="auto"/>
      <w:ind w:firstLine="720"/>
    </w:pPr>
    <w:rPr>
      <w:rFonts w:ascii="Courier New" w:eastAsia="Times New Roman" w:hAnsi="Courier New" w:cs="Courier New"/>
      <w:szCs w:val="24"/>
    </w:rPr>
  </w:style>
  <w:style w:type="paragraph" w:customStyle="1" w:styleId="Default">
    <w:name w:val="Default"/>
    <w:uiPriority w:val="99"/>
    <w:rsid w:val="008950BA"/>
    <w:pPr>
      <w:autoSpaceDE w:val="0"/>
      <w:autoSpaceDN w:val="0"/>
      <w:adjustRightInd w:val="0"/>
    </w:pPr>
    <w:rPr>
      <w:rFonts w:eastAsia="Times New Roman"/>
      <w:color w:val="000000"/>
      <w:sz w:val="24"/>
      <w:szCs w:val="24"/>
    </w:rPr>
  </w:style>
  <w:style w:type="paragraph" w:styleId="BodyText">
    <w:name w:val="Body Text"/>
    <w:basedOn w:val="Normal"/>
    <w:link w:val="BodyTextChar"/>
    <w:rsid w:val="00B443B8"/>
    <w:pPr>
      <w:autoSpaceDE w:val="0"/>
      <w:autoSpaceDN w:val="0"/>
      <w:adjustRightInd w:val="0"/>
      <w:spacing w:after="120"/>
    </w:pPr>
    <w:rPr>
      <w:rFonts w:ascii="Times New Roman" w:eastAsia="Times New Roman" w:hAnsi="Times New Roman"/>
    </w:rPr>
  </w:style>
  <w:style w:type="character" w:customStyle="1" w:styleId="BodyTextChar">
    <w:name w:val="Body Text Char"/>
    <w:basedOn w:val="DefaultParagraphFont"/>
    <w:link w:val="BodyText"/>
    <w:rsid w:val="00B443B8"/>
    <w:rPr>
      <w:rFonts w:eastAsia="Times New Roman"/>
      <w:sz w:val="24"/>
    </w:rPr>
  </w:style>
  <w:style w:type="paragraph" w:styleId="ListParagraph">
    <w:name w:val="List Paragraph"/>
    <w:basedOn w:val="Normal"/>
    <w:uiPriority w:val="99"/>
    <w:qFormat/>
    <w:rsid w:val="00C55F8F"/>
    <w:pPr>
      <w:ind w:left="720"/>
      <w:contextualSpacing/>
    </w:pPr>
    <w:rPr>
      <w:rFonts w:ascii="Times New Roman" w:eastAsia="Times New Roman" w:hAnsi="Times New Roman"/>
      <w:szCs w:val="24"/>
    </w:rPr>
  </w:style>
  <w:style w:type="character" w:customStyle="1" w:styleId="tabfigsourceChar">
    <w:name w:val="tab/fig source Char"/>
    <w:basedOn w:val="DefaultParagraphFont"/>
    <w:link w:val="tabfigsource"/>
    <w:uiPriority w:val="99"/>
    <w:locked/>
    <w:rsid w:val="007C17B7"/>
  </w:style>
  <w:style w:type="paragraph" w:customStyle="1" w:styleId="tabfigsource">
    <w:name w:val="tab/fig source"/>
    <w:basedOn w:val="Normal"/>
    <w:link w:val="tabfigsourceChar"/>
    <w:uiPriority w:val="99"/>
    <w:rsid w:val="007C17B7"/>
    <w:pPr>
      <w:keepLines/>
      <w:spacing w:before="120" w:after="240"/>
      <w:ind w:left="187" w:hanging="187"/>
    </w:pPr>
    <w:rPr>
      <w:rFonts w:ascii="Times New Roman" w:hAnsi="Times New Roman"/>
      <w:sz w:val="20"/>
    </w:rPr>
  </w:style>
  <w:style w:type="paragraph" w:customStyle="1" w:styleId="FRBodyTextDS">
    <w:name w:val="FR Body Text DS"/>
    <w:basedOn w:val="Normal"/>
    <w:uiPriority w:val="99"/>
    <w:rsid w:val="00E74473"/>
    <w:pPr>
      <w:spacing w:line="480" w:lineRule="auto"/>
    </w:pPr>
    <w:rPr>
      <w:rFonts w:ascii="Courier New" w:eastAsia="Times New Roman" w:hAnsi="Courier New" w:cs="Courier New"/>
      <w:szCs w:val="24"/>
    </w:rPr>
  </w:style>
  <w:style w:type="character" w:customStyle="1" w:styleId="FootnoteTextChar3">
    <w:name w:val="Footnote Text Char3"/>
    <w:aliases w:val="Footnote Text Char Char Char2,Footnote Text Char1 Char Char Char2,Footnote Text Char Char Char Char Char2,Footnote Text Char Char1 Char2,ALTS FOOTNOTE Char2,fn Char2,Char Char2,Char4 Char2,Footnote Text - Preamble Char2,Char2 Char2"/>
    <w:basedOn w:val="DefaultParagraphFont"/>
    <w:uiPriority w:val="99"/>
    <w:rsid w:val="00E74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25226">
      <w:bodyDiv w:val="1"/>
      <w:marLeft w:val="0"/>
      <w:marRight w:val="0"/>
      <w:marTop w:val="0"/>
      <w:marBottom w:val="0"/>
      <w:divBdr>
        <w:top w:val="none" w:sz="0" w:space="0" w:color="auto"/>
        <w:left w:val="none" w:sz="0" w:space="0" w:color="auto"/>
        <w:bottom w:val="none" w:sz="0" w:space="0" w:color="auto"/>
        <w:right w:val="none" w:sz="0" w:space="0" w:color="auto"/>
      </w:divBdr>
    </w:div>
    <w:div w:id="63114028">
      <w:bodyDiv w:val="1"/>
      <w:marLeft w:val="0"/>
      <w:marRight w:val="0"/>
      <w:marTop w:val="0"/>
      <w:marBottom w:val="0"/>
      <w:divBdr>
        <w:top w:val="none" w:sz="0" w:space="0" w:color="auto"/>
        <w:left w:val="none" w:sz="0" w:space="0" w:color="auto"/>
        <w:bottom w:val="none" w:sz="0" w:space="0" w:color="auto"/>
        <w:right w:val="none" w:sz="0" w:space="0" w:color="auto"/>
      </w:divBdr>
    </w:div>
    <w:div w:id="86385938">
      <w:bodyDiv w:val="1"/>
      <w:marLeft w:val="0"/>
      <w:marRight w:val="0"/>
      <w:marTop w:val="0"/>
      <w:marBottom w:val="0"/>
      <w:divBdr>
        <w:top w:val="none" w:sz="0" w:space="0" w:color="auto"/>
        <w:left w:val="none" w:sz="0" w:space="0" w:color="auto"/>
        <w:bottom w:val="none" w:sz="0" w:space="0" w:color="auto"/>
        <w:right w:val="none" w:sz="0" w:space="0" w:color="auto"/>
      </w:divBdr>
    </w:div>
    <w:div w:id="93208948">
      <w:bodyDiv w:val="1"/>
      <w:marLeft w:val="0"/>
      <w:marRight w:val="0"/>
      <w:marTop w:val="0"/>
      <w:marBottom w:val="0"/>
      <w:divBdr>
        <w:top w:val="none" w:sz="0" w:space="0" w:color="auto"/>
        <w:left w:val="none" w:sz="0" w:space="0" w:color="auto"/>
        <w:bottom w:val="none" w:sz="0" w:space="0" w:color="auto"/>
        <w:right w:val="none" w:sz="0" w:space="0" w:color="auto"/>
      </w:divBdr>
    </w:div>
    <w:div w:id="107821598">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47018324">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7739809">
      <w:bodyDiv w:val="1"/>
      <w:marLeft w:val="0"/>
      <w:marRight w:val="0"/>
      <w:marTop w:val="0"/>
      <w:marBottom w:val="0"/>
      <w:divBdr>
        <w:top w:val="none" w:sz="0" w:space="0" w:color="auto"/>
        <w:left w:val="none" w:sz="0" w:space="0" w:color="auto"/>
        <w:bottom w:val="none" w:sz="0" w:space="0" w:color="auto"/>
        <w:right w:val="none" w:sz="0" w:space="0" w:color="auto"/>
      </w:divBdr>
    </w:div>
    <w:div w:id="180945678">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316036795">
      <w:bodyDiv w:val="1"/>
      <w:marLeft w:val="0"/>
      <w:marRight w:val="0"/>
      <w:marTop w:val="0"/>
      <w:marBottom w:val="0"/>
      <w:divBdr>
        <w:top w:val="none" w:sz="0" w:space="0" w:color="auto"/>
        <w:left w:val="none" w:sz="0" w:space="0" w:color="auto"/>
        <w:bottom w:val="none" w:sz="0" w:space="0" w:color="auto"/>
        <w:right w:val="none" w:sz="0" w:space="0" w:color="auto"/>
      </w:divBdr>
    </w:div>
    <w:div w:id="318925408">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14521922">
      <w:bodyDiv w:val="1"/>
      <w:marLeft w:val="0"/>
      <w:marRight w:val="0"/>
      <w:marTop w:val="0"/>
      <w:marBottom w:val="0"/>
      <w:divBdr>
        <w:top w:val="none" w:sz="0" w:space="0" w:color="auto"/>
        <w:left w:val="none" w:sz="0" w:space="0" w:color="auto"/>
        <w:bottom w:val="none" w:sz="0" w:space="0" w:color="auto"/>
        <w:right w:val="none" w:sz="0" w:space="0" w:color="auto"/>
      </w:divBdr>
    </w:div>
    <w:div w:id="474879601">
      <w:bodyDiv w:val="1"/>
      <w:marLeft w:val="0"/>
      <w:marRight w:val="0"/>
      <w:marTop w:val="0"/>
      <w:marBottom w:val="0"/>
      <w:divBdr>
        <w:top w:val="none" w:sz="0" w:space="0" w:color="auto"/>
        <w:left w:val="none" w:sz="0" w:space="0" w:color="auto"/>
        <w:bottom w:val="none" w:sz="0" w:space="0" w:color="auto"/>
        <w:right w:val="none" w:sz="0" w:space="0" w:color="auto"/>
      </w:divBdr>
    </w:div>
    <w:div w:id="477570456">
      <w:bodyDiv w:val="1"/>
      <w:marLeft w:val="0"/>
      <w:marRight w:val="0"/>
      <w:marTop w:val="0"/>
      <w:marBottom w:val="0"/>
      <w:divBdr>
        <w:top w:val="none" w:sz="0" w:space="0" w:color="auto"/>
        <w:left w:val="none" w:sz="0" w:space="0" w:color="auto"/>
        <w:bottom w:val="none" w:sz="0" w:space="0" w:color="auto"/>
        <w:right w:val="none" w:sz="0" w:space="0" w:color="auto"/>
      </w:divBdr>
    </w:div>
    <w:div w:id="49677371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602692419">
      <w:bodyDiv w:val="1"/>
      <w:marLeft w:val="0"/>
      <w:marRight w:val="0"/>
      <w:marTop w:val="0"/>
      <w:marBottom w:val="0"/>
      <w:divBdr>
        <w:top w:val="none" w:sz="0" w:space="0" w:color="auto"/>
        <w:left w:val="none" w:sz="0" w:space="0" w:color="auto"/>
        <w:bottom w:val="none" w:sz="0" w:space="0" w:color="auto"/>
        <w:right w:val="none" w:sz="0" w:space="0" w:color="auto"/>
      </w:divBdr>
    </w:div>
    <w:div w:id="605115587">
      <w:bodyDiv w:val="1"/>
      <w:marLeft w:val="0"/>
      <w:marRight w:val="0"/>
      <w:marTop w:val="0"/>
      <w:marBottom w:val="0"/>
      <w:divBdr>
        <w:top w:val="none" w:sz="0" w:space="0" w:color="auto"/>
        <w:left w:val="none" w:sz="0" w:space="0" w:color="auto"/>
        <w:bottom w:val="none" w:sz="0" w:space="0" w:color="auto"/>
        <w:right w:val="none" w:sz="0" w:space="0" w:color="auto"/>
      </w:divBdr>
    </w:div>
    <w:div w:id="637959678">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742145305">
      <w:bodyDiv w:val="1"/>
      <w:marLeft w:val="0"/>
      <w:marRight w:val="0"/>
      <w:marTop w:val="0"/>
      <w:marBottom w:val="0"/>
      <w:divBdr>
        <w:top w:val="none" w:sz="0" w:space="0" w:color="auto"/>
        <w:left w:val="none" w:sz="0" w:space="0" w:color="auto"/>
        <w:bottom w:val="none" w:sz="0" w:space="0" w:color="auto"/>
        <w:right w:val="none" w:sz="0" w:space="0" w:color="auto"/>
      </w:divBdr>
    </w:div>
    <w:div w:id="891308788">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30760777">
      <w:bodyDiv w:val="1"/>
      <w:marLeft w:val="0"/>
      <w:marRight w:val="0"/>
      <w:marTop w:val="0"/>
      <w:marBottom w:val="0"/>
      <w:divBdr>
        <w:top w:val="none" w:sz="0" w:space="0" w:color="auto"/>
        <w:left w:val="none" w:sz="0" w:space="0" w:color="auto"/>
        <w:bottom w:val="none" w:sz="0" w:space="0" w:color="auto"/>
        <w:right w:val="none" w:sz="0" w:space="0" w:color="auto"/>
      </w:divBdr>
    </w:div>
    <w:div w:id="1049186385">
      <w:bodyDiv w:val="1"/>
      <w:marLeft w:val="0"/>
      <w:marRight w:val="0"/>
      <w:marTop w:val="0"/>
      <w:marBottom w:val="0"/>
      <w:divBdr>
        <w:top w:val="none" w:sz="0" w:space="0" w:color="auto"/>
        <w:left w:val="none" w:sz="0" w:space="0" w:color="auto"/>
        <w:bottom w:val="none" w:sz="0" w:space="0" w:color="auto"/>
        <w:right w:val="none" w:sz="0" w:space="0" w:color="auto"/>
      </w:divBdr>
    </w:div>
    <w:div w:id="1180857243">
      <w:bodyDiv w:val="1"/>
      <w:marLeft w:val="0"/>
      <w:marRight w:val="0"/>
      <w:marTop w:val="0"/>
      <w:marBottom w:val="0"/>
      <w:divBdr>
        <w:top w:val="none" w:sz="0" w:space="0" w:color="auto"/>
        <w:left w:val="none" w:sz="0" w:space="0" w:color="auto"/>
        <w:bottom w:val="none" w:sz="0" w:space="0" w:color="auto"/>
        <w:right w:val="none" w:sz="0" w:space="0" w:color="auto"/>
      </w:divBdr>
    </w:div>
    <w:div w:id="1190072760">
      <w:bodyDiv w:val="1"/>
      <w:marLeft w:val="0"/>
      <w:marRight w:val="0"/>
      <w:marTop w:val="0"/>
      <w:marBottom w:val="0"/>
      <w:divBdr>
        <w:top w:val="none" w:sz="0" w:space="0" w:color="auto"/>
        <w:left w:val="none" w:sz="0" w:space="0" w:color="auto"/>
        <w:bottom w:val="none" w:sz="0" w:space="0" w:color="auto"/>
        <w:right w:val="none" w:sz="0" w:space="0" w:color="auto"/>
      </w:divBdr>
    </w:div>
    <w:div w:id="1270430670">
      <w:bodyDiv w:val="1"/>
      <w:marLeft w:val="0"/>
      <w:marRight w:val="0"/>
      <w:marTop w:val="0"/>
      <w:marBottom w:val="0"/>
      <w:divBdr>
        <w:top w:val="none" w:sz="0" w:space="0" w:color="auto"/>
        <w:left w:val="none" w:sz="0" w:space="0" w:color="auto"/>
        <w:bottom w:val="none" w:sz="0" w:space="0" w:color="auto"/>
        <w:right w:val="none" w:sz="0" w:space="0" w:color="auto"/>
      </w:divBdr>
    </w:div>
    <w:div w:id="1284265855">
      <w:bodyDiv w:val="1"/>
      <w:marLeft w:val="0"/>
      <w:marRight w:val="0"/>
      <w:marTop w:val="0"/>
      <w:marBottom w:val="0"/>
      <w:divBdr>
        <w:top w:val="none" w:sz="0" w:space="0" w:color="auto"/>
        <w:left w:val="none" w:sz="0" w:space="0" w:color="auto"/>
        <w:bottom w:val="none" w:sz="0" w:space="0" w:color="auto"/>
        <w:right w:val="none" w:sz="0" w:space="0" w:color="auto"/>
      </w:divBdr>
    </w:div>
    <w:div w:id="1308852188">
      <w:bodyDiv w:val="1"/>
      <w:marLeft w:val="0"/>
      <w:marRight w:val="0"/>
      <w:marTop w:val="0"/>
      <w:marBottom w:val="0"/>
      <w:divBdr>
        <w:top w:val="none" w:sz="0" w:space="0" w:color="auto"/>
        <w:left w:val="none" w:sz="0" w:space="0" w:color="auto"/>
        <w:bottom w:val="none" w:sz="0" w:space="0" w:color="auto"/>
        <w:right w:val="none" w:sz="0" w:space="0" w:color="auto"/>
      </w:divBdr>
    </w:div>
    <w:div w:id="139666021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674256745">
      <w:bodyDiv w:val="1"/>
      <w:marLeft w:val="0"/>
      <w:marRight w:val="0"/>
      <w:marTop w:val="0"/>
      <w:marBottom w:val="0"/>
      <w:divBdr>
        <w:top w:val="none" w:sz="0" w:space="0" w:color="auto"/>
        <w:left w:val="none" w:sz="0" w:space="0" w:color="auto"/>
        <w:bottom w:val="none" w:sz="0" w:space="0" w:color="auto"/>
        <w:right w:val="none" w:sz="0" w:space="0" w:color="auto"/>
      </w:divBdr>
    </w:div>
    <w:div w:id="1753232511">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55608726">
      <w:bodyDiv w:val="1"/>
      <w:marLeft w:val="0"/>
      <w:marRight w:val="0"/>
      <w:marTop w:val="0"/>
      <w:marBottom w:val="0"/>
      <w:divBdr>
        <w:top w:val="none" w:sz="0" w:space="0" w:color="auto"/>
        <w:left w:val="none" w:sz="0" w:space="0" w:color="auto"/>
        <w:bottom w:val="none" w:sz="0" w:space="0" w:color="auto"/>
        <w:right w:val="none" w:sz="0" w:space="0" w:color="auto"/>
      </w:divBdr>
    </w:div>
    <w:div w:id="1915357574">
      <w:bodyDiv w:val="1"/>
      <w:marLeft w:val="0"/>
      <w:marRight w:val="0"/>
      <w:marTop w:val="0"/>
      <w:marBottom w:val="0"/>
      <w:divBdr>
        <w:top w:val="none" w:sz="0" w:space="0" w:color="auto"/>
        <w:left w:val="none" w:sz="0" w:space="0" w:color="auto"/>
        <w:bottom w:val="none" w:sz="0" w:space="0" w:color="auto"/>
        <w:right w:val="none" w:sz="0" w:space="0" w:color="auto"/>
      </w:divBdr>
    </w:div>
    <w:div w:id="2013994500">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 w:id="2129663284">
      <w:bodyDiv w:val="1"/>
      <w:marLeft w:val="0"/>
      <w:marRight w:val="0"/>
      <w:marTop w:val="0"/>
      <w:marBottom w:val="0"/>
      <w:divBdr>
        <w:top w:val="none" w:sz="0" w:space="0" w:color="auto"/>
        <w:left w:val="none" w:sz="0" w:space="0" w:color="auto"/>
        <w:bottom w:val="none" w:sz="0" w:space="0" w:color="auto"/>
        <w:right w:val="none" w:sz="0" w:space="0" w:color="auto"/>
      </w:divBdr>
    </w:div>
    <w:div w:id="214141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EB38C53-0118-4F00-B1FD-E385ACD3BE82}">
  <ds:schemaRefs>
    <ds:schemaRef ds:uri="http://schemas.openxmlformats.org/officeDocument/2006/bibliography"/>
  </ds:schemaRefs>
</ds:datastoreItem>
</file>

<file path=customXml/itemProps2.xml><?xml version="1.0" encoding="utf-8"?>
<ds:datastoreItem xmlns:ds="http://schemas.openxmlformats.org/officeDocument/2006/customXml" ds:itemID="{3517B247-004C-4426-8DC1-69284570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6085</Words>
  <Characters>34688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40692</CharactersWithSpaces>
  <SharedDoc>false</SharedDoc>
  <HLinks>
    <vt:vector size="6" baseType="variant">
      <vt:variant>
        <vt:i4>2490397</vt:i4>
      </vt:variant>
      <vt:variant>
        <vt:i4>3</vt:i4>
      </vt:variant>
      <vt:variant>
        <vt:i4>0</vt:i4>
      </vt:variant>
      <vt:variant>
        <vt:i4>5</vt:i4>
      </vt:variant>
      <vt:variant>
        <vt:lpwstr>http://www.opm.gov/oca/11tables/html/gs_h.asp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 Colville-Taylor</dc:creator>
  <cp:lastModifiedBy>U.S. EPA User or Contractor</cp:lastModifiedBy>
  <cp:revision>3</cp:revision>
  <cp:lastPrinted>2011-12-15T21:34:00Z</cp:lastPrinted>
  <dcterms:created xsi:type="dcterms:W3CDTF">2014-01-08T18:12:00Z</dcterms:created>
  <dcterms:modified xsi:type="dcterms:W3CDTF">2014-01-08T18:14:00Z</dcterms:modified>
</cp:coreProperties>
</file>