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DD8" w:rsidRDefault="00C93DD8">
      <w:pPr>
        <w:widowControl/>
        <w:rPr>
          <w:sz w:val="24"/>
        </w:rPr>
      </w:pPr>
    </w:p>
    <w:p w:rsidR="00C93DD8" w:rsidRDefault="00C93DD8">
      <w:pPr>
        <w:widowControl/>
        <w:rPr>
          <w:sz w:val="24"/>
        </w:rPr>
      </w:pPr>
    </w:p>
    <w:p w:rsidR="00C93DD8" w:rsidRDefault="00C93DD8">
      <w:pPr>
        <w:widowControl/>
        <w:ind w:firstLine="3600"/>
        <w:rPr>
          <w:sz w:val="24"/>
        </w:rPr>
      </w:pPr>
    </w:p>
    <w:p w:rsidR="00C93DD8" w:rsidRDefault="00C93DD8">
      <w:pPr>
        <w:widowControl/>
        <w:rPr>
          <w:sz w:val="24"/>
        </w:rPr>
      </w:pPr>
    </w:p>
    <w:p w:rsidR="00C93DD8" w:rsidRDefault="00C93DD8">
      <w:pPr>
        <w:widowControl/>
        <w:rPr>
          <w:sz w:val="24"/>
        </w:rPr>
      </w:pPr>
    </w:p>
    <w:p w:rsidR="00C93DD8" w:rsidRDefault="00C93DD8">
      <w:pPr>
        <w:widowControl/>
        <w:rPr>
          <w:sz w:val="24"/>
        </w:rPr>
      </w:pPr>
    </w:p>
    <w:p w:rsidR="00C93DD8" w:rsidRPr="00202521" w:rsidRDefault="00C93DD8" w:rsidP="00202521">
      <w:pPr>
        <w:widowControl/>
        <w:jc w:val="center"/>
        <w:rPr>
          <w:sz w:val="48"/>
          <w:szCs w:val="48"/>
        </w:rPr>
      </w:pPr>
    </w:p>
    <w:p w:rsidR="00C93DD8" w:rsidRDefault="00C93DD8">
      <w:pPr>
        <w:widowControl/>
        <w:rPr>
          <w:sz w:val="24"/>
        </w:rPr>
      </w:pPr>
    </w:p>
    <w:p w:rsidR="00C93DD8" w:rsidRDefault="00C93DD8">
      <w:pPr>
        <w:widowControl/>
        <w:rPr>
          <w:sz w:val="24"/>
        </w:rPr>
      </w:pPr>
    </w:p>
    <w:p w:rsidR="00C93DD8" w:rsidRDefault="00C93DD8">
      <w:pPr>
        <w:widowControl/>
        <w:tabs>
          <w:tab w:val="right" w:pos="9360"/>
        </w:tabs>
        <w:rPr>
          <w:sz w:val="24"/>
        </w:rPr>
      </w:pPr>
      <w:r>
        <w:rPr>
          <w:sz w:val="24"/>
        </w:rPr>
        <w:tab/>
      </w:r>
    </w:p>
    <w:p w:rsidR="00C93DD8" w:rsidRDefault="00C93DD8">
      <w:pPr>
        <w:widowControl/>
        <w:rPr>
          <w:sz w:val="24"/>
        </w:rPr>
      </w:pPr>
    </w:p>
    <w:p w:rsidR="00C93DD8" w:rsidRDefault="00C93DD8">
      <w:pPr>
        <w:widowControl/>
        <w:rPr>
          <w:sz w:val="24"/>
        </w:rPr>
      </w:pPr>
    </w:p>
    <w:p w:rsidR="00C93DD8" w:rsidRDefault="00C93DD8">
      <w:pPr>
        <w:widowControl/>
        <w:rPr>
          <w:sz w:val="24"/>
        </w:rPr>
      </w:pPr>
    </w:p>
    <w:p w:rsidR="00C93DD8" w:rsidRDefault="00C93DD8">
      <w:pPr>
        <w:widowControl/>
        <w:rPr>
          <w:sz w:val="24"/>
        </w:rPr>
      </w:pPr>
    </w:p>
    <w:p w:rsidR="00C93DD8" w:rsidRDefault="00C93DD8">
      <w:pPr>
        <w:widowControl/>
        <w:rPr>
          <w:sz w:val="24"/>
        </w:rPr>
      </w:pPr>
    </w:p>
    <w:p w:rsidR="00C93DD8" w:rsidRDefault="00C93DD8">
      <w:pPr>
        <w:widowControl/>
        <w:rPr>
          <w:sz w:val="24"/>
        </w:rPr>
      </w:pPr>
    </w:p>
    <w:p w:rsidR="00C93DD8" w:rsidRDefault="00C93DD8" w:rsidP="00573BE8">
      <w:pPr>
        <w:widowControl/>
        <w:jc w:val="center"/>
        <w:rPr>
          <w:b/>
          <w:bCs/>
          <w:sz w:val="24"/>
        </w:rPr>
      </w:pPr>
      <w:r>
        <w:rPr>
          <w:b/>
          <w:bCs/>
          <w:sz w:val="24"/>
        </w:rPr>
        <w:t>SUPPORTING STATEMENT FOR</w:t>
      </w:r>
    </w:p>
    <w:p w:rsidR="00C93DD8" w:rsidRDefault="00C93DD8" w:rsidP="00573BE8">
      <w:pPr>
        <w:widowControl/>
        <w:jc w:val="center"/>
        <w:rPr>
          <w:b/>
          <w:bCs/>
          <w:sz w:val="24"/>
        </w:rPr>
      </w:pPr>
      <w:r>
        <w:rPr>
          <w:b/>
          <w:bCs/>
          <w:sz w:val="24"/>
        </w:rPr>
        <w:t xml:space="preserve">INFORMATION COLLECTION REQUEST </w:t>
      </w:r>
      <w:r w:rsidRPr="00A30AAB">
        <w:rPr>
          <w:b/>
          <w:bCs/>
          <w:sz w:val="24"/>
        </w:rPr>
        <w:t>NUMBER</w:t>
      </w:r>
      <w:r w:rsidR="00F25BF4" w:rsidRPr="00A30AAB">
        <w:rPr>
          <w:b/>
          <w:bCs/>
          <w:sz w:val="24"/>
        </w:rPr>
        <w:t xml:space="preserve"> </w:t>
      </w:r>
      <w:r w:rsidR="001A3626">
        <w:rPr>
          <w:b/>
          <w:bCs/>
          <w:sz w:val="24"/>
        </w:rPr>
        <w:t>2421.</w:t>
      </w:r>
      <w:r w:rsidR="00121225">
        <w:rPr>
          <w:b/>
          <w:bCs/>
          <w:sz w:val="24"/>
        </w:rPr>
        <w:t>0</w:t>
      </w:r>
      <w:r w:rsidR="00F93370">
        <w:rPr>
          <w:b/>
          <w:bCs/>
          <w:sz w:val="24"/>
        </w:rPr>
        <w:t>4</w:t>
      </w:r>
    </w:p>
    <w:p w:rsidR="00184346" w:rsidRDefault="00184346" w:rsidP="00573BE8">
      <w:pPr>
        <w:widowControl/>
        <w:jc w:val="center"/>
        <w:rPr>
          <w:b/>
          <w:bCs/>
          <w:sz w:val="24"/>
        </w:rPr>
      </w:pPr>
    </w:p>
    <w:p w:rsidR="00C93DD8" w:rsidRPr="005D0B06" w:rsidRDefault="005D0B06" w:rsidP="00573BE8">
      <w:pPr>
        <w:widowControl/>
        <w:jc w:val="center"/>
        <w:rPr>
          <w:b/>
          <w:bCs/>
          <w:caps/>
          <w:sz w:val="24"/>
        </w:rPr>
      </w:pPr>
      <w:r>
        <w:rPr>
          <w:b/>
          <w:caps/>
          <w:sz w:val="24"/>
        </w:rPr>
        <w:t>“</w:t>
      </w:r>
      <w:r w:rsidR="005C16DE">
        <w:rPr>
          <w:b/>
          <w:caps/>
          <w:sz w:val="24"/>
        </w:rPr>
        <w:t>HAZARDOUS WASTE MANAGEMENT SYSTEM: CONDITIONAL EXCLUSION FOR CARBON DIOXIDE (CO</w:t>
      </w:r>
      <w:r w:rsidR="005C16DE" w:rsidRPr="005C16DE">
        <w:rPr>
          <w:b/>
          <w:caps/>
          <w:sz w:val="24"/>
          <w:vertAlign w:val="subscript"/>
        </w:rPr>
        <w:t>2</w:t>
      </w:r>
      <w:r w:rsidR="005C16DE">
        <w:rPr>
          <w:b/>
          <w:caps/>
          <w:sz w:val="24"/>
        </w:rPr>
        <w:t>) STREAMS IN GEOLOGICAL SEQUESTRATION ACTIVITIES</w:t>
      </w:r>
      <w:r w:rsidR="00180B91">
        <w:rPr>
          <w:b/>
          <w:caps/>
          <w:sz w:val="24"/>
        </w:rPr>
        <w:t xml:space="preserve"> – final </w:t>
      </w:r>
      <w:r w:rsidR="00404E20">
        <w:rPr>
          <w:b/>
          <w:caps/>
          <w:sz w:val="24"/>
        </w:rPr>
        <w:t>RULE</w:t>
      </w:r>
      <w:r>
        <w:rPr>
          <w:b/>
          <w:caps/>
          <w:sz w:val="24"/>
        </w:rPr>
        <w:t>”</w:t>
      </w:r>
    </w:p>
    <w:p w:rsidR="00C93DD8" w:rsidRDefault="00C93DD8" w:rsidP="00573BE8">
      <w:pPr>
        <w:widowControl/>
        <w:jc w:val="center"/>
        <w:rPr>
          <w:b/>
          <w:bCs/>
          <w:sz w:val="24"/>
        </w:rPr>
      </w:pPr>
    </w:p>
    <w:p w:rsidR="00096257" w:rsidRPr="00096257" w:rsidRDefault="00980FAE" w:rsidP="005C16DE">
      <w:pPr>
        <w:widowControl/>
        <w:jc w:val="center"/>
        <w:rPr>
          <w:bCs/>
          <w:i/>
          <w:sz w:val="24"/>
        </w:rPr>
      </w:pPr>
      <w:r>
        <w:rPr>
          <w:b/>
          <w:bCs/>
          <w:sz w:val="24"/>
        </w:rPr>
        <w:t>August 27</w:t>
      </w:r>
      <w:r w:rsidR="005C16DE">
        <w:rPr>
          <w:b/>
          <w:bCs/>
          <w:sz w:val="24"/>
        </w:rPr>
        <w:t>, 2013</w:t>
      </w:r>
    </w:p>
    <w:p w:rsidR="00C93DD8" w:rsidRDefault="00C93DD8">
      <w:pPr>
        <w:widowControl/>
        <w:jc w:val="center"/>
        <w:rPr>
          <w:sz w:val="24"/>
        </w:rPr>
        <w:sectPr w:rsidR="00C93DD8">
          <w:footerReference w:type="default" r:id="rId8"/>
          <w:endnotePr>
            <w:numFmt w:val="decimal"/>
          </w:endnotePr>
          <w:pgSz w:w="12240" w:h="15840"/>
          <w:pgMar w:top="1440" w:right="1440" w:bottom="1440" w:left="1440" w:header="1440" w:footer="1440" w:gutter="0"/>
          <w:cols w:space="720"/>
          <w:noEndnote/>
        </w:sectPr>
      </w:pPr>
    </w:p>
    <w:p w:rsidR="00C93DD8" w:rsidRDefault="00C93DD8">
      <w:pPr>
        <w:widowControl/>
        <w:jc w:val="center"/>
        <w:rPr>
          <w:b/>
          <w:bCs/>
          <w:sz w:val="24"/>
        </w:rPr>
      </w:pPr>
      <w:r>
        <w:rPr>
          <w:b/>
          <w:bCs/>
          <w:sz w:val="24"/>
        </w:rPr>
        <w:lastRenderedPageBreak/>
        <w:t>TABLE OF CONTENTS</w:t>
      </w:r>
    </w:p>
    <w:p w:rsidR="00A82054" w:rsidRDefault="00A82054" w:rsidP="00A82054">
      <w:pPr>
        <w:widowControl/>
        <w:tabs>
          <w:tab w:val="left" w:pos="360"/>
          <w:tab w:val="left" w:pos="1080"/>
        </w:tabs>
        <w:jc w:val="center"/>
        <w:rPr>
          <w:b/>
          <w:bCs/>
          <w:sz w:val="24"/>
        </w:rPr>
      </w:pPr>
    </w:p>
    <w:p w:rsidR="00A82054" w:rsidRPr="00AE4EF7" w:rsidRDefault="00F10061" w:rsidP="0021077A">
      <w:pPr>
        <w:pStyle w:val="TOC1"/>
        <w:rPr>
          <w:rFonts w:ascii="Calibri" w:hAnsi="Calibri"/>
          <w:noProof/>
          <w:sz w:val="22"/>
          <w:szCs w:val="22"/>
        </w:rPr>
      </w:pPr>
      <w:r w:rsidRPr="00F10061">
        <w:fldChar w:fldCharType="begin"/>
      </w:r>
      <w:r w:rsidR="00A82054" w:rsidRPr="00AE4EF7">
        <w:instrText xml:space="preserve"> TOC \o "1-3" \h \z \u </w:instrText>
      </w:r>
      <w:r w:rsidRPr="00F10061">
        <w:fldChar w:fldCharType="separate"/>
      </w:r>
      <w:hyperlink w:anchor="_Toc268879860" w:history="1">
        <w:r w:rsidR="00A82054" w:rsidRPr="00AE4EF7">
          <w:rPr>
            <w:rStyle w:val="Hyperlink"/>
            <w:noProof/>
          </w:rPr>
          <w:t>1.</w:t>
        </w:r>
        <w:r w:rsidR="00A82054" w:rsidRPr="00AE4EF7">
          <w:rPr>
            <w:rFonts w:ascii="Calibri" w:hAnsi="Calibri"/>
            <w:noProof/>
            <w:sz w:val="22"/>
            <w:szCs w:val="22"/>
          </w:rPr>
          <w:tab/>
        </w:r>
        <w:r w:rsidR="00A82054" w:rsidRPr="00AE4EF7">
          <w:rPr>
            <w:rStyle w:val="Hyperlink"/>
            <w:noProof/>
          </w:rPr>
          <w:t>IDENTIFICATION OF THE INFORMATION COLLECTION</w:t>
        </w:r>
        <w:r w:rsidR="00A82054" w:rsidRPr="00AE4EF7">
          <w:rPr>
            <w:noProof/>
            <w:webHidden/>
          </w:rPr>
          <w:tab/>
        </w:r>
        <w:r w:rsidRPr="00AE4EF7">
          <w:rPr>
            <w:noProof/>
            <w:webHidden/>
          </w:rPr>
          <w:fldChar w:fldCharType="begin"/>
        </w:r>
        <w:r w:rsidR="00A82054" w:rsidRPr="00AE4EF7">
          <w:rPr>
            <w:noProof/>
            <w:webHidden/>
          </w:rPr>
          <w:instrText xml:space="preserve"> PAGEREF _Toc268879860 \h </w:instrText>
        </w:r>
        <w:r w:rsidRPr="00AE4EF7">
          <w:rPr>
            <w:noProof/>
            <w:webHidden/>
          </w:rPr>
        </w:r>
        <w:r w:rsidRPr="00AE4EF7">
          <w:rPr>
            <w:noProof/>
            <w:webHidden/>
          </w:rPr>
          <w:fldChar w:fldCharType="separate"/>
        </w:r>
        <w:r w:rsidR="009B1D6E">
          <w:rPr>
            <w:noProof/>
            <w:webHidden/>
          </w:rPr>
          <w:t>1</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61" w:history="1">
        <w:r w:rsidR="00A82054" w:rsidRPr="00AE4EF7">
          <w:rPr>
            <w:rStyle w:val="Hyperlink"/>
            <w:noProof/>
          </w:rPr>
          <w:t>1(a)</w:t>
        </w:r>
        <w:r w:rsidR="00A82054" w:rsidRPr="00AE4EF7">
          <w:rPr>
            <w:rFonts w:ascii="Calibri" w:hAnsi="Calibri"/>
            <w:iCs w:val="0"/>
            <w:noProof/>
            <w:sz w:val="22"/>
            <w:szCs w:val="22"/>
          </w:rPr>
          <w:tab/>
        </w:r>
        <w:r w:rsidR="00A82054" w:rsidRPr="00AE4EF7">
          <w:rPr>
            <w:rStyle w:val="Hyperlink"/>
            <w:noProof/>
          </w:rPr>
          <w:t>Title and Number of the Information Collection</w:t>
        </w:r>
        <w:r w:rsidR="00A82054" w:rsidRPr="00AE4EF7">
          <w:rPr>
            <w:noProof/>
            <w:webHidden/>
          </w:rPr>
          <w:tab/>
        </w:r>
        <w:r w:rsidRPr="00AE4EF7">
          <w:rPr>
            <w:noProof/>
            <w:webHidden/>
          </w:rPr>
          <w:fldChar w:fldCharType="begin"/>
        </w:r>
        <w:r w:rsidR="00A82054" w:rsidRPr="00AE4EF7">
          <w:rPr>
            <w:noProof/>
            <w:webHidden/>
          </w:rPr>
          <w:instrText xml:space="preserve"> PAGEREF _Toc268879861 \h </w:instrText>
        </w:r>
        <w:r w:rsidRPr="00AE4EF7">
          <w:rPr>
            <w:noProof/>
            <w:webHidden/>
          </w:rPr>
        </w:r>
        <w:r w:rsidRPr="00AE4EF7">
          <w:rPr>
            <w:noProof/>
            <w:webHidden/>
          </w:rPr>
          <w:fldChar w:fldCharType="separate"/>
        </w:r>
        <w:r w:rsidR="009B1D6E">
          <w:rPr>
            <w:noProof/>
            <w:webHidden/>
          </w:rPr>
          <w:t>1</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62" w:history="1">
        <w:r w:rsidR="00A82054" w:rsidRPr="00AE4EF7">
          <w:rPr>
            <w:rStyle w:val="Hyperlink"/>
            <w:noProof/>
          </w:rPr>
          <w:t>1(b)</w:t>
        </w:r>
        <w:r w:rsidR="00A82054" w:rsidRPr="00AE4EF7">
          <w:rPr>
            <w:rFonts w:ascii="Calibri" w:hAnsi="Calibri"/>
            <w:iCs w:val="0"/>
            <w:noProof/>
            <w:sz w:val="22"/>
            <w:szCs w:val="22"/>
          </w:rPr>
          <w:tab/>
        </w:r>
        <w:r w:rsidR="00A82054" w:rsidRPr="00AE4EF7">
          <w:rPr>
            <w:rStyle w:val="Hyperlink"/>
            <w:noProof/>
          </w:rPr>
          <w:t>Short Characterization or Abstract</w:t>
        </w:r>
        <w:r w:rsidR="00A82054" w:rsidRPr="00AE4EF7">
          <w:rPr>
            <w:noProof/>
            <w:webHidden/>
          </w:rPr>
          <w:tab/>
        </w:r>
        <w:r w:rsidRPr="00AE4EF7">
          <w:rPr>
            <w:noProof/>
            <w:webHidden/>
          </w:rPr>
          <w:fldChar w:fldCharType="begin"/>
        </w:r>
        <w:r w:rsidR="00A82054" w:rsidRPr="00AE4EF7">
          <w:rPr>
            <w:noProof/>
            <w:webHidden/>
          </w:rPr>
          <w:instrText xml:space="preserve"> PAGEREF _Toc268879862 \h </w:instrText>
        </w:r>
        <w:r w:rsidRPr="00AE4EF7">
          <w:rPr>
            <w:noProof/>
            <w:webHidden/>
          </w:rPr>
        </w:r>
        <w:r w:rsidRPr="00AE4EF7">
          <w:rPr>
            <w:noProof/>
            <w:webHidden/>
          </w:rPr>
          <w:fldChar w:fldCharType="separate"/>
        </w:r>
        <w:r w:rsidR="009B1D6E">
          <w:rPr>
            <w:noProof/>
            <w:webHidden/>
          </w:rPr>
          <w:t>1</w:t>
        </w:r>
        <w:r w:rsidRPr="00AE4EF7">
          <w:rPr>
            <w:noProof/>
            <w:webHidden/>
          </w:rPr>
          <w:fldChar w:fldCharType="end"/>
        </w:r>
      </w:hyperlink>
    </w:p>
    <w:p w:rsidR="00A82054" w:rsidRPr="00AE4EF7" w:rsidRDefault="00F10061" w:rsidP="0021077A">
      <w:pPr>
        <w:pStyle w:val="TOC1"/>
        <w:rPr>
          <w:rFonts w:ascii="Calibri" w:hAnsi="Calibri"/>
          <w:noProof/>
          <w:sz w:val="22"/>
          <w:szCs w:val="22"/>
        </w:rPr>
      </w:pPr>
      <w:hyperlink w:anchor="_Toc268879863" w:history="1">
        <w:r w:rsidR="00A82054" w:rsidRPr="00AE4EF7">
          <w:rPr>
            <w:rStyle w:val="Hyperlink"/>
            <w:noProof/>
          </w:rPr>
          <w:t>2.</w:t>
        </w:r>
        <w:r w:rsidR="00A82054" w:rsidRPr="00AE4EF7">
          <w:rPr>
            <w:rFonts w:ascii="Calibri" w:hAnsi="Calibri"/>
            <w:noProof/>
            <w:sz w:val="22"/>
            <w:szCs w:val="22"/>
          </w:rPr>
          <w:tab/>
        </w:r>
        <w:r w:rsidR="00A82054" w:rsidRPr="00AE4EF7">
          <w:rPr>
            <w:rStyle w:val="Hyperlink"/>
            <w:noProof/>
          </w:rPr>
          <w:t>NEED FOR AND USE OF THE COLLECTION</w:t>
        </w:r>
        <w:r w:rsidR="00A82054" w:rsidRPr="00AE4EF7">
          <w:rPr>
            <w:noProof/>
            <w:webHidden/>
          </w:rPr>
          <w:tab/>
        </w:r>
        <w:r w:rsidRPr="00AE4EF7">
          <w:rPr>
            <w:noProof/>
            <w:webHidden/>
          </w:rPr>
          <w:fldChar w:fldCharType="begin"/>
        </w:r>
        <w:r w:rsidR="00A82054" w:rsidRPr="00AE4EF7">
          <w:rPr>
            <w:noProof/>
            <w:webHidden/>
          </w:rPr>
          <w:instrText xml:space="preserve"> PAGEREF _Toc268879863 \h </w:instrText>
        </w:r>
        <w:r w:rsidRPr="00AE4EF7">
          <w:rPr>
            <w:noProof/>
            <w:webHidden/>
          </w:rPr>
        </w:r>
        <w:r w:rsidRPr="00AE4EF7">
          <w:rPr>
            <w:noProof/>
            <w:webHidden/>
          </w:rPr>
          <w:fldChar w:fldCharType="separate"/>
        </w:r>
        <w:r w:rsidR="009B1D6E">
          <w:rPr>
            <w:noProof/>
            <w:webHidden/>
          </w:rPr>
          <w:t>2</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64" w:history="1">
        <w:r w:rsidR="00A82054" w:rsidRPr="00AE4EF7">
          <w:rPr>
            <w:rStyle w:val="Hyperlink"/>
            <w:noProof/>
          </w:rPr>
          <w:t>2(a)</w:t>
        </w:r>
        <w:r w:rsidR="00A82054" w:rsidRPr="00AE4EF7">
          <w:rPr>
            <w:rFonts w:ascii="Calibri" w:hAnsi="Calibri"/>
            <w:iCs w:val="0"/>
            <w:noProof/>
            <w:sz w:val="22"/>
            <w:szCs w:val="22"/>
          </w:rPr>
          <w:tab/>
        </w:r>
        <w:r w:rsidR="00A82054" w:rsidRPr="00AE4EF7">
          <w:rPr>
            <w:rStyle w:val="Hyperlink"/>
            <w:noProof/>
          </w:rPr>
          <w:t>Need and Authority for the Collection</w:t>
        </w:r>
        <w:r w:rsidR="00A82054" w:rsidRPr="00AE4EF7">
          <w:rPr>
            <w:noProof/>
            <w:webHidden/>
          </w:rPr>
          <w:tab/>
        </w:r>
        <w:r w:rsidRPr="00AE4EF7">
          <w:rPr>
            <w:noProof/>
            <w:webHidden/>
          </w:rPr>
          <w:fldChar w:fldCharType="begin"/>
        </w:r>
        <w:r w:rsidR="00A82054" w:rsidRPr="00AE4EF7">
          <w:rPr>
            <w:noProof/>
            <w:webHidden/>
          </w:rPr>
          <w:instrText xml:space="preserve"> PAGEREF _Toc268879864 \h </w:instrText>
        </w:r>
        <w:r w:rsidRPr="00AE4EF7">
          <w:rPr>
            <w:noProof/>
            <w:webHidden/>
          </w:rPr>
        </w:r>
        <w:r w:rsidRPr="00AE4EF7">
          <w:rPr>
            <w:noProof/>
            <w:webHidden/>
          </w:rPr>
          <w:fldChar w:fldCharType="separate"/>
        </w:r>
        <w:r w:rsidR="009B1D6E">
          <w:rPr>
            <w:noProof/>
            <w:webHidden/>
          </w:rPr>
          <w:t>2</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65" w:history="1">
        <w:r w:rsidR="00A82054" w:rsidRPr="00AE4EF7">
          <w:rPr>
            <w:rStyle w:val="Hyperlink"/>
            <w:noProof/>
          </w:rPr>
          <w:t>2(b)</w:t>
        </w:r>
        <w:r w:rsidR="00A82054" w:rsidRPr="00AE4EF7">
          <w:rPr>
            <w:rFonts w:ascii="Calibri" w:hAnsi="Calibri"/>
            <w:iCs w:val="0"/>
            <w:noProof/>
            <w:sz w:val="22"/>
            <w:szCs w:val="22"/>
          </w:rPr>
          <w:tab/>
        </w:r>
        <w:r w:rsidR="00A82054" w:rsidRPr="00AE4EF7">
          <w:rPr>
            <w:rStyle w:val="Hyperlink"/>
            <w:noProof/>
          </w:rPr>
          <w:t>Practical Utility and Users of the Data</w:t>
        </w:r>
        <w:r w:rsidR="00A82054" w:rsidRPr="00AE4EF7">
          <w:rPr>
            <w:noProof/>
            <w:webHidden/>
          </w:rPr>
          <w:tab/>
        </w:r>
        <w:r w:rsidRPr="00AE4EF7">
          <w:rPr>
            <w:noProof/>
            <w:webHidden/>
          </w:rPr>
          <w:fldChar w:fldCharType="begin"/>
        </w:r>
        <w:r w:rsidR="00A82054" w:rsidRPr="00AE4EF7">
          <w:rPr>
            <w:noProof/>
            <w:webHidden/>
          </w:rPr>
          <w:instrText xml:space="preserve"> PAGEREF _Toc268879865 \h </w:instrText>
        </w:r>
        <w:r w:rsidRPr="00AE4EF7">
          <w:rPr>
            <w:noProof/>
            <w:webHidden/>
          </w:rPr>
        </w:r>
        <w:r w:rsidRPr="00AE4EF7">
          <w:rPr>
            <w:noProof/>
            <w:webHidden/>
          </w:rPr>
          <w:fldChar w:fldCharType="separate"/>
        </w:r>
        <w:r w:rsidR="009B1D6E">
          <w:rPr>
            <w:noProof/>
            <w:webHidden/>
          </w:rPr>
          <w:t>2</w:t>
        </w:r>
        <w:r w:rsidRPr="00AE4EF7">
          <w:rPr>
            <w:noProof/>
            <w:webHidden/>
          </w:rPr>
          <w:fldChar w:fldCharType="end"/>
        </w:r>
      </w:hyperlink>
    </w:p>
    <w:p w:rsidR="00A82054" w:rsidRPr="00AE4EF7" w:rsidRDefault="00F10061" w:rsidP="0021077A">
      <w:pPr>
        <w:pStyle w:val="TOC1"/>
        <w:rPr>
          <w:rFonts w:ascii="Calibri" w:hAnsi="Calibri"/>
          <w:noProof/>
          <w:sz w:val="22"/>
          <w:szCs w:val="22"/>
        </w:rPr>
      </w:pPr>
      <w:hyperlink w:anchor="_Toc268879866" w:history="1">
        <w:r w:rsidR="00A82054" w:rsidRPr="00AE4EF7">
          <w:rPr>
            <w:rStyle w:val="Hyperlink"/>
            <w:noProof/>
          </w:rPr>
          <w:t>3.</w:t>
        </w:r>
        <w:r w:rsidR="00A82054" w:rsidRPr="00AE4EF7">
          <w:rPr>
            <w:rFonts w:ascii="Calibri" w:hAnsi="Calibri"/>
            <w:noProof/>
            <w:sz w:val="22"/>
            <w:szCs w:val="22"/>
          </w:rPr>
          <w:tab/>
        </w:r>
        <w:r w:rsidR="00A82054" w:rsidRPr="00AE4EF7">
          <w:rPr>
            <w:rStyle w:val="Hyperlink"/>
            <w:noProof/>
          </w:rPr>
          <w:t>NONDUPLICATION, CONSULTATIONS, AND OTHER COLLECTION CRITERIA</w:t>
        </w:r>
        <w:r w:rsidR="00A82054" w:rsidRPr="00AE4EF7">
          <w:rPr>
            <w:noProof/>
            <w:webHidden/>
          </w:rPr>
          <w:tab/>
        </w:r>
        <w:r w:rsidRPr="00AE4EF7">
          <w:rPr>
            <w:noProof/>
            <w:webHidden/>
          </w:rPr>
          <w:fldChar w:fldCharType="begin"/>
        </w:r>
        <w:r w:rsidR="00A82054" w:rsidRPr="00AE4EF7">
          <w:rPr>
            <w:noProof/>
            <w:webHidden/>
          </w:rPr>
          <w:instrText xml:space="preserve"> PAGEREF _Toc268879866 \h </w:instrText>
        </w:r>
        <w:r w:rsidRPr="00AE4EF7">
          <w:rPr>
            <w:noProof/>
            <w:webHidden/>
          </w:rPr>
        </w:r>
        <w:r w:rsidRPr="00AE4EF7">
          <w:rPr>
            <w:noProof/>
            <w:webHidden/>
          </w:rPr>
          <w:fldChar w:fldCharType="separate"/>
        </w:r>
        <w:r w:rsidR="009B1D6E">
          <w:rPr>
            <w:noProof/>
            <w:webHidden/>
          </w:rPr>
          <w:t>3</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67" w:history="1">
        <w:r w:rsidR="00A82054" w:rsidRPr="00AE4EF7">
          <w:rPr>
            <w:rStyle w:val="Hyperlink"/>
            <w:noProof/>
          </w:rPr>
          <w:t>3(a)</w:t>
        </w:r>
        <w:r w:rsidR="00A82054" w:rsidRPr="00AE4EF7">
          <w:rPr>
            <w:rFonts w:ascii="Calibri" w:hAnsi="Calibri"/>
            <w:iCs w:val="0"/>
            <w:noProof/>
            <w:sz w:val="22"/>
            <w:szCs w:val="22"/>
          </w:rPr>
          <w:tab/>
        </w:r>
        <w:r w:rsidR="00A82054" w:rsidRPr="00AE4EF7">
          <w:rPr>
            <w:rStyle w:val="Hyperlink"/>
            <w:noProof/>
          </w:rPr>
          <w:t>Nonduplication</w:t>
        </w:r>
        <w:r w:rsidR="00A82054" w:rsidRPr="00AE4EF7">
          <w:rPr>
            <w:noProof/>
            <w:webHidden/>
          </w:rPr>
          <w:tab/>
        </w:r>
        <w:r w:rsidRPr="00AE4EF7">
          <w:rPr>
            <w:noProof/>
            <w:webHidden/>
          </w:rPr>
          <w:fldChar w:fldCharType="begin"/>
        </w:r>
        <w:r w:rsidR="00A82054" w:rsidRPr="00AE4EF7">
          <w:rPr>
            <w:noProof/>
            <w:webHidden/>
          </w:rPr>
          <w:instrText xml:space="preserve"> PAGEREF _Toc268879867 \h </w:instrText>
        </w:r>
        <w:r w:rsidRPr="00AE4EF7">
          <w:rPr>
            <w:noProof/>
            <w:webHidden/>
          </w:rPr>
        </w:r>
        <w:r w:rsidRPr="00AE4EF7">
          <w:rPr>
            <w:noProof/>
            <w:webHidden/>
          </w:rPr>
          <w:fldChar w:fldCharType="separate"/>
        </w:r>
        <w:r w:rsidR="009B1D6E">
          <w:rPr>
            <w:noProof/>
            <w:webHidden/>
          </w:rPr>
          <w:t>3</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68" w:history="1">
        <w:r w:rsidR="00A82054" w:rsidRPr="00AE4EF7">
          <w:rPr>
            <w:rStyle w:val="Hyperlink"/>
            <w:noProof/>
          </w:rPr>
          <w:t>3(b)</w:t>
        </w:r>
        <w:r w:rsidR="00A82054" w:rsidRPr="00AE4EF7">
          <w:rPr>
            <w:rFonts w:ascii="Calibri" w:hAnsi="Calibri"/>
            <w:iCs w:val="0"/>
            <w:noProof/>
            <w:sz w:val="22"/>
            <w:szCs w:val="22"/>
          </w:rPr>
          <w:tab/>
        </w:r>
        <w:r w:rsidR="00A82054" w:rsidRPr="00AE4EF7">
          <w:rPr>
            <w:rStyle w:val="Hyperlink"/>
            <w:noProof/>
          </w:rPr>
          <w:t>Public Notice</w:t>
        </w:r>
        <w:r w:rsidR="00A82054" w:rsidRPr="00AE4EF7">
          <w:rPr>
            <w:noProof/>
            <w:webHidden/>
          </w:rPr>
          <w:tab/>
        </w:r>
        <w:r w:rsidRPr="00AE4EF7">
          <w:rPr>
            <w:noProof/>
            <w:webHidden/>
          </w:rPr>
          <w:fldChar w:fldCharType="begin"/>
        </w:r>
        <w:r w:rsidR="00A82054" w:rsidRPr="00AE4EF7">
          <w:rPr>
            <w:noProof/>
            <w:webHidden/>
          </w:rPr>
          <w:instrText xml:space="preserve"> PAGEREF _Toc268879868 \h </w:instrText>
        </w:r>
        <w:r w:rsidRPr="00AE4EF7">
          <w:rPr>
            <w:noProof/>
            <w:webHidden/>
          </w:rPr>
        </w:r>
        <w:r w:rsidRPr="00AE4EF7">
          <w:rPr>
            <w:noProof/>
            <w:webHidden/>
          </w:rPr>
          <w:fldChar w:fldCharType="separate"/>
        </w:r>
        <w:r w:rsidR="009B1D6E">
          <w:rPr>
            <w:noProof/>
            <w:webHidden/>
          </w:rPr>
          <w:t>3</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69" w:history="1">
        <w:r w:rsidR="00A82054" w:rsidRPr="00AE4EF7">
          <w:rPr>
            <w:rStyle w:val="Hyperlink"/>
            <w:noProof/>
          </w:rPr>
          <w:t>3(c)</w:t>
        </w:r>
        <w:r w:rsidR="00A82054" w:rsidRPr="00AE4EF7">
          <w:rPr>
            <w:rFonts w:ascii="Calibri" w:hAnsi="Calibri"/>
            <w:iCs w:val="0"/>
            <w:noProof/>
            <w:sz w:val="22"/>
            <w:szCs w:val="22"/>
          </w:rPr>
          <w:tab/>
        </w:r>
        <w:r w:rsidR="00A82054" w:rsidRPr="00AE4EF7">
          <w:rPr>
            <w:rStyle w:val="Hyperlink"/>
            <w:noProof/>
          </w:rPr>
          <w:t>Consultations</w:t>
        </w:r>
        <w:r w:rsidR="00A82054" w:rsidRPr="00AE4EF7">
          <w:rPr>
            <w:noProof/>
            <w:webHidden/>
          </w:rPr>
          <w:tab/>
        </w:r>
        <w:r w:rsidRPr="00AE4EF7">
          <w:rPr>
            <w:noProof/>
            <w:webHidden/>
          </w:rPr>
          <w:fldChar w:fldCharType="begin"/>
        </w:r>
        <w:r w:rsidR="00A82054" w:rsidRPr="00AE4EF7">
          <w:rPr>
            <w:noProof/>
            <w:webHidden/>
          </w:rPr>
          <w:instrText xml:space="preserve"> PAGEREF _Toc268879869 \h </w:instrText>
        </w:r>
        <w:r w:rsidRPr="00AE4EF7">
          <w:rPr>
            <w:noProof/>
            <w:webHidden/>
          </w:rPr>
        </w:r>
        <w:r w:rsidRPr="00AE4EF7">
          <w:rPr>
            <w:noProof/>
            <w:webHidden/>
          </w:rPr>
          <w:fldChar w:fldCharType="separate"/>
        </w:r>
        <w:r w:rsidR="009B1D6E">
          <w:rPr>
            <w:noProof/>
            <w:webHidden/>
          </w:rPr>
          <w:t>3</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70" w:history="1">
        <w:r w:rsidR="00A82054" w:rsidRPr="00AE4EF7">
          <w:rPr>
            <w:rStyle w:val="Hyperlink"/>
            <w:noProof/>
          </w:rPr>
          <w:t>3(d)</w:t>
        </w:r>
        <w:r w:rsidR="00A82054" w:rsidRPr="00AE4EF7">
          <w:rPr>
            <w:rFonts w:ascii="Calibri" w:hAnsi="Calibri"/>
            <w:iCs w:val="0"/>
            <w:noProof/>
            <w:sz w:val="22"/>
            <w:szCs w:val="22"/>
          </w:rPr>
          <w:tab/>
        </w:r>
        <w:r w:rsidR="00A82054" w:rsidRPr="00AE4EF7">
          <w:rPr>
            <w:rStyle w:val="Hyperlink"/>
            <w:noProof/>
          </w:rPr>
          <w:t>Effects of Less Frequent Collection</w:t>
        </w:r>
        <w:r w:rsidR="00A82054" w:rsidRPr="00AE4EF7">
          <w:rPr>
            <w:noProof/>
            <w:webHidden/>
          </w:rPr>
          <w:tab/>
        </w:r>
        <w:r w:rsidRPr="00AE4EF7">
          <w:rPr>
            <w:noProof/>
            <w:webHidden/>
          </w:rPr>
          <w:fldChar w:fldCharType="begin"/>
        </w:r>
        <w:r w:rsidR="00A82054" w:rsidRPr="00AE4EF7">
          <w:rPr>
            <w:noProof/>
            <w:webHidden/>
          </w:rPr>
          <w:instrText xml:space="preserve"> PAGEREF _Toc268879870 \h </w:instrText>
        </w:r>
        <w:r w:rsidRPr="00AE4EF7">
          <w:rPr>
            <w:noProof/>
            <w:webHidden/>
          </w:rPr>
        </w:r>
        <w:r w:rsidRPr="00AE4EF7">
          <w:rPr>
            <w:noProof/>
            <w:webHidden/>
          </w:rPr>
          <w:fldChar w:fldCharType="separate"/>
        </w:r>
        <w:r w:rsidR="009B1D6E">
          <w:rPr>
            <w:noProof/>
            <w:webHidden/>
          </w:rPr>
          <w:t>3</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71" w:history="1">
        <w:r w:rsidR="00A82054" w:rsidRPr="00AE4EF7">
          <w:rPr>
            <w:rStyle w:val="Hyperlink"/>
            <w:noProof/>
          </w:rPr>
          <w:t>3(e)</w:t>
        </w:r>
        <w:r w:rsidR="00A82054" w:rsidRPr="00AE4EF7">
          <w:rPr>
            <w:rFonts w:ascii="Calibri" w:hAnsi="Calibri"/>
            <w:iCs w:val="0"/>
            <w:noProof/>
            <w:sz w:val="22"/>
            <w:szCs w:val="22"/>
          </w:rPr>
          <w:tab/>
        </w:r>
        <w:r w:rsidR="00A82054" w:rsidRPr="00AE4EF7">
          <w:rPr>
            <w:rStyle w:val="Hyperlink"/>
            <w:noProof/>
          </w:rPr>
          <w:t>General Guidelines</w:t>
        </w:r>
        <w:r w:rsidR="00A82054" w:rsidRPr="00AE4EF7">
          <w:rPr>
            <w:noProof/>
            <w:webHidden/>
          </w:rPr>
          <w:tab/>
        </w:r>
        <w:r w:rsidRPr="00AE4EF7">
          <w:rPr>
            <w:noProof/>
            <w:webHidden/>
          </w:rPr>
          <w:fldChar w:fldCharType="begin"/>
        </w:r>
        <w:r w:rsidR="00A82054" w:rsidRPr="00AE4EF7">
          <w:rPr>
            <w:noProof/>
            <w:webHidden/>
          </w:rPr>
          <w:instrText xml:space="preserve"> PAGEREF _Toc268879871 \h </w:instrText>
        </w:r>
        <w:r w:rsidRPr="00AE4EF7">
          <w:rPr>
            <w:noProof/>
            <w:webHidden/>
          </w:rPr>
        </w:r>
        <w:r w:rsidRPr="00AE4EF7">
          <w:rPr>
            <w:noProof/>
            <w:webHidden/>
          </w:rPr>
          <w:fldChar w:fldCharType="separate"/>
        </w:r>
        <w:r w:rsidR="009B1D6E">
          <w:rPr>
            <w:noProof/>
            <w:webHidden/>
          </w:rPr>
          <w:t>4</w:t>
        </w:r>
        <w:r w:rsidRPr="00AE4EF7">
          <w:rPr>
            <w:noProof/>
            <w:webHidden/>
          </w:rPr>
          <w:fldChar w:fldCharType="end"/>
        </w:r>
      </w:hyperlink>
    </w:p>
    <w:p w:rsidR="00A82054" w:rsidRPr="00AE4EF7" w:rsidRDefault="00F10061" w:rsidP="00A82054">
      <w:pPr>
        <w:pStyle w:val="TOC2"/>
        <w:tabs>
          <w:tab w:val="left" w:pos="360"/>
          <w:tab w:val="left" w:pos="800"/>
          <w:tab w:val="left" w:pos="1080"/>
          <w:tab w:val="right" w:leader="dot" w:pos="9350"/>
        </w:tabs>
        <w:spacing w:before="0"/>
        <w:rPr>
          <w:rFonts w:ascii="Calibri" w:hAnsi="Calibri"/>
          <w:iCs w:val="0"/>
          <w:noProof/>
          <w:sz w:val="22"/>
          <w:szCs w:val="22"/>
        </w:rPr>
      </w:pPr>
      <w:hyperlink w:anchor="_Toc268879872" w:history="1">
        <w:r w:rsidR="00A82054" w:rsidRPr="00AE4EF7">
          <w:rPr>
            <w:rStyle w:val="Hyperlink"/>
            <w:noProof/>
          </w:rPr>
          <w:t>3(f)</w:t>
        </w:r>
        <w:r w:rsidR="00A82054" w:rsidRPr="00AE4EF7">
          <w:rPr>
            <w:rFonts w:ascii="Calibri" w:hAnsi="Calibri"/>
            <w:iCs w:val="0"/>
            <w:noProof/>
            <w:sz w:val="22"/>
            <w:szCs w:val="22"/>
          </w:rPr>
          <w:tab/>
        </w:r>
        <w:r w:rsidR="0021077A" w:rsidRPr="00AE4EF7">
          <w:rPr>
            <w:rFonts w:ascii="Calibri" w:hAnsi="Calibri"/>
            <w:iCs w:val="0"/>
            <w:noProof/>
            <w:sz w:val="22"/>
            <w:szCs w:val="22"/>
          </w:rPr>
          <w:t xml:space="preserve">    </w:t>
        </w:r>
        <w:r w:rsidR="00A82054" w:rsidRPr="00AE4EF7">
          <w:rPr>
            <w:rStyle w:val="Hyperlink"/>
            <w:noProof/>
          </w:rPr>
          <w:t>Confidentiality</w:t>
        </w:r>
        <w:r w:rsidR="00A82054" w:rsidRPr="00AE4EF7">
          <w:rPr>
            <w:noProof/>
            <w:webHidden/>
          </w:rPr>
          <w:tab/>
        </w:r>
        <w:r w:rsidRPr="00AE4EF7">
          <w:rPr>
            <w:noProof/>
            <w:webHidden/>
          </w:rPr>
          <w:fldChar w:fldCharType="begin"/>
        </w:r>
        <w:r w:rsidR="00A82054" w:rsidRPr="00AE4EF7">
          <w:rPr>
            <w:noProof/>
            <w:webHidden/>
          </w:rPr>
          <w:instrText xml:space="preserve"> PAGEREF _Toc268879872 \h </w:instrText>
        </w:r>
        <w:r w:rsidRPr="00AE4EF7">
          <w:rPr>
            <w:noProof/>
            <w:webHidden/>
          </w:rPr>
        </w:r>
        <w:r w:rsidRPr="00AE4EF7">
          <w:rPr>
            <w:noProof/>
            <w:webHidden/>
          </w:rPr>
          <w:fldChar w:fldCharType="separate"/>
        </w:r>
        <w:r w:rsidR="009B1D6E">
          <w:rPr>
            <w:noProof/>
            <w:webHidden/>
          </w:rPr>
          <w:t>4</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73" w:history="1">
        <w:r w:rsidR="00A82054" w:rsidRPr="00AE4EF7">
          <w:rPr>
            <w:rStyle w:val="Hyperlink"/>
            <w:noProof/>
          </w:rPr>
          <w:t>3(g)</w:t>
        </w:r>
        <w:r w:rsidR="00A82054" w:rsidRPr="00AE4EF7">
          <w:rPr>
            <w:rFonts w:ascii="Calibri" w:hAnsi="Calibri"/>
            <w:iCs w:val="0"/>
            <w:noProof/>
            <w:sz w:val="22"/>
            <w:szCs w:val="22"/>
          </w:rPr>
          <w:tab/>
        </w:r>
        <w:r w:rsidR="00A82054" w:rsidRPr="00AE4EF7">
          <w:rPr>
            <w:rStyle w:val="Hyperlink"/>
            <w:noProof/>
          </w:rPr>
          <w:t>Sensitive Questions</w:t>
        </w:r>
        <w:r w:rsidR="00A82054" w:rsidRPr="00AE4EF7">
          <w:rPr>
            <w:noProof/>
            <w:webHidden/>
          </w:rPr>
          <w:tab/>
        </w:r>
        <w:r w:rsidRPr="00AE4EF7">
          <w:rPr>
            <w:noProof/>
            <w:webHidden/>
          </w:rPr>
          <w:fldChar w:fldCharType="begin"/>
        </w:r>
        <w:r w:rsidR="00A82054" w:rsidRPr="00AE4EF7">
          <w:rPr>
            <w:noProof/>
            <w:webHidden/>
          </w:rPr>
          <w:instrText xml:space="preserve"> PAGEREF _Toc268879873 \h </w:instrText>
        </w:r>
        <w:r w:rsidRPr="00AE4EF7">
          <w:rPr>
            <w:noProof/>
            <w:webHidden/>
          </w:rPr>
        </w:r>
        <w:r w:rsidRPr="00AE4EF7">
          <w:rPr>
            <w:noProof/>
            <w:webHidden/>
          </w:rPr>
          <w:fldChar w:fldCharType="separate"/>
        </w:r>
        <w:r w:rsidR="009B1D6E">
          <w:rPr>
            <w:noProof/>
            <w:webHidden/>
          </w:rPr>
          <w:t>4</w:t>
        </w:r>
        <w:r w:rsidRPr="00AE4EF7">
          <w:rPr>
            <w:noProof/>
            <w:webHidden/>
          </w:rPr>
          <w:fldChar w:fldCharType="end"/>
        </w:r>
      </w:hyperlink>
    </w:p>
    <w:p w:rsidR="00A82054" w:rsidRPr="00AE4EF7" w:rsidRDefault="00F10061" w:rsidP="0021077A">
      <w:pPr>
        <w:pStyle w:val="TOC1"/>
        <w:rPr>
          <w:rFonts w:ascii="Calibri" w:hAnsi="Calibri"/>
          <w:noProof/>
          <w:sz w:val="22"/>
          <w:szCs w:val="22"/>
        </w:rPr>
      </w:pPr>
      <w:hyperlink w:anchor="_Toc268879874" w:history="1">
        <w:r w:rsidR="00A82054" w:rsidRPr="00AE4EF7">
          <w:rPr>
            <w:rStyle w:val="Hyperlink"/>
            <w:noProof/>
          </w:rPr>
          <w:t>4.</w:t>
        </w:r>
        <w:r w:rsidR="00A82054" w:rsidRPr="00AE4EF7">
          <w:rPr>
            <w:rFonts w:ascii="Calibri" w:hAnsi="Calibri"/>
            <w:noProof/>
            <w:sz w:val="22"/>
            <w:szCs w:val="22"/>
          </w:rPr>
          <w:tab/>
        </w:r>
        <w:r w:rsidR="00A82054" w:rsidRPr="00AE4EF7">
          <w:rPr>
            <w:rStyle w:val="Hyperlink"/>
            <w:noProof/>
          </w:rPr>
          <w:t>THE RESPONDENTS AND THE INFORMATION REQUESTED</w:t>
        </w:r>
        <w:r w:rsidR="00A82054" w:rsidRPr="00AE4EF7">
          <w:rPr>
            <w:noProof/>
            <w:webHidden/>
          </w:rPr>
          <w:tab/>
        </w:r>
        <w:r w:rsidRPr="00AE4EF7">
          <w:rPr>
            <w:noProof/>
            <w:webHidden/>
          </w:rPr>
          <w:fldChar w:fldCharType="begin"/>
        </w:r>
        <w:r w:rsidR="00A82054" w:rsidRPr="00AE4EF7">
          <w:rPr>
            <w:noProof/>
            <w:webHidden/>
          </w:rPr>
          <w:instrText xml:space="preserve"> PAGEREF _Toc268879874 \h </w:instrText>
        </w:r>
        <w:r w:rsidRPr="00AE4EF7">
          <w:rPr>
            <w:noProof/>
            <w:webHidden/>
          </w:rPr>
        </w:r>
        <w:r w:rsidRPr="00AE4EF7">
          <w:rPr>
            <w:noProof/>
            <w:webHidden/>
          </w:rPr>
          <w:fldChar w:fldCharType="separate"/>
        </w:r>
        <w:r w:rsidR="009B1D6E">
          <w:rPr>
            <w:noProof/>
            <w:webHidden/>
          </w:rPr>
          <w:t>4</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75" w:history="1">
        <w:r w:rsidR="00A82054" w:rsidRPr="00AE4EF7">
          <w:rPr>
            <w:rStyle w:val="Hyperlink"/>
            <w:noProof/>
          </w:rPr>
          <w:t>4(a)</w:t>
        </w:r>
        <w:r w:rsidR="00A82054" w:rsidRPr="00AE4EF7">
          <w:rPr>
            <w:rFonts w:ascii="Calibri" w:hAnsi="Calibri"/>
            <w:iCs w:val="0"/>
            <w:noProof/>
            <w:sz w:val="22"/>
            <w:szCs w:val="22"/>
          </w:rPr>
          <w:tab/>
        </w:r>
        <w:r w:rsidR="00A82054" w:rsidRPr="00AE4EF7">
          <w:rPr>
            <w:rStyle w:val="Hyperlink"/>
            <w:noProof/>
          </w:rPr>
          <w:t>Respondents and NAICS Codes</w:t>
        </w:r>
        <w:r w:rsidR="00A82054" w:rsidRPr="00AE4EF7">
          <w:rPr>
            <w:noProof/>
            <w:webHidden/>
          </w:rPr>
          <w:tab/>
        </w:r>
        <w:r w:rsidRPr="00AE4EF7">
          <w:rPr>
            <w:noProof/>
            <w:webHidden/>
          </w:rPr>
          <w:fldChar w:fldCharType="begin"/>
        </w:r>
        <w:r w:rsidR="00A82054" w:rsidRPr="00AE4EF7">
          <w:rPr>
            <w:noProof/>
            <w:webHidden/>
          </w:rPr>
          <w:instrText xml:space="preserve"> PAGEREF _Toc268879875 \h </w:instrText>
        </w:r>
        <w:r w:rsidRPr="00AE4EF7">
          <w:rPr>
            <w:noProof/>
            <w:webHidden/>
          </w:rPr>
        </w:r>
        <w:r w:rsidRPr="00AE4EF7">
          <w:rPr>
            <w:noProof/>
            <w:webHidden/>
          </w:rPr>
          <w:fldChar w:fldCharType="separate"/>
        </w:r>
        <w:r w:rsidR="009B1D6E">
          <w:rPr>
            <w:noProof/>
            <w:webHidden/>
          </w:rPr>
          <w:t>4</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76" w:history="1">
        <w:r w:rsidR="00A82054" w:rsidRPr="00AE4EF7">
          <w:rPr>
            <w:rStyle w:val="Hyperlink"/>
            <w:noProof/>
          </w:rPr>
          <w:t>4(b)</w:t>
        </w:r>
        <w:r w:rsidR="00A82054" w:rsidRPr="00AE4EF7">
          <w:rPr>
            <w:rFonts w:ascii="Calibri" w:hAnsi="Calibri"/>
            <w:iCs w:val="0"/>
            <w:noProof/>
            <w:sz w:val="22"/>
            <w:szCs w:val="22"/>
          </w:rPr>
          <w:tab/>
        </w:r>
        <w:r w:rsidR="00A82054" w:rsidRPr="00AE4EF7">
          <w:rPr>
            <w:rStyle w:val="Hyperlink"/>
            <w:noProof/>
          </w:rPr>
          <w:t>Information Requested</w:t>
        </w:r>
        <w:r w:rsidR="00A82054" w:rsidRPr="00AE4EF7">
          <w:rPr>
            <w:noProof/>
            <w:webHidden/>
          </w:rPr>
          <w:tab/>
        </w:r>
        <w:r w:rsidRPr="00AE4EF7">
          <w:rPr>
            <w:noProof/>
            <w:webHidden/>
          </w:rPr>
          <w:fldChar w:fldCharType="begin"/>
        </w:r>
        <w:r w:rsidR="00A82054" w:rsidRPr="00AE4EF7">
          <w:rPr>
            <w:noProof/>
            <w:webHidden/>
          </w:rPr>
          <w:instrText xml:space="preserve"> PAGEREF _Toc268879876 \h </w:instrText>
        </w:r>
        <w:r w:rsidRPr="00AE4EF7">
          <w:rPr>
            <w:noProof/>
            <w:webHidden/>
          </w:rPr>
        </w:r>
        <w:r w:rsidRPr="00AE4EF7">
          <w:rPr>
            <w:noProof/>
            <w:webHidden/>
          </w:rPr>
          <w:fldChar w:fldCharType="separate"/>
        </w:r>
        <w:r w:rsidR="009B1D6E">
          <w:rPr>
            <w:noProof/>
            <w:webHidden/>
          </w:rPr>
          <w:t>5</w:t>
        </w:r>
        <w:r w:rsidRPr="00AE4EF7">
          <w:rPr>
            <w:noProof/>
            <w:webHidden/>
          </w:rPr>
          <w:fldChar w:fldCharType="end"/>
        </w:r>
      </w:hyperlink>
    </w:p>
    <w:p w:rsidR="00A82054" w:rsidRPr="00AE4EF7" w:rsidRDefault="00F10061" w:rsidP="0021077A">
      <w:pPr>
        <w:pStyle w:val="TOC1"/>
        <w:rPr>
          <w:rFonts w:ascii="Calibri" w:hAnsi="Calibri"/>
          <w:noProof/>
          <w:sz w:val="22"/>
          <w:szCs w:val="22"/>
        </w:rPr>
      </w:pPr>
      <w:hyperlink w:anchor="_Toc268879877" w:history="1">
        <w:r w:rsidR="00A82054" w:rsidRPr="00AE4EF7">
          <w:rPr>
            <w:rStyle w:val="Hyperlink"/>
            <w:noProof/>
          </w:rPr>
          <w:t>5.</w:t>
        </w:r>
        <w:r w:rsidR="00A82054" w:rsidRPr="00AE4EF7">
          <w:rPr>
            <w:rFonts w:ascii="Calibri" w:hAnsi="Calibri"/>
            <w:noProof/>
            <w:sz w:val="22"/>
            <w:szCs w:val="22"/>
          </w:rPr>
          <w:tab/>
        </w:r>
        <w:r w:rsidR="00A82054" w:rsidRPr="00AE4EF7">
          <w:rPr>
            <w:rStyle w:val="Hyperlink"/>
            <w:noProof/>
          </w:rPr>
          <w:t>THE INFORMATION COLLECTED</w:t>
        </w:r>
        <w:r w:rsidR="00AE4EF7">
          <w:rPr>
            <w:rStyle w:val="Hyperlink"/>
            <w:noProof/>
          </w:rPr>
          <w:t xml:space="preserve">, </w:t>
        </w:r>
        <w:r w:rsidR="00A82054" w:rsidRPr="00AE4EF7">
          <w:rPr>
            <w:rStyle w:val="Hyperlink"/>
            <w:noProof/>
          </w:rPr>
          <w:t>AGENCY ACTIVITIES, COLLECTION METHODOLOGY, AND INFORMATION MANAGEMENT</w:t>
        </w:r>
        <w:r w:rsidR="00A82054" w:rsidRPr="00AE4EF7">
          <w:rPr>
            <w:noProof/>
            <w:webHidden/>
          </w:rPr>
          <w:tab/>
        </w:r>
        <w:r w:rsidRPr="00AE4EF7">
          <w:rPr>
            <w:noProof/>
            <w:webHidden/>
          </w:rPr>
          <w:fldChar w:fldCharType="begin"/>
        </w:r>
        <w:r w:rsidR="00A82054" w:rsidRPr="00AE4EF7">
          <w:rPr>
            <w:noProof/>
            <w:webHidden/>
          </w:rPr>
          <w:instrText xml:space="preserve"> PAGEREF _Toc268879877 \h </w:instrText>
        </w:r>
        <w:r w:rsidRPr="00AE4EF7">
          <w:rPr>
            <w:noProof/>
            <w:webHidden/>
          </w:rPr>
        </w:r>
        <w:r w:rsidRPr="00AE4EF7">
          <w:rPr>
            <w:noProof/>
            <w:webHidden/>
          </w:rPr>
          <w:fldChar w:fldCharType="separate"/>
        </w:r>
        <w:r w:rsidR="009B1D6E">
          <w:rPr>
            <w:noProof/>
            <w:webHidden/>
          </w:rPr>
          <w:t>7</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78" w:history="1">
        <w:r w:rsidR="00A82054" w:rsidRPr="00AE4EF7">
          <w:rPr>
            <w:rStyle w:val="Hyperlink"/>
            <w:noProof/>
          </w:rPr>
          <w:t>5(a)</w:t>
        </w:r>
        <w:r w:rsidR="00A82054" w:rsidRPr="00AE4EF7">
          <w:rPr>
            <w:rFonts w:ascii="Calibri" w:hAnsi="Calibri"/>
            <w:iCs w:val="0"/>
            <w:noProof/>
            <w:sz w:val="22"/>
            <w:szCs w:val="22"/>
          </w:rPr>
          <w:tab/>
        </w:r>
        <w:r w:rsidR="00A82054" w:rsidRPr="00AE4EF7">
          <w:rPr>
            <w:rStyle w:val="Hyperlink"/>
            <w:noProof/>
          </w:rPr>
          <w:t>Agency Activities</w:t>
        </w:r>
        <w:r w:rsidR="00A82054" w:rsidRPr="00AE4EF7">
          <w:rPr>
            <w:noProof/>
            <w:webHidden/>
          </w:rPr>
          <w:tab/>
        </w:r>
        <w:r w:rsidRPr="00AE4EF7">
          <w:rPr>
            <w:noProof/>
            <w:webHidden/>
          </w:rPr>
          <w:fldChar w:fldCharType="begin"/>
        </w:r>
        <w:r w:rsidR="00A82054" w:rsidRPr="00AE4EF7">
          <w:rPr>
            <w:noProof/>
            <w:webHidden/>
          </w:rPr>
          <w:instrText xml:space="preserve"> PAGEREF _Toc268879878 \h </w:instrText>
        </w:r>
        <w:r w:rsidRPr="00AE4EF7">
          <w:rPr>
            <w:noProof/>
            <w:webHidden/>
          </w:rPr>
        </w:r>
        <w:r w:rsidRPr="00AE4EF7">
          <w:rPr>
            <w:noProof/>
            <w:webHidden/>
          </w:rPr>
          <w:fldChar w:fldCharType="separate"/>
        </w:r>
        <w:r w:rsidR="009B1D6E">
          <w:rPr>
            <w:noProof/>
            <w:webHidden/>
          </w:rPr>
          <w:t>7</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79" w:history="1">
        <w:r w:rsidR="00A82054" w:rsidRPr="00AE4EF7">
          <w:rPr>
            <w:rStyle w:val="Hyperlink"/>
            <w:noProof/>
          </w:rPr>
          <w:t>5(b)</w:t>
        </w:r>
        <w:r w:rsidR="00A82054" w:rsidRPr="00AE4EF7">
          <w:rPr>
            <w:rFonts w:ascii="Calibri" w:hAnsi="Calibri"/>
            <w:iCs w:val="0"/>
            <w:noProof/>
            <w:sz w:val="22"/>
            <w:szCs w:val="22"/>
          </w:rPr>
          <w:tab/>
        </w:r>
        <w:r w:rsidR="00A82054" w:rsidRPr="00AE4EF7">
          <w:rPr>
            <w:rStyle w:val="Hyperlink"/>
            <w:noProof/>
          </w:rPr>
          <w:t>Collection Methodology and Management</w:t>
        </w:r>
        <w:r w:rsidR="00A82054" w:rsidRPr="00AE4EF7">
          <w:rPr>
            <w:noProof/>
            <w:webHidden/>
          </w:rPr>
          <w:tab/>
        </w:r>
        <w:r w:rsidRPr="00AE4EF7">
          <w:rPr>
            <w:noProof/>
            <w:webHidden/>
          </w:rPr>
          <w:fldChar w:fldCharType="begin"/>
        </w:r>
        <w:r w:rsidR="00A82054" w:rsidRPr="00AE4EF7">
          <w:rPr>
            <w:noProof/>
            <w:webHidden/>
          </w:rPr>
          <w:instrText xml:space="preserve"> PAGEREF _Toc268879879 \h </w:instrText>
        </w:r>
        <w:r w:rsidRPr="00AE4EF7">
          <w:rPr>
            <w:noProof/>
            <w:webHidden/>
          </w:rPr>
        </w:r>
        <w:r w:rsidRPr="00AE4EF7">
          <w:rPr>
            <w:noProof/>
            <w:webHidden/>
          </w:rPr>
          <w:fldChar w:fldCharType="separate"/>
        </w:r>
        <w:r w:rsidR="009B1D6E">
          <w:rPr>
            <w:noProof/>
            <w:webHidden/>
          </w:rPr>
          <w:t>7</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80" w:history="1">
        <w:r w:rsidR="00A82054" w:rsidRPr="00AE4EF7">
          <w:rPr>
            <w:rStyle w:val="Hyperlink"/>
            <w:noProof/>
          </w:rPr>
          <w:t>5(c)</w:t>
        </w:r>
        <w:r w:rsidR="00A82054" w:rsidRPr="00AE4EF7">
          <w:rPr>
            <w:rFonts w:ascii="Calibri" w:hAnsi="Calibri"/>
            <w:iCs w:val="0"/>
            <w:noProof/>
            <w:sz w:val="22"/>
            <w:szCs w:val="22"/>
          </w:rPr>
          <w:tab/>
        </w:r>
        <w:r w:rsidR="00A82054" w:rsidRPr="00AE4EF7">
          <w:rPr>
            <w:rStyle w:val="Hyperlink"/>
            <w:noProof/>
          </w:rPr>
          <w:t>Small Entity Flexibility</w:t>
        </w:r>
        <w:r w:rsidR="00A82054" w:rsidRPr="00AE4EF7">
          <w:rPr>
            <w:noProof/>
            <w:webHidden/>
          </w:rPr>
          <w:tab/>
        </w:r>
        <w:r w:rsidRPr="00AE4EF7">
          <w:rPr>
            <w:noProof/>
            <w:webHidden/>
          </w:rPr>
          <w:fldChar w:fldCharType="begin"/>
        </w:r>
        <w:r w:rsidR="00A82054" w:rsidRPr="00AE4EF7">
          <w:rPr>
            <w:noProof/>
            <w:webHidden/>
          </w:rPr>
          <w:instrText xml:space="preserve"> PAGEREF _Toc268879880 \h </w:instrText>
        </w:r>
        <w:r w:rsidRPr="00AE4EF7">
          <w:rPr>
            <w:noProof/>
            <w:webHidden/>
          </w:rPr>
        </w:r>
        <w:r w:rsidRPr="00AE4EF7">
          <w:rPr>
            <w:noProof/>
            <w:webHidden/>
          </w:rPr>
          <w:fldChar w:fldCharType="separate"/>
        </w:r>
        <w:r w:rsidR="009B1D6E">
          <w:rPr>
            <w:noProof/>
            <w:webHidden/>
          </w:rPr>
          <w:t>7</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81" w:history="1">
        <w:r w:rsidR="00A82054" w:rsidRPr="00AE4EF7">
          <w:rPr>
            <w:rStyle w:val="Hyperlink"/>
            <w:noProof/>
          </w:rPr>
          <w:t>5(d)</w:t>
        </w:r>
        <w:r w:rsidR="00A82054" w:rsidRPr="00AE4EF7">
          <w:rPr>
            <w:rFonts w:ascii="Calibri" w:hAnsi="Calibri"/>
            <w:iCs w:val="0"/>
            <w:noProof/>
            <w:sz w:val="22"/>
            <w:szCs w:val="22"/>
          </w:rPr>
          <w:tab/>
        </w:r>
        <w:r w:rsidR="00A82054" w:rsidRPr="00AE4EF7">
          <w:rPr>
            <w:rStyle w:val="Hyperlink"/>
            <w:noProof/>
          </w:rPr>
          <w:t>Collection Schedule</w:t>
        </w:r>
        <w:r w:rsidR="00A82054" w:rsidRPr="00AE4EF7">
          <w:rPr>
            <w:noProof/>
            <w:webHidden/>
          </w:rPr>
          <w:tab/>
        </w:r>
        <w:r w:rsidRPr="00AE4EF7">
          <w:rPr>
            <w:noProof/>
            <w:webHidden/>
          </w:rPr>
          <w:fldChar w:fldCharType="begin"/>
        </w:r>
        <w:r w:rsidR="00A82054" w:rsidRPr="00AE4EF7">
          <w:rPr>
            <w:noProof/>
            <w:webHidden/>
          </w:rPr>
          <w:instrText xml:space="preserve"> PAGEREF _Toc268879881 \h </w:instrText>
        </w:r>
        <w:r w:rsidRPr="00AE4EF7">
          <w:rPr>
            <w:noProof/>
            <w:webHidden/>
          </w:rPr>
        </w:r>
        <w:r w:rsidRPr="00AE4EF7">
          <w:rPr>
            <w:noProof/>
            <w:webHidden/>
          </w:rPr>
          <w:fldChar w:fldCharType="separate"/>
        </w:r>
        <w:r w:rsidR="009B1D6E">
          <w:rPr>
            <w:noProof/>
            <w:webHidden/>
          </w:rPr>
          <w:t>7</w:t>
        </w:r>
        <w:r w:rsidRPr="00AE4EF7">
          <w:rPr>
            <w:noProof/>
            <w:webHidden/>
          </w:rPr>
          <w:fldChar w:fldCharType="end"/>
        </w:r>
      </w:hyperlink>
    </w:p>
    <w:p w:rsidR="00A82054" w:rsidRPr="00AE4EF7" w:rsidRDefault="00F10061" w:rsidP="0021077A">
      <w:pPr>
        <w:pStyle w:val="TOC1"/>
        <w:rPr>
          <w:rFonts w:ascii="Calibri" w:hAnsi="Calibri"/>
          <w:noProof/>
          <w:sz w:val="22"/>
          <w:szCs w:val="22"/>
        </w:rPr>
      </w:pPr>
      <w:hyperlink w:anchor="_Toc268879882" w:history="1">
        <w:r w:rsidR="00A82054" w:rsidRPr="00AE4EF7">
          <w:rPr>
            <w:rStyle w:val="Hyperlink"/>
            <w:noProof/>
          </w:rPr>
          <w:t>6.</w:t>
        </w:r>
        <w:r w:rsidR="00A82054" w:rsidRPr="00AE4EF7">
          <w:rPr>
            <w:rFonts w:ascii="Calibri" w:hAnsi="Calibri"/>
            <w:noProof/>
            <w:sz w:val="22"/>
            <w:szCs w:val="22"/>
          </w:rPr>
          <w:tab/>
        </w:r>
        <w:r w:rsidR="00A82054" w:rsidRPr="00AE4EF7">
          <w:rPr>
            <w:rStyle w:val="Hyperlink"/>
            <w:noProof/>
          </w:rPr>
          <w:t>ESTIMATING THE ANNUAL HOUR AND COST OF THE COLLECTION</w:t>
        </w:r>
        <w:r w:rsidR="00A82054" w:rsidRPr="00AE4EF7">
          <w:rPr>
            <w:noProof/>
            <w:webHidden/>
          </w:rPr>
          <w:tab/>
        </w:r>
        <w:r w:rsidRPr="00AE4EF7">
          <w:rPr>
            <w:noProof/>
            <w:webHidden/>
          </w:rPr>
          <w:fldChar w:fldCharType="begin"/>
        </w:r>
        <w:r w:rsidR="00A82054" w:rsidRPr="00AE4EF7">
          <w:rPr>
            <w:noProof/>
            <w:webHidden/>
          </w:rPr>
          <w:instrText xml:space="preserve"> PAGEREF _Toc268879882 \h </w:instrText>
        </w:r>
        <w:r w:rsidRPr="00AE4EF7">
          <w:rPr>
            <w:noProof/>
            <w:webHidden/>
          </w:rPr>
        </w:r>
        <w:r w:rsidRPr="00AE4EF7">
          <w:rPr>
            <w:noProof/>
            <w:webHidden/>
          </w:rPr>
          <w:fldChar w:fldCharType="separate"/>
        </w:r>
        <w:r w:rsidR="009B1D6E">
          <w:rPr>
            <w:noProof/>
            <w:webHidden/>
          </w:rPr>
          <w:t>8</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83" w:history="1">
        <w:r w:rsidR="00A82054" w:rsidRPr="00AE4EF7">
          <w:rPr>
            <w:rStyle w:val="Hyperlink"/>
            <w:noProof/>
          </w:rPr>
          <w:t>6(a)</w:t>
        </w:r>
        <w:r w:rsidR="00A82054" w:rsidRPr="00AE4EF7">
          <w:rPr>
            <w:rFonts w:ascii="Calibri" w:hAnsi="Calibri"/>
            <w:iCs w:val="0"/>
            <w:noProof/>
            <w:sz w:val="22"/>
            <w:szCs w:val="22"/>
          </w:rPr>
          <w:tab/>
        </w:r>
        <w:r w:rsidR="00A82054" w:rsidRPr="00AE4EF7">
          <w:rPr>
            <w:rStyle w:val="Hyperlink"/>
            <w:noProof/>
          </w:rPr>
          <w:t>Estimating Respondent Hours</w:t>
        </w:r>
        <w:r w:rsidR="00A82054" w:rsidRPr="00AE4EF7">
          <w:rPr>
            <w:noProof/>
            <w:webHidden/>
          </w:rPr>
          <w:tab/>
        </w:r>
        <w:r w:rsidRPr="00AE4EF7">
          <w:rPr>
            <w:noProof/>
            <w:webHidden/>
          </w:rPr>
          <w:fldChar w:fldCharType="begin"/>
        </w:r>
        <w:r w:rsidR="00A82054" w:rsidRPr="00AE4EF7">
          <w:rPr>
            <w:noProof/>
            <w:webHidden/>
          </w:rPr>
          <w:instrText xml:space="preserve"> PAGEREF _Toc268879883 \h </w:instrText>
        </w:r>
        <w:r w:rsidRPr="00AE4EF7">
          <w:rPr>
            <w:noProof/>
            <w:webHidden/>
          </w:rPr>
        </w:r>
        <w:r w:rsidRPr="00AE4EF7">
          <w:rPr>
            <w:noProof/>
            <w:webHidden/>
          </w:rPr>
          <w:fldChar w:fldCharType="separate"/>
        </w:r>
        <w:r w:rsidR="009B1D6E">
          <w:rPr>
            <w:noProof/>
            <w:webHidden/>
          </w:rPr>
          <w:t>8</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84" w:history="1">
        <w:r w:rsidR="00A82054" w:rsidRPr="00AE4EF7">
          <w:rPr>
            <w:rStyle w:val="Hyperlink"/>
            <w:noProof/>
          </w:rPr>
          <w:t>6(b)</w:t>
        </w:r>
        <w:r w:rsidR="00A82054" w:rsidRPr="00AE4EF7">
          <w:rPr>
            <w:rFonts w:ascii="Calibri" w:hAnsi="Calibri"/>
            <w:iCs w:val="0"/>
            <w:noProof/>
            <w:sz w:val="22"/>
            <w:szCs w:val="22"/>
          </w:rPr>
          <w:tab/>
        </w:r>
        <w:r w:rsidR="00A82054" w:rsidRPr="00AE4EF7">
          <w:rPr>
            <w:rStyle w:val="Hyperlink"/>
            <w:noProof/>
          </w:rPr>
          <w:t>Estimating Respondent Costs</w:t>
        </w:r>
        <w:r w:rsidR="00A82054" w:rsidRPr="00AE4EF7">
          <w:rPr>
            <w:noProof/>
            <w:webHidden/>
          </w:rPr>
          <w:tab/>
        </w:r>
        <w:r w:rsidRPr="00AE4EF7">
          <w:rPr>
            <w:noProof/>
            <w:webHidden/>
          </w:rPr>
          <w:fldChar w:fldCharType="begin"/>
        </w:r>
        <w:r w:rsidR="00A82054" w:rsidRPr="00AE4EF7">
          <w:rPr>
            <w:noProof/>
            <w:webHidden/>
          </w:rPr>
          <w:instrText xml:space="preserve"> PAGEREF _Toc268879884 \h </w:instrText>
        </w:r>
        <w:r w:rsidRPr="00AE4EF7">
          <w:rPr>
            <w:noProof/>
            <w:webHidden/>
          </w:rPr>
        </w:r>
        <w:r w:rsidRPr="00AE4EF7">
          <w:rPr>
            <w:noProof/>
            <w:webHidden/>
          </w:rPr>
          <w:fldChar w:fldCharType="separate"/>
        </w:r>
        <w:r w:rsidR="009B1D6E">
          <w:rPr>
            <w:noProof/>
            <w:webHidden/>
          </w:rPr>
          <w:t>8</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85" w:history="1">
        <w:r w:rsidR="00A82054" w:rsidRPr="00AE4EF7">
          <w:rPr>
            <w:rStyle w:val="Hyperlink"/>
            <w:noProof/>
          </w:rPr>
          <w:t>6(c)</w:t>
        </w:r>
        <w:r w:rsidR="00A82054" w:rsidRPr="00AE4EF7">
          <w:rPr>
            <w:rFonts w:ascii="Calibri" w:hAnsi="Calibri"/>
            <w:iCs w:val="0"/>
            <w:noProof/>
            <w:sz w:val="22"/>
            <w:szCs w:val="22"/>
          </w:rPr>
          <w:tab/>
        </w:r>
        <w:r w:rsidR="00A82054" w:rsidRPr="00AE4EF7">
          <w:rPr>
            <w:rStyle w:val="Hyperlink"/>
            <w:noProof/>
          </w:rPr>
          <w:t>Estimating Agency Hours and Costs</w:t>
        </w:r>
        <w:r w:rsidR="00A82054" w:rsidRPr="00AE4EF7">
          <w:rPr>
            <w:noProof/>
            <w:webHidden/>
          </w:rPr>
          <w:tab/>
        </w:r>
        <w:r w:rsidRPr="00AE4EF7">
          <w:rPr>
            <w:noProof/>
            <w:webHidden/>
          </w:rPr>
          <w:fldChar w:fldCharType="begin"/>
        </w:r>
        <w:r w:rsidR="00A82054" w:rsidRPr="00AE4EF7">
          <w:rPr>
            <w:noProof/>
            <w:webHidden/>
          </w:rPr>
          <w:instrText xml:space="preserve"> PAGEREF _Toc268879885 \h </w:instrText>
        </w:r>
        <w:r w:rsidRPr="00AE4EF7">
          <w:rPr>
            <w:noProof/>
            <w:webHidden/>
          </w:rPr>
        </w:r>
        <w:r w:rsidRPr="00AE4EF7">
          <w:rPr>
            <w:noProof/>
            <w:webHidden/>
          </w:rPr>
          <w:fldChar w:fldCharType="separate"/>
        </w:r>
        <w:r w:rsidR="009B1D6E">
          <w:rPr>
            <w:noProof/>
            <w:webHidden/>
          </w:rPr>
          <w:t>10</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86" w:history="1">
        <w:r w:rsidR="00A82054" w:rsidRPr="00AE4EF7">
          <w:rPr>
            <w:rStyle w:val="Hyperlink"/>
            <w:noProof/>
          </w:rPr>
          <w:t>6(d)</w:t>
        </w:r>
        <w:r w:rsidR="00A82054" w:rsidRPr="00AE4EF7">
          <w:rPr>
            <w:rFonts w:ascii="Calibri" w:hAnsi="Calibri"/>
            <w:iCs w:val="0"/>
            <w:noProof/>
            <w:sz w:val="22"/>
            <w:szCs w:val="22"/>
          </w:rPr>
          <w:tab/>
        </w:r>
        <w:r w:rsidR="00A82054" w:rsidRPr="00AE4EF7">
          <w:rPr>
            <w:rStyle w:val="Hyperlink"/>
            <w:noProof/>
          </w:rPr>
          <w:t>Estimating the Respondent Universe</w:t>
        </w:r>
        <w:r w:rsidR="00A82054" w:rsidRPr="00AE4EF7">
          <w:rPr>
            <w:noProof/>
            <w:webHidden/>
          </w:rPr>
          <w:tab/>
        </w:r>
        <w:r w:rsidRPr="00AE4EF7">
          <w:rPr>
            <w:noProof/>
            <w:webHidden/>
          </w:rPr>
          <w:fldChar w:fldCharType="begin"/>
        </w:r>
        <w:r w:rsidR="00A82054" w:rsidRPr="00AE4EF7">
          <w:rPr>
            <w:noProof/>
            <w:webHidden/>
          </w:rPr>
          <w:instrText xml:space="preserve"> PAGEREF _Toc268879886 \h </w:instrText>
        </w:r>
        <w:r w:rsidRPr="00AE4EF7">
          <w:rPr>
            <w:noProof/>
            <w:webHidden/>
          </w:rPr>
        </w:r>
        <w:r w:rsidRPr="00AE4EF7">
          <w:rPr>
            <w:noProof/>
            <w:webHidden/>
          </w:rPr>
          <w:fldChar w:fldCharType="separate"/>
        </w:r>
        <w:r w:rsidR="009B1D6E">
          <w:rPr>
            <w:noProof/>
            <w:webHidden/>
          </w:rPr>
          <w:t>10</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87" w:history="1">
        <w:r w:rsidR="00A82054" w:rsidRPr="00AE4EF7">
          <w:rPr>
            <w:rStyle w:val="Hyperlink"/>
            <w:noProof/>
          </w:rPr>
          <w:t>6(e)</w:t>
        </w:r>
        <w:r w:rsidR="00A82054" w:rsidRPr="00AE4EF7">
          <w:rPr>
            <w:rFonts w:ascii="Calibri" w:hAnsi="Calibri"/>
            <w:iCs w:val="0"/>
            <w:noProof/>
            <w:sz w:val="22"/>
            <w:szCs w:val="22"/>
          </w:rPr>
          <w:tab/>
        </w:r>
        <w:r w:rsidR="00A82054" w:rsidRPr="00AE4EF7">
          <w:rPr>
            <w:rStyle w:val="Hyperlink"/>
            <w:noProof/>
          </w:rPr>
          <w:t>Bottom Line Burden Hours and Cost Tables</w:t>
        </w:r>
        <w:r w:rsidR="00A82054" w:rsidRPr="00AE4EF7">
          <w:rPr>
            <w:noProof/>
            <w:webHidden/>
          </w:rPr>
          <w:tab/>
        </w:r>
        <w:r w:rsidR="00D452E6">
          <w:rPr>
            <w:noProof/>
            <w:webHidden/>
          </w:rPr>
          <w:t>18</w:t>
        </w:r>
      </w:hyperlink>
    </w:p>
    <w:p w:rsidR="00A82054" w:rsidRPr="00AE4EF7" w:rsidRDefault="00F10061" w:rsidP="00A82054">
      <w:pPr>
        <w:pStyle w:val="TOC2"/>
        <w:tabs>
          <w:tab w:val="left" w:pos="360"/>
          <w:tab w:val="left" w:pos="800"/>
          <w:tab w:val="left" w:pos="1080"/>
          <w:tab w:val="right" w:leader="dot" w:pos="9350"/>
        </w:tabs>
        <w:spacing w:before="0"/>
        <w:rPr>
          <w:rFonts w:ascii="Calibri" w:hAnsi="Calibri"/>
          <w:iCs w:val="0"/>
          <w:noProof/>
          <w:sz w:val="22"/>
          <w:szCs w:val="22"/>
        </w:rPr>
      </w:pPr>
      <w:hyperlink w:anchor="_Toc268879888" w:history="1">
        <w:r w:rsidR="00A82054" w:rsidRPr="00AE4EF7">
          <w:rPr>
            <w:rStyle w:val="Hyperlink"/>
            <w:noProof/>
          </w:rPr>
          <w:t>6(f)</w:t>
        </w:r>
        <w:r w:rsidR="00A82054" w:rsidRPr="00AE4EF7">
          <w:rPr>
            <w:rFonts w:ascii="Calibri" w:hAnsi="Calibri"/>
            <w:iCs w:val="0"/>
            <w:noProof/>
            <w:sz w:val="22"/>
            <w:szCs w:val="22"/>
          </w:rPr>
          <w:tab/>
        </w:r>
        <w:r w:rsidR="0021077A" w:rsidRPr="00AE4EF7">
          <w:rPr>
            <w:rFonts w:ascii="Calibri" w:hAnsi="Calibri"/>
            <w:iCs w:val="0"/>
            <w:noProof/>
            <w:sz w:val="22"/>
            <w:szCs w:val="22"/>
          </w:rPr>
          <w:t xml:space="preserve">    </w:t>
        </w:r>
        <w:r w:rsidR="00A82054" w:rsidRPr="00AE4EF7">
          <w:rPr>
            <w:rStyle w:val="Hyperlink"/>
            <w:noProof/>
          </w:rPr>
          <w:t>Reasons for Change in Burden</w:t>
        </w:r>
        <w:r w:rsidR="00A82054" w:rsidRPr="00AE4EF7">
          <w:rPr>
            <w:noProof/>
            <w:webHidden/>
          </w:rPr>
          <w:tab/>
        </w:r>
        <w:r w:rsidRPr="00AE4EF7">
          <w:rPr>
            <w:noProof/>
            <w:webHidden/>
          </w:rPr>
          <w:fldChar w:fldCharType="begin"/>
        </w:r>
        <w:r w:rsidR="00A82054" w:rsidRPr="00AE4EF7">
          <w:rPr>
            <w:noProof/>
            <w:webHidden/>
          </w:rPr>
          <w:instrText xml:space="preserve"> PAGEREF _Toc268879888 \h </w:instrText>
        </w:r>
        <w:r w:rsidRPr="00AE4EF7">
          <w:rPr>
            <w:noProof/>
            <w:webHidden/>
          </w:rPr>
        </w:r>
        <w:r w:rsidRPr="00AE4EF7">
          <w:rPr>
            <w:noProof/>
            <w:webHidden/>
          </w:rPr>
          <w:fldChar w:fldCharType="separate"/>
        </w:r>
        <w:r w:rsidR="009B1D6E">
          <w:rPr>
            <w:noProof/>
            <w:webHidden/>
          </w:rPr>
          <w:t>18</w:t>
        </w:r>
        <w:r w:rsidRPr="00AE4EF7">
          <w:rPr>
            <w:noProof/>
            <w:webHidden/>
          </w:rPr>
          <w:fldChar w:fldCharType="end"/>
        </w:r>
      </w:hyperlink>
    </w:p>
    <w:p w:rsidR="00A82054" w:rsidRPr="00AE4EF7" w:rsidRDefault="00F10061" w:rsidP="00A82054">
      <w:pPr>
        <w:pStyle w:val="TOC2"/>
        <w:tabs>
          <w:tab w:val="left" w:pos="360"/>
          <w:tab w:val="left" w:pos="1000"/>
          <w:tab w:val="left" w:pos="1080"/>
          <w:tab w:val="right" w:leader="dot" w:pos="9350"/>
        </w:tabs>
        <w:spacing w:before="0"/>
        <w:rPr>
          <w:rFonts w:ascii="Calibri" w:hAnsi="Calibri"/>
          <w:iCs w:val="0"/>
          <w:noProof/>
          <w:sz w:val="22"/>
          <w:szCs w:val="22"/>
        </w:rPr>
      </w:pPr>
      <w:hyperlink w:anchor="_Toc268879889" w:history="1">
        <w:r w:rsidR="00A82054" w:rsidRPr="00AE4EF7">
          <w:rPr>
            <w:rStyle w:val="Hyperlink"/>
            <w:noProof/>
          </w:rPr>
          <w:t>6(g)</w:t>
        </w:r>
        <w:r w:rsidR="00A82054" w:rsidRPr="00AE4EF7">
          <w:rPr>
            <w:rFonts w:ascii="Calibri" w:hAnsi="Calibri"/>
            <w:iCs w:val="0"/>
            <w:noProof/>
            <w:sz w:val="22"/>
            <w:szCs w:val="22"/>
          </w:rPr>
          <w:tab/>
        </w:r>
        <w:r w:rsidR="00A82054" w:rsidRPr="00AE4EF7">
          <w:rPr>
            <w:rStyle w:val="Hyperlink"/>
            <w:noProof/>
          </w:rPr>
          <w:t>Burden Statement</w:t>
        </w:r>
        <w:r w:rsidR="00A82054" w:rsidRPr="00AE4EF7">
          <w:rPr>
            <w:noProof/>
            <w:webHidden/>
          </w:rPr>
          <w:tab/>
        </w:r>
        <w:r w:rsidRPr="00AE4EF7">
          <w:rPr>
            <w:noProof/>
            <w:webHidden/>
          </w:rPr>
          <w:fldChar w:fldCharType="begin"/>
        </w:r>
        <w:r w:rsidR="00A82054" w:rsidRPr="00AE4EF7">
          <w:rPr>
            <w:noProof/>
            <w:webHidden/>
          </w:rPr>
          <w:instrText xml:space="preserve"> PAGEREF _Toc268879889 \h </w:instrText>
        </w:r>
        <w:r w:rsidRPr="00AE4EF7">
          <w:rPr>
            <w:noProof/>
            <w:webHidden/>
          </w:rPr>
        </w:r>
        <w:r w:rsidRPr="00AE4EF7">
          <w:rPr>
            <w:noProof/>
            <w:webHidden/>
          </w:rPr>
          <w:fldChar w:fldCharType="separate"/>
        </w:r>
        <w:r w:rsidR="009B1D6E">
          <w:rPr>
            <w:noProof/>
            <w:webHidden/>
          </w:rPr>
          <w:t>18</w:t>
        </w:r>
        <w:r w:rsidRPr="00AE4EF7">
          <w:rPr>
            <w:noProof/>
            <w:webHidden/>
          </w:rPr>
          <w:fldChar w:fldCharType="end"/>
        </w:r>
      </w:hyperlink>
    </w:p>
    <w:p w:rsidR="002A4E05" w:rsidRDefault="00F10061" w:rsidP="008A349D">
      <w:pPr>
        <w:widowControl/>
        <w:tabs>
          <w:tab w:val="left" w:pos="360"/>
          <w:tab w:val="left" w:pos="1080"/>
        </w:tabs>
        <w:rPr>
          <w:sz w:val="24"/>
        </w:rPr>
        <w:sectPr w:rsidR="002A4E05" w:rsidSect="00A60392">
          <w:footerReference w:type="default" r:id="rId9"/>
          <w:endnotePr>
            <w:numFmt w:val="decimal"/>
          </w:endnotePr>
          <w:pgSz w:w="12240" w:h="15840"/>
          <w:pgMar w:top="1440" w:right="1440" w:bottom="1440" w:left="1440" w:header="1440" w:footer="1440" w:gutter="0"/>
          <w:pgNumType w:fmt="lowerRoman" w:start="1"/>
          <w:cols w:space="720"/>
          <w:noEndnote/>
        </w:sectPr>
      </w:pPr>
      <w:r w:rsidRPr="00AE4EF7">
        <w:rPr>
          <w:bCs/>
          <w:sz w:val="24"/>
        </w:rPr>
        <w:fldChar w:fldCharType="end"/>
      </w:r>
    </w:p>
    <w:p w:rsidR="002A4E05" w:rsidRDefault="002A4E05" w:rsidP="008A349D">
      <w:pPr>
        <w:widowControl/>
        <w:rPr>
          <w:sz w:val="24"/>
        </w:rPr>
        <w:sectPr w:rsidR="002A4E05" w:rsidSect="008F52C8">
          <w:endnotePr>
            <w:numFmt w:val="decimal"/>
          </w:endnotePr>
          <w:pgSz w:w="12240" w:h="15840"/>
          <w:pgMar w:top="1440" w:right="1440" w:bottom="1440" w:left="1440" w:header="1440" w:footer="1440" w:gutter="0"/>
          <w:pgNumType w:start="1"/>
          <w:cols w:space="720"/>
          <w:noEndnote/>
          <w:titlePg/>
          <w:docGrid w:linePitch="272"/>
        </w:sectPr>
      </w:pPr>
    </w:p>
    <w:p w:rsidR="00C93DD8" w:rsidRPr="002A4E05" w:rsidRDefault="00C93DD8" w:rsidP="008A349D">
      <w:pPr>
        <w:pStyle w:val="Heading1"/>
        <w:spacing w:before="0" w:after="0"/>
        <w:rPr>
          <w:szCs w:val="24"/>
        </w:rPr>
      </w:pPr>
      <w:bookmarkStart w:id="0" w:name="_Toc268614327"/>
      <w:bookmarkStart w:id="1" w:name="_Toc268614898"/>
      <w:bookmarkStart w:id="2" w:name="_Toc268879649"/>
      <w:bookmarkStart w:id="3" w:name="_Toc268879860"/>
      <w:r w:rsidRPr="002A4E05">
        <w:rPr>
          <w:szCs w:val="24"/>
        </w:rPr>
        <w:lastRenderedPageBreak/>
        <w:t>1.</w:t>
      </w:r>
      <w:r w:rsidRPr="002A4E05">
        <w:rPr>
          <w:szCs w:val="24"/>
        </w:rPr>
        <w:tab/>
        <w:t>IDENTIFICATION OF THE INFORMATION COLLECTION</w:t>
      </w:r>
      <w:bookmarkEnd w:id="0"/>
      <w:bookmarkEnd w:id="1"/>
      <w:bookmarkEnd w:id="2"/>
      <w:bookmarkEnd w:id="3"/>
      <w:r w:rsidR="00F10061" w:rsidRPr="002A4E05">
        <w:rPr>
          <w:szCs w:val="24"/>
        </w:rPr>
        <w:fldChar w:fldCharType="begin"/>
      </w:r>
      <w:r w:rsidRPr="002A4E05">
        <w:rPr>
          <w:szCs w:val="24"/>
        </w:rPr>
        <w:instrText>tc \l1 "1.</w:instrText>
      </w:r>
      <w:r w:rsidRPr="002A4E05">
        <w:rPr>
          <w:szCs w:val="24"/>
        </w:rPr>
        <w:tab/>
        <w:instrText>IDENTIFICATION OF THE INFORMATION COLLECTION</w:instrText>
      </w:r>
      <w:r w:rsidR="00F10061" w:rsidRPr="002A4E05">
        <w:rPr>
          <w:szCs w:val="24"/>
        </w:rPr>
        <w:fldChar w:fldCharType="end"/>
      </w:r>
    </w:p>
    <w:p w:rsidR="00C93DD8" w:rsidRPr="002A4E05" w:rsidRDefault="00C93DD8" w:rsidP="002A4E05">
      <w:pPr>
        <w:pStyle w:val="Heading2"/>
      </w:pPr>
      <w:r>
        <w:tab/>
      </w:r>
      <w:bookmarkStart w:id="4" w:name="_Toc268614899"/>
      <w:bookmarkStart w:id="5" w:name="_Toc268879650"/>
      <w:bookmarkStart w:id="6" w:name="_Toc268879861"/>
      <w:r w:rsidRPr="002A4E05">
        <w:t>1(a)</w:t>
      </w:r>
      <w:r w:rsidRPr="002A4E05">
        <w:tab/>
        <w:t>Title and Number of the Information Collection</w:t>
      </w:r>
      <w:bookmarkEnd w:id="4"/>
      <w:bookmarkEnd w:id="5"/>
      <w:bookmarkEnd w:id="6"/>
      <w:r w:rsidR="00F10061" w:rsidRPr="002A4E05">
        <w:fldChar w:fldCharType="begin"/>
      </w:r>
      <w:r w:rsidRPr="002A4E05">
        <w:instrText>tc \l2 "</w:instrText>
      </w:r>
      <w:r w:rsidRPr="002A4E05">
        <w:tab/>
        <w:instrText>1(a)</w:instrText>
      </w:r>
      <w:r w:rsidRPr="002A4E05">
        <w:tab/>
        <w:instrText>Title and Number of the Information Collection</w:instrText>
      </w:r>
      <w:r w:rsidR="00F10061" w:rsidRPr="002A4E05">
        <w:fldChar w:fldCharType="end"/>
      </w:r>
    </w:p>
    <w:p w:rsidR="00C93DD8" w:rsidRDefault="00C93D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p>
    <w:p w:rsidR="00C93DD8" w:rsidRDefault="00C93DD8" w:rsidP="00CC6B84">
      <w:pPr>
        <w:widowControl/>
        <w:rPr>
          <w:sz w:val="24"/>
        </w:rPr>
      </w:pPr>
      <w:r w:rsidRPr="005C050C">
        <w:rPr>
          <w:sz w:val="24"/>
        </w:rPr>
        <w:t>This IC</w:t>
      </w:r>
      <w:r w:rsidR="008B3E73" w:rsidRPr="005C050C">
        <w:rPr>
          <w:sz w:val="24"/>
        </w:rPr>
        <w:t xml:space="preserve">R is </w:t>
      </w:r>
      <w:r w:rsidRPr="005C050C">
        <w:rPr>
          <w:sz w:val="24"/>
        </w:rPr>
        <w:t>titled</w:t>
      </w:r>
      <w:r w:rsidR="00F25BF4" w:rsidRPr="005C050C">
        <w:rPr>
          <w:sz w:val="24"/>
        </w:rPr>
        <w:t>,</w:t>
      </w:r>
      <w:r w:rsidRPr="005C050C">
        <w:rPr>
          <w:sz w:val="24"/>
        </w:rPr>
        <w:t xml:space="preserve"> </w:t>
      </w:r>
      <w:r w:rsidR="00CC6B84">
        <w:rPr>
          <w:b/>
          <w:sz w:val="24"/>
        </w:rPr>
        <w:t>“Hazardous Waste Management System: Conditional Exclusion for Carbon Dioxide (CO</w:t>
      </w:r>
      <w:r w:rsidR="00CC6B84" w:rsidRPr="005C16DE">
        <w:rPr>
          <w:b/>
          <w:sz w:val="24"/>
          <w:vertAlign w:val="subscript"/>
        </w:rPr>
        <w:t>2</w:t>
      </w:r>
      <w:r w:rsidR="00CC6B84">
        <w:rPr>
          <w:b/>
          <w:sz w:val="24"/>
        </w:rPr>
        <w:t xml:space="preserve">) Streams in Geological Sequestration Activities – Final Rule.”  </w:t>
      </w:r>
      <w:r w:rsidR="00CC6B84">
        <w:rPr>
          <w:sz w:val="24"/>
        </w:rPr>
        <w:t>ICR</w:t>
      </w:r>
      <w:r w:rsidR="00CC6B84" w:rsidRPr="005C050C">
        <w:rPr>
          <w:sz w:val="24"/>
        </w:rPr>
        <w:t xml:space="preserve"> </w:t>
      </w:r>
      <w:r w:rsidR="00CC6B84">
        <w:rPr>
          <w:sz w:val="24"/>
        </w:rPr>
        <w:t>N</w:t>
      </w:r>
      <w:r w:rsidR="00CC6B84" w:rsidRPr="005C050C">
        <w:rPr>
          <w:sz w:val="24"/>
        </w:rPr>
        <w:t xml:space="preserve">umber </w:t>
      </w:r>
      <w:r w:rsidR="00CC6B84">
        <w:rPr>
          <w:sz w:val="24"/>
        </w:rPr>
        <w:t>2421.0</w:t>
      </w:r>
      <w:r w:rsidR="00F93370">
        <w:rPr>
          <w:sz w:val="24"/>
        </w:rPr>
        <w:t>4</w:t>
      </w:r>
      <w:r w:rsidR="00CC6B84">
        <w:rPr>
          <w:sz w:val="24"/>
        </w:rPr>
        <w:t>, OMB Number 2050-0207</w:t>
      </w:r>
      <w:r w:rsidR="00CC6B84" w:rsidRPr="005C050C">
        <w:rPr>
          <w:sz w:val="24"/>
        </w:rPr>
        <w:t>.</w:t>
      </w:r>
    </w:p>
    <w:p w:rsidR="00C93DD8" w:rsidRDefault="00C93DD8" w:rsidP="002A4E05">
      <w:pPr>
        <w:pStyle w:val="Heading2"/>
      </w:pPr>
      <w:r>
        <w:tab/>
      </w:r>
      <w:bookmarkStart w:id="7" w:name="_Toc268614900"/>
      <w:bookmarkStart w:id="8" w:name="_Toc268879651"/>
      <w:bookmarkStart w:id="9" w:name="_Toc268879862"/>
      <w:r>
        <w:t>1(b)</w:t>
      </w:r>
      <w:r>
        <w:tab/>
        <w:t>Short Characterization or Abstract</w:t>
      </w:r>
      <w:bookmarkEnd w:id="7"/>
      <w:bookmarkEnd w:id="8"/>
      <w:bookmarkEnd w:id="9"/>
      <w:r w:rsidR="00F10061">
        <w:fldChar w:fldCharType="begin"/>
      </w:r>
      <w:r>
        <w:instrText>tc \l2 "</w:instrText>
      </w:r>
      <w:r>
        <w:tab/>
      </w:r>
      <w:r>
        <w:tab/>
        <w:instrText>1(b)</w:instrText>
      </w:r>
      <w:r>
        <w:tab/>
        <w:instrText>Short Characterization or Abstract</w:instrText>
      </w:r>
      <w:r w:rsidR="00F10061">
        <w:fldChar w:fldCharType="end"/>
      </w:r>
    </w:p>
    <w:p w:rsidR="00F22B00" w:rsidRDefault="009D4DA6" w:rsidP="00F22B00">
      <w:r>
        <w:tab/>
      </w:r>
      <w:bookmarkStart w:id="10" w:name="_Toc268614901"/>
    </w:p>
    <w:p w:rsidR="005A7CE1" w:rsidRPr="00244463" w:rsidRDefault="00942B9F" w:rsidP="005A7CE1">
      <w:pPr>
        <w:ind w:firstLine="720"/>
        <w:rPr>
          <w:sz w:val="24"/>
        </w:rPr>
      </w:pPr>
      <w:r>
        <w:rPr>
          <w:sz w:val="24"/>
        </w:rPr>
        <w:t>Under the authority of the Resource Conservation and Recovery Act (RCRA), t</w:t>
      </w:r>
      <w:r w:rsidR="009D4DA6" w:rsidRPr="00F22B00">
        <w:rPr>
          <w:sz w:val="24"/>
        </w:rPr>
        <w:t xml:space="preserve">he U.S. Environmental Protection Agency (EPA) is </w:t>
      </w:r>
      <w:r w:rsidR="003D310A">
        <w:rPr>
          <w:sz w:val="24"/>
        </w:rPr>
        <w:t xml:space="preserve">finalizing </w:t>
      </w:r>
      <w:r w:rsidR="005A7CE1" w:rsidRPr="00244463">
        <w:rPr>
          <w:sz w:val="24"/>
        </w:rPr>
        <w:t>a conditional ex</w:t>
      </w:r>
      <w:r w:rsidR="003D310A">
        <w:rPr>
          <w:sz w:val="24"/>
        </w:rPr>
        <w:t xml:space="preserve">clusion </w:t>
      </w:r>
      <w:r w:rsidR="005A7CE1" w:rsidRPr="00244463">
        <w:rPr>
          <w:sz w:val="24"/>
        </w:rPr>
        <w:t>from the definition of hazardous waste for carbon dioxide</w:t>
      </w:r>
      <w:r w:rsidR="005A7CE1">
        <w:rPr>
          <w:sz w:val="24"/>
        </w:rPr>
        <w:t xml:space="preserve"> (CO</w:t>
      </w:r>
      <w:r w:rsidR="005A7CE1" w:rsidRPr="00735D82">
        <w:rPr>
          <w:sz w:val="24"/>
          <w:vertAlign w:val="subscript"/>
        </w:rPr>
        <w:t>2</w:t>
      </w:r>
      <w:r w:rsidR="005A7CE1">
        <w:rPr>
          <w:sz w:val="24"/>
        </w:rPr>
        <w:t xml:space="preserve">) </w:t>
      </w:r>
      <w:r w:rsidR="005A7CE1" w:rsidRPr="00244463">
        <w:rPr>
          <w:sz w:val="24"/>
        </w:rPr>
        <w:t>streams that are captured, stored, transported, and injected into a well subject to the requirements for Class VI Underground Injection Control</w:t>
      </w:r>
      <w:r w:rsidR="005A7CE1">
        <w:rPr>
          <w:sz w:val="24"/>
        </w:rPr>
        <w:t xml:space="preserve"> (UIC)</w:t>
      </w:r>
      <w:r w:rsidR="005A7CE1" w:rsidRPr="00244463">
        <w:rPr>
          <w:sz w:val="24"/>
        </w:rPr>
        <w:t xml:space="preserve"> wells,</w:t>
      </w:r>
      <w:r w:rsidR="00121225" w:rsidRPr="006B7243">
        <w:rPr>
          <w:rStyle w:val="FootnoteReference"/>
          <w:sz w:val="24"/>
          <w:vertAlign w:val="superscript"/>
        </w:rPr>
        <w:footnoteReference w:id="1"/>
      </w:r>
      <w:r w:rsidR="005A7CE1" w:rsidRPr="00244463">
        <w:rPr>
          <w:sz w:val="24"/>
        </w:rPr>
        <w:t xml:space="preserve"> including the requirements in 40 CFR Parts 144 and 146 of the Underground Injection Control Program of the Safe Drinking Water Act.  The ex</w:t>
      </w:r>
      <w:r w:rsidR="006B7243">
        <w:rPr>
          <w:sz w:val="24"/>
        </w:rPr>
        <w:t xml:space="preserve">clusion </w:t>
      </w:r>
      <w:r w:rsidR="005A7CE1" w:rsidRPr="00244463">
        <w:rPr>
          <w:sz w:val="24"/>
        </w:rPr>
        <w:t>w</w:t>
      </w:r>
      <w:r w:rsidR="006B7243">
        <w:rPr>
          <w:sz w:val="24"/>
        </w:rPr>
        <w:t>ill</w:t>
      </w:r>
      <w:r w:rsidR="005A7CE1" w:rsidRPr="00244463">
        <w:rPr>
          <w:sz w:val="24"/>
        </w:rPr>
        <w:t xml:space="preserve"> only apply to the</w:t>
      </w:r>
      <w:r w:rsidR="005A7CE1">
        <w:rPr>
          <w:sz w:val="24"/>
        </w:rPr>
        <w:t xml:space="preserve"> CO</w:t>
      </w:r>
      <w:r w:rsidR="005A7CE1" w:rsidRPr="00735D82">
        <w:rPr>
          <w:sz w:val="24"/>
          <w:vertAlign w:val="subscript"/>
        </w:rPr>
        <w:t>2</w:t>
      </w:r>
      <w:r w:rsidR="00B6728E">
        <w:rPr>
          <w:sz w:val="24"/>
        </w:rPr>
        <w:t xml:space="preserve"> </w:t>
      </w:r>
      <w:r w:rsidR="005A7CE1" w:rsidRPr="00244463">
        <w:rPr>
          <w:sz w:val="24"/>
        </w:rPr>
        <w:t>stream itself (as defined</w:t>
      </w:r>
      <w:r w:rsidR="005A7CE1">
        <w:rPr>
          <w:sz w:val="24"/>
        </w:rPr>
        <w:t xml:space="preserve"> in 40 CFR </w:t>
      </w:r>
      <w:r w:rsidR="005A7CE1" w:rsidRPr="00244463">
        <w:rPr>
          <w:sz w:val="24"/>
        </w:rPr>
        <w:t>146.81(d)), and not to hazardous wastes that are mixed with, or are otherwise co-injected w</w:t>
      </w:r>
      <w:r w:rsidR="005A7CE1">
        <w:rPr>
          <w:sz w:val="24"/>
        </w:rPr>
        <w:t>ith, CO</w:t>
      </w:r>
      <w:r w:rsidR="005A7CE1" w:rsidRPr="00735D82">
        <w:rPr>
          <w:sz w:val="24"/>
          <w:vertAlign w:val="subscript"/>
        </w:rPr>
        <w:t>2</w:t>
      </w:r>
      <w:r w:rsidR="005A7CE1">
        <w:rPr>
          <w:sz w:val="24"/>
        </w:rPr>
        <w:t xml:space="preserve"> </w:t>
      </w:r>
      <w:r w:rsidR="005A7CE1" w:rsidRPr="00244463">
        <w:rPr>
          <w:sz w:val="24"/>
        </w:rPr>
        <w:t>streams.</w:t>
      </w:r>
      <w:r w:rsidR="005A7CE1">
        <w:rPr>
          <w:sz w:val="24"/>
        </w:rPr>
        <w:t xml:space="preserve">  The ex</w:t>
      </w:r>
      <w:r w:rsidR="006B7243">
        <w:rPr>
          <w:sz w:val="24"/>
        </w:rPr>
        <w:t>clusion</w:t>
      </w:r>
      <w:r w:rsidR="005A7CE1">
        <w:rPr>
          <w:sz w:val="24"/>
        </w:rPr>
        <w:t xml:space="preserve"> w</w:t>
      </w:r>
      <w:r w:rsidR="006B7243">
        <w:rPr>
          <w:sz w:val="24"/>
        </w:rPr>
        <w:t>ill</w:t>
      </w:r>
      <w:r w:rsidR="005A7CE1">
        <w:rPr>
          <w:sz w:val="24"/>
        </w:rPr>
        <w:t xml:space="preserve"> be codified at 40 CFR 261.4(h).</w:t>
      </w:r>
    </w:p>
    <w:p w:rsidR="005A7CE1" w:rsidRDefault="005A7CE1" w:rsidP="005A7C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A7CE1" w:rsidRDefault="005A7C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Pr="000F1124">
        <w:rPr>
          <w:sz w:val="24"/>
        </w:rPr>
        <w:t>The condit</w:t>
      </w:r>
      <w:r>
        <w:rPr>
          <w:sz w:val="24"/>
        </w:rPr>
        <w:t xml:space="preserve">ional </w:t>
      </w:r>
      <w:r w:rsidR="00146ECA">
        <w:rPr>
          <w:sz w:val="24"/>
        </w:rPr>
        <w:t>exclusion</w:t>
      </w:r>
      <w:r>
        <w:rPr>
          <w:sz w:val="24"/>
        </w:rPr>
        <w:t xml:space="preserve"> require</w:t>
      </w:r>
      <w:r w:rsidR="00146ECA">
        <w:rPr>
          <w:sz w:val="24"/>
        </w:rPr>
        <w:t xml:space="preserve">s that </w:t>
      </w:r>
      <w:r w:rsidRPr="000F1124">
        <w:rPr>
          <w:sz w:val="24"/>
        </w:rPr>
        <w:t>generator</w:t>
      </w:r>
      <w:r>
        <w:rPr>
          <w:sz w:val="24"/>
        </w:rPr>
        <w:t>s and owner/operator</w:t>
      </w:r>
      <w:r w:rsidR="00942B9F">
        <w:rPr>
          <w:sz w:val="24"/>
        </w:rPr>
        <w:t>s</w:t>
      </w:r>
      <w:r>
        <w:rPr>
          <w:sz w:val="24"/>
        </w:rPr>
        <w:t xml:space="preserve"> of a Class VI UIC well</w:t>
      </w:r>
      <w:r w:rsidRPr="000F1124">
        <w:rPr>
          <w:sz w:val="24"/>
        </w:rPr>
        <w:t xml:space="preserve"> who claim that a </w:t>
      </w:r>
      <w:r>
        <w:rPr>
          <w:sz w:val="24"/>
        </w:rPr>
        <w:t>CO</w:t>
      </w:r>
      <w:r w:rsidRPr="00735D82">
        <w:rPr>
          <w:sz w:val="24"/>
          <w:vertAlign w:val="subscript"/>
        </w:rPr>
        <w:t>2</w:t>
      </w:r>
      <w:r>
        <w:rPr>
          <w:sz w:val="24"/>
        </w:rPr>
        <w:t xml:space="preserve"> </w:t>
      </w:r>
      <w:r w:rsidRPr="000F1124">
        <w:rPr>
          <w:sz w:val="24"/>
        </w:rPr>
        <w:t xml:space="preserve">stream is exempt under </w:t>
      </w:r>
      <w:r w:rsidR="00CC1845">
        <w:rPr>
          <w:sz w:val="24"/>
        </w:rPr>
        <w:t>section</w:t>
      </w:r>
      <w:r w:rsidRPr="000F1124">
        <w:rPr>
          <w:sz w:val="24"/>
        </w:rPr>
        <w:t xml:space="preserve"> 261.4(h)</w:t>
      </w:r>
      <w:r w:rsidR="00461A57">
        <w:rPr>
          <w:sz w:val="24"/>
        </w:rPr>
        <w:t>,</w:t>
      </w:r>
      <w:r w:rsidRPr="000F1124">
        <w:rPr>
          <w:sz w:val="24"/>
        </w:rPr>
        <w:t xml:space="preserve"> have an authorized representative sign a certifica</w:t>
      </w:r>
      <w:r>
        <w:rPr>
          <w:sz w:val="24"/>
        </w:rPr>
        <w:t>tion statement worded as specified</w:t>
      </w:r>
      <w:r w:rsidR="00146ECA">
        <w:rPr>
          <w:sz w:val="24"/>
        </w:rPr>
        <w:t xml:space="preserve"> under (i) or (ii)</w:t>
      </w:r>
      <w:r>
        <w:rPr>
          <w:sz w:val="24"/>
        </w:rPr>
        <w:t xml:space="preserve">.  </w:t>
      </w:r>
      <w:r w:rsidRPr="002E0BAE">
        <w:rPr>
          <w:sz w:val="24"/>
        </w:rPr>
        <w:t>The signed certification statement must be kept on site for no less than three years</w:t>
      </w:r>
      <w:r w:rsidR="00146ECA">
        <w:rPr>
          <w:sz w:val="24"/>
        </w:rPr>
        <w:t xml:space="preserve">, and posted prominently on the corporate website (if such website exists) as a public notification with the title of “Carbon Doxide Stream Certification.”  </w:t>
      </w:r>
      <w:r w:rsidRPr="002E0BAE">
        <w:rPr>
          <w:sz w:val="24"/>
        </w:rPr>
        <w:t>The signed certification</w:t>
      </w:r>
      <w:r w:rsidR="009E2C62">
        <w:rPr>
          <w:sz w:val="24"/>
        </w:rPr>
        <w:t xml:space="preserve"> statement</w:t>
      </w:r>
      <w:r w:rsidRPr="002E0BAE">
        <w:rPr>
          <w:sz w:val="24"/>
        </w:rPr>
        <w:t>, which must be made available within 72 hours of a written request from EPA</w:t>
      </w:r>
      <w:r w:rsidR="00146ECA">
        <w:rPr>
          <w:sz w:val="24"/>
        </w:rPr>
        <w:t xml:space="preserve"> or </w:t>
      </w:r>
      <w:r w:rsidR="009E2C62">
        <w:rPr>
          <w:sz w:val="24"/>
        </w:rPr>
        <w:t xml:space="preserve">a </w:t>
      </w:r>
      <w:r w:rsidR="00146ECA">
        <w:rPr>
          <w:sz w:val="24"/>
        </w:rPr>
        <w:t>state director (if authorized)</w:t>
      </w:r>
      <w:r w:rsidRPr="002E0BAE">
        <w:rPr>
          <w:sz w:val="24"/>
        </w:rPr>
        <w:t xml:space="preserve">, </w:t>
      </w:r>
      <w:r w:rsidR="005C050C">
        <w:rPr>
          <w:sz w:val="24"/>
        </w:rPr>
        <w:t>must</w:t>
      </w:r>
      <w:r w:rsidRPr="002E0BAE">
        <w:rPr>
          <w:sz w:val="24"/>
        </w:rPr>
        <w:t xml:space="preserve"> be renewed every year that the generator</w:t>
      </w:r>
      <w:r>
        <w:rPr>
          <w:sz w:val="24"/>
        </w:rPr>
        <w:t xml:space="preserve"> </w:t>
      </w:r>
      <w:r w:rsidR="009E2C62">
        <w:rPr>
          <w:sz w:val="24"/>
        </w:rPr>
        <w:t xml:space="preserve">and </w:t>
      </w:r>
      <w:r>
        <w:rPr>
          <w:sz w:val="24"/>
        </w:rPr>
        <w:t>Class VI UIC well owner/operator</w:t>
      </w:r>
      <w:r w:rsidRPr="002E0BAE">
        <w:rPr>
          <w:sz w:val="24"/>
        </w:rPr>
        <w:t xml:space="preserve"> claim the </w:t>
      </w:r>
      <w:r w:rsidR="00146ECA">
        <w:rPr>
          <w:sz w:val="24"/>
        </w:rPr>
        <w:t>exclusion</w:t>
      </w:r>
      <w:r w:rsidRPr="002E0BAE">
        <w:rPr>
          <w:sz w:val="24"/>
        </w:rPr>
        <w:t>.</w:t>
      </w:r>
      <w:r w:rsidRPr="002E0BAE">
        <w:rPr>
          <w:sz w:val="24"/>
        </w:rPr>
        <w:br/>
      </w:r>
      <w:bookmarkEnd w:id="10"/>
    </w:p>
    <w:p w:rsidR="00EE4E80" w:rsidRDefault="00873EF3" w:rsidP="00162F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00CB5E6F">
        <w:rPr>
          <w:sz w:val="24"/>
        </w:rPr>
        <w:t xml:space="preserve">The </w:t>
      </w:r>
      <w:r w:rsidR="004C291D">
        <w:rPr>
          <w:sz w:val="24"/>
        </w:rPr>
        <w:t xml:space="preserve">EPA is </w:t>
      </w:r>
      <w:r w:rsidR="00AD0525">
        <w:rPr>
          <w:sz w:val="24"/>
        </w:rPr>
        <w:t xml:space="preserve">taking this action </w:t>
      </w:r>
      <w:r w:rsidR="004C291D">
        <w:rPr>
          <w:sz w:val="24"/>
        </w:rPr>
        <w:t xml:space="preserve">to </w:t>
      </w:r>
      <w:r>
        <w:rPr>
          <w:sz w:val="24"/>
        </w:rPr>
        <w:t xml:space="preserve">encourage </w:t>
      </w:r>
      <w:r w:rsidR="00181751">
        <w:rPr>
          <w:sz w:val="24"/>
        </w:rPr>
        <w:t xml:space="preserve">the </w:t>
      </w:r>
      <w:r>
        <w:rPr>
          <w:sz w:val="24"/>
        </w:rPr>
        <w:t>use</w:t>
      </w:r>
      <w:r w:rsidR="00181751">
        <w:rPr>
          <w:sz w:val="24"/>
        </w:rPr>
        <w:t xml:space="preserve"> of</w:t>
      </w:r>
      <w:r>
        <w:rPr>
          <w:sz w:val="24"/>
        </w:rPr>
        <w:t xml:space="preserve"> carbon capture and sequestration (CCS) technologies </w:t>
      </w:r>
      <w:r w:rsidR="00CB5E6F">
        <w:rPr>
          <w:sz w:val="24"/>
        </w:rPr>
        <w:t xml:space="preserve">in order to help </w:t>
      </w:r>
      <w:r w:rsidR="00B06FDD">
        <w:rPr>
          <w:sz w:val="24"/>
        </w:rPr>
        <w:t>reduce</w:t>
      </w:r>
      <w:r>
        <w:rPr>
          <w:sz w:val="24"/>
        </w:rPr>
        <w:t xml:space="preserve"> the levels of greenhouse gases emitted to the atmosphere.</w:t>
      </w:r>
      <w:r w:rsidR="00FC52A4" w:rsidRPr="00FC52A4">
        <w:rPr>
          <w:rStyle w:val="FootnoteReference"/>
          <w:sz w:val="24"/>
          <w:vertAlign w:val="superscript"/>
        </w:rPr>
        <w:footnoteReference w:id="2"/>
      </w:r>
      <w:r>
        <w:rPr>
          <w:sz w:val="24"/>
        </w:rPr>
        <w:t xml:space="preserve">  In 20</w:t>
      </w:r>
      <w:r w:rsidR="00CB5E6F">
        <w:rPr>
          <w:sz w:val="24"/>
        </w:rPr>
        <w:t>10</w:t>
      </w:r>
      <w:r>
        <w:rPr>
          <w:sz w:val="24"/>
        </w:rPr>
        <w:t xml:space="preserve">, EPA </w:t>
      </w:r>
      <w:r w:rsidR="00CB5E6F">
        <w:rPr>
          <w:sz w:val="24"/>
        </w:rPr>
        <w:t xml:space="preserve">finalized </w:t>
      </w:r>
      <w:r>
        <w:rPr>
          <w:sz w:val="24"/>
        </w:rPr>
        <w:t>amendments to the UIC program to establish a new type of well (Class VI) to cover the underground injection of CO</w:t>
      </w:r>
      <w:r w:rsidRPr="00CB5E6F">
        <w:rPr>
          <w:sz w:val="24"/>
          <w:vertAlign w:val="subscript"/>
        </w:rPr>
        <w:t>2</w:t>
      </w:r>
      <w:r>
        <w:rPr>
          <w:sz w:val="24"/>
        </w:rPr>
        <w:t xml:space="preserve"> for the purposes of geological sequestration (</w:t>
      </w:r>
      <w:r w:rsidR="00CB5E6F">
        <w:rPr>
          <w:sz w:val="24"/>
        </w:rPr>
        <w:t>December 10</w:t>
      </w:r>
      <w:r w:rsidR="00F72570">
        <w:rPr>
          <w:sz w:val="24"/>
        </w:rPr>
        <w:t>, 20</w:t>
      </w:r>
      <w:r w:rsidR="00CB5E6F">
        <w:rPr>
          <w:sz w:val="24"/>
        </w:rPr>
        <w:t>10</w:t>
      </w:r>
      <w:r>
        <w:rPr>
          <w:sz w:val="24"/>
        </w:rPr>
        <w:t xml:space="preserve"> FR </w:t>
      </w:r>
      <w:r w:rsidR="004F5450">
        <w:rPr>
          <w:sz w:val="24"/>
        </w:rPr>
        <w:t>77230</w:t>
      </w:r>
      <w:r>
        <w:rPr>
          <w:sz w:val="24"/>
        </w:rPr>
        <w:t>).</w:t>
      </w:r>
      <w:r w:rsidR="004F5450" w:rsidRPr="004F5450">
        <w:rPr>
          <w:sz w:val="24"/>
          <w:vertAlign w:val="superscript"/>
        </w:rPr>
        <w:t>1</w:t>
      </w:r>
      <w:r w:rsidR="004F5450">
        <w:rPr>
          <w:sz w:val="24"/>
        </w:rPr>
        <w:t>,</w:t>
      </w:r>
      <w:r w:rsidR="00FC52A4" w:rsidRPr="001120AD">
        <w:rPr>
          <w:rStyle w:val="FootnoteReference"/>
          <w:sz w:val="24"/>
          <w:vertAlign w:val="superscript"/>
        </w:rPr>
        <w:footnoteReference w:id="3"/>
      </w:r>
      <w:r w:rsidRPr="001120AD">
        <w:rPr>
          <w:sz w:val="24"/>
          <w:vertAlign w:val="superscript"/>
        </w:rPr>
        <w:t xml:space="preserve"> </w:t>
      </w:r>
      <w:r w:rsidR="00CB54AA">
        <w:rPr>
          <w:sz w:val="24"/>
        </w:rPr>
        <w:t xml:space="preserve"> These</w:t>
      </w:r>
      <w:r>
        <w:rPr>
          <w:sz w:val="24"/>
        </w:rPr>
        <w:t xml:space="preserve"> </w:t>
      </w:r>
      <w:r w:rsidR="00CB54AA">
        <w:rPr>
          <w:sz w:val="24"/>
        </w:rPr>
        <w:t xml:space="preserve">UIC </w:t>
      </w:r>
      <w:r>
        <w:rPr>
          <w:sz w:val="24"/>
        </w:rPr>
        <w:t>amendment</w:t>
      </w:r>
      <w:r w:rsidR="00CB54AA">
        <w:rPr>
          <w:sz w:val="24"/>
        </w:rPr>
        <w:t>s</w:t>
      </w:r>
      <w:r>
        <w:rPr>
          <w:sz w:val="24"/>
        </w:rPr>
        <w:t xml:space="preserve"> address the unique nature of geological sequestration projects to ensure that the injection of large volumes of CO</w:t>
      </w:r>
      <w:r w:rsidRPr="00735D82">
        <w:rPr>
          <w:sz w:val="24"/>
          <w:vertAlign w:val="subscript"/>
        </w:rPr>
        <w:t>2</w:t>
      </w:r>
      <w:r>
        <w:rPr>
          <w:sz w:val="24"/>
        </w:rPr>
        <w:t xml:space="preserve"> in geological formations for the purposes of long term storage would not endanger underground sources of drinking water.  </w:t>
      </w:r>
      <w:r w:rsidR="00181751">
        <w:rPr>
          <w:sz w:val="24"/>
        </w:rPr>
        <w:t>T</w:t>
      </w:r>
      <w:r w:rsidR="00162F7C">
        <w:rPr>
          <w:sz w:val="24"/>
        </w:rPr>
        <w:t xml:space="preserve">he </w:t>
      </w:r>
      <w:r w:rsidR="00CB54AA">
        <w:rPr>
          <w:sz w:val="24"/>
        </w:rPr>
        <w:t xml:space="preserve">UIC </w:t>
      </w:r>
      <w:r w:rsidR="00181751">
        <w:rPr>
          <w:sz w:val="24"/>
        </w:rPr>
        <w:t>amendment</w:t>
      </w:r>
      <w:r w:rsidR="00CB54AA">
        <w:rPr>
          <w:sz w:val="24"/>
        </w:rPr>
        <w:t>s</w:t>
      </w:r>
      <w:r w:rsidR="00181751">
        <w:rPr>
          <w:sz w:val="24"/>
        </w:rPr>
        <w:t xml:space="preserve"> prohibit the injection of RCRA hazardous waste into</w:t>
      </w:r>
      <w:r w:rsidR="00162F7C">
        <w:rPr>
          <w:sz w:val="24"/>
        </w:rPr>
        <w:t xml:space="preserve"> Class VI wells.</w:t>
      </w:r>
      <w:r w:rsidR="00162F7C" w:rsidRPr="00E7052F">
        <w:rPr>
          <w:sz w:val="24"/>
          <w:vertAlign w:val="superscript"/>
        </w:rPr>
        <w:t xml:space="preserve">  </w:t>
      </w:r>
      <w:r w:rsidR="00162F7C">
        <w:rPr>
          <w:sz w:val="24"/>
        </w:rPr>
        <w:t xml:space="preserve"> </w:t>
      </w:r>
    </w:p>
    <w:p w:rsidR="00A238A7" w:rsidRDefault="00A238A7" w:rsidP="00A238A7">
      <w:pPr>
        <w:pStyle w:val="FootnoteText"/>
      </w:pPr>
    </w:p>
    <w:p w:rsidR="00D520E7" w:rsidRDefault="00D520E7" w:rsidP="00A238A7">
      <w:pPr>
        <w:pStyle w:val="FootnoteText"/>
      </w:pPr>
    </w:p>
    <w:p w:rsidR="00D72077" w:rsidRPr="00A238A7" w:rsidRDefault="00A238A7" w:rsidP="00A238A7">
      <w:pPr>
        <w:pStyle w:val="FootnoteText"/>
        <w:ind w:firstLine="720"/>
        <w:rPr>
          <w:sz w:val="24"/>
          <w:szCs w:val="24"/>
        </w:rPr>
      </w:pPr>
      <w:r w:rsidRPr="00A238A7">
        <w:rPr>
          <w:sz w:val="24"/>
          <w:szCs w:val="24"/>
        </w:rPr>
        <w:lastRenderedPageBreak/>
        <w:t xml:space="preserve">Public comments on the </w:t>
      </w:r>
      <w:r w:rsidR="00ED7D20">
        <w:rPr>
          <w:sz w:val="24"/>
          <w:szCs w:val="24"/>
        </w:rPr>
        <w:t xml:space="preserve">proposed </w:t>
      </w:r>
      <w:r w:rsidRPr="00A238A7">
        <w:rPr>
          <w:sz w:val="24"/>
          <w:szCs w:val="24"/>
        </w:rPr>
        <w:t>UIC amendments raised questions and concerns</w:t>
      </w:r>
      <w:r>
        <w:rPr>
          <w:sz w:val="24"/>
          <w:szCs w:val="24"/>
        </w:rPr>
        <w:t xml:space="preserve"> </w:t>
      </w:r>
      <w:r w:rsidRPr="00A238A7">
        <w:rPr>
          <w:sz w:val="24"/>
          <w:szCs w:val="24"/>
        </w:rPr>
        <w:t>about the status of CO</w:t>
      </w:r>
      <w:r w:rsidRPr="00735D82">
        <w:rPr>
          <w:sz w:val="24"/>
          <w:szCs w:val="24"/>
          <w:vertAlign w:val="subscript"/>
        </w:rPr>
        <w:t>2</w:t>
      </w:r>
      <w:r w:rsidRPr="00A238A7">
        <w:rPr>
          <w:sz w:val="24"/>
          <w:szCs w:val="24"/>
        </w:rPr>
        <w:t xml:space="preserve"> as a RCRA hazardous waste.  </w:t>
      </w:r>
      <w:r w:rsidR="009422AE">
        <w:rPr>
          <w:sz w:val="24"/>
          <w:szCs w:val="24"/>
        </w:rPr>
        <w:t>The</w:t>
      </w:r>
      <w:r w:rsidR="00F9445E">
        <w:rPr>
          <w:sz w:val="24"/>
          <w:szCs w:val="24"/>
        </w:rPr>
        <w:t xml:space="preserve"> </w:t>
      </w:r>
      <w:r w:rsidR="00B25057">
        <w:rPr>
          <w:sz w:val="24"/>
          <w:szCs w:val="24"/>
        </w:rPr>
        <w:t>final</w:t>
      </w:r>
      <w:r>
        <w:rPr>
          <w:sz w:val="24"/>
          <w:szCs w:val="24"/>
        </w:rPr>
        <w:t xml:space="preserve"> </w:t>
      </w:r>
      <w:r w:rsidR="00AD0525">
        <w:rPr>
          <w:sz w:val="24"/>
          <w:szCs w:val="24"/>
        </w:rPr>
        <w:t xml:space="preserve">RCRA </w:t>
      </w:r>
      <w:r w:rsidRPr="00A238A7">
        <w:rPr>
          <w:sz w:val="24"/>
          <w:szCs w:val="24"/>
        </w:rPr>
        <w:t xml:space="preserve">conditional </w:t>
      </w:r>
      <w:r w:rsidR="00146ECA">
        <w:rPr>
          <w:sz w:val="24"/>
          <w:szCs w:val="24"/>
        </w:rPr>
        <w:t>exclusion</w:t>
      </w:r>
      <w:r w:rsidRPr="00A238A7">
        <w:rPr>
          <w:sz w:val="24"/>
          <w:szCs w:val="24"/>
        </w:rPr>
        <w:t xml:space="preserve"> clarif</w:t>
      </w:r>
      <w:r w:rsidR="00B25057">
        <w:rPr>
          <w:sz w:val="24"/>
          <w:szCs w:val="24"/>
        </w:rPr>
        <w:t>ies</w:t>
      </w:r>
      <w:r w:rsidRPr="00A238A7">
        <w:rPr>
          <w:sz w:val="24"/>
          <w:szCs w:val="24"/>
        </w:rPr>
        <w:t xml:space="preserve"> that </w:t>
      </w:r>
      <w:r>
        <w:rPr>
          <w:sz w:val="24"/>
          <w:szCs w:val="24"/>
        </w:rPr>
        <w:t>captured CO</w:t>
      </w:r>
      <w:r w:rsidRPr="00735D82">
        <w:rPr>
          <w:sz w:val="24"/>
          <w:szCs w:val="24"/>
          <w:vertAlign w:val="subscript"/>
        </w:rPr>
        <w:t>2</w:t>
      </w:r>
      <w:r>
        <w:rPr>
          <w:sz w:val="24"/>
          <w:szCs w:val="24"/>
        </w:rPr>
        <w:t xml:space="preserve"> </w:t>
      </w:r>
      <w:r w:rsidR="003554F8" w:rsidRPr="00A238A7">
        <w:rPr>
          <w:sz w:val="24"/>
          <w:szCs w:val="24"/>
        </w:rPr>
        <w:t>would no</w:t>
      </w:r>
      <w:r w:rsidR="00FF7400" w:rsidRPr="00A238A7">
        <w:rPr>
          <w:sz w:val="24"/>
          <w:szCs w:val="24"/>
        </w:rPr>
        <w:t xml:space="preserve">t be RCRA </w:t>
      </w:r>
      <w:r w:rsidR="003554F8" w:rsidRPr="00A238A7">
        <w:rPr>
          <w:sz w:val="24"/>
          <w:szCs w:val="24"/>
        </w:rPr>
        <w:t xml:space="preserve">hazardous </w:t>
      </w:r>
      <w:r w:rsidRPr="00A238A7">
        <w:rPr>
          <w:sz w:val="24"/>
          <w:szCs w:val="24"/>
        </w:rPr>
        <w:t xml:space="preserve">provided that the generator and Class VI UIC well owner/operator claim the </w:t>
      </w:r>
      <w:r w:rsidR="00146ECA">
        <w:rPr>
          <w:sz w:val="24"/>
          <w:szCs w:val="24"/>
        </w:rPr>
        <w:t>exclusion</w:t>
      </w:r>
      <w:r w:rsidRPr="00A238A7">
        <w:rPr>
          <w:sz w:val="24"/>
          <w:szCs w:val="24"/>
        </w:rPr>
        <w:t xml:space="preserve"> and comply with its conditions.  </w:t>
      </w:r>
      <w:r w:rsidR="001250BE" w:rsidRPr="00A238A7">
        <w:rPr>
          <w:sz w:val="24"/>
          <w:szCs w:val="24"/>
        </w:rPr>
        <w:t>In this respect</w:t>
      </w:r>
      <w:r w:rsidR="001B2AE3" w:rsidRPr="00A238A7">
        <w:rPr>
          <w:sz w:val="24"/>
          <w:szCs w:val="24"/>
        </w:rPr>
        <w:t xml:space="preserve">, </w:t>
      </w:r>
      <w:r w:rsidR="00DE3B24" w:rsidRPr="00A238A7">
        <w:rPr>
          <w:sz w:val="24"/>
          <w:szCs w:val="24"/>
        </w:rPr>
        <w:t>the</w:t>
      </w:r>
      <w:r>
        <w:rPr>
          <w:sz w:val="24"/>
          <w:szCs w:val="24"/>
        </w:rPr>
        <w:t xml:space="preserve"> </w:t>
      </w:r>
      <w:r w:rsidR="00B25057">
        <w:rPr>
          <w:sz w:val="24"/>
          <w:szCs w:val="24"/>
        </w:rPr>
        <w:t>R</w:t>
      </w:r>
      <w:r w:rsidR="00245029">
        <w:rPr>
          <w:sz w:val="24"/>
          <w:szCs w:val="24"/>
        </w:rPr>
        <w:t xml:space="preserve">CRA </w:t>
      </w:r>
      <w:r w:rsidR="00DE5F8D" w:rsidRPr="00A238A7">
        <w:rPr>
          <w:sz w:val="24"/>
          <w:szCs w:val="24"/>
        </w:rPr>
        <w:t>conditional</w:t>
      </w:r>
      <w:r w:rsidR="00DE3B24" w:rsidRPr="00A238A7">
        <w:rPr>
          <w:sz w:val="24"/>
          <w:szCs w:val="24"/>
        </w:rPr>
        <w:t xml:space="preserve"> </w:t>
      </w:r>
      <w:r w:rsidR="00146ECA">
        <w:rPr>
          <w:sz w:val="24"/>
          <w:szCs w:val="24"/>
        </w:rPr>
        <w:t>exclusion</w:t>
      </w:r>
      <w:r w:rsidR="00DE3B24" w:rsidRPr="00A238A7">
        <w:rPr>
          <w:sz w:val="24"/>
          <w:szCs w:val="24"/>
        </w:rPr>
        <w:t xml:space="preserve"> is</w:t>
      </w:r>
      <w:r w:rsidR="00040833">
        <w:rPr>
          <w:sz w:val="24"/>
          <w:szCs w:val="24"/>
        </w:rPr>
        <w:t xml:space="preserve"> necessary </w:t>
      </w:r>
      <w:r w:rsidR="00DE3B24" w:rsidRPr="00A238A7">
        <w:rPr>
          <w:sz w:val="24"/>
          <w:szCs w:val="24"/>
        </w:rPr>
        <w:t>for</w:t>
      </w:r>
      <w:r w:rsidR="00D72077" w:rsidRPr="00A238A7">
        <w:rPr>
          <w:sz w:val="24"/>
          <w:szCs w:val="24"/>
        </w:rPr>
        <w:t xml:space="preserve"> </w:t>
      </w:r>
      <w:r w:rsidR="006C1365">
        <w:rPr>
          <w:sz w:val="24"/>
          <w:szCs w:val="24"/>
        </w:rPr>
        <w:t xml:space="preserve">clarifying the status of </w:t>
      </w:r>
      <w:r w:rsidR="00735D82">
        <w:rPr>
          <w:sz w:val="24"/>
          <w:szCs w:val="24"/>
        </w:rPr>
        <w:t xml:space="preserve">the captured </w:t>
      </w:r>
      <w:r w:rsidR="006C1365">
        <w:rPr>
          <w:sz w:val="24"/>
          <w:szCs w:val="24"/>
        </w:rPr>
        <w:t>CO</w:t>
      </w:r>
      <w:r w:rsidR="006C1365" w:rsidRPr="00735D82">
        <w:rPr>
          <w:sz w:val="24"/>
          <w:szCs w:val="24"/>
          <w:vertAlign w:val="subscript"/>
        </w:rPr>
        <w:t>2</w:t>
      </w:r>
      <w:r w:rsidR="006C1365">
        <w:rPr>
          <w:sz w:val="24"/>
          <w:szCs w:val="24"/>
        </w:rPr>
        <w:t xml:space="preserve"> </w:t>
      </w:r>
      <w:r w:rsidR="00735D82">
        <w:rPr>
          <w:sz w:val="24"/>
          <w:szCs w:val="24"/>
        </w:rPr>
        <w:t xml:space="preserve">stream </w:t>
      </w:r>
      <w:r w:rsidR="006C1365">
        <w:rPr>
          <w:sz w:val="24"/>
          <w:szCs w:val="24"/>
        </w:rPr>
        <w:t xml:space="preserve">under RCRA and </w:t>
      </w:r>
      <w:r w:rsidR="00D72077" w:rsidRPr="00A238A7">
        <w:rPr>
          <w:sz w:val="24"/>
          <w:szCs w:val="24"/>
        </w:rPr>
        <w:t>encourag</w:t>
      </w:r>
      <w:r w:rsidR="00DE3B24" w:rsidRPr="00A238A7">
        <w:rPr>
          <w:sz w:val="24"/>
          <w:szCs w:val="24"/>
        </w:rPr>
        <w:t>ing</w:t>
      </w:r>
      <w:r w:rsidR="00D72077" w:rsidRPr="00A238A7">
        <w:rPr>
          <w:sz w:val="24"/>
          <w:szCs w:val="24"/>
        </w:rPr>
        <w:t xml:space="preserve"> the </w:t>
      </w:r>
      <w:r w:rsidR="00DE3B24" w:rsidRPr="00A238A7">
        <w:rPr>
          <w:sz w:val="24"/>
          <w:szCs w:val="24"/>
        </w:rPr>
        <w:t>capture and sequestration of CO</w:t>
      </w:r>
      <w:r w:rsidR="00DE3B24" w:rsidRPr="00735D82">
        <w:rPr>
          <w:sz w:val="24"/>
          <w:szCs w:val="24"/>
          <w:vertAlign w:val="subscript"/>
        </w:rPr>
        <w:t>2</w:t>
      </w:r>
      <w:r w:rsidR="00383196" w:rsidRPr="00A238A7">
        <w:rPr>
          <w:sz w:val="24"/>
          <w:szCs w:val="24"/>
        </w:rPr>
        <w:t xml:space="preserve"> in Class VI wells</w:t>
      </w:r>
      <w:r w:rsidR="0011224F" w:rsidRPr="00A238A7">
        <w:rPr>
          <w:sz w:val="24"/>
          <w:szCs w:val="24"/>
        </w:rPr>
        <w:t xml:space="preserve"> in accordance with the </w:t>
      </w:r>
      <w:r w:rsidR="00B25057">
        <w:rPr>
          <w:sz w:val="24"/>
          <w:szCs w:val="24"/>
        </w:rPr>
        <w:t>final</w:t>
      </w:r>
      <w:r w:rsidR="0011224F" w:rsidRPr="00A238A7">
        <w:rPr>
          <w:sz w:val="24"/>
          <w:szCs w:val="24"/>
        </w:rPr>
        <w:t xml:space="preserve"> UIC amendments</w:t>
      </w:r>
      <w:r w:rsidR="00D72077" w:rsidRPr="00A238A7">
        <w:rPr>
          <w:sz w:val="24"/>
          <w:szCs w:val="24"/>
        </w:rPr>
        <w:t>.</w:t>
      </w:r>
    </w:p>
    <w:p w:rsidR="00DE5F8D" w:rsidRDefault="00DE5F8D" w:rsidP="00E240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DE5F8D" w:rsidRDefault="00DE5F8D" w:rsidP="00DE5F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00E83289">
        <w:rPr>
          <w:sz w:val="24"/>
        </w:rPr>
        <w:t xml:space="preserve">The Agency </w:t>
      </w:r>
      <w:r>
        <w:rPr>
          <w:sz w:val="24"/>
        </w:rPr>
        <w:t>believes that the risk posed to human health and the environment from the management of CO</w:t>
      </w:r>
      <w:r w:rsidRPr="00735D82">
        <w:rPr>
          <w:sz w:val="24"/>
          <w:vertAlign w:val="subscript"/>
        </w:rPr>
        <w:t>2</w:t>
      </w:r>
      <w:r>
        <w:rPr>
          <w:sz w:val="24"/>
        </w:rPr>
        <w:t xml:space="preserve"> streams is not substantial when these streams are managed for purposes of geological sequestration under the </w:t>
      </w:r>
      <w:r w:rsidR="00E83289">
        <w:rPr>
          <w:sz w:val="24"/>
        </w:rPr>
        <w:t>final</w:t>
      </w:r>
      <w:r w:rsidR="0052093F">
        <w:rPr>
          <w:sz w:val="24"/>
        </w:rPr>
        <w:t xml:space="preserve"> RCRA conditional </w:t>
      </w:r>
      <w:r w:rsidR="00146ECA">
        <w:rPr>
          <w:sz w:val="24"/>
        </w:rPr>
        <w:t>exclusion</w:t>
      </w:r>
      <w:r>
        <w:rPr>
          <w:sz w:val="24"/>
        </w:rPr>
        <w:t xml:space="preserve">, including compliance with regulations governing the storage, transport and injection into UIC Class VI permitted wells. </w:t>
      </w:r>
      <w:r w:rsidR="00E83289">
        <w:rPr>
          <w:sz w:val="24"/>
        </w:rPr>
        <w:t xml:space="preserve">The </w:t>
      </w:r>
      <w:r>
        <w:rPr>
          <w:sz w:val="24"/>
        </w:rPr>
        <w:t>EPA believes that the full set of hazardous waste regulations is in many ways inappropriate for these CO</w:t>
      </w:r>
      <w:r w:rsidRPr="00735D82">
        <w:rPr>
          <w:sz w:val="24"/>
          <w:vertAlign w:val="subscript"/>
        </w:rPr>
        <w:t>2</w:t>
      </w:r>
      <w:r w:rsidR="00807A21">
        <w:rPr>
          <w:sz w:val="24"/>
        </w:rPr>
        <w:t xml:space="preserve"> </w:t>
      </w:r>
      <w:r>
        <w:rPr>
          <w:sz w:val="24"/>
        </w:rPr>
        <w:t xml:space="preserve">streams and the </w:t>
      </w:r>
      <w:r w:rsidR="0052093F">
        <w:rPr>
          <w:sz w:val="24"/>
        </w:rPr>
        <w:t xml:space="preserve">conditional </w:t>
      </w:r>
      <w:r w:rsidR="00146ECA">
        <w:rPr>
          <w:sz w:val="24"/>
        </w:rPr>
        <w:t>exclusion</w:t>
      </w:r>
      <w:r>
        <w:rPr>
          <w:sz w:val="24"/>
        </w:rPr>
        <w:t xml:space="preserve"> would substantially reduce the uncertainty associated with managing the streams under the hazardous waste regulations.</w:t>
      </w:r>
    </w:p>
    <w:p w:rsidR="00807A21" w:rsidRDefault="00807A21" w:rsidP="00DE5F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3DD8" w:rsidRDefault="00181751" w:rsidP="00E240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T</w:t>
      </w:r>
      <w:r w:rsidR="00C93DD8">
        <w:rPr>
          <w:sz w:val="24"/>
        </w:rPr>
        <w:t xml:space="preserve">his ICR examines the information collections under the </w:t>
      </w:r>
      <w:r w:rsidR="00E83289">
        <w:rPr>
          <w:sz w:val="24"/>
        </w:rPr>
        <w:t>final</w:t>
      </w:r>
      <w:r w:rsidR="0087190A">
        <w:rPr>
          <w:sz w:val="24"/>
        </w:rPr>
        <w:t xml:space="preserve"> RCRA conditional </w:t>
      </w:r>
      <w:r w:rsidR="00146ECA">
        <w:rPr>
          <w:sz w:val="24"/>
        </w:rPr>
        <w:t>exclusion</w:t>
      </w:r>
      <w:r w:rsidR="0087190A">
        <w:rPr>
          <w:sz w:val="24"/>
        </w:rPr>
        <w:t xml:space="preserve"> at 40 CFR 261.4(h)</w:t>
      </w:r>
      <w:r w:rsidR="00C93DD8">
        <w:rPr>
          <w:sz w:val="24"/>
        </w:rPr>
        <w:t xml:space="preserve">.  Sections 1 through 5 of this document describe the collections (e.g., from the standpoint of need and use/utility of the information collected).  The sections also describe respondent and Agency activities.  In Section 6, </w:t>
      </w:r>
      <w:r w:rsidR="00E83289">
        <w:rPr>
          <w:sz w:val="24"/>
        </w:rPr>
        <w:t xml:space="preserve">we </w:t>
      </w:r>
      <w:r w:rsidR="00C93DD8">
        <w:rPr>
          <w:sz w:val="24"/>
        </w:rPr>
        <w:t>estimate the total annual hour and cost burden to respondents and the Agency under the information collections.</w:t>
      </w:r>
    </w:p>
    <w:p w:rsidR="00C93DD8" w:rsidRPr="002A4E05" w:rsidRDefault="00C93DD8" w:rsidP="002A4E05">
      <w:pPr>
        <w:pStyle w:val="Heading1"/>
      </w:pPr>
      <w:bookmarkStart w:id="11" w:name="_Toc268614902"/>
      <w:bookmarkStart w:id="12" w:name="_Toc268879652"/>
      <w:bookmarkStart w:id="13" w:name="_Toc268879863"/>
      <w:r w:rsidRPr="002A4E05">
        <w:t>2.</w:t>
      </w:r>
      <w:r w:rsidRPr="002A4E05">
        <w:tab/>
        <w:t>NEED FOR AND USE OF THE COLLECTION</w:t>
      </w:r>
      <w:bookmarkEnd w:id="11"/>
      <w:bookmarkEnd w:id="12"/>
      <w:bookmarkEnd w:id="13"/>
      <w:r w:rsidR="00F10061" w:rsidRPr="002A4E05">
        <w:fldChar w:fldCharType="begin"/>
      </w:r>
      <w:r w:rsidRPr="002A4E05">
        <w:instrText>tc \l1 "2.</w:instrText>
      </w:r>
      <w:r w:rsidRPr="002A4E05">
        <w:tab/>
        <w:instrText>NEED FOR AND USE OF THE COLLECTION</w:instrText>
      </w:r>
      <w:r w:rsidR="00F10061" w:rsidRPr="002A4E05">
        <w:fldChar w:fldCharType="end"/>
      </w:r>
    </w:p>
    <w:p w:rsidR="00C93DD8" w:rsidRDefault="00C93DD8" w:rsidP="002A4E05">
      <w:pPr>
        <w:pStyle w:val="Heading2"/>
        <w:ind w:firstLine="720"/>
      </w:pPr>
      <w:bookmarkStart w:id="14" w:name="_Toc268614903"/>
      <w:bookmarkStart w:id="15" w:name="_Toc268879653"/>
      <w:bookmarkStart w:id="16" w:name="_Toc268879864"/>
      <w:r>
        <w:t>2(a)</w:t>
      </w:r>
      <w:r>
        <w:tab/>
        <w:t>Need and Authority for the Collection</w:t>
      </w:r>
      <w:bookmarkEnd w:id="14"/>
      <w:bookmarkEnd w:id="15"/>
      <w:bookmarkEnd w:id="16"/>
      <w:r w:rsidR="00F10061">
        <w:fldChar w:fldCharType="begin"/>
      </w:r>
      <w:r>
        <w:instrText>tc \l2 "</w:instrText>
      </w:r>
      <w:r>
        <w:tab/>
        <w:instrText>2(a)</w:instrText>
      </w:r>
      <w:r>
        <w:tab/>
        <w:instrText>Need and Authority for the Collection</w:instrText>
      </w:r>
      <w:r w:rsidR="00F10061">
        <w:fldChar w:fldCharType="end"/>
      </w:r>
    </w:p>
    <w:p w:rsidR="00C93DD8" w:rsidRDefault="00C93DD8">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956721" w:rsidRDefault="00DD7D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005E3620">
        <w:rPr>
          <w:sz w:val="24"/>
        </w:rPr>
        <w:t xml:space="preserve">The </w:t>
      </w:r>
      <w:r w:rsidR="008D6A6C">
        <w:rPr>
          <w:sz w:val="24"/>
        </w:rPr>
        <w:t xml:space="preserve">conditional </w:t>
      </w:r>
      <w:r w:rsidR="00146ECA">
        <w:rPr>
          <w:sz w:val="24"/>
        </w:rPr>
        <w:t>exclusion</w:t>
      </w:r>
      <w:r w:rsidR="008D6A6C">
        <w:rPr>
          <w:sz w:val="24"/>
        </w:rPr>
        <w:t xml:space="preserve"> is</w:t>
      </w:r>
      <w:r w:rsidR="005E3620">
        <w:rPr>
          <w:sz w:val="24"/>
        </w:rPr>
        <w:t xml:space="preserve"> being </w:t>
      </w:r>
      <w:r w:rsidR="00BB3847">
        <w:rPr>
          <w:sz w:val="24"/>
        </w:rPr>
        <w:t>finalized</w:t>
      </w:r>
      <w:r w:rsidR="005E3620">
        <w:rPr>
          <w:sz w:val="24"/>
        </w:rPr>
        <w:t xml:space="preserve"> under the authority of sections 2002, 3001, 3002, 3003, 3004, and 3007 of RCRA, as amended.  EPA</w:t>
      </w:r>
      <w:r w:rsidR="008D6A6C">
        <w:rPr>
          <w:sz w:val="24"/>
        </w:rPr>
        <w:t xml:space="preserve"> believes that the </w:t>
      </w:r>
      <w:r w:rsidR="00BB3847">
        <w:rPr>
          <w:sz w:val="24"/>
        </w:rPr>
        <w:t>final rule</w:t>
      </w:r>
      <w:r w:rsidR="005E3620">
        <w:rPr>
          <w:sz w:val="24"/>
        </w:rPr>
        <w:t xml:space="preserve"> is an important part of its efforts to establish a regulatory framework that supports the future development and deployment of carbon capture and sequestration (CCS) technology</w:t>
      </w:r>
      <w:r w:rsidR="00600B74">
        <w:rPr>
          <w:sz w:val="24"/>
        </w:rPr>
        <w:t xml:space="preserve">, to </w:t>
      </w:r>
      <w:r w:rsidR="00BB3847">
        <w:rPr>
          <w:sz w:val="24"/>
        </w:rPr>
        <w:t xml:space="preserve">help </w:t>
      </w:r>
      <w:r w:rsidR="00600B74">
        <w:rPr>
          <w:sz w:val="24"/>
        </w:rPr>
        <w:t>control levels of greenhouse gases (GHGs) in the atmosphere</w:t>
      </w:r>
      <w:r w:rsidR="005E3620">
        <w:rPr>
          <w:sz w:val="24"/>
        </w:rPr>
        <w:t>.</w:t>
      </w:r>
      <w:r w:rsidR="005E3620" w:rsidRPr="005F12A6">
        <w:rPr>
          <w:sz w:val="24"/>
          <w:vertAlign w:val="superscript"/>
        </w:rPr>
        <w:t xml:space="preserve"> </w:t>
      </w:r>
      <w:r w:rsidR="005E3620">
        <w:rPr>
          <w:sz w:val="24"/>
        </w:rPr>
        <w:t xml:space="preserve">   </w:t>
      </w:r>
    </w:p>
    <w:p w:rsidR="001C1329" w:rsidRPr="000F1124" w:rsidRDefault="001C13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F72BF" w:rsidRDefault="006332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 xml:space="preserve">The certification statements </w:t>
      </w:r>
      <w:r w:rsidR="00F31109">
        <w:rPr>
          <w:sz w:val="24"/>
        </w:rPr>
        <w:t xml:space="preserve">required by the conditional </w:t>
      </w:r>
      <w:r w:rsidR="00146ECA">
        <w:rPr>
          <w:sz w:val="24"/>
        </w:rPr>
        <w:t>exclusion</w:t>
      </w:r>
      <w:r>
        <w:rPr>
          <w:sz w:val="24"/>
        </w:rPr>
        <w:t xml:space="preserve"> are necessary to hold </w:t>
      </w:r>
      <w:r w:rsidR="00F31109">
        <w:rPr>
          <w:sz w:val="24"/>
        </w:rPr>
        <w:t xml:space="preserve">claimants </w:t>
      </w:r>
      <w:r>
        <w:rPr>
          <w:sz w:val="24"/>
        </w:rPr>
        <w:t xml:space="preserve">accountable for knowing and following the conditions of the </w:t>
      </w:r>
      <w:r w:rsidR="00146ECA">
        <w:rPr>
          <w:sz w:val="24"/>
        </w:rPr>
        <w:t>exclusion</w:t>
      </w:r>
      <w:r>
        <w:rPr>
          <w:sz w:val="24"/>
        </w:rPr>
        <w:t>.</w:t>
      </w:r>
      <w:r w:rsidR="00B26C8D">
        <w:rPr>
          <w:sz w:val="24"/>
        </w:rPr>
        <w:t xml:space="preserve">  They also are necessary to dem</w:t>
      </w:r>
      <w:r w:rsidR="000B54F8">
        <w:rPr>
          <w:sz w:val="24"/>
        </w:rPr>
        <w:t>onstrate to regulators that claimants</w:t>
      </w:r>
      <w:r w:rsidR="00B26C8D">
        <w:rPr>
          <w:sz w:val="24"/>
        </w:rPr>
        <w:t xml:space="preserve"> are aware of the conditions applicable to them (e.g., during an onsite inspection).  </w:t>
      </w:r>
      <w:r w:rsidR="000B31B0">
        <w:rPr>
          <w:sz w:val="24"/>
        </w:rPr>
        <w:t xml:space="preserve">In addition, the certification statements </w:t>
      </w:r>
      <w:r w:rsidR="000B54F8">
        <w:rPr>
          <w:sz w:val="24"/>
        </w:rPr>
        <w:t xml:space="preserve">help to </w:t>
      </w:r>
      <w:r w:rsidR="000B31B0">
        <w:rPr>
          <w:sz w:val="24"/>
        </w:rPr>
        <w:t>convey the seriousness of the conditions</w:t>
      </w:r>
      <w:r w:rsidR="00785D6D">
        <w:rPr>
          <w:sz w:val="24"/>
        </w:rPr>
        <w:t xml:space="preserve"> to claima</w:t>
      </w:r>
      <w:r w:rsidR="000B54F8">
        <w:rPr>
          <w:sz w:val="24"/>
        </w:rPr>
        <w:t>nts</w:t>
      </w:r>
      <w:r w:rsidR="000B31B0">
        <w:rPr>
          <w:sz w:val="24"/>
        </w:rPr>
        <w:t xml:space="preserve"> and likely would encourage employees to make their upper management aware of the conditions and involve them in </w:t>
      </w:r>
      <w:r w:rsidR="00A67A6B">
        <w:rPr>
          <w:sz w:val="24"/>
        </w:rPr>
        <w:t>ensuring that their company remains in compliance</w:t>
      </w:r>
      <w:r w:rsidR="000B31B0">
        <w:rPr>
          <w:sz w:val="24"/>
        </w:rPr>
        <w:t>.</w:t>
      </w:r>
    </w:p>
    <w:p w:rsidR="00C93DD8" w:rsidRDefault="00AF72BF" w:rsidP="002A4E05">
      <w:pPr>
        <w:pStyle w:val="Heading2"/>
      </w:pPr>
      <w:r>
        <w:tab/>
      </w:r>
      <w:bookmarkStart w:id="17" w:name="_Toc268614904"/>
      <w:bookmarkStart w:id="18" w:name="_Toc268879654"/>
      <w:bookmarkStart w:id="19" w:name="_Toc268879865"/>
      <w:r w:rsidR="00C93DD8">
        <w:t>2(b)</w:t>
      </w:r>
      <w:r w:rsidR="00C93DD8">
        <w:tab/>
        <w:t>Practical Utility and Users of the Data</w:t>
      </w:r>
      <w:bookmarkEnd w:id="17"/>
      <w:bookmarkEnd w:id="18"/>
      <w:bookmarkEnd w:id="19"/>
      <w:r w:rsidR="00F10061">
        <w:fldChar w:fldCharType="begin"/>
      </w:r>
      <w:r w:rsidR="00C93DD8">
        <w:instrText>tc \l2 "</w:instrText>
      </w:r>
      <w:r w:rsidR="00C93DD8">
        <w:tab/>
        <w:instrText>2(b)</w:instrText>
      </w:r>
      <w:r w:rsidR="00C93DD8">
        <w:tab/>
        <w:instrText>Practical Utility and Users of the Data</w:instrText>
      </w:r>
      <w:r w:rsidR="00F10061">
        <w:fldChar w:fldCharType="end"/>
      </w:r>
    </w:p>
    <w:p w:rsidR="00C93DD8" w:rsidRDefault="00C93DD8">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756D6" w:rsidRDefault="00AF72BF" w:rsidP="00265D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 xml:space="preserve">The certification statements </w:t>
      </w:r>
      <w:r w:rsidR="006C1476">
        <w:rPr>
          <w:sz w:val="24"/>
        </w:rPr>
        <w:t xml:space="preserve">required by the conditional </w:t>
      </w:r>
      <w:r w:rsidR="00146ECA">
        <w:rPr>
          <w:sz w:val="24"/>
        </w:rPr>
        <w:t>exclusion</w:t>
      </w:r>
      <w:r>
        <w:rPr>
          <w:sz w:val="24"/>
        </w:rPr>
        <w:t xml:space="preserve"> would be used by regulators to hold generators and Class VI well owner/operators accountable for knowing the conditions applicable to them (e.g., during an onsite inspection).  The certification statements </w:t>
      </w:r>
      <w:r w:rsidR="001A45D7">
        <w:rPr>
          <w:sz w:val="24"/>
        </w:rPr>
        <w:lastRenderedPageBreak/>
        <w:t xml:space="preserve">and Web posting requirements </w:t>
      </w:r>
      <w:r>
        <w:rPr>
          <w:sz w:val="24"/>
        </w:rPr>
        <w:t xml:space="preserve">would </w:t>
      </w:r>
      <w:r w:rsidR="001A45D7">
        <w:rPr>
          <w:sz w:val="24"/>
        </w:rPr>
        <w:t xml:space="preserve">also </w:t>
      </w:r>
      <w:r>
        <w:rPr>
          <w:sz w:val="24"/>
        </w:rPr>
        <w:t>be used by generators and owner/operators to demonstrate that they are aware of, and complying with, the conditions.</w:t>
      </w:r>
      <w:r w:rsidR="005C53D1">
        <w:rPr>
          <w:sz w:val="24"/>
        </w:rPr>
        <w:t xml:space="preserve">  </w:t>
      </w:r>
    </w:p>
    <w:p w:rsidR="002756D6" w:rsidRDefault="002756D6" w:rsidP="00265D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65D97" w:rsidRDefault="002756D6" w:rsidP="00265D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005C53D1">
        <w:rPr>
          <w:sz w:val="24"/>
        </w:rPr>
        <w:t xml:space="preserve">EPA believes the certifications are a practical way to assure compliance because they hold a </w:t>
      </w:r>
      <w:r w:rsidR="00D451F3">
        <w:rPr>
          <w:sz w:val="24"/>
        </w:rPr>
        <w:t xml:space="preserve">single </w:t>
      </w:r>
      <w:r w:rsidR="005C53D1">
        <w:rPr>
          <w:sz w:val="24"/>
        </w:rPr>
        <w:t>person at each facility accountable for compliance (i.e., the authorized representative).  Because of this,</w:t>
      </w:r>
      <w:r w:rsidR="00571755">
        <w:rPr>
          <w:sz w:val="24"/>
        </w:rPr>
        <w:t xml:space="preserve"> the representative has a personal</w:t>
      </w:r>
      <w:r w:rsidR="005C53D1">
        <w:rPr>
          <w:sz w:val="24"/>
        </w:rPr>
        <w:t xml:space="preserve"> incentive to make sure that the facility complies with the conditions.</w:t>
      </w:r>
      <w:r w:rsidR="00265D97">
        <w:rPr>
          <w:sz w:val="24"/>
        </w:rPr>
        <w:t xml:space="preserve">  The rule requires that the certification be </w:t>
      </w:r>
      <w:r w:rsidR="001A45D7">
        <w:rPr>
          <w:sz w:val="24"/>
        </w:rPr>
        <w:t xml:space="preserve">posted to the company websites (if such exists), and </w:t>
      </w:r>
      <w:r w:rsidR="00265D97">
        <w:rPr>
          <w:sz w:val="24"/>
        </w:rPr>
        <w:t xml:space="preserve">updated annually to ensure that the facilities are reminded </w:t>
      </w:r>
      <w:r w:rsidR="003B31C8">
        <w:rPr>
          <w:sz w:val="24"/>
        </w:rPr>
        <w:t xml:space="preserve">regularly </w:t>
      </w:r>
      <w:r w:rsidR="00265D97">
        <w:rPr>
          <w:sz w:val="24"/>
        </w:rPr>
        <w:t>of the applicable conditions</w:t>
      </w:r>
      <w:r w:rsidR="001A45D7">
        <w:rPr>
          <w:sz w:val="24"/>
        </w:rPr>
        <w:t>,</w:t>
      </w:r>
      <w:r w:rsidR="00265D97">
        <w:rPr>
          <w:sz w:val="24"/>
        </w:rPr>
        <w:t xml:space="preserve"> and that the</w:t>
      </w:r>
      <w:r w:rsidR="00282AAC">
        <w:rPr>
          <w:sz w:val="24"/>
        </w:rPr>
        <w:t xml:space="preserve"> person </w:t>
      </w:r>
      <w:r w:rsidR="00C06611">
        <w:rPr>
          <w:sz w:val="24"/>
        </w:rPr>
        <w:t>chosen</w:t>
      </w:r>
      <w:r w:rsidR="00282AAC">
        <w:rPr>
          <w:sz w:val="24"/>
        </w:rPr>
        <w:t xml:space="preserve"> to be the </w:t>
      </w:r>
      <w:r w:rsidR="00265D97">
        <w:rPr>
          <w:sz w:val="24"/>
        </w:rPr>
        <w:t>authorized representative is a current employee.</w:t>
      </w:r>
    </w:p>
    <w:p w:rsidR="00D520E7" w:rsidRDefault="00D520E7" w:rsidP="00265D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3DD8" w:rsidRDefault="00C93DD8" w:rsidP="002A4E05">
      <w:pPr>
        <w:pStyle w:val="Heading1"/>
        <w:ind w:left="720" w:hanging="720"/>
      </w:pPr>
      <w:bookmarkStart w:id="20" w:name="_Toc268614905"/>
      <w:bookmarkStart w:id="21" w:name="_Toc268879655"/>
      <w:bookmarkStart w:id="22" w:name="_Toc268879866"/>
      <w:r>
        <w:t>3.</w:t>
      </w:r>
      <w:r>
        <w:tab/>
        <w:t>NONDUPLICATION, CONSULTATIONS, AND OTHER COLLECTION CRITERIA</w:t>
      </w:r>
      <w:bookmarkEnd w:id="20"/>
      <w:bookmarkEnd w:id="21"/>
      <w:bookmarkEnd w:id="22"/>
    </w:p>
    <w:p w:rsidR="00C93DD8" w:rsidRDefault="00C93DD8" w:rsidP="002A4E05">
      <w:pPr>
        <w:pStyle w:val="Heading2"/>
        <w:ind w:firstLine="720"/>
      </w:pPr>
      <w:bookmarkStart w:id="23" w:name="_Toc268614906"/>
      <w:bookmarkStart w:id="24" w:name="_Toc268879656"/>
      <w:bookmarkStart w:id="25" w:name="_Toc268879867"/>
      <w:r>
        <w:t>3(a)</w:t>
      </w:r>
      <w:r>
        <w:tab/>
        <w:t>Nonduplication</w:t>
      </w:r>
      <w:bookmarkEnd w:id="23"/>
      <w:bookmarkEnd w:id="24"/>
      <w:bookmarkEnd w:id="25"/>
      <w:r w:rsidR="00F10061">
        <w:fldChar w:fldCharType="begin"/>
      </w:r>
      <w:r>
        <w:instrText>tc \l2 "3(a)</w:instrText>
      </w:r>
      <w:r>
        <w:tab/>
        <w:instrText>Nonduplication</w:instrText>
      </w:r>
      <w:r w:rsidR="00F10061">
        <w:fldChar w:fldCharType="end"/>
      </w:r>
    </w:p>
    <w:p w:rsidR="00C93DD8" w:rsidRDefault="00C93DD8" w:rsidP="004F7D62">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3DD8" w:rsidRDefault="00C93DD8" w:rsidP="004F7D62">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The information collected under this ICR is not available from any source other than respondents.  No other Federal agency or department </w:t>
      </w:r>
      <w:r w:rsidR="003443B4">
        <w:rPr>
          <w:sz w:val="24"/>
        </w:rPr>
        <w:t xml:space="preserve">currently </w:t>
      </w:r>
      <w:r>
        <w:rPr>
          <w:sz w:val="24"/>
        </w:rPr>
        <w:t xml:space="preserve">collects </w:t>
      </w:r>
      <w:r w:rsidR="003443B4">
        <w:rPr>
          <w:sz w:val="24"/>
        </w:rPr>
        <w:t xml:space="preserve">or will collect </w:t>
      </w:r>
      <w:r>
        <w:rPr>
          <w:sz w:val="24"/>
        </w:rPr>
        <w:t xml:space="preserve">this information. </w:t>
      </w:r>
    </w:p>
    <w:p w:rsidR="00C93DD8" w:rsidRDefault="00C93DD8" w:rsidP="002A4E05">
      <w:pPr>
        <w:pStyle w:val="Heading2"/>
        <w:ind w:firstLine="720"/>
      </w:pPr>
      <w:bookmarkStart w:id="26" w:name="_Toc268614907"/>
      <w:bookmarkStart w:id="27" w:name="_Toc268879657"/>
      <w:bookmarkStart w:id="28" w:name="_Toc268879868"/>
      <w:r>
        <w:t>3(b)</w:t>
      </w:r>
      <w:r>
        <w:tab/>
        <w:t>Public Notice</w:t>
      </w:r>
      <w:bookmarkEnd w:id="26"/>
      <w:bookmarkEnd w:id="27"/>
      <w:bookmarkEnd w:id="28"/>
      <w:r w:rsidR="00F10061">
        <w:fldChar w:fldCharType="begin"/>
      </w:r>
      <w:r>
        <w:instrText>tc \l2 "3(b)</w:instrText>
      </w:r>
      <w:r>
        <w:tab/>
        <w:instrText>Public Notice</w:instrText>
      </w:r>
      <w:r w:rsidR="00F10061">
        <w:fldChar w:fldCharType="end"/>
      </w:r>
    </w:p>
    <w:p w:rsidR="003053BF" w:rsidRPr="003053BF" w:rsidRDefault="00CD4FD1" w:rsidP="006B64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CD4FD1">
        <w:rPr>
          <w:sz w:val="24"/>
        </w:rPr>
        <w:tab/>
      </w:r>
    </w:p>
    <w:p w:rsidR="003053BF" w:rsidRDefault="003053BF" w:rsidP="006B64CD">
      <w:pPr>
        <w:ind w:firstLine="720"/>
        <w:rPr>
          <w:sz w:val="24"/>
        </w:rPr>
      </w:pPr>
      <w:r w:rsidRPr="003053BF">
        <w:rPr>
          <w:sz w:val="24"/>
        </w:rPr>
        <w:t xml:space="preserve">In compliance with the Paperwork Reduction Act of 1995, EPA opened a 60-day public comment period at the time that the Proposed Rule was published in the </w:t>
      </w:r>
      <w:r w:rsidRPr="003053BF">
        <w:rPr>
          <w:i/>
          <w:iCs/>
          <w:sz w:val="24"/>
        </w:rPr>
        <w:t>Federal Register</w:t>
      </w:r>
      <w:r w:rsidRPr="003053BF">
        <w:rPr>
          <w:sz w:val="24"/>
        </w:rPr>
        <w:t>.</w:t>
      </w:r>
      <w:r w:rsidRPr="006B64CD">
        <w:rPr>
          <w:rStyle w:val="FootnoteReference"/>
          <w:sz w:val="24"/>
          <w:vertAlign w:val="superscript"/>
        </w:rPr>
        <w:footnoteReference w:id="4"/>
      </w:r>
      <w:r w:rsidRPr="003053BF">
        <w:rPr>
          <w:sz w:val="24"/>
        </w:rPr>
        <w:t xml:space="preserve">  To assist the public in commenting on the proposal, EPA raised a number of issues in the preamble to the Proposed Rule and asked for public comment.  EPA responses to </w:t>
      </w:r>
      <w:r w:rsidR="006B64CD">
        <w:rPr>
          <w:sz w:val="24"/>
        </w:rPr>
        <w:t xml:space="preserve">public </w:t>
      </w:r>
      <w:r w:rsidRPr="003053BF">
        <w:rPr>
          <w:sz w:val="24"/>
        </w:rPr>
        <w:t xml:space="preserve">comments on the </w:t>
      </w:r>
      <w:r w:rsidR="006B64CD">
        <w:rPr>
          <w:sz w:val="24"/>
        </w:rPr>
        <w:t xml:space="preserve">proposed </w:t>
      </w:r>
      <w:r w:rsidRPr="003053BF">
        <w:rPr>
          <w:sz w:val="24"/>
        </w:rPr>
        <w:t xml:space="preserve">rulemaking </w:t>
      </w:r>
      <w:r w:rsidR="006B64CD">
        <w:rPr>
          <w:sz w:val="24"/>
        </w:rPr>
        <w:t xml:space="preserve">are available from the RCRA </w:t>
      </w:r>
      <w:r w:rsidRPr="003053BF">
        <w:rPr>
          <w:sz w:val="24"/>
        </w:rPr>
        <w:t>docket (Docket ID No. EPA-HQ-RCRA-20</w:t>
      </w:r>
      <w:r w:rsidR="006B64CD">
        <w:rPr>
          <w:sz w:val="24"/>
        </w:rPr>
        <w:t>10</w:t>
      </w:r>
      <w:r w:rsidRPr="003053BF">
        <w:rPr>
          <w:sz w:val="24"/>
        </w:rPr>
        <w:t>-0</w:t>
      </w:r>
      <w:r w:rsidR="006B64CD">
        <w:rPr>
          <w:sz w:val="24"/>
        </w:rPr>
        <w:t>695</w:t>
      </w:r>
      <w:r w:rsidRPr="003053BF">
        <w:rPr>
          <w:sz w:val="24"/>
        </w:rPr>
        <w:t xml:space="preserve">).  </w:t>
      </w:r>
    </w:p>
    <w:p w:rsidR="001B0050" w:rsidRDefault="001B0050" w:rsidP="006B64CD">
      <w:pPr>
        <w:ind w:firstLine="720"/>
        <w:rPr>
          <w:sz w:val="24"/>
        </w:rPr>
      </w:pPr>
    </w:p>
    <w:p w:rsidR="007A61AD" w:rsidRPr="003053BF" w:rsidRDefault="007A61AD" w:rsidP="006B64CD">
      <w:pPr>
        <w:ind w:firstLine="720"/>
        <w:rPr>
          <w:sz w:val="24"/>
        </w:rPr>
      </w:pPr>
      <w:r>
        <w:rPr>
          <w:sz w:val="24"/>
        </w:rPr>
        <w:t>The proposed rule was published at 76 FR 48073 on August 8, 2011, and a correction was published at 76 FR 55846 on September 9, 2011.</w:t>
      </w:r>
    </w:p>
    <w:p w:rsidR="00C93DD8" w:rsidRDefault="00C93DD8" w:rsidP="002A4E05">
      <w:pPr>
        <w:pStyle w:val="Heading2"/>
        <w:ind w:firstLine="720"/>
      </w:pPr>
      <w:bookmarkStart w:id="29" w:name="_Toc268614908"/>
      <w:bookmarkStart w:id="30" w:name="_Toc268879658"/>
      <w:bookmarkStart w:id="31" w:name="_Toc268879869"/>
      <w:r>
        <w:t>3(c)</w:t>
      </w:r>
      <w:r>
        <w:tab/>
        <w:t>Consultations</w:t>
      </w:r>
      <w:bookmarkEnd w:id="29"/>
      <w:bookmarkEnd w:id="30"/>
      <w:bookmarkEnd w:id="31"/>
      <w:r w:rsidR="00F10061">
        <w:fldChar w:fldCharType="begin"/>
      </w:r>
      <w:r>
        <w:instrText>tc \l2 "3(c)</w:instrText>
      </w:r>
      <w:r>
        <w:tab/>
        <w:instrText>Consultations</w:instrText>
      </w:r>
      <w:r w:rsidR="00F10061">
        <w:fldChar w:fldCharType="end"/>
      </w:r>
    </w:p>
    <w:p w:rsidR="00C93DD8" w:rsidRDefault="005206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p>
    <w:p w:rsidR="006B64CD" w:rsidRPr="006B64CD" w:rsidRDefault="005206BF" w:rsidP="006B64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006B64CD" w:rsidRPr="006B64CD">
        <w:rPr>
          <w:sz w:val="24"/>
        </w:rPr>
        <w:t xml:space="preserve">EPA consulted and collected information from interested parties over the course of several months to support the Final Rule. EPA solicited and received comments on the Proposed Rule and </w:t>
      </w:r>
      <w:r w:rsidR="006B64CD">
        <w:rPr>
          <w:sz w:val="24"/>
        </w:rPr>
        <w:t xml:space="preserve">has </w:t>
      </w:r>
      <w:r w:rsidR="006B64CD" w:rsidRPr="006B64CD">
        <w:rPr>
          <w:sz w:val="24"/>
        </w:rPr>
        <w:t>addresse</w:t>
      </w:r>
      <w:r w:rsidR="006B64CD">
        <w:rPr>
          <w:sz w:val="24"/>
        </w:rPr>
        <w:t>d</w:t>
      </w:r>
      <w:r w:rsidR="006B64CD" w:rsidRPr="006B64CD">
        <w:rPr>
          <w:sz w:val="24"/>
        </w:rPr>
        <w:t xml:space="preserve"> these comments.</w:t>
      </w:r>
      <w:r w:rsidR="006B64CD">
        <w:rPr>
          <w:sz w:val="24"/>
        </w:rPr>
        <w:t xml:space="preserve"> </w:t>
      </w:r>
      <w:r w:rsidR="006B64CD" w:rsidRPr="006B64CD">
        <w:rPr>
          <w:sz w:val="24"/>
        </w:rPr>
        <w:t xml:space="preserve"> EPA also met and communicated with </w:t>
      </w:r>
      <w:r w:rsidR="006B64CD">
        <w:rPr>
          <w:sz w:val="24"/>
        </w:rPr>
        <w:t xml:space="preserve">interested stakeholders and those </w:t>
      </w:r>
      <w:r w:rsidR="006B64CD" w:rsidRPr="006B64CD">
        <w:rPr>
          <w:sz w:val="24"/>
        </w:rPr>
        <w:t xml:space="preserve">potentially affected by the rule. </w:t>
      </w:r>
    </w:p>
    <w:p w:rsidR="00C93DD8" w:rsidRDefault="00C93DD8" w:rsidP="002A4E05">
      <w:pPr>
        <w:pStyle w:val="Heading2"/>
      </w:pPr>
      <w:r>
        <w:tab/>
      </w:r>
      <w:bookmarkStart w:id="32" w:name="_Toc268614909"/>
      <w:bookmarkStart w:id="33" w:name="_Toc268879659"/>
      <w:bookmarkStart w:id="34" w:name="_Toc268879870"/>
      <w:r>
        <w:t>3(d)</w:t>
      </w:r>
      <w:r>
        <w:tab/>
        <w:t>Effects of Less Frequent Collection</w:t>
      </w:r>
      <w:bookmarkEnd w:id="32"/>
      <w:bookmarkEnd w:id="33"/>
      <w:bookmarkEnd w:id="34"/>
      <w:r w:rsidR="00F10061">
        <w:fldChar w:fldCharType="begin"/>
      </w:r>
      <w:r>
        <w:instrText>tc \l2 "</w:instrText>
      </w:r>
      <w:r>
        <w:tab/>
      </w:r>
      <w:r>
        <w:tab/>
        <w:instrText>3(d)</w:instrText>
      </w:r>
      <w:r>
        <w:tab/>
        <w:instrText>Effects of Less Frequent Collection</w:instrText>
      </w:r>
      <w:r w:rsidR="00F10061">
        <w:fldChar w:fldCharType="end"/>
      </w:r>
    </w:p>
    <w:p w:rsidR="00370543" w:rsidRDefault="00370543" w:rsidP="000428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E3DB9" w:rsidRDefault="00370543" w:rsidP="000428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00042830">
        <w:rPr>
          <w:sz w:val="24"/>
        </w:rPr>
        <w:t xml:space="preserve">The certification statements must </w:t>
      </w:r>
      <w:r w:rsidR="0000684D">
        <w:rPr>
          <w:sz w:val="24"/>
        </w:rPr>
        <w:t xml:space="preserve">be </w:t>
      </w:r>
      <w:r w:rsidR="00042830">
        <w:rPr>
          <w:sz w:val="24"/>
        </w:rPr>
        <w:t xml:space="preserve">prepared </w:t>
      </w:r>
      <w:r w:rsidR="00F34447">
        <w:rPr>
          <w:sz w:val="24"/>
        </w:rPr>
        <w:t xml:space="preserve">and posted to the company website (if such exists) </w:t>
      </w:r>
      <w:r w:rsidR="00042830">
        <w:rPr>
          <w:sz w:val="24"/>
        </w:rPr>
        <w:t xml:space="preserve">when the generator and Class VI well owner/operator claim the </w:t>
      </w:r>
      <w:r w:rsidR="00146ECA">
        <w:rPr>
          <w:sz w:val="24"/>
        </w:rPr>
        <w:t>exclusion</w:t>
      </w:r>
      <w:r w:rsidR="00F34447">
        <w:rPr>
          <w:sz w:val="24"/>
        </w:rPr>
        <w:t>,</w:t>
      </w:r>
      <w:r w:rsidR="00042830">
        <w:rPr>
          <w:sz w:val="24"/>
        </w:rPr>
        <w:t xml:space="preserve"> and r</w:t>
      </w:r>
      <w:r w:rsidR="00042830" w:rsidRPr="00B76708">
        <w:rPr>
          <w:sz w:val="24"/>
        </w:rPr>
        <w:t xml:space="preserve">enewed </w:t>
      </w:r>
      <w:r w:rsidR="00042830" w:rsidRPr="00B76708">
        <w:rPr>
          <w:sz w:val="24"/>
        </w:rPr>
        <w:lastRenderedPageBreak/>
        <w:t xml:space="preserve">every year that the </w:t>
      </w:r>
      <w:r w:rsidR="00146ECA">
        <w:rPr>
          <w:sz w:val="24"/>
        </w:rPr>
        <w:t>exclusion</w:t>
      </w:r>
      <w:r w:rsidR="00042830" w:rsidRPr="00B76708">
        <w:rPr>
          <w:sz w:val="24"/>
        </w:rPr>
        <w:t xml:space="preserve"> </w:t>
      </w:r>
      <w:r w:rsidR="00042830">
        <w:rPr>
          <w:sz w:val="24"/>
        </w:rPr>
        <w:t>is claimed</w:t>
      </w:r>
      <w:r w:rsidR="00042830" w:rsidRPr="00B76708">
        <w:rPr>
          <w:sz w:val="24"/>
        </w:rPr>
        <w:t>.</w:t>
      </w:r>
      <w:r w:rsidR="00042830">
        <w:rPr>
          <w:sz w:val="24"/>
        </w:rPr>
        <w:t xml:space="preserve">  EPA believes this frequency is essential to ensure that the facilities are reminded regularly of the conditions applicable to them.  </w:t>
      </w:r>
      <w:r w:rsidR="00981A79">
        <w:rPr>
          <w:sz w:val="24"/>
        </w:rPr>
        <w:t xml:space="preserve">If EPA does not require an annual renewal, it is possible that </w:t>
      </w:r>
      <w:r>
        <w:rPr>
          <w:sz w:val="24"/>
        </w:rPr>
        <w:t>a</w:t>
      </w:r>
      <w:r w:rsidR="00981A79">
        <w:rPr>
          <w:sz w:val="24"/>
        </w:rPr>
        <w:t xml:space="preserve"> facility could </w:t>
      </w:r>
      <w:r>
        <w:rPr>
          <w:sz w:val="24"/>
        </w:rPr>
        <w:t xml:space="preserve">overlook </w:t>
      </w:r>
      <w:r w:rsidR="00981A79">
        <w:rPr>
          <w:sz w:val="24"/>
        </w:rPr>
        <w:t>the conditions</w:t>
      </w:r>
      <w:r w:rsidR="008E3DB9">
        <w:rPr>
          <w:sz w:val="24"/>
        </w:rPr>
        <w:t>, particularly as a result of employee turnover</w:t>
      </w:r>
      <w:r w:rsidR="00981A79">
        <w:rPr>
          <w:sz w:val="24"/>
        </w:rPr>
        <w:t xml:space="preserve">.  In addition, the requirement for an annual renewal </w:t>
      </w:r>
      <w:r w:rsidR="008E3DB9">
        <w:rPr>
          <w:sz w:val="24"/>
        </w:rPr>
        <w:t>helps to ensure that the authorized representative is currently employed</w:t>
      </w:r>
      <w:r w:rsidR="0000684D">
        <w:rPr>
          <w:sz w:val="24"/>
        </w:rPr>
        <w:t xml:space="preserve"> by that organization</w:t>
      </w:r>
      <w:r w:rsidR="008E3DB9">
        <w:rPr>
          <w:sz w:val="24"/>
        </w:rPr>
        <w:t>.</w:t>
      </w:r>
      <w:r>
        <w:rPr>
          <w:sz w:val="24"/>
        </w:rPr>
        <w:t xml:space="preserve"> </w:t>
      </w:r>
    </w:p>
    <w:p w:rsidR="00C629DF" w:rsidRDefault="00C629DF" w:rsidP="000428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83986" w:rsidRDefault="00C629DF" w:rsidP="00C629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In addition, t</w:t>
      </w:r>
      <w:r w:rsidRPr="00B76708">
        <w:rPr>
          <w:sz w:val="24"/>
        </w:rPr>
        <w:t>he signed certification must be made available within 72 hours of a written request from EPA</w:t>
      </w:r>
      <w:r w:rsidR="00370543">
        <w:rPr>
          <w:sz w:val="24"/>
        </w:rPr>
        <w:t xml:space="preserve"> or an authorized state official</w:t>
      </w:r>
      <w:r w:rsidRPr="00B76708">
        <w:rPr>
          <w:sz w:val="24"/>
        </w:rPr>
        <w:t>.</w:t>
      </w:r>
      <w:r>
        <w:rPr>
          <w:sz w:val="24"/>
        </w:rPr>
        <w:t xml:space="preserve"> </w:t>
      </w:r>
      <w:r w:rsidR="004C2E30">
        <w:rPr>
          <w:sz w:val="24"/>
        </w:rPr>
        <w:t xml:space="preserve"> </w:t>
      </w:r>
      <w:r w:rsidR="00D83986">
        <w:rPr>
          <w:sz w:val="24"/>
        </w:rPr>
        <w:t xml:space="preserve">The certification is submitted only when requested </w:t>
      </w:r>
      <w:r w:rsidR="002B7473">
        <w:rPr>
          <w:sz w:val="24"/>
        </w:rPr>
        <w:t xml:space="preserve">(e.g., one-time basis) </w:t>
      </w:r>
      <w:r w:rsidR="00D83986">
        <w:rPr>
          <w:sz w:val="24"/>
        </w:rPr>
        <w:t>and there</w:t>
      </w:r>
      <w:r w:rsidR="004C2E30">
        <w:rPr>
          <w:sz w:val="24"/>
        </w:rPr>
        <w:t>f</w:t>
      </w:r>
      <w:r w:rsidR="00AC159A">
        <w:rPr>
          <w:sz w:val="24"/>
        </w:rPr>
        <w:t>ore</w:t>
      </w:r>
      <w:r w:rsidR="00D83986">
        <w:rPr>
          <w:sz w:val="24"/>
        </w:rPr>
        <w:t xml:space="preserve"> is not submitted according to a</w:t>
      </w:r>
      <w:r w:rsidR="00370543">
        <w:rPr>
          <w:sz w:val="24"/>
        </w:rPr>
        <w:t>ny</w:t>
      </w:r>
      <w:r w:rsidR="00D83986">
        <w:rPr>
          <w:sz w:val="24"/>
        </w:rPr>
        <w:t xml:space="preserve"> specified frequency.</w:t>
      </w:r>
    </w:p>
    <w:p w:rsidR="00C93DD8" w:rsidRDefault="00C93DD8" w:rsidP="002A4E05">
      <w:pPr>
        <w:pStyle w:val="Heading2"/>
      </w:pPr>
      <w:r>
        <w:tab/>
      </w:r>
      <w:bookmarkStart w:id="35" w:name="_Toc268614910"/>
      <w:bookmarkStart w:id="36" w:name="_Toc268879660"/>
      <w:bookmarkStart w:id="37" w:name="_Toc268879871"/>
      <w:r>
        <w:t>3(e)</w:t>
      </w:r>
      <w:r>
        <w:tab/>
        <w:t>General Guidelines</w:t>
      </w:r>
      <w:bookmarkEnd w:id="35"/>
      <w:bookmarkEnd w:id="36"/>
      <w:bookmarkEnd w:id="37"/>
      <w:r w:rsidR="00F10061">
        <w:fldChar w:fldCharType="begin"/>
      </w:r>
      <w:r>
        <w:instrText>tc \l2 "</w:instrText>
      </w:r>
      <w:r>
        <w:tab/>
        <w:instrText>3(e)</w:instrText>
      </w:r>
      <w:r>
        <w:tab/>
        <w:instrText>General Guidelines</w:instrText>
      </w:r>
      <w:r w:rsidR="00F10061">
        <w:fldChar w:fldCharType="end"/>
      </w:r>
    </w:p>
    <w:p w:rsidR="00C93DD8" w:rsidRPr="00925B8B" w:rsidRDefault="00C93DD8" w:rsidP="00925B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925B8B" w:rsidRPr="00925B8B" w:rsidRDefault="00925B8B" w:rsidP="00925B8B">
      <w:pPr>
        <w:ind w:firstLine="720"/>
        <w:rPr>
          <w:sz w:val="24"/>
        </w:rPr>
      </w:pPr>
      <w:r w:rsidRPr="00925B8B">
        <w:rPr>
          <w:sz w:val="24"/>
        </w:rPr>
        <w:t xml:space="preserve">This ICR adheres to the guidelines </w:t>
      </w:r>
      <w:r>
        <w:rPr>
          <w:sz w:val="24"/>
        </w:rPr>
        <w:t xml:space="preserve">established </w:t>
      </w:r>
      <w:r w:rsidRPr="00925B8B">
        <w:rPr>
          <w:sz w:val="24"/>
        </w:rPr>
        <w:t>in the Paperwork Reduction Act of 1995</w:t>
      </w:r>
      <w:r>
        <w:rPr>
          <w:sz w:val="24"/>
        </w:rPr>
        <w:t xml:space="preserve">, </w:t>
      </w:r>
      <w:r w:rsidRPr="00925B8B">
        <w:rPr>
          <w:sz w:val="24"/>
        </w:rPr>
        <w:t>OMB’s implementing regulations, EPA’s ICR Handbook, and other applicable OMB guidance.</w:t>
      </w:r>
    </w:p>
    <w:p w:rsidR="00925B8B" w:rsidRDefault="00925B8B" w:rsidP="00081C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C93DD8" w:rsidRDefault="00C93DD8" w:rsidP="00081C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Information collections performed under this clearance will follow all of </w:t>
      </w:r>
      <w:r w:rsidR="002E2119">
        <w:rPr>
          <w:sz w:val="24"/>
        </w:rPr>
        <w:t>OMB’</w:t>
      </w:r>
      <w:r>
        <w:rPr>
          <w:sz w:val="24"/>
        </w:rPr>
        <w:t>s Gener</w:t>
      </w:r>
      <w:r w:rsidR="002E2119">
        <w:rPr>
          <w:sz w:val="24"/>
        </w:rPr>
        <w:t xml:space="preserve">al Guidelines regarding </w:t>
      </w:r>
      <w:r>
        <w:rPr>
          <w:sz w:val="24"/>
        </w:rPr>
        <w:t>data collection</w:t>
      </w:r>
      <w:r w:rsidR="00925B8B">
        <w:rPr>
          <w:sz w:val="24"/>
        </w:rPr>
        <w:t>, as relevant</w:t>
      </w:r>
      <w:r>
        <w:rPr>
          <w:sz w:val="24"/>
        </w:rPr>
        <w:t>.</w:t>
      </w:r>
    </w:p>
    <w:p w:rsidR="00C93DD8" w:rsidRPr="00925B8B" w:rsidRDefault="00C93DD8" w:rsidP="00925B8B">
      <w:pPr>
        <w:pStyle w:val="Heading2"/>
        <w:keepNext w:val="0"/>
        <w:rPr>
          <w:szCs w:val="24"/>
        </w:rPr>
      </w:pPr>
      <w:r>
        <w:tab/>
      </w:r>
      <w:bookmarkStart w:id="38" w:name="_Toc268614911"/>
      <w:bookmarkStart w:id="39" w:name="_Toc268879661"/>
      <w:bookmarkStart w:id="40" w:name="_Toc268879872"/>
      <w:r>
        <w:t>3(f)</w:t>
      </w:r>
      <w:r>
        <w:tab/>
        <w:t>Confidentiality</w:t>
      </w:r>
      <w:bookmarkEnd w:id="38"/>
      <w:bookmarkEnd w:id="39"/>
      <w:bookmarkEnd w:id="40"/>
      <w:r w:rsidR="00F10061" w:rsidRPr="00925B8B">
        <w:rPr>
          <w:szCs w:val="24"/>
        </w:rPr>
        <w:fldChar w:fldCharType="begin"/>
      </w:r>
      <w:r w:rsidRPr="00925B8B">
        <w:rPr>
          <w:szCs w:val="24"/>
        </w:rPr>
        <w:instrText>tc \l2 "</w:instrText>
      </w:r>
      <w:r w:rsidRPr="00925B8B">
        <w:rPr>
          <w:szCs w:val="24"/>
        </w:rPr>
        <w:tab/>
        <w:instrText>3(f)</w:instrText>
      </w:r>
      <w:r w:rsidRPr="00925B8B">
        <w:rPr>
          <w:szCs w:val="24"/>
        </w:rPr>
        <w:tab/>
        <w:instrText>Confidentiality</w:instrText>
      </w:r>
      <w:r w:rsidR="00F10061" w:rsidRPr="00925B8B">
        <w:rPr>
          <w:szCs w:val="24"/>
        </w:rPr>
        <w:fldChar w:fldCharType="end"/>
      </w:r>
    </w:p>
    <w:p w:rsidR="00C93DD8" w:rsidRPr="00925B8B" w:rsidRDefault="00C93DD8" w:rsidP="00925B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925B8B" w:rsidRPr="00925B8B" w:rsidRDefault="00925B8B" w:rsidP="00925B8B">
      <w:pPr>
        <w:ind w:firstLine="720"/>
        <w:rPr>
          <w:sz w:val="24"/>
        </w:rPr>
      </w:pPr>
      <w:r w:rsidRPr="00925B8B">
        <w:rPr>
          <w:sz w:val="24"/>
        </w:rPr>
        <w:t xml:space="preserve">Section 3007(b) of RCRA and 40 </w:t>
      </w:r>
      <w:r w:rsidRPr="00925B8B">
        <w:rPr>
          <w:i/>
          <w:iCs/>
          <w:sz w:val="24"/>
        </w:rPr>
        <w:t>CFR</w:t>
      </w:r>
      <w:r w:rsidRPr="00925B8B">
        <w:rPr>
          <w:sz w:val="24"/>
        </w:rPr>
        <w:t xml:space="preserve"> Part 2, Subpart B, which defines EPA’s general policy on public disclosure of information, contain provisions for confidentiality.  However, the Agency does not anticipate that businesses will assert a claim of confidentiality covering all or part of the Final Rule.  If such a claim is asserted, EPA must and will treat the information in accordance with the regulations cited above.  EPA also will assure that this information collection complies with the Privacy Act of 1974 and OMB Circular 108.</w:t>
      </w:r>
    </w:p>
    <w:p w:rsidR="00C93DD8" w:rsidRPr="009175D8" w:rsidRDefault="00925B8B" w:rsidP="002A4E05">
      <w:pPr>
        <w:pStyle w:val="Heading2"/>
      </w:pPr>
      <w:bookmarkStart w:id="41" w:name="_Toc268614912"/>
      <w:bookmarkStart w:id="42" w:name="_Toc268879662"/>
      <w:bookmarkStart w:id="43" w:name="_Toc268879873"/>
      <w:r>
        <w:tab/>
      </w:r>
      <w:r w:rsidR="00C93DD8" w:rsidRPr="009175D8">
        <w:t>3(g)</w:t>
      </w:r>
      <w:r w:rsidR="00C93DD8" w:rsidRPr="009175D8">
        <w:tab/>
        <w:t>Sensitive Questions</w:t>
      </w:r>
      <w:bookmarkEnd w:id="41"/>
      <w:bookmarkEnd w:id="42"/>
      <w:bookmarkEnd w:id="43"/>
      <w:r w:rsidR="00F10061" w:rsidRPr="009175D8">
        <w:fldChar w:fldCharType="begin"/>
      </w:r>
      <w:r w:rsidR="00C93DD8" w:rsidRPr="009175D8">
        <w:instrText>tc \l2 "</w:instrText>
      </w:r>
      <w:r w:rsidR="00C93DD8" w:rsidRPr="009175D8">
        <w:tab/>
        <w:instrText>3(g)</w:instrText>
      </w:r>
      <w:r w:rsidR="00C93DD8" w:rsidRPr="009175D8">
        <w:tab/>
        <w:instrText>Sensitive Questions</w:instrText>
      </w:r>
      <w:r w:rsidR="00F10061" w:rsidRPr="009175D8">
        <w:fldChar w:fldCharType="end"/>
      </w:r>
    </w:p>
    <w:p w:rsidR="00C93DD8" w:rsidRPr="009175D8" w:rsidRDefault="00C93DD8" w:rsidP="007B214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3DD8" w:rsidRDefault="002D3660" w:rsidP="002D3660">
      <w:pPr>
        <w:ind w:firstLine="720"/>
        <w:rPr>
          <w:smallCaps/>
          <w:sz w:val="24"/>
        </w:rPr>
      </w:pPr>
      <w:r w:rsidRPr="00D15828">
        <w:t xml:space="preserve">No </w:t>
      </w:r>
      <w:r w:rsidRPr="002D3660">
        <w:rPr>
          <w:sz w:val="24"/>
        </w:rPr>
        <w:t>questions of a sensitive nature are included in the information collection requirements associated with th</w:t>
      </w:r>
      <w:r>
        <w:rPr>
          <w:sz w:val="24"/>
        </w:rPr>
        <w:t>is</w:t>
      </w:r>
      <w:r w:rsidRPr="002D3660">
        <w:rPr>
          <w:sz w:val="24"/>
        </w:rPr>
        <w:t xml:space="preserve"> Final Rule.</w:t>
      </w:r>
      <w:r w:rsidR="00C93DD8" w:rsidRPr="002D3660">
        <w:rPr>
          <w:smallCaps/>
          <w:sz w:val="24"/>
        </w:rPr>
        <w:t xml:space="preserve"> </w:t>
      </w:r>
    </w:p>
    <w:p w:rsidR="00C93DD8" w:rsidRDefault="00C93DD8" w:rsidP="002A4E05">
      <w:pPr>
        <w:pStyle w:val="Heading1"/>
      </w:pPr>
      <w:bookmarkStart w:id="44" w:name="_Toc268614913"/>
      <w:bookmarkStart w:id="45" w:name="_Toc268879663"/>
      <w:bookmarkStart w:id="46" w:name="_Toc268879874"/>
      <w:r>
        <w:t>4.</w:t>
      </w:r>
      <w:r>
        <w:tab/>
        <w:t>THE RESPONDENTS AND THE INFORMATION REQUESTED</w:t>
      </w:r>
      <w:bookmarkEnd w:id="44"/>
      <w:bookmarkEnd w:id="45"/>
      <w:bookmarkEnd w:id="46"/>
      <w:r w:rsidR="00F10061">
        <w:fldChar w:fldCharType="begin"/>
      </w:r>
      <w:r>
        <w:instrText>tc \l1 "4.</w:instrText>
      </w:r>
      <w:r>
        <w:tab/>
        <w:instrText>THE RESPONDENTS AND THE INFORMATION REQUESTED</w:instrText>
      </w:r>
      <w:r w:rsidR="00F10061">
        <w:fldChar w:fldCharType="end"/>
      </w:r>
    </w:p>
    <w:p w:rsidR="00C93DD8" w:rsidRDefault="00C93DD8" w:rsidP="002A4E05">
      <w:pPr>
        <w:pStyle w:val="Heading2"/>
      </w:pPr>
      <w:r>
        <w:tab/>
      </w:r>
      <w:bookmarkStart w:id="47" w:name="_Toc268614914"/>
      <w:bookmarkStart w:id="48" w:name="_Toc268879664"/>
      <w:bookmarkStart w:id="49" w:name="_Toc268879875"/>
      <w:r>
        <w:t>4(a)</w:t>
      </w:r>
      <w:r>
        <w:tab/>
        <w:t>Respondents and NAICS Codes</w:t>
      </w:r>
      <w:bookmarkEnd w:id="47"/>
      <w:bookmarkEnd w:id="48"/>
      <w:bookmarkEnd w:id="49"/>
      <w:r w:rsidR="00F10061">
        <w:fldChar w:fldCharType="begin"/>
      </w:r>
      <w:r>
        <w:instrText>tc \l2 "</w:instrText>
      </w:r>
      <w:r>
        <w:tab/>
        <w:instrText>4(a)</w:instrText>
      </w:r>
      <w:r>
        <w:tab/>
        <w:instrText>Respondents and NAICS Codes</w:instrText>
      </w:r>
      <w:r w:rsidR="00F10061">
        <w:fldChar w:fldCharType="end"/>
      </w:r>
    </w:p>
    <w:p w:rsidR="00C93DD8" w:rsidRDefault="00C93DD8">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3DD8" w:rsidRDefault="00CE650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Table 1 presents the</w:t>
      </w:r>
      <w:r w:rsidR="00C93DD8">
        <w:rPr>
          <w:sz w:val="24"/>
        </w:rPr>
        <w:t xml:space="preserve"> North American Industrial Classification System (NAICS) codes that may be affected by information collections </w:t>
      </w:r>
      <w:r w:rsidR="00884E1A">
        <w:rPr>
          <w:sz w:val="24"/>
        </w:rPr>
        <w:t>in</w:t>
      </w:r>
      <w:r w:rsidR="00C93DD8">
        <w:rPr>
          <w:sz w:val="24"/>
        </w:rPr>
        <w:t xml:space="preserve"> this ICR. </w:t>
      </w:r>
    </w:p>
    <w:p w:rsidR="00A16748" w:rsidRDefault="00A1674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E6509" w:rsidRPr="00CE6509" w:rsidRDefault="00CE6509" w:rsidP="00EA32B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CE6509">
        <w:rPr>
          <w:b/>
          <w:sz w:val="22"/>
          <w:szCs w:val="22"/>
        </w:rPr>
        <w:t>Table 1.  North American Industrial Classification System (NAICS) Codes</w:t>
      </w:r>
    </w:p>
    <w:tbl>
      <w:tblPr>
        <w:tblW w:w="0" w:type="auto"/>
        <w:jc w:val="center"/>
        <w:tblLayout w:type="fixed"/>
        <w:tblCellMar>
          <w:left w:w="120" w:type="dxa"/>
          <w:right w:w="120" w:type="dxa"/>
        </w:tblCellMar>
        <w:tblLook w:val="0000"/>
      </w:tblPr>
      <w:tblGrid>
        <w:gridCol w:w="1670"/>
        <w:gridCol w:w="6430"/>
      </w:tblGrid>
      <w:tr w:rsidR="00C93DD8" w:rsidTr="00735D82">
        <w:trPr>
          <w:jc w:val="center"/>
        </w:trPr>
        <w:tc>
          <w:tcPr>
            <w:tcW w:w="1670" w:type="dxa"/>
            <w:tcBorders>
              <w:top w:val="single" w:sz="7" w:space="0" w:color="000000"/>
              <w:left w:val="single" w:sz="7" w:space="0" w:color="000000"/>
              <w:bottom w:val="single" w:sz="7" w:space="0" w:color="000000"/>
              <w:right w:val="single" w:sz="7" w:space="0" w:color="000000"/>
            </w:tcBorders>
          </w:tcPr>
          <w:p w:rsidR="00C93DD8" w:rsidRDefault="00C93DD8" w:rsidP="00EA32B3">
            <w:pPr>
              <w:keepNext/>
              <w:keepLines/>
              <w:spacing w:line="120" w:lineRule="exact"/>
              <w:rPr>
                <w:sz w:val="24"/>
              </w:rPr>
            </w:pPr>
          </w:p>
          <w:p w:rsidR="00C93DD8" w:rsidRDefault="00C93DD8" w:rsidP="00EA32B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b/>
                <w:bCs/>
                <w:sz w:val="22"/>
                <w:szCs w:val="22"/>
              </w:rPr>
            </w:pPr>
            <w:r>
              <w:rPr>
                <w:b/>
                <w:bCs/>
                <w:sz w:val="22"/>
                <w:szCs w:val="22"/>
              </w:rPr>
              <w:t>NAICS Codes</w:t>
            </w:r>
          </w:p>
        </w:tc>
        <w:tc>
          <w:tcPr>
            <w:tcW w:w="6430" w:type="dxa"/>
            <w:tcBorders>
              <w:top w:val="single" w:sz="7" w:space="0" w:color="000000"/>
              <w:left w:val="single" w:sz="7" w:space="0" w:color="000000"/>
              <w:bottom w:val="single" w:sz="7" w:space="0" w:color="000000"/>
              <w:right w:val="single" w:sz="7" w:space="0" w:color="000000"/>
            </w:tcBorders>
          </w:tcPr>
          <w:p w:rsidR="00C93DD8" w:rsidRDefault="00C93DD8" w:rsidP="00EA32B3">
            <w:pPr>
              <w:keepNext/>
              <w:keepLines/>
              <w:spacing w:line="120" w:lineRule="exact"/>
              <w:rPr>
                <w:b/>
                <w:bCs/>
                <w:sz w:val="22"/>
                <w:szCs w:val="22"/>
              </w:rPr>
            </w:pPr>
          </w:p>
          <w:p w:rsidR="00C93DD8" w:rsidRDefault="00C93DD8" w:rsidP="00EA32B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b/>
                <w:bCs/>
                <w:sz w:val="22"/>
                <w:szCs w:val="22"/>
              </w:rPr>
            </w:pPr>
            <w:r>
              <w:rPr>
                <w:b/>
                <w:bCs/>
                <w:sz w:val="22"/>
                <w:szCs w:val="22"/>
              </w:rPr>
              <w:t>Description</w:t>
            </w:r>
          </w:p>
        </w:tc>
      </w:tr>
      <w:tr w:rsidR="00860662" w:rsidTr="00735D82">
        <w:trPr>
          <w:jc w:val="center"/>
        </w:trPr>
        <w:tc>
          <w:tcPr>
            <w:tcW w:w="1670" w:type="dxa"/>
            <w:tcBorders>
              <w:top w:val="single" w:sz="7" w:space="0" w:color="000000"/>
              <w:left w:val="single" w:sz="7" w:space="0" w:color="000000"/>
              <w:bottom w:val="single" w:sz="7" w:space="0" w:color="000000"/>
              <w:right w:val="single" w:sz="7" w:space="0" w:color="000000"/>
            </w:tcBorders>
          </w:tcPr>
          <w:p w:rsidR="00860662" w:rsidRPr="00860662" w:rsidRDefault="00860662" w:rsidP="00D520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color w:val="000000"/>
                <w:sz w:val="22"/>
                <w:szCs w:val="22"/>
              </w:rPr>
            </w:pPr>
            <w:r w:rsidRPr="00860662">
              <w:rPr>
                <w:color w:val="000000"/>
                <w:sz w:val="22"/>
                <w:szCs w:val="22"/>
              </w:rPr>
              <w:t>211111</w:t>
            </w:r>
          </w:p>
        </w:tc>
        <w:tc>
          <w:tcPr>
            <w:tcW w:w="6430" w:type="dxa"/>
            <w:tcBorders>
              <w:top w:val="single" w:sz="7" w:space="0" w:color="000000"/>
              <w:left w:val="single" w:sz="7" w:space="0" w:color="000000"/>
              <w:bottom w:val="single" w:sz="7" w:space="0" w:color="000000"/>
              <w:right w:val="single" w:sz="7" w:space="0" w:color="000000"/>
            </w:tcBorders>
          </w:tcPr>
          <w:p w:rsidR="00860662" w:rsidRPr="00860662" w:rsidRDefault="00860662" w:rsidP="00EC5B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sz w:val="22"/>
                <w:szCs w:val="22"/>
              </w:rPr>
            </w:pPr>
            <w:r w:rsidRPr="00860662">
              <w:rPr>
                <w:sz w:val="22"/>
                <w:szCs w:val="22"/>
              </w:rPr>
              <w:t>Crude Petroleum and Natural Gas Extraction</w:t>
            </w:r>
          </w:p>
        </w:tc>
      </w:tr>
      <w:tr w:rsidR="00860662" w:rsidTr="00735D82">
        <w:trPr>
          <w:jc w:val="center"/>
        </w:trPr>
        <w:tc>
          <w:tcPr>
            <w:tcW w:w="1670" w:type="dxa"/>
            <w:tcBorders>
              <w:top w:val="single" w:sz="7" w:space="0" w:color="000000"/>
              <w:left w:val="single" w:sz="7" w:space="0" w:color="000000"/>
              <w:bottom w:val="single" w:sz="7" w:space="0" w:color="000000"/>
              <w:right w:val="single" w:sz="7" w:space="0" w:color="000000"/>
            </w:tcBorders>
          </w:tcPr>
          <w:p w:rsidR="00860662" w:rsidRDefault="00860662" w:rsidP="00D520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22"/>
                <w:szCs w:val="22"/>
              </w:rPr>
            </w:pPr>
            <w:r>
              <w:rPr>
                <w:sz w:val="22"/>
                <w:szCs w:val="22"/>
              </w:rPr>
              <w:t>22</w:t>
            </w:r>
          </w:p>
        </w:tc>
        <w:tc>
          <w:tcPr>
            <w:tcW w:w="6430" w:type="dxa"/>
            <w:tcBorders>
              <w:top w:val="single" w:sz="7" w:space="0" w:color="000000"/>
              <w:left w:val="single" w:sz="7" w:space="0" w:color="000000"/>
              <w:bottom w:val="single" w:sz="7" w:space="0" w:color="000000"/>
              <w:right w:val="single" w:sz="7" w:space="0" w:color="000000"/>
            </w:tcBorders>
          </w:tcPr>
          <w:p w:rsidR="00860662" w:rsidRDefault="00860662" w:rsidP="00EC5B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Pr>
                <w:sz w:val="22"/>
                <w:szCs w:val="22"/>
              </w:rPr>
              <w:t>Utilities</w:t>
            </w:r>
          </w:p>
        </w:tc>
      </w:tr>
      <w:tr w:rsidR="00860662" w:rsidTr="00735D82">
        <w:trPr>
          <w:jc w:val="center"/>
        </w:trPr>
        <w:tc>
          <w:tcPr>
            <w:tcW w:w="1670" w:type="dxa"/>
            <w:tcBorders>
              <w:top w:val="single" w:sz="7" w:space="0" w:color="000000"/>
              <w:left w:val="single" w:sz="7" w:space="0" w:color="000000"/>
              <w:bottom w:val="single" w:sz="7" w:space="0" w:color="000000"/>
              <w:right w:val="single" w:sz="7" w:space="0" w:color="000000"/>
            </w:tcBorders>
          </w:tcPr>
          <w:p w:rsidR="00860662" w:rsidRDefault="00860662" w:rsidP="00D520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22"/>
                <w:szCs w:val="22"/>
              </w:rPr>
            </w:pPr>
            <w:r>
              <w:rPr>
                <w:sz w:val="22"/>
                <w:szCs w:val="22"/>
              </w:rPr>
              <w:lastRenderedPageBreak/>
              <w:t>31-331</w:t>
            </w:r>
          </w:p>
        </w:tc>
        <w:tc>
          <w:tcPr>
            <w:tcW w:w="6430" w:type="dxa"/>
            <w:tcBorders>
              <w:top w:val="single" w:sz="7" w:space="0" w:color="000000"/>
              <w:left w:val="single" w:sz="7" w:space="0" w:color="000000"/>
              <w:bottom w:val="single" w:sz="7" w:space="0" w:color="000000"/>
              <w:right w:val="single" w:sz="7" w:space="0" w:color="000000"/>
            </w:tcBorders>
          </w:tcPr>
          <w:p w:rsidR="00860662" w:rsidRDefault="00860662" w:rsidP="00EC5B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Pr>
                <w:sz w:val="22"/>
                <w:szCs w:val="22"/>
              </w:rPr>
              <w:t>Manufacturing</w:t>
            </w:r>
          </w:p>
        </w:tc>
      </w:tr>
      <w:tr w:rsidR="00860662" w:rsidTr="00735D82">
        <w:trPr>
          <w:jc w:val="center"/>
        </w:trPr>
        <w:tc>
          <w:tcPr>
            <w:tcW w:w="1670" w:type="dxa"/>
            <w:tcBorders>
              <w:top w:val="single" w:sz="7" w:space="0" w:color="000000"/>
              <w:left w:val="single" w:sz="7" w:space="0" w:color="000000"/>
              <w:bottom w:val="single" w:sz="7" w:space="0" w:color="000000"/>
              <w:right w:val="single" w:sz="7" w:space="0" w:color="000000"/>
            </w:tcBorders>
          </w:tcPr>
          <w:p w:rsidR="00860662" w:rsidRDefault="00860662" w:rsidP="00D520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22"/>
                <w:szCs w:val="22"/>
              </w:rPr>
            </w:pPr>
            <w:r>
              <w:rPr>
                <w:sz w:val="22"/>
                <w:szCs w:val="22"/>
              </w:rPr>
              <w:t>48-49</w:t>
            </w:r>
          </w:p>
        </w:tc>
        <w:tc>
          <w:tcPr>
            <w:tcW w:w="6430" w:type="dxa"/>
            <w:tcBorders>
              <w:top w:val="single" w:sz="7" w:space="0" w:color="000000"/>
              <w:left w:val="single" w:sz="7" w:space="0" w:color="000000"/>
              <w:bottom w:val="single" w:sz="7" w:space="0" w:color="000000"/>
              <w:right w:val="single" w:sz="7" w:space="0" w:color="000000"/>
            </w:tcBorders>
          </w:tcPr>
          <w:p w:rsidR="00860662" w:rsidRDefault="00860662" w:rsidP="00EC5B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Pr>
                <w:sz w:val="22"/>
                <w:szCs w:val="22"/>
              </w:rPr>
              <w:t>Transportation</w:t>
            </w:r>
          </w:p>
        </w:tc>
      </w:tr>
      <w:tr w:rsidR="00860662" w:rsidTr="00735D82">
        <w:trPr>
          <w:jc w:val="center"/>
        </w:trPr>
        <w:tc>
          <w:tcPr>
            <w:tcW w:w="1670" w:type="dxa"/>
            <w:tcBorders>
              <w:top w:val="single" w:sz="7" w:space="0" w:color="000000"/>
              <w:left w:val="single" w:sz="7" w:space="0" w:color="000000"/>
              <w:bottom w:val="single" w:sz="7" w:space="0" w:color="000000"/>
              <w:right w:val="single" w:sz="7" w:space="0" w:color="000000"/>
            </w:tcBorders>
          </w:tcPr>
          <w:p w:rsidR="00860662" w:rsidRDefault="00860662" w:rsidP="00D520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22"/>
                <w:szCs w:val="22"/>
              </w:rPr>
            </w:pPr>
            <w:r>
              <w:rPr>
                <w:sz w:val="22"/>
                <w:szCs w:val="22"/>
              </w:rPr>
              <w:t>56</w:t>
            </w:r>
          </w:p>
        </w:tc>
        <w:tc>
          <w:tcPr>
            <w:tcW w:w="6430" w:type="dxa"/>
            <w:tcBorders>
              <w:top w:val="single" w:sz="7" w:space="0" w:color="000000"/>
              <w:left w:val="single" w:sz="7" w:space="0" w:color="000000"/>
              <w:bottom w:val="single" w:sz="7" w:space="0" w:color="000000"/>
              <w:right w:val="single" w:sz="7" w:space="0" w:color="000000"/>
            </w:tcBorders>
          </w:tcPr>
          <w:p w:rsidR="00860662" w:rsidRDefault="00860662" w:rsidP="00EC5B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sidRPr="00E37D7B">
              <w:rPr>
                <w:sz w:val="22"/>
                <w:szCs w:val="22"/>
              </w:rPr>
              <w:t>Administrative and Support and Waste Management and Remediation Services</w:t>
            </w:r>
          </w:p>
        </w:tc>
      </w:tr>
      <w:tr w:rsidR="00860662" w:rsidTr="00735D82">
        <w:trPr>
          <w:jc w:val="center"/>
        </w:trPr>
        <w:tc>
          <w:tcPr>
            <w:tcW w:w="1670" w:type="dxa"/>
            <w:tcBorders>
              <w:top w:val="single" w:sz="7" w:space="0" w:color="000000"/>
              <w:left w:val="single" w:sz="7" w:space="0" w:color="000000"/>
              <w:bottom w:val="single" w:sz="7" w:space="0" w:color="000000"/>
              <w:right w:val="single" w:sz="7" w:space="0" w:color="000000"/>
            </w:tcBorders>
          </w:tcPr>
          <w:p w:rsidR="00860662" w:rsidRDefault="00860662" w:rsidP="00D520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22"/>
                <w:szCs w:val="22"/>
              </w:rPr>
            </w:pPr>
            <w:r>
              <w:rPr>
                <w:sz w:val="22"/>
                <w:szCs w:val="22"/>
              </w:rPr>
              <w:t>92</w:t>
            </w:r>
          </w:p>
        </w:tc>
        <w:tc>
          <w:tcPr>
            <w:tcW w:w="6430" w:type="dxa"/>
            <w:tcBorders>
              <w:top w:val="single" w:sz="7" w:space="0" w:color="000000"/>
              <w:left w:val="single" w:sz="7" w:space="0" w:color="000000"/>
              <w:bottom w:val="single" w:sz="7" w:space="0" w:color="000000"/>
              <w:right w:val="single" w:sz="7" w:space="0" w:color="000000"/>
            </w:tcBorders>
          </w:tcPr>
          <w:p w:rsidR="00860662" w:rsidRPr="00E37D7B" w:rsidRDefault="00860662" w:rsidP="00EC5B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Pr>
                <w:sz w:val="22"/>
                <w:szCs w:val="22"/>
              </w:rPr>
              <w:t>Public Administration</w:t>
            </w:r>
          </w:p>
        </w:tc>
      </w:tr>
      <w:tr w:rsidR="00B23F96" w:rsidTr="00EC5B03">
        <w:trPr>
          <w:jc w:val="center"/>
        </w:trPr>
        <w:tc>
          <w:tcPr>
            <w:tcW w:w="8100" w:type="dxa"/>
            <w:gridSpan w:val="2"/>
            <w:tcBorders>
              <w:top w:val="single" w:sz="7" w:space="0" w:color="000000"/>
              <w:left w:val="single" w:sz="7" w:space="0" w:color="000000"/>
              <w:bottom w:val="single" w:sz="7" w:space="0" w:color="000000"/>
              <w:right w:val="single" w:sz="7" w:space="0" w:color="000000"/>
            </w:tcBorders>
          </w:tcPr>
          <w:p w:rsidR="00B23F96" w:rsidRPr="00E37D7B" w:rsidRDefault="00B23F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p>
        </w:tc>
      </w:tr>
    </w:tbl>
    <w:p w:rsidR="007E54AC" w:rsidRDefault="00C93DD8" w:rsidP="007E54AC">
      <w:pPr>
        <w:pStyle w:val="Heading2"/>
        <w:spacing w:after="0"/>
        <w:ind w:firstLine="720"/>
      </w:pPr>
      <w:bookmarkStart w:id="50" w:name="_Toc268614915"/>
      <w:bookmarkStart w:id="51" w:name="_Toc268879665"/>
      <w:bookmarkStart w:id="52" w:name="_Toc268879876"/>
      <w:r>
        <w:t>4(b)</w:t>
      </w:r>
      <w:r>
        <w:tab/>
        <w:t>Information Requested</w:t>
      </w:r>
      <w:bookmarkEnd w:id="50"/>
      <w:bookmarkEnd w:id="51"/>
      <w:bookmarkEnd w:id="52"/>
    </w:p>
    <w:p w:rsidR="00C93DD8" w:rsidRDefault="00F10061" w:rsidP="007E54AC">
      <w:pPr>
        <w:pStyle w:val="Heading2"/>
        <w:spacing w:before="0" w:after="0"/>
        <w:ind w:firstLine="720"/>
      </w:pPr>
      <w:r>
        <w:fldChar w:fldCharType="begin"/>
      </w:r>
      <w:r w:rsidR="00C93DD8">
        <w:instrText>tc \l2 "4(b)</w:instrText>
      </w:r>
      <w:r w:rsidR="00C93DD8">
        <w:tab/>
        <w:instrText>Information Requested</w:instrText>
      </w:r>
      <w:r>
        <w:fldChar w:fldCharType="end"/>
      </w:r>
    </w:p>
    <w:p w:rsidR="007E54AC" w:rsidRPr="00D15828" w:rsidRDefault="007E54AC" w:rsidP="007E54AC">
      <w:pPr>
        <w:pStyle w:val="CM25"/>
        <w:tabs>
          <w:tab w:val="left" w:pos="8640"/>
          <w:tab w:val="left" w:pos="8730"/>
        </w:tabs>
        <w:spacing w:after="0"/>
        <w:ind w:firstLine="720"/>
        <w:rPr>
          <w:rFonts w:ascii="Times New Roman" w:hAnsi="Times New Roman"/>
        </w:rPr>
      </w:pPr>
      <w:r w:rsidRPr="00D15828">
        <w:rPr>
          <w:rFonts w:ascii="Times New Roman" w:hAnsi="Times New Roman"/>
        </w:rPr>
        <w:t xml:space="preserve">This section describes information collection requirements applicable to entities that would be affected by the </w:t>
      </w:r>
      <w:r>
        <w:rPr>
          <w:rFonts w:ascii="Times New Roman" w:hAnsi="Times New Roman"/>
        </w:rPr>
        <w:t>Final</w:t>
      </w:r>
      <w:r w:rsidRPr="00D15828">
        <w:rPr>
          <w:rFonts w:ascii="Times New Roman" w:hAnsi="Times New Roman"/>
        </w:rPr>
        <w:t xml:space="preserve"> Rule.  </w:t>
      </w:r>
    </w:p>
    <w:p w:rsidR="00362D11" w:rsidRDefault="00362D11" w:rsidP="007E54A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DA17D9" w:rsidRDefault="00DA17D9" w:rsidP="00DA17D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Pr>
          <w:b/>
          <w:sz w:val="24"/>
        </w:rPr>
        <w:tab/>
      </w:r>
      <w:r w:rsidR="00E91938">
        <w:rPr>
          <w:b/>
          <w:sz w:val="24"/>
        </w:rPr>
        <w:t>(1)</w:t>
      </w:r>
      <w:r w:rsidR="00E91938">
        <w:rPr>
          <w:b/>
          <w:sz w:val="24"/>
        </w:rPr>
        <w:tab/>
      </w:r>
      <w:r>
        <w:rPr>
          <w:b/>
          <w:sz w:val="24"/>
        </w:rPr>
        <w:t>Private Sector Organizations</w:t>
      </w:r>
    </w:p>
    <w:p w:rsidR="00DA17D9" w:rsidRDefault="00DA17D9" w:rsidP="00DA17D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9E5CCF" w:rsidRPr="00244463" w:rsidRDefault="009E5CCF" w:rsidP="00DA17D9">
      <w:pPr>
        <w:keepNext/>
        <w:ind w:firstLine="720"/>
        <w:rPr>
          <w:sz w:val="24"/>
        </w:rPr>
      </w:pPr>
      <w:r w:rsidRPr="00F22B00">
        <w:rPr>
          <w:sz w:val="24"/>
        </w:rPr>
        <w:t xml:space="preserve">EPA is </w:t>
      </w:r>
      <w:r w:rsidR="00F04C3C">
        <w:rPr>
          <w:sz w:val="24"/>
        </w:rPr>
        <w:t>finalizing</w:t>
      </w:r>
      <w:r w:rsidRPr="00244463">
        <w:rPr>
          <w:sz w:val="24"/>
        </w:rPr>
        <w:t xml:space="preserve"> a conditional </w:t>
      </w:r>
      <w:r w:rsidR="00146ECA">
        <w:rPr>
          <w:sz w:val="24"/>
        </w:rPr>
        <w:t>exclusion</w:t>
      </w:r>
      <w:r w:rsidRPr="00244463">
        <w:rPr>
          <w:sz w:val="24"/>
        </w:rPr>
        <w:t xml:space="preserve"> from the definition of hazardous waste for carbon dioxide</w:t>
      </w:r>
      <w:r>
        <w:rPr>
          <w:sz w:val="24"/>
        </w:rPr>
        <w:t xml:space="preserve"> (CO</w:t>
      </w:r>
      <w:r w:rsidRPr="00735D82">
        <w:rPr>
          <w:sz w:val="24"/>
          <w:vertAlign w:val="subscript"/>
        </w:rPr>
        <w:t>2</w:t>
      </w:r>
      <w:r>
        <w:rPr>
          <w:sz w:val="24"/>
        </w:rPr>
        <w:t xml:space="preserve">) </w:t>
      </w:r>
      <w:r w:rsidRPr="00244463">
        <w:rPr>
          <w:sz w:val="24"/>
        </w:rPr>
        <w:t>streams that are captured, stored, transported, and injected into a well subject to the requirements for Class VI Underground Injection Control</w:t>
      </w:r>
      <w:r>
        <w:rPr>
          <w:sz w:val="24"/>
        </w:rPr>
        <w:t xml:space="preserve"> (UIC)</w:t>
      </w:r>
      <w:r w:rsidRPr="00244463">
        <w:rPr>
          <w:sz w:val="24"/>
        </w:rPr>
        <w:t xml:space="preserve"> wells, including the requirements in 40 CFR Parts 144 and 146 of the Underground Injection Control Program of the Safe Drinking Water Act.  The </w:t>
      </w:r>
      <w:r w:rsidR="00146ECA">
        <w:rPr>
          <w:sz w:val="24"/>
        </w:rPr>
        <w:t>exclusion</w:t>
      </w:r>
      <w:r w:rsidRPr="00244463">
        <w:rPr>
          <w:sz w:val="24"/>
        </w:rPr>
        <w:t xml:space="preserve"> would only apply to the</w:t>
      </w:r>
      <w:r>
        <w:rPr>
          <w:sz w:val="24"/>
        </w:rPr>
        <w:t xml:space="preserve"> CO</w:t>
      </w:r>
      <w:r w:rsidRPr="00735D82">
        <w:rPr>
          <w:sz w:val="24"/>
          <w:vertAlign w:val="subscript"/>
        </w:rPr>
        <w:t>2</w:t>
      </w:r>
      <w:r w:rsidR="00C75095">
        <w:rPr>
          <w:sz w:val="24"/>
        </w:rPr>
        <w:t xml:space="preserve"> </w:t>
      </w:r>
      <w:r w:rsidRPr="00244463">
        <w:rPr>
          <w:sz w:val="24"/>
        </w:rPr>
        <w:t>stream itself (as defined</w:t>
      </w:r>
      <w:r>
        <w:rPr>
          <w:sz w:val="24"/>
        </w:rPr>
        <w:t xml:space="preserve"> in 40 CFR </w:t>
      </w:r>
      <w:r w:rsidRPr="00244463">
        <w:rPr>
          <w:sz w:val="24"/>
        </w:rPr>
        <w:t>146.81(d)), and would not apply to hazardous wastes that are mixed with, or are otherwise co-injected w</w:t>
      </w:r>
      <w:r>
        <w:rPr>
          <w:sz w:val="24"/>
        </w:rPr>
        <w:t>ith CO</w:t>
      </w:r>
      <w:r w:rsidRPr="00735D82">
        <w:rPr>
          <w:sz w:val="24"/>
          <w:vertAlign w:val="subscript"/>
        </w:rPr>
        <w:t>2</w:t>
      </w:r>
      <w:r>
        <w:rPr>
          <w:sz w:val="24"/>
        </w:rPr>
        <w:t xml:space="preserve"> </w:t>
      </w:r>
      <w:r w:rsidRPr="00244463">
        <w:rPr>
          <w:sz w:val="24"/>
        </w:rPr>
        <w:t>streams.</w:t>
      </w:r>
      <w:r>
        <w:rPr>
          <w:sz w:val="24"/>
        </w:rPr>
        <w:t xml:space="preserve">  The </w:t>
      </w:r>
      <w:r w:rsidR="00146ECA">
        <w:rPr>
          <w:sz w:val="24"/>
        </w:rPr>
        <w:t>exclusion</w:t>
      </w:r>
      <w:r>
        <w:rPr>
          <w:sz w:val="24"/>
        </w:rPr>
        <w:t xml:space="preserve"> </w:t>
      </w:r>
      <w:r w:rsidR="00F04C3C">
        <w:rPr>
          <w:sz w:val="24"/>
        </w:rPr>
        <w:t>is</w:t>
      </w:r>
      <w:r>
        <w:rPr>
          <w:sz w:val="24"/>
        </w:rPr>
        <w:t xml:space="preserve"> codified at 40 CFR 261.4(h).</w:t>
      </w:r>
    </w:p>
    <w:p w:rsidR="009E5CCF" w:rsidRDefault="009E5CCF" w:rsidP="009E5C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9E5CCF" w:rsidRDefault="009E5CCF" w:rsidP="009E5C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Pr="000F1124">
        <w:rPr>
          <w:sz w:val="24"/>
        </w:rPr>
        <w:t>The condit</w:t>
      </w:r>
      <w:r>
        <w:rPr>
          <w:sz w:val="24"/>
        </w:rPr>
        <w:t xml:space="preserve">ional </w:t>
      </w:r>
      <w:r w:rsidR="00146ECA">
        <w:rPr>
          <w:sz w:val="24"/>
        </w:rPr>
        <w:t>exclusion</w:t>
      </w:r>
      <w:r>
        <w:rPr>
          <w:sz w:val="24"/>
        </w:rPr>
        <w:t xml:space="preserve"> require</w:t>
      </w:r>
      <w:r w:rsidR="00F04C3C">
        <w:rPr>
          <w:sz w:val="24"/>
        </w:rPr>
        <w:t>s</w:t>
      </w:r>
      <w:r>
        <w:rPr>
          <w:sz w:val="24"/>
        </w:rPr>
        <w:t xml:space="preserve"> </w:t>
      </w:r>
      <w:r w:rsidR="00F04C3C">
        <w:rPr>
          <w:sz w:val="24"/>
        </w:rPr>
        <w:t xml:space="preserve">that </w:t>
      </w:r>
      <w:r w:rsidR="00D511E1">
        <w:rPr>
          <w:sz w:val="24"/>
        </w:rPr>
        <w:t xml:space="preserve">any </w:t>
      </w:r>
      <w:r w:rsidRPr="000F1124">
        <w:rPr>
          <w:sz w:val="24"/>
        </w:rPr>
        <w:t>generator</w:t>
      </w:r>
      <w:r w:rsidR="00D511E1">
        <w:rPr>
          <w:sz w:val="24"/>
        </w:rPr>
        <w:t xml:space="preserve"> </w:t>
      </w:r>
      <w:r w:rsidR="00D511E1" w:rsidRPr="00D511E1">
        <w:rPr>
          <w:sz w:val="24"/>
        </w:rPr>
        <w:t>(person or persons, by site, who capture the carbon dioxide for eventual injection into a Class VI Underground Injection Control well)</w:t>
      </w:r>
      <w:r>
        <w:rPr>
          <w:sz w:val="24"/>
        </w:rPr>
        <w:t xml:space="preserve"> and </w:t>
      </w:r>
      <w:r w:rsidR="00D511E1">
        <w:rPr>
          <w:sz w:val="24"/>
        </w:rPr>
        <w:t xml:space="preserve">any </w:t>
      </w:r>
      <w:r>
        <w:rPr>
          <w:sz w:val="24"/>
        </w:rPr>
        <w:t>owner/operator of a Class VI UIC well</w:t>
      </w:r>
      <w:r w:rsidRPr="000F1124">
        <w:rPr>
          <w:sz w:val="24"/>
        </w:rPr>
        <w:t xml:space="preserve"> who claim that a </w:t>
      </w:r>
      <w:r>
        <w:rPr>
          <w:sz w:val="24"/>
        </w:rPr>
        <w:t>CO</w:t>
      </w:r>
      <w:r w:rsidRPr="00735D82">
        <w:rPr>
          <w:sz w:val="24"/>
          <w:vertAlign w:val="subscript"/>
        </w:rPr>
        <w:t>2</w:t>
      </w:r>
      <w:r>
        <w:rPr>
          <w:sz w:val="24"/>
        </w:rPr>
        <w:t xml:space="preserve"> </w:t>
      </w:r>
      <w:r w:rsidRPr="000F1124">
        <w:rPr>
          <w:sz w:val="24"/>
        </w:rPr>
        <w:t xml:space="preserve">stream is exempt under </w:t>
      </w:r>
      <w:r w:rsidR="00CC1845">
        <w:rPr>
          <w:sz w:val="24"/>
        </w:rPr>
        <w:t>section</w:t>
      </w:r>
      <w:r w:rsidRPr="000F1124">
        <w:rPr>
          <w:sz w:val="24"/>
        </w:rPr>
        <w:t xml:space="preserve"> 261.4(h) to have an authorized representative sign a certifica</w:t>
      </w:r>
      <w:r>
        <w:rPr>
          <w:sz w:val="24"/>
        </w:rPr>
        <w:t xml:space="preserve">tion statement worded as specified.  </w:t>
      </w:r>
      <w:r w:rsidRPr="002E0BAE">
        <w:rPr>
          <w:sz w:val="24"/>
        </w:rPr>
        <w:t xml:space="preserve">The signed certification statement must be </w:t>
      </w:r>
      <w:r w:rsidR="00F04C3C">
        <w:rPr>
          <w:sz w:val="24"/>
        </w:rPr>
        <w:t xml:space="preserve">posted to the company website (if such is available) and </w:t>
      </w:r>
      <w:r w:rsidRPr="002E0BAE">
        <w:rPr>
          <w:sz w:val="24"/>
        </w:rPr>
        <w:t xml:space="preserve">kept on site for no less than three years. The signed certification, which must be made available within 72 hours of a written request from EPA, </w:t>
      </w:r>
      <w:r w:rsidR="00F04C3C">
        <w:rPr>
          <w:sz w:val="24"/>
        </w:rPr>
        <w:t>must</w:t>
      </w:r>
      <w:r w:rsidR="00D511E1" w:rsidRPr="00D511E1">
        <w:rPr>
          <w:sz w:val="24"/>
        </w:rPr>
        <w:t xml:space="preserve"> be renewed every year by anyone claiming the </w:t>
      </w:r>
      <w:r w:rsidR="00146ECA">
        <w:rPr>
          <w:sz w:val="24"/>
        </w:rPr>
        <w:t>exclusion</w:t>
      </w:r>
      <w:r w:rsidRPr="002E0BAE">
        <w:rPr>
          <w:sz w:val="24"/>
        </w:rPr>
        <w:t>.</w:t>
      </w:r>
      <w:r w:rsidRPr="002E0BAE">
        <w:rPr>
          <w:sz w:val="24"/>
        </w:rPr>
        <w:br/>
      </w:r>
    </w:p>
    <w:p w:rsidR="00625B96" w:rsidRPr="00A62CE2" w:rsidRDefault="00625B96" w:rsidP="00A62C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625B96">
        <w:rPr>
          <w:b/>
          <w:sz w:val="24"/>
        </w:rPr>
        <w:tab/>
        <w:t>(i)</w:t>
      </w:r>
      <w:r>
        <w:rPr>
          <w:sz w:val="24"/>
        </w:rPr>
        <w:tab/>
      </w:r>
      <w:r w:rsidRPr="00074C50">
        <w:rPr>
          <w:b/>
          <w:sz w:val="24"/>
        </w:rPr>
        <w:t>Data Item</w:t>
      </w:r>
    </w:p>
    <w:p w:rsidR="00A62CE2" w:rsidRPr="007E54AC" w:rsidRDefault="00A62CE2" w:rsidP="00A62C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7E54AC" w:rsidRPr="007E54AC" w:rsidRDefault="00625B96" w:rsidP="007E54AC">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right="720"/>
        <w:rPr>
          <w:sz w:val="24"/>
        </w:rPr>
      </w:pPr>
      <w:r w:rsidRPr="007E54AC">
        <w:rPr>
          <w:sz w:val="24"/>
        </w:rPr>
        <w:t xml:space="preserve">A signed certification statement </w:t>
      </w:r>
      <w:r w:rsidR="003F271C" w:rsidRPr="007E54AC">
        <w:rPr>
          <w:sz w:val="24"/>
        </w:rPr>
        <w:t xml:space="preserve">from the generator </w:t>
      </w:r>
      <w:r w:rsidR="00A62CE2" w:rsidRPr="007E54AC">
        <w:rPr>
          <w:sz w:val="24"/>
        </w:rPr>
        <w:t xml:space="preserve">and Class VI UIC well owner/operator </w:t>
      </w:r>
      <w:r w:rsidR="003F271C" w:rsidRPr="007E54AC">
        <w:rPr>
          <w:sz w:val="24"/>
        </w:rPr>
        <w:t xml:space="preserve">that is </w:t>
      </w:r>
      <w:r w:rsidRPr="007E54AC">
        <w:rPr>
          <w:sz w:val="24"/>
        </w:rPr>
        <w:t xml:space="preserve">worded as follows: </w:t>
      </w:r>
    </w:p>
    <w:p w:rsidR="007E54AC" w:rsidRPr="007E54AC" w:rsidRDefault="007E54AC" w:rsidP="007E54A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rPr>
          <w:sz w:val="24"/>
        </w:rPr>
      </w:pPr>
    </w:p>
    <w:p w:rsidR="007E54AC" w:rsidRDefault="007E54AC" w:rsidP="007E54AC">
      <w:pPr>
        <w:numPr>
          <w:ilvl w:val="0"/>
          <w:numId w:val="2"/>
        </w:numPr>
        <w:ind w:left="1440" w:right="720"/>
        <w:contextualSpacing/>
        <w:rPr>
          <w:sz w:val="24"/>
        </w:rPr>
      </w:pPr>
      <w:r w:rsidRPr="007E54AC">
        <w:rPr>
          <w:sz w:val="24"/>
        </w:rPr>
        <w:t>For any generator of a carbon dioxide stream who claims that a carbon dioxide stream is excluded under this section:</w:t>
      </w:r>
    </w:p>
    <w:p w:rsidR="007E54AC" w:rsidRDefault="007E54AC" w:rsidP="007E54AC">
      <w:pPr>
        <w:ind w:left="1800" w:right="720"/>
        <w:contextualSpacing/>
        <w:rPr>
          <w:sz w:val="24"/>
        </w:rPr>
      </w:pPr>
    </w:p>
    <w:p w:rsidR="009B1D6E" w:rsidRDefault="009B1D6E" w:rsidP="009B1D6E">
      <w:pPr>
        <w:ind w:left="2160" w:right="720"/>
      </w:pPr>
      <w:r w:rsidRPr="00A06ED0">
        <w:t xml:space="preserve">I certify under penalty of law </w:t>
      </w:r>
      <w:r w:rsidRPr="00393164">
        <w:t>that the carbon dioxide stream that I am claiming to be excluded under 40 C.F.R. §261.4(h) has not been mixed with hazardous wastes, and I have transported the carbon dioxide stream in compliance with (or have contracted with a pipeline operator or transporter to transport the carbon dioxide stream in compliance with) Department of Transportation requirements, including the pipeline safety laws (49 U.S.C</w:t>
      </w:r>
      <w:r w:rsidRPr="00835F19">
        <w:t xml:space="preserve">. § 60101 et seq.) and regulations (49 C.F.R. Parts 190-199) of the U.S. Department </w:t>
      </w:r>
      <w:r>
        <w:t xml:space="preserve">of Transportation, </w:t>
      </w:r>
      <w:r w:rsidRPr="00FA0624">
        <w:t xml:space="preserve">and the </w:t>
      </w:r>
      <w:r w:rsidRPr="00FA0624">
        <w:lastRenderedPageBreak/>
        <w:t>pipeline safety regulations adopted and administered by a state authority pursuant to a certif</w:t>
      </w:r>
      <w:r>
        <w:t xml:space="preserve">ication under 49 U.S.C. § 60105, </w:t>
      </w:r>
      <w:r w:rsidRPr="00DE7A86">
        <w:t>as applicable</w:t>
      </w:r>
      <w:r>
        <w:t xml:space="preserve">, for injection </w:t>
      </w:r>
      <w:r w:rsidRPr="000D63ED">
        <w:t>into a well subject to the requirements for the Class VI Underground Injection Contr</w:t>
      </w:r>
      <w:r>
        <w:t xml:space="preserve">ol Program of the Safe Drinking </w:t>
      </w:r>
      <w:r w:rsidRPr="000D63ED">
        <w:t>Water Act.</w:t>
      </w:r>
    </w:p>
    <w:p w:rsidR="009B1D6E" w:rsidRDefault="009B1D6E" w:rsidP="0063748D">
      <w:pPr>
        <w:ind w:left="2160"/>
      </w:pPr>
    </w:p>
    <w:p w:rsidR="007E54AC" w:rsidRPr="007E54AC" w:rsidRDefault="007E54AC" w:rsidP="00545880">
      <w:pPr>
        <w:numPr>
          <w:ilvl w:val="0"/>
          <w:numId w:val="2"/>
        </w:numPr>
        <w:ind w:firstLine="0"/>
        <w:rPr>
          <w:sz w:val="24"/>
        </w:rPr>
      </w:pPr>
      <w:r w:rsidRPr="007E54AC">
        <w:rPr>
          <w:sz w:val="24"/>
        </w:rPr>
        <w:t xml:space="preserve">For any Class VI Underground Injection Control well owner or operator who </w:t>
      </w:r>
      <w:r w:rsidR="00545880">
        <w:rPr>
          <w:sz w:val="24"/>
        </w:rPr>
        <w:tab/>
      </w:r>
      <w:r w:rsidRPr="007E54AC">
        <w:rPr>
          <w:sz w:val="24"/>
        </w:rPr>
        <w:t>claims that a carbon dioxide stream is excluded under this section:</w:t>
      </w:r>
    </w:p>
    <w:p w:rsidR="007E54AC" w:rsidRDefault="007E54AC" w:rsidP="007E54AC">
      <w:pPr>
        <w:rPr>
          <w:sz w:val="24"/>
        </w:rPr>
      </w:pPr>
    </w:p>
    <w:p w:rsidR="009B1D6E" w:rsidRDefault="009B1D6E" w:rsidP="009B1D6E">
      <w:pPr>
        <w:ind w:left="2160" w:right="720"/>
      </w:pPr>
      <w:r w:rsidRPr="00366001">
        <w:t xml:space="preserve">I certify under penalty of law that the carbon dioxide stream that I am claiming to be </w:t>
      </w:r>
      <w:r>
        <w:t>excluded</w:t>
      </w:r>
      <w:r w:rsidRPr="00366001">
        <w:t xml:space="preserve"> under 40 C.F.R. §261.4(h) has not been mixed with, or otherwise co-injected with, hazardous waste </w:t>
      </w:r>
      <w:r>
        <w:t>at the Underground Injection Control (UIC) Class VI permitted facility</w:t>
      </w:r>
      <w:r w:rsidRPr="00366001">
        <w:t xml:space="preserve">, and that injection of the carbon dioxide stream is in compliance with the applicable requirements for </w:t>
      </w:r>
      <w:r>
        <w:t>UIC</w:t>
      </w:r>
      <w:r w:rsidRPr="00366001">
        <w:t xml:space="preserve"> Class VI wells, including the applicable requirements in 40 CFR parts 144 and 146.</w:t>
      </w:r>
    </w:p>
    <w:p w:rsidR="00A62CE2" w:rsidRPr="00545880" w:rsidRDefault="00A62CE2" w:rsidP="0054588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rPr>
          <w:sz w:val="24"/>
        </w:rPr>
      </w:pPr>
    </w:p>
    <w:p w:rsidR="00625B96" w:rsidRPr="00773FA3" w:rsidRDefault="00625B96" w:rsidP="00362D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Pr>
          <w:sz w:val="24"/>
        </w:rPr>
        <w:tab/>
      </w:r>
      <w:r w:rsidRPr="00773FA3">
        <w:rPr>
          <w:b/>
          <w:sz w:val="24"/>
        </w:rPr>
        <w:t>(ii)</w:t>
      </w:r>
      <w:r w:rsidRPr="00773FA3">
        <w:rPr>
          <w:b/>
          <w:sz w:val="24"/>
        </w:rPr>
        <w:tab/>
        <w:t>Respondent Activities</w:t>
      </w:r>
    </w:p>
    <w:p w:rsidR="00625B96" w:rsidRDefault="00625B96" w:rsidP="00362D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25B96" w:rsidRDefault="000A6573" w:rsidP="00625B96">
      <w:pPr>
        <w:widowControl/>
        <w:numPr>
          <w:ilvl w:val="0"/>
          <w:numId w:val="2"/>
        </w:numPr>
        <w:tabs>
          <w:tab w:val="left" w:pos="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720"/>
        <w:rPr>
          <w:sz w:val="24"/>
        </w:rPr>
      </w:pPr>
      <w:r>
        <w:rPr>
          <w:sz w:val="24"/>
        </w:rPr>
        <w:t>G</w:t>
      </w:r>
      <w:r w:rsidR="00625B96">
        <w:rPr>
          <w:sz w:val="24"/>
        </w:rPr>
        <w:t>enerator</w:t>
      </w:r>
      <w:r>
        <w:rPr>
          <w:sz w:val="24"/>
        </w:rPr>
        <w:t>s and</w:t>
      </w:r>
      <w:r w:rsidR="003F271C">
        <w:rPr>
          <w:sz w:val="24"/>
        </w:rPr>
        <w:t xml:space="preserve"> Class VI </w:t>
      </w:r>
      <w:r w:rsidR="00E11112">
        <w:rPr>
          <w:sz w:val="24"/>
        </w:rPr>
        <w:t xml:space="preserve">UIC </w:t>
      </w:r>
      <w:r w:rsidR="003F271C">
        <w:rPr>
          <w:sz w:val="24"/>
        </w:rPr>
        <w:t>well owner/operator</w:t>
      </w:r>
      <w:r>
        <w:rPr>
          <w:sz w:val="24"/>
        </w:rPr>
        <w:t>s</w:t>
      </w:r>
      <w:r w:rsidR="003F271C">
        <w:rPr>
          <w:sz w:val="24"/>
        </w:rPr>
        <w:t xml:space="preserve"> </w:t>
      </w:r>
      <w:r w:rsidR="001E19A5">
        <w:rPr>
          <w:sz w:val="24"/>
        </w:rPr>
        <w:t xml:space="preserve">claiming the </w:t>
      </w:r>
      <w:r w:rsidR="00146ECA">
        <w:rPr>
          <w:sz w:val="24"/>
        </w:rPr>
        <w:t>exclusion</w:t>
      </w:r>
      <w:r w:rsidR="001E19A5">
        <w:rPr>
          <w:sz w:val="24"/>
        </w:rPr>
        <w:t xml:space="preserve"> </w:t>
      </w:r>
      <w:r w:rsidR="00625B96">
        <w:rPr>
          <w:sz w:val="24"/>
        </w:rPr>
        <w:t>must</w:t>
      </w:r>
      <w:r w:rsidR="00F827F4">
        <w:rPr>
          <w:sz w:val="24"/>
        </w:rPr>
        <w:t xml:space="preserve"> perform the following</w:t>
      </w:r>
      <w:r w:rsidR="00625B96">
        <w:rPr>
          <w:sz w:val="24"/>
        </w:rPr>
        <w:t>:</w:t>
      </w:r>
    </w:p>
    <w:p w:rsidR="00545880" w:rsidRDefault="001E19A5" w:rsidP="001E19A5">
      <w:pPr>
        <w:widowControl/>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s>
        <w:ind w:left="2160" w:hanging="720"/>
        <w:rPr>
          <w:sz w:val="24"/>
        </w:rPr>
      </w:pPr>
      <w:r>
        <w:rPr>
          <w:sz w:val="24"/>
        </w:rPr>
        <w:t>-</w:t>
      </w:r>
      <w:r>
        <w:rPr>
          <w:sz w:val="24"/>
        </w:rPr>
        <w:tab/>
      </w:r>
      <w:r>
        <w:rPr>
          <w:sz w:val="24"/>
        </w:rPr>
        <w:tab/>
      </w:r>
      <w:r w:rsidR="00F827F4">
        <w:rPr>
          <w:sz w:val="24"/>
        </w:rPr>
        <w:t xml:space="preserve">Prepare the certification </w:t>
      </w:r>
      <w:r w:rsidR="00545880">
        <w:rPr>
          <w:sz w:val="24"/>
        </w:rPr>
        <w:t xml:space="preserve">statement and have it </w:t>
      </w:r>
      <w:r w:rsidR="00F827F4">
        <w:rPr>
          <w:sz w:val="24"/>
        </w:rPr>
        <w:t>signed by the authorized repres</w:t>
      </w:r>
      <w:r>
        <w:rPr>
          <w:sz w:val="24"/>
        </w:rPr>
        <w:t>entati</w:t>
      </w:r>
      <w:r w:rsidR="00F827F4">
        <w:rPr>
          <w:sz w:val="24"/>
        </w:rPr>
        <w:t>ve</w:t>
      </w:r>
      <w:r w:rsidR="00545880">
        <w:rPr>
          <w:sz w:val="24"/>
        </w:rPr>
        <w:t>;</w:t>
      </w:r>
    </w:p>
    <w:p w:rsidR="00545880" w:rsidRDefault="00545880" w:rsidP="001E19A5">
      <w:pPr>
        <w:widowControl/>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s>
        <w:ind w:left="2160" w:hanging="720"/>
        <w:rPr>
          <w:sz w:val="24"/>
        </w:rPr>
      </w:pPr>
      <w:r>
        <w:rPr>
          <w:sz w:val="24"/>
        </w:rPr>
        <w:t>-</w:t>
      </w:r>
      <w:r>
        <w:rPr>
          <w:sz w:val="24"/>
        </w:rPr>
        <w:tab/>
      </w:r>
      <w:r>
        <w:rPr>
          <w:sz w:val="24"/>
        </w:rPr>
        <w:tab/>
        <w:t>K</w:t>
      </w:r>
      <w:r w:rsidR="000C6D4B">
        <w:rPr>
          <w:sz w:val="24"/>
        </w:rPr>
        <w:t xml:space="preserve">eep </w:t>
      </w:r>
      <w:r>
        <w:rPr>
          <w:sz w:val="24"/>
        </w:rPr>
        <w:t xml:space="preserve">the signed certification statement </w:t>
      </w:r>
      <w:r w:rsidR="000C6D4B">
        <w:rPr>
          <w:sz w:val="24"/>
        </w:rPr>
        <w:t>onsite</w:t>
      </w:r>
      <w:r w:rsidR="00195F83">
        <w:rPr>
          <w:sz w:val="24"/>
        </w:rPr>
        <w:t xml:space="preserve"> for no less than three years</w:t>
      </w:r>
      <w:r w:rsidR="001E19A5">
        <w:rPr>
          <w:sz w:val="24"/>
        </w:rPr>
        <w:t>;</w:t>
      </w:r>
    </w:p>
    <w:p w:rsidR="00F827F4" w:rsidRDefault="00545880" w:rsidP="001E19A5">
      <w:pPr>
        <w:widowControl/>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s>
        <w:ind w:left="2160" w:hanging="720"/>
        <w:rPr>
          <w:sz w:val="24"/>
        </w:rPr>
      </w:pPr>
      <w:r>
        <w:rPr>
          <w:sz w:val="24"/>
        </w:rPr>
        <w:t>-</w:t>
      </w:r>
      <w:r>
        <w:rPr>
          <w:sz w:val="24"/>
        </w:rPr>
        <w:tab/>
      </w:r>
      <w:r>
        <w:rPr>
          <w:sz w:val="24"/>
        </w:rPr>
        <w:tab/>
        <w:t>Post the certification statement to the company website (if such is available);</w:t>
      </w:r>
      <w:r w:rsidR="001E19A5">
        <w:rPr>
          <w:sz w:val="24"/>
        </w:rPr>
        <w:t xml:space="preserve"> </w:t>
      </w:r>
    </w:p>
    <w:p w:rsidR="00F827F4" w:rsidRDefault="001E19A5" w:rsidP="001E19A5">
      <w:pPr>
        <w:widowControl/>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s>
        <w:ind w:left="2160" w:hanging="720"/>
        <w:rPr>
          <w:sz w:val="24"/>
        </w:rPr>
      </w:pPr>
      <w:r>
        <w:rPr>
          <w:sz w:val="24"/>
        </w:rPr>
        <w:t>-</w:t>
      </w:r>
      <w:r>
        <w:rPr>
          <w:sz w:val="24"/>
        </w:rPr>
        <w:tab/>
      </w:r>
      <w:r>
        <w:rPr>
          <w:sz w:val="24"/>
        </w:rPr>
        <w:tab/>
      </w:r>
      <w:r w:rsidR="00F827F4">
        <w:rPr>
          <w:sz w:val="24"/>
        </w:rPr>
        <w:t xml:space="preserve">Renew </w:t>
      </w:r>
      <w:r w:rsidR="00545880">
        <w:rPr>
          <w:sz w:val="24"/>
        </w:rPr>
        <w:t xml:space="preserve">and report </w:t>
      </w:r>
      <w:r w:rsidR="00F827F4">
        <w:rPr>
          <w:sz w:val="24"/>
        </w:rPr>
        <w:t xml:space="preserve">the certification </w:t>
      </w:r>
      <w:r w:rsidR="003F271C">
        <w:rPr>
          <w:sz w:val="24"/>
        </w:rPr>
        <w:t xml:space="preserve">every year </w:t>
      </w:r>
      <w:r w:rsidR="00F827F4">
        <w:rPr>
          <w:sz w:val="24"/>
        </w:rPr>
        <w:t xml:space="preserve">the </w:t>
      </w:r>
      <w:r w:rsidR="00146ECA">
        <w:rPr>
          <w:sz w:val="24"/>
        </w:rPr>
        <w:t>exclusion</w:t>
      </w:r>
      <w:r w:rsidR="000A6573">
        <w:rPr>
          <w:sz w:val="24"/>
        </w:rPr>
        <w:t xml:space="preserve"> is claimed</w:t>
      </w:r>
      <w:r>
        <w:rPr>
          <w:sz w:val="24"/>
        </w:rPr>
        <w:t>; and</w:t>
      </w:r>
    </w:p>
    <w:p w:rsidR="00F827F4" w:rsidRDefault="001E19A5" w:rsidP="001E19A5">
      <w:pPr>
        <w:widowControl/>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s>
        <w:ind w:left="2160" w:hanging="720"/>
        <w:rPr>
          <w:sz w:val="24"/>
        </w:rPr>
      </w:pPr>
      <w:r>
        <w:rPr>
          <w:sz w:val="24"/>
        </w:rPr>
        <w:t>-</w:t>
      </w:r>
      <w:r>
        <w:rPr>
          <w:sz w:val="24"/>
        </w:rPr>
        <w:tab/>
      </w:r>
      <w:r>
        <w:rPr>
          <w:sz w:val="24"/>
        </w:rPr>
        <w:tab/>
      </w:r>
      <w:r w:rsidR="00F827F4">
        <w:rPr>
          <w:sz w:val="24"/>
        </w:rPr>
        <w:t>Make the certification available to EPA</w:t>
      </w:r>
      <w:r w:rsidR="00D45300">
        <w:rPr>
          <w:sz w:val="24"/>
        </w:rPr>
        <w:t xml:space="preserve"> or state</w:t>
      </w:r>
      <w:r w:rsidR="00545880">
        <w:rPr>
          <w:sz w:val="24"/>
        </w:rPr>
        <w:t>,</w:t>
      </w:r>
      <w:r w:rsidR="00F827F4">
        <w:rPr>
          <w:sz w:val="24"/>
        </w:rPr>
        <w:t xml:space="preserve"> if requested.</w:t>
      </w:r>
    </w:p>
    <w:p w:rsidR="00DA17D9" w:rsidRDefault="00DA17D9" w:rsidP="00DA17D9">
      <w:pPr>
        <w:widowControl/>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p>
    <w:p w:rsidR="00DA17D9" w:rsidRPr="00E91938" w:rsidRDefault="00DA17D9" w:rsidP="00E91938">
      <w:pPr>
        <w:keepNext/>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b/>
          <w:sz w:val="24"/>
        </w:rPr>
      </w:pPr>
      <w:r>
        <w:rPr>
          <w:sz w:val="24"/>
        </w:rPr>
        <w:tab/>
      </w:r>
      <w:r w:rsidR="00E91938" w:rsidRPr="00E91938">
        <w:rPr>
          <w:b/>
          <w:sz w:val="24"/>
        </w:rPr>
        <w:t>(2)</w:t>
      </w:r>
      <w:r w:rsidR="00E91938" w:rsidRPr="00E91938">
        <w:rPr>
          <w:b/>
          <w:sz w:val="24"/>
        </w:rPr>
        <w:tab/>
      </w:r>
      <w:r w:rsidRPr="00E91938">
        <w:rPr>
          <w:b/>
          <w:sz w:val="24"/>
        </w:rPr>
        <w:t>State Governments</w:t>
      </w:r>
    </w:p>
    <w:p w:rsidR="00DA17D9" w:rsidRDefault="00DA17D9" w:rsidP="00F532C1">
      <w:pPr>
        <w:keepNext/>
        <w:widowControl/>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DA17D9" w:rsidRDefault="00DA17D9" w:rsidP="00F532C1">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Authorized states may provide a written request to generators or Class VI UIC well owner/operators asking for a copy of the signed certification.</w:t>
      </w:r>
    </w:p>
    <w:p w:rsidR="00DA17D9" w:rsidRDefault="00DA17D9" w:rsidP="00DA17D9">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24"/>
        </w:rPr>
      </w:pPr>
    </w:p>
    <w:p w:rsidR="00DA17D9" w:rsidRPr="00625B96" w:rsidRDefault="00DA17D9" w:rsidP="00DA17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Pr>
          <w:sz w:val="24"/>
        </w:rPr>
        <w:tab/>
      </w:r>
      <w:r w:rsidRPr="00625B96">
        <w:rPr>
          <w:b/>
          <w:sz w:val="24"/>
        </w:rPr>
        <w:t>(i)</w:t>
      </w:r>
      <w:r>
        <w:rPr>
          <w:sz w:val="24"/>
        </w:rPr>
        <w:tab/>
      </w:r>
      <w:r w:rsidRPr="00074C50">
        <w:rPr>
          <w:b/>
          <w:sz w:val="24"/>
        </w:rPr>
        <w:t>Data Item</w:t>
      </w:r>
    </w:p>
    <w:p w:rsidR="00DA17D9" w:rsidRDefault="00DA17D9" w:rsidP="00DA17D9">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24"/>
        </w:rPr>
      </w:pPr>
    </w:p>
    <w:p w:rsidR="00DA17D9" w:rsidRDefault="00DA17D9" w:rsidP="008F218E">
      <w:pPr>
        <w:widowControl/>
        <w:numPr>
          <w:ilvl w:val="0"/>
          <w:numId w:val="2"/>
        </w:num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s>
        <w:ind w:firstLine="0"/>
        <w:rPr>
          <w:sz w:val="24"/>
        </w:rPr>
      </w:pPr>
      <w:r>
        <w:rPr>
          <w:sz w:val="24"/>
        </w:rPr>
        <w:t>Written request for a signed certification.</w:t>
      </w:r>
    </w:p>
    <w:p w:rsidR="00DA17D9" w:rsidRDefault="00DA17D9" w:rsidP="00DA17D9">
      <w:pPr>
        <w:widowControl/>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DA17D9" w:rsidRPr="00773FA3" w:rsidRDefault="00DA17D9" w:rsidP="00DA17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Pr>
          <w:b/>
          <w:sz w:val="24"/>
        </w:rPr>
        <w:tab/>
      </w:r>
      <w:r w:rsidRPr="00773FA3">
        <w:rPr>
          <w:b/>
          <w:sz w:val="24"/>
        </w:rPr>
        <w:t>(ii)</w:t>
      </w:r>
      <w:r w:rsidRPr="00773FA3">
        <w:rPr>
          <w:b/>
          <w:sz w:val="24"/>
        </w:rPr>
        <w:tab/>
        <w:t>Respondent Activities</w:t>
      </w:r>
    </w:p>
    <w:p w:rsidR="00DA17D9" w:rsidRDefault="00DA17D9" w:rsidP="00DA17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44E00" w:rsidRDefault="00DA17D9" w:rsidP="00DA17D9">
      <w:pPr>
        <w:widowControl/>
        <w:numPr>
          <w:ilvl w:val="0"/>
          <w:numId w:val="2"/>
        </w:numPr>
        <w:tabs>
          <w:tab w:val="left" w:pos="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720"/>
        <w:rPr>
          <w:sz w:val="24"/>
        </w:rPr>
      </w:pPr>
      <w:r>
        <w:rPr>
          <w:sz w:val="24"/>
        </w:rPr>
        <w:t xml:space="preserve">Authorized states may </w:t>
      </w:r>
      <w:r w:rsidR="00C44E00">
        <w:rPr>
          <w:sz w:val="24"/>
        </w:rPr>
        <w:t>perform the following:</w:t>
      </w:r>
    </w:p>
    <w:p w:rsidR="00DA17D9" w:rsidRDefault="00C44E00" w:rsidP="00C44E00">
      <w:pPr>
        <w:widowControl/>
        <w:tabs>
          <w:tab w:val="left" w:pos="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2160" w:hanging="720"/>
        <w:rPr>
          <w:sz w:val="24"/>
        </w:rPr>
      </w:pPr>
      <w:r>
        <w:rPr>
          <w:sz w:val="24"/>
        </w:rPr>
        <w:t>-</w:t>
      </w:r>
      <w:r>
        <w:rPr>
          <w:sz w:val="24"/>
        </w:rPr>
        <w:tab/>
      </w:r>
      <w:r>
        <w:rPr>
          <w:sz w:val="24"/>
        </w:rPr>
        <w:tab/>
        <w:t xml:space="preserve">Prepare and transmit </w:t>
      </w:r>
      <w:r w:rsidR="00DA17D9">
        <w:rPr>
          <w:sz w:val="24"/>
        </w:rPr>
        <w:t xml:space="preserve">a written request to generators or Class VI UIC </w:t>
      </w:r>
      <w:r>
        <w:rPr>
          <w:sz w:val="24"/>
        </w:rPr>
        <w:t xml:space="preserve">well </w:t>
      </w:r>
      <w:r w:rsidR="00DA17D9">
        <w:rPr>
          <w:sz w:val="24"/>
        </w:rPr>
        <w:t>owner/operators requesting a copy of the</w:t>
      </w:r>
      <w:r>
        <w:rPr>
          <w:sz w:val="24"/>
        </w:rPr>
        <w:t>ir</w:t>
      </w:r>
      <w:r w:rsidR="00DA17D9">
        <w:rPr>
          <w:sz w:val="24"/>
        </w:rPr>
        <w:t xml:space="preserve"> signed </w:t>
      </w:r>
      <w:r>
        <w:rPr>
          <w:sz w:val="24"/>
        </w:rPr>
        <w:t>certification; and</w:t>
      </w:r>
    </w:p>
    <w:p w:rsidR="00C44E00" w:rsidRDefault="00C44E00" w:rsidP="00C44E00">
      <w:pPr>
        <w:widowControl/>
        <w:tabs>
          <w:tab w:val="left" w:pos="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2160" w:hanging="720"/>
        <w:rPr>
          <w:sz w:val="24"/>
        </w:rPr>
      </w:pPr>
      <w:r>
        <w:rPr>
          <w:sz w:val="24"/>
        </w:rPr>
        <w:t>-</w:t>
      </w:r>
      <w:r>
        <w:rPr>
          <w:sz w:val="24"/>
        </w:rPr>
        <w:tab/>
      </w:r>
      <w:r>
        <w:rPr>
          <w:sz w:val="24"/>
        </w:rPr>
        <w:tab/>
        <w:t>Receive, review and file the signed certifications.</w:t>
      </w:r>
    </w:p>
    <w:p w:rsidR="00C93DD8" w:rsidRDefault="00C93DD8" w:rsidP="002A4E05">
      <w:pPr>
        <w:pStyle w:val="Heading1"/>
        <w:ind w:left="720" w:hanging="720"/>
      </w:pPr>
      <w:bookmarkStart w:id="53" w:name="_Toc268614916"/>
      <w:bookmarkStart w:id="54" w:name="_Toc268879666"/>
      <w:bookmarkStart w:id="55" w:name="_Toc268879877"/>
      <w:r>
        <w:lastRenderedPageBreak/>
        <w:t>5.</w:t>
      </w:r>
      <w:r>
        <w:tab/>
        <w:t>THE INFORMATION COLLECTED</w:t>
      </w:r>
      <w:r w:rsidR="009C20DC">
        <w:t xml:space="preserve">, </w:t>
      </w:r>
      <w:r>
        <w:t>AGENCY ACTIVITIES, COLLECTION METHODOLOGY, AND INFORMATION MANAGEMENT</w:t>
      </w:r>
      <w:bookmarkEnd w:id="53"/>
      <w:bookmarkEnd w:id="54"/>
      <w:bookmarkEnd w:id="55"/>
      <w:r w:rsidR="00F10061">
        <w:fldChar w:fldCharType="begin"/>
      </w:r>
      <w:r>
        <w:instrText>tc \l1 "5.</w:instrText>
      </w:r>
      <w:r>
        <w:tab/>
        <w:instrText>THE INFORMATION COLLECTED</w:instrText>
      </w:r>
      <w:r>
        <w:rPr>
          <w:rFonts w:ascii="WP TypographicSymbols" w:hAnsi="WP TypographicSymbols"/>
        </w:rPr>
        <w:instrText>C</w:instrText>
      </w:r>
      <w:r>
        <w:instrText>AGENCY ACTIVITIES, COLLECTION METHODOLOGY, AND INFORMATION MANAGEMENT</w:instrText>
      </w:r>
      <w:r w:rsidR="00F10061">
        <w:fldChar w:fldCharType="end"/>
      </w:r>
    </w:p>
    <w:p w:rsidR="00C93DD8" w:rsidRDefault="00C93DD8" w:rsidP="002A4E05">
      <w:pPr>
        <w:pStyle w:val="Heading2"/>
      </w:pPr>
      <w:r>
        <w:tab/>
      </w:r>
      <w:bookmarkStart w:id="56" w:name="_Toc268614917"/>
      <w:bookmarkStart w:id="57" w:name="_Toc268879667"/>
      <w:bookmarkStart w:id="58" w:name="_Toc268879878"/>
      <w:r>
        <w:t>5(a)</w:t>
      </w:r>
      <w:r>
        <w:tab/>
        <w:t>Agency Activities</w:t>
      </w:r>
      <w:bookmarkEnd w:id="56"/>
      <w:bookmarkEnd w:id="57"/>
      <w:bookmarkEnd w:id="58"/>
      <w:r w:rsidR="00F10061">
        <w:fldChar w:fldCharType="begin"/>
      </w:r>
      <w:r>
        <w:instrText>tc \l2 "</w:instrText>
      </w:r>
      <w:r>
        <w:tab/>
        <w:instrText>5(a)</w:instrText>
      </w:r>
      <w:r>
        <w:tab/>
        <w:instrText>Agency Activities</w:instrText>
      </w:r>
      <w:r w:rsidR="00F10061">
        <w:fldChar w:fldCharType="end"/>
      </w:r>
    </w:p>
    <w:p w:rsidR="00C93DD8" w:rsidRDefault="00C93DD8">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0448EB" w:rsidRDefault="000448EB" w:rsidP="000448EB">
      <w:pPr>
        <w:widowControl/>
        <w:tabs>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006006F7">
        <w:rPr>
          <w:sz w:val="24"/>
        </w:rPr>
        <w:t>EPA</w:t>
      </w:r>
      <w:r w:rsidR="00BC6899">
        <w:rPr>
          <w:sz w:val="24"/>
        </w:rPr>
        <w:t xml:space="preserve"> </w:t>
      </w:r>
      <w:r w:rsidR="006006F7">
        <w:rPr>
          <w:sz w:val="24"/>
        </w:rPr>
        <w:t xml:space="preserve">may </w:t>
      </w:r>
      <w:bookmarkStart w:id="59" w:name="_Toc268614918"/>
      <w:r>
        <w:rPr>
          <w:sz w:val="24"/>
        </w:rPr>
        <w:t>perform the following:</w:t>
      </w:r>
    </w:p>
    <w:p w:rsidR="000448EB" w:rsidRDefault="000448EB" w:rsidP="000448EB">
      <w:pPr>
        <w:widowControl/>
        <w:tabs>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0448EB" w:rsidRDefault="000448EB" w:rsidP="000448EB">
      <w:pPr>
        <w:widowControl/>
        <w:numPr>
          <w:ilvl w:val="0"/>
          <w:numId w:val="2"/>
        </w:numPr>
        <w:tabs>
          <w:tab w:val="left" w:pos="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720"/>
        <w:rPr>
          <w:sz w:val="24"/>
        </w:rPr>
      </w:pPr>
      <w:r>
        <w:rPr>
          <w:sz w:val="24"/>
        </w:rPr>
        <w:t>Prepare and transmit a written request to generators or Class VI UIC well owner/operators requesting a copy of their signed certification; and</w:t>
      </w:r>
    </w:p>
    <w:p w:rsidR="000448EB" w:rsidRDefault="000448EB" w:rsidP="000448EB">
      <w:pPr>
        <w:widowControl/>
        <w:tabs>
          <w:tab w:val="left" w:pos="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rPr>
          <w:sz w:val="24"/>
        </w:rPr>
      </w:pPr>
    </w:p>
    <w:p w:rsidR="000448EB" w:rsidRDefault="000448EB" w:rsidP="000448EB">
      <w:pPr>
        <w:widowControl/>
        <w:numPr>
          <w:ilvl w:val="0"/>
          <w:numId w:val="2"/>
        </w:numPr>
        <w:tabs>
          <w:tab w:val="left" w:pos="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720"/>
        <w:rPr>
          <w:sz w:val="24"/>
        </w:rPr>
      </w:pPr>
      <w:r>
        <w:rPr>
          <w:sz w:val="24"/>
        </w:rPr>
        <w:t>Receive, review and file the signed certifications.</w:t>
      </w:r>
    </w:p>
    <w:p w:rsidR="006006F7" w:rsidRDefault="00BF125F" w:rsidP="00BF125F">
      <w:pPr>
        <w:pStyle w:val="Heading2"/>
      </w:pPr>
      <w:r>
        <w:tab/>
      </w:r>
      <w:bookmarkStart w:id="60" w:name="_Toc268879668"/>
      <w:bookmarkStart w:id="61" w:name="_Toc268879879"/>
      <w:r w:rsidR="00C93DD8">
        <w:t>5(b)</w:t>
      </w:r>
      <w:r w:rsidR="00C93DD8">
        <w:tab/>
        <w:t>Collection Methodology and Management</w:t>
      </w:r>
      <w:bookmarkEnd w:id="59"/>
      <w:bookmarkEnd w:id="60"/>
      <w:bookmarkEnd w:id="61"/>
    </w:p>
    <w:p w:rsidR="006006F7" w:rsidRDefault="006006F7" w:rsidP="009214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bCs/>
          <w:sz w:val="24"/>
        </w:rPr>
      </w:pPr>
    </w:p>
    <w:p w:rsidR="00C93DD8" w:rsidRPr="006E7BDF" w:rsidRDefault="006E7BDF" w:rsidP="00921404">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720"/>
        <w:rPr>
          <w:bCs/>
          <w:sz w:val="24"/>
        </w:rPr>
      </w:pPr>
      <w:r w:rsidRPr="006E7BDF">
        <w:rPr>
          <w:bCs/>
          <w:sz w:val="24"/>
        </w:rPr>
        <w:t>EPA will review and file the certification statements received from generators and Class VI UIC well owner/operators.</w:t>
      </w:r>
      <w:r w:rsidR="00F10061" w:rsidRPr="006E7BDF">
        <w:rPr>
          <w:bCs/>
          <w:sz w:val="24"/>
        </w:rPr>
        <w:fldChar w:fldCharType="begin"/>
      </w:r>
      <w:r w:rsidR="00C93DD8" w:rsidRPr="006E7BDF">
        <w:rPr>
          <w:bCs/>
          <w:sz w:val="24"/>
        </w:rPr>
        <w:instrText>tc \l2 "5(b)</w:instrText>
      </w:r>
      <w:r w:rsidR="00C93DD8" w:rsidRPr="006E7BDF">
        <w:rPr>
          <w:bCs/>
          <w:sz w:val="24"/>
        </w:rPr>
        <w:tab/>
        <w:instrText>Collection Methodology and Management</w:instrText>
      </w:r>
      <w:r w:rsidR="00F10061" w:rsidRPr="006E7BDF">
        <w:rPr>
          <w:bCs/>
          <w:sz w:val="24"/>
        </w:rPr>
        <w:fldChar w:fldCharType="end"/>
      </w:r>
    </w:p>
    <w:p w:rsidR="00C93DD8" w:rsidRDefault="00683B51" w:rsidP="002A4E05">
      <w:pPr>
        <w:pStyle w:val="Heading2"/>
        <w:ind w:firstLine="720"/>
      </w:pPr>
      <w:bookmarkStart w:id="62" w:name="_Toc268614919"/>
      <w:bookmarkStart w:id="63" w:name="_Toc268879669"/>
      <w:bookmarkStart w:id="64" w:name="_Toc268879880"/>
      <w:r>
        <w:t>5(c)</w:t>
      </w:r>
      <w:r>
        <w:tab/>
      </w:r>
      <w:r w:rsidR="00C93DD8">
        <w:t>Small Entity Flexibility</w:t>
      </w:r>
      <w:bookmarkEnd w:id="62"/>
      <w:bookmarkEnd w:id="63"/>
      <w:bookmarkEnd w:id="64"/>
      <w:r w:rsidR="00F10061">
        <w:fldChar w:fldCharType="begin"/>
      </w:r>
      <w:r w:rsidR="00C93DD8">
        <w:instrText>tc \l2 "5(c)</w:instrText>
      </w:r>
      <w:r w:rsidR="00C93DD8">
        <w:tab/>
        <w:instrText>Small Entity Flexibility</w:instrText>
      </w:r>
      <w:r w:rsidR="00F10061">
        <w:fldChar w:fldCharType="end"/>
      </w:r>
    </w:p>
    <w:p w:rsidR="001461E3" w:rsidRDefault="001461E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006F7" w:rsidRDefault="006E7BD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 xml:space="preserve">The conditional </w:t>
      </w:r>
      <w:r w:rsidR="00146ECA">
        <w:rPr>
          <w:sz w:val="24"/>
        </w:rPr>
        <w:t>exclusion</w:t>
      </w:r>
      <w:r>
        <w:rPr>
          <w:sz w:val="24"/>
        </w:rPr>
        <w:t xml:space="preserve"> is optional and</w:t>
      </w:r>
      <w:r w:rsidR="00A30AAB">
        <w:rPr>
          <w:sz w:val="24"/>
        </w:rPr>
        <w:t xml:space="preserve"> will only be claimed if </w:t>
      </w:r>
      <w:r>
        <w:rPr>
          <w:sz w:val="24"/>
        </w:rPr>
        <w:t>generator</w:t>
      </w:r>
      <w:r w:rsidR="00A30AAB">
        <w:rPr>
          <w:sz w:val="24"/>
        </w:rPr>
        <w:t>s and</w:t>
      </w:r>
      <w:r>
        <w:rPr>
          <w:sz w:val="24"/>
        </w:rPr>
        <w:t xml:space="preserve"> Class VI UIC well owner/operator</w:t>
      </w:r>
      <w:r w:rsidR="00A30AAB">
        <w:rPr>
          <w:sz w:val="24"/>
        </w:rPr>
        <w:t>s</w:t>
      </w:r>
      <w:r>
        <w:rPr>
          <w:sz w:val="24"/>
        </w:rPr>
        <w:t xml:space="preserve"> find</w:t>
      </w:r>
      <w:r w:rsidR="00A30AAB">
        <w:rPr>
          <w:sz w:val="24"/>
        </w:rPr>
        <w:t xml:space="preserve"> that the </w:t>
      </w:r>
      <w:r w:rsidR="00146ECA">
        <w:rPr>
          <w:sz w:val="24"/>
        </w:rPr>
        <w:t>exclusion</w:t>
      </w:r>
      <w:r w:rsidR="00A30AAB">
        <w:rPr>
          <w:sz w:val="24"/>
        </w:rPr>
        <w:t xml:space="preserve"> is in their</w:t>
      </w:r>
      <w:r>
        <w:rPr>
          <w:sz w:val="24"/>
        </w:rPr>
        <w:t xml:space="preserve"> </w:t>
      </w:r>
      <w:r w:rsidR="001603FA">
        <w:rPr>
          <w:sz w:val="24"/>
        </w:rPr>
        <w:t xml:space="preserve">best </w:t>
      </w:r>
      <w:r>
        <w:rPr>
          <w:sz w:val="24"/>
        </w:rPr>
        <w:t xml:space="preserve">interest.  EPA believes that the conditional </w:t>
      </w:r>
      <w:r w:rsidR="00146ECA">
        <w:rPr>
          <w:sz w:val="24"/>
        </w:rPr>
        <w:t>exclusion</w:t>
      </w:r>
      <w:r>
        <w:rPr>
          <w:sz w:val="24"/>
        </w:rPr>
        <w:t xml:space="preserve"> w</w:t>
      </w:r>
      <w:r w:rsidR="001461E3">
        <w:rPr>
          <w:sz w:val="24"/>
        </w:rPr>
        <w:t>ill</w:t>
      </w:r>
      <w:r>
        <w:rPr>
          <w:sz w:val="24"/>
        </w:rPr>
        <w:t xml:space="preserve"> reduce </w:t>
      </w:r>
      <w:r w:rsidR="00A875D1">
        <w:rPr>
          <w:sz w:val="24"/>
        </w:rPr>
        <w:t xml:space="preserve">the </w:t>
      </w:r>
      <w:r>
        <w:rPr>
          <w:sz w:val="24"/>
        </w:rPr>
        <w:t xml:space="preserve">burden for generators and owner/operators, regardless of size, </w:t>
      </w:r>
      <w:r w:rsidR="002D51E8">
        <w:rPr>
          <w:sz w:val="24"/>
        </w:rPr>
        <w:t>because they would no longer be required to comply with the existing RCRA hazardous waste regulations for the exempted CO</w:t>
      </w:r>
      <w:r w:rsidR="002D51E8" w:rsidRPr="00735D82">
        <w:rPr>
          <w:sz w:val="24"/>
          <w:vertAlign w:val="subscript"/>
        </w:rPr>
        <w:t>2</w:t>
      </w:r>
      <w:r w:rsidR="002D51E8">
        <w:rPr>
          <w:sz w:val="24"/>
        </w:rPr>
        <w:t xml:space="preserve"> stream</w:t>
      </w:r>
      <w:r>
        <w:rPr>
          <w:sz w:val="24"/>
        </w:rPr>
        <w:t>.</w:t>
      </w:r>
    </w:p>
    <w:p w:rsidR="00C93DD8" w:rsidRDefault="00C93DD8" w:rsidP="002A4E05">
      <w:pPr>
        <w:pStyle w:val="Heading2"/>
      </w:pPr>
      <w:r>
        <w:tab/>
      </w:r>
      <w:bookmarkStart w:id="65" w:name="_Toc268614920"/>
      <w:bookmarkStart w:id="66" w:name="_Toc268879670"/>
      <w:bookmarkStart w:id="67" w:name="_Toc268879881"/>
      <w:r>
        <w:t>5(d)</w:t>
      </w:r>
      <w:r>
        <w:tab/>
        <w:t>Collection Schedule</w:t>
      </w:r>
      <w:bookmarkEnd w:id="65"/>
      <w:bookmarkEnd w:id="66"/>
      <w:bookmarkEnd w:id="67"/>
      <w:r w:rsidR="00F10061">
        <w:fldChar w:fldCharType="begin"/>
      </w:r>
      <w:r>
        <w:instrText>tc \l2 "</w:instrText>
      </w:r>
      <w:r>
        <w:tab/>
        <w:instrText>5(d)</w:instrText>
      </w:r>
      <w:r>
        <w:tab/>
        <w:instrText>Collection Schedule</w:instrText>
      </w:r>
      <w:r w:rsidR="00F10061">
        <w:fldChar w:fldCharType="end"/>
      </w:r>
    </w:p>
    <w:p w:rsidR="00C93DD8" w:rsidRDefault="00C93DD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D7FB0" w:rsidRDefault="004D7FB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Following is the rule’s collection schedule:</w:t>
      </w:r>
    </w:p>
    <w:p w:rsidR="004D7FB0" w:rsidRDefault="004D7FB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5734A" w:rsidRDefault="00061F3F" w:rsidP="00C5734A">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4"/>
        </w:rPr>
      </w:pPr>
      <w:r>
        <w:rPr>
          <w:sz w:val="24"/>
        </w:rPr>
        <w:t>G</w:t>
      </w:r>
      <w:r w:rsidR="00C5734A">
        <w:rPr>
          <w:sz w:val="24"/>
        </w:rPr>
        <w:t xml:space="preserve">enerators and Class VI UIC well owner/operators that claim the </w:t>
      </w:r>
      <w:r w:rsidR="00146ECA">
        <w:rPr>
          <w:sz w:val="24"/>
        </w:rPr>
        <w:t>exclusion</w:t>
      </w:r>
      <w:r>
        <w:rPr>
          <w:sz w:val="24"/>
        </w:rPr>
        <w:t xml:space="preserve"> must</w:t>
      </w:r>
      <w:r w:rsidR="00C5734A">
        <w:rPr>
          <w:sz w:val="24"/>
        </w:rPr>
        <w:t xml:space="preserve"> sign a certification statement attesting to their compliance with the conditions</w:t>
      </w:r>
      <w:r w:rsidR="00597C43">
        <w:rPr>
          <w:sz w:val="24"/>
        </w:rPr>
        <w:t xml:space="preserve"> and keep it onsite</w:t>
      </w:r>
      <w:r w:rsidR="00505F82">
        <w:rPr>
          <w:sz w:val="24"/>
        </w:rPr>
        <w:t xml:space="preserve"> for three years</w:t>
      </w:r>
      <w:r w:rsidR="00C5734A">
        <w:rPr>
          <w:sz w:val="24"/>
        </w:rPr>
        <w:t xml:space="preserve">.  </w:t>
      </w:r>
    </w:p>
    <w:p w:rsidR="001461E3" w:rsidRDefault="001461E3" w:rsidP="001461E3">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4"/>
        </w:rPr>
      </w:pPr>
      <w:r>
        <w:rPr>
          <w:sz w:val="24"/>
        </w:rPr>
        <w:t xml:space="preserve">Generators and Class VI UIC well owner/operators claiming the exclusion must post the signed certification statement to the company website (if such is available)..  </w:t>
      </w:r>
    </w:p>
    <w:p w:rsidR="001862C3" w:rsidRDefault="00C5734A" w:rsidP="00C5734A">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4"/>
        </w:rPr>
      </w:pPr>
      <w:r w:rsidRPr="001862C3">
        <w:rPr>
          <w:sz w:val="24"/>
        </w:rPr>
        <w:t xml:space="preserve">The signed certification must be renewed </w:t>
      </w:r>
      <w:r w:rsidR="001461E3">
        <w:rPr>
          <w:sz w:val="24"/>
        </w:rPr>
        <w:t xml:space="preserve">and reposted </w:t>
      </w:r>
      <w:r w:rsidRPr="001862C3">
        <w:rPr>
          <w:sz w:val="24"/>
        </w:rPr>
        <w:t xml:space="preserve">each year that the </w:t>
      </w:r>
      <w:r w:rsidR="00146ECA">
        <w:rPr>
          <w:sz w:val="24"/>
        </w:rPr>
        <w:t>exclusion</w:t>
      </w:r>
      <w:r w:rsidRPr="001862C3">
        <w:rPr>
          <w:sz w:val="24"/>
        </w:rPr>
        <w:t xml:space="preserve"> is claimed. </w:t>
      </w:r>
    </w:p>
    <w:p w:rsidR="00C5734A" w:rsidRDefault="00C5734A" w:rsidP="00C5734A">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4"/>
        </w:rPr>
      </w:pPr>
      <w:r>
        <w:rPr>
          <w:sz w:val="24"/>
        </w:rPr>
        <w:t>The signed certification</w:t>
      </w:r>
      <w:r w:rsidRPr="002E0BAE">
        <w:rPr>
          <w:sz w:val="24"/>
        </w:rPr>
        <w:t xml:space="preserve"> must be made available within 72 hours of a written request from EPA</w:t>
      </w:r>
      <w:r w:rsidR="001461E3">
        <w:rPr>
          <w:sz w:val="24"/>
        </w:rPr>
        <w:t xml:space="preserve"> or authorized state officials</w:t>
      </w:r>
    </w:p>
    <w:p w:rsidR="00A16748" w:rsidRDefault="00A16748" w:rsidP="00A167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16748" w:rsidRDefault="00A16748" w:rsidP="00A167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16748" w:rsidRDefault="00A16748" w:rsidP="00A167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8563B" w:rsidRDefault="0038563B" w:rsidP="00A167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16748" w:rsidRDefault="00A16748" w:rsidP="00A167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3DD8" w:rsidRDefault="00C93DD8" w:rsidP="003C65B6">
      <w:pPr>
        <w:pStyle w:val="Heading1"/>
        <w:keepNext w:val="0"/>
      </w:pPr>
      <w:bookmarkStart w:id="68" w:name="_Toc268614921"/>
      <w:bookmarkStart w:id="69" w:name="_Toc268879671"/>
      <w:bookmarkStart w:id="70" w:name="_Toc268879882"/>
      <w:r>
        <w:lastRenderedPageBreak/>
        <w:t>6.</w:t>
      </w:r>
      <w:r>
        <w:tab/>
        <w:t>ESTIMATING THE ANNUAL HOUR AND COST OF THE COLLECTION</w:t>
      </w:r>
      <w:bookmarkEnd w:id="68"/>
      <w:bookmarkEnd w:id="69"/>
      <w:bookmarkEnd w:id="70"/>
      <w:r w:rsidR="00F10061">
        <w:fldChar w:fldCharType="begin"/>
      </w:r>
      <w:r>
        <w:instrText>tc \l1 "6.</w:instrText>
      </w:r>
      <w:r>
        <w:tab/>
        <w:instrText>ESTIMATING THE ANNUAL HOUR AND COST OF THE COLLECTION</w:instrText>
      </w:r>
      <w:r w:rsidR="00F10061">
        <w:fldChar w:fldCharType="end"/>
      </w:r>
    </w:p>
    <w:p w:rsidR="00C93DD8" w:rsidRDefault="00C93DD8" w:rsidP="003C65B6">
      <w:pPr>
        <w:pStyle w:val="Heading2"/>
        <w:keepNext w:val="0"/>
      </w:pPr>
      <w:r>
        <w:tab/>
      </w:r>
      <w:bookmarkStart w:id="71" w:name="_Toc268614922"/>
      <w:bookmarkStart w:id="72" w:name="_Toc268879672"/>
      <w:bookmarkStart w:id="73" w:name="_Toc268879883"/>
      <w:r>
        <w:t>6(a)</w:t>
      </w:r>
      <w:r>
        <w:tab/>
        <w:t>Estimating Respondent Hours</w:t>
      </w:r>
      <w:bookmarkEnd w:id="71"/>
      <w:bookmarkEnd w:id="72"/>
      <w:bookmarkEnd w:id="73"/>
      <w:r w:rsidR="00F10061">
        <w:fldChar w:fldCharType="begin"/>
      </w:r>
      <w:r>
        <w:instrText>tc \l2 "</w:instrText>
      </w:r>
      <w:r>
        <w:tab/>
        <w:instrText>6(a)</w:instrText>
      </w:r>
      <w:r>
        <w:tab/>
        <w:instrText>Estimating Respondent Hours</w:instrText>
      </w:r>
      <w:r w:rsidR="00F10061">
        <w:fldChar w:fldCharType="end"/>
      </w:r>
    </w:p>
    <w:p w:rsidR="00C93DD8" w:rsidRDefault="00C93DD8" w:rsidP="003C65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0217C3" w:rsidRPr="008B0C9D" w:rsidRDefault="00C93DD8" w:rsidP="003C65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8B0C9D">
        <w:rPr>
          <w:sz w:val="24"/>
        </w:rPr>
        <w:t>Exhibit 1</w:t>
      </w:r>
      <w:r w:rsidR="00236CE9">
        <w:rPr>
          <w:sz w:val="24"/>
        </w:rPr>
        <w:t xml:space="preserve"> estimates</w:t>
      </w:r>
      <w:r w:rsidR="000217C3" w:rsidRPr="008B0C9D">
        <w:rPr>
          <w:sz w:val="24"/>
        </w:rPr>
        <w:t xml:space="preserve"> </w:t>
      </w:r>
      <w:r w:rsidR="008B0C9D" w:rsidRPr="008B0C9D">
        <w:rPr>
          <w:sz w:val="24"/>
        </w:rPr>
        <w:t>annual</w:t>
      </w:r>
      <w:r w:rsidR="00236CE9">
        <w:rPr>
          <w:sz w:val="24"/>
        </w:rPr>
        <w:t xml:space="preserve"> </w:t>
      </w:r>
      <w:r w:rsidR="000217C3" w:rsidRPr="008B0C9D">
        <w:rPr>
          <w:sz w:val="24"/>
        </w:rPr>
        <w:t xml:space="preserve">burden hours </w:t>
      </w:r>
      <w:r w:rsidR="0022126E">
        <w:rPr>
          <w:sz w:val="24"/>
        </w:rPr>
        <w:t xml:space="preserve">for private sector organizations </w:t>
      </w:r>
      <w:r w:rsidR="000217C3" w:rsidRPr="008B0C9D">
        <w:rPr>
          <w:sz w:val="24"/>
        </w:rPr>
        <w:t xml:space="preserve">under the </w:t>
      </w:r>
      <w:r w:rsidR="001461E3">
        <w:rPr>
          <w:sz w:val="24"/>
        </w:rPr>
        <w:t>final</w:t>
      </w:r>
      <w:r w:rsidR="00236CE9">
        <w:rPr>
          <w:sz w:val="24"/>
        </w:rPr>
        <w:t xml:space="preserve"> </w:t>
      </w:r>
      <w:r w:rsidR="000217C3" w:rsidRPr="008B0C9D">
        <w:rPr>
          <w:sz w:val="24"/>
        </w:rPr>
        <w:t xml:space="preserve">rule.  </w:t>
      </w:r>
      <w:r w:rsidR="0022126E">
        <w:rPr>
          <w:sz w:val="24"/>
        </w:rPr>
        <w:t>Exhibit 2 estimates</w:t>
      </w:r>
      <w:r w:rsidR="0022126E" w:rsidRPr="008B0C9D">
        <w:rPr>
          <w:sz w:val="24"/>
        </w:rPr>
        <w:t xml:space="preserve"> annual</w:t>
      </w:r>
      <w:r w:rsidR="0022126E">
        <w:rPr>
          <w:sz w:val="24"/>
        </w:rPr>
        <w:t xml:space="preserve"> </w:t>
      </w:r>
      <w:r w:rsidR="0022126E" w:rsidRPr="008B0C9D">
        <w:rPr>
          <w:sz w:val="24"/>
        </w:rPr>
        <w:t xml:space="preserve">burden hours </w:t>
      </w:r>
      <w:r w:rsidR="0022126E">
        <w:rPr>
          <w:sz w:val="24"/>
        </w:rPr>
        <w:t xml:space="preserve">for state governments </w:t>
      </w:r>
      <w:r w:rsidR="0022126E" w:rsidRPr="008B0C9D">
        <w:rPr>
          <w:sz w:val="24"/>
        </w:rPr>
        <w:t xml:space="preserve">under the </w:t>
      </w:r>
      <w:r w:rsidR="001461E3">
        <w:rPr>
          <w:sz w:val="24"/>
        </w:rPr>
        <w:t>final</w:t>
      </w:r>
      <w:r w:rsidR="0022126E">
        <w:rPr>
          <w:sz w:val="24"/>
        </w:rPr>
        <w:t xml:space="preserve"> </w:t>
      </w:r>
      <w:r w:rsidR="0022126E" w:rsidRPr="008B0C9D">
        <w:rPr>
          <w:sz w:val="24"/>
        </w:rPr>
        <w:t xml:space="preserve">rule.  </w:t>
      </w:r>
      <w:r w:rsidR="000217C3" w:rsidRPr="008B0C9D">
        <w:rPr>
          <w:sz w:val="24"/>
        </w:rPr>
        <w:t xml:space="preserve">Exhibit </w:t>
      </w:r>
      <w:r w:rsidR="0022126E">
        <w:rPr>
          <w:sz w:val="24"/>
        </w:rPr>
        <w:t>3</w:t>
      </w:r>
      <w:r w:rsidR="000217C3" w:rsidRPr="008B0C9D">
        <w:rPr>
          <w:sz w:val="24"/>
        </w:rPr>
        <w:t xml:space="preserve"> </w:t>
      </w:r>
      <w:r w:rsidR="00811764">
        <w:rPr>
          <w:sz w:val="24"/>
        </w:rPr>
        <w:t>presents</w:t>
      </w:r>
      <w:r w:rsidR="00236CE9">
        <w:rPr>
          <w:sz w:val="24"/>
        </w:rPr>
        <w:t xml:space="preserve"> </w:t>
      </w:r>
      <w:r w:rsidR="009E16AB">
        <w:rPr>
          <w:sz w:val="24"/>
        </w:rPr>
        <w:t xml:space="preserve">the total annual burden to the private sector and state governments under the rule.  Exhibit 4 estimates </w:t>
      </w:r>
      <w:r w:rsidR="000217C3" w:rsidRPr="008B0C9D">
        <w:rPr>
          <w:sz w:val="24"/>
        </w:rPr>
        <w:t xml:space="preserve">the </w:t>
      </w:r>
      <w:r w:rsidR="00236CE9">
        <w:rPr>
          <w:sz w:val="24"/>
        </w:rPr>
        <w:t xml:space="preserve">annual burden </w:t>
      </w:r>
      <w:r w:rsidR="00937080">
        <w:rPr>
          <w:sz w:val="24"/>
        </w:rPr>
        <w:t xml:space="preserve">hour </w:t>
      </w:r>
      <w:r w:rsidR="00680157">
        <w:rPr>
          <w:sz w:val="24"/>
        </w:rPr>
        <w:t xml:space="preserve">impacts (i.e., </w:t>
      </w:r>
      <w:r w:rsidR="00CE597F">
        <w:rPr>
          <w:sz w:val="24"/>
        </w:rPr>
        <w:t>savings</w:t>
      </w:r>
      <w:r w:rsidR="00680157">
        <w:rPr>
          <w:sz w:val="24"/>
        </w:rPr>
        <w:t>)</w:t>
      </w:r>
      <w:r w:rsidR="0022126E">
        <w:rPr>
          <w:sz w:val="24"/>
        </w:rPr>
        <w:t xml:space="preserve"> to these respondents</w:t>
      </w:r>
      <w:r w:rsidR="00CE597F">
        <w:rPr>
          <w:sz w:val="24"/>
        </w:rPr>
        <w:t xml:space="preserve"> under the existing RCRA requirements</w:t>
      </w:r>
      <w:r w:rsidR="000217C3" w:rsidRPr="008B0C9D">
        <w:rPr>
          <w:sz w:val="24"/>
        </w:rPr>
        <w:t>.</w:t>
      </w:r>
    </w:p>
    <w:p w:rsidR="00C93DD8" w:rsidRPr="008B0C9D" w:rsidRDefault="00C93DD8" w:rsidP="003C65B6">
      <w:pPr>
        <w:pStyle w:val="Heading2"/>
        <w:keepLines/>
      </w:pPr>
      <w:r w:rsidRPr="008B0C9D">
        <w:tab/>
      </w:r>
      <w:bookmarkStart w:id="74" w:name="_Toc268614923"/>
      <w:bookmarkStart w:id="75" w:name="_Toc268879673"/>
      <w:bookmarkStart w:id="76" w:name="_Toc268879884"/>
      <w:r w:rsidRPr="008B0C9D">
        <w:t>6(b)</w:t>
      </w:r>
      <w:r w:rsidRPr="008B0C9D">
        <w:tab/>
        <w:t>Estimating Respondent Costs</w:t>
      </w:r>
      <w:bookmarkEnd w:id="74"/>
      <w:bookmarkEnd w:id="75"/>
      <w:bookmarkEnd w:id="76"/>
      <w:r w:rsidR="00F10061" w:rsidRPr="008B0C9D">
        <w:fldChar w:fldCharType="begin"/>
      </w:r>
      <w:r w:rsidRPr="008B0C9D">
        <w:instrText>tc \l2 "</w:instrText>
      </w:r>
      <w:r w:rsidRPr="008B0C9D">
        <w:tab/>
        <w:instrText>6(b)</w:instrText>
      </w:r>
      <w:r w:rsidRPr="008B0C9D">
        <w:tab/>
        <w:instrText>Estimating Respondent Costs</w:instrText>
      </w:r>
      <w:r w:rsidR="00F10061" w:rsidRPr="008B0C9D">
        <w:fldChar w:fldCharType="end"/>
      </w:r>
    </w:p>
    <w:p w:rsidR="00C93DD8" w:rsidRPr="008B0C9D" w:rsidRDefault="00C93DD8" w:rsidP="003C65B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3DD8" w:rsidRDefault="002E0F37" w:rsidP="00772FC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8B0C9D">
        <w:rPr>
          <w:sz w:val="24"/>
        </w:rPr>
        <w:t>Exhibit 1</w:t>
      </w:r>
      <w:r>
        <w:rPr>
          <w:sz w:val="24"/>
        </w:rPr>
        <w:t xml:space="preserve"> estimates</w:t>
      </w:r>
      <w:r w:rsidRPr="008B0C9D">
        <w:rPr>
          <w:sz w:val="24"/>
        </w:rPr>
        <w:t xml:space="preserve"> annual</w:t>
      </w:r>
      <w:r>
        <w:rPr>
          <w:sz w:val="24"/>
        </w:rPr>
        <w:t xml:space="preserve"> costs</w:t>
      </w:r>
      <w:r w:rsidRPr="008B0C9D">
        <w:rPr>
          <w:sz w:val="24"/>
        </w:rPr>
        <w:t xml:space="preserve"> </w:t>
      </w:r>
      <w:r>
        <w:rPr>
          <w:sz w:val="24"/>
        </w:rPr>
        <w:t xml:space="preserve">to private sector organizations </w:t>
      </w:r>
      <w:r w:rsidRPr="008B0C9D">
        <w:rPr>
          <w:sz w:val="24"/>
        </w:rPr>
        <w:t xml:space="preserve">under the </w:t>
      </w:r>
      <w:r w:rsidR="001461E3">
        <w:rPr>
          <w:sz w:val="24"/>
        </w:rPr>
        <w:t>final</w:t>
      </w:r>
      <w:r>
        <w:rPr>
          <w:sz w:val="24"/>
        </w:rPr>
        <w:t xml:space="preserve"> </w:t>
      </w:r>
      <w:r w:rsidRPr="008B0C9D">
        <w:rPr>
          <w:sz w:val="24"/>
        </w:rPr>
        <w:t xml:space="preserve">rule.  </w:t>
      </w:r>
      <w:r>
        <w:rPr>
          <w:sz w:val="24"/>
        </w:rPr>
        <w:t>Exhibit 2 estimates</w:t>
      </w:r>
      <w:r w:rsidRPr="008B0C9D">
        <w:rPr>
          <w:sz w:val="24"/>
        </w:rPr>
        <w:t xml:space="preserve"> annual</w:t>
      </w:r>
      <w:r>
        <w:rPr>
          <w:sz w:val="24"/>
        </w:rPr>
        <w:t xml:space="preserve"> costs to state governments </w:t>
      </w:r>
      <w:r w:rsidRPr="008B0C9D">
        <w:rPr>
          <w:sz w:val="24"/>
        </w:rPr>
        <w:t xml:space="preserve">under the </w:t>
      </w:r>
      <w:r w:rsidR="001461E3">
        <w:rPr>
          <w:sz w:val="24"/>
        </w:rPr>
        <w:t>final</w:t>
      </w:r>
      <w:r>
        <w:rPr>
          <w:sz w:val="24"/>
        </w:rPr>
        <w:t xml:space="preserve"> </w:t>
      </w:r>
      <w:r w:rsidRPr="008B0C9D">
        <w:rPr>
          <w:sz w:val="24"/>
        </w:rPr>
        <w:t xml:space="preserve">rule.  </w:t>
      </w:r>
      <w:r w:rsidR="00772FCC" w:rsidRPr="008B0C9D">
        <w:rPr>
          <w:sz w:val="24"/>
        </w:rPr>
        <w:t xml:space="preserve">Exhibit </w:t>
      </w:r>
      <w:r w:rsidR="00772FCC">
        <w:rPr>
          <w:sz w:val="24"/>
        </w:rPr>
        <w:t>3</w:t>
      </w:r>
      <w:r w:rsidR="00772FCC" w:rsidRPr="008B0C9D">
        <w:rPr>
          <w:sz w:val="24"/>
        </w:rPr>
        <w:t xml:space="preserve"> </w:t>
      </w:r>
      <w:r w:rsidR="00A0212B">
        <w:rPr>
          <w:sz w:val="24"/>
        </w:rPr>
        <w:t>presents</w:t>
      </w:r>
      <w:r w:rsidR="00772FCC">
        <w:rPr>
          <w:sz w:val="24"/>
        </w:rPr>
        <w:t xml:space="preserve"> the total annual cost to the private sector and state governments under the rule. Exhibit 4 estimates </w:t>
      </w:r>
      <w:r w:rsidR="00772FCC" w:rsidRPr="008B0C9D">
        <w:rPr>
          <w:sz w:val="24"/>
        </w:rPr>
        <w:t xml:space="preserve">the </w:t>
      </w:r>
      <w:r w:rsidR="002D65BB">
        <w:rPr>
          <w:sz w:val="24"/>
        </w:rPr>
        <w:t xml:space="preserve">annual </w:t>
      </w:r>
      <w:r w:rsidR="00772FCC">
        <w:rPr>
          <w:sz w:val="24"/>
        </w:rPr>
        <w:t>cost impacts (i.e., savings) to these respondents under the existing RCRA requirements</w:t>
      </w:r>
      <w:r w:rsidR="00772FCC" w:rsidRPr="008B0C9D">
        <w:rPr>
          <w:sz w:val="24"/>
        </w:rPr>
        <w:t>.</w:t>
      </w:r>
      <w:r w:rsidR="00772FCC">
        <w:rPr>
          <w:sz w:val="24"/>
        </w:rPr>
        <w:t xml:space="preserve">  </w:t>
      </w:r>
      <w:r w:rsidR="00C93DD8" w:rsidRPr="008B0C9D">
        <w:rPr>
          <w:sz w:val="24"/>
        </w:rPr>
        <w:t>Specific cost assumptions are discussed below.</w:t>
      </w:r>
    </w:p>
    <w:p w:rsidR="00C93DD8" w:rsidRDefault="00C93D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3DD8" w:rsidRDefault="00C93DD8" w:rsidP="00164DA5">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Pr>
          <w:b/>
          <w:bCs/>
          <w:sz w:val="24"/>
        </w:rPr>
        <w:t>(i)</w:t>
      </w:r>
      <w:r>
        <w:rPr>
          <w:b/>
          <w:bCs/>
          <w:sz w:val="24"/>
        </w:rPr>
        <w:tab/>
        <w:t>Estimating Labor Costs</w:t>
      </w:r>
    </w:p>
    <w:p w:rsidR="00C93DD8" w:rsidRDefault="0089376B" w:rsidP="00164DA5">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p>
    <w:p w:rsidR="0089376B" w:rsidRPr="0089376B" w:rsidRDefault="0089376B" w:rsidP="00164DA5">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89376B">
        <w:rPr>
          <w:b/>
          <w:sz w:val="24"/>
        </w:rPr>
        <w:tab/>
      </w:r>
      <w:r w:rsidR="00DF68A3">
        <w:rPr>
          <w:b/>
          <w:sz w:val="24"/>
        </w:rPr>
        <w:t>Pr</w:t>
      </w:r>
      <w:r w:rsidRPr="0089376B">
        <w:rPr>
          <w:b/>
          <w:sz w:val="24"/>
        </w:rPr>
        <w:t>i</w:t>
      </w:r>
      <w:r w:rsidR="00DF68A3">
        <w:rPr>
          <w:b/>
          <w:sz w:val="24"/>
        </w:rPr>
        <w:t>v</w:t>
      </w:r>
      <w:r w:rsidRPr="0089376B">
        <w:rPr>
          <w:b/>
          <w:sz w:val="24"/>
        </w:rPr>
        <w:t>ate Sector Organizations</w:t>
      </w:r>
    </w:p>
    <w:p w:rsidR="0089376B" w:rsidRDefault="0089376B" w:rsidP="00164DA5">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224BD" w:rsidRDefault="0056288C" w:rsidP="00164DA5">
      <w:pPr>
        <w:keepNext/>
        <w:keepLines/>
        <w:widowControl/>
        <w:ind w:firstLine="720"/>
        <w:rPr>
          <w:sz w:val="24"/>
        </w:rPr>
      </w:pPr>
      <w:r>
        <w:rPr>
          <w:sz w:val="24"/>
        </w:rPr>
        <w:t>EPA estimate</w:t>
      </w:r>
      <w:r w:rsidR="00DF68A3">
        <w:rPr>
          <w:sz w:val="24"/>
        </w:rPr>
        <w:t xml:space="preserve">s an average loaded </w:t>
      </w:r>
      <w:r w:rsidR="009674A7">
        <w:rPr>
          <w:sz w:val="24"/>
        </w:rPr>
        <w:t>hourly labor rate</w:t>
      </w:r>
      <w:r w:rsidR="00DF68A3">
        <w:rPr>
          <w:sz w:val="24"/>
        </w:rPr>
        <w:t xml:space="preserve"> for private sector organizations</w:t>
      </w:r>
      <w:r w:rsidR="009674A7">
        <w:rPr>
          <w:sz w:val="24"/>
        </w:rPr>
        <w:t xml:space="preserve"> of $101.13</w:t>
      </w:r>
      <w:r>
        <w:rPr>
          <w:sz w:val="24"/>
        </w:rPr>
        <w:t xml:space="preserve"> for legal staff, $</w:t>
      </w:r>
      <w:r w:rsidR="009674A7">
        <w:rPr>
          <w:sz w:val="24"/>
        </w:rPr>
        <w:t>77</w:t>
      </w:r>
      <w:r>
        <w:rPr>
          <w:sz w:val="24"/>
        </w:rPr>
        <w:t>.</w:t>
      </w:r>
      <w:r w:rsidR="009674A7">
        <w:rPr>
          <w:sz w:val="24"/>
        </w:rPr>
        <w:t>6</w:t>
      </w:r>
      <w:r>
        <w:rPr>
          <w:sz w:val="24"/>
        </w:rPr>
        <w:t>7 for manage</w:t>
      </w:r>
      <w:r w:rsidR="00713EA0">
        <w:rPr>
          <w:sz w:val="24"/>
        </w:rPr>
        <w:t>ment</w:t>
      </w:r>
      <w:r>
        <w:rPr>
          <w:sz w:val="24"/>
        </w:rPr>
        <w:t xml:space="preserve">, </w:t>
      </w:r>
      <w:r w:rsidR="006B69E6">
        <w:rPr>
          <w:sz w:val="24"/>
        </w:rPr>
        <w:t xml:space="preserve">$110.99 for technical staff, and </w:t>
      </w:r>
      <w:r>
        <w:rPr>
          <w:sz w:val="24"/>
        </w:rPr>
        <w:t>$</w:t>
      </w:r>
      <w:r w:rsidR="009674A7">
        <w:rPr>
          <w:sz w:val="24"/>
        </w:rPr>
        <w:t>25.06</w:t>
      </w:r>
      <w:r>
        <w:rPr>
          <w:sz w:val="24"/>
        </w:rPr>
        <w:t xml:space="preserve"> for clerical staff</w:t>
      </w:r>
      <w:r w:rsidR="006B69E6">
        <w:rPr>
          <w:sz w:val="24"/>
        </w:rPr>
        <w:t xml:space="preserve">.  </w:t>
      </w:r>
      <w:r w:rsidR="006D1AB4">
        <w:rPr>
          <w:sz w:val="24"/>
        </w:rPr>
        <w:t>To derive the</w:t>
      </w:r>
      <w:r w:rsidR="009A7540">
        <w:rPr>
          <w:sz w:val="24"/>
        </w:rPr>
        <w:t xml:space="preserve">se </w:t>
      </w:r>
      <w:r w:rsidR="006D1AB4">
        <w:rPr>
          <w:sz w:val="24"/>
        </w:rPr>
        <w:t>rates, EPA obtained mean (unloaded) average hourly l</w:t>
      </w:r>
      <w:r>
        <w:rPr>
          <w:sz w:val="24"/>
        </w:rPr>
        <w:t>abor</w:t>
      </w:r>
      <w:r w:rsidR="00FB0C28">
        <w:rPr>
          <w:sz w:val="24"/>
        </w:rPr>
        <w:t xml:space="preserve"> rates </w:t>
      </w:r>
      <w:r w:rsidR="006D1AB4">
        <w:rPr>
          <w:sz w:val="24"/>
        </w:rPr>
        <w:t>from the</w:t>
      </w:r>
      <w:r w:rsidR="00E95240">
        <w:rPr>
          <w:sz w:val="24"/>
        </w:rPr>
        <w:t xml:space="preserve"> “Occupational Employment Statistics, May 2009 National Occupational Employment and Wa</w:t>
      </w:r>
      <w:r w:rsidR="00AD6514">
        <w:rPr>
          <w:sz w:val="24"/>
        </w:rPr>
        <w:t>g</w:t>
      </w:r>
      <w:r w:rsidR="00E95240">
        <w:rPr>
          <w:sz w:val="24"/>
        </w:rPr>
        <w:t xml:space="preserve">e Estimates, United States” of the </w:t>
      </w:r>
      <w:r w:rsidR="006D0110">
        <w:rPr>
          <w:sz w:val="24"/>
        </w:rPr>
        <w:t>U.S. Bureau of Labor Statistics</w:t>
      </w:r>
      <w:r w:rsidR="00574274">
        <w:rPr>
          <w:sz w:val="24"/>
        </w:rPr>
        <w:t xml:space="preserve"> (BLS)</w:t>
      </w:r>
      <w:r w:rsidR="006D0110">
        <w:rPr>
          <w:sz w:val="24"/>
        </w:rPr>
        <w:t xml:space="preserve"> and from surveys of oil and gas professionals performed by the American Association of Petroleum Geologists (AAPG) and the Society of Petroleum Engineers (SPE).  </w:t>
      </w:r>
      <w:r w:rsidR="006B69E6">
        <w:rPr>
          <w:sz w:val="24"/>
        </w:rPr>
        <w:t xml:space="preserve">Table 2 identifies the occupations whose labor rates were used in this ICR for each labor category as well as </w:t>
      </w:r>
      <w:r w:rsidR="00574274">
        <w:rPr>
          <w:sz w:val="24"/>
        </w:rPr>
        <w:t xml:space="preserve">the </w:t>
      </w:r>
      <w:r w:rsidR="006B69E6">
        <w:rPr>
          <w:sz w:val="24"/>
        </w:rPr>
        <w:t xml:space="preserve">source of the rates.  </w:t>
      </w:r>
      <w:r w:rsidR="00FB7A50">
        <w:rPr>
          <w:sz w:val="24"/>
        </w:rPr>
        <w:t xml:space="preserve">Note that the technical labor rate is an average of petroleum geologists and petroleum engineers.  </w:t>
      </w:r>
    </w:p>
    <w:p w:rsidR="00451F85" w:rsidRDefault="00451F85" w:rsidP="006D0110">
      <w:pPr>
        <w:widowControl/>
        <w:ind w:firstLine="720"/>
        <w:rPr>
          <w:sz w:val="24"/>
        </w:rPr>
      </w:pPr>
    </w:p>
    <w:p w:rsidR="00461E86" w:rsidRDefault="006D0110" w:rsidP="006D0110">
      <w:pPr>
        <w:widowControl/>
        <w:ind w:firstLine="720"/>
        <w:rPr>
          <w:sz w:val="24"/>
        </w:rPr>
      </w:pPr>
      <w:r>
        <w:rPr>
          <w:sz w:val="24"/>
        </w:rPr>
        <w:t>EP</w:t>
      </w:r>
      <w:r w:rsidR="0026546C">
        <w:rPr>
          <w:sz w:val="24"/>
        </w:rPr>
        <w:t>A updated the</w:t>
      </w:r>
      <w:r>
        <w:rPr>
          <w:sz w:val="24"/>
        </w:rPr>
        <w:t xml:space="preserve"> </w:t>
      </w:r>
      <w:r w:rsidR="008D3F56">
        <w:rPr>
          <w:sz w:val="24"/>
        </w:rPr>
        <w:t xml:space="preserve">non loaded labor </w:t>
      </w:r>
      <w:r>
        <w:rPr>
          <w:sz w:val="24"/>
        </w:rPr>
        <w:t xml:space="preserve">rates to 2010 levels using the </w:t>
      </w:r>
      <w:r w:rsidR="00497255">
        <w:rPr>
          <w:sz w:val="24"/>
        </w:rPr>
        <w:t xml:space="preserve">BLS </w:t>
      </w:r>
      <w:r>
        <w:rPr>
          <w:sz w:val="24"/>
        </w:rPr>
        <w:t xml:space="preserve">Employment Cost Index.  </w:t>
      </w:r>
      <w:r w:rsidR="005066DB">
        <w:rPr>
          <w:sz w:val="24"/>
        </w:rPr>
        <w:t xml:space="preserve">Finally, </w:t>
      </w:r>
      <w:r w:rsidR="008D3F56">
        <w:rPr>
          <w:sz w:val="24"/>
        </w:rPr>
        <w:t>we</w:t>
      </w:r>
      <w:r w:rsidR="0049200C">
        <w:rPr>
          <w:sz w:val="24"/>
        </w:rPr>
        <w:t xml:space="preserve"> </w:t>
      </w:r>
      <w:r w:rsidR="006D1AB4">
        <w:rPr>
          <w:sz w:val="24"/>
        </w:rPr>
        <w:t>applied a</w:t>
      </w:r>
      <w:r w:rsidR="00451F85">
        <w:rPr>
          <w:sz w:val="24"/>
        </w:rPr>
        <w:t>n average</w:t>
      </w:r>
      <w:r w:rsidR="006D1AB4">
        <w:rPr>
          <w:sz w:val="24"/>
        </w:rPr>
        <w:t xml:space="preserve"> loading factor </w:t>
      </w:r>
      <w:r w:rsidR="00451F85">
        <w:rPr>
          <w:sz w:val="24"/>
        </w:rPr>
        <w:t xml:space="preserve">of 1.6 </w:t>
      </w:r>
      <w:r w:rsidR="006D1AB4">
        <w:rPr>
          <w:sz w:val="24"/>
        </w:rPr>
        <w:t>to reflect overhead.</w:t>
      </w:r>
    </w:p>
    <w:p w:rsidR="006B69E6" w:rsidRDefault="006B69E6" w:rsidP="0056288C">
      <w:pPr>
        <w:widowControl/>
        <w:ind w:firstLine="720"/>
        <w:rPr>
          <w:sz w:val="24"/>
        </w:rPr>
      </w:pPr>
    </w:p>
    <w:p w:rsidR="006B69E6" w:rsidRPr="006B69E6" w:rsidRDefault="00AE1FD4" w:rsidP="006B69E6">
      <w:pPr>
        <w:keepNext/>
        <w:keepLines/>
        <w:jc w:val="center"/>
        <w:rPr>
          <w:b/>
          <w:sz w:val="22"/>
          <w:szCs w:val="22"/>
        </w:rPr>
      </w:pPr>
      <w:r>
        <w:rPr>
          <w:b/>
          <w:sz w:val="22"/>
          <w:szCs w:val="22"/>
        </w:rPr>
        <w:t xml:space="preserve">Table 2. </w:t>
      </w:r>
      <w:r w:rsidR="006B69E6" w:rsidRPr="006B69E6">
        <w:rPr>
          <w:b/>
          <w:sz w:val="22"/>
          <w:szCs w:val="22"/>
        </w:rPr>
        <w:t xml:space="preserve">Occupation Labor Category </w:t>
      </w:r>
      <w:r w:rsidR="00451F85">
        <w:rPr>
          <w:b/>
          <w:sz w:val="22"/>
          <w:szCs w:val="22"/>
        </w:rPr>
        <w:t xml:space="preserve">and Wage Rate Source </w:t>
      </w:r>
      <w:r w:rsidR="006B69E6" w:rsidRPr="006B69E6">
        <w:rPr>
          <w:b/>
          <w:sz w:val="22"/>
          <w:szCs w:val="22"/>
        </w:rPr>
        <w:t>--</w:t>
      </w:r>
    </w:p>
    <w:p w:rsidR="006B69E6" w:rsidRPr="006B69E6" w:rsidRDefault="000A47C6" w:rsidP="006B69E6">
      <w:pPr>
        <w:keepNext/>
        <w:keepLines/>
        <w:jc w:val="center"/>
        <w:rPr>
          <w:b/>
          <w:sz w:val="22"/>
          <w:szCs w:val="22"/>
        </w:rPr>
      </w:pPr>
      <w:r>
        <w:rPr>
          <w:b/>
          <w:sz w:val="22"/>
          <w:szCs w:val="22"/>
        </w:rPr>
        <w:t>Private Sector Organizations</w:t>
      </w:r>
    </w:p>
    <w:tbl>
      <w:tblPr>
        <w:tblW w:w="0" w:type="auto"/>
        <w:jc w:val="center"/>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88"/>
        <w:gridCol w:w="6"/>
        <w:gridCol w:w="2553"/>
        <w:gridCol w:w="3549"/>
        <w:gridCol w:w="12"/>
      </w:tblGrid>
      <w:tr w:rsidR="006B69E6" w:rsidRPr="006B69E6" w:rsidTr="00FB7A50">
        <w:trPr>
          <w:gridAfter w:val="1"/>
          <w:wAfter w:w="12" w:type="dxa"/>
          <w:jc w:val="center"/>
        </w:trPr>
        <w:tc>
          <w:tcPr>
            <w:tcW w:w="1788" w:type="dxa"/>
          </w:tcPr>
          <w:p w:rsidR="006B69E6" w:rsidRPr="006B69E6" w:rsidRDefault="006B69E6" w:rsidP="00A82054">
            <w:pPr>
              <w:keepNext/>
              <w:keepLines/>
              <w:jc w:val="center"/>
              <w:rPr>
                <w:b/>
                <w:sz w:val="22"/>
                <w:szCs w:val="22"/>
              </w:rPr>
            </w:pPr>
            <w:r w:rsidRPr="006B69E6">
              <w:rPr>
                <w:b/>
                <w:sz w:val="22"/>
                <w:szCs w:val="22"/>
              </w:rPr>
              <w:t>Labor Category</w:t>
            </w:r>
          </w:p>
        </w:tc>
        <w:tc>
          <w:tcPr>
            <w:tcW w:w="2559" w:type="dxa"/>
            <w:gridSpan w:val="2"/>
          </w:tcPr>
          <w:p w:rsidR="006B69E6" w:rsidRPr="006B69E6" w:rsidRDefault="006B69E6" w:rsidP="00A82054">
            <w:pPr>
              <w:keepNext/>
              <w:keepLines/>
              <w:jc w:val="center"/>
              <w:rPr>
                <w:b/>
                <w:sz w:val="22"/>
                <w:szCs w:val="22"/>
              </w:rPr>
            </w:pPr>
            <w:r w:rsidRPr="006B69E6">
              <w:rPr>
                <w:b/>
                <w:sz w:val="22"/>
                <w:szCs w:val="22"/>
              </w:rPr>
              <w:t>Occupation</w:t>
            </w:r>
          </w:p>
        </w:tc>
        <w:tc>
          <w:tcPr>
            <w:tcW w:w="3549" w:type="dxa"/>
          </w:tcPr>
          <w:p w:rsidR="006B69E6" w:rsidRPr="006B69E6" w:rsidRDefault="006B69E6" w:rsidP="00A82054">
            <w:pPr>
              <w:keepNext/>
              <w:keepLines/>
              <w:jc w:val="center"/>
              <w:rPr>
                <w:b/>
                <w:sz w:val="22"/>
                <w:szCs w:val="22"/>
              </w:rPr>
            </w:pPr>
            <w:r w:rsidRPr="006B69E6">
              <w:rPr>
                <w:b/>
                <w:sz w:val="22"/>
                <w:szCs w:val="22"/>
              </w:rPr>
              <w:t>Source</w:t>
            </w:r>
          </w:p>
        </w:tc>
      </w:tr>
      <w:tr w:rsidR="006B69E6" w:rsidRPr="006B69E6" w:rsidTr="00FB7A50">
        <w:trPr>
          <w:gridAfter w:val="1"/>
          <w:wAfter w:w="12" w:type="dxa"/>
          <w:jc w:val="center"/>
        </w:trPr>
        <w:tc>
          <w:tcPr>
            <w:tcW w:w="1788" w:type="dxa"/>
            <w:vAlign w:val="center"/>
          </w:tcPr>
          <w:p w:rsidR="006B69E6" w:rsidRPr="006B69E6" w:rsidRDefault="006B69E6" w:rsidP="00A82054">
            <w:pPr>
              <w:jc w:val="center"/>
              <w:rPr>
                <w:sz w:val="22"/>
                <w:szCs w:val="22"/>
              </w:rPr>
            </w:pPr>
            <w:r w:rsidRPr="006B69E6">
              <w:rPr>
                <w:sz w:val="22"/>
                <w:szCs w:val="22"/>
              </w:rPr>
              <w:t>Legal</w:t>
            </w:r>
          </w:p>
        </w:tc>
        <w:tc>
          <w:tcPr>
            <w:tcW w:w="2559" w:type="dxa"/>
            <w:gridSpan w:val="2"/>
            <w:vAlign w:val="center"/>
          </w:tcPr>
          <w:p w:rsidR="006B69E6" w:rsidRPr="006B69E6" w:rsidRDefault="006B69E6" w:rsidP="00A82054">
            <w:pPr>
              <w:jc w:val="center"/>
              <w:rPr>
                <w:sz w:val="22"/>
                <w:szCs w:val="22"/>
              </w:rPr>
            </w:pPr>
            <w:r w:rsidRPr="006B69E6">
              <w:rPr>
                <w:sz w:val="22"/>
                <w:szCs w:val="22"/>
              </w:rPr>
              <w:t>Lawyers</w:t>
            </w:r>
          </w:p>
        </w:tc>
        <w:tc>
          <w:tcPr>
            <w:tcW w:w="3549" w:type="dxa"/>
            <w:vAlign w:val="center"/>
          </w:tcPr>
          <w:p w:rsidR="006B69E6" w:rsidRPr="006B69E6" w:rsidRDefault="006B69E6" w:rsidP="00A82054">
            <w:pPr>
              <w:jc w:val="center"/>
              <w:rPr>
                <w:sz w:val="22"/>
                <w:szCs w:val="22"/>
              </w:rPr>
            </w:pPr>
            <w:r w:rsidRPr="006B69E6">
              <w:rPr>
                <w:sz w:val="22"/>
                <w:szCs w:val="22"/>
              </w:rPr>
              <w:t>Bureau of Labor Statistics</w:t>
            </w:r>
          </w:p>
        </w:tc>
      </w:tr>
      <w:tr w:rsidR="006B69E6" w:rsidRPr="006B69E6" w:rsidTr="00FB7A50">
        <w:trPr>
          <w:gridAfter w:val="1"/>
          <w:wAfter w:w="12" w:type="dxa"/>
          <w:jc w:val="center"/>
        </w:trPr>
        <w:tc>
          <w:tcPr>
            <w:tcW w:w="1788" w:type="dxa"/>
            <w:vAlign w:val="center"/>
          </w:tcPr>
          <w:p w:rsidR="006B69E6" w:rsidRPr="006B69E6" w:rsidRDefault="006B69E6" w:rsidP="00A82054">
            <w:pPr>
              <w:jc w:val="center"/>
              <w:rPr>
                <w:sz w:val="22"/>
                <w:szCs w:val="22"/>
              </w:rPr>
            </w:pPr>
            <w:r w:rsidRPr="006B69E6">
              <w:rPr>
                <w:sz w:val="22"/>
                <w:szCs w:val="22"/>
              </w:rPr>
              <w:t>Managerial</w:t>
            </w:r>
          </w:p>
        </w:tc>
        <w:tc>
          <w:tcPr>
            <w:tcW w:w="2559" w:type="dxa"/>
            <w:gridSpan w:val="2"/>
            <w:vAlign w:val="center"/>
          </w:tcPr>
          <w:p w:rsidR="006B69E6" w:rsidRPr="006B69E6" w:rsidRDefault="006B69E6" w:rsidP="00A82054">
            <w:pPr>
              <w:jc w:val="center"/>
              <w:rPr>
                <w:sz w:val="22"/>
                <w:szCs w:val="22"/>
              </w:rPr>
            </w:pPr>
            <w:r w:rsidRPr="006B69E6">
              <w:rPr>
                <w:sz w:val="22"/>
                <w:szCs w:val="22"/>
              </w:rPr>
              <w:t>Managers, All Others</w:t>
            </w:r>
          </w:p>
        </w:tc>
        <w:tc>
          <w:tcPr>
            <w:tcW w:w="3549" w:type="dxa"/>
            <w:vAlign w:val="center"/>
          </w:tcPr>
          <w:p w:rsidR="006B69E6" w:rsidRPr="006B69E6" w:rsidRDefault="006B69E6" w:rsidP="006B69E6">
            <w:pPr>
              <w:jc w:val="center"/>
              <w:rPr>
                <w:sz w:val="22"/>
                <w:szCs w:val="22"/>
              </w:rPr>
            </w:pPr>
            <w:r w:rsidRPr="006B69E6">
              <w:rPr>
                <w:sz w:val="22"/>
                <w:szCs w:val="22"/>
              </w:rPr>
              <w:t>Bureau of Labor Statistics</w:t>
            </w:r>
          </w:p>
        </w:tc>
      </w:tr>
      <w:tr w:rsidR="006B69E6" w:rsidRPr="006B69E6" w:rsidTr="00FB7A50">
        <w:trPr>
          <w:gridAfter w:val="1"/>
          <w:wAfter w:w="12" w:type="dxa"/>
          <w:jc w:val="center"/>
        </w:trPr>
        <w:tc>
          <w:tcPr>
            <w:tcW w:w="1794" w:type="dxa"/>
            <w:gridSpan w:val="2"/>
            <w:vMerge w:val="restart"/>
            <w:tcBorders>
              <w:right w:val="single" w:sz="4" w:space="0" w:color="auto"/>
            </w:tcBorders>
            <w:vAlign w:val="center"/>
          </w:tcPr>
          <w:p w:rsidR="006B69E6" w:rsidRPr="006B69E6" w:rsidRDefault="006B69E6" w:rsidP="00A82054">
            <w:pPr>
              <w:jc w:val="center"/>
              <w:rPr>
                <w:sz w:val="22"/>
                <w:szCs w:val="22"/>
              </w:rPr>
            </w:pPr>
            <w:r w:rsidRPr="006B69E6">
              <w:rPr>
                <w:sz w:val="22"/>
                <w:szCs w:val="22"/>
              </w:rPr>
              <w:t>Technical</w:t>
            </w:r>
          </w:p>
        </w:tc>
        <w:tc>
          <w:tcPr>
            <w:tcW w:w="2553" w:type="dxa"/>
            <w:tcBorders>
              <w:left w:val="single" w:sz="4" w:space="0" w:color="auto"/>
            </w:tcBorders>
            <w:vAlign w:val="center"/>
          </w:tcPr>
          <w:p w:rsidR="006B69E6" w:rsidRPr="006B69E6" w:rsidRDefault="006B69E6" w:rsidP="00A82054">
            <w:pPr>
              <w:jc w:val="center"/>
              <w:rPr>
                <w:sz w:val="22"/>
                <w:szCs w:val="22"/>
              </w:rPr>
            </w:pPr>
            <w:r w:rsidRPr="006B69E6">
              <w:rPr>
                <w:sz w:val="22"/>
                <w:szCs w:val="22"/>
              </w:rPr>
              <w:t>Petroleum Geologists</w:t>
            </w:r>
          </w:p>
        </w:tc>
        <w:tc>
          <w:tcPr>
            <w:tcW w:w="3549" w:type="dxa"/>
            <w:vAlign w:val="center"/>
          </w:tcPr>
          <w:p w:rsidR="006B69E6" w:rsidRPr="006B69E6" w:rsidRDefault="001C4D74" w:rsidP="00A82054">
            <w:pPr>
              <w:jc w:val="center"/>
              <w:rPr>
                <w:sz w:val="22"/>
                <w:szCs w:val="22"/>
              </w:rPr>
            </w:pPr>
            <w:r>
              <w:rPr>
                <w:sz w:val="22"/>
                <w:szCs w:val="22"/>
              </w:rPr>
              <w:t xml:space="preserve">AAPG </w:t>
            </w:r>
            <w:r w:rsidR="006B69E6" w:rsidRPr="006B69E6">
              <w:rPr>
                <w:sz w:val="22"/>
                <w:szCs w:val="22"/>
              </w:rPr>
              <w:t>Salary Survey</w:t>
            </w:r>
          </w:p>
        </w:tc>
      </w:tr>
      <w:tr w:rsidR="006B69E6" w:rsidRPr="006B69E6" w:rsidTr="00FB7A50">
        <w:trPr>
          <w:jc w:val="center"/>
        </w:trPr>
        <w:tc>
          <w:tcPr>
            <w:tcW w:w="1794" w:type="dxa"/>
            <w:gridSpan w:val="2"/>
            <w:vMerge/>
            <w:tcBorders>
              <w:right w:val="single" w:sz="4" w:space="0" w:color="auto"/>
            </w:tcBorders>
            <w:vAlign w:val="center"/>
          </w:tcPr>
          <w:p w:rsidR="006B69E6" w:rsidRPr="006B69E6" w:rsidRDefault="006B69E6" w:rsidP="00A82054">
            <w:pPr>
              <w:jc w:val="center"/>
              <w:rPr>
                <w:sz w:val="22"/>
                <w:szCs w:val="22"/>
              </w:rPr>
            </w:pPr>
          </w:p>
        </w:tc>
        <w:tc>
          <w:tcPr>
            <w:tcW w:w="2553" w:type="dxa"/>
            <w:tcBorders>
              <w:left w:val="single" w:sz="4" w:space="0" w:color="auto"/>
            </w:tcBorders>
            <w:vAlign w:val="center"/>
          </w:tcPr>
          <w:p w:rsidR="006B69E6" w:rsidRPr="006B69E6" w:rsidRDefault="006B69E6" w:rsidP="00A82054">
            <w:pPr>
              <w:jc w:val="center"/>
              <w:rPr>
                <w:sz w:val="22"/>
                <w:szCs w:val="22"/>
              </w:rPr>
            </w:pPr>
            <w:r w:rsidRPr="006B69E6">
              <w:rPr>
                <w:sz w:val="22"/>
                <w:szCs w:val="22"/>
              </w:rPr>
              <w:t>Petroleum Engineers</w:t>
            </w:r>
            <w:r w:rsidR="001C4D74">
              <w:rPr>
                <w:sz w:val="22"/>
                <w:szCs w:val="22"/>
              </w:rPr>
              <w:t>, Reservoirs</w:t>
            </w:r>
          </w:p>
        </w:tc>
        <w:tc>
          <w:tcPr>
            <w:tcW w:w="3561" w:type="dxa"/>
            <w:gridSpan w:val="2"/>
            <w:vAlign w:val="center"/>
          </w:tcPr>
          <w:p w:rsidR="006B69E6" w:rsidRPr="006B69E6" w:rsidRDefault="001C4D74" w:rsidP="00A82054">
            <w:pPr>
              <w:jc w:val="center"/>
              <w:rPr>
                <w:sz w:val="22"/>
                <w:szCs w:val="22"/>
              </w:rPr>
            </w:pPr>
            <w:r>
              <w:rPr>
                <w:sz w:val="22"/>
                <w:szCs w:val="22"/>
              </w:rPr>
              <w:t>SPE</w:t>
            </w:r>
            <w:r w:rsidR="006B69E6" w:rsidRPr="006B69E6">
              <w:rPr>
                <w:sz w:val="22"/>
                <w:szCs w:val="22"/>
              </w:rPr>
              <w:t xml:space="preserve"> Salary Survey</w:t>
            </w:r>
          </w:p>
        </w:tc>
      </w:tr>
      <w:tr w:rsidR="006B69E6" w:rsidRPr="006B69E6" w:rsidTr="00FB7A50">
        <w:trPr>
          <w:gridAfter w:val="1"/>
          <w:wAfter w:w="12" w:type="dxa"/>
          <w:jc w:val="center"/>
        </w:trPr>
        <w:tc>
          <w:tcPr>
            <w:tcW w:w="1788" w:type="dxa"/>
            <w:vAlign w:val="center"/>
          </w:tcPr>
          <w:p w:rsidR="006B69E6" w:rsidRPr="006B69E6" w:rsidRDefault="006B69E6" w:rsidP="00A82054">
            <w:pPr>
              <w:jc w:val="center"/>
              <w:rPr>
                <w:sz w:val="22"/>
                <w:szCs w:val="22"/>
              </w:rPr>
            </w:pPr>
            <w:r w:rsidRPr="006B69E6">
              <w:rPr>
                <w:sz w:val="22"/>
                <w:szCs w:val="22"/>
              </w:rPr>
              <w:t>Clerical</w:t>
            </w:r>
          </w:p>
        </w:tc>
        <w:tc>
          <w:tcPr>
            <w:tcW w:w="2559" w:type="dxa"/>
            <w:gridSpan w:val="2"/>
            <w:vAlign w:val="center"/>
          </w:tcPr>
          <w:p w:rsidR="006B69E6" w:rsidRPr="006B69E6" w:rsidRDefault="006B69E6" w:rsidP="00A82054">
            <w:pPr>
              <w:jc w:val="center"/>
              <w:rPr>
                <w:sz w:val="22"/>
                <w:szCs w:val="22"/>
              </w:rPr>
            </w:pPr>
            <w:r w:rsidRPr="006B69E6">
              <w:rPr>
                <w:sz w:val="22"/>
                <w:szCs w:val="22"/>
              </w:rPr>
              <w:t>Office and Administrative Support, All Others</w:t>
            </w:r>
          </w:p>
        </w:tc>
        <w:tc>
          <w:tcPr>
            <w:tcW w:w="3549" w:type="dxa"/>
            <w:vAlign w:val="center"/>
          </w:tcPr>
          <w:p w:rsidR="006B69E6" w:rsidRPr="006B69E6" w:rsidRDefault="006B69E6" w:rsidP="00A82054">
            <w:pPr>
              <w:jc w:val="center"/>
              <w:rPr>
                <w:sz w:val="22"/>
                <w:szCs w:val="22"/>
              </w:rPr>
            </w:pPr>
            <w:r w:rsidRPr="006B69E6">
              <w:rPr>
                <w:sz w:val="22"/>
                <w:szCs w:val="22"/>
              </w:rPr>
              <w:t>Bureau of Labor Statistics</w:t>
            </w:r>
          </w:p>
        </w:tc>
      </w:tr>
    </w:tbl>
    <w:p w:rsidR="006B69E6" w:rsidRDefault="006B69E6" w:rsidP="006B69E6">
      <w:pPr>
        <w:rPr>
          <w:b/>
        </w:rPr>
      </w:pPr>
    </w:p>
    <w:p w:rsidR="0089376B" w:rsidRDefault="0089376B" w:rsidP="0076389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sz w:val="24"/>
        </w:rPr>
      </w:pPr>
      <w:r>
        <w:rPr>
          <w:b/>
          <w:bCs/>
          <w:sz w:val="24"/>
        </w:rPr>
        <w:t>State Governments</w:t>
      </w:r>
    </w:p>
    <w:p w:rsidR="0089376B" w:rsidRDefault="0089376B" w:rsidP="0089376B">
      <w:pPr>
        <w:keepNext/>
        <w:keepLines/>
        <w:widowControl/>
        <w:ind w:firstLine="720"/>
        <w:rPr>
          <w:sz w:val="24"/>
        </w:rPr>
      </w:pPr>
    </w:p>
    <w:p w:rsidR="0089376B" w:rsidRDefault="0089376B" w:rsidP="0089376B">
      <w:pPr>
        <w:keepNext/>
        <w:keepLines/>
        <w:widowControl/>
        <w:ind w:firstLine="720"/>
        <w:rPr>
          <w:sz w:val="24"/>
        </w:rPr>
      </w:pPr>
      <w:r>
        <w:rPr>
          <w:sz w:val="24"/>
        </w:rPr>
        <w:t xml:space="preserve">EPA estimates an average loaded respondent hourly labor rate </w:t>
      </w:r>
      <w:r w:rsidR="00DF68A3">
        <w:rPr>
          <w:sz w:val="24"/>
        </w:rPr>
        <w:t xml:space="preserve">for state governments </w:t>
      </w:r>
      <w:r>
        <w:rPr>
          <w:sz w:val="24"/>
        </w:rPr>
        <w:t>of $64.86 for legal staff, $61.50 for manage</w:t>
      </w:r>
      <w:r w:rsidR="00630D2A">
        <w:rPr>
          <w:sz w:val="24"/>
        </w:rPr>
        <w:t>ment</w:t>
      </w:r>
      <w:r>
        <w:rPr>
          <w:sz w:val="24"/>
        </w:rPr>
        <w:t xml:space="preserve">, $38.53 for technical staff, and $26.74 for clerical staff.  To derive these rates, </w:t>
      </w:r>
      <w:r w:rsidR="009C09B8">
        <w:rPr>
          <w:sz w:val="24"/>
        </w:rPr>
        <w:t>we</w:t>
      </w:r>
      <w:r>
        <w:rPr>
          <w:sz w:val="24"/>
        </w:rPr>
        <w:t xml:space="preserve"> obtained mean (unloaded) average hourly labor rates from the “May 2009 National Industry-Specific Occupational Employment and Wage Estimates, NAICS 999200 – State Government” of the Bureau of Labor Statistics (BLS).  Table 3 identifies the occupations whose labor rates were used in this ICR for each labor category as well as the source of the rates.  </w:t>
      </w:r>
    </w:p>
    <w:p w:rsidR="00DF68A3" w:rsidRDefault="00DF68A3" w:rsidP="0089376B">
      <w:pPr>
        <w:widowControl/>
        <w:ind w:firstLine="720"/>
        <w:rPr>
          <w:sz w:val="24"/>
        </w:rPr>
      </w:pPr>
    </w:p>
    <w:p w:rsidR="0089376B" w:rsidRDefault="0089376B" w:rsidP="0089376B">
      <w:pPr>
        <w:widowControl/>
        <w:ind w:firstLine="720"/>
        <w:rPr>
          <w:sz w:val="24"/>
        </w:rPr>
      </w:pPr>
      <w:r>
        <w:rPr>
          <w:sz w:val="24"/>
        </w:rPr>
        <w:t xml:space="preserve">EPA updated the </w:t>
      </w:r>
      <w:r w:rsidR="009C09B8">
        <w:rPr>
          <w:sz w:val="24"/>
        </w:rPr>
        <w:t xml:space="preserve">wage </w:t>
      </w:r>
      <w:r>
        <w:rPr>
          <w:sz w:val="24"/>
        </w:rPr>
        <w:t xml:space="preserve">rates to June 2010 levels using the BLS Employment Cost Index. Finally, </w:t>
      </w:r>
      <w:r w:rsidR="009C09B8">
        <w:rPr>
          <w:sz w:val="24"/>
        </w:rPr>
        <w:t>we</w:t>
      </w:r>
      <w:r>
        <w:rPr>
          <w:sz w:val="24"/>
        </w:rPr>
        <w:t xml:space="preserve"> applied a</w:t>
      </w:r>
      <w:r w:rsidR="009C09B8">
        <w:rPr>
          <w:sz w:val="24"/>
        </w:rPr>
        <w:t>n average</w:t>
      </w:r>
      <w:r>
        <w:rPr>
          <w:sz w:val="24"/>
        </w:rPr>
        <w:t xml:space="preserve"> loading factor </w:t>
      </w:r>
      <w:r w:rsidR="009C09B8">
        <w:rPr>
          <w:sz w:val="24"/>
        </w:rPr>
        <w:t xml:space="preserve">of 1.6 </w:t>
      </w:r>
      <w:r>
        <w:rPr>
          <w:sz w:val="24"/>
        </w:rPr>
        <w:t>to reflect overhead.</w:t>
      </w:r>
    </w:p>
    <w:p w:rsidR="0089376B" w:rsidRDefault="0089376B" w:rsidP="0089376B">
      <w:pPr>
        <w:widowControl/>
        <w:ind w:firstLine="720"/>
        <w:rPr>
          <w:sz w:val="24"/>
        </w:rPr>
      </w:pPr>
    </w:p>
    <w:p w:rsidR="0089376B" w:rsidRPr="00CE6509" w:rsidRDefault="009C09B8" w:rsidP="0089376B">
      <w:pPr>
        <w:keepNext/>
        <w:widowControl/>
        <w:jc w:val="center"/>
        <w:rPr>
          <w:b/>
          <w:sz w:val="22"/>
          <w:szCs w:val="22"/>
        </w:rPr>
      </w:pPr>
      <w:r>
        <w:rPr>
          <w:b/>
          <w:sz w:val="22"/>
          <w:szCs w:val="22"/>
        </w:rPr>
        <w:tab/>
      </w:r>
      <w:r w:rsidR="0089376B" w:rsidRPr="00CE6509">
        <w:rPr>
          <w:b/>
          <w:sz w:val="22"/>
          <w:szCs w:val="22"/>
        </w:rPr>
        <w:t xml:space="preserve">Table 3.  </w:t>
      </w:r>
      <w:r w:rsidRPr="006B69E6">
        <w:rPr>
          <w:b/>
          <w:sz w:val="22"/>
          <w:szCs w:val="22"/>
        </w:rPr>
        <w:t xml:space="preserve">Occupation Labor Category </w:t>
      </w:r>
      <w:r>
        <w:rPr>
          <w:b/>
          <w:sz w:val="22"/>
          <w:szCs w:val="22"/>
        </w:rPr>
        <w:t>and Wage Rate Source</w:t>
      </w:r>
      <w:r w:rsidR="0089376B" w:rsidRPr="00CE6509">
        <w:rPr>
          <w:b/>
          <w:sz w:val="22"/>
          <w:szCs w:val="22"/>
        </w:rPr>
        <w:t xml:space="preserve"> – </w:t>
      </w:r>
    </w:p>
    <w:p w:rsidR="0089376B" w:rsidRPr="00CE6509" w:rsidRDefault="0089376B" w:rsidP="0089376B">
      <w:pPr>
        <w:keepNext/>
        <w:widowControl/>
        <w:jc w:val="center"/>
        <w:rPr>
          <w:b/>
          <w:sz w:val="22"/>
          <w:szCs w:val="22"/>
        </w:rPr>
      </w:pPr>
      <w:r w:rsidRPr="00CE6509">
        <w:rPr>
          <w:b/>
          <w:sz w:val="22"/>
          <w:szCs w:val="22"/>
        </w:rPr>
        <w:t>State Governments</w:t>
      </w:r>
    </w:p>
    <w:tbl>
      <w:tblPr>
        <w:tblW w:w="0" w:type="auto"/>
        <w:jc w:val="center"/>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2547"/>
        <w:gridCol w:w="2706"/>
      </w:tblGrid>
      <w:tr w:rsidR="0089376B" w:rsidRPr="005758E1" w:rsidTr="00A82054">
        <w:trPr>
          <w:jc w:val="center"/>
        </w:trPr>
        <w:tc>
          <w:tcPr>
            <w:tcW w:w="1800" w:type="dxa"/>
          </w:tcPr>
          <w:p w:rsidR="0089376B" w:rsidRPr="005758E1" w:rsidRDefault="0089376B" w:rsidP="00A82054">
            <w:pPr>
              <w:keepNext/>
              <w:widowControl/>
              <w:jc w:val="center"/>
              <w:rPr>
                <w:b/>
                <w:sz w:val="22"/>
                <w:szCs w:val="22"/>
              </w:rPr>
            </w:pPr>
            <w:r w:rsidRPr="005758E1">
              <w:rPr>
                <w:b/>
                <w:sz w:val="22"/>
                <w:szCs w:val="22"/>
              </w:rPr>
              <w:t>Labor Category</w:t>
            </w:r>
          </w:p>
        </w:tc>
        <w:tc>
          <w:tcPr>
            <w:tcW w:w="2547" w:type="dxa"/>
          </w:tcPr>
          <w:p w:rsidR="0089376B" w:rsidRPr="005758E1" w:rsidRDefault="0089376B" w:rsidP="00A82054">
            <w:pPr>
              <w:keepNext/>
              <w:widowControl/>
              <w:jc w:val="center"/>
              <w:rPr>
                <w:b/>
                <w:sz w:val="22"/>
                <w:szCs w:val="22"/>
              </w:rPr>
            </w:pPr>
            <w:r w:rsidRPr="005758E1">
              <w:rPr>
                <w:b/>
                <w:sz w:val="22"/>
                <w:szCs w:val="22"/>
              </w:rPr>
              <w:t>Occupation</w:t>
            </w:r>
          </w:p>
        </w:tc>
        <w:tc>
          <w:tcPr>
            <w:tcW w:w="2706" w:type="dxa"/>
          </w:tcPr>
          <w:p w:rsidR="0089376B" w:rsidRPr="005758E1" w:rsidRDefault="0089376B" w:rsidP="00A82054">
            <w:pPr>
              <w:keepNext/>
              <w:widowControl/>
              <w:jc w:val="center"/>
              <w:rPr>
                <w:b/>
                <w:sz w:val="22"/>
                <w:szCs w:val="22"/>
              </w:rPr>
            </w:pPr>
            <w:r>
              <w:rPr>
                <w:b/>
                <w:sz w:val="22"/>
                <w:szCs w:val="22"/>
              </w:rPr>
              <w:t>Source</w:t>
            </w:r>
          </w:p>
        </w:tc>
      </w:tr>
      <w:tr w:rsidR="0089376B" w:rsidRPr="005758E1" w:rsidTr="00A82054">
        <w:trPr>
          <w:jc w:val="center"/>
        </w:trPr>
        <w:tc>
          <w:tcPr>
            <w:tcW w:w="1800" w:type="dxa"/>
            <w:vAlign w:val="center"/>
          </w:tcPr>
          <w:p w:rsidR="0089376B" w:rsidRPr="005758E1" w:rsidRDefault="0089376B" w:rsidP="00A82054">
            <w:pPr>
              <w:keepNext/>
              <w:widowControl/>
              <w:jc w:val="center"/>
              <w:rPr>
                <w:sz w:val="22"/>
                <w:szCs w:val="22"/>
              </w:rPr>
            </w:pPr>
            <w:r w:rsidRPr="005758E1">
              <w:rPr>
                <w:sz w:val="22"/>
                <w:szCs w:val="22"/>
              </w:rPr>
              <w:t>Legal</w:t>
            </w:r>
          </w:p>
        </w:tc>
        <w:tc>
          <w:tcPr>
            <w:tcW w:w="2547" w:type="dxa"/>
            <w:vAlign w:val="center"/>
          </w:tcPr>
          <w:p w:rsidR="0089376B" w:rsidRPr="005758E1" w:rsidRDefault="0089376B" w:rsidP="00A82054">
            <w:pPr>
              <w:keepNext/>
              <w:widowControl/>
              <w:jc w:val="center"/>
              <w:rPr>
                <w:sz w:val="22"/>
                <w:szCs w:val="22"/>
              </w:rPr>
            </w:pPr>
            <w:r w:rsidRPr="005758E1">
              <w:rPr>
                <w:sz w:val="22"/>
                <w:szCs w:val="22"/>
              </w:rPr>
              <w:t>Lawyers</w:t>
            </w:r>
          </w:p>
        </w:tc>
        <w:tc>
          <w:tcPr>
            <w:tcW w:w="2706" w:type="dxa"/>
            <w:vAlign w:val="center"/>
          </w:tcPr>
          <w:p w:rsidR="0089376B" w:rsidRPr="005758E1" w:rsidRDefault="0089376B" w:rsidP="00A82054">
            <w:pPr>
              <w:keepNext/>
              <w:widowControl/>
              <w:jc w:val="center"/>
              <w:rPr>
                <w:sz w:val="22"/>
                <w:szCs w:val="22"/>
              </w:rPr>
            </w:pPr>
            <w:r w:rsidRPr="006B69E6">
              <w:rPr>
                <w:sz w:val="22"/>
                <w:szCs w:val="22"/>
              </w:rPr>
              <w:t>Bureau of Labor Statistics</w:t>
            </w:r>
          </w:p>
        </w:tc>
      </w:tr>
      <w:tr w:rsidR="0089376B" w:rsidRPr="005758E1" w:rsidTr="00A82054">
        <w:trPr>
          <w:jc w:val="center"/>
        </w:trPr>
        <w:tc>
          <w:tcPr>
            <w:tcW w:w="1800" w:type="dxa"/>
            <w:vAlign w:val="center"/>
          </w:tcPr>
          <w:p w:rsidR="0089376B" w:rsidRPr="005758E1" w:rsidRDefault="0089376B" w:rsidP="00A82054">
            <w:pPr>
              <w:keepNext/>
              <w:widowControl/>
              <w:jc w:val="center"/>
              <w:rPr>
                <w:sz w:val="22"/>
                <w:szCs w:val="22"/>
              </w:rPr>
            </w:pPr>
            <w:r w:rsidRPr="005758E1">
              <w:rPr>
                <w:sz w:val="22"/>
                <w:szCs w:val="22"/>
              </w:rPr>
              <w:t>Managerial</w:t>
            </w:r>
          </w:p>
        </w:tc>
        <w:tc>
          <w:tcPr>
            <w:tcW w:w="2547" w:type="dxa"/>
            <w:vAlign w:val="center"/>
          </w:tcPr>
          <w:p w:rsidR="0089376B" w:rsidRPr="005758E1" w:rsidRDefault="0089376B" w:rsidP="00A82054">
            <w:pPr>
              <w:keepNext/>
              <w:widowControl/>
              <w:jc w:val="center"/>
              <w:rPr>
                <w:sz w:val="22"/>
                <w:szCs w:val="22"/>
              </w:rPr>
            </w:pPr>
            <w:r w:rsidRPr="005758E1">
              <w:rPr>
                <w:sz w:val="22"/>
                <w:szCs w:val="22"/>
              </w:rPr>
              <w:t>Managers, All Others</w:t>
            </w:r>
          </w:p>
        </w:tc>
        <w:tc>
          <w:tcPr>
            <w:tcW w:w="2706" w:type="dxa"/>
            <w:vAlign w:val="center"/>
          </w:tcPr>
          <w:p w:rsidR="0089376B" w:rsidRPr="005758E1" w:rsidRDefault="0089376B" w:rsidP="00A82054">
            <w:pPr>
              <w:keepNext/>
              <w:widowControl/>
              <w:jc w:val="center"/>
              <w:rPr>
                <w:sz w:val="22"/>
                <w:szCs w:val="22"/>
              </w:rPr>
            </w:pPr>
            <w:r w:rsidRPr="006B69E6">
              <w:rPr>
                <w:sz w:val="22"/>
                <w:szCs w:val="22"/>
              </w:rPr>
              <w:t>Bureau of Labor Statistics</w:t>
            </w:r>
          </w:p>
        </w:tc>
      </w:tr>
      <w:tr w:rsidR="0089376B" w:rsidRPr="005758E1" w:rsidTr="00A82054">
        <w:trPr>
          <w:trHeight w:val="125"/>
          <w:jc w:val="center"/>
        </w:trPr>
        <w:tc>
          <w:tcPr>
            <w:tcW w:w="1800" w:type="dxa"/>
            <w:tcBorders>
              <w:right w:val="single" w:sz="4" w:space="0" w:color="auto"/>
            </w:tcBorders>
            <w:vAlign w:val="center"/>
          </w:tcPr>
          <w:p w:rsidR="0089376B" w:rsidRPr="005758E1" w:rsidRDefault="0089376B" w:rsidP="00A82054">
            <w:pPr>
              <w:keepNext/>
              <w:widowControl/>
              <w:jc w:val="center"/>
              <w:rPr>
                <w:sz w:val="22"/>
                <w:szCs w:val="22"/>
              </w:rPr>
            </w:pPr>
            <w:r w:rsidRPr="005758E1">
              <w:rPr>
                <w:sz w:val="22"/>
                <w:szCs w:val="22"/>
              </w:rPr>
              <w:t>Technical</w:t>
            </w:r>
          </w:p>
        </w:tc>
        <w:tc>
          <w:tcPr>
            <w:tcW w:w="2547" w:type="dxa"/>
            <w:tcBorders>
              <w:left w:val="single" w:sz="4" w:space="0" w:color="auto"/>
            </w:tcBorders>
            <w:vAlign w:val="center"/>
          </w:tcPr>
          <w:p w:rsidR="0089376B" w:rsidRPr="005758E1" w:rsidRDefault="0089376B" w:rsidP="00A82054">
            <w:pPr>
              <w:keepNext/>
              <w:widowControl/>
              <w:jc w:val="center"/>
              <w:rPr>
                <w:sz w:val="22"/>
                <w:szCs w:val="22"/>
              </w:rPr>
            </w:pPr>
            <w:r w:rsidRPr="005758E1">
              <w:rPr>
                <w:sz w:val="22"/>
                <w:szCs w:val="22"/>
              </w:rPr>
              <w:t>Compliance Officers</w:t>
            </w:r>
          </w:p>
        </w:tc>
        <w:tc>
          <w:tcPr>
            <w:tcW w:w="2706" w:type="dxa"/>
            <w:vAlign w:val="center"/>
          </w:tcPr>
          <w:p w:rsidR="0089376B" w:rsidRPr="005758E1" w:rsidRDefault="0089376B" w:rsidP="00A82054">
            <w:pPr>
              <w:keepNext/>
              <w:widowControl/>
              <w:jc w:val="center"/>
              <w:rPr>
                <w:sz w:val="22"/>
                <w:szCs w:val="22"/>
              </w:rPr>
            </w:pPr>
            <w:r w:rsidRPr="006B69E6">
              <w:rPr>
                <w:sz w:val="22"/>
                <w:szCs w:val="22"/>
              </w:rPr>
              <w:t>Bureau of Labor Statistics</w:t>
            </w:r>
          </w:p>
        </w:tc>
      </w:tr>
      <w:tr w:rsidR="0089376B" w:rsidRPr="005758E1" w:rsidTr="00A82054">
        <w:trPr>
          <w:jc w:val="center"/>
        </w:trPr>
        <w:tc>
          <w:tcPr>
            <w:tcW w:w="1800" w:type="dxa"/>
            <w:vAlign w:val="center"/>
          </w:tcPr>
          <w:p w:rsidR="0089376B" w:rsidRPr="005758E1" w:rsidRDefault="0089376B" w:rsidP="00A82054">
            <w:pPr>
              <w:widowControl/>
              <w:jc w:val="center"/>
              <w:rPr>
                <w:sz w:val="22"/>
                <w:szCs w:val="22"/>
              </w:rPr>
            </w:pPr>
            <w:r w:rsidRPr="005758E1">
              <w:rPr>
                <w:sz w:val="22"/>
                <w:szCs w:val="22"/>
              </w:rPr>
              <w:t>Clerical</w:t>
            </w:r>
          </w:p>
        </w:tc>
        <w:tc>
          <w:tcPr>
            <w:tcW w:w="2547" w:type="dxa"/>
            <w:vAlign w:val="center"/>
          </w:tcPr>
          <w:p w:rsidR="0089376B" w:rsidRPr="005758E1" w:rsidRDefault="0089376B" w:rsidP="00A82054">
            <w:pPr>
              <w:widowControl/>
              <w:jc w:val="center"/>
              <w:rPr>
                <w:sz w:val="22"/>
                <w:szCs w:val="22"/>
              </w:rPr>
            </w:pPr>
            <w:r w:rsidRPr="005758E1">
              <w:rPr>
                <w:sz w:val="22"/>
                <w:szCs w:val="22"/>
              </w:rPr>
              <w:t>Office and Administrative Support, All Others</w:t>
            </w:r>
          </w:p>
        </w:tc>
        <w:tc>
          <w:tcPr>
            <w:tcW w:w="2706" w:type="dxa"/>
            <w:vAlign w:val="center"/>
          </w:tcPr>
          <w:p w:rsidR="0089376B" w:rsidRPr="005758E1" w:rsidRDefault="0089376B" w:rsidP="00A82054">
            <w:pPr>
              <w:widowControl/>
              <w:jc w:val="center"/>
              <w:rPr>
                <w:sz w:val="22"/>
                <w:szCs w:val="22"/>
              </w:rPr>
            </w:pPr>
            <w:r w:rsidRPr="006B69E6">
              <w:rPr>
                <w:sz w:val="22"/>
                <w:szCs w:val="22"/>
              </w:rPr>
              <w:t>Bureau of Labor Statistics</w:t>
            </w:r>
          </w:p>
        </w:tc>
      </w:tr>
    </w:tbl>
    <w:p w:rsidR="00101A3B" w:rsidRDefault="00101A3B" w:rsidP="00101A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sz w:val="24"/>
        </w:rPr>
      </w:pPr>
    </w:p>
    <w:p w:rsidR="00FC2E22" w:rsidRDefault="00FC2E22" w:rsidP="00101A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sz w:val="24"/>
        </w:rPr>
      </w:pPr>
    </w:p>
    <w:p w:rsidR="00C93DD8" w:rsidRDefault="00C93DD8" w:rsidP="00101A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Pr>
          <w:b/>
          <w:bCs/>
          <w:sz w:val="24"/>
        </w:rPr>
        <w:t>(ii)</w:t>
      </w:r>
      <w:r>
        <w:rPr>
          <w:b/>
          <w:bCs/>
          <w:sz w:val="24"/>
        </w:rPr>
        <w:tab/>
        <w:t>Estimating Capital and Operations and Maintenance (O&amp;M) Costs</w:t>
      </w:r>
    </w:p>
    <w:p w:rsidR="00C93DD8" w:rsidRDefault="00C93DD8" w:rsidP="00101A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3DD8" w:rsidRDefault="00C93DD8" w:rsidP="00101A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247F63">
        <w:rPr>
          <w:sz w:val="24"/>
        </w:rPr>
        <w:t xml:space="preserve">Operation and maintenance (O&amp;M) costs are those costs associated with a paperwork requirement incurred continually over the life of the ICR. They are defined by the Paperwork Reduction Act of 1995 as the recurring dollar amount of costs associated with O&amp;M or purchasing services.  This ICR includes </w:t>
      </w:r>
      <w:r w:rsidR="003C2DB4" w:rsidRPr="00247F63">
        <w:rPr>
          <w:sz w:val="24"/>
        </w:rPr>
        <w:t>postage</w:t>
      </w:r>
      <w:r w:rsidR="00D37EFC">
        <w:rPr>
          <w:sz w:val="24"/>
        </w:rPr>
        <w:t xml:space="preserve"> </w:t>
      </w:r>
      <w:r w:rsidR="00D77F3A">
        <w:rPr>
          <w:sz w:val="24"/>
        </w:rPr>
        <w:t xml:space="preserve">costs </w:t>
      </w:r>
      <w:r w:rsidR="00D37EFC">
        <w:rPr>
          <w:sz w:val="24"/>
        </w:rPr>
        <w:t>for generators and Class VI UIC well owner/operators to mail the certification to EPA or the state</w:t>
      </w:r>
      <w:r w:rsidR="003C2DB4" w:rsidRPr="00247F63">
        <w:rPr>
          <w:sz w:val="24"/>
        </w:rPr>
        <w:t xml:space="preserve"> (i.e., $0.44</w:t>
      </w:r>
      <w:r w:rsidRPr="00247F63">
        <w:rPr>
          <w:sz w:val="24"/>
        </w:rPr>
        <w:t xml:space="preserve">/letter).  There </w:t>
      </w:r>
      <w:r w:rsidR="00D0027E">
        <w:rPr>
          <w:sz w:val="24"/>
        </w:rPr>
        <w:t>are</w:t>
      </w:r>
      <w:r w:rsidRPr="00247F63">
        <w:rPr>
          <w:sz w:val="24"/>
        </w:rPr>
        <w:t xml:space="preserve"> no</w:t>
      </w:r>
      <w:r w:rsidR="003C2DB4" w:rsidRPr="00247F63">
        <w:rPr>
          <w:sz w:val="24"/>
        </w:rPr>
        <w:t xml:space="preserve"> </w:t>
      </w:r>
      <w:r w:rsidRPr="00247F63">
        <w:rPr>
          <w:sz w:val="24"/>
        </w:rPr>
        <w:t>cap</w:t>
      </w:r>
      <w:r w:rsidR="003C2DB4" w:rsidRPr="00247F63">
        <w:rPr>
          <w:sz w:val="24"/>
        </w:rPr>
        <w:t>ital cost</w:t>
      </w:r>
      <w:r w:rsidR="00C0304D">
        <w:rPr>
          <w:sz w:val="24"/>
        </w:rPr>
        <w:t>s</w:t>
      </w:r>
      <w:r w:rsidR="003C2DB4" w:rsidRPr="00247F63">
        <w:rPr>
          <w:sz w:val="24"/>
        </w:rPr>
        <w:t xml:space="preserve"> associated with the information collections</w:t>
      </w:r>
      <w:r w:rsidRPr="00247F63">
        <w:rPr>
          <w:sz w:val="24"/>
        </w:rPr>
        <w:t>.</w:t>
      </w:r>
    </w:p>
    <w:p w:rsidR="00C93DD8" w:rsidRDefault="00C93DD8" w:rsidP="00AD7020">
      <w:pPr>
        <w:pStyle w:val="Heading2"/>
        <w:keepLines/>
        <w:ind w:firstLine="720"/>
      </w:pPr>
      <w:bookmarkStart w:id="77" w:name="_Toc268614924"/>
      <w:bookmarkStart w:id="78" w:name="_Toc268879674"/>
      <w:bookmarkStart w:id="79" w:name="_Toc268879885"/>
      <w:r>
        <w:lastRenderedPageBreak/>
        <w:t>6(c)</w:t>
      </w:r>
      <w:r>
        <w:tab/>
        <w:t>Estimating Agency Hours and Costs</w:t>
      </w:r>
      <w:bookmarkEnd w:id="77"/>
      <w:bookmarkEnd w:id="78"/>
      <w:bookmarkEnd w:id="79"/>
      <w:r w:rsidR="00F10061">
        <w:fldChar w:fldCharType="begin"/>
      </w:r>
      <w:r>
        <w:instrText>tc \l2 "6(c)</w:instrText>
      </w:r>
      <w:r>
        <w:tab/>
        <w:instrText>Estimating Agency Hours and Costs</w:instrText>
      </w:r>
      <w:r w:rsidR="00F10061">
        <w:fldChar w:fldCharType="end"/>
      </w:r>
    </w:p>
    <w:p w:rsidR="002A4E05" w:rsidRDefault="002A4E05" w:rsidP="00AD702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3DD8" w:rsidRDefault="00C93DD8" w:rsidP="00AD702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7D5C17">
        <w:rPr>
          <w:sz w:val="24"/>
        </w:rPr>
        <w:t>EPA estimates an average loaded hourly labor rate of $7</w:t>
      </w:r>
      <w:r w:rsidR="009E1922" w:rsidRPr="007D5C17">
        <w:rPr>
          <w:sz w:val="24"/>
        </w:rPr>
        <w:t>6</w:t>
      </w:r>
      <w:r w:rsidRPr="007D5C17">
        <w:rPr>
          <w:sz w:val="24"/>
        </w:rPr>
        <w:t>.</w:t>
      </w:r>
      <w:r w:rsidR="009E1922" w:rsidRPr="007D5C17">
        <w:rPr>
          <w:sz w:val="24"/>
        </w:rPr>
        <w:t>38 for legal staff, $71.42</w:t>
      </w:r>
      <w:r w:rsidRPr="007D5C17">
        <w:rPr>
          <w:sz w:val="24"/>
        </w:rPr>
        <w:t xml:space="preserve"> for manage</w:t>
      </w:r>
      <w:r w:rsidR="00630D2A">
        <w:rPr>
          <w:sz w:val="24"/>
        </w:rPr>
        <w:t>ment</w:t>
      </w:r>
      <w:r w:rsidRPr="007D5C17">
        <w:rPr>
          <w:sz w:val="24"/>
        </w:rPr>
        <w:t>, $</w:t>
      </w:r>
      <w:r w:rsidR="009E1922" w:rsidRPr="007D5C17">
        <w:rPr>
          <w:sz w:val="24"/>
        </w:rPr>
        <w:t>52.37</w:t>
      </w:r>
      <w:r w:rsidRPr="007D5C17">
        <w:rPr>
          <w:sz w:val="24"/>
        </w:rPr>
        <w:t xml:space="preserve"> for technical staff, and $</w:t>
      </w:r>
      <w:r w:rsidR="009E1922" w:rsidRPr="007D5C17">
        <w:rPr>
          <w:sz w:val="24"/>
        </w:rPr>
        <w:t>21.02</w:t>
      </w:r>
      <w:r w:rsidRPr="007D5C17">
        <w:rPr>
          <w:sz w:val="24"/>
        </w:rPr>
        <w:t xml:space="preserve"> for clerical staff.  </w:t>
      </w:r>
      <w:r w:rsidR="009E1922" w:rsidRPr="007D5C17">
        <w:rPr>
          <w:sz w:val="24"/>
        </w:rPr>
        <w:t xml:space="preserve">To derive these rates, EPA obtained unloaded </w:t>
      </w:r>
      <w:r w:rsidR="009B1307" w:rsidRPr="007D5C17">
        <w:rPr>
          <w:sz w:val="24"/>
        </w:rPr>
        <w:t xml:space="preserve">federal government </w:t>
      </w:r>
      <w:r w:rsidR="009E1922" w:rsidRPr="007D5C17">
        <w:rPr>
          <w:sz w:val="24"/>
        </w:rPr>
        <w:t>hourly rates from the 2010 GS pay schedule available from the Office of Personnel Management.</w:t>
      </w:r>
      <w:r w:rsidR="009B1307" w:rsidRPr="007D5C17">
        <w:rPr>
          <w:rStyle w:val="FootnoteReference"/>
          <w:sz w:val="24"/>
          <w:vertAlign w:val="superscript"/>
        </w:rPr>
        <w:footnoteReference w:id="5"/>
      </w:r>
      <w:r w:rsidR="009B1307" w:rsidRPr="007D5C17">
        <w:rPr>
          <w:sz w:val="24"/>
          <w:vertAlign w:val="superscript"/>
        </w:rPr>
        <w:t xml:space="preserve"> </w:t>
      </w:r>
      <w:r w:rsidR="009B1307" w:rsidRPr="007D5C17">
        <w:rPr>
          <w:sz w:val="24"/>
        </w:rPr>
        <w:t xml:space="preserve"> </w:t>
      </w:r>
      <w:r w:rsidRPr="007D5C17">
        <w:rPr>
          <w:sz w:val="24"/>
        </w:rPr>
        <w:t>The labor rates are based on the following GS levels and steps: legal labor rates were based on GS Level 15, Step 1, managerial labor rates were based on GS Level 14, Step 4, technical labor rates were based on GS Level 12, Step 5, and clerical labor rates were b</w:t>
      </w:r>
      <w:r w:rsidR="009B1307" w:rsidRPr="007D5C17">
        <w:rPr>
          <w:sz w:val="24"/>
        </w:rPr>
        <w:t xml:space="preserve">ased on GS Level 5, Step 1.  </w:t>
      </w:r>
      <w:r w:rsidR="00BE1533">
        <w:rPr>
          <w:sz w:val="24"/>
        </w:rPr>
        <w:t>We</w:t>
      </w:r>
      <w:r w:rsidR="008E43B9">
        <w:rPr>
          <w:sz w:val="24"/>
        </w:rPr>
        <w:t xml:space="preserve"> then</w:t>
      </w:r>
      <w:r w:rsidRPr="007D5C17">
        <w:rPr>
          <w:sz w:val="24"/>
        </w:rPr>
        <w:t xml:space="preserve"> multiplied the</w:t>
      </w:r>
      <w:r w:rsidR="009B1307" w:rsidRPr="007D5C17">
        <w:rPr>
          <w:sz w:val="24"/>
        </w:rPr>
        <w:t xml:space="preserve"> unloaded rates by the</w:t>
      </w:r>
      <w:r w:rsidRPr="007D5C17">
        <w:rPr>
          <w:sz w:val="24"/>
        </w:rPr>
        <w:t xml:space="preserve"> standard gov</w:t>
      </w:r>
      <w:r w:rsidR="009B1307" w:rsidRPr="007D5C17">
        <w:rPr>
          <w:sz w:val="24"/>
        </w:rPr>
        <w:t>ernment loading</w:t>
      </w:r>
      <w:r w:rsidRPr="007D5C17">
        <w:rPr>
          <w:sz w:val="24"/>
        </w:rPr>
        <w:t xml:space="preserve"> factor of 1.6</w:t>
      </w:r>
      <w:r w:rsidR="009B1307" w:rsidRPr="007D5C17">
        <w:rPr>
          <w:sz w:val="24"/>
        </w:rPr>
        <w:t xml:space="preserve"> to reflect overhead (loading factor recommended in EPA’s ICR Handbook)</w:t>
      </w:r>
      <w:r w:rsidRPr="007D5C17">
        <w:rPr>
          <w:sz w:val="24"/>
        </w:rPr>
        <w:t>.</w:t>
      </w:r>
      <w:r>
        <w:rPr>
          <w:sz w:val="24"/>
        </w:rPr>
        <w:t xml:space="preserve"> </w:t>
      </w:r>
    </w:p>
    <w:p w:rsidR="00C93DD8" w:rsidRDefault="00C93DD8" w:rsidP="00C240BE">
      <w:pPr>
        <w:pStyle w:val="Heading2"/>
        <w:ind w:firstLine="720"/>
      </w:pPr>
      <w:bookmarkStart w:id="80" w:name="_Toc268614925"/>
      <w:bookmarkStart w:id="81" w:name="_Toc268879675"/>
      <w:bookmarkStart w:id="82" w:name="_Toc268879886"/>
      <w:r>
        <w:t>6(d)</w:t>
      </w:r>
      <w:r>
        <w:tab/>
        <w:t>Estimating the Respondent Universe</w:t>
      </w:r>
      <w:bookmarkEnd w:id="80"/>
      <w:bookmarkEnd w:id="81"/>
      <w:bookmarkEnd w:id="82"/>
      <w:r w:rsidR="00F10061">
        <w:fldChar w:fldCharType="begin"/>
      </w:r>
      <w:r>
        <w:instrText>tc \l2 "</w:instrText>
      </w:r>
      <w:r>
        <w:tab/>
        <w:instrText>6(d)</w:instrText>
      </w:r>
      <w:r>
        <w:tab/>
        <w:instrText>Estimating the Respondent Universe</w:instrText>
      </w:r>
      <w:r w:rsidR="00F10061">
        <w:fldChar w:fldCharType="end"/>
      </w:r>
    </w:p>
    <w:p w:rsidR="009323A8" w:rsidRDefault="009323A8" w:rsidP="003E7D0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56288C" w:rsidRPr="00F80900" w:rsidRDefault="004D7FBB" w:rsidP="003E7D0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sz w:val="24"/>
        </w:rPr>
        <w:tab/>
      </w:r>
      <w:r w:rsidR="0056288C" w:rsidRPr="00F80900">
        <w:rPr>
          <w:sz w:val="24"/>
        </w:rPr>
        <w:t xml:space="preserve">In this section, </w:t>
      </w:r>
      <w:r w:rsidR="009323A8">
        <w:rPr>
          <w:sz w:val="24"/>
        </w:rPr>
        <w:t>we</w:t>
      </w:r>
      <w:r w:rsidR="0056288C" w:rsidRPr="00F80900">
        <w:rPr>
          <w:sz w:val="24"/>
        </w:rPr>
        <w:t xml:space="preserve"> estimate the </w:t>
      </w:r>
      <w:r w:rsidR="009C20DC">
        <w:rPr>
          <w:sz w:val="24"/>
        </w:rPr>
        <w:t xml:space="preserve">impacted universe and the </w:t>
      </w:r>
      <w:r w:rsidR="0056288C" w:rsidRPr="00F80900">
        <w:rPr>
          <w:sz w:val="24"/>
        </w:rPr>
        <w:t>annual burden to respondents under the rule’s pa</w:t>
      </w:r>
      <w:r w:rsidR="00B402BF">
        <w:rPr>
          <w:sz w:val="24"/>
        </w:rPr>
        <w:t xml:space="preserve">perwork requirements.  </w:t>
      </w:r>
      <w:r w:rsidR="009323A8">
        <w:rPr>
          <w:sz w:val="24"/>
        </w:rPr>
        <w:t>We</w:t>
      </w:r>
      <w:r w:rsidR="0056288C" w:rsidRPr="00F80900">
        <w:rPr>
          <w:sz w:val="24"/>
        </w:rPr>
        <w:t xml:space="preserve"> </w:t>
      </w:r>
      <w:r w:rsidR="00B402BF">
        <w:rPr>
          <w:sz w:val="24"/>
        </w:rPr>
        <w:t xml:space="preserve">then </w:t>
      </w:r>
      <w:r w:rsidR="0056288C" w:rsidRPr="00F80900">
        <w:rPr>
          <w:sz w:val="24"/>
        </w:rPr>
        <w:t>estimate the burden impact</w:t>
      </w:r>
      <w:r w:rsidR="00B402BF">
        <w:rPr>
          <w:sz w:val="24"/>
        </w:rPr>
        <w:t xml:space="preserve"> (i.e., savings)</w:t>
      </w:r>
      <w:r w:rsidR="0056288C" w:rsidRPr="00F80900">
        <w:rPr>
          <w:sz w:val="24"/>
        </w:rPr>
        <w:t xml:space="preserve"> to respondents </w:t>
      </w:r>
      <w:r w:rsidR="006104D4">
        <w:rPr>
          <w:sz w:val="24"/>
        </w:rPr>
        <w:t xml:space="preserve">for no longer complying with </w:t>
      </w:r>
      <w:r w:rsidR="00F50A8F">
        <w:rPr>
          <w:sz w:val="24"/>
        </w:rPr>
        <w:t xml:space="preserve">the existing RCRA </w:t>
      </w:r>
      <w:r w:rsidR="0056288C" w:rsidRPr="00F80900">
        <w:rPr>
          <w:sz w:val="24"/>
        </w:rPr>
        <w:t>paperwork standards</w:t>
      </w:r>
      <w:r w:rsidR="006104D4">
        <w:rPr>
          <w:sz w:val="24"/>
        </w:rPr>
        <w:t xml:space="preserve"> for ex</w:t>
      </w:r>
      <w:r w:rsidR="009323A8">
        <w:rPr>
          <w:sz w:val="24"/>
        </w:rPr>
        <w:t>cluded</w:t>
      </w:r>
      <w:r w:rsidR="006104D4">
        <w:rPr>
          <w:sz w:val="24"/>
        </w:rPr>
        <w:t xml:space="preserve"> CO</w:t>
      </w:r>
      <w:r w:rsidR="006104D4" w:rsidRPr="00DE053A">
        <w:rPr>
          <w:sz w:val="24"/>
          <w:vertAlign w:val="subscript"/>
        </w:rPr>
        <w:t>2</w:t>
      </w:r>
      <w:r w:rsidR="006104D4">
        <w:rPr>
          <w:sz w:val="24"/>
        </w:rPr>
        <w:t xml:space="preserve"> streams</w:t>
      </w:r>
      <w:r w:rsidR="0056288C" w:rsidRPr="00F80900">
        <w:rPr>
          <w:sz w:val="24"/>
        </w:rPr>
        <w:t xml:space="preserve">.  </w:t>
      </w:r>
      <w:r w:rsidR="001D1D36">
        <w:rPr>
          <w:sz w:val="24"/>
        </w:rPr>
        <w:t xml:space="preserve">Exhibits 1 through 4 </w:t>
      </w:r>
      <w:r w:rsidR="00121619">
        <w:rPr>
          <w:sz w:val="24"/>
        </w:rPr>
        <w:t>calculate respondent burden</w:t>
      </w:r>
      <w:r w:rsidR="001D1D36">
        <w:rPr>
          <w:sz w:val="24"/>
        </w:rPr>
        <w:t>.</w:t>
      </w:r>
    </w:p>
    <w:p w:rsidR="0056288C" w:rsidRDefault="0056288C" w:rsidP="00B0036E">
      <w:pPr>
        <w:widowControl/>
        <w:rPr>
          <w:sz w:val="24"/>
          <w:highlight w:val="yellow"/>
        </w:rPr>
      </w:pPr>
    </w:p>
    <w:p w:rsidR="004D7FBB" w:rsidRDefault="004D7FBB" w:rsidP="00943F9E">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Pr>
          <w:b/>
          <w:sz w:val="24"/>
        </w:rPr>
        <w:t>PAPERWORK REQUIREMENT</w:t>
      </w:r>
      <w:r w:rsidR="00C03246">
        <w:rPr>
          <w:b/>
          <w:sz w:val="24"/>
        </w:rPr>
        <w:t>S</w:t>
      </w:r>
      <w:r w:rsidR="005B35EB">
        <w:rPr>
          <w:b/>
          <w:sz w:val="24"/>
        </w:rPr>
        <w:tab/>
      </w:r>
    </w:p>
    <w:p w:rsidR="004D7FBB" w:rsidRDefault="004D7FBB" w:rsidP="00943F9E">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89376B" w:rsidRPr="0089376B" w:rsidRDefault="00E91938" w:rsidP="00943F9E">
      <w:pPr>
        <w:keepNext/>
        <w:keepLines/>
        <w:widowControl/>
        <w:ind w:firstLine="720"/>
        <w:rPr>
          <w:b/>
          <w:sz w:val="24"/>
        </w:rPr>
      </w:pPr>
      <w:r>
        <w:rPr>
          <w:b/>
          <w:sz w:val="24"/>
        </w:rPr>
        <w:t>(1)</w:t>
      </w:r>
      <w:r>
        <w:rPr>
          <w:b/>
          <w:sz w:val="24"/>
        </w:rPr>
        <w:tab/>
      </w:r>
      <w:r w:rsidR="0089376B" w:rsidRPr="0089376B">
        <w:rPr>
          <w:b/>
          <w:sz w:val="24"/>
        </w:rPr>
        <w:t>Private Sector Organizations</w:t>
      </w:r>
    </w:p>
    <w:p w:rsidR="0089376B" w:rsidRDefault="0089376B" w:rsidP="00943F9E">
      <w:pPr>
        <w:keepNext/>
        <w:keepLines/>
        <w:widowControl/>
        <w:ind w:firstLine="720"/>
        <w:rPr>
          <w:sz w:val="24"/>
        </w:rPr>
      </w:pPr>
    </w:p>
    <w:p w:rsidR="00F71E4C" w:rsidRDefault="001907B8" w:rsidP="00F71E4C">
      <w:pPr>
        <w:ind w:firstLine="720"/>
        <w:rPr>
          <w:sz w:val="24"/>
        </w:rPr>
      </w:pPr>
      <w:r w:rsidRPr="001907B8">
        <w:rPr>
          <w:sz w:val="24"/>
        </w:rPr>
        <w:t xml:space="preserve">Table 4 presents that annual number of generators and </w:t>
      </w:r>
      <w:r w:rsidR="00F71E4C">
        <w:rPr>
          <w:sz w:val="24"/>
        </w:rPr>
        <w:t>Class VI UIC w</w:t>
      </w:r>
      <w:r w:rsidRPr="001907B8">
        <w:rPr>
          <w:sz w:val="24"/>
        </w:rPr>
        <w:t xml:space="preserve">ell </w:t>
      </w:r>
      <w:r w:rsidR="00F71E4C">
        <w:rPr>
          <w:sz w:val="24"/>
        </w:rPr>
        <w:t>owner/o</w:t>
      </w:r>
      <w:r w:rsidRPr="001907B8">
        <w:rPr>
          <w:sz w:val="24"/>
        </w:rPr>
        <w:t xml:space="preserve">perators that are estimated to claim the </w:t>
      </w:r>
      <w:r w:rsidR="00146ECA">
        <w:rPr>
          <w:sz w:val="24"/>
        </w:rPr>
        <w:t>exclusion</w:t>
      </w:r>
      <w:r w:rsidR="00EF7BAB">
        <w:rPr>
          <w:sz w:val="24"/>
        </w:rPr>
        <w:t xml:space="preserve"> and prepare the certification statement</w:t>
      </w:r>
      <w:r w:rsidRPr="001907B8">
        <w:rPr>
          <w:sz w:val="24"/>
        </w:rPr>
        <w:t xml:space="preserve"> during the three-year period of this ICR.</w:t>
      </w:r>
      <w:r w:rsidRPr="001907B8">
        <w:rPr>
          <w:b/>
          <w:sz w:val="24"/>
        </w:rPr>
        <w:t xml:space="preserve">  </w:t>
      </w:r>
      <w:r w:rsidR="00F71E4C">
        <w:rPr>
          <w:sz w:val="24"/>
        </w:rPr>
        <w:t>These estimates reflect the number of generators and Class VI UIC well owner/operators that are</w:t>
      </w:r>
      <w:r w:rsidRPr="001907B8">
        <w:rPr>
          <w:sz w:val="24"/>
        </w:rPr>
        <w:t xml:space="preserve"> expected to begin capture and sequestration activities </w:t>
      </w:r>
      <w:r w:rsidR="00076C7A">
        <w:rPr>
          <w:sz w:val="24"/>
        </w:rPr>
        <w:t>from 2012 through</w:t>
      </w:r>
      <w:r w:rsidRPr="001907B8">
        <w:rPr>
          <w:sz w:val="24"/>
        </w:rPr>
        <w:t xml:space="preserve"> 2014 as </w:t>
      </w:r>
      <w:r w:rsidR="002D16D2">
        <w:rPr>
          <w:sz w:val="24"/>
        </w:rPr>
        <w:t xml:space="preserve">estimated for the final rule </w:t>
      </w:r>
      <w:r w:rsidRPr="001907B8">
        <w:rPr>
          <w:sz w:val="24"/>
        </w:rPr>
        <w:t>economic assessment.</w:t>
      </w:r>
      <w:r w:rsidR="008D1FEF" w:rsidRPr="008D1FEF">
        <w:rPr>
          <w:rStyle w:val="FootnoteReference"/>
          <w:sz w:val="24"/>
          <w:vertAlign w:val="superscript"/>
        </w:rPr>
        <w:footnoteReference w:id="6"/>
      </w:r>
      <w:r w:rsidRPr="008D1FEF">
        <w:rPr>
          <w:sz w:val="24"/>
          <w:vertAlign w:val="superscript"/>
        </w:rPr>
        <w:t xml:space="preserve"> </w:t>
      </w:r>
      <w:r w:rsidRPr="001907B8">
        <w:rPr>
          <w:sz w:val="24"/>
        </w:rPr>
        <w:t xml:space="preserve"> </w:t>
      </w:r>
    </w:p>
    <w:p w:rsidR="00F71E4C" w:rsidRDefault="00F71E4C" w:rsidP="00F71E4C">
      <w:pPr>
        <w:keepNext/>
        <w:keepLines/>
        <w:widowControl/>
        <w:ind w:firstLine="720"/>
        <w:rPr>
          <w:sz w:val="24"/>
        </w:rPr>
      </w:pPr>
    </w:p>
    <w:p w:rsidR="00012A4F" w:rsidRDefault="00F71E4C" w:rsidP="00F71E4C">
      <w:pPr>
        <w:keepNext/>
        <w:keepLines/>
        <w:widowControl/>
        <w:ind w:firstLine="720"/>
        <w:rPr>
          <w:sz w:val="24"/>
        </w:rPr>
      </w:pPr>
      <w:r w:rsidRPr="00EF7BAB">
        <w:rPr>
          <w:sz w:val="24"/>
        </w:rPr>
        <w:t xml:space="preserve">As shown in the table, EPA estimates that </w:t>
      </w:r>
      <w:r w:rsidR="00306045">
        <w:rPr>
          <w:sz w:val="24"/>
        </w:rPr>
        <w:t>2</w:t>
      </w:r>
      <w:r w:rsidRPr="00EF7BAB">
        <w:rPr>
          <w:sz w:val="24"/>
        </w:rPr>
        <w:t xml:space="preserve"> generators and </w:t>
      </w:r>
      <w:r w:rsidR="00306045">
        <w:rPr>
          <w:sz w:val="24"/>
        </w:rPr>
        <w:t>1</w:t>
      </w:r>
      <w:r w:rsidR="000B2388" w:rsidRPr="00EF7BAB">
        <w:rPr>
          <w:sz w:val="24"/>
        </w:rPr>
        <w:t xml:space="preserve"> </w:t>
      </w:r>
      <w:r w:rsidRPr="00EF7BAB">
        <w:rPr>
          <w:sz w:val="24"/>
        </w:rPr>
        <w:t>Class VI UIC well owner/operator would</w:t>
      </w:r>
      <w:r w:rsidR="00EF7BAB">
        <w:rPr>
          <w:sz w:val="24"/>
        </w:rPr>
        <w:t xml:space="preserve"> prepare the certification statement</w:t>
      </w:r>
      <w:r w:rsidRPr="00EF7BAB">
        <w:rPr>
          <w:sz w:val="24"/>
        </w:rPr>
        <w:t xml:space="preserve"> at 40 CFR 261.4(h) </w:t>
      </w:r>
      <w:r w:rsidR="00306045">
        <w:rPr>
          <w:sz w:val="24"/>
        </w:rPr>
        <w:t xml:space="preserve">on average annually </w:t>
      </w:r>
      <w:r w:rsidRPr="00EF7BAB">
        <w:rPr>
          <w:sz w:val="24"/>
        </w:rPr>
        <w:t xml:space="preserve">during the three-year period of this ICR.  </w:t>
      </w:r>
      <w:r w:rsidR="00030F01">
        <w:rPr>
          <w:sz w:val="24"/>
        </w:rPr>
        <w:t>In total, t</w:t>
      </w:r>
      <w:r w:rsidRPr="00EF7BAB">
        <w:rPr>
          <w:sz w:val="24"/>
        </w:rPr>
        <w:t xml:space="preserve">his equates </w:t>
      </w:r>
      <w:r w:rsidR="00030F01">
        <w:rPr>
          <w:sz w:val="24"/>
        </w:rPr>
        <w:t xml:space="preserve">to </w:t>
      </w:r>
      <w:r w:rsidR="00012A4F">
        <w:rPr>
          <w:sz w:val="24"/>
        </w:rPr>
        <w:t>3 respondents on average annually.</w:t>
      </w:r>
    </w:p>
    <w:p w:rsidR="00F71E4C" w:rsidRDefault="00012A4F" w:rsidP="00012A4F">
      <w:pPr>
        <w:keepNext/>
        <w:keepLines/>
        <w:widowControl/>
        <w:ind w:firstLine="720"/>
        <w:rPr>
          <w:sz w:val="24"/>
        </w:rPr>
      </w:pPr>
      <w:r>
        <w:rPr>
          <w:sz w:val="24"/>
        </w:rPr>
        <w:t xml:space="preserve"> </w:t>
      </w:r>
    </w:p>
    <w:p w:rsidR="0052035D" w:rsidRDefault="007C5521" w:rsidP="00E01E1E">
      <w:pPr>
        <w:widowControl/>
        <w:ind w:firstLine="720"/>
        <w:rPr>
          <w:sz w:val="24"/>
        </w:rPr>
      </w:pPr>
      <w:r>
        <w:rPr>
          <w:sz w:val="24"/>
        </w:rPr>
        <w:t>For purpose</w:t>
      </w:r>
      <w:r w:rsidR="00A5779C">
        <w:rPr>
          <w:sz w:val="24"/>
        </w:rPr>
        <w:t>s</w:t>
      </w:r>
      <w:r>
        <w:rPr>
          <w:sz w:val="24"/>
        </w:rPr>
        <w:t xml:space="preserve"> of this ICR, </w:t>
      </w:r>
      <w:r w:rsidR="00624EB7">
        <w:rPr>
          <w:sz w:val="24"/>
        </w:rPr>
        <w:t>EPA expects that legal, manage</w:t>
      </w:r>
      <w:r>
        <w:rPr>
          <w:sz w:val="24"/>
        </w:rPr>
        <w:t>rial, and technical personnel at</w:t>
      </w:r>
      <w:r w:rsidR="00624EB7">
        <w:rPr>
          <w:sz w:val="24"/>
        </w:rPr>
        <w:t xml:space="preserve"> </w:t>
      </w:r>
      <w:r>
        <w:rPr>
          <w:sz w:val="24"/>
        </w:rPr>
        <w:t xml:space="preserve">each </w:t>
      </w:r>
      <w:r w:rsidR="00624EB7">
        <w:rPr>
          <w:sz w:val="24"/>
        </w:rPr>
        <w:t xml:space="preserve">generator </w:t>
      </w:r>
      <w:r w:rsidR="006A6EC6">
        <w:rPr>
          <w:sz w:val="24"/>
        </w:rPr>
        <w:t xml:space="preserve">site </w:t>
      </w:r>
      <w:r w:rsidR="00624EB7">
        <w:rPr>
          <w:sz w:val="24"/>
        </w:rPr>
        <w:t>and UIC well facilit</w:t>
      </w:r>
      <w:r>
        <w:rPr>
          <w:sz w:val="24"/>
        </w:rPr>
        <w:t>y</w:t>
      </w:r>
      <w:r w:rsidR="006A6EC6">
        <w:rPr>
          <w:sz w:val="24"/>
        </w:rPr>
        <w:t xml:space="preserve"> would</w:t>
      </w:r>
      <w:r w:rsidR="00461A8A">
        <w:rPr>
          <w:sz w:val="24"/>
        </w:rPr>
        <w:t xml:space="preserve"> read the regulations</w:t>
      </w:r>
      <w:r w:rsidR="00B862A6">
        <w:rPr>
          <w:sz w:val="24"/>
        </w:rPr>
        <w:t xml:space="preserve"> before claiming the </w:t>
      </w:r>
      <w:r w:rsidR="00146ECA">
        <w:rPr>
          <w:sz w:val="24"/>
        </w:rPr>
        <w:t>exclusion</w:t>
      </w:r>
      <w:r w:rsidR="00B862A6">
        <w:rPr>
          <w:sz w:val="24"/>
        </w:rPr>
        <w:t xml:space="preserve">.  </w:t>
      </w:r>
      <w:r w:rsidR="007541E2">
        <w:rPr>
          <w:sz w:val="24"/>
        </w:rPr>
        <w:t xml:space="preserve">We have applied our </w:t>
      </w:r>
      <w:r w:rsidR="0052035D">
        <w:rPr>
          <w:sz w:val="24"/>
        </w:rPr>
        <w:t xml:space="preserve">best professional judgment to estimate that it would take 45 minutes per </w:t>
      </w:r>
      <w:r w:rsidR="008F1809">
        <w:rPr>
          <w:sz w:val="24"/>
        </w:rPr>
        <w:t>respondent</w:t>
      </w:r>
      <w:r w:rsidR="0052035D">
        <w:rPr>
          <w:sz w:val="24"/>
        </w:rPr>
        <w:t xml:space="preserve"> to read the regulations at section 261.4(h) for purposes of discussing the requirement to prepare the certification statement.  </w:t>
      </w:r>
    </w:p>
    <w:p w:rsidR="0052035D" w:rsidRDefault="0052035D" w:rsidP="00E01E1E">
      <w:pPr>
        <w:widowControl/>
        <w:ind w:firstLine="720"/>
        <w:rPr>
          <w:sz w:val="24"/>
        </w:rPr>
      </w:pPr>
    </w:p>
    <w:p w:rsidR="00624EB7" w:rsidRDefault="0052035D" w:rsidP="00E01E1E">
      <w:pPr>
        <w:widowControl/>
        <w:ind w:firstLine="720"/>
        <w:rPr>
          <w:sz w:val="24"/>
        </w:rPr>
      </w:pPr>
      <w:r>
        <w:rPr>
          <w:sz w:val="24"/>
        </w:rPr>
        <w:t>In addition, EPA believes these personnel</w:t>
      </w:r>
      <w:r w:rsidR="00B862A6">
        <w:rPr>
          <w:sz w:val="24"/>
        </w:rPr>
        <w:t xml:space="preserve"> would </w:t>
      </w:r>
      <w:r w:rsidR="006A6EC6">
        <w:rPr>
          <w:sz w:val="24"/>
        </w:rPr>
        <w:t>review relevant</w:t>
      </w:r>
      <w:r w:rsidR="007C5521">
        <w:rPr>
          <w:sz w:val="24"/>
        </w:rPr>
        <w:t xml:space="preserve"> document</w:t>
      </w:r>
      <w:r w:rsidR="006A6EC6">
        <w:rPr>
          <w:sz w:val="24"/>
        </w:rPr>
        <w:t>ation</w:t>
      </w:r>
      <w:r w:rsidR="007C5521">
        <w:rPr>
          <w:sz w:val="24"/>
        </w:rPr>
        <w:t xml:space="preserve"> and </w:t>
      </w:r>
      <w:r w:rsidR="00624EB7">
        <w:rPr>
          <w:sz w:val="24"/>
        </w:rPr>
        <w:t>discuss</w:t>
      </w:r>
      <w:r w:rsidR="007C5521">
        <w:rPr>
          <w:sz w:val="24"/>
        </w:rPr>
        <w:t xml:space="preserve"> the </w:t>
      </w:r>
      <w:r w:rsidR="00146ECA">
        <w:rPr>
          <w:sz w:val="24"/>
        </w:rPr>
        <w:t>exclusion</w:t>
      </w:r>
      <w:r>
        <w:rPr>
          <w:sz w:val="24"/>
        </w:rPr>
        <w:t>’s paperwork requirements</w:t>
      </w:r>
      <w:r w:rsidR="007C5521">
        <w:rPr>
          <w:sz w:val="24"/>
        </w:rPr>
        <w:t xml:space="preserve">.  </w:t>
      </w:r>
      <w:r w:rsidR="006A6EC6">
        <w:rPr>
          <w:sz w:val="24"/>
        </w:rPr>
        <w:t>A</w:t>
      </w:r>
      <w:r w:rsidR="007C5521">
        <w:rPr>
          <w:sz w:val="24"/>
        </w:rPr>
        <w:t xml:space="preserve"> </w:t>
      </w:r>
      <w:r>
        <w:rPr>
          <w:sz w:val="24"/>
        </w:rPr>
        <w:t xml:space="preserve">clerical person would type up the </w:t>
      </w:r>
      <w:r>
        <w:rPr>
          <w:sz w:val="24"/>
        </w:rPr>
        <w:lastRenderedPageBreak/>
        <w:t xml:space="preserve">certification statement and a </w:t>
      </w:r>
      <w:r w:rsidR="007C5521">
        <w:rPr>
          <w:sz w:val="24"/>
        </w:rPr>
        <w:t xml:space="preserve">manager </w:t>
      </w:r>
      <w:r w:rsidR="006A6EC6">
        <w:rPr>
          <w:sz w:val="24"/>
        </w:rPr>
        <w:t>would</w:t>
      </w:r>
      <w:r w:rsidR="007C5521">
        <w:rPr>
          <w:sz w:val="24"/>
        </w:rPr>
        <w:t xml:space="preserve"> </w:t>
      </w:r>
      <w:r w:rsidR="00E01E1E">
        <w:rPr>
          <w:sz w:val="24"/>
        </w:rPr>
        <w:t>sign and keep it onsite.</w:t>
      </w:r>
      <w:r w:rsidR="007C5521">
        <w:rPr>
          <w:sz w:val="24"/>
        </w:rPr>
        <w:t xml:space="preserve"> </w:t>
      </w:r>
      <w:r>
        <w:rPr>
          <w:sz w:val="24"/>
        </w:rPr>
        <w:t xml:space="preserve"> </w:t>
      </w:r>
      <w:r w:rsidR="007541E2">
        <w:rPr>
          <w:sz w:val="24"/>
        </w:rPr>
        <w:t xml:space="preserve">Again, we have </w:t>
      </w:r>
      <w:r>
        <w:rPr>
          <w:sz w:val="24"/>
        </w:rPr>
        <w:t xml:space="preserve">used best professional judgment to estimate that these activities would take 4 hours per </w:t>
      </w:r>
      <w:r w:rsidR="008F1809">
        <w:rPr>
          <w:sz w:val="24"/>
        </w:rPr>
        <w:t>respondent</w:t>
      </w:r>
      <w:r>
        <w:rPr>
          <w:sz w:val="24"/>
        </w:rPr>
        <w:t>.</w:t>
      </w:r>
    </w:p>
    <w:p w:rsidR="003C6349" w:rsidRDefault="003C6349" w:rsidP="003C6349">
      <w:pPr>
        <w:widowControl/>
        <w:ind w:firstLine="720"/>
        <w:rPr>
          <w:sz w:val="24"/>
        </w:rPr>
      </w:pPr>
    </w:p>
    <w:p w:rsidR="00CE6509" w:rsidRDefault="00CE6509" w:rsidP="004E7F0C">
      <w:pPr>
        <w:keepNext/>
        <w:keepLines/>
        <w:widowControl/>
        <w:ind w:firstLine="720"/>
        <w:jc w:val="center"/>
        <w:rPr>
          <w:b/>
          <w:sz w:val="22"/>
          <w:szCs w:val="22"/>
        </w:rPr>
      </w:pPr>
      <w:r w:rsidRPr="00CE6509">
        <w:rPr>
          <w:b/>
          <w:sz w:val="22"/>
          <w:szCs w:val="22"/>
        </w:rPr>
        <w:t xml:space="preserve">Table 4.  Annual Number of Generators and Class VI UIC Well Owner/Operators </w:t>
      </w:r>
    </w:p>
    <w:p w:rsidR="00115198" w:rsidRDefault="00CE6509" w:rsidP="004E7F0C">
      <w:pPr>
        <w:keepNext/>
        <w:keepLines/>
        <w:widowControl/>
        <w:ind w:firstLine="720"/>
        <w:jc w:val="center"/>
        <w:rPr>
          <w:b/>
          <w:sz w:val="22"/>
          <w:szCs w:val="22"/>
        </w:rPr>
      </w:pPr>
      <w:r w:rsidRPr="00CE6509">
        <w:rPr>
          <w:b/>
          <w:sz w:val="22"/>
          <w:szCs w:val="22"/>
        </w:rPr>
        <w:t xml:space="preserve">Claiming the </w:t>
      </w:r>
      <w:r w:rsidR="00146ECA">
        <w:rPr>
          <w:b/>
          <w:sz w:val="22"/>
          <w:szCs w:val="22"/>
        </w:rPr>
        <w:t>Exclusion</w:t>
      </w:r>
      <w:r w:rsidR="00142BD7">
        <w:rPr>
          <w:b/>
          <w:sz w:val="22"/>
          <w:szCs w:val="22"/>
        </w:rPr>
        <w:t xml:space="preserve"> During Three-Year Period of ICR</w:t>
      </w:r>
      <w:r w:rsidR="00A80908" w:rsidRPr="00A80908">
        <w:rPr>
          <w:b/>
          <w:sz w:val="22"/>
          <w:szCs w:val="22"/>
          <w:vertAlign w:val="superscript"/>
        </w:rPr>
        <w:t>a</w:t>
      </w:r>
      <w:r w:rsidR="00A37AE3">
        <w:rPr>
          <w:b/>
          <w:sz w:val="22"/>
          <w:szCs w:val="22"/>
          <w:vertAlign w:val="superscript"/>
        </w:rPr>
        <w:t xml:space="preserve"> </w:t>
      </w:r>
    </w:p>
    <w:tbl>
      <w:tblPr>
        <w:tblW w:w="8478" w:type="dxa"/>
        <w:jc w:val="center"/>
        <w:tblLook w:val="04A0"/>
      </w:tblPr>
      <w:tblGrid>
        <w:gridCol w:w="2620"/>
        <w:gridCol w:w="960"/>
        <w:gridCol w:w="1360"/>
        <w:gridCol w:w="1380"/>
        <w:gridCol w:w="979"/>
        <w:gridCol w:w="1179"/>
      </w:tblGrid>
      <w:tr w:rsidR="00115198" w:rsidRPr="00115198" w:rsidTr="00912A15">
        <w:trPr>
          <w:trHeight w:val="240"/>
          <w:tblHeader/>
          <w:jc w:val="center"/>
        </w:trPr>
        <w:tc>
          <w:tcPr>
            <w:tcW w:w="26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115198" w:rsidRPr="00115198" w:rsidRDefault="00115198" w:rsidP="004E7F0C">
            <w:pPr>
              <w:keepNext/>
              <w:keepLines/>
              <w:widowControl/>
              <w:autoSpaceDE/>
              <w:autoSpaceDN/>
              <w:adjustRightInd/>
              <w:jc w:val="center"/>
              <w:rPr>
                <w:b/>
                <w:bCs/>
                <w:sz w:val="22"/>
                <w:szCs w:val="22"/>
              </w:rPr>
            </w:pPr>
            <w:r w:rsidRPr="00115198">
              <w:rPr>
                <w:b/>
                <w:bCs/>
                <w:sz w:val="22"/>
                <w:szCs w:val="22"/>
              </w:rPr>
              <w:t>Facility Type</w:t>
            </w:r>
          </w:p>
        </w:tc>
        <w:tc>
          <w:tcPr>
            <w:tcW w:w="3700" w:type="dxa"/>
            <w:gridSpan w:val="3"/>
            <w:tcBorders>
              <w:top w:val="single" w:sz="4" w:space="0" w:color="auto"/>
              <w:left w:val="nil"/>
              <w:bottom w:val="single" w:sz="4" w:space="0" w:color="auto"/>
              <w:right w:val="single" w:sz="4" w:space="0" w:color="auto"/>
            </w:tcBorders>
            <w:shd w:val="clear" w:color="auto" w:fill="auto"/>
            <w:noWrap/>
            <w:vAlign w:val="center"/>
          </w:tcPr>
          <w:p w:rsidR="00115198" w:rsidRPr="00115198" w:rsidRDefault="00115198" w:rsidP="004E7F0C">
            <w:pPr>
              <w:keepNext/>
              <w:keepLines/>
              <w:widowControl/>
              <w:autoSpaceDE/>
              <w:autoSpaceDN/>
              <w:adjustRightInd/>
              <w:jc w:val="center"/>
              <w:rPr>
                <w:b/>
                <w:bCs/>
                <w:sz w:val="22"/>
                <w:szCs w:val="22"/>
              </w:rPr>
            </w:pPr>
            <w:r w:rsidRPr="00115198">
              <w:rPr>
                <w:b/>
                <w:bCs/>
                <w:sz w:val="22"/>
                <w:szCs w:val="22"/>
              </w:rPr>
              <w:t>Years</w:t>
            </w:r>
          </w:p>
        </w:tc>
        <w:tc>
          <w:tcPr>
            <w:tcW w:w="97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15198" w:rsidRPr="00115198" w:rsidRDefault="00115198" w:rsidP="004E7F0C">
            <w:pPr>
              <w:keepNext/>
              <w:keepLines/>
              <w:widowControl/>
              <w:autoSpaceDE/>
              <w:autoSpaceDN/>
              <w:adjustRightInd/>
              <w:jc w:val="center"/>
              <w:rPr>
                <w:b/>
                <w:bCs/>
                <w:sz w:val="22"/>
                <w:szCs w:val="22"/>
              </w:rPr>
            </w:pPr>
            <w:r w:rsidRPr="00115198">
              <w:rPr>
                <w:b/>
                <w:bCs/>
                <w:sz w:val="22"/>
                <w:szCs w:val="22"/>
              </w:rPr>
              <w:t>Total</w:t>
            </w:r>
          </w:p>
        </w:tc>
        <w:tc>
          <w:tcPr>
            <w:tcW w:w="117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15198" w:rsidRPr="00115198" w:rsidRDefault="00115198" w:rsidP="00BE1135">
            <w:pPr>
              <w:keepNext/>
              <w:keepLines/>
              <w:widowControl/>
              <w:autoSpaceDE/>
              <w:autoSpaceDN/>
              <w:adjustRightInd/>
              <w:jc w:val="center"/>
              <w:rPr>
                <w:b/>
                <w:bCs/>
                <w:sz w:val="22"/>
                <w:szCs w:val="22"/>
              </w:rPr>
            </w:pPr>
            <w:r w:rsidRPr="00115198">
              <w:rPr>
                <w:b/>
                <w:bCs/>
                <w:sz w:val="22"/>
                <w:szCs w:val="22"/>
              </w:rPr>
              <w:t>Three-Year Average</w:t>
            </w:r>
            <w:r w:rsidR="00912A15">
              <w:rPr>
                <w:b/>
                <w:sz w:val="22"/>
                <w:szCs w:val="22"/>
                <w:vertAlign w:val="superscript"/>
              </w:rPr>
              <w:t>b</w:t>
            </w:r>
          </w:p>
        </w:tc>
      </w:tr>
      <w:tr w:rsidR="00115198" w:rsidRPr="00115198" w:rsidTr="00912A15">
        <w:trPr>
          <w:trHeight w:val="480"/>
          <w:tblHeader/>
          <w:jc w:val="center"/>
        </w:trPr>
        <w:tc>
          <w:tcPr>
            <w:tcW w:w="2620" w:type="dxa"/>
            <w:vMerge/>
            <w:tcBorders>
              <w:top w:val="single" w:sz="4" w:space="0" w:color="auto"/>
              <w:left w:val="single" w:sz="4" w:space="0" w:color="auto"/>
              <w:bottom w:val="single" w:sz="4" w:space="0" w:color="000000"/>
              <w:right w:val="single" w:sz="4" w:space="0" w:color="auto"/>
            </w:tcBorders>
            <w:vAlign w:val="center"/>
          </w:tcPr>
          <w:p w:rsidR="00115198" w:rsidRPr="00115198" w:rsidRDefault="00115198" w:rsidP="00115198">
            <w:pPr>
              <w:widowControl/>
              <w:autoSpaceDE/>
              <w:autoSpaceDN/>
              <w:adjustRightInd/>
              <w:rPr>
                <w:b/>
                <w:bCs/>
                <w:sz w:val="22"/>
                <w:szCs w:val="22"/>
              </w:rPr>
            </w:pPr>
          </w:p>
        </w:tc>
        <w:tc>
          <w:tcPr>
            <w:tcW w:w="960" w:type="dxa"/>
            <w:tcBorders>
              <w:top w:val="nil"/>
              <w:left w:val="nil"/>
              <w:bottom w:val="single" w:sz="4" w:space="0" w:color="auto"/>
              <w:right w:val="single" w:sz="4" w:space="0" w:color="auto"/>
            </w:tcBorders>
            <w:shd w:val="clear" w:color="auto" w:fill="auto"/>
            <w:vAlign w:val="center"/>
          </w:tcPr>
          <w:p w:rsidR="00115198" w:rsidRPr="00115198" w:rsidRDefault="00115198" w:rsidP="00115198">
            <w:pPr>
              <w:widowControl/>
              <w:autoSpaceDE/>
              <w:autoSpaceDN/>
              <w:adjustRightInd/>
              <w:jc w:val="center"/>
              <w:rPr>
                <w:b/>
                <w:bCs/>
                <w:sz w:val="22"/>
                <w:szCs w:val="22"/>
              </w:rPr>
            </w:pPr>
            <w:r w:rsidRPr="00115198">
              <w:rPr>
                <w:b/>
                <w:bCs/>
                <w:sz w:val="22"/>
                <w:szCs w:val="22"/>
              </w:rPr>
              <w:t>1</w:t>
            </w:r>
          </w:p>
        </w:tc>
        <w:tc>
          <w:tcPr>
            <w:tcW w:w="1360" w:type="dxa"/>
            <w:tcBorders>
              <w:top w:val="nil"/>
              <w:left w:val="nil"/>
              <w:bottom w:val="single" w:sz="4" w:space="0" w:color="auto"/>
              <w:right w:val="single" w:sz="4" w:space="0" w:color="auto"/>
            </w:tcBorders>
            <w:shd w:val="clear" w:color="auto" w:fill="auto"/>
            <w:vAlign w:val="center"/>
          </w:tcPr>
          <w:p w:rsidR="00115198" w:rsidRPr="00115198" w:rsidRDefault="00115198" w:rsidP="00115198">
            <w:pPr>
              <w:widowControl/>
              <w:autoSpaceDE/>
              <w:autoSpaceDN/>
              <w:adjustRightInd/>
              <w:jc w:val="center"/>
              <w:rPr>
                <w:b/>
                <w:bCs/>
                <w:sz w:val="22"/>
                <w:szCs w:val="22"/>
              </w:rPr>
            </w:pPr>
            <w:r w:rsidRPr="00115198">
              <w:rPr>
                <w:b/>
                <w:bCs/>
                <w:sz w:val="22"/>
                <w:szCs w:val="22"/>
              </w:rPr>
              <w:t>2</w:t>
            </w:r>
          </w:p>
        </w:tc>
        <w:tc>
          <w:tcPr>
            <w:tcW w:w="1380" w:type="dxa"/>
            <w:tcBorders>
              <w:top w:val="nil"/>
              <w:left w:val="nil"/>
              <w:bottom w:val="single" w:sz="4" w:space="0" w:color="auto"/>
              <w:right w:val="single" w:sz="4" w:space="0" w:color="auto"/>
            </w:tcBorders>
            <w:shd w:val="clear" w:color="auto" w:fill="auto"/>
            <w:vAlign w:val="center"/>
          </w:tcPr>
          <w:p w:rsidR="00115198" w:rsidRPr="00115198" w:rsidRDefault="00115198" w:rsidP="00115198">
            <w:pPr>
              <w:widowControl/>
              <w:autoSpaceDE/>
              <w:autoSpaceDN/>
              <w:adjustRightInd/>
              <w:jc w:val="center"/>
              <w:rPr>
                <w:b/>
                <w:bCs/>
                <w:sz w:val="22"/>
                <w:szCs w:val="22"/>
              </w:rPr>
            </w:pPr>
            <w:r w:rsidRPr="00115198">
              <w:rPr>
                <w:b/>
                <w:bCs/>
                <w:sz w:val="22"/>
                <w:szCs w:val="22"/>
              </w:rPr>
              <w:t>3</w:t>
            </w:r>
          </w:p>
        </w:tc>
        <w:tc>
          <w:tcPr>
            <w:tcW w:w="979" w:type="dxa"/>
            <w:vMerge/>
            <w:tcBorders>
              <w:top w:val="single" w:sz="4" w:space="0" w:color="auto"/>
              <w:left w:val="single" w:sz="4" w:space="0" w:color="auto"/>
              <w:bottom w:val="single" w:sz="4" w:space="0" w:color="000000"/>
              <w:right w:val="single" w:sz="4" w:space="0" w:color="auto"/>
            </w:tcBorders>
            <w:vAlign w:val="center"/>
          </w:tcPr>
          <w:p w:rsidR="00115198" w:rsidRPr="00115198" w:rsidRDefault="00115198" w:rsidP="00115198">
            <w:pPr>
              <w:widowControl/>
              <w:autoSpaceDE/>
              <w:autoSpaceDN/>
              <w:adjustRightInd/>
              <w:rPr>
                <w:b/>
                <w:bCs/>
                <w:sz w:val="22"/>
                <w:szCs w:val="22"/>
              </w:rPr>
            </w:pPr>
          </w:p>
        </w:tc>
        <w:tc>
          <w:tcPr>
            <w:tcW w:w="1179" w:type="dxa"/>
            <w:vMerge/>
            <w:tcBorders>
              <w:top w:val="single" w:sz="4" w:space="0" w:color="auto"/>
              <w:left w:val="single" w:sz="4" w:space="0" w:color="auto"/>
              <w:bottom w:val="single" w:sz="4" w:space="0" w:color="000000"/>
              <w:right w:val="single" w:sz="4" w:space="0" w:color="auto"/>
            </w:tcBorders>
            <w:vAlign w:val="center"/>
          </w:tcPr>
          <w:p w:rsidR="00115198" w:rsidRPr="00115198" w:rsidRDefault="00115198" w:rsidP="00115198">
            <w:pPr>
              <w:widowControl/>
              <w:autoSpaceDE/>
              <w:autoSpaceDN/>
              <w:adjustRightInd/>
              <w:rPr>
                <w:b/>
                <w:bCs/>
                <w:sz w:val="22"/>
                <w:szCs w:val="22"/>
              </w:rPr>
            </w:pPr>
          </w:p>
        </w:tc>
      </w:tr>
      <w:tr w:rsidR="00115198" w:rsidRPr="00115198" w:rsidTr="00115198">
        <w:trPr>
          <w:trHeight w:val="255"/>
          <w:jc w:val="center"/>
        </w:trPr>
        <w:tc>
          <w:tcPr>
            <w:tcW w:w="847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115198" w:rsidRPr="00115198" w:rsidRDefault="006D4F86" w:rsidP="00F84873">
            <w:pPr>
              <w:widowControl/>
              <w:autoSpaceDE/>
              <w:autoSpaceDN/>
              <w:adjustRightInd/>
              <w:rPr>
                <w:b/>
                <w:bCs/>
                <w:sz w:val="22"/>
                <w:szCs w:val="22"/>
              </w:rPr>
            </w:pPr>
            <w:r>
              <w:rPr>
                <w:b/>
                <w:bCs/>
                <w:sz w:val="22"/>
                <w:szCs w:val="22"/>
              </w:rPr>
              <w:t xml:space="preserve">Claiming </w:t>
            </w:r>
            <w:r w:rsidR="00146ECA">
              <w:rPr>
                <w:b/>
                <w:bCs/>
                <w:sz w:val="22"/>
                <w:szCs w:val="22"/>
              </w:rPr>
              <w:t>Exclusion</w:t>
            </w:r>
            <w:r w:rsidR="00290091">
              <w:rPr>
                <w:b/>
                <w:bCs/>
                <w:sz w:val="22"/>
                <w:szCs w:val="22"/>
              </w:rPr>
              <w:t>/Preparing Certification</w:t>
            </w:r>
            <w:r>
              <w:rPr>
                <w:b/>
                <w:bCs/>
                <w:sz w:val="22"/>
                <w:szCs w:val="22"/>
              </w:rPr>
              <w:t xml:space="preserve"> </w:t>
            </w:r>
          </w:p>
        </w:tc>
      </w:tr>
      <w:tr w:rsidR="00115198" w:rsidRPr="00115198" w:rsidTr="00912A15">
        <w:trPr>
          <w:trHeight w:val="255"/>
          <w:jc w:val="center"/>
        </w:trPr>
        <w:tc>
          <w:tcPr>
            <w:tcW w:w="2620" w:type="dxa"/>
            <w:tcBorders>
              <w:top w:val="nil"/>
              <w:left w:val="single" w:sz="4" w:space="0" w:color="auto"/>
              <w:bottom w:val="single" w:sz="4" w:space="0" w:color="auto"/>
              <w:right w:val="single" w:sz="4" w:space="0" w:color="auto"/>
            </w:tcBorders>
            <w:shd w:val="clear" w:color="auto" w:fill="auto"/>
            <w:vAlign w:val="bottom"/>
          </w:tcPr>
          <w:p w:rsidR="00115198" w:rsidRPr="00115198" w:rsidRDefault="00115198" w:rsidP="00FE0D2D">
            <w:pPr>
              <w:widowControl/>
              <w:autoSpaceDE/>
              <w:autoSpaceDN/>
              <w:adjustRightInd/>
              <w:rPr>
                <w:sz w:val="22"/>
                <w:szCs w:val="22"/>
              </w:rPr>
            </w:pPr>
            <w:r>
              <w:rPr>
                <w:sz w:val="22"/>
                <w:szCs w:val="22"/>
              </w:rPr>
              <w:t>Generators</w:t>
            </w:r>
          </w:p>
        </w:tc>
        <w:tc>
          <w:tcPr>
            <w:tcW w:w="960" w:type="dxa"/>
            <w:tcBorders>
              <w:top w:val="nil"/>
              <w:left w:val="nil"/>
              <w:bottom w:val="single" w:sz="4" w:space="0" w:color="auto"/>
              <w:right w:val="single" w:sz="4" w:space="0" w:color="auto"/>
            </w:tcBorders>
            <w:shd w:val="clear" w:color="auto" w:fill="auto"/>
            <w:vAlign w:val="center"/>
          </w:tcPr>
          <w:p w:rsidR="00115198" w:rsidRPr="00115198" w:rsidRDefault="00C54ED0" w:rsidP="00C54ED0">
            <w:pPr>
              <w:widowControl/>
              <w:autoSpaceDE/>
              <w:autoSpaceDN/>
              <w:adjustRightInd/>
              <w:jc w:val="center"/>
              <w:rPr>
                <w:sz w:val="22"/>
                <w:szCs w:val="22"/>
              </w:rPr>
            </w:pPr>
            <w:r>
              <w:rPr>
                <w:sz w:val="22"/>
                <w:szCs w:val="22"/>
              </w:rPr>
              <w:t>3</w:t>
            </w:r>
          </w:p>
        </w:tc>
        <w:tc>
          <w:tcPr>
            <w:tcW w:w="1360" w:type="dxa"/>
            <w:tcBorders>
              <w:top w:val="nil"/>
              <w:left w:val="nil"/>
              <w:bottom w:val="single" w:sz="4" w:space="0" w:color="auto"/>
              <w:right w:val="single" w:sz="4" w:space="0" w:color="auto"/>
            </w:tcBorders>
            <w:shd w:val="clear" w:color="auto" w:fill="auto"/>
            <w:vAlign w:val="center"/>
          </w:tcPr>
          <w:p w:rsidR="00115198" w:rsidRPr="00115198" w:rsidRDefault="00F71E4C" w:rsidP="00F71E4C">
            <w:pPr>
              <w:widowControl/>
              <w:autoSpaceDE/>
              <w:autoSpaceDN/>
              <w:adjustRightInd/>
              <w:jc w:val="center"/>
              <w:rPr>
                <w:sz w:val="22"/>
                <w:szCs w:val="22"/>
              </w:rPr>
            </w:pPr>
            <w:r>
              <w:rPr>
                <w:sz w:val="22"/>
                <w:szCs w:val="22"/>
              </w:rPr>
              <w:t>1</w:t>
            </w:r>
          </w:p>
        </w:tc>
        <w:tc>
          <w:tcPr>
            <w:tcW w:w="1380" w:type="dxa"/>
            <w:tcBorders>
              <w:top w:val="nil"/>
              <w:left w:val="nil"/>
              <w:bottom w:val="single" w:sz="4" w:space="0" w:color="auto"/>
              <w:right w:val="single" w:sz="4" w:space="0" w:color="auto"/>
            </w:tcBorders>
            <w:shd w:val="clear" w:color="auto" w:fill="auto"/>
            <w:vAlign w:val="center"/>
          </w:tcPr>
          <w:p w:rsidR="00115198" w:rsidRPr="00115198" w:rsidRDefault="00F71E4C" w:rsidP="00546B49">
            <w:pPr>
              <w:widowControl/>
              <w:autoSpaceDE/>
              <w:autoSpaceDN/>
              <w:adjustRightInd/>
              <w:jc w:val="center"/>
              <w:rPr>
                <w:sz w:val="22"/>
                <w:szCs w:val="22"/>
              </w:rPr>
            </w:pPr>
            <w:r>
              <w:rPr>
                <w:sz w:val="22"/>
                <w:szCs w:val="22"/>
              </w:rPr>
              <w:t>0</w:t>
            </w:r>
          </w:p>
        </w:tc>
        <w:tc>
          <w:tcPr>
            <w:tcW w:w="979" w:type="dxa"/>
            <w:tcBorders>
              <w:top w:val="nil"/>
              <w:left w:val="nil"/>
              <w:bottom w:val="single" w:sz="4" w:space="0" w:color="auto"/>
              <w:right w:val="single" w:sz="4" w:space="0" w:color="auto"/>
            </w:tcBorders>
            <w:shd w:val="clear" w:color="auto" w:fill="auto"/>
            <w:noWrap/>
            <w:vAlign w:val="center"/>
          </w:tcPr>
          <w:p w:rsidR="00115198" w:rsidRPr="00115198" w:rsidRDefault="00C54ED0" w:rsidP="00C54ED0">
            <w:pPr>
              <w:widowControl/>
              <w:autoSpaceDE/>
              <w:autoSpaceDN/>
              <w:adjustRightInd/>
              <w:jc w:val="center"/>
              <w:rPr>
                <w:sz w:val="22"/>
                <w:szCs w:val="22"/>
              </w:rPr>
            </w:pPr>
            <w:r>
              <w:rPr>
                <w:sz w:val="22"/>
                <w:szCs w:val="22"/>
              </w:rPr>
              <w:t>4</w:t>
            </w:r>
          </w:p>
        </w:tc>
        <w:tc>
          <w:tcPr>
            <w:tcW w:w="1179" w:type="dxa"/>
            <w:tcBorders>
              <w:top w:val="nil"/>
              <w:left w:val="nil"/>
              <w:bottom w:val="single" w:sz="4" w:space="0" w:color="auto"/>
              <w:right w:val="single" w:sz="4" w:space="0" w:color="auto"/>
            </w:tcBorders>
            <w:shd w:val="clear" w:color="auto" w:fill="auto"/>
            <w:vAlign w:val="center"/>
          </w:tcPr>
          <w:p w:rsidR="00115198" w:rsidRPr="00115198" w:rsidRDefault="007541E2" w:rsidP="00546B49">
            <w:pPr>
              <w:widowControl/>
              <w:autoSpaceDE/>
              <w:autoSpaceDN/>
              <w:adjustRightInd/>
              <w:jc w:val="center"/>
              <w:rPr>
                <w:b/>
                <w:bCs/>
                <w:sz w:val="22"/>
                <w:szCs w:val="22"/>
              </w:rPr>
            </w:pPr>
            <w:r>
              <w:rPr>
                <w:b/>
                <w:bCs/>
                <w:sz w:val="22"/>
                <w:szCs w:val="22"/>
              </w:rPr>
              <w:t>1.33 (2)</w:t>
            </w:r>
          </w:p>
        </w:tc>
      </w:tr>
      <w:tr w:rsidR="00115198" w:rsidRPr="00115198" w:rsidTr="00912A15">
        <w:trPr>
          <w:trHeight w:val="255"/>
          <w:jc w:val="center"/>
        </w:trPr>
        <w:tc>
          <w:tcPr>
            <w:tcW w:w="2620" w:type="dxa"/>
            <w:tcBorders>
              <w:top w:val="nil"/>
              <w:left w:val="single" w:sz="4" w:space="0" w:color="auto"/>
              <w:bottom w:val="single" w:sz="4" w:space="0" w:color="auto"/>
              <w:right w:val="single" w:sz="4" w:space="0" w:color="auto"/>
            </w:tcBorders>
            <w:shd w:val="clear" w:color="auto" w:fill="auto"/>
            <w:vAlign w:val="bottom"/>
          </w:tcPr>
          <w:p w:rsidR="00115198" w:rsidRPr="00C762D2" w:rsidRDefault="00115198" w:rsidP="00FE0D2D">
            <w:pPr>
              <w:widowControl/>
              <w:autoSpaceDE/>
              <w:autoSpaceDN/>
              <w:adjustRightInd/>
              <w:rPr>
                <w:sz w:val="22"/>
                <w:szCs w:val="22"/>
              </w:rPr>
            </w:pPr>
            <w:r w:rsidRPr="00C762D2">
              <w:rPr>
                <w:sz w:val="22"/>
                <w:szCs w:val="22"/>
              </w:rPr>
              <w:t xml:space="preserve">Class VI UIC </w:t>
            </w:r>
            <w:r w:rsidRPr="00120D5A">
              <w:rPr>
                <w:sz w:val="22"/>
                <w:szCs w:val="22"/>
              </w:rPr>
              <w:t>Well Owner/Operators</w:t>
            </w:r>
          </w:p>
        </w:tc>
        <w:tc>
          <w:tcPr>
            <w:tcW w:w="960" w:type="dxa"/>
            <w:tcBorders>
              <w:top w:val="nil"/>
              <w:left w:val="nil"/>
              <w:bottom w:val="single" w:sz="4" w:space="0" w:color="auto"/>
              <w:right w:val="single" w:sz="4" w:space="0" w:color="auto"/>
            </w:tcBorders>
            <w:shd w:val="clear" w:color="auto" w:fill="auto"/>
            <w:vAlign w:val="center"/>
          </w:tcPr>
          <w:p w:rsidR="00115198" w:rsidRPr="00120D5A" w:rsidRDefault="00C54ED0" w:rsidP="00C54ED0">
            <w:pPr>
              <w:widowControl/>
              <w:autoSpaceDE/>
              <w:autoSpaceDN/>
              <w:adjustRightInd/>
              <w:jc w:val="center"/>
              <w:rPr>
                <w:sz w:val="22"/>
                <w:szCs w:val="22"/>
              </w:rPr>
            </w:pPr>
            <w:r>
              <w:rPr>
                <w:sz w:val="22"/>
                <w:szCs w:val="22"/>
              </w:rPr>
              <w:t>1</w:t>
            </w:r>
          </w:p>
        </w:tc>
        <w:tc>
          <w:tcPr>
            <w:tcW w:w="1360" w:type="dxa"/>
            <w:tcBorders>
              <w:top w:val="nil"/>
              <w:left w:val="nil"/>
              <w:bottom w:val="single" w:sz="4" w:space="0" w:color="auto"/>
              <w:right w:val="single" w:sz="4" w:space="0" w:color="auto"/>
            </w:tcBorders>
            <w:shd w:val="clear" w:color="auto" w:fill="auto"/>
            <w:vAlign w:val="center"/>
          </w:tcPr>
          <w:p w:rsidR="00115198" w:rsidRPr="00120D5A" w:rsidRDefault="00C54ED0" w:rsidP="00F71E4C">
            <w:pPr>
              <w:widowControl/>
              <w:autoSpaceDE/>
              <w:autoSpaceDN/>
              <w:adjustRightInd/>
              <w:jc w:val="center"/>
              <w:rPr>
                <w:sz w:val="22"/>
                <w:szCs w:val="22"/>
              </w:rPr>
            </w:pPr>
            <w:r>
              <w:rPr>
                <w:sz w:val="22"/>
                <w:szCs w:val="22"/>
              </w:rPr>
              <w:t>0</w:t>
            </w:r>
          </w:p>
        </w:tc>
        <w:tc>
          <w:tcPr>
            <w:tcW w:w="1380" w:type="dxa"/>
            <w:tcBorders>
              <w:top w:val="nil"/>
              <w:left w:val="nil"/>
              <w:bottom w:val="single" w:sz="4" w:space="0" w:color="auto"/>
              <w:right w:val="single" w:sz="4" w:space="0" w:color="auto"/>
            </w:tcBorders>
            <w:shd w:val="clear" w:color="auto" w:fill="auto"/>
            <w:vAlign w:val="center"/>
          </w:tcPr>
          <w:p w:rsidR="00115198" w:rsidRPr="00115198" w:rsidRDefault="00C54ED0" w:rsidP="00F71E4C">
            <w:pPr>
              <w:widowControl/>
              <w:autoSpaceDE/>
              <w:autoSpaceDN/>
              <w:adjustRightInd/>
              <w:jc w:val="center"/>
              <w:rPr>
                <w:sz w:val="22"/>
                <w:szCs w:val="22"/>
              </w:rPr>
            </w:pPr>
            <w:r>
              <w:rPr>
                <w:sz w:val="22"/>
                <w:szCs w:val="22"/>
              </w:rPr>
              <w:t>0</w:t>
            </w:r>
          </w:p>
        </w:tc>
        <w:tc>
          <w:tcPr>
            <w:tcW w:w="979" w:type="dxa"/>
            <w:tcBorders>
              <w:top w:val="nil"/>
              <w:left w:val="nil"/>
              <w:bottom w:val="single" w:sz="4" w:space="0" w:color="auto"/>
              <w:right w:val="single" w:sz="4" w:space="0" w:color="auto"/>
            </w:tcBorders>
            <w:shd w:val="clear" w:color="auto" w:fill="auto"/>
            <w:noWrap/>
            <w:vAlign w:val="center"/>
          </w:tcPr>
          <w:p w:rsidR="00115198" w:rsidRPr="00115198" w:rsidRDefault="00C54ED0" w:rsidP="00546B49">
            <w:pPr>
              <w:widowControl/>
              <w:autoSpaceDE/>
              <w:autoSpaceDN/>
              <w:adjustRightInd/>
              <w:jc w:val="center"/>
              <w:rPr>
                <w:sz w:val="22"/>
                <w:szCs w:val="22"/>
              </w:rPr>
            </w:pPr>
            <w:r>
              <w:rPr>
                <w:sz w:val="22"/>
                <w:szCs w:val="22"/>
              </w:rPr>
              <w:t>1</w:t>
            </w:r>
          </w:p>
        </w:tc>
        <w:tc>
          <w:tcPr>
            <w:tcW w:w="1179" w:type="dxa"/>
            <w:tcBorders>
              <w:top w:val="nil"/>
              <w:left w:val="nil"/>
              <w:bottom w:val="single" w:sz="4" w:space="0" w:color="auto"/>
              <w:right w:val="single" w:sz="4" w:space="0" w:color="auto"/>
            </w:tcBorders>
            <w:shd w:val="clear" w:color="auto" w:fill="auto"/>
            <w:vAlign w:val="center"/>
          </w:tcPr>
          <w:p w:rsidR="00115198" w:rsidRPr="00115198" w:rsidRDefault="007541E2" w:rsidP="007541E2">
            <w:pPr>
              <w:widowControl/>
              <w:autoSpaceDE/>
              <w:autoSpaceDN/>
              <w:adjustRightInd/>
              <w:jc w:val="center"/>
              <w:rPr>
                <w:b/>
                <w:bCs/>
                <w:sz w:val="22"/>
                <w:szCs w:val="22"/>
              </w:rPr>
            </w:pPr>
            <w:r>
              <w:rPr>
                <w:b/>
                <w:bCs/>
                <w:sz w:val="22"/>
                <w:szCs w:val="22"/>
              </w:rPr>
              <w:t>0.33 (1)</w:t>
            </w:r>
          </w:p>
        </w:tc>
      </w:tr>
      <w:tr w:rsidR="00115198" w:rsidRPr="00115198" w:rsidTr="00912A15">
        <w:trPr>
          <w:trHeight w:val="255"/>
          <w:jc w:val="center"/>
        </w:trPr>
        <w:tc>
          <w:tcPr>
            <w:tcW w:w="2620" w:type="dxa"/>
            <w:tcBorders>
              <w:top w:val="nil"/>
              <w:left w:val="single" w:sz="4" w:space="0" w:color="auto"/>
              <w:bottom w:val="single" w:sz="4" w:space="0" w:color="auto"/>
              <w:right w:val="single" w:sz="4" w:space="0" w:color="auto"/>
            </w:tcBorders>
            <w:shd w:val="clear" w:color="auto" w:fill="auto"/>
            <w:vAlign w:val="bottom"/>
          </w:tcPr>
          <w:p w:rsidR="00115198" w:rsidRPr="007541E2" w:rsidRDefault="00BB2CCE" w:rsidP="00FE0D2D">
            <w:pPr>
              <w:widowControl/>
              <w:autoSpaceDE/>
              <w:autoSpaceDN/>
              <w:adjustRightInd/>
              <w:rPr>
                <w:i/>
                <w:sz w:val="22"/>
                <w:szCs w:val="22"/>
              </w:rPr>
            </w:pPr>
            <w:r w:rsidRPr="007541E2">
              <w:rPr>
                <w:i/>
                <w:sz w:val="22"/>
                <w:szCs w:val="22"/>
              </w:rPr>
              <w:t>Sub-</w:t>
            </w:r>
            <w:r w:rsidR="00D37EFC" w:rsidRPr="007541E2">
              <w:rPr>
                <w:i/>
                <w:sz w:val="22"/>
                <w:szCs w:val="22"/>
              </w:rPr>
              <w:t>T</w:t>
            </w:r>
            <w:r w:rsidR="00115198" w:rsidRPr="007541E2">
              <w:rPr>
                <w:i/>
                <w:sz w:val="22"/>
                <w:szCs w:val="22"/>
              </w:rPr>
              <w:t>otal</w:t>
            </w:r>
          </w:p>
        </w:tc>
        <w:tc>
          <w:tcPr>
            <w:tcW w:w="960" w:type="dxa"/>
            <w:tcBorders>
              <w:top w:val="nil"/>
              <w:left w:val="nil"/>
              <w:bottom w:val="single" w:sz="4" w:space="0" w:color="auto"/>
              <w:right w:val="single" w:sz="4" w:space="0" w:color="auto"/>
            </w:tcBorders>
            <w:shd w:val="clear" w:color="auto" w:fill="auto"/>
            <w:vAlign w:val="center"/>
          </w:tcPr>
          <w:p w:rsidR="00115198" w:rsidRPr="007541E2" w:rsidRDefault="00C54ED0" w:rsidP="00546B49">
            <w:pPr>
              <w:widowControl/>
              <w:autoSpaceDE/>
              <w:autoSpaceDN/>
              <w:adjustRightInd/>
              <w:jc w:val="center"/>
              <w:rPr>
                <w:i/>
                <w:sz w:val="22"/>
                <w:szCs w:val="22"/>
              </w:rPr>
            </w:pPr>
            <w:r w:rsidRPr="007541E2">
              <w:rPr>
                <w:i/>
                <w:sz w:val="22"/>
                <w:szCs w:val="22"/>
              </w:rPr>
              <w:t>4</w:t>
            </w:r>
          </w:p>
        </w:tc>
        <w:tc>
          <w:tcPr>
            <w:tcW w:w="1360" w:type="dxa"/>
            <w:tcBorders>
              <w:top w:val="nil"/>
              <w:left w:val="nil"/>
              <w:bottom w:val="single" w:sz="4" w:space="0" w:color="auto"/>
              <w:right w:val="single" w:sz="4" w:space="0" w:color="auto"/>
            </w:tcBorders>
            <w:shd w:val="clear" w:color="auto" w:fill="auto"/>
            <w:vAlign w:val="center"/>
          </w:tcPr>
          <w:p w:rsidR="00115198" w:rsidRPr="007541E2" w:rsidRDefault="00C54ED0" w:rsidP="00C54ED0">
            <w:pPr>
              <w:widowControl/>
              <w:autoSpaceDE/>
              <w:autoSpaceDN/>
              <w:adjustRightInd/>
              <w:jc w:val="center"/>
              <w:rPr>
                <w:i/>
                <w:sz w:val="22"/>
                <w:szCs w:val="22"/>
              </w:rPr>
            </w:pPr>
            <w:r w:rsidRPr="007541E2">
              <w:rPr>
                <w:i/>
                <w:sz w:val="22"/>
                <w:szCs w:val="22"/>
              </w:rPr>
              <w:t>1</w:t>
            </w:r>
          </w:p>
        </w:tc>
        <w:tc>
          <w:tcPr>
            <w:tcW w:w="1380" w:type="dxa"/>
            <w:tcBorders>
              <w:top w:val="nil"/>
              <w:left w:val="nil"/>
              <w:bottom w:val="single" w:sz="4" w:space="0" w:color="auto"/>
              <w:right w:val="single" w:sz="4" w:space="0" w:color="auto"/>
            </w:tcBorders>
            <w:shd w:val="clear" w:color="auto" w:fill="auto"/>
            <w:vAlign w:val="center"/>
          </w:tcPr>
          <w:p w:rsidR="00115198" w:rsidRPr="007541E2" w:rsidRDefault="00C54ED0" w:rsidP="00C54ED0">
            <w:pPr>
              <w:widowControl/>
              <w:autoSpaceDE/>
              <w:autoSpaceDN/>
              <w:adjustRightInd/>
              <w:jc w:val="center"/>
              <w:rPr>
                <w:i/>
                <w:sz w:val="22"/>
                <w:szCs w:val="22"/>
              </w:rPr>
            </w:pPr>
            <w:r w:rsidRPr="007541E2">
              <w:rPr>
                <w:i/>
                <w:sz w:val="22"/>
                <w:szCs w:val="22"/>
              </w:rPr>
              <w:t>0</w:t>
            </w:r>
          </w:p>
        </w:tc>
        <w:tc>
          <w:tcPr>
            <w:tcW w:w="979" w:type="dxa"/>
            <w:tcBorders>
              <w:top w:val="nil"/>
              <w:left w:val="nil"/>
              <w:bottom w:val="single" w:sz="4" w:space="0" w:color="auto"/>
              <w:right w:val="single" w:sz="4" w:space="0" w:color="auto"/>
            </w:tcBorders>
            <w:shd w:val="clear" w:color="auto" w:fill="auto"/>
            <w:noWrap/>
            <w:vAlign w:val="center"/>
          </w:tcPr>
          <w:p w:rsidR="00115198" w:rsidRPr="007541E2" w:rsidRDefault="00C54ED0" w:rsidP="00546B49">
            <w:pPr>
              <w:widowControl/>
              <w:autoSpaceDE/>
              <w:autoSpaceDN/>
              <w:adjustRightInd/>
              <w:jc w:val="center"/>
              <w:rPr>
                <w:i/>
                <w:sz w:val="22"/>
                <w:szCs w:val="22"/>
              </w:rPr>
            </w:pPr>
            <w:r w:rsidRPr="007541E2">
              <w:rPr>
                <w:i/>
                <w:sz w:val="22"/>
                <w:szCs w:val="22"/>
              </w:rPr>
              <w:t>5</w:t>
            </w:r>
          </w:p>
        </w:tc>
        <w:tc>
          <w:tcPr>
            <w:tcW w:w="1179" w:type="dxa"/>
            <w:tcBorders>
              <w:top w:val="nil"/>
              <w:left w:val="nil"/>
              <w:bottom w:val="single" w:sz="4" w:space="0" w:color="auto"/>
              <w:right w:val="single" w:sz="4" w:space="0" w:color="auto"/>
            </w:tcBorders>
            <w:shd w:val="clear" w:color="auto" w:fill="auto"/>
            <w:vAlign w:val="center"/>
          </w:tcPr>
          <w:p w:rsidR="00115198" w:rsidRPr="007541E2" w:rsidRDefault="007541E2" w:rsidP="007541E2">
            <w:pPr>
              <w:widowControl/>
              <w:autoSpaceDE/>
              <w:autoSpaceDN/>
              <w:adjustRightInd/>
              <w:jc w:val="center"/>
              <w:rPr>
                <w:b/>
                <w:bCs/>
                <w:i/>
                <w:sz w:val="22"/>
                <w:szCs w:val="22"/>
              </w:rPr>
            </w:pPr>
            <w:r w:rsidRPr="007541E2">
              <w:rPr>
                <w:b/>
                <w:bCs/>
                <w:i/>
                <w:sz w:val="22"/>
                <w:szCs w:val="22"/>
              </w:rPr>
              <w:t>1.67 (3)</w:t>
            </w:r>
          </w:p>
        </w:tc>
      </w:tr>
      <w:tr w:rsidR="00115198" w:rsidRPr="00115198" w:rsidTr="00115198">
        <w:trPr>
          <w:trHeight w:val="255"/>
          <w:jc w:val="center"/>
        </w:trPr>
        <w:tc>
          <w:tcPr>
            <w:tcW w:w="8478"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115198" w:rsidRPr="00120D5A" w:rsidRDefault="006D4F86" w:rsidP="00290091">
            <w:pPr>
              <w:widowControl/>
              <w:autoSpaceDE/>
              <w:autoSpaceDN/>
              <w:adjustRightInd/>
              <w:rPr>
                <w:b/>
                <w:bCs/>
                <w:sz w:val="22"/>
                <w:szCs w:val="22"/>
              </w:rPr>
            </w:pPr>
            <w:r w:rsidRPr="00120D5A">
              <w:rPr>
                <w:b/>
                <w:bCs/>
                <w:sz w:val="22"/>
                <w:szCs w:val="22"/>
              </w:rPr>
              <w:t xml:space="preserve">Renewing </w:t>
            </w:r>
            <w:r w:rsidR="00290091" w:rsidRPr="00120D5A">
              <w:rPr>
                <w:b/>
                <w:bCs/>
                <w:sz w:val="22"/>
                <w:szCs w:val="22"/>
              </w:rPr>
              <w:t>Certification</w:t>
            </w:r>
            <w:r w:rsidR="00C520F4" w:rsidRPr="00120D5A">
              <w:rPr>
                <w:b/>
                <w:bCs/>
                <w:sz w:val="22"/>
                <w:szCs w:val="22"/>
              </w:rPr>
              <w:t xml:space="preserve"> Annually</w:t>
            </w:r>
          </w:p>
        </w:tc>
      </w:tr>
      <w:tr w:rsidR="00115198" w:rsidRPr="00115198" w:rsidTr="00912A15">
        <w:trPr>
          <w:trHeight w:val="255"/>
          <w:jc w:val="center"/>
        </w:trPr>
        <w:tc>
          <w:tcPr>
            <w:tcW w:w="2620" w:type="dxa"/>
            <w:tcBorders>
              <w:top w:val="nil"/>
              <w:left w:val="single" w:sz="4" w:space="0" w:color="auto"/>
              <w:bottom w:val="single" w:sz="4" w:space="0" w:color="auto"/>
              <w:right w:val="single" w:sz="4" w:space="0" w:color="auto"/>
            </w:tcBorders>
            <w:shd w:val="clear" w:color="auto" w:fill="auto"/>
            <w:vAlign w:val="bottom"/>
          </w:tcPr>
          <w:p w:rsidR="00115198" w:rsidRPr="00C762D2" w:rsidRDefault="00115198" w:rsidP="00486BDD">
            <w:pPr>
              <w:widowControl/>
              <w:autoSpaceDE/>
              <w:autoSpaceDN/>
              <w:adjustRightInd/>
              <w:rPr>
                <w:sz w:val="22"/>
                <w:szCs w:val="22"/>
              </w:rPr>
            </w:pPr>
            <w:r w:rsidRPr="00C762D2">
              <w:rPr>
                <w:sz w:val="22"/>
                <w:szCs w:val="22"/>
              </w:rPr>
              <w:t>Generators</w:t>
            </w:r>
          </w:p>
        </w:tc>
        <w:tc>
          <w:tcPr>
            <w:tcW w:w="960" w:type="dxa"/>
            <w:tcBorders>
              <w:top w:val="nil"/>
              <w:left w:val="nil"/>
              <w:bottom w:val="single" w:sz="4" w:space="0" w:color="auto"/>
              <w:right w:val="single" w:sz="4" w:space="0" w:color="auto"/>
            </w:tcBorders>
            <w:shd w:val="clear" w:color="auto" w:fill="auto"/>
            <w:noWrap/>
            <w:vAlign w:val="center"/>
          </w:tcPr>
          <w:p w:rsidR="00115198" w:rsidRPr="00115198" w:rsidRDefault="00115198" w:rsidP="00546B49">
            <w:pPr>
              <w:widowControl/>
              <w:autoSpaceDE/>
              <w:autoSpaceDN/>
              <w:adjustRightInd/>
              <w:jc w:val="center"/>
              <w:rPr>
                <w:sz w:val="22"/>
                <w:szCs w:val="22"/>
              </w:rPr>
            </w:pPr>
            <w:r w:rsidRPr="00115198">
              <w:rPr>
                <w:sz w:val="22"/>
                <w:szCs w:val="22"/>
              </w:rPr>
              <w:t>0</w:t>
            </w:r>
          </w:p>
        </w:tc>
        <w:tc>
          <w:tcPr>
            <w:tcW w:w="1360" w:type="dxa"/>
            <w:tcBorders>
              <w:top w:val="nil"/>
              <w:left w:val="nil"/>
              <w:bottom w:val="single" w:sz="4" w:space="0" w:color="auto"/>
              <w:right w:val="single" w:sz="4" w:space="0" w:color="auto"/>
            </w:tcBorders>
            <w:shd w:val="clear" w:color="auto" w:fill="auto"/>
            <w:noWrap/>
            <w:vAlign w:val="center"/>
          </w:tcPr>
          <w:p w:rsidR="00115198" w:rsidRPr="00115198" w:rsidRDefault="000B2B86" w:rsidP="00546B49">
            <w:pPr>
              <w:widowControl/>
              <w:autoSpaceDE/>
              <w:autoSpaceDN/>
              <w:adjustRightInd/>
              <w:jc w:val="center"/>
              <w:rPr>
                <w:sz w:val="22"/>
                <w:szCs w:val="22"/>
              </w:rPr>
            </w:pPr>
            <w:r>
              <w:rPr>
                <w:sz w:val="22"/>
                <w:szCs w:val="22"/>
              </w:rPr>
              <w:t>3</w:t>
            </w:r>
          </w:p>
        </w:tc>
        <w:tc>
          <w:tcPr>
            <w:tcW w:w="1380" w:type="dxa"/>
            <w:tcBorders>
              <w:top w:val="nil"/>
              <w:left w:val="nil"/>
              <w:bottom w:val="single" w:sz="4" w:space="0" w:color="auto"/>
              <w:right w:val="single" w:sz="4" w:space="0" w:color="auto"/>
            </w:tcBorders>
            <w:shd w:val="clear" w:color="auto" w:fill="auto"/>
            <w:noWrap/>
            <w:vAlign w:val="center"/>
          </w:tcPr>
          <w:p w:rsidR="00115198" w:rsidRPr="00115198" w:rsidRDefault="000B2B86" w:rsidP="00546B49">
            <w:pPr>
              <w:widowControl/>
              <w:autoSpaceDE/>
              <w:autoSpaceDN/>
              <w:adjustRightInd/>
              <w:jc w:val="center"/>
              <w:rPr>
                <w:sz w:val="22"/>
                <w:szCs w:val="22"/>
              </w:rPr>
            </w:pPr>
            <w:r>
              <w:rPr>
                <w:sz w:val="22"/>
                <w:szCs w:val="22"/>
              </w:rPr>
              <w:t>4</w:t>
            </w:r>
          </w:p>
        </w:tc>
        <w:tc>
          <w:tcPr>
            <w:tcW w:w="979" w:type="dxa"/>
            <w:tcBorders>
              <w:top w:val="nil"/>
              <w:left w:val="nil"/>
              <w:bottom w:val="single" w:sz="4" w:space="0" w:color="auto"/>
              <w:right w:val="single" w:sz="4" w:space="0" w:color="auto"/>
            </w:tcBorders>
            <w:shd w:val="clear" w:color="auto" w:fill="auto"/>
            <w:noWrap/>
            <w:vAlign w:val="center"/>
          </w:tcPr>
          <w:p w:rsidR="00115198" w:rsidRPr="00115198" w:rsidRDefault="000B2B86" w:rsidP="00546B49">
            <w:pPr>
              <w:widowControl/>
              <w:autoSpaceDE/>
              <w:autoSpaceDN/>
              <w:adjustRightInd/>
              <w:jc w:val="center"/>
              <w:rPr>
                <w:sz w:val="22"/>
                <w:szCs w:val="22"/>
              </w:rPr>
            </w:pPr>
            <w:r>
              <w:rPr>
                <w:sz w:val="22"/>
                <w:szCs w:val="22"/>
              </w:rPr>
              <w:t>7</w:t>
            </w:r>
          </w:p>
        </w:tc>
        <w:tc>
          <w:tcPr>
            <w:tcW w:w="1179" w:type="dxa"/>
            <w:tcBorders>
              <w:top w:val="nil"/>
              <w:left w:val="nil"/>
              <w:bottom w:val="single" w:sz="4" w:space="0" w:color="auto"/>
              <w:right w:val="single" w:sz="4" w:space="0" w:color="auto"/>
            </w:tcBorders>
            <w:shd w:val="clear" w:color="auto" w:fill="auto"/>
            <w:vAlign w:val="center"/>
          </w:tcPr>
          <w:p w:rsidR="00115198" w:rsidRPr="00115198" w:rsidRDefault="00B6428C" w:rsidP="00546B49">
            <w:pPr>
              <w:widowControl/>
              <w:autoSpaceDE/>
              <w:autoSpaceDN/>
              <w:adjustRightInd/>
              <w:jc w:val="center"/>
              <w:rPr>
                <w:b/>
                <w:bCs/>
                <w:sz w:val="22"/>
                <w:szCs w:val="22"/>
              </w:rPr>
            </w:pPr>
            <w:r>
              <w:rPr>
                <w:b/>
                <w:bCs/>
                <w:sz w:val="22"/>
                <w:szCs w:val="22"/>
              </w:rPr>
              <w:t>2.33 (</w:t>
            </w:r>
            <w:r w:rsidR="00C20761">
              <w:rPr>
                <w:b/>
                <w:bCs/>
                <w:sz w:val="22"/>
                <w:szCs w:val="22"/>
              </w:rPr>
              <w:t>3</w:t>
            </w:r>
            <w:r>
              <w:rPr>
                <w:b/>
                <w:bCs/>
                <w:sz w:val="22"/>
                <w:szCs w:val="22"/>
              </w:rPr>
              <w:t>)</w:t>
            </w:r>
          </w:p>
        </w:tc>
      </w:tr>
      <w:tr w:rsidR="00115198" w:rsidRPr="00115198" w:rsidTr="00912A15">
        <w:trPr>
          <w:trHeight w:val="255"/>
          <w:jc w:val="center"/>
        </w:trPr>
        <w:tc>
          <w:tcPr>
            <w:tcW w:w="2620" w:type="dxa"/>
            <w:tcBorders>
              <w:top w:val="nil"/>
              <w:left w:val="single" w:sz="4" w:space="0" w:color="auto"/>
              <w:bottom w:val="single" w:sz="4" w:space="0" w:color="auto"/>
              <w:right w:val="single" w:sz="4" w:space="0" w:color="auto"/>
            </w:tcBorders>
            <w:shd w:val="clear" w:color="auto" w:fill="auto"/>
            <w:vAlign w:val="bottom"/>
          </w:tcPr>
          <w:p w:rsidR="00115198" w:rsidRPr="00C762D2" w:rsidRDefault="00115198" w:rsidP="00486BDD">
            <w:pPr>
              <w:widowControl/>
              <w:autoSpaceDE/>
              <w:autoSpaceDN/>
              <w:adjustRightInd/>
              <w:rPr>
                <w:sz w:val="22"/>
                <w:szCs w:val="22"/>
              </w:rPr>
            </w:pPr>
            <w:r w:rsidRPr="00C762D2">
              <w:rPr>
                <w:sz w:val="22"/>
                <w:szCs w:val="22"/>
              </w:rPr>
              <w:t>Class VI UIC Well Owner/Operators</w:t>
            </w:r>
          </w:p>
        </w:tc>
        <w:tc>
          <w:tcPr>
            <w:tcW w:w="960" w:type="dxa"/>
            <w:tcBorders>
              <w:top w:val="nil"/>
              <w:left w:val="nil"/>
              <w:bottom w:val="single" w:sz="4" w:space="0" w:color="auto"/>
              <w:right w:val="single" w:sz="4" w:space="0" w:color="auto"/>
            </w:tcBorders>
            <w:shd w:val="clear" w:color="auto" w:fill="auto"/>
            <w:noWrap/>
            <w:vAlign w:val="center"/>
          </w:tcPr>
          <w:p w:rsidR="00115198" w:rsidRPr="00115198" w:rsidRDefault="00115198" w:rsidP="00546B49">
            <w:pPr>
              <w:widowControl/>
              <w:autoSpaceDE/>
              <w:autoSpaceDN/>
              <w:adjustRightInd/>
              <w:jc w:val="center"/>
              <w:rPr>
                <w:sz w:val="22"/>
                <w:szCs w:val="22"/>
              </w:rPr>
            </w:pPr>
            <w:r w:rsidRPr="00115198">
              <w:rPr>
                <w:sz w:val="22"/>
                <w:szCs w:val="22"/>
              </w:rPr>
              <w:t>0</w:t>
            </w:r>
          </w:p>
        </w:tc>
        <w:tc>
          <w:tcPr>
            <w:tcW w:w="1360" w:type="dxa"/>
            <w:tcBorders>
              <w:top w:val="nil"/>
              <w:left w:val="nil"/>
              <w:bottom w:val="single" w:sz="4" w:space="0" w:color="auto"/>
              <w:right w:val="single" w:sz="4" w:space="0" w:color="auto"/>
            </w:tcBorders>
            <w:shd w:val="clear" w:color="auto" w:fill="auto"/>
            <w:noWrap/>
            <w:vAlign w:val="center"/>
          </w:tcPr>
          <w:p w:rsidR="00115198" w:rsidRPr="00115198" w:rsidRDefault="000B2B86" w:rsidP="000B2B86">
            <w:pPr>
              <w:widowControl/>
              <w:autoSpaceDE/>
              <w:autoSpaceDN/>
              <w:adjustRightInd/>
              <w:jc w:val="center"/>
              <w:rPr>
                <w:sz w:val="22"/>
                <w:szCs w:val="22"/>
              </w:rPr>
            </w:pPr>
            <w:r>
              <w:rPr>
                <w:sz w:val="22"/>
                <w:szCs w:val="22"/>
              </w:rPr>
              <w:t>1</w:t>
            </w:r>
          </w:p>
        </w:tc>
        <w:tc>
          <w:tcPr>
            <w:tcW w:w="1380" w:type="dxa"/>
            <w:tcBorders>
              <w:top w:val="nil"/>
              <w:left w:val="nil"/>
              <w:bottom w:val="single" w:sz="4" w:space="0" w:color="auto"/>
              <w:right w:val="single" w:sz="4" w:space="0" w:color="auto"/>
            </w:tcBorders>
            <w:shd w:val="clear" w:color="auto" w:fill="auto"/>
            <w:noWrap/>
            <w:vAlign w:val="center"/>
          </w:tcPr>
          <w:p w:rsidR="00115198" w:rsidRPr="00115198" w:rsidRDefault="000B2B86" w:rsidP="00546B49">
            <w:pPr>
              <w:widowControl/>
              <w:autoSpaceDE/>
              <w:autoSpaceDN/>
              <w:adjustRightInd/>
              <w:jc w:val="center"/>
              <w:rPr>
                <w:sz w:val="22"/>
                <w:szCs w:val="22"/>
              </w:rPr>
            </w:pPr>
            <w:r>
              <w:rPr>
                <w:sz w:val="22"/>
                <w:szCs w:val="22"/>
              </w:rPr>
              <w:t>1</w:t>
            </w:r>
          </w:p>
        </w:tc>
        <w:tc>
          <w:tcPr>
            <w:tcW w:w="979" w:type="dxa"/>
            <w:tcBorders>
              <w:top w:val="nil"/>
              <w:left w:val="nil"/>
              <w:bottom w:val="single" w:sz="4" w:space="0" w:color="auto"/>
              <w:right w:val="single" w:sz="4" w:space="0" w:color="auto"/>
            </w:tcBorders>
            <w:shd w:val="clear" w:color="auto" w:fill="auto"/>
            <w:noWrap/>
            <w:vAlign w:val="center"/>
          </w:tcPr>
          <w:p w:rsidR="00115198" w:rsidRPr="00115198" w:rsidRDefault="000B2B86" w:rsidP="00546B49">
            <w:pPr>
              <w:widowControl/>
              <w:autoSpaceDE/>
              <w:autoSpaceDN/>
              <w:adjustRightInd/>
              <w:jc w:val="center"/>
              <w:rPr>
                <w:sz w:val="22"/>
                <w:szCs w:val="22"/>
              </w:rPr>
            </w:pPr>
            <w:r>
              <w:rPr>
                <w:sz w:val="22"/>
                <w:szCs w:val="22"/>
              </w:rPr>
              <w:t>2</w:t>
            </w:r>
          </w:p>
        </w:tc>
        <w:tc>
          <w:tcPr>
            <w:tcW w:w="1179" w:type="dxa"/>
            <w:tcBorders>
              <w:top w:val="nil"/>
              <w:left w:val="nil"/>
              <w:bottom w:val="single" w:sz="4" w:space="0" w:color="auto"/>
              <w:right w:val="single" w:sz="4" w:space="0" w:color="auto"/>
            </w:tcBorders>
            <w:shd w:val="clear" w:color="auto" w:fill="auto"/>
            <w:vAlign w:val="center"/>
          </w:tcPr>
          <w:p w:rsidR="00115198" w:rsidRPr="00115198" w:rsidRDefault="00B6428C" w:rsidP="00546B49">
            <w:pPr>
              <w:widowControl/>
              <w:autoSpaceDE/>
              <w:autoSpaceDN/>
              <w:adjustRightInd/>
              <w:jc w:val="center"/>
              <w:rPr>
                <w:b/>
                <w:bCs/>
                <w:sz w:val="22"/>
                <w:szCs w:val="22"/>
              </w:rPr>
            </w:pPr>
            <w:r>
              <w:rPr>
                <w:b/>
                <w:bCs/>
                <w:sz w:val="22"/>
                <w:szCs w:val="22"/>
              </w:rPr>
              <w:t>0.67 (</w:t>
            </w:r>
            <w:r w:rsidR="000B2B86">
              <w:rPr>
                <w:b/>
                <w:bCs/>
                <w:sz w:val="22"/>
                <w:szCs w:val="22"/>
              </w:rPr>
              <w:t>1</w:t>
            </w:r>
            <w:r>
              <w:rPr>
                <w:b/>
                <w:bCs/>
                <w:sz w:val="22"/>
                <w:szCs w:val="22"/>
              </w:rPr>
              <w:t>)</w:t>
            </w:r>
          </w:p>
        </w:tc>
      </w:tr>
      <w:tr w:rsidR="00115198" w:rsidRPr="00115198" w:rsidTr="00912A15">
        <w:trPr>
          <w:trHeight w:val="255"/>
          <w:jc w:val="center"/>
        </w:trPr>
        <w:tc>
          <w:tcPr>
            <w:tcW w:w="2620" w:type="dxa"/>
            <w:tcBorders>
              <w:top w:val="nil"/>
              <w:left w:val="single" w:sz="4" w:space="0" w:color="auto"/>
              <w:bottom w:val="single" w:sz="4" w:space="0" w:color="auto"/>
              <w:right w:val="single" w:sz="4" w:space="0" w:color="auto"/>
            </w:tcBorders>
            <w:shd w:val="clear" w:color="auto" w:fill="auto"/>
            <w:vAlign w:val="bottom"/>
          </w:tcPr>
          <w:p w:rsidR="00115198" w:rsidRPr="007541E2" w:rsidRDefault="00BB2CCE" w:rsidP="00115198">
            <w:pPr>
              <w:widowControl/>
              <w:autoSpaceDE/>
              <w:autoSpaceDN/>
              <w:adjustRightInd/>
              <w:rPr>
                <w:i/>
                <w:sz w:val="22"/>
                <w:szCs w:val="22"/>
              </w:rPr>
            </w:pPr>
            <w:r w:rsidRPr="007541E2">
              <w:rPr>
                <w:i/>
                <w:sz w:val="22"/>
                <w:szCs w:val="22"/>
              </w:rPr>
              <w:t>Sub-</w:t>
            </w:r>
            <w:r w:rsidR="00D37EFC" w:rsidRPr="007541E2">
              <w:rPr>
                <w:i/>
                <w:sz w:val="22"/>
                <w:szCs w:val="22"/>
              </w:rPr>
              <w:t>T</w:t>
            </w:r>
            <w:r w:rsidR="00115198" w:rsidRPr="007541E2">
              <w:rPr>
                <w:i/>
                <w:sz w:val="22"/>
                <w:szCs w:val="22"/>
              </w:rPr>
              <w:t>otal</w:t>
            </w:r>
          </w:p>
        </w:tc>
        <w:tc>
          <w:tcPr>
            <w:tcW w:w="960" w:type="dxa"/>
            <w:tcBorders>
              <w:top w:val="nil"/>
              <w:left w:val="nil"/>
              <w:bottom w:val="single" w:sz="4" w:space="0" w:color="auto"/>
              <w:right w:val="single" w:sz="4" w:space="0" w:color="auto"/>
            </w:tcBorders>
            <w:shd w:val="clear" w:color="auto" w:fill="auto"/>
            <w:vAlign w:val="center"/>
          </w:tcPr>
          <w:p w:rsidR="00115198" w:rsidRPr="007541E2" w:rsidRDefault="00115198" w:rsidP="00546B49">
            <w:pPr>
              <w:widowControl/>
              <w:autoSpaceDE/>
              <w:autoSpaceDN/>
              <w:adjustRightInd/>
              <w:jc w:val="center"/>
              <w:rPr>
                <w:i/>
                <w:sz w:val="22"/>
                <w:szCs w:val="22"/>
              </w:rPr>
            </w:pPr>
            <w:r w:rsidRPr="007541E2">
              <w:rPr>
                <w:i/>
                <w:sz w:val="22"/>
                <w:szCs w:val="22"/>
              </w:rPr>
              <w:t>0</w:t>
            </w:r>
          </w:p>
        </w:tc>
        <w:tc>
          <w:tcPr>
            <w:tcW w:w="1360" w:type="dxa"/>
            <w:tcBorders>
              <w:top w:val="nil"/>
              <w:left w:val="nil"/>
              <w:bottom w:val="single" w:sz="4" w:space="0" w:color="auto"/>
              <w:right w:val="single" w:sz="4" w:space="0" w:color="auto"/>
            </w:tcBorders>
            <w:shd w:val="clear" w:color="auto" w:fill="auto"/>
            <w:vAlign w:val="center"/>
          </w:tcPr>
          <w:p w:rsidR="00115198" w:rsidRPr="007541E2" w:rsidRDefault="000B2B86" w:rsidP="00546B49">
            <w:pPr>
              <w:widowControl/>
              <w:autoSpaceDE/>
              <w:autoSpaceDN/>
              <w:adjustRightInd/>
              <w:jc w:val="center"/>
              <w:rPr>
                <w:i/>
                <w:sz w:val="22"/>
                <w:szCs w:val="22"/>
              </w:rPr>
            </w:pPr>
            <w:r w:rsidRPr="007541E2">
              <w:rPr>
                <w:i/>
                <w:sz w:val="22"/>
                <w:szCs w:val="22"/>
              </w:rPr>
              <w:t>4</w:t>
            </w:r>
          </w:p>
        </w:tc>
        <w:tc>
          <w:tcPr>
            <w:tcW w:w="1380" w:type="dxa"/>
            <w:tcBorders>
              <w:top w:val="nil"/>
              <w:left w:val="nil"/>
              <w:bottom w:val="single" w:sz="4" w:space="0" w:color="auto"/>
              <w:right w:val="single" w:sz="4" w:space="0" w:color="auto"/>
            </w:tcBorders>
            <w:shd w:val="clear" w:color="auto" w:fill="auto"/>
            <w:vAlign w:val="center"/>
          </w:tcPr>
          <w:p w:rsidR="00115198" w:rsidRPr="007541E2" w:rsidRDefault="000B2B86" w:rsidP="00546B49">
            <w:pPr>
              <w:widowControl/>
              <w:autoSpaceDE/>
              <w:autoSpaceDN/>
              <w:adjustRightInd/>
              <w:jc w:val="center"/>
              <w:rPr>
                <w:i/>
                <w:sz w:val="22"/>
                <w:szCs w:val="22"/>
              </w:rPr>
            </w:pPr>
            <w:r w:rsidRPr="007541E2">
              <w:rPr>
                <w:i/>
                <w:sz w:val="22"/>
                <w:szCs w:val="22"/>
              </w:rPr>
              <w:t>5</w:t>
            </w:r>
          </w:p>
        </w:tc>
        <w:tc>
          <w:tcPr>
            <w:tcW w:w="979" w:type="dxa"/>
            <w:tcBorders>
              <w:top w:val="nil"/>
              <w:left w:val="nil"/>
              <w:bottom w:val="single" w:sz="4" w:space="0" w:color="auto"/>
              <w:right w:val="single" w:sz="4" w:space="0" w:color="auto"/>
            </w:tcBorders>
            <w:shd w:val="clear" w:color="auto" w:fill="auto"/>
            <w:noWrap/>
            <w:vAlign w:val="center"/>
          </w:tcPr>
          <w:p w:rsidR="00115198" w:rsidRPr="007541E2" w:rsidRDefault="000B2B86" w:rsidP="000B2B86">
            <w:pPr>
              <w:widowControl/>
              <w:autoSpaceDE/>
              <w:autoSpaceDN/>
              <w:adjustRightInd/>
              <w:jc w:val="center"/>
              <w:rPr>
                <w:i/>
                <w:sz w:val="22"/>
                <w:szCs w:val="22"/>
              </w:rPr>
            </w:pPr>
            <w:r w:rsidRPr="007541E2">
              <w:rPr>
                <w:i/>
                <w:sz w:val="22"/>
                <w:szCs w:val="22"/>
              </w:rPr>
              <w:t>9</w:t>
            </w:r>
          </w:p>
        </w:tc>
        <w:tc>
          <w:tcPr>
            <w:tcW w:w="1179" w:type="dxa"/>
            <w:tcBorders>
              <w:top w:val="nil"/>
              <w:left w:val="nil"/>
              <w:bottom w:val="single" w:sz="4" w:space="0" w:color="auto"/>
              <w:right w:val="single" w:sz="4" w:space="0" w:color="auto"/>
            </w:tcBorders>
            <w:shd w:val="clear" w:color="auto" w:fill="auto"/>
            <w:vAlign w:val="center"/>
          </w:tcPr>
          <w:p w:rsidR="00115198" w:rsidRPr="007541E2" w:rsidRDefault="00B6428C" w:rsidP="00546B49">
            <w:pPr>
              <w:widowControl/>
              <w:autoSpaceDE/>
              <w:autoSpaceDN/>
              <w:adjustRightInd/>
              <w:jc w:val="center"/>
              <w:rPr>
                <w:b/>
                <w:bCs/>
                <w:i/>
                <w:sz w:val="22"/>
                <w:szCs w:val="22"/>
              </w:rPr>
            </w:pPr>
            <w:r>
              <w:rPr>
                <w:b/>
                <w:bCs/>
                <w:i/>
                <w:sz w:val="22"/>
                <w:szCs w:val="22"/>
              </w:rPr>
              <w:t>3.00 (</w:t>
            </w:r>
            <w:r w:rsidR="00AA1C7E" w:rsidRPr="007541E2">
              <w:rPr>
                <w:b/>
                <w:bCs/>
                <w:i/>
                <w:sz w:val="22"/>
                <w:szCs w:val="22"/>
              </w:rPr>
              <w:t>4</w:t>
            </w:r>
            <w:r>
              <w:rPr>
                <w:b/>
                <w:bCs/>
                <w:i/>
                <w:sz w:val="22"/>
                <w:szCs w:val="22"/>
              </w:rPr>
              <w:t>)</w:t>
            </w:r>
          </w:p>
        </w:tc>
      </w:tr>
      <w:tr w:rsidR="00BB2CCE" w:rsidRPr="00115198" w:rsidTr="00AA1C7E">
        <w:trPr>
          <w:trHeight w:val="255"/>
          <w:jc w:val="center"/>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rsidR="00AA1C7E" w:rsidRPr="00AA1C7E" w:rsidRDefault="00AA1C7E" w:rsidP="00AA1C7E">
            <w:pPr>
              <w:widowControl/>
              <w:autoSpaceDE/>
              <w:autoSpaceDN/>
              <w:adjustRightInd/>
              <w:jc w:val="center"/>
              <w:rPr>
                <w:b/>
                <w:sz w:val="22"/>
                <w:szCs w:val="22"/>
              </w:rPr>
            </w:pPr>
          </w:p>
          <w:p w:rsidR="00BB2CCE" w:rsidRPr="00AA1C7E" w:rsidRDefault="00BB2CCE" w:rsidP="00AA1C7E">
            <w:pPr>
              <w:widowControl/>
              <w:autoSpaceDE/>
              <w:autoSpaceDN/>
              <w:adjustRightInd/>
              <w:jc w:val="center"/>
              <w:rPr>
                <w:b/>
                <w:sz w:val="22"/>
                <w:szCs w:val="22"/>
              </w:rPr>
            </w:pPr>
            <w:r w:rsidRPr="00AA1C7E">
              <w:rPr>
                <w:b/>
                <w:sz w:val="22"/>
                <w:szCs w:val="22"/>
              </w:rPr>
              <w:t>Grand Total</w:t>
            </w:r>
          </w:p>
        </w:tc>
        <w:tc>
          <w:tcPr>
            <w:tcW w:w="960" w:type="dxa"/>
            <w:tcBorders>
              <w:top w:val="single" w:sz="4" w:space="0" w:color="auto"/>
              <w:left w:val="nil"/>
              <w:bottom w:val="single" w:sz="4" w:space="0" w:color="auto"/>
              <w:right w:val="single" w:sz="4" w:space="0" w:color="auto"/>
            </w:tcBorders>
            <w:shd w:val="clear" w:color="auto" w:fill="auto"/>
            <w:vAlign w:val="center"/>
          </w:tcPr>
          <w:p w:rsidR="00AA1C7E" w:rsidRPr="00AA1C7E" w:rsidRDefault="00AA1C7E" w:rsidP="00AA1C7E">
            <w:pPr>
              <w:widowControl/>
              <w:autoSpaceDE/>
              <w:autoSpaceDN/>
              <w:adjustRightInd/>
              <w:jc w:val="center"/>
              <w:rPr>
                <w:b/>
                <w:sz w:val="22"/>
                <w:szCs w:val="22"/>
              </w:rPr>
            </w:pPr>
          </w:p>
          <w:p w:rsidR="00BB2CCE" w:rsidRPr="00AA1C7E" w:rsidRDefault="000B2B86" w:rsidP="00AA1C7E">
            <w:pPr>
              <w:widowControl/>
              <w:autoSpaceDE/>
              <w:autoSpaceDN/>
              <w:adjustRightInd/>
              <w:jc w:val="center"/>
              <w:rPr>
                <w:b/>
                <w:sz w:val="22"/>
                <w:szCs w:val="22"/>
              </w:rPr>
            </w:pPr>
            <w:r w:rsidRPr="00AA1C7E">
              <w:rPr>
                <w:b/>
                <w:sz w:val="22"/>
                <w:szCs w:val="22"/>
              </w:rPr>
              <w:t>4</w:t>
            </w:r>
          </w:p>
        </w:tc>
        <w:tc>
          <w:tcPr>
            <w:tcW w:w="1360" w:type="dxa"/>
            <w:tcBorders>
              <w:top w:val="single" w:sz="4" w:space="0" w:color="auto"/>
              <w:left w:val="nil"/>
              <w:bottom w:val="single" w:sz="4" w:space="0" w:color="auto"/>
              <w:right w:val="single" w:sz="4" w:space="0" w:color="auto"/>
            </w:tcBorders>
            <w:shd w:val="clear" w:color="auto" w:fill="auto"/>
            <w:vAlign w:val="center"/>
          </w:tcPr>
          <w:p w:rsidR="00AA1C7E" w:rsidRPr="00AA1C7E" w:rsidRDefault="00AA1C7E" w:rsidP="00AA1C7E">
            <w:pPr>
              <w:widowControl/>
              <w:autoSpaceDE/>
              <w:autoSpaceDN/>
              <w:adjustRightInd/>
              <w:jc w:val="center"/>
              <w:rPr>
                <w:b/>
                <w:sz w:val="22"/>
                <w:szCs w:val="22"/>
              </w:rPr>
            </w:pPr>
          </w:p>
          <w:p w:rsidR="00BB2CCE" w:rsidRPr="00AA1C7E" w:rsidRDefault="000B2B86" w:rsidP="00AA1C7E">
            <w:pPr>
              <w:widowControl/>
              <w:autoSpaceDE/>
              <w:autoSpaceDN/>
              <w:adjustRightInd/>
              <w:jc w:val="center"/>
              <w:rPr>
                <w:b/>
                <w:sz w:val="22"/>
                <w:szCs w:val="22"/>
              </w:rPr>
            </w:pPr>
            <w:r w:rsidRPr="00AA1C7E">
              <w:rPr>
                <w:b/>
                <w:sz w:val="22"/>
                <w:szCs w:val="22"/>
              </w:rPr>
              <w:t>5</w:t>
            </w:r>
          </w:p>
        </w:tc>
        <w:tc>
          <w:tcPr>
            <w:tcW w:w="1380" w:type="dxa"/>
            <w:tcBorders>
              <w:top w:val="single" w:sz="4" w:space="0" w:color="auto"/>
              <w:left w:val="nil"/>
              <w:bottom w:val="single" w:sz="4" w:space="0" w:color="auto"/>
              <w:right w:val="single" w:sz="4" w:space="0" w:color="auto"/>
            </w:tcBorders>
            <w:shd w:val="clear" w:color="auto" w:fill="auto"/>
            <w:vAlign w:val="center"/>
          </w:tcPr>
          <w:p w:rsidR="00AA1C7E" w:rsidRPr="00AA1C7E" w:rsidRDefault="00AA1C7E" w:rsidP="00AA1C7E">
            <w:pPr>
              <w:widowControl/>
              <w:autoSpaceDE/>
              <w:autoSpaceDN/>
              <w:adjustRightInd/>
              <w:jc w:val="center"/>
              <w:rPr>
                <w:b/>
                <w:sz w:val="22"/>
                <w:szCs w:val="22"/>
              </w:rPr>
            </w:pPr>
          </w:p>
          <w:p w:rsidR="00BB2CCE" w:rsidRPr="00AA1C7E" w:rsidRDefault="000B2B86" w:rsidP="00AA1C7E">
            <w:pPr>
              <w:widowControl/>
              <w:autoSpaceDE/>
              <w:autoSpaceDN/>
              <w:adjustRightInd/>
              <w:jc w:val="center"/>
              <w:rPr>
                <w:b/>
                <w:sz w:val="22"/>
                <w:szCs w:val="22"/>
              </w:rPr>
            </w:pPr>
            <w:r w:rsidRPr="00AA1C7E">
              <w:rPr>
                <w:b/>
                <w:sz w:val="22"/>
                <w:szCs w:val="22"/>
              </w:rPr>
              <w:t>5</w:t>
            </w:r>
          </w:p>
        </w:tc>
        <w:tc>
          <w:tcPr>
            <w:tcW w:w="979" w:type="dxa"/>
            <w:tcBorders>
              <w:top w:val="single" w:sz="4" w:space="0" w:color="auto"/>
              <w:left w:val="nil"/>
              <w:bottom w:val="single" w:sz="4" w:space="0" w:color="auto"/>
              <w:right w:val="single" w:sz="4" w:space="0" w:color="auto"/>
            </w:tcBorders>
            <w:shd w:val="clear" w:color="auto" w:fill="auto"/>
            <w:noWrap/>
            <w:vAlign w:val="center"/>
          </w:tcPr>
          <w:p w:rsidR="00AA1C7E" w:rsidRPr="00AA1C7E" w:rsidRDefault="00AA1C7E" w:rsidP="00AA1C7E">
            <w:pPr>
              <w:widowControl/>
              <w:autoSpaceDE/>
              <w:autoSpaceDN/>
              <w:adjustRightInd/>
              <w:jc w:val="center"/>
              <w:rPr>
                <w:b/>
                <w:sz w:val="22"/>
                <w:szCs w:val="22"/>
              </w:rPr>
            </w:pPr>
          </w:p>
          <w:p w:rsidR="00BB2CCE" w:rsidRPr="00AA1C7E" w:rsidRDefault="000B2B86" w:rsidP="00AA1C7E">
            <w:pPr>
              <w:widowControl/>
              <w:autoSpaceDE/>
              <w:autoSpaceDN/>
              <w:adjustRightInd/>
              <w:jc w:val="center"/>
              <w:rPr>
                <w:b/>
                <w:sz w:val="22"/>
                <w:szCs w:val="22"/>
              </w:rPr>
            </w:pPr>
            <w:r w:rsidRPr="00AA1C7E">
              <w:rPr>
                <w:b/>
                <w:sz w:val="22"/>
                <w:szCs w:val="22"/>
              </w:rPr>
              <w:t>14</w:t>
            </w:r>
          </w:p>
        </w:tc>
        <w:tc>
          <w:tcPr>
            <w:tcW w:w="1179" w:type="dxa"/>
            <w:tcBorders>
              <w:top w:val="single" w:sz="4" w:space="0" w:color="auto"/>
              <w:left w:val="nil"/>
              <w:bottom w:val="single" w:sz="4" w:space="0" w:color="auto"/>
              <w:right w:val="single" w:sz="4" w:space="0" w:color="auto"/>
            </w:tcBorders>
            <w:shd w:val="clear" w:color="auto" w:fill="auto"/>
            <w:vAlign w:val="center"/>
          </w:tcPr>
          <w:p w:rsidR="00AA1C7E" w:rsidRPr="00AA1C7E" w:rsidRDefault="00AA1C7E" w:rsidP="00AA1C7E">
            <w:pPr>
              <w:widowControl/>
              <w:autoSpaceDE/>
              <w:autoSpaceDN/>
              <w:adjustRightInd/>
              <w:jc w:val="center"/>
              <w:rPr>
                <w:b/>
                <w:bCs/>
                <w:sz w:val="22"/>
                <w:szCs w:val="22"/>
              </w:rPr>
            </w:pPr>
          </w:p>
          <w:p w:rsidR="00BB2CCE" w:rsidRPr="00AA1C7E" w:rsidRDefault="00B6428C" w:rsidP="00AA1C7E">
            <w:pPr>
              <w:widowControl/>
              <w:autoSpaceDE/>
              <w:autoSpaceDN/>
              <w:adjustRightInd/>
              <w:jc w:val="center"/>
              <w:rPr>
                <w:b/>
                <w:bCs/>
                <w:sz w:val="22"/>
                <w:szCs w:val="22"/>
              </w:rPr>
            </w:pPr>
            <w:r>
              <w:rPr>
                <w:b/>
                <w:bCs/>
                <w:sz w:val="22"/>
                <w:szCs w:val="22"/>
              </w:rPr>
              <w:t>4.67 (</w:t>
            </w:r>
            <w:r w:rsidR="00AA1C7E">
              <w:rPr>
                <w:b/>
                <w:bCs/>
                <w:sz w:val="22"/>
                <w:szCs w:val="22"/>
              </w:rPr>
              <w:t>7</w:t>
            </w:r>
            <w:r>
              <w:rPr>
                <w:b/>
                <w:bCs/>
                <w:sz w:val="22"/>
                <w:szCs w:val="22"/>
              </w:rPr>
              <w:t>)</w:t>
            </w:r>
          </w:p>
        </w:tc>
      </w:tr>
      <w:tr w:rsidR="00350D52" w:rsidRPr="00115198" w:rsidTr="00925A3A">
        <w:trPr>
          <w:trHeight w:val="255"/>
          <w:jc w:val="center"/>
        </w:trPr>
        <w:tc>
          <w:tcPr>
            <w:tcW w:w="847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350D52" w:rsidRDefault="00350D52" w:rsidP="00350D52">
            <w:pPr>
              <w:widowControl/>
              <w:rPr>
                <w:sz w:val="16"/>
                <w:szCs w:val="16"/>
                <w:vertAlign w:val="superscript"/>
              </w:rPr>
            </w:pPr>
          </w:p>
          <w:p w:rsidR="00350D52" w:rsidRDefault="00350D52" w:rsidP="00350D52">
            <w:pPr>
              <w:widowControl/>
              <w:rPr>
                <w:sz w:val="16"/>
                <w:szCs w:val="16"/>
              </w:rPr>
            </w:pPr>
            <w:r w:rsidRPr="00A80908">
              <w:rPr>
                <w:sz w:val="16"/>
                <w:szCs w:val="16"/>
                <w:vertAlign w:val="superscript"/>
              </w:rPr>
              <w:t>a</w:t>
            </w:r>
            <w:r w:rsidRPr="00A80908">
              <w:rPr>
                <w:sz w:val="16"/>
                <w:szCs w:val="16"/>
              </w:rPr>
              <w:t xml:space="preserve"> </w:t>
            </w:r>
            <w:r w:rsidRPr="00613E00">
              <w:rPr>
                <w:sz w:val="16"/>
                <w:szCs w:val="16"/>
              </w:rPr>
              <w:t xml:space="preserve">For </w:t>
            </w:r>
            <w:r>
              <w:rPr>
                <w:sz w:val="16"/>
                <w:szCs w:val="16"/>
              </w:rPr>
              <w:t xml:space="preserve">the </w:t>
            </w:r>
            <w:r w:rsidRPr="00613E00">
              <w:rPr>
                <w:sz w:val="16"/>
                <w:szCs w:val="16"/>
              </w:rPr>
              <w:t xml:space="preserve">Final Rule ICR we assume </w:t>
            </w:r>
            <w:r>
              <w:rPr>
                <w:sz w:val="16"/>
                <w:szCs w:val="16"/>
              </w:rPr>
              <w:t xml:space="preserve">that no more than </w:t>
            </w:r>
            <w:r w:rsidRPr="00613E00">
              <w:rPr>
                <w:sz w:val="16"/>
                <w:szCs w:val="16"/>
              </w:rPr>
              <w:t>10 percent CO2 is hazardous waste</w:t>
            </w:r>
            <w:r>
              <w:rPr>
                <w:sz w:val="16"/>
                <w:szCs w:val="16"/>
              </w:rPr>
              <w:t>.</w:t>
            </w:r>
          </w:p>
          <w:p w:rsidR="00350D52" w:rsidRDefault="00350D52" w:rsidP="00350D52">
            <w:pPr>
              <w:widowControl/>
              <w:rPr>
                <w:sz w:val="16"/>
                <w:szCs w:val="16"/>
              </w:rPr>
            </w:pPr>
            <w:r>
              <w:rPr>
                <w:sz w:val="16"/>
                <w:szCs w:val="16"/>
              </w:rPr>
              <w:t xml:space="preserve">The annual number for affected facilities is based on the </w:t>
            </w:r>
            <w:r w:rsidRPr="00613E00">
              <w:rPr>
                <w:sz w:val="16"/>
                <w:szCs w:val="16"/>
              </w:rPr>
              <w:t>revised high-end number of generators (19) an</w:t>
            </w:r>
            <w:r>
              <w:rPr>
                <w:sz w:val="16"/>
                <w:szCs w:val="16"/>
              </w:rPr>
              <w:t>d</w:t>
            </w:r>
            <w:r w:rsidRPr="00613E00">
              <w:rPr>
                <w:sz w:val="16"/>
                <w:szCs w:val="16"/>
              </w:rPr>
              <w:t xml:space="preserve"> </w:t>
            </w:r>
            <w:r>
              <w:rPr>
                <w:sz w:val="16"/>
                <w:szCs w:val="16"/>
              </w:rPr>
              <w:t xml:space="preserve">Class VI well owner/operators </w:t>
            </w:r>
            <w:r w:rsidRPr="00613E00">
              <w:rPr>
                <w:sz w:val="16"/>
                <w:szCs w:val="16"/>
              </w:rPr>
              <w:t>(9)</w:t>
            </w:r>
            <w:r>
              <w:rPr>
                <w:sz w:val="16"/>
                <w:szCs w:val="16"/>
              </w:rPr>
              <w:t xml:space="preserve"> that are projected would begin practice</w:t>
            </w:r>
            <w:r w:rsidRPr="00613E00">
              <w:rPr>
                <w:sz w:val="16"/>
                <w:szCs w:val="16"/>
              </w:rPr>
              <w:t xml:space="preserve"> </w:t>
            </w:r>
            <w:r>
              <w:rPr>
                <w:sz w:val="16"/>
                <w:szCs w:val="16"/>
              </w:rPr>
              <w:t xml:space="preserve">over the three-year ICR duration period, as derived from the June 2, 2011 </w:t>
            </w:r>
            <w:r w:rsidRPr="00350D52">
              <w:rPr>
                <w:i/>
                <w:sz w:val="16"/>
                <w:szCs w:val="16"/>
              </w:rPr>
              <w:t>Assessment</w:t>
            </w:r>
            <w:r>
              <w:rPr>
                <w:sz w:val="16"/>
                <w:szCs w:val="16"/>
              </w:rPr>
              <w:t xml:space="preserve"> Exhibits 5 and 10.</w:t>
            </w:r>
          </w:p>
          <w:p w:rsidR="00350D52" w:rsidRDefault="00350D52" w:rsidP="00350D52">
            <w:pPr>
              <w:widowControl/>
              <w:ind w:left="450"/>
              <w:rPr>
                <w:sz w:val="16"/>
                <w:szCs w:val="16"/>
                <w:vertAlign w:val="superscript"/>
              </w:rPr>
            </w:pPr>
          </w:p>
          <w:p w:rsidR="00350D52" w:rsidRDefault="00350D52" w:rsidP="00350D52">
            <w:pPr>
              <w:widowControl/>
              <w:rPr>
                <w:sz w:val="16"/>
                <w:szCs w:val="16"/>
              </w:rPr>
            </w:pPr>
            <w:r w:rsidRPr="00A37AE3">
              <w:rPr>
                <w:sz w:val="16"/>
                <w:szCs w:val="16"/>
                <w:vertAlign w:val="superscript"/>
              </w:rPr>
              <w:t>b</w:t>
            </w:r>
            <w:r>
              <w:rPr>
                <w:sz w:val="16"/>
                <w:szCs w:val="16"/>
                <w:vertAlign w:val="superscript"/>
              </w:rPr>
              <w:t xml:space="preserve"> </w:t>
            </w:r>
            <w:r w:rsidR="002C4EAA" w:rsidRPr="002C4EAA">
              <w:rPr>
                <w:sz w:val="16"/>
                <w:szCs w:val="16"/>
              </w:rPr>
              <w:t xml:space="preserve">Table contains rounding.  </w:t>
            </w:r>
            <w:r>
              <w:rPr>
                <w:sz w:val="16"/>
                <w:szCs w:val="16"/>
              </w:rPr>
              <w:t>Three-year averages round</w:t>
            </w:r>
            <w:r w:rsidR="00C54ED0">
              <w:rPr>
                <w:sz w:val="16"/>
                <w:szCs w:val="16"/>
              </w:rPr>
              <w:t>ed up</w:t>
            </w:r>
            <w:r>
              <w:rPr>
                <w:sz w:val="16"/>
                <w:szCs w:val="16"/>
              </w:rPr>
              <w:t xml:space="preserve">. </w:t>
            </w:r>
          </w:p>
          <w:p w:rsidR="00350D52" w:rsidRPr="00C762D2" w:rsidRDefault="00350D52" w:rsidP="00350D52">
            <w:pPr>
              <w:widowControl/>
              <w:autoSpaceDE/>
              <w:autoSpaceDN/>
              <w:adjustRightInd/>
              <w:rPr>
                <w:b/>
                <w:bCs/>
                <w:sz w:val="22"/>
                <w:szCs w:val="22"/>
              </w:rPr>
            </w:pPr>
          </w:p>
        </w:tc>
      </w:tr>
    </w:tbl>
    <w:p w:rsidR="00350D52" w:rsidRDefault="00350D52" w:rsidP="00350D52">
      <w:pPr>
        <w:widowControl/>
        <w:ind w:left="720"/>
        <w:rPr>
          <w:sz w:val="16"/>
          <w:szCs w:val="16"/>
          <w:vertAlign w:val="superscript"/>
        </w:rPr>
      </w:pPr>
    </w:p>
    <w:p w:rsidR="00AE03B2" w:rsidRPr="00A37AE3" w:rsidRDefault="00AE03B2" w:rsidP="00A80908">
      <w:pPr>
        <w:widowControl/>
        <w:ind w:left="450"/>
        <w:rPr>
          <w:b/>
          <w:sz w:val="16"/>
          <w:szCs w:val="16"/>
        </w:rPr>
      </w:pPr>
    </w:p>
    <w:p w:rsidR="00613E00" w:rsidRDefault="00613E00" w:rsidP="00613E00">
      <w:pPr>
        <w:widowControl/>
        <w:rPr>
          <w:sz w:val="16"/>
          <w:szCs w:val="16"/>
        </w:rPr>
      </w:pPr>
    </w:p>
    <w:p w:rsidR="00613E00" w:rsidRPr="00613E00" w:rsidRDefault="00613E00" w:rsidP="00613E00">
      <w:pPr>
        <w:widowControl/>
        <w:rPr>
          <w:sz w:val="16"/>
          <w:szCs w:val="16"/>
        </w:rPr>
      </w:pPr>
    </w:p>
    <w:p w:rsidR="00EF7BAB" w:rsidRDefault="00EF7BAB" w:rsidP="00EF7BAB">
      <w:pPr>
        <w:ind w:firstLine="720"/>
        <w:rPr>
          <w:sz w:val="24"/>
        </w:rPr>
      </w:pPr>
      <w:r w:rsidRPr="001907B8">
        <w:rPr>
          <w:sz w:val="24"/>
        </w:rPr>
        <w:t>Table 4</w:t>
      </w:r>
      <w:r>
        <w:rPr>
          <w:sz w:val="24"/>
        </w:rPr>
        <w:t xml:space="preserve"> also</w:t>
      </w:r>
      <w:r w:rsidRPr="001907B8">
        <w:rPr>
          <w:sz w:val="24"/>
        </w:rPr>
        <w:t xml:space="preserve"> presents that annual number of generators and </w:t>
      </w:r>
      <w:r>
        <w:rPr>
          <w:sz w:val="24"/>
        </w:rPr>
        <w:t>Class VI UIC w</w:t>
      </w:r>
      <w:r w:rsidRPr="001907B8">
        <w:rPr>
          <w:sz w:val="24"/>
        </w:rPr>
        <w:t xml:space="preserve">ell </w:t>
      </w:r>
      <w:r>
        <w:rPr>
          <w:sz w:val="24"/>
        </w:rPr>
        <w:t>owner/o</w:t>
      </w:r>
      <w:r w:rsidRPr="001907B8">
        <w:rPr>
          <w:sz w:val="24"/>
        </w:rPr>
        <w:t xml:space="preserve">perators that are estimated to </w:t>
      </w:r>
      <w:r>
        <w:rPr>
          <w:sz w:val="24"/>
        </w:rPr>
        <w:t xml:space="preserve">renew </w:t>
      </w:r>
      <w:r w:rsidRPr="001907B8">
        <w:rPr>
          <w:sz w:val="24"/>
        </w:rPr>
        <w:t>the</w:t>
      </w:r>
      <w:r w:rsidR="004D249A">
        <w:rPr>
          <w:sz w:val="24"/>
        </w:rPr>
        <w:t>ir</w:t>
      </w:r>
      <w:r w:rsidRPr="001907B8">
        <w:rPr>
          <w:sz w:val="24"/>
        </w:rPr>
        <w:t xml:space="preserve"> </w:t>
      </w:r>
      <w:r>
        <w:rPr>
          <w:sz w:val="24"/>
        </w:rPr>
        <w:t>certification statement</w:t>
      </w:r>
      <w:r w:rsidRPr="001907B8">
        <w:rPr>
          <w:sz w:val="24"/>
        </w:rPr>
        <w:t xml:space="preserve"> during the three-year period of this ICR.</w:t>
      </w:r>
      <w:r>
        <w:rPr>
          <w:sz w:val="24"/>
        </w:rPr>
        <w:t xml:space="preserve">  </w:t>
      </w:r>
      <w:r w:rsidRPr="001907B8">
        <w:rPr>
          <w:sz w:val="24"/>
        </w:rPr>
        <w:t>The number of respondents e</w:t>
      </w:r>
      <w:r>
        <w:rPr>
          <w:sz w:val="24"/>
        </w:rPr>
        <w:t>xpected to renew their certification statement</w:t>
      </w:r>
      <w:r w:rsidRPr="001907B8">
        <w:rPr>
          <w:sz w:val="24"/>
        </w:rPr>
        <w:t xml:space="preserve"> each year is equal to the </w:t>
      </w:r>
      <w:r>
        <w:rPr>
          <w:sz w:val="24"/>
        </w:rPr>
        <w:t xml:space="preserve">cumulative </w:t>
      </w:r>
      <w:r w:rsidRPr="001907B8">
        <w:rPr>
          <w:sz w:val="24"/>
        </w:rPr>
        <w:t xml:space="preserve">number of respondents that </w:t>
      </w:r>
      <w:r>
        <w:rPr>
          <w:sz w:val="24"/>
        </w:rPr>
        <w:t xml:space="preserve">have claimed the </w:t>
      </w:r>
      <w:r w:rsidR="00146ECA">
        <w:rPr>
          <w:sz w:val="24"/>
        </w:rPr>
        <w:t>exclusion</w:t>
      </w:r>
      <w:r>
        <w:rPr>
          <w:sz w:val="24"/>
        </w:rPr>
        <w:t xml:space="preserve"> in </w:t>
      </w:r>
      <w:r w:rsidRPr="001907B8">
        <w:rPr>
          <w:sz w:val="24"/>
        </w:rPr>
        <w:t xml:space="preserve">all prior years.  </w:t>
      </w:r>
    </w:p>
    <w:p w:rsidR="00EF7BAB" w:rsidRDefault="00EF7BAB" w:rsidP="00EF7BAB">
      <w:pPr>
        <w:ind w:firstLine="720"/>
        <w:rPr>
          <w:sz w:val="24"/>
        </w:rPr>
      </w:pPr>
    </w:p>
    <w:p w:rsidR="003C6349" w:rsidRDefault="00EF7BAB" w:rsidP="00336A21">
      <w:pPr>
        <w:widowControl/>
        <w:ind w:firstLine="720"/>
        <w:rPr>
          <w:sz w:val="24"/>
        </w:rPr>
      </w:pPr>
      <w:r w:rsidRPr="00EF7BAB">
        <w:rPr>
          <w:sz w:val="24"/>
        </w:rPr>
        <w:t xml:space="preserve">As shown in the table, </w:t>
      </w:r>
      <w:r w:rsidR="00546B49">
        <w:rPr>
          <w:sz w:val="24"/>
        </w:rPr>
        <w:t>EPA estimates t</w:t>
      </w:r>
      <w:r w:rsidR="003C6349">
        <w:rPr>
          <w:sz w:val="24"/>
        </w:rPr>
        <w:t>hat</w:t>
      </w:r>
      <w:r w:rsidR="00030F01">
        <w:rPr>
          <w:sz w:val="24"/>
        </w:rPr>
        <w:t xml:space="preserve"> </w:t>
      </w:r>
      <w:r>
        <w:rPr>
          <w:sz w:val="24"/>
        </w:rPr>
        <w:t>3</w:t>
      </w:r>
      <w:r w:rsidR="00BB4241">
        <w:rPr>
          <w:sz w:val="24"/>
        </w:rPr>
        <w:t xml:space="preserve"> generators and </w:t>
      </w:r>
      <w:r w:rsidR="007767EA">
        <w:rPr>
          <w:sz w:val="24"/>
        </w:rPr>
        <w:t>1</w:t>
      </w:r>
      <w:r w:rsidR="003C6349">
        <w:rPr>
          <w:sz w:val="24"/>
        </w:rPr>
        <w:t xml:space="preserve"> </w:t>
      </w:r>
      <w:r w:rsidR="00115198">
        <w:rPr>
          <w:sz w:val="24"/>
        </w:rPr>
        <w:t xml:space="preserve">Class VI UIC well </w:t>
      </w:r>
      <w:r w:rsidR="00A5779C">
        <w:rPr>
          <w:sz w:val="24"/>
        </w:rPr>
        <w:t>owner/operator would</w:t>
      </w:r>
      <w:r w:rsidR="003C6349">
        <w:rPr>
          <w:sz w:val="24"/>
        </w:rPr>
        <w:t xml:space="preserve"> renew the certification on average annually during the three-year period of this ICR.</w:t>
      </w:r>
      <w:r w:rsidR="00546B49">
        <w:rPr>
          <w:sz w:val="24"/>
        </w:rPr>
        <w:t xml:space="preserve">  </w:t>
      </w:r>
      <w:r w:rsidR="00030F01">
        <w:rPr>
          <w:sz w:val="24"/>
        </w:rPr>
        <w:t>In total, t</w:t>
      </w:r>
      <w:r w:rsidR="004178C1" w:rsidRPr="00EF7BAB">
        <w:rPr>
          <w:sz w:val="24"/>
        </w:rPr>
        <w:t xml:space="preserve">his equates to </w:t>
      </w:r>
      <w:r w:rsidR="007767EA">
        <w:rPr>
          <w:sz w:val="24"/>
        </w:rPr>
        <w:t>4</w:t>
      </w:r>
      <w:r w:rsidR="004178C1">
        <w:rPr>
          <w:sz w:val="24"/>
        </w:rPr>
        <w:t xml:space="preserve"> respondents on average annually.   </w:t>
      </w:r>
      <w:r w:rsidR="007767EA">
        <w:rPr>
          <w:sz w:val="24"/>
        </w:rPr>
        <w:t xml:space="preserve">We applied our </w:t>
      </w:r>
      <w:r w:rsidR="00336A21">
        <w:rPr>
          <w:sz w:val="24"/>
        </w:rPr>
        <w:t>best professional j</w:t>
      </w:r>
      <w:r w:rsidR="00A871CD">
        <w:rPr>
          <w:sz w:val="24"/>
        </w:rPr>
        <w:t>udgment to estimate that it would</w:t>
      </w:r>
      <w:r w:rsidR="00336A21">
        <w:rPr>
          <w:sz w:val="24"/>
        </w:rPr>
        <w:t xml:space="preserve"> take 2 hours for each </w:t>
      </w:r>
      <w:r w:rsidR="00BA598C">
        <w:rPr>
          <w:sz w:val="24"/>
        </w:rPr>
        <w:t>respondent</w:t>
      </w:r>
      <w:r w:rsidR="00336A21">
        <w:rPr>
          <w:sz w:val="24"/>
        </w:rPr>
        <w:t xml:space="preserve"> to renew its certification statement annually.</w:t>
      </w:r>
    </w:p>
    <w:p w:rsidR="00336A21" w:rsidRDefault="00336A21" w:rsidP="00336A21">
      <w:pPr>
        <w:widowControl/>
        <w:ind w:firstLine="720"/>
        <w:rPr>
          <w:sz w:val="24"/>
        </w:rPr>
      </w:pPr>
    </w:p>
    <w:p w:rsidR="004A3FC1" w:rsidRDefault="004A3FC1" w:rsidP="004367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 xml:space="preserve">Finally, </w:t>
      </w:r>
      <w:r w:rsidR="007767EA">
        <w:rPr>
          <w:sz w:val="24"/>
        </w:rPr>
        <w:t>we</w:t>
      </w:r>
      <w:r w:rsidR="00A871CD">
        <w:rPr>
          <w:sz w:val="24"/>
        </w:rPr>
        <w:t xml:space="preserve"> estimate that there would</w:t>
      </w:r>
      <w:r w:rsidR="00685C4E">
        <w:rPr>
          <w:sz w:val="24"/>
        </w:rPr>
        <w:t xml:space="preserve"> be </w:t>
      </w:r>
      <w:r w:rsidR="007767EA">
        <w:rPr>
          <w:sz w:val="24"/>
        </w:rPr>
        <w:t>4</w:t>
      </w:r>
      <w:r w:rsidR="00436786">
        <w:rPr>
          <w:sz w:val="24"/>
        </w:rPr>
        <w:t xml:space="preserve"> generators and Class VI UIC owner/operators under the </w:t>
      </w:r>
      <w:r w:rsidR="00146ECA">
        <w:rPr>
          <w:sz w:val="24"/>
        </w:rPr>
        <w:t>exclusion</w:t>
      </w:r>
      <w:r w:rsidR="00436786">
        <w:rPr>
          <w:sz w:val="24"/>
        </w:rPr>
        <w:t xml:space="preserve"> by the end of the first year, </w:t>
      </w:r>
      <w:r w:rsidR="007767EA">
        <w:rPr>
          <w:sz w:val="24"/>
        </w:rPr>
        <w:t>5</w:t>
      </w:r>
      <w:r w:rsidR="00436786">
        <w:rPr>
          <w:sz w:val="24"/>
        </w:rPr>
        <w:t xml:space="preserve"> </w:t>
      </w:r>
      <w:r w:rsidR="00685C4E">
        <w:rPr>
          <w:sz w:val="24"/>
        </w:rPr>
        <w:t xml:space="preserve">by the end of the second, and </w:t>
      </w:r>
      <w:r w:rsidR="007767EA">
        <w:rPr>
          <w:sz w:val="24"/>
        </w:rPr>
        <w:t>5</w:t>
      </w:r>
      <w:r w:rsidR="00436786">
        <w:rPr>
          <w:sz w:val="24"/>
        </w:rPr>
        <w:t xml:space="preserve"> by the end of the third. </w:t>
      </w:r>
      <w:r w:rsidR="00D433D6">
        <w:rPr>
          <w:sz w:val="24"/>
        </w:rPr>
        <w:t xml:space="preserve"> </w:t>
      </w:r>
      <w:r w:rsidR="00436786">
        <w:rPr>
          <w:sz w:val="24"/>
        </w:rPr>
        <w:t>Hence, EPA estima</w:t>
      </w:r>
      <w:r w:rsidR="00A871CD">
        <w:rPr>
          <w:sz w:val="24"/>
        </w:rPr>
        <w:t xml:space="preserve">tes that, on average, there </w:t>
      </w:r>
      <w:r w:rsidR="00B815F9">
        <w:rPr>
          <w:sz w:val="24"/>
        </w:rPr>
        <w:t>could be as many as 7</w:t>
      </w:r>
      <w:r w:rsidR="00436786">
        <w:rPr>
          <w:sz w:val="24"/>
        </w:rPr>
        <w:t xml:space="preserve"> </w:t>
      </w:r>
      <w:r w:rsidR="00B815F9">
        <w:rPr>
          <w:sz w:val="24"/>
        </w:rPr>
        <w:t xml:space="preserve">(summed from subtotals) </w:t>
      </w:r>
      <w:r w:rsidR="008B5B0B">
        <w:rPr>
          <w:sz w:val="24"/>
        </w:rPr>
        <w:t>respondents</w:t>
      </w:r>
      <w:r w:rsidR="00436786">
        <w:rPr>
          <w:sz w:val="24"/>
        </w:rPr>
        <w:t xml:space="preserve"> on average during the</w:t>
      </w:r>
      <w:r w:rsidR="005C29BA">
        <w:rPr>
          <w:sz w:val="24"/>
        </w:rPr>
        <w:t xml:space="preserve"> ICR’s</w:t>
      </w:r>
      <w:r w:rsidR="003457C4">
        <w:rPr>
          <w:sz w:val="24"/>
        </w:rPr>
        <w:t xml:space="preserve"> three-year period</w:t>
      </w:r>
      <w:r w:rsidR="00436786">
        <w:rPr>
          <w:sz w:val="24"/>
        </w:rPr>
        <w:t xml:space="preserve">.  </w:t>
      </w:r>
      <w:r w:rsidR="0085466A">
        <w:rPr>
          <w:sz w:val="24"/>
        </w:rPr>
        <w:t xml:space="preserve">Based on </w:t>
      </w:r>
      <w:r w:rsidR="00B815F9">
        <w:rPr>
          <w:sz w:val="24"/>
        </w:rPr>
        <w:t xml:space="preserve">our </w:t>
      </w:r>
      <w:r w:rsidR="0085466A">
        <w:rPr>
          <w:sz w:val="24"/>
        </w:rPr>
        <w:t xml:space="preserve">best professional judgment, </w:t>
      </w:r>
      <w:r w:rsidR="00B815F9">
        <w:rPr>
          <w:sz w:val="24"/>
        </w:rPr>
        <w:t>we</w:t>
      </w:r>
      <w:r w:rsidR="00436786">
        <w:rPr>
          <w:sz w:val="24"/>
        </w:rPr>
        <w:t xml:space="preserve"> expect that, ea</w:t>
      </w:r>
      <w:r w:rsidR="00A871CD">
        <w:rPr>
          <w:sz w:val="24"/>
        </w:rPr>
        <w:t xml:space="preserve">ch year, 30 percent of </w:t>
      </w:r>
      <w:r w:rsidR="00B815F9">
        <w:rPr>
          <w:sz w:val="24"/>
        </w:rPr>
        <w:t xml:space="preserve">affected facilities </w:t>
      </w:r>
      <w:r w:rsidR="00A871CD">
        <w:rPr>
          <w:sz w:val="24"/>
        </w:rPr>
        <w:t>would</w:t>
      </w:r>
      <w:r w:rsidR="00436786">
        <w:rPr>
          <w:sz w:val="24"/>
        </w:rPr>
        <w:t xml:space="preserve"> be asked </w:t>
      </w:r>
      <w:r w:rsidR="00436786">
        <w:rPr>
          <w:sz w:val="24"/>
        </w:rPr>
        <w:lastRenderedPageBreak/>
        <w:t>to submit their c</w:t>
      </w:r>
      <w:r w:rsidR="008346D3">
        <w:rPr>
          <w:sz w:val="24"/>
        </w:rPr>
        <w:t>ertifications to EPA or state</w:t>
      </w:r>
      <w:r w:rsidR="00436786">
        <w:rPr>
          <w:sz w:val="24"/>
        </w:rPr>
        <w:t xml:space="preserve">.  </w:t>
      </w:r>
      <w:r w:rsidR="00994ECB">
        <w:rPr>
          <w:sz w:val="24"/>
        </w:rPr>
        <w:t xml:space="preserve"> </w:t>
      </w:r>
      <w:r w:rsidR="00B815F9">
        <w:rPr>
          <w:sz w:val="24"/>
        </w:rPr>
        <w:t xml:space="preserve">We applied our </w:t>
      </w:r>
      <w:r w:rsidR="005A7531">
        <w:rPr>
          <w:sz w:val="24"/>
        </w:rPr>
        <w:t>best professional judgment to</w:t>
      </w:r>
      <w:r w:rsidR="00A871CD">
        <w:rPr>
          <w:sz w:val="24"/>
        </w:rPr>
        <w:t xml:space="preserve"> estimate that 90% </w:t>
      </w:r>
      <w:r w:rsidR="00B815F9">
        <w:rPr>
          <w:sz w:val="24"/>
        </w:rPr>
        <w:t xml:space="preserve">of these submissions </w:t>
      </w:r>
      <w:r w:rsidR="00A871CD">
        <w:rPr>
          <w:sz w:val="24"/>
        </w:rPr>
        <w:t>would</w:t>
      </w:r>
      <w:r w:rsidR="00994ECB">
        <w:rPr>
          <w:sz w:val="24"/>
        </w:rPr>
        <w:t xml:space="preserve"> be se</w:t>
      </w:r>
      <w:r w:rsidR="008346D3">
        <w:rPr>
          <w:sz w:val="24"/>
        </w:rPr>
        <w:t>nt to authorized states</w:t>
      </w:r>
      <w:r w:rsidR="00994ECB">
        <w:rPr>
          <w:sz w:val="24"/>
        </w:rPr>
        <w:t xml:space="preserve"> and 10% to EPA.</w:t>
      </w:r>
    </w:p>
    <w:p w:rsidR="004A3FC1" w:rsidRDefault="004A3FC1"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A3FC1" w:rsidRDefault="004A3FC1"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 xml:space="preserve">These estimates are </w:t>
      </w:r>
      <w:r w:rsidR="007A5419">
        <w:rPr>
          <w:sz w:val="24"/>
        </w:rPr>
        <w:t xml:space="preserve">incorporated into </w:t>
      </w:r>
      <w:r>
        <w:rPr>
          <w:sz w:val="24"/>
        </w:rPr>
        <w:t>Exhibit 1.</w:t>
      </w:r>
    </w:p>
    <w:p w:rsidR="004A3FC1" w:rsidRDefault="004A3FC1"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9376B" w:rsidRPr="0089376B" w:rsidRDefault="0089376B" w:rsidP="00F9182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89376B">
        <w:rPr>
          <w:b/>
          <w:sz w:val="24"/>
        </w:rPr>
        <w:tab/>
      </w:r>
      <w:r w:rsidR="00E91938">
        <w:rPr>
          <w:b/>
          <w:sz w:val="24"/>
        </w:rPr>
        <w:t>(2)</w:t>
      </w:r>
      <w:r w:rsidR="00E91938">
        <w:rPr>
          <w:b/>
          <w:sz w:val="24"/>
        </w:rPr>
        <w:tab/>
      </w:r>
      <w:r w:rsidRPr="0089376B">
        <w:rPr>
          <w:b/>
          <w:sz w:val="24"/>
        </w:rPr>
        <w:t>State Governments</w:t>
      </w:r>
    </w:p>
    <w:p w:rsidR="0089376B" w:rsidRDefault="0089376B" w:rsidP="00F9182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9376B" w:rsidRDefault="0089376B" w:rsidP="00F9182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007A5419">
        <w:rPr>
          <w:sz w:val="24"/>
        </w:rPr>
        <w:t xml:space="preserve">As discussed above, </w:t>
      </w:r>
      <w:r w:rsidRPr="008457B3">
        <w:rPr>
          <w:sz w:val="24"/>
        </w:rPr>
        <w:t xml:space="preserve">EPA </w:t>
      </w:r>
      <w:r w:rsidR="007A5419">
        <w:rPr>
          <w:sz w:val="24"/>
        </w:rPr>
        <w:t xml:space="preserve">applied </w:t>
      </w:r>
      <w:r w:rsidR="009C3382" w:rsidRPr="008457B3">
        <w:rPr>
          <w:sz w:val="24"/>
        </w:rPr>
        <w:t xml:space="preserve">best professional judgment to </w:t>
      </w:r>
      <w:r w:rsidRPr="008457B3">
        <w:rPr>
          <w:sz w:val="24"/>
        </w:rPr>
        <w:t>estimate that state government</w:t>
      </w:r>
      <w:r w:rsidR="000F165C">
        <w:rPr>
          <w:sz w:val="24"/>
        </w:rPr>
        <w:t>s would</w:t>
      </w:r>
      <w:r w:rsidR="008346D3" w:rsidRPr="008457B3">
        <w:rPr>
          <w:sz w:val="24"/>
        </w:rPr>
        <w:t xml:space="preserve"> prepare and transmit </w:t>
      </w:r>
      <w:r w:rsidR="007A5419">
        <w:rPr>
          <w:sz w:val="24"/>
        </w:rPr>
        <w:t>1</w:t>
      </w:r>
      <w:r w:rsidRPr="008457B3">
        <w:rPr>
          <w:sz w:val="24"/>
        </w:rPr>
        <w:t xml:space="preserve"> request to generators </w:t>
      </w:r>
      <w:r w:rsidR="007A5419">
        <w:rPr>
          <w:sz w:val="24"/>
        </w:rPr>
        <w:t>or</w:t>
      </w:r>
      <w:r w:rsidRPr="008457B3">
        <w:rPr>
          <w:sz w:val="24"/>
        </w:rPr>
        <w:t xml:space="preserve"> Class VI well owner/operators for their signed certifications</w:t>
      </w:r>
      <w:r w:rsidR="003C0583" w:rsidRPr="008457B3">
        <w:rPr>
          <w:sz w:val="24"/>
        </w:rPr>
        <w:t xml:space="preserve"> annually</w:t>
      </w:r>
      <w:r w:rsidRPr="008457B3">
        <w:rPr>
          <w:sz w:val="24"/>
        </w:rPr>
        <w:t xml:space="preserve">.  </w:t>
      </w:r>
      <w:r w:rsidR="007A5419">
        <w:rPr>
          <w:sz w:val="24"/>
        </w:rPr>
        <w:t>S</w:t>
      </w:r>
      <w:r w:rsidRPr="008457B3">
        <w:rPr>
          <w:sz w:val="24"/>
        </w:rPr>
        <w:t xml:space="preserve">tate governments </w:t>
      </w:r>
      <w:r w:rsidR="007A5419">
        <w:rPr>
          <w:sz w:val="24"/>
        </w:rPr>
        <w:t xml:space="preserve">would </w:t>
      </w:r>
      <w:r w:rsidR="007C7D74" w:rsidRPr="008457B3">
        <w:rPr>
          <w:sz w:val="24"/>
        </w:rPr>
        <w:t xml:space="preserve">then </w:t>
      </w:r>
      <w:r w:rsidRPr="008457B3">
        <w:rPr>
          <w:sz w:val="24"/>
        </w:rPr>
        <w:t xml:space="preserve">receive, review and file </w:t>
      </w:r>
      <w:r w:rsidR="007A5419">
        <w:rPr>
          <w:sz w:val="24"/>
        </w:rPr>
        <w:t>these statements</w:t>
      </w:r>
      <w:r w:rsidRPr="008457B3">
        <w:rPr>
          <w:sz w:val="24"/>
        </w:rPr>
        <w:t>.</w:t>
      </w:r>
      <w:r w:rsidR="002012F1" w:rsidRPr="008457B3">
        <w:rPr>
          <w:sz w:val="24"/>
        </w:rPr>
        <w:t xml:space="preserve">  </w:t>
      </w:r>
      <w:r w:rsidR="00105976" w:rsidRPr="008457B3">
        <w:rPr>
          <w:sz w:val="24"/>
        </w:rPr>
        <w:t xml:space="preserve">In addition, </w:t>
      </w:r>
      <w:r w:rsidR="007A5419">
        <w:rPr>
          <w:sz w:val="24"/>
        </w:rPr>
        <w:t xml:space="preserve">we estimated, based on our </w:t>
      </w:r>
      <w:r w:rsidR="00105976" w:rsidRPr="008457B3">
        <w:rPr>
          <w:sz w:val="24"/>
        </w:rPr>
        <w:t>best professional judgment</w:t>
      </w:r>
      <w:r w:rsidR="007A5419">
        <w:rPr>
          <w:sz w:val="24"/>
        </w:rPr>
        <w:t xml:space="preserve">, </w:t>
      </w:r>
      <w:r w:rsidR="000F165C">
        <w:rPr>
          <w:sz w:val="24"/>
        </w:rPr>
        <w:t>that state governments would</w:t>
      </w:r>
      <w:r w:rsidR="00105976" w:rsidRPr="008457B3">
        <w:rPr>
          <w:sz w:val="24"/>
        </w:rPr>
        <w:t xml:space="preserve"> take </w:t>
      </w:r>
      <w:r w:rsidR="007A5419">
        <w:rPr>
          <w:sz w:val="24"/>
        </w:rPr>
        <w:t>one</w:t>
      </w:r>
      <w:r w:rsidR="00105976" w:rsidRPr="008457B3">
        <w:rPr>
          <w:sz w:val="24"/>
        </w:rPr>
        <w:t xml:space="preserve"> hour to prepare</w:t>
      </w:r>
      <w:r w:rsidR="00105976">
        <w:rPr>
          <w:sz w:val="24"/>
        </w:rPr>
        <w:t xml:space="preserve"> a letter requesting a certification statement and 30 minutes </w:t>
      </w:r>
      <w:r w:rsidR="006B4B72">
        <w:rPr>
          <w:sz w:val="24"/>
        </w:rPr>
        <w:t xml:space="preserve">(i.e., 50 percent of one hour, as presented in the Exhibit) </w:t>
      </w:r>
      <w:r w:rsidR="00105976">
        <w:rPr>
          <w:sz w:val="24"/>
        </w:rPr>
        <w:t xml:space="preserve">to receive, review and file the certification after receipt.  </w:t>
      </w:r>
      <w:r w:rsidR="002012F1">
        <w:rPr>
          <w:sz w:val="24"/>
        </w:rPr>
        <w:t>Th</w:t>
      </w:r>
      <w:r w:rsidR="00105976">
        <w:rPr>
          <w:sz w:val="24"/>
        </w:rPr>
        <w:t>ese</w:t>
      </w:r>
      <w:r w:rsidR="002012F1">
        <w:rPr>
          <w:sz w:val="24"/>
        </w:rPr>
        <w:t xml:space="preserve"> estimate</w:t>
      </w:r>
      <w:r w:rsidR="00105976">
        <w:rPr>
          <w:sz w:val="24"/>
        </w:rPr>
        <w:t>s are</w:t>
      </w:r>
      <w:r w:rsidR="002012F1">
        <w:rPr>
          <w:sz w:val="24"/>
        </w:rPr>
        <w:t xml:space="preserve"> reflected in Exhibit 2.</w:t>
      </w:r>
    </w:p>
    <w:p w:rsidR="007E29A6" w:rsidRPr="007E29A6" w:rsidRDefault="007E29A6" w:rsidP="00F9182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7E29A6" w:rsidRPr="007E29A6" w:rsidRDefault="007E29A6" w:rsidP="00F9182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7E29A6">
        <w:rPr>
          <w:b/>
          <w:sz w:val="24"/>
        </w:rPr>
        <w:tab/>
        <w:t>(3)</w:t>
      </w:r>
      <w:r w:rsidRPr="007E29A6">
        <w:rPr>
          <w:b/>
          <w:sz w:val="24"/>
        </w:rPr>
        <w:tab/>
        <w:t xml:space="preserve">Total </w:t>
      </w:r>
      <w:r>
        <w:rPr>
          <w:b/>
          <w:sz w:val="24"/>
        </w:rPr>
        <w:t>R</w:t>
      </w:r>
      <w:r w:rsidR="00CA1DA3">
        <w:rPr>
          <w:b/>
          <w:sz w:val="24"/>
        </w:rPr>
        <w:t>espondent Burden under Proposed</w:t>
      </w:r>
      <w:r>
        <w:rPr>
          <w:b/>
          <w:sz w:val="24"/>
        </w:rPr>
        <w:t xml:space="preserve"> Paperwork Requirements</w:t>
      </w:r>
    </w:p>
    <w:p w:rsidR="0089376B" w:rsidRDefault="0089376B"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7E29A6" w:rsidRDefault="007E29A6"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Exhibit 3 presents the total annual burden to private sector and state government respondents under the new paperwork requirements</w:t>
      </w:r>
      <w:r w:rsidRPr="000545A6">
        <w:rPr>
          <w:sz w:val="24"/>
        </w:rPr>
        <w:t>.</w:t>
      </w:r>
      <w:r w:rsidR="00FD6033" w:rsidRPr="000545A6">
        <w:rPr>
          <w:sz w:val="24"/>
        </w:rPr>
        <w:t xml:space="preserve">  </w:t>
      </w:r>
      <w:r w:rsidR="00D63671">
        <w:rPr>
          <w:sz w:val="24"/>
        </w:rPr>
        <w:t xml:space="preserve">The Exhibit indicates that </w:t>
      </w:r>
      <w:r w:rsidR="00863D19">
        <w:rPr>
          <w:sz w:val="24"/>
        </w:rPr>
        <w:t xml:space="preserve">these respondents are estimated to incur </w:t>
      </w:r>
      <w:r w:rsidR="000A6B78">
        <w:rPr>
          <w:sz w:val="24"/>
        </w:rPr>
        <w:t xml:space="preserve">approximately </w:t>
      </w:r>
      <w:r w:rsidR="00D63671">
        <w:rPr>
          <w:sz w:val="24"/>
        </w:rPr>
        <w:t>38</w:t>
      </w:r>
      <w:r w:rsidR="00FD6033" w:rsidRPr="000545A6">
        <w:rPr>
          <w:sz w:val="24"/>
        </w:rPr>
        <w:t xml:space="preserve"> hours and $</w:t>
      </w:r>
      <w:r w:rsidR="00D63671">
        <w:rPr>
          <w:sz w:val="24"/>
        </w:rPr>
        <w:t>3,765</w:t>
      </w:r>
      <w:r w:rsidR="00863D19">
        <w:rPr>
          <w:sz w:val="24"/>
        </w:rPr>
        <w:t xml:space="preserve"> annually</w:t>
      </w:r>
      <w:r w:rsidR="00FD6033" w:rsidRPr="000545A6">
        <w:rPr>
          <w:sz w:val="24"/>
        </w:rPr>
        <w:t>.</w:t>
      </w:r>
    </w:p>
    <w:p w:rsidR="007E29A6" w:rsidRDefault="007E29A6"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A3FC1" w:rsidRPr="004D7FBB" w:rsidRDefault="004D7FBB" w:rsidP="00AF37F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4D7FBB">
        <w:rPr>
          <w:b/>
          <w:sz w:val="24"/>
        </w:rPr>
        <w:t>EXISTING</w:t>
      </w:r>
      <w:r>
        <w:rPr>
          <w:b/>
          <w:sz w:val="24"/>
        </w:rPr>
        <w:t xml:space="preserve"> PAPERWORK </w:t>
      </w:r>
      <w:r w:rsidRPr="004D7FBB">
        <w:rPr>
          <w:b/>
          <w:sz w:val="24"/>
        </w:rPr>
        <w:t>REQUIREMENTS</w:t>
      </w:r>
    </w:p>
    <w:p w:rsidR="004A3FC1" w:rsidRDefault="004A3FC1" w:rsidP="00AF37F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FE0D2D" w:rsidRDefault="00FE0D2D" w:rsidP="00AF37F1">
      <w:pPr>
        <w:keepNext/>
        <w:keepLines/>
        <w:widowControl/>
        <w:ind w:firstLine="720"/>
        <w:rPr>
          <w:sz w:val="24"/>
        </w:rPr>
      </w:pPr>
      <w:r>
        <w:rPr>
          <w:sz w:val="24"/>
        </w:rPr>
        <w:t xml:space="preserve">Generators and Class VI UIC well owner/operators </w:t>
      </w:r>
      <w:r w:rsidR="00FC2A4D">
        <w:rPr>
          <w:sz w:val="24"/>
        </w:rPr>
        <w:t>claiming</w:t>
      </w:r>
      <w:r w:rsidR="00D20A9B">
        <w:rPr>
          <w:sz w:val="24"/>
        </w:rPr>
        <w:t xml:space="preserve"> the </w:t>
      </w:r>
      <w:r w:rsidR="00146ECA">
        <w:rPr>
          <w:sz w:val="24"/>
        </w:rPr>
        <w:t>exclusion</w:t>
      </w:r>
      <w:r w:rsidR="00D20A9B">
        <w:rPr>
          <w:sz w:val="24"/>
        </w:rPr>
        <w:t xml:space="preserve"> </w:t>
      </w:r>
      <w:r w:rsidR="00FC2A4D">
        <w:rPr>
          <w:sz w:val="24"/>
        </w:rPr>
        <w:t>would</w:t>
      </w:r>
      <w:r>
        <w:rPr>
          <w:sz w:val="24"/>
        </w:rPr>
        <w:t xml:space="preserve"> not </w:t>
      </w:r>
      <w:r w:rsidR="00FC2A4D">
        <w:rPr>
          <w:sz w:val="24"/>
        </w:rPr>
        <w:t xml:space="preserve">be </w:t>
      </w:r>
      <w:r>
        <w:rPr>
          <w:sz w:val="24"/>
        </w:rPr>
        <w:t xml:space="preserve">subject to existing RCRA information collection requirements in handling the </w:t>
      </w:r>
      <w:r w:rsidR="009B5406">
        <w:rPr>
          <w:sz w:val="24"/>
        </w:rPr>
        <w:t>exempted CO</w:t>
      </w:r>
      <w:r w:rsidR="009B5406" w:rsidRPr="00C0304D">
        <w:rPr>
          <w:sz w:val="24"/>
          <w:vertAlign w:val="subscript"/>
        </w:rPr>
        <w:t>2</w:t>
      </w:r>
      <w:r w:rsidR="009B5406">
        <w:rPr>
          <w:sz w:val="24"/>
        </w:rPr>
        <w:t xml:space="preserve"> streams</w:t>
      </w:r>
      <w:r>
        <w:rPr>
          <w:sz w:val="24"/>
        </w:rPr>
        <w:t xml:space="preserve">.  As a result, these entities </w:t>
      </w:r>
      <w:r w:rsidR="00FC2A4D">
        <w:rPr>
          <w:sz w:val="24"/>
        </w:rPr>
        <w:t>would</w:t>
      </w:r>
      <w:r w:rsidR="009B5406">
        <w:rPr>
          <w:sz w:val="24"/>
        </w:rPr>
        <w:t xml:space="preserve"> </w:t>
      </w:r>
      <w:r w:rsidR="000450D2">
        <w:rPr>
          <w:sz w:val="24"/>
        </w:rPr>
        <w:t xml:space="preserve">experience </w:t>
      </w:r>
      <w:r w:rsidR="009B5406">
        <w:rPr>
          <w:sz w:val="24"/>
        </w:rPr>
        <w:t>some burden savings</w:t>
      </w:r>
      <w:r>
        <w:rPr>
          <w:sz w:val="24"/>
        </w:rPr>
        <w:t xml:space="preserve"> under the existing </w:t>
      </w:r>
      <w:r w:rsidR="009B5406">
        <w:rPr>
          <w:sz w:val="24"/>
        </w:rPr>
        <w:t xml:space="preserve">RCRA </w:t>
      </w:r>
      <w:r>
        <w:rPr>
          <w:sz w:val="24"/>
        </w:rPr>
        <w:t>paperwork requirements.</w:t>
      </w:r>
    </w:p>
    <w:p w:rsidR="00FE0D2D" w:rsidRDefault="00FE0D2D" w:rsidP="00FE0D2D">
      <w:pPr>
        <w:widowControl/>
        <w:rPr>
          <w:sz w:val="24"/>
        </w:rPr>
      </w:pPr>
      <w:r>
        <w:rPr>
          <w:sz w:val="24"/>
        </w:rPr>
        <w:tab/>
      </w:r>
    </w:p>
    <w:p w:rsidR="00FE0D2D" w:rsidRPr="00421F90" w:rsidRDefault="009B5406" w:rsidP="00FE0D2D">
      <w:pPr>
        <w:widowControl/>
        <w:ind w:firstLine="720"/>
        <w:rPr>
          <w:sz w:val="24"/>
        </w:rPr>
      </w:pPr>
      <w:r>
        <w:rPr>
          <w:sz w:val="24"/>
        </w:rPr>
        <w:t xml:space="preserve">Exhibit </w:t>
      </w:r>
      <w:r w:rsidR="007E29A6">
        <w:rPr>
          <w:sz w:val="24"/>
        </w:rPr>
        <w:t>4</w:t>
      </w:r>
      <w:r w:rsidR="00FE0D2D">
        <w:rPr>
          <w:sz w:val="24"/>
        </w:rPr>
        <w:t xml:space="preserve"> presents the total annual burden under the </w:t>
      </w:r>
      <w:r w:rsidR="000450D2">
        <w:rPr>
          <w:sz w:val="24"/>
        </w:rPr>
        <w:t>final</w:t>
      </w:r>
      <w:r w:rsidR="00FE0D2D">
        <w:rPr>
          <w:sz w:val="24"/>
        </w:rPr>
        <w:t xml:space="preserve"> rule’s paperwork requirements</w:t>
      </w:r>
      <w:r w:rsidR="00F653E5">
        <w:rPr>
          <w:sz w:val="24"/>
        </w:rPr>
        <w:t>,</w:t>
      </w:r>
      <w:r w:rsidR="00FE0D2D">
        <w:rPr>
          <w:sz w:val="24"/>
        </w:rPr>
        <w:t xml:space="preserve"> the annual burden savings under the existing paperwork requirements</w:t>
      </w:r>
      <w:r w:rsidR="00F653E5">
        <w:rPr>
          <w:sz w:val="24"/>
        </w:rPr>
        <w:t>, and the net savings</w:t>
      </w:r>
      <w:r w:rsidR="00FE0D2D">
        <w:rPr>
          <w:sz w:val="24"/>
        </w:rPr>
        <w:t xml:space="preserve">.  </w:t>
      </w:r>
      <w:r w:rsidR="009E6DC2">
        <w:rPr>
          <w:sz w:val="24"/>
        </w:rPr>
        <w:t xml:space="preserve">Exhibit 4 </w:t>
      </w:r>
      <w:r w:rsidR="00EB7CD1">
        <w:rPr>
          <w:sz w:val="24"/>
        </w:rPr>
        <w:t xml:space="preserve">presents the </w:t>
      </w:r>
      <w:r w:rsidR="00FE0D2D">
        <w:rPr>
          <w:sz w:val="24"/>
        </w:rPr>
        <w:t xml:space="preserve">savings </w:t>
      </w:r>
      <w:r w:rsidR="00EB7CD1">
        <w:rPr>
          <w:sz w:val="24"/>
        </w:rPr>
        <w:t xml:space="preserve">under the existing requirements </w:t>
      </w:r>
      <w:r w:rsidR="00FE0D2D">
        <w:rPr>
          <w:sz w:val="24"/>
        </w:rPr>
        <w:t>according to the approved ICR in whic</w:t>
      </w:r>
      <w:r w:rsidR="00FE0D2D" w:rsidRPr="00421F90">
        <w:rPr>
          <w:sz w:val="24"/>
        </w:rPr>
        <w:t>h the requirements are addressed.  Below is a brief discussion of these ICRs:</w:t>
      </w:r>
    </w:p>
    <w:p w:rsidR="00FE0D2D" w:rsidRPr="00421F90" w:rsidRDefault="00FE0D2D" w:rsidP="00FE0D2D">
      <w:pPr>
        <w:widowControl/>
        <w:rPr>
          <w:sz w:val="24"/>
        </w:rPr>
      </w:pPr>
    </w:p>
    <w:p w:rsidR="00E50D53" w:rsidRPr="00421F90" w:rsidRDefault="00FE0D2D" w:rsidP="00E50D53">
      <w:pPr>
        <w:widowControl/>
        <w:numPr>
          <w:ilvl w:val="0"/>
          <w:numId w:val="3"/>
        </w:numPr>
        <w:rPr>
          <w:sz w:val="24"/>
        </w:rPr>
      </w:pPr>
      <w:r w:rsidRPr="00421F90">
        <w:rPr>
          <w:sz w:val="24"/>
        </w:rPr>
        <w:t>Hazardous Waste Generator Standards (EPA ICR Number 820).  EPA estimates that</w:t>
      </w:r>
      <w:r w:rsidR="00AA291C" w:rsidRPr="00421F90">
        <w:rPr>
          <w:sz w:val="24"/>
        </w:rPr>
        <w:t xml:space="preserve"> </w:t>
      </w:r>
      <w:r w:rsidR="0041289B">
        <w:rPr>
          <w:sz w:val="24"/>
        </w:rPr>
        <w:t xml:space="preserve">facilities </w:t>
      </w:r>
      <w:r w:rsidR="00646225" w:rsidRPr="00421F90">
        <w:rPr>
          <w:sz w:val="24"/>
        </w:rPr>
        <w:t>that</w:t>
      </w:r>
      <w:r w:rsidR="00AA291C" w:rsidRPr="00421F90">
        <w:rPr>
          <w:sz w:val="24"/>
        </w:rPr>
        <w:t xml:space="preserve"> </w:t>
      </w:r>
      <w:r w:rsidR="00E672EF" w:rsidRPr="00421F90">
        <w:rPr>
          <w:sz w:val="24"/>
        </w:rPr>
        <w:t>beg</w:t>
      </w:r>
      <w:r w:rsidR="00683F36" w:rsidRPr="00421F90">
        <w:rPr>
          <w:sz w:val="24"/>
        </w:rPr>
        <w:t>i</w:t>
      </w:r>
      <w:r w:rsidR="00E672EF" w:rsidRPr="00421F90">
        <w:rPr>
          <w:sz w:val="24"/>
        </w:rPr>
        <w:t xml:space="preserve">n </w:t>
      </w:r>
      <w:r w:rsidR="00AA291C" w:rsidRPr="00421F90">
        <w:rPr>
          <w:sz w:val="24"/>
        </w:rPr>
        <w:t>captur</w:t>
      </w:r>
      <w:r w:rsidR="00E672EF" w:rsidRPr="00421F90">
        <w:rPr>
          <w:sz w:val="24"/>
        </w:rPr>
        <w:t>ing</w:t>
      </w:r>
      <w:r w:rsidR="00AA291C" w:rsidRPr="00421F90">
        <w:rPr>
          <w:sz w:val="24"/>
        </w:rPr>
        <w:t xml:space="preserve"> </w:t>
      </w:r>
      <w:r w:rsidR="00646225" w:rsidRPr="00421F90">
        <w:rPr>
          <w:sz w:val="24"/>
        </w:rPr>
        <w:t>hazardous waste</w:t>
      </w:r>
      <w:r w:rsidR="00AA291C" w:rsidRPr="00421F90">
        <w:rPr>
          <w:sz w:val="24"/>
        </w:rPr>
        <w:t xml:space="preserve"> </w:t>
      </w:r>
      <w:r w:rsidR="0079378D" w:rsidRPr="00421F90">
        <w:rPr>
          <w:sz w:val="24"/>
        </w:rPr>
        <w:t>CO</w:t>
      </w:r>
      <w:r w:rsidR="0079378D" w:rsidRPr="00421F90">
        <w:rPr>
          <w:sz w:val="24"/>
          <w:vertAlign w:val="subscript"/>
        </w:rPr>
        <w:t>2</w:t>
      </w:r>
      <w:r w:rsidR="00AA291C" w:rsidRPr="00421F90">
        <w:rPr>
          <w:sz w:val="24"/>
        </w:rPr>
        <w:t xml:space="preserve"> </w:t>
      </w:r>
      <w:r w:rsidR="0079378D" w:rsidRPr="00421F90">
        <w:rPr>
          <w:sz w:val="24"/>
        </w:rPr>
        <w:t xml:space="preserve">would </w:t>
      </w:r>
      <w:r w:rsidR="00AA291C" w:rsidRPr="00421F90">
        <w:rPr>
          <w:sz w:val="24"/>
        </w:rPr>
        <w:t xml:space="preserve">change in generator status from conditionally exempt small quantity generators (CESQGs) to </w:t>
      </w:r>
      <w:r w:rsidR="0079378D" w:rsidRPr="00421F90">
        <w:rPr>
          <w:sz w:val="24"/>
        </w:rPr>
        <w:t>large quantity generators (LQGs)</w:t>
      </w:r>
      <w:r w:rsidR="00E672EF" w:rsidRPr="00421F90">
        <w:rPr>
          <w:sz w:val="24"/>
        </w:rPr>
        <w:t xml:space="preserve"> under the existing hazardous waste regulations</w:t>
      </w:r>
      <w:r w:rsidR="0079378D" w:rsidRPr="00421F90">
        <w:rPr>
          <w:sz w:val="24"/>
        </w:rPr>
        <w:t xml:space="preserve">.  As LQGs, they would be subject to </w:t>
      </w:r>
      <w:r w:rsidR="00AA291C" w:rsidRPr="00421F90">
        <w:rPr>
          <w:sz w:val="24"/>
        </w:rPr>
        <w:t xml:space="preserve">RCRA </w:t>
      </w:r>
      <w:r w:rsidR="0079378D" w:rsidRPr="00421F90">
        <w:rPr>
          <w:sz w:val="24"/>
        </w:rPr>
        <w:t xml:space="preserve">paperwork </w:t>
      </w:r>
      <w:r w:rsidR="00AA291C" w:rsidRPr="00421F90">
        <w:rPr>
          <w:sz w:val="24"/>
        </w:rPr>
        <w:t>requirements related to</w:t>
      </w:r>
      <w:r w:rsidR="0079378D" w:rsidRPr="00421F90">
        <w:rPr>
          <w:sz w:val="24"/>
        </w:rPr>
        <w:t xml:space="preserve"> </w:t>
      </w:r>
      <w:r w:rsidR="00440C59" w:rsidRPr="00421F90">
        <w:rPr>
          <w:sz w:val="24"/>
        </w:rPr>
        <w:t xml:space="preserve">hazardous </w:t>
      </w:r>
      <w:r w:rsidR="0079378D" w:rsidRPr="00421F90">
        <w:rPr>
          <w:sz w:val="24"/>
        </w:rPr>
        <w:t>waste determinations, contingency planning, and personnel training.</w:t>
      </w:r>
      <w:r w:rsidR="00E50D53" w:rsidRPr="00421F90">
        <w:rPr>
          <w:rStyle w:val="FootnoteReference"/>
          <w:sz w:val="24"/>
          <w:vertAlign w:val="superscript"/>
        </w:rPr>
        <w:t xml:space="preserve"> </w:t>
      </w:r>
      <w:r w:rsidR="00E50D53" w:rsidRPr="00421F90">
        <w:rPr>
          <w:rStyle w:val="FootnoteReference"/>
          <w:sz w:val="24"/>
          <w:vertAlign w:val="superscript"/>
        </w:rPr>
        <w:footnoteReference w:id="7"/>
      </w:r>
      <w:r w:rsidR="0079378D" w:rsidRPr="00421F90">
        <w:rPr>
          <w:sz w:val="24"/>
        </w:rPr>
        <w:t xml:space="preserve">   </w:t>
      </w:r>
    </w:p>
    <w:p w:rsidR="00D13234" w:rsidRPr="00421F90" w:rsidRDefault="00D13234" w:rsidP="00D13234">
      <w:pPr>
        <w:widowControl/>
        <w:ind w:left="720"/>
        <w:rPr>
          <w:sz w:val="24"/>
        </w:rPr>
      </w:pPr>
    </w:p>
    <w:p w:rsidR="00FE0D2D" w:rsidRPr="00421F90" w:rsidRDefault="0079378D" w:rsidP="00BD6F38">
      <w:pPr>
        <w:widowControl/>
        <w:ind w:left="720"/>
        <w:rPr>
          <w:sz w:val="24"/>
        </w:rPr>
      </w:pPr>
      <w:r w:rsidRPr="00421F90">
        <w:rPr>
          <w:sz w:val="24"/>
        </w:rPr>
        <w:t xml:space="preserve">Under the conditional </w:t>
      </w:r>
      <w:r w:rsidR="00146ECA">
        <w:rPr>
          <w:sz w:val="24"/>
        </w:rPr>
        <w:t>exclusion</w:t>
      </w:r>
      <w:r w:rsidRPr="00421F90">
        <w:rPr>
          <w:sz w:val="24"/>
        </w:rPr>
        <w:t xml:space="preserve">, </w:t>
      </w:r>
      <w:r w:rsidR="00AA291C" w:rsidRPr="00421F90">
        <w:rPr>
          <w:sz w:val="24"/>
        </w:rPr>
        <w:t xml:space="preserve">EPA estimates that they would remain CESQGs, </w:t>
      </w:r>
      <w:r w:rsidRPr="00421F90">
        <w:rPr>
          <w:sz w:val="24"/>
        </w:rPr>
        <w:t>be exempt from these paperwork requirements</w:t>
      </w:r>
      <w:r w:rsidR="00AA291C" w:rsidRPr="00421F90">
        <w:rPr>
          <w:sz w:val="24"/>
        </w:rPr>
        <w:t>,</w:t>
      </w:r>
      <w:r w:rsidRPr="00421F90">
        <w:rPr>
          <w:sz w:val="24"/>
        </w:rPr>
        <w:t xml:space="preserve"> and therefore </w:t>
      </w:r>
      <w:r w:rsidR="00AC4639">
        <w:rPr>
          <w:sz w:val="24"/>
        </w:rPr>
        <w:t xml:space="preserve">realize </w:t>
      </w:r>
      <w:r w:rsidRPr="00421F90">
        <w:rPr>
          <w:sz w:val="24"/>
        </w:rPr>
        <w:t xml:space="preserve">a burden savings. </w:t>
      </w:r>
      <w:r w:rsidR="00FE0D2D" w:rsidRPr="00421F90">
        <w:rPr>
          <w:sz w:val="24"/>
        </w:rPr>
        <w:t xml:space="preserve"> </w:t>
      </w:r>
    </w:p>
    <w:p w:rsidR="00FE0D2D" w:rsidRPr="00421F90" w:rsidRDefault="00FE0D2D" w:rsidP="00FE0D2D">
      <w:pPr>
        <w:widowControl/>
        <w:ind w:left="360"/>
        <w:rPr>
          <w:sz w:val="24"/>
        </w:rPr>
      </w:pPr>
    </w:p>
    <w:p w:rsidR="00D75610" w:rsidRPr="00421F90" w:rsidRDefault="005C48FC" w:rsidP="00EF2480">
      <w:pPr>
        <w:widowControl/>
        <w:numPr>
          <w:ilvl w:val="0"/>
          <w:numId w:val="3"/>
        </w:numPr>
        <w:rPr>
          <w:sz w:val="24"/>
        </w:rPr>
      </w:pPr>
      <w:r w:rsidRPr="00421F90">
        <w:rPr>
          <w:sz w:val="24"/>
        </w:rPr>
        <w:t>Notification of Regulated Waste Activity and 2009 Hazardous Waste Report</w:t>
      </w:r>
      <w:r w:rsidR="00FE0D2D" w:rsidRPr="00421F90">
        <w:rPr>
          <w:sz w:val="24"/>
        </w:rPr>
        <w:t xml:space="preserve"> (EPA ICR </w:t>
      </w:r>
      <w:r w:rsidR="0000708D" w:rsidRPr="00421F90">
        <w:rPr>
          <w:sz w:val="24"/>
        </w:rPr>
        <w:t xml:space="preserve">Number 976).  </w:t>
      </w:r>
      <w:r w:rsidR="00EF2480" w:rsidRPr="00421F90">
        <w:rPr>
          <w:sz w:val="24"/>
        </w:rPr>
        <w:t>EPA estimates that</w:t>
      </w:r>
      <w:r w:rsidR="00010430" w:rsidRPr="00421F90">
        <w:rPr>
          <w:sz w:val="24"/>
        </w:rPr>
        <w:t>, under the existing hazardous waste regulations,</w:t>
      </w:r>
      <w:r w:rsidR="0041289B">
        <w:rPr>
          <w:sz w:val="24"/>
        </w:rPr>
        <w:t xml:space="preserve"> facilities</w:t>
      </w:r>
      <w:r w:rsidR="00EF2480" w:rsidRPr="00421F90">
        <w:rPr>
          <w:sz w:val="24"/>
        </w:rPr>
        <w:t xml:space="preserve"> that capture hazardous waste CO</w:t>
      </w:r>
      <w:r w:rsidR="00EF2480" w:rsidRPr="00421F90">
        <w:rPr>
          <w:sz w:val="24"/>
          <w:vertAlign w:val="subscript"/>
        </w:rPr>
        <w:t>2</w:t>
      </w:r>
      <w:r w:rsidR="00EF2480" w:rsidRPr="00421F90">
        <w:rPr>
          <w:sz w:val="24"/>
        </w:rPr>
        <w:t xml:space="preserve"> would</w:t>
      </w:r>
      <w:r w:rsidR="0000708D" w:rsidRPr="00421F90">
        <w:rPr>
          <w:sz w:val="24"/>
        </w:rPr>
        <w:t xml:space="preserve"> </w:t>
      </w:r>
      <w:r w:rsidR="00EF2480" w:rsidRPr="00421F90">
        <w:rPr>
          <w:sz w:val="24"/>
        </w:rPr>
        <w:t>c</w:t>
      </w:r>
      <w:r w:rsidR="0000708D" w:rsidRPr="00421F90">
        <w:rPr>
          <w:sz w:val="24"/>
        </w:rPr>
        <w:t xml:space="preserve">hange in </w:t>
      </w:r>
      <w:r w:rsidR="00EF2480" w:rsidRPr="00421F90">
        <w:rPr>
          <w:sz w:val="24"/>
        </w:rPr>
        <w:t xml:space="preserve">generator </w:t>
      </w:r>
      <w:r w:rsidR="0000708D" w:rsidRPr="00421F90">
        <w:rPr>
          <w:sz w:val="24"/>
        </w:rPr>
        <w:t>status from CESQGs to LQGs</w:t>
      </w:r>
      <w:r w:rsidR="00EF2480" w:rsidRPr="00421F90">
        <w:rPr>
          <w:sz w:val="24"/>
        </w:rPr>
        <w:t xml:space="preserve"> and be required to</w:t>
      </w:r>
      <w:r w:rsidR="0000708D" w:rsidRPr="00421F90">
        <w:rPr>
          <w:sz w:val="24"/>
        </w:rPr>
        <w:t xml:space="preserve"> submit a new or revised Site Identification</w:t>
      </w:r>
      <w:r w:rsidR="00101CA5" w:rsidRPr="00421F90">
        <w:rPr>
          <w:sz w:val="24"/>
        </w:rPr>
        <w:t xml:space="preserve"> (ID)</w:t>
      </w:r>
      <w:r w:rsidR="0000708D" w:rsidRPr="00421F90">
        <w:rPr>
          <w:sz w:val="24"/>
        </w:rPr>
        <w:t xml:space="preserve"> </w:t>
      </w:r>
      <w:r w:rsidR="0041289B">
        <w:rPr>
          <w:sz w:val="24"/>
        </w:rPr>
        <w:t>F</w:t>
      </w:r>
      <w:r w:rsidR="0000708D" w:rsidRPr="00421F90">
        <w:rPr>
          <w:sz w:val="24"/>
        </w:rPr>
        <w:t xml:space="preserve">orm to EPA indicating this change.  </w:t>
      </w:r>
      <w:r w:rsidR="00EF2480" w:rsidRPr="00421F90">
        <w:rPr>
          <w:sz w:val="24"/>
        </w:rPr>
        <w:t>A</w:t>
      </w:r>
      <w:r w:rsidR="0000708D" w:rsidRPr="00421F90">
        <w:rPr>
          <w:sz w:val="24"/>
        </w:rPr>
        <w:t xml:space="preserve">s LQGs they </w:t>
      </w:r>
      <w:r w:rsidR="00EF2480" w:rsidRPr="00421F90">
        <w:rPr>
          <w:sz w:val="24"/>
        </w:rPr>
        <w:t xml:space="preserve">also </w:t>
      </w:r>
      <w:r w:rsidR="0000708D" w:rsidRPr="00421F90">
        <w:rPr>
          <w:sz w:val="24"/>
        </w:rPr>
        <w:t xml:space="preserve">must </w:t>
      </w:r>
      <w:r w:rsidR="00AA291C" w:rsidRPr="00421F90">
        <w:rPr>
          <w:sz w:val="24"/>
        </w:rPr>
        <w:t>prepare and submit a Hazardous Waste Report</w:t>
      </w:r>
      <w:r w:rsidR="00EF2480" w:rsidRPr="00421F90">
        <w:rPr>
          <w:sz w:val="24"/>
        </w:rPr>
        <w:t xml:space="preserve"> biennially</w:t>
      </w:r>
      <w:r w:rsidR="00AA291C" w:rsidRPr="00421F90">
        <w:rPr>
          <w:sz w:val="24"/>
        </w:rPr>
        <w:t xml:space="preserve">, including a Site ID </w:t>
      </w:r>
      <w:r w:rsidR="0041289B">
        <w:rPr>
          <w:sz w:val="24"/>
        </w:rPr>
        <w:t>F</w:t>
      </w:r>
      <w:r w:rsidR="00AA291C" w:rsidRPr="00421F90">
        <w:rPr>
          <w:sz w:val="24"/>
        </w:rPr>
        <w:t xml:space="preserve">orm and </w:t>
      </w:r>
      <w:r w:rsidR="0041289B">
        <w:rPr>
          <w:sz w:val="24"/>
        </w:rPr>
        <w:t>GM F</w:t>
      </w:r>
      <w:r w:rsidR="00AA291C" w:rsidRPr="00421F90">
        <w:rPr>
          <w:sz w:val="24"/>
        </w:rPr>
        <w:t>orm.</w:t>
      </w:r>
      <w:r w:rsidR="00D75610" w:rsidRPr="00421F90">
        <w:rPr>
          <w:sz w:val="24"/>
        </w:rPr>
        <w:t xml:space="preserve">  Under the conditional </w:t>
      </w:r>
      <w:r w:rsidR="00146ECA">
        <w:rPr>
          <w:sz w:val="24"/>
        </w:rPr>
        <w:t>exclusion</w:t>
      </w:r>
      <w:r w:rsidR="00D75610" w:rsidRPr="00421F90">
        <w:rPr>
          <w:sz w:val="24"/>
        </w:rPr>
        <w:t>, they would be relieved of these requirements and therefore see a burden savings.</w:t>
      </w:r>
    </w:p>
    <w:p w:rsidR="00D75610" w:rsidRPr="00421F90" w:rsidRDefault="00D75610" w:rsidP="00D75610">
      <w:pPr>
        <w:pStyle w:val="ListParagraph"/>
        <w:rPr>
          <w:sz w:val="24"/>
        </w:rPr>
      </w:pPr>
    </w:p>
    <w:p w:rsidR="00F22A9C" w:rsidRPr="00421F90" w:rsidRDefault="00101CA5" w:rsidP="00D13234">
      <w:pPr>
        <w:pStyle w:val="ListParagraph"/>
        <w:rPr>
          <w:sz w:val="24"/>
        </w:rPr>
      </w:pPr>
      <w:r w:rsidRPr="00421F90">
        <w:rPr>
          <w:sz w:val="24"/>
        </w:rPr>
        <w:t>It is also assumed that</w:t>
      </w:r>
      <w:r w:rsidR="00010430" w:rsidRPr="00421F90">
        <w:rPr>
          <w:sz w:val="24"/>
        </w:rPr>
        <w:t xml:space="preserve">, under the existing hazardous waste regulations, </w:t>
      </w:r>
      <w:r w:rsidRPr="00421F90">
        <w:rPr>
          <w:sz w:val="24"/>
        </w:rPr>
        <w:t>UIC well</w:t>
      </w:r>
      <w:r w:rsidR="00EF3A5A" w:rsidRPr="00421F90">
        <w:rPr>
          <w:sz w:val="24"/>
        </w:rPr>
        <w:t>s</w:t>
      </w:r>
      <w:r w:rsidRPr="00421F90">
        <w:rPr>
          <w:sz w:val="24"/>
        </w:rPr>
        <w:t xml:space="preserve"> that receive the CO</w:t>
      </w:r>
      <w:r w:rsidRPr="00421F90">
        <w:rPr>
          <w:sz w:val="24"/>
          <w:vertAlign w:val="subscript"/>
        </w:rPr>
        <w:t>2</w:t>
      </w:r>
      <w:r w:rsidRPr="00421F90">
        <w:rPr>
          <w:sz w:val="24"/>
        </w:rPr>
        <w:t xml:space="preserve"> for injection (e.g., a Class I UIC well that also meets Class VI requirements) would need to submit a Site ID Form to notify EPA that they are subject to RCRA.  They also would need to prepare and submit a Hazardous Waste Report biennially, including a Site ID Form and Form WR</w:t>
      </w:r>
      <w:r w:rsidR="00EF3A5A" w:rsidRPr="00421F90">
        <w:rPr>
          <w:sz w:val="24"/>
        </w:rPr>
        <w:t>s</w:t>
      </w:r>
      <w:r w:rsidRPr="00421F90">
        <w:rPr>
          <w:sz w:val="24"/>
        </w:rPr>
        <w:t xml:space="preserve">.  Under the conditional </w:t>
      </w:r>
      <w:r w:rsidR="00146ECA">
        <w:rPr>
          <w:sz w:val="24"/>
        </w:rPr>
        <w:t>exclusion</w:t>
      </w:r>
      <w:r w:rsidRPr="00421F90">
        <w:rPr>
          <w:sz w:val="24"/>
        </w:rPr>
        <w:t>, they would be relieved of these requirements and therefore see a burden savings.</w:t>
      </w:r>
      <w:r w:rsidR="00D13234" w:rsidRPr="00421F90">
        <w:rPr>
          <w:sz w:val="24"/>
        </w:rPr>
        <w:t xml:space="preserve">  </w:t>
      </w:r>
    </w:p>
    <w:p w:rsidR="005C48FC" w:rsidRPr="00585C8D" w:rsidRDefault="005C48FC" w:rsidP="00FE0D2D">
      <w:pPr>
        <w:widowControl/>
        <w:ind w:left="360"/>
        <w:rPr>
          <w:sz w:val="24"/>
          <w:highlight w:val="yellow"/>
        </w:rPr>
      </w:pPr>
    </w:p>
    <w:p w:rsidR="00C96C0C" w:rsidRDefault="00FE0D2D" w:rsidP="00D13234">
      <w:pPr>
        <w:pStyle w:val="ListParagraph"/>
        <w:numPr>
          <w:ilvl w:val="0"/>
          <w:numId w:val="4"/>
        </w:numPr>
        <w:ind w:left="720"/>
        <w:rPr>
          <w:sz w:val="24"/>
        </w:rPr>
        <w:sectPr w:rsidR="00C96C0C">
          <w:footerReference w:type="default" r:id="rId10"/>
          <w:endnotePr>
            <w:numFmt w:val="decimal"/>
          </w:endnotePr>
          <w:type w:val="continuous"/>
          <w:pgSz w:w="12240" w:h="15840"/>
          <w:pgMar w:top="1440" w:right="1440" w:bottom="1152" w:left="1440" w:header="1440" w:footer="1152" w:gutter="0"/>
          <w:cols w:space="720"/>
          <w:noEndnote/>
        </w:sectPr>
      </w:pPr>
      <w:r w:rsidRPr="007C0FEF">
        <w:rPr>
          <w:sz w:val="24"/>
        </w:rPr>
        <w:t xml:space="preserve">Land Disposal Restrictions ICR (EPA ICR Number 1442).  </w:t>
      </w:r>
      <w:r w:rsidR="00646225" w:rsidRPr="007C0FEF">
        <w:rPr>
          <w:sz w:val="24"/>
        </w:rPr>
        <w:t>EPA estimates that</w:t>
      </w:r>
      <w:r w:rsidR="005B0422" w:rsidRPr="007C0FEF">
        <w:rPr>
          <w:sz w:val="24"/>
        </w:rPr>
        <w:t xml:space="preserve">, under the </w:t>
      </w:r>
      <w:r w:rsidR="00806FDE" w:rsidRPr="007C0FEF">
        <w:rPr>
          <w:sz w:val="24"/>
        </w:rPr>
        <w:t xml:space="preserve">existing </w:t>
      </w:r>
      <w:r w:rsidR="005B0422" w:rsidRPr="007C0FEF">
        <w:rPr>
          <w:sz w:val="24"/>
        </w:rPr>
        <w:t>hazardous waste regulations,</w:t>
      </w:r>
      <w:r w:rsidR="00646225" w:rsidRPr="007C0FEF">
        <w:rPr>
          <w:sz w:val="24"/>
        </w:rPr>
        <w:t xml:space="preserve"> </w:t>
      </w:r>
      <w:r w:rsidR="00172A10">
        <w:rPr>
          <w:sz w:val="24"/>
        </w:rPr>
        <w:t xml:space="preserve">facilities </w:t>
      </w:r>
      <w:r w:rsidR="005B0422" w:rsidRPr="007C0FEF">
        <w:rPr>
          <w:sz w:val="24"/>
        </w:rPr>
        <w:t>that capture CO</w:t>
      </w:r>
      <w:r w:rsidR="005B0422" w:rsidRPr="00C0304D">
        <w:rPr>
          <w:sz w:val="24"/>
          <w:vertAlign w:val="subscript"/>
        </w:rPr>
        <w:t>2</w:t>
      </w:r>
      <w:r w:rsidR="005B0422" w:rsidRPr="007C0FEF">
        <w:rPr>
          <w:sz w:val="24"/>
        </w:rPr>
        <w:t xml:space="preserve"> would be required to determine if it is RCRA hazardous and keep records of this determination.  </w:t>
      </w:r>
      <w:r w:rsidR="00ED44C8" w:rsidRPr="007C0FEF">
        <w:rPr>
          <w:sz w:val="24"/>
        </w:rPr>
        <w:t xml:space="preserve">Under the conditional </w:t>
      </w:r>
      <w:r w:rsidR="00146ECA">
        <w:rPr>
          <w:sz w:val="24"/>
        </w:rPr>
        <w:t>exclusion</w:t>
      </w:r>
      <w:r w:rsidR="00ED44C8" w:rsidRPr="007C0FEF">
        <w:rPr>
          <w:sz w:val="24"/>
        </w:rPr>
        <w:t xml:space="preserve">, they would be relieved of these requirements and therefore </w:t>
      </w:r>
      <w:r w:rsidR="00172A10">
        <w:rPr>
          <w:sz w:val="24"/>
        </w:rPr>
        <w:t xml:space="preserve">realize </w:t>
      </w:r>
      <w:r w:rsidR="00ED44C8" w:rsidRPr="007C0FEF">
        <w:rPr>
          <w:sz w:val="24"/>
        </w:rPr>
        <w:t>a burden savings.</w:t>
      </w:r>
      <w:r w:rsidR="00160212" w:rsidRPr="00E91090">
        <w:rPr>
          <w:rStyle w:val="FootnoteReference"/>
          <w:sz w:val="24"/>
          <w:vertAlign w:val="superscript"/>
        </w:rPr>
        <w:footnoteReference w:id="8"/>
      </w:r>
      <w:r w:rsidRPr="007C0FEF">
        <w:rPr>
          <w:sz w:val="24"/>
        </w:rPr>
        <w:t xml:space="preserve">  </w:t>
      </w:r>
    </w:p>
    <w:p w:rsidR="00FE0D2D" w:rsidRDefault="00FE0D2D" w:rsidP="00C96C0C">
      <w:pPr>
        <w:pStyle w:val="ListParagraph"/>
      </w:pPr>
    </w:p>
    <w:p w:rsidR="003039EF" w:rsidRDefault="003039EF" w:rsidP="00C96C0C">
      <w:pPr>
        <w:pStyle w:val="ListParagraph"/>
      </w:pPr>
    </w:p>
    <w:p w:rsidR="003039EF" w:rsidRDefault="003039EF" w:rsidP="00C96C0C">
      <w:pPr>
        <w:pStyle w:val="ListParagraph"/>
      </w:pPr>
    </w:p>
    <w:p w:rsidR="003039EF" w:rsidRDefault="00695A9D" w:rsidP="00C96C0C">
      <w:pPr>
        <w:pStyle w:val="ListParagraph"/>
      </w:pPr>
      <w:r>
        <w:rPr>
          <w:noProof/>
        </w:rPr>
        <w:drawing>
          <wp:inline distT="0" distB="0" distL="0" distR="0">
            <wp:extent cx="8408670" cy="40849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408670" cy="4084955"/>
                    </a:xfrm>
                    <a:prstGeom prst="rect">
                      <a:avLst/>
                    </a:prstGeom>
                    <a:noFill/>
                    <a:ln w="9525">
                      <a:noFill/>
                      <a:miter lim="800000"/>
                      <a:headEnd/>
                      <a:tailEnd/>
                    </a:ln>
                  </pic:spPr>
                </pic:pic>
              </a:graphicData>
            </a:graphic>
          </wp:inline>
        </w:drawing>
      </w:r>
    </w:p>
    <w:p w:rsidR="003039EF" w:rsidRDefault="003039EF" w:rsidP="00C96C0C">
      <w:pPr>
        <w:pStyle w:val="ListParagraph"/>
      </w:pPr>
    </w:p>
    <w:p w:rsidR="003039EF" w:rsidRDefault="003039EF" w:rsidP="00C96C0C">
      <w:pPr>
        <w:pStyle w:val="ListParagraph"/>
      </w:pPr>
    </w:p>
    <w:p w:rsidR="003039EF" w:rsidRDefault="003039EF" w:rsidP="00C96C0C">
      <w:pPr>
        <w:pStyle w:val="ListParagraph"/>
      </w:pPr>
    </w:p>
    <w:p w:rsidR="003039EF" w:rsidRDefault="003039EF" w:rsidP="00C96C0C">
      <w:pPr>
        <w:pStyle w:val="ListParagraph"/>
      </w:pPr>
    </w:p>
    <w:p w:rsidR="003039EF" w:rsidRDefault="003039EF" w:rsidP="00C96C0C">
      <w:pPr>
        <w:pStyle w:val="ListParagraph"/>
      </w:pPr>
    </w:p>
    <w:p w:rsidR="003039EF" w:rsidRPr="007C0FEF" w:rsidRDefault="003039EF" w:rsidP="00C96C0C">
      <w:pPr>
        <w:pStyle w:val="ListParagraph"/>
        <w:rPr>
          <w:sz w:val="24"/>
        </w:rPr>
      </w:pPr>
    </w:p>
    <w:p w:rsidR="004A3FC1" w:rsidRDefault="004A3FC1"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A3FC1" w:rsidRDefault="004A3FC1" w:rsidP="00146E27">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rsidR="004A3FC1" w:rsidRDefault="004A3FC1"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A3FC1" w:rsidRDefault="00695A9D"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noProof/>
          <w:sz w:val="24"/>
        </w:rPr>
        <w:drawing>
          <wp:inline distT="0" distB="0" distL="0" distR="0">
            <wp:extent cx="8408670" cy="47307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8408670" cy="4730750"/>
                    </a:xfrm>
                    <a:prstGeom prst="rect">
                      <a:avLst/>
                    </a:prstGeom>
                    <a:noFill/>
                    <a:ln w="9525">
                      <a:noFill/>
                      <a:miter lim="800000"/>
                      <a:headEnd/>
                      <a:tailEnd/>
                    </a:ln>
                  </pic:spPr>
                </pic:pic>
              </a:graphicData>
            </a:graphic>
          </wp:inline>
        </w:drawing>
      </w:r>
    </w:p>
    <w:p w:rsidR="004A3FC1" w:rsidRDefault="004A3FC1"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146E27" w:rsidRDefault="00146E27"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A3FC1" w:rsidRDefault="004A3FC1"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A3FC1" w:rsidRDefault="006F7115"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rPr>
        <w:br w:type="page"/>
      </w:r>
    </w:p>
    <w:p w:rsidR="006F7115" w:rsidRDefault="006F7115"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15285" w:rsidRDefault="00695A9D"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noProof/>
          <w:sz w:val="24"/>
        </w:rPr>
        <w:drawing>
          <wp:inline distT="0" distB="0" distL="0" distR="0">
            <wp:extent cx="7355205" cy="406527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7355205" cy="4065270"/>
                    </a:xfrm>
                    <a:prstGeom prst="rect">
                      <a:avLst/>
                    </a:prstGeom>
                    <a:noFill/>
                    <a:ln w="9525">
                      <a:noFill/>
                      <a:miter lim="800000"/>
                      <a:headEnd/>
                      <a:tailEnd/>
                    </a:ln>
                  </pic:spPr>
                </pic:pic>
              </a:graphicData>
            </a:graphic>
          </wp:inline>
        </w:drawing>
      </w:r>
    </w:p>
    <w:p w:rsidR="002C417A" w:rsidRDefault="002C417A"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C417A" w:rsidRDefault="002C417A"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C417A" w:rsidRDefault="002C417A"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C417A" w:rsidRDefault="002C417A"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C417A" w:rsidRDefault="002C417A"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C417A" w:rsidRDefault="002C417A"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C417A" w:rsidRDefault="002C417A"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C417A" w:rsidRDefault="002C417A"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F7115" w:rsidRDefault="006F7115" w:rsidP="00981A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796F" w:rsidRDefault="00A8796F" w:rsidP="00085E6C">
      <w:bookmarkStart w:id="83" w:name="_Toc268614926"/>
      <w:bookmarkStart w:id="84" w:name="_Toc268879676"/>
      <w:bookmarkStart w:id="85" w:name="_Toc268879887"/>
    </w:p>
    <w:p w:rsidR="00A8796F" w:rsidRDefault="00A8796F" w:rsidP="00A8796F"/>
    <w:p w:rsidR="00D452E6" w:rsidRDefault="00695A9D" w:rsidP="00A8796F">
      <w:r>
        <w:rPr>
          <w:noProof/>
        </w:rPr>
        <w:drawing>
          <wp:inline distT="0" distB="0" distL="0" distR="0">
            <wp:extent cx="8408670" cy="261429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8408670" cy="2614295"/>
                    </a:xfrm>
                    <a:prstGeom prst="rect">
                      <a:avLst/>
                    </a:prstGeom>
                    <a:noFill/>
                    <a:ln w="9525">
                      <a:noFill/>
                      <a:miter lim="800000"/>
                      <a:headEnd/>
                      <a:tailEnd/>
                    </a:ln>
                  </pic:spPr>
                </pic:pic>
              </a:graphicData>
            </a:graphic>
          </wp:inline>
        </w:drawing>
      </w:r>
    </w:p>
    <w:p w:rsidR="00D452E6" w:rsidRPr="00D452E6" w:rsidRDefault="00D452E6" w:rsidP="00D452E6"/>
    <w:p w:rsidR="00D452E6" w:rsidRPr="00D452E6" w:rsidRDefault="00D452E6" w:rsidP="00D452E6"/>
    <w:p w:rsidR="00D452E6" w:rsidRPr="00D452E6" w:rsidRDefault="00D452E6" w:rsidP="00D452E6"/>
    <w:p w:rsidR="00D452E6" w:rsidRPr="00D452E6" w:rsidRDefault="00D452E6" w:rsidP="00D452E6"/>
    <w:p w:rsidR="00D452E6" w:rsidRPr="00D452E6" w:rsidRDefault="00D452E6" w:rsidP="00D452E6"/>
    <w:p w:rsidR="00D452E6" w:rsidRPr="00D452E6" w:rsidRDefault="00D452E6" w:rsidP="00D452E6"/>
    <w:p w:rsidR="00D452E6" w:rsidRPr="00D452E6" w:rsidRDefault="00D452E6" w:rsidP="00D452E6"/>
    <w:p w:rsidR="00D452E6" w:rsidRPr="00D452E6" w:rsidRDefault="00D452E6" w:rsidP="00D452E6"/>
    <w:p w:rsidR="00D452E6" w:rsidRPr="00D452E6" w:rsidRDefault="00D452E6" w:rsidP="00D452E6"/>
    <w:p w:rsidR="00D452E6" w:rsidRDefault="00D452E6" w:rsidP="00D452E6"/>
    <w:p w:rsidR="00D452E6" w:rsidRDefault="00D452E6" w:rsidP="00D452E6">
      <w:pPr>
        <w:jc w:val="right"/>
      </w:pPr>
    </w:p>
    <w:p w:rsidR="00D452E6" w:rsidRDefault="00D452E6" w:rsidP="00D452E6"/>
    <w:p w:rsidR="002C417A" w:rsidRPr="00D452E6" w:rsidRDefault="002C417A" w:rsidP="00D452E6">
      <w:pPr>
        <w:sectPr w:rsidR="002C417A" w:rsidRPr="00D452E6" w:rsidSect="00991E91">
          <w:endnotePr>
            <w:numFmt w:val="decimal"/>
          </w:endnotePr>
          <w:pgSz w:w="15840" w:h="12240" w:orient="landscape"/>
          <w:pgMar w:top="1350" w:right="1440" w:bottom="1440" w:left="1152" w:header="1440" w:footer="1152" w:gutter="0"/>
          <w:cols w:space="720"/>
          <w:noEndnote/>
          <w:docGrid w:linePitch="272"/>
        </w:sectPr>
      </w:pPr>
    </w:p>
    <w:p w:rsidR="00C93DD8" w:rsidRPr="00991E91" w:rsidRDefault="00A8796F" w:rsidP="00A8796F">
      <w:pPr>
        <w:pStyle w:val="Heading2"/>
        <w:ind w:firstLine="720"/>
      </w:pPr>
      <w:r>
        <w:lastRenderedPageBreak/>
        <w:t>6</w:t>
      </w:r>
      <w:r w:rsidR="00C93DD8" w:rsidRPr="00991E91">
        <w:t>(e)</w:t>
      </w:r>
      <w:r w:rsidR="00C93DD8" w:rsidRPr="00991E91">
        <w:tab/>
        <w:t>Bottom Line Burden Hours and Cost Tables</w:t>
      </w:r>
      <w:bookmarkEnd w:id="83"/>
      <w:bookmarkEnd w:id="84"/>
      <w:bookmarkEnd w:id="85"/>
      <w:r w:rsidR="00F10061" w:rsidRPr="00991E91">
        <w:fldChar w:fldCharType="begin"/>
      </w:r>
      <w:r w:rsidR="00C93DD8" w:rsidRPr="00991E91">
        <w:instrText>tc \l2 "</w:instrText>
      </w:r>
      <w:r w:rsidR="00C93DD8" w:rsidRPr="00991E91">
        <w:tab/>
        <w:instrText>6(e)</w:instrText>
      </w:r>
      <w:r w:rsidR="00C93DD8" w:rsidRPr="00991E91">
        <w:tab/>
        <w:instrText>Bottom Line Burden Hours and Cost Tables</w:instrText>
      </w:r>
      <w:r w:rsidR="00F10061" w:rsidRPr="00991E91">
        <w:fldChar w:fldCharType="end"/>
      </w:r>
    </w:p>
    <w:p w:rsidR="00A8796F" w:rsidRDefault="00A8796F" w:rsidP="00A8796F">
      <w:pPr>
        <w:rPr>
          <w:sz w:val="24"/>
        </w:rPr>
      </w:pPr>
    </w:p>
    <w:p w:rsidR="00C93DD8" w:rsidRDefault="00A3758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Pr>
          <w:b/>
          <w:bCs/>
          <w:sz w:val="24"/>
        </w:rPr>
        <w:t>(1</w:t>
      </w:r>
      <w:r w:rsidR="00C93DD8">
        <w:rPr>
          <w:b/>
          <w:bCs/>
          <w:sz w:val="24"/>
        </w:rPr>
        <w:t>)</w:t>
      </w:r>
      <w:r w:rsidR="00C93DD8">
        <w:rPr>
          <w:b/>
          <w:bCs/>
          <w:sz w:val="24"/>
        </w:rPr>
        <w:tab/>
        <w:t>Respondent Tally</w:t>
      </w:r>
    </w:p>
    <w:p w:rsidR="00C93DD8" w:rsidRDefault="00C93DD8">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791CEF" w:rsidRPr="00791CEF" w:rsidRDefault="00791CEF" w:rsidP="00791CEF">
      <w:pPr>
        <w:keepNext/>
        <w:widowControl/>
        <w:ind w:firstLine="720"/>
        <w:rPr>
          <w:sz w:val="24"/>
        </w:rPr>
      </w:pPr>
      <w:r>
        <w:rPr>
          <w:sz w:val="24"/>
        </w:rPr>
        <w:t xml:space="preserve">As shown in Exhibit </w:t>
      </w:r>
      <w:r w:rsidR="0032184C">
        <w:rPr>
          <w:sz w:val="24"/>
        </w:rPr>
        <w:t>3</w:t>
      </w:r>
      <w:r>
        <w:rPr>
          <w:sz w:val="24"/>
        </w:rPr>
        <w:t xml:space="preserve">, </w:t>
      </w:r>
      <w:r>
        <w:rPr>
          <w:bCs/>
          <w:sz w:val="24"/>
        </w:rPr>
        <w:t xml:space="preserve">EPA </w:t>
      </w:r>
      <w:r>
        <w:rPr>
          <w:sz w:val="24"/>
        </w:rPr>
        <w:t>estimates the total annual burden to respondents</w:t>
      </w:r>
      <w:r w:rsidR="00AA0833">
        <w:rPr>
          <w:sz w:val="24"/>
        </w:rPr>
        <w:t xml:space="preserve"> (i.e., the private sector and state governments)</w:t>
      </w:r>
      <w:r>
        <w:rPr>
          <w:sz w:val="24"/>
        </w:rPr>
        <w:t xml:space="preserve"> under the new paperwork requirements to be </w:t>
      </w:r>
      <w:r w:rsidR="0032184C">
        <w:rPr>
          <w:sz w:val="24"/>
        </w:rPr>
        <w:t>38</w:t>
      </w:r>
      <w:r w:rsidR="00515E9E" w:rsidRPr="000545A6">
        <w:rPr>
          <w:sz w:val="24"/>
        </w:rPr>
        <w:t xml:space="preserve"> hours and $</w:t>
      </w:r>
      <w:r w:rsidR="0032184C">
        <w:rPr>
          <w:sz w:val="24"/>
        </w:rPr>
        <w:t>3</w:t>
      </w:r>
      <w:r w:rsidR="00515E9E" w:rsidRPr="000545A6">
        <w:rPr>
          <w:sz w:val="24"/>
        </w:rPr>
        <w:t>,</w:t>
      </w:r>
      <w:r w:rsidR="0032184C">
        <w:rPr>
          <w:sz w:val="24"/>
        </w:rPr>
        <w:t>765</w:t>
      </w:r>
      <w:r>
        <w:rPr>
          <w:sz w:val="24"/>
        </w:rPr>
        <w:t xml:space="preserve">. </w:t>
      </w:r>
      <w:r w:rsidR="004B107D">
        <w:rPr>
          <w:sz w:val="24"/>
        </w:rPr>
        <w:t xml:space="preserve">This includes </w:t>
      </w:r>
      <w:r w:rsidR="00011919">
        <w:rPr>
          <w:sz w:val="24"/>
        </w:rPr>
        <w:t xml:space="preserve">$1.10 </w:t>
      </w:r>
      <w:r w:rsidR="001C219E">
        <w:rPr>
          <w:sz w:val="24"/>
        </w:rPr>
        <w:t xml:space="preserve">in </w:t>
      </w:r>
      <w:r w:rsidR="004B107D">
        <w:rPr>
          <w:sz w:val="24"/>
        </w:rPr>
        <w:t xml:space="preserve">operations &amp; maintenance </w:t>
      </w:r>
      <w:r w:rsidR="00011919">
        <w:rPr>
          <w:sz w:val="24"/>
        </w:rPr>
        <w:t>costs</w:t>
      </w:r>
      <w:r w:rsidR="001C219E">
        <w:rPr>
          <w:sz w:val="24"/>
        </w:rPr>
        <w:t xml:space="preserve">, of which </w:t>
      </w:r>
      <w:r w:rsidR="00B2084B">
        <w:rPr>
          <w:sz w:val="24"/>
        </w:rPr>
        <w:t>66 cents</w:t>
      </w:r>
      <w:r w:rsidR="001C219E">
        <w:rPr>
          <w:sz w:val="24"/>
        </w:rPr>
        <w:t xml:space="preserve"> are for</w:t>
      </w:r>
      <w:r w:rsidR="00011919">
        <w:rPr>
          <w:sz w:val="24"/>
        </w:rPr>
        <w:t xml:space="preserve"> private respondents and 44 cents for state government respondents.</w:t>
      </w:r>
      <w:r w:rsidR="00B2084B">
        <w:rPr>
          <w:sz w:val="24"/>
        </w:rPr>
        <w:t xml:space="preserve"> </w:t>
      </w:r>
      <w:r>
        <w:rPr>
          <w:sz w:val="24"/>
        </w:rPr>
        <w:t xml:space="preserve"> </w:t>
      </w:r>
      <w:r w:rsidR="004544DB">
        <w:rPr>
          <w:sz w:val="24"/>
        </w:rPr>
        <w:t xml:space="preserve">There are no capital costs. </w:t>
      </w:r>
      <w:r>
        <w:rPr>
          <w:sz w:val="24"/>
        </w:rPr>
        <w:t xml:space="preserve">In addition, </w:t>
      </w:r>
      <w:r w:rsidR="00461D0A">
        <w:rPr>
          <w:sz w:val="24"/>
        </w:rPr>
        <w:t xml:space="preserve">Exhibit 4 indicates </w:t>
      </w:r>
      <w:r>
        <w:rPr>
          <w:sz w:val="24"/>
        </w:rPr>
        <w:t>an annual burden savings under the exis</w:t>
      </w:r>
      <w:r w:rsidR="00515E9E">
        <w:rPr>
          <w:sz w:val="24"/>
        </w:rPr>
        <w:t>ting paperwork requirements of 1</w:t>
      </w:r>
      <w:r>
        <w:rPr>
          <w:sz w:val="24"/>
        </w:rPr>
        <w:t>03 hours and $</w:t>
      </w:r>
      <w:r w:rsidR="00515E9E">
        <w:rPr>
          <w:sz w:val="24"/>
        </w:rPr>
        <w:t>8,497</w:t>
      </w:r>
      <w:r>
        <w:rPr>
          <w:sz w:val="24"/>
        </w:rPr>
        <w:t>.  This result</w:t>
      </w:r>
      <w:r w:rsidR="00515E9E">
        <w:rPr>
          <w:sz w:val="24"/>
        </w:rPr>
        <w:t>s in a net annual savings of 6</w:t>
      </w:r>
      <w:r w:rsidR="0032184C">
        <w:rPr>
          <w:sz w:val="24"/>
        </w:rPr>
        <w:t>5</w:t>
      </w:r>
      <w:r w:rsidR="00515E9E">
        <w:rPr>
          <w:sz w:val="24"/>
        </w:rPr>
        <w:t xml:space="preserve"> </w:t>
      </w:r>
      <w:r>
        <w:rPr>
          <w:sz w:val="24"/>
        </w:rPr>
        <w:t>hours and $</w:t>
      </w:r>
      <w:r w:rsidR="0032184C">
        <w:rPr>
          <w:sz w:val="24"/>
        </w:rPr>
        <w:t>4</w:t>
      </w:r>
      <w:r w:rsidR="00515E9E">
        <w:rPr>
          <w:sz w:val="24"/>
        </w:rPr>
        <w:t>,</w:t>
      </w:r>
      <w:r w:rsidR="0032184C">
        <w:rPr>
          <w:sz w:val="24"/>
        </w:rPr>
        <w:t>733</w:t>
      </w:r>
      <w:r>
        <w:rPr>
          <w:sz w:val="24"/>
        </w:rPr>
        <w:t>.  The bottom-line burden savings over th</w:t>
      </w:r>
      <w:r w:rsidR="00515E9E">
        <w:rPr>
          <w:sz w:val="24"/>
        </w:rPr>
        <w:t xml:space="preserve">ree years is estimated to be </w:t>
      </w:r>
      <w:r w:rsidR="0032184C">
        <w:rPr>
          <w:sz w:val="24"/>
        </w:rPr>
        <w:t>195</w:t>
      </w:r>
      <w:r>
        <w:rPr>
          <w:sz w:val="24"/>
        </w:rPr>
        <w:t xml:space="preserve"> hours and $</w:t>
      </w:r>
      <w:r w:rsidR="00515E9E">
        <w:rPr>
          <w:sz w:val="24"/>
        </w:rPr>
        <w:t>1</w:t>
      </w:r>
      <w:r w:rsidR="0032184C">
        <w:rPr>
          <w:sz w:val="24"/>
        </w:rPr>
        <w:t>4,199</w:t>
      </w:r>
      <w:r>
        <w:rPr>
          <w:sz w:val="24"/>
        </w:rPr>
        <w:t>.</w:t>
      </w:r>
    </w:p>
    <w:p w:rsidR="00FF6EC8" w:rsidRDefault="00FF6EC8">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3DD8" w:rsidRDefault="00A375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b/>
          <w:bCs/>
          <w:sz w:val="24"/>
        </w:rPr>
        <w:t>(2</w:t>
      </w:r>
      <w:r w:rsidR="00C93DD8">
        <w:rPr>
          <w:b/>
          <w:bCs/>
          <w:sz w:val="24"/>
        </w:rPr>
        <w:t>)</w:t>
      </w:r>
      <w:r w:rsidR="00C93DD8">
        <w:rPr>
          <w:b/>
          <w:bCs/>
          <w:sz w:val="24"/>
        </w:rPr>
        <w:tab/>
        <w:t>Agency Tally</w:t>
      </w:r>
    </w:p>
    <w:p w:rsidR="00C93DD8" w:rsidRDefault="00C93D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07D2F" w:rsidRDefault="00C07D2F" w:rsidP="00C07D2F">
      <w:pPr>
        <w:keepNext/>
        <w:widowControl/>
        <w:tabs>
          <w:tab w:val="left" w:pos="-1440"/>
        </w:tabs>
        <w:rPr>
          <w:sz w:val="24"/>
        </w:rPr>
      </w:pPr>
      <w:r>
        <w:rPr>
          <w:sz w:val="24"/>
        </w:rPr>
        <w:tab/>
        <w:t xml:space="preserve">As shown in Exhibit 5, </w:t>
      </w:r>
      <w:r>
        <w:rPr>
          <w:bCs/>
          <w:sz w:val="24"/>
        </w:rPr>
        <w:t>EPA</w:t>
      </w:r>
      <w:r>
        <w:rPr>
          <w:sz w:val="24"/>
        </w:rPr>
        <w:t xml:space="preserve"> estimates the total annual burden to the </w:t>
      </w:r>
      <w:r w:rsidR="000F79FF">
        <w:rPr>
          <w:sz w:val="24"/>
        </w:rPr>
        <w:t xml:space="preserve">Federal </w:t>
      </w:r>
      <w:r>
        <w:rPr>
          <w:sz w:val="24"/>
        </w:rPr>
        <w:t xml:space="preserve">government under the new paperwork requirements to be </w:t>
      </w:r>
      <w:r w:rsidR="00461D0A">
        <w:rPr>
          <w:sz w:val="24"/>
        </w:rPr>
        <w:t xml:space="preserve">less than one hour </w:t>
      </w:r>
      <w:r>
        <w:rPr>
          <w:sz w:val="24"/>
        </w:rPr>
        <w:t xml:space="preserve">and </w:t>
      </w:r>
      <w:r w:rsidR="00461D0A">
        <w:rPr>
          <w:sz w:val="24"/>
        </w:rPr>
        <w:t xml:space="preserve">about </w:t>
      </w:r>
      <w:r>
        <w:rPr>
          <w:sz w:val="24"/>
        </w:rPr>
        <w:t>$</w:t>
      </w:r>
      <w:r w:rsidR="00461D0A">
        <w:rPr>
          <w:sz w:val="24"/>
        </w:rPr>
        <w:t>24</w:t>
      </w:r>
      <w:r>
        <w:rPr>
          <w:sz w:val="24"/>
        </w:rPr>
        <w:t xml:space="preserve">.  The bottom-line burden over three years is estimated to be </w:t>
      </w:r>
      <w:r w:rsidR="00461D0A">
        <w:rPr>
          <w:sz w:val="24"/>
        </w:rPr>
        <w:t>1.5</w:t>
      </w:r>
      <w:r>
        <w:rPr>
          <w:sz w:val="24"/>
        </w:rPr>
        <w:t xml:space="preserve"> hours and $</w:t>
      </w:r>
      <w:r w:rsidR="00461D0A">
        <w:rPr>
          <w:sz w:val="24"/>
        </w:rPr>
        <w:t>72</w:t>
      </w:r>
      <w:r>
        <w:rPr>
          <w:sz w:val="24"/>
        </w:rPr>
        <w:t>.</w:t>
      </w:r>
    </w:p>
    <w:p w:rsidR="00C93DD8" w:rsidRDefault="00C93DD8" w:rsidP="00F22B00">
      <w:pPr>
        <w:pStyle w:val="Heading2"/>
        <w:ind w:firstLine="720"/>
      </w:pPr>
      <w:bookmarkStart w:id="86" w:name="_Toc268614927"/>
      <w:bookmarkStart w:id="87" w:name="_Toc268879677"/>
      <w:bookmarkStart w:id="88" w:name="_Toc268879888"/>
      <w:r>
        <w:t>6(f)</w:t>
      </w:r>
      <w:r>
        <w:tab/>
        <w:t>Reasons for Change in Burden</w:t>
      </w:r>
      <w:bookmarkEnd w:id="86"/>
      <w:bookmarkEnd w:id="87"/>
      <w:bookmarkEnd w:id="88"/>
      <w:r w:rsidR="00F10061">
        <w:fldChar w:fldCharType="begin"/>
      </w:r>
      <w:r>
        <w:instrText>tc \l2 "6(f)</w:instrText>
      </w:r>
      <w:r>
        <w:tab/>
        <w:instrText>Reasons for Change in Burden</w:instrText>
      </w:r>
      <w:r w:rsidR="00F10061">
        <w:fldChar w:fldCharType="end"/>
      </w:r>
    </w:p>
    <w:p w:rsidR="00C93DD8" w:rsidRDefault="00C93D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3DD8" w:rsidRDefault="00D800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 xml:space="preserve">EPA is taking this action to support its efforts to encourage the use of carbon capture and sequestration technologies to </w:t>
      </w:r>
      <w:r w:rsidR="006355D0">
        <w:rPr>
          <w:sz w:val="24"/>
        </w:rPr>
        <w:t xml:space="preserve">help </w:t>
      </w:r>
      <w:r>
        <w:rPr>
          <w:sz w:val="24"/>
        </w:rPr>
        <w:t>reduce the levels of greenhouse gases emitted to the atmosphere.  EPA estimates that the minor incremental burden imposed by the</w:t>
      </w:r>
      <w:r w:rsidR="00BF579E">
        <w:rPr>
          <w:sz w:val="24"/>
        </w:rPr>
        <w:t xml:space="preserve"> new paperwork requirements would</w:t>
      </w:r>
      <w:r>
        <w:rPr>
          <w:sz w:val="24"/>
        </w:rPr>
        <w:t xml:space="preserve"> be more than offset </w:t>
      </w:r>
      <w:r w:rsidR="00BF579E">
        <w:rPr>
          <w:sz w:val="24"/>
        </w:rPr>
        <w:t>by savings that respondents would</w:t>
      </w:r>
      <w:r>
        <w:rPr>
          <w:sz w:val="24"/>
        </w:rPr>
        <w:t xml:space="preserve"> experience under the existing paperwork requirements.  At the same time, the paperwork requirements are necessary to hold generators and Class VI UIC well owner/operators accountable for their actions under the </w:t>
      </w:r>
      <w:r w:rsidR="00146ECA">
        <w:rPr>
          <w:sz w:val="24"/>
        </w:rPr>
        <w:t>exclusion</w:t>
      </w:r>
      <w:r>
        <w:rPr>
          <w:sz w:val="24"/>
        </w:rPr>
        <w:t xml:space="preserve"> and increase compliance rates.</w:t>
      </w:r>
    </w:p>
    <w:p w:rsidR="00E2475D" w:rsidRDefault="00E24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sectPr w:rsidR="00E2475D" w:rsidSect="00C96C0C">
          <w:endnotePr>
            <w:numFmt w:val="decimal"/>
          </w:endnotePr>
          <w:pgSz w:w="12240" w:h="15840"/>
          <w:pgMar w:top="1440" w:right="1440" w:bottom="1152" w:left="1350" w:header="1440" w:footer="1152" w:gutter="0"/>
          <w:cols w:space="720"/>
          <w:noEndnote/>
        </w:sectPr>
      </w:pPr>
    </w:p>
    <w:p w:rsidR="00C93DD8" w:rsidRPr="00BD46E7" w:rsidRDefault="00C93DD8" w:rsidP="00F22B00">
      <w:pPr>
        <w:pStyle w:val="Heading2"/>
        <w:ind w:firstLine="720"/>
      </w:pPr>
      <w:bookmarkStart w:id="89" w:name="a__"/>
      <w:bookmarkStart w:id="90" w:name="_Toc268614928"/>
      <w:bookmarkStart w:id="91" w:name="_Toc268879678"/>
      <w:bookmarkStart w:id="92" w:name="_Toc268879889"/>
      <w:bookmarkEnd w:id="89"/>
      <w:r w:rsidRPr="00BD46E7">
        <w:lastRenderedPageBreak/>
        <w:t>6(g)</w:t>
      </w:r>
      <w:r w:rsidRPr="00BD46E7">
        <w:tab/>
        <w:t>Burden Statement</w:t>
      </w:r>
      <w:bookmarkEnd w:id="90"/>
      <w:bookmarkEnd w:id="91"/>
      <w:bookmarkEnd w:id="92"/>
      <w:r w:rsidR="00F10061" w:rsidRPr="00BD46E7">
        <w:fldChar w:fldCharType="begin"/>
      </w:r>
      <w:r w:rsidRPr="00BD46E7">
        <w:instrText>tc \l2 "6(g)</w:instrText>
      </w:r>
      <w:r w:rsidRPr="00BD46E7">
        <w:tab/>
        <w:instrText>Burden Statement</w:instrText>
      </w:r>
      <w:r w:rsidR="00F10061" w:rsidRPr="00BD46E7">
        <w:fldChar w:fldCharType="end"/>
      </w:r>
    </w:p>
    <w:p w:rsidR="00C93DD8" w:rsidRPr="00BD46E7" w:rsidRDefault="00C93DD8">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E3C6B" w:rsidRDefault="00BD46E7" w:rsidP="00BD46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D46E7">
        <w:rPr>
          <w:sz w:val="24"/>
        </w:rPr>
        <w:tab/>
        <w:t xml:space="preserve">The annual public reporting and recordkeeping burden </w:t>
      </w:r>
      <w:r w:rsidR="00F07B77">
        <w:rPr>
          <w:sz w:val="24"/>
        </w:rPr>
        <w:t xml:space="preserve">(private sector plus states) </w:t>
      </w:r>
      <w:r w:rsidRPr="00BD46E7">
        <w:rPr>
          <w:sz w:val="24"/>
        </w:rPr>
        <w:t>for this collection of information is estimated to average</w:t>
      </w:r>
      <w:r w:rsidR="00C03600">
        <w:rPr>
          <w:sz w:val="24"/>
        </w:rPr>
        <w:t xml:space="preserve"> 4.8 hours per respondent. </w:t>
      </w:r>
      <w:r w:rsidR="00F07B77">
        <w:rPr>
          <w:sz w:val="24"/>
        </w:rPr>
        <w:t xml:space="preserve"> </w:t>
      </w:r>
      <w:r w:rsidR="00C03600">
        <w:rPr>
          <w:sz w:val="24"/>
        </w:rPr>
        <w:t xml:space="preserve">For </w:t>
      </w:r>
      <w:r w:rsidR="00F07B77">
        <w:rPr>
          <w:sz w:val="24"/>
        </w:rPr>
        <w:t>p</w:t>
      </w:r>
      <w:r w:rsidR="00C03600">
        <w:rPr>
          <w:sz w:val="24"/>
        </w:rPr>
        <w:t>rivate-sector respondents, the estimate is</w:t>
      </w:r>
      <w:r w:rsidRPr="00BD46E7">
        <w:rPr>
          <w:sz w:val="24"/>
        </w:rPr>
        <w:t xml:space="preserve"> </w:t>
      </w:r>
      <w:r w:rsidR="00C03600">
        <w:rPr>
          <w:sz w:val="24"/>
        </w:rPr>
        <w:t>5.3</w:t>
      </w:r>
      <w:r w:rsidR="00541376">
        <w:rPr>
          <w:sz w:val="24"/>
        </w:rPr>
        <w:t xml:space="preserve"> hours per </w:t>
      </w:r>
      <w:r w:rsidR="00C03600">
        <w:rPr>
          <w:sz w:val="24"/>
        </w:rPr>
        <w:t>response</w:t>
      </w:r>
      <w:r w:rsidR="00F07B77">
        <w:rPr>
          <w:sz w:val="24"/>
        </w:rPr>
        <w:t>.  This includes time for reading the regulations, preparing the certification statement, posting the statement to the company website (if such exists), renewing it annually, and submitting it to EPA or authorized state, if requested</w:t>
      </w:r>
      <w:r w:rsidR="00096257">
        <w:rPr>
          <w:sz w:val="24"/>
        </w:rPr>
        <w:t xml:space="preserve">.  </w:t>
      </w:r>
      <w:r w:rsidR="00541376">
        <w:rPr>
          <w:sz w:val="24"/>
        </w:rPr>
        <w:t xml:space="preserve">The annual public reporting and recordkeeping burden for this collection of information is estimated to average 1.5 hours per state </w:t>
      </w:r>
      <w:r w:rsidR="00F93C62">
        <w:rPr>
          <w:sz w:val="24"/>
        </w:rPr>
        <w:t xml:space="preserve">government </w:t>
      </w:r>
      <w:r w:rsidR="00541376">
        <w:rPr>
          <w:sz w:val="24"/>
        </w:rPr>
        <w:t xml:space="preserve">respondent.  This includes </w:t>
      </w:r>
      <w:r w:rsidR="00A06258">
        <w:rPr>
          <w:sz w:val="24"/>
        </w:rPr>
        <w:t xml:space="preserve">the </w:t>
      </w:r>
      <w:r w:rsidR="00541376">
        <w:rPr>
          <w:sz w:val="24"/>
        </w:rPr>
        <w:t xml:space="preserve">time for preparing and mailing a letter </w:t>
      </w:r>
      <w:r w:rsidR="00A06258">
        <w:rPr>
          <w:sz w:val="24"/>
        </w:rPr>
        <w:t xml:space="preserve">requesting the </w:t>
      </w:r>
      <w:r w:rsidR="00541376">
        <w:rPr>
          <w:sz w:val="24"/>
        </w:rPr>
        <w:t xml:space="preserve">generator or UIC well owner/operator submit </w:t>
      </w:r>
      <w:r w:rsidR="00A06258">
        <w:rPr>
          <w:sz w:val="24"/>
        </w:rPr>
        <w:t xml:space="preserve">the </w:t>
      </w:r>
      <w:r w:rsidR="00541376">
        <w:rPr>
          <w:sz w:val="24"/>
        </w:rPr>
        <w:t>signed certification statement, and then receiving, reviewing, and filing it after receipt</w:t>
      </w:r>
      <w:r w:rsidRPr="00BD46E7">
        <w:rPr>
          <w:color w:val="000000"/>
          <w:sz w:val="24"/>
        </w:rPr>
        <w:t>.</w:t>
      </w:r>
      <w:r w:rsidR="00541376">
        <w:rPr>
          <w:color w:val="000000"/>
          <w:sz w:val="24"/>
        </w:rPr>
        <w:t xml:space="preserve"> </w:t>
      </w:r>
    </w:p>
    <w:p w:rsidR="006E3C6B" w:rsidRDefault="006E3C6B" w:rsidP="00BD46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BD46E7" w:rsidRPr="00541376" w:rsidRDefault="006E3C6B" w:rsidP="00BD46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color w:val="000000"/>
          <w:sz w:val="24"/>
        </w:rPr>
        <w:tab/>
      </w:r>
      <w:r w:rsidR="00BD46E7" w:rsidRPr="00BD46E7">
        <w:rPr>
          <w:color w:val="000000"/>
          <w:sz w:val="24"/>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w:t>
      </w:r>
      <w:r w:rsidR="00BD46E7" w:rsidRPr="00BD46E7">
        <w:rPr>
          <w:color w:val="000000"/>
          <w:sz w:val="24"/>
        </w:rPr>
        <w:lastRenderedPageBreak/>
        <w:t xml:space="preserve">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BD46E7" w:rsidRDefault="00BD46E7" w:rsidP="00BD46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355A0F" w:rsidRPr="00355A0F" w:rsidRDefault="008F577D" w:rsidP="00355A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rPr>
      </w:pPr>
      <w:r>
        <w:rPr>
          <w:color w:val="0F0F0F"/>
          <w:sz w:val="24"/>
        </w:rPr>
        <w:tab/>
      </w:r>
      <w:r w:rsidR="00466B08" w:rsidRPr="00466B08">
        <w:rPr>
          <w:color w:val="0F0F0F"/>
          <w:sz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801DE2" w:rsidRPr="00296649">
        <w:rPr>
          <w:color w:val="0F0F0F"/>
          <w:sz w:val="24"/>
        </w:rPr>
        <w:t>EPA-HQ-RCRA-2010-0695</w:t>
      </w:r>
      <w:r w:rsidR="00466B08" w:rsidRPr="00466B08">
        <w:rPr>
          <w:color w:val="0F0F0F"/>
          <w:sz w:val="24"/>
        </w:rPr>
        <w:t xml:space="preserve">, which is available for online viewing at </w:t>
      </w:r>
      <w:hyperlink r:id="rId15" w:history="1">
        <w:r w:rsidR="00466B08" w:rsidRPr="00466B08">
          <w:rPr>
            <w:rStyle w:val="Hyperlink"/>
            <w:sz w:val="24"/>
          </w:rPr>
          <w:t>www.regulations.gov</w:t>
        </w:r>
      </w:hyperlink>
      <w:r w:rsidR="00466B08" w:rsidRPr="00466B08">
        <w:rPr>
          <w:color w:val="0F0F0F"/>
          <w:sz w:val="24"/>
        </w:rPr>
        <w:t>, or in person viewing at the</w:t>
      </w:r>
      <w:r w:rsidR="00801DE2">
        <w:rPr>
          <w:color w:val="0F0F0F"/>
          <w:sz w:val="24"/>
        </w:rPr>
        <w:t xml:space="preserve"> RCRA Docket</w:t>
      </w:r>
      <w:r w:rsidR="00466B08" w:rsidRPr="00466B08">
        <w:rPr>
          <w:color w:val="0F0F0F"/>
          <w:sz w:val="24"/>
        </w:rPr>
        <w:t xml:space="preserve"> in the EPA Docket Center (EPA/DC), EPA West, </w:t>
      </w:r>
      <w:r w:rsidR="00466B08" w:rsidRPr="00466B08">
        <w:rPr>
          <w:sz w:val="24"/>
        </w:rPr>
        <w:t>Room 3334</w:t>
      </w:r>
      <w:r w:rsidR="00466B08" w:rsidRPr="00466B08">
        <w:rPr>
          <w:color w:val="0F0F0F"/>
          <w:sz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005F24F7">
        <w:rPr>
          <w:color w:val="0F0F0F"/>
          <w:sz w:val="24"/>
        </w:rPr>
        <w:t>RCRA Docket</w:t>
      </w:r>
      <w:r w:rsidR="00466B08" w:rsidRPr="00466B08">
        <w:rPr>
          <w:color w:val="0F0F0F"/>
          <w:sz w:val="24"/>
        </w:rPr>
        <w:t xml:space="preserve"> is (202) 566-</w:t>
      </w:r>
      <w:r w:rsidR="00801DE2" w:rsidRPr="005F24F7">
        <w:rPr>
          <w:sz w:val="24"/>
        </w:rPr>
        <w:t>0270</w:t>
      </w:r>
      <w:r w:rsidR="00466B08" w:rsidRPr="00466B08">
        <w:rPr>
          <w:color w:val="0F0F0F"/>
          <w:sz w:val="24"/>
        </w:rPr>
        <w:t>.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00466B08" w:rsidRPr="00466B08">
        <w:rPr>
          <w:rFonts w:ascii="Courier New" w:hAnsi="Courier New" w:cs="Courier New"/>
          <w:color w:val="0F0F0F"/>
          <w:sz w:val="24"/>
        </w:rPr>
        <w:t xml:space="preserve"> </w:t>
      </w:r>
      <w:r w:rsidR="00466B08" w:rsidRPr="00466B08">
        <w:rPr>
          <w:color w:val="0F0F0F"/>
          <w:sz w:val="24"/>
        </w:rPr>
        <w:t xml:space="preserve">Number </w:t>
      </w:r>
      <w:r w:rsidR="00801DE2" w:rsidRPr="00296649">
        <w:rPr>
          <w:color w:val="0F0F0F"/>
          <w:sz w:val="24"/>
        </w:rPr>
        <w:t>EPA-HQ-RCRA-2010-0695</w:t>
      </w:r>
      <w:r w:rsidR="00801DE2">
        <w:rPr>
          <w:color w:val="0F0F0F"/>
          <w:sz w:val="24"/>
        </w:rPr>
        <w:t xml:space="preserve"> </w:t>
      </w:r>
      <w:r w:rsidR="00466B08" w:rsidRPr="00466B08">
        <w:rPr>
          <w:color w:val="0F0F0F"/>
          <w:sz w:val="24"/>
        </w:rPr>
        <w:t xml:space="preserve">and OMB Control Number </w:t>
      </w:r>
      <w:r w:rsidR="00801DE2" w:rsidRPr="005F24F7">
        <w:rPr>
          <w:sz w:val="24"/>
        </w:rPr>
        <w:t>2050-0207</w:t>
      </w:r>
      <w:r w:rsidR="00466B08" w:rsidRPr="005F24F7">
        <w:rPr>
          <w:sz w:val="24"/>
        </w:rPr>
        <w:t xml:space="preserve"> in</w:t>
      </w:r>
      <w:r w:rsidR="00466B08" w:rsidRPr="00466B08">
        <w:rPr>
          <w:color w:val="0F0F0F"/>
          <w:sz w:val="24"/>
        </w:rPr>
        <w:t xml:space="preserve"> any correspondence.</w:t>
      </w:r>
    </w:p>
    <w:p w:rsidR="00C93DD8" w:rsidRPr="00BD46E7" w:rsidRDefault="00C93DD8" w:rsidP="002966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rPr>
      </w:pPr>
    </w:p>
    <w:sectPr w:rsidR="00C93DD8" w:rsidRPr="00BD46E7" w:rsidSect="00AB65DF">
      <w:endnotePr>
        <w:numFmt w:val="decimal"/>
      </w:endnotePr>
      <w:type w:val="continuous"/>
      <w:pgSz w:w="12240" w:h="15840"/>
      <w:pgMar w:top="1440" w:right="1440" w:bottom="1152" w:left="1350" w:header="1440" w:footer="115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1C8" w:rsidRDefault="00F431C8">
      <w:r>
        <w:separator/>
      </w:r>
    </w:p>
  </w:endnote>
  <w:endnote w:type="continuationSeparator" w:id="0">
    <w:p w:rsidR="00F431C8" w:rsidRDefault="00F431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D6E" w:rsidRDefault="009B1D6E">
    <w:pPr>
      <w:jc w:val="right"/>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D6E" w:rsidRDefault="00F10061">
    <w:pPr>
      <w:pStyle w:val="Footer"/>
      <w:jc w:val="center"/>
    </w:pPr>
    <w:fldSimple w:instr=" PAGE   \* MERGEFORMAT ">
      <w:r w:rsidR="00C24F71">
        <w:rPr>
          <w:noProof/>
        </w:rPr>
        <w:t>i</w:t>
      </w:r>
    </w:fldSimple>
  </w:p>
  <w:p w:rsidR="009B1D6E" w:rsidRDefault="009B1D6E">
    <w:pPr>
      <w:jc w:val="right"/>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D6E" w:rsidRDefault="00F10061">
    <w:pPr>
      <w:pStyle w:val="Footer"/>
      <w:jc w:val="center"/>
    </w:pPr>
    <w:fldSimple w:instr=" PAGE   \* MERGEFORMAT ">
      <w:r w:rsidR="00C24F71">
        <w:rPr>
          <w:noProof/>
        </w:rPr>
        <w:t>2</w:t>
      </w:r>
    </w:fldSimple>
  </w:p>
  <w:p w:rsidR="009B1D6E" w:rsidRDefault="009B1D6E" w:rsidP="00807A21">
    <w:pPr>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1C8" w:rsidRDefault="00F431C8">
      <w:r>
        <w:separator/>
      </w:r>
    </w:p>
  </w:footnote>
  <w:footnote w:type="continuationSeparator" w:id="0">
    <w:p w:rsidR="00F431C8" w:rsidRDefault="00F431C8">
      <w:r>
        <w:continuationSeparator/>
      </w:r>
    </w:p>
  </w:footnote>
  <w:footnote w:id="1">
    <w:p w:rsidR="009B1D6E" w:rsidRPr="00121225" w:rsidRDefault="009B1D6E">
      <w:pPr>
        <w:pStyle w:val="FootnoteText"/>
      </w:pPr>
      <w:r w:rsidRPr="00121225">
        <w:rPr>
          <w:rStyle w:val="FootnoteReference"/>
        </w:rPr>
        <w:footnoteRef/>
      </w:r>
      <w:r w:rsidRPr="00121225">
        <w:t xml:space="preserve"> </w:t>
      </w:r>
      <w:r w:rsidRPr="00121225">
        <w:rPr>
          <w:i/>
          <w:iCs/>
        </w:rPr>
        <w:t xml:space="preserve">Federal Requirements Under the Underground Injection Control </w:t>
      </w:r>
      <w:r>
        <w:rPr>
          <w:i/>
          <w:iCs/>
        </w:rPr>
        <w:t xml:space="preserve">(UIC) </w:t>
      </w:r>
      <w:r w:rsidRPr="00121225">
        <w:rPr>
          <w:i/>
          <w:iCs/>
        </w:rPr>
        <w:t xml:space="preserve">Program for Carbon Dioxide </w:t>
      </w:r>
      <w:r>
        <w:rPr>
          <w:i/>
          <w:iCs/>
        </w:rPr>
        <w:t>(CO</w:t>
      </w:r>
      <w:r w:rsidRPr="00C11056">
        <w:rPr>
          <w:i/>
          <w:iCs/>
          <w:vertAlign w:val="subscript"/>
        </w:rPr>
        <w:t>2</w:t>
      </w:r>
      <w:r>
        <w:rPr>
          <w:i/>
          <w:iCs/>
        </w:rPr>
        <w:t>)</w:t>
      </w:r>
      <w:r w:rsidRPr="00121225">
        <w:rPr>
          <w:i/>
          <w:iCs/>
        </w:rPr>
        <w:t xml:space="preserve">Geologic Sequestration </w:t>
      </w:r>
      <w:r>
        <w:rPr>
          <w:i/>
          <w:iCs/>
        </w:rPr>
        <w:t xml:space="preserve">(GS) </w:t>
      </w:r>
      <w:r w:rsidRPr="00121225">
        <w:rPr>
          <w:i/>
          <w:iCs/>
        </w:rPr>
        <w:t>Wells</w:t>
      </w:r>
      <w:r>
        <w:rPr>
          <w:i/>
          <w:iCs/>
        </w:rPr>
        <w:t>; Final Rule</w:t>
      </w:r>
      <w:r w:rsidRPr="00121225">
        <w:rPr>
          <w:i/>
          <w:iCs/>
        </w:rPr>
        <w:t xml:space="preserve"> </w:t>
      </w:r>
      <w:r w:rsidRPr="00121225">
        <w:t>(75 FR 77230, December 10, 2010)</w:t>
      </w:r>
    </w:p>
  </w:footnote>
  <w:footnote w:id="2">
    <w:p w:rsidR="009B1D6E" w:rsidRDefault="009B1D6E">
      <w:pPr>
        <w:pStyle w:val="FootnoteText"/>
      </w:pPr>
      <w:r w:rsidRPr="008C1B7A">
        <w:rPr>
          <w:rStyle w:val="FootnoteReference"/>
          <w:vertAlign w:val="superscript"/>
        </w:rPr>
        <w:footnoteRef/>
      </w:r>
      <w:r w:rsidRPr="008C1B7A">
        <w:rPr>
          <w:vertAlign w:val="superscript"/>
        </w:rPr>
        <w:t xml:space="preserve"> </w:t>
      </w:r>
      <w:r>
        <w:t>CO</w:t>
      </w:r>
      <w:r w:rsidRPr="00735D82">
        <w:rPr>
          <w:vertAlign w:val="subscript"/>
        </w:rPr>
        <w:t>2</w:t>
      </w:r>
      <w:r>
        <w:t xml:space="preserve"> is captured by fossil fuel power plants and other industrial processes. </w:t>
      </w:r>
    </w:p>
  </w:footnote>
  <w:footnote w:id="3">
    <w:p w:rsidR="009B1D6E" w:rsidRDefault="009B1D6E" w:rsidP="00194650">
      <w:pPr>
        <w:pStyle w:val="FootnoteText"/>
      </w:pPr>
      <w:r w:rsidRPr="006E6702">
        <w:rPr>
          <w:rStyle w:val="FootnoteReference"/>
          <w:vertAlign w:val="superscript"/>
        </w:rPr>
        <w:footnoteRef/>
      </w:r>
      <w:r w:rsidRPr="006E6702">
        <w:t xml:space="preserve"> </w:t>
      </w:r>
      <w:r>
        <w:t>Geological sequestration means the long-term containment of a gaseous, liquid or supercritical carbon dioxide stream in subsurface geologic formations. This term does not apply to its capture or transport.</w:t>
      </w:r>
    </w:p>
  </w:footnote>
  <w:footnote w:id="4">
    <w:p w:rsidR="009B1D6E" w:rsidRPr="008909AD" w:rsidRDefault="009B1D6E" w:rsidP="003053BF">
      <w:pPr>
        <w:pStyle w:val="FootnoteText"/>
      </w:pPr>
      <w:r w:rsidRPr="008909AD">
        <w:rPr>
          <w:rStyle w:val="FootnoteReference"/>
        </w:rPr>
        <w:footnoteRef/>
      </w:r>
      <w:r w:rsidRPr="008909AD">
        <w:t xml:space="preserve"> </w:t>
      </w:r>
      <w:r w:rsidRPr="008909AD">
        <w:rPr>
          <w:i/>
        </w:rPr>
        <w:t>Federal Register</w:t>
      </w:r>
      <w:r w:rsidRPr="008909AD">
        <w:t>, Vol. 7</w:t>
      </w:r>
      <w:r>
        <w:t>6</w:t>
      </w:r>
      <w:r w:rsidRPr="008909AD">
        <w:t>, No. 1</w:t>
      </w:r>
      <w:r>
        <w:t>52</w:t>
      </w:r>
      <w:r w:rsidRPr="008909AD">
        <w:t xml:space="preserve">, </w:t>
      </w:r>
      <w:r>
        <w:t>48073</w:t>
      </w:r>
      <w:r w:rsidRPr="008909AD">
        <w:t xml:space="preserve">, </w:t>
      </w:r>
      <w:r>
        <w:t>August 8</w:t>
      </w:r>
      <w:r w:rsidRPr="008909AD">
        <w:t>, 201</w:t>
      </w:r>
      <w:r>
        <w:t>1</w:t>
      </w:r>
    </w:p>
  </w:footnote>
  <w:footnote w:id="5">
    <w:p w:rsidR="009B1D6E" w:rsidRDefault="009B1D6E">
      <w:pPr>
        <w:pStyle w:val="FootnoteText"/>
      </w:pPr>
      <w:r w:rsidRPr="009B1307">
        <w:rPr>
          <w:rStyle w:val="FootnoteReference"/>
          <w:vertAlign w:val="superscript"/>
        </w:rPr>
        <w:footnoteRef/>
      </w:r>
      <w:r w:rsidRPr="009B1307">
        <w:rPr>
          <w:vertAlign w:val="superscript"/>
        </w:rPr>
        <w:t xml:space="preserve"> </w:t>
      </w:r>
      <w:r>
        <w:t xml:space="preserve">See the web site: </w:t>
      </w:r>
      <w:r w:rsidRPr="009B1307">
        <w:t>http://www.opm.gov/oca/10tables/pdf/gs_h.pdf</w:t>
      </w:r>
      <w:r>
        <w:t>.</w:t>
      </w:r>
    </w:p>
  </w:footnote>
  <w:footnote w:id="6">
    <w:p w:rsidR="009B1D6E" w:rsidRPr="002D16D2" w:rsidRDefault="009B1D6E">
      <w:pPr>
        <w:pStyle w:val="FootnoteText"/>
      </w:pPr>
      <w:r w:rsidRPr="008D1FEF">
        <w:rPr>
          <w:rStyle w:val="FootnoteReference"/>
          <w:vertAlign w:val="superscript"/>
        </w:rPr>
        <w:footnoteRef/>
      </w:r>
      <w:r w:rsidRPr="008D1FEF">
        <w:rPr>
          <w:vertAlign w:val="superscript"/>
        </w:rPr>
        <w:t xml:space="preserve"> </w:t>
      </w:r>
      <w:r>
        <w:rPr>
          <w:vertAlign w:val="superscript"/>
        </w:rPr>
        <w:t xml:space="preserve">  </w:t>
      </w:r>
      <w:r w:rsidRPr="002D16D2">
        <w:t>See Table 4 – footnote a</w:t>
      </w:r>
    </w:p>
    <w:p w:rsidR="009B1D6E" w:rsidRPr="008D1FEF" w:rsidRDefault="009B1D6E">
      <w:pPr>
        <w:pStyle w:val="FootnoteText"/>
      </w:pPr>
    </w:p>
  </w:footnote>
  <w:footnote w:id="7">
    <w:p w:rsidR="009B1D6E" w:rsidRDefault="009B1D6E" w:rsidP="00E50D53">
      <w:pPr>
        <w:pStyle w:val="FootnoteText"/>
      </w:pPr>
      <w:r w:rsidRPr="00440C59">
        <w:rPr>
          <w:rStyle w:val="FootnoteReference"/>
          <w:vertAlign w:val="superscript"/>
        </w:rPr>
        <w:footnoteRef/>
      </w:r>
      <w:r>
        <w:t xml:space="preserve"> Note that the Generator Standards ICR does not estimate the burden associated with generator hazardous waste determinations.  Such burden is estimated in the Land Disposal Restrictions ICR, 1442.</w:t>
      </w:r>
    </w:p>
  </w:footnote>
  <w:footnote w:id="8">
    <w:p w:rsidR="009B1D6E" w:rsidRDefault="009B1D6E">
      <w:pPr>
        <w:pStyle w:val="FootnoteText"/>
      </w:pPr>
      <w:r w:rsidRPr="009273E1">
        <w:rPr>
          <w:rStyle w:val="FootnoteReference"/>
          <w:vertAlign w:val="superscript"/>
        </w:rPr>
        <w:footnoteRef/>
      </w:r>
      <w:r>
        <w:t xml:space="preserve"> ICR 1442 estimates that 50% of generators pay this fee and the other 50% use generator knowledge.  This differs from the Economic Assessment (EA) prepared for the RCRA CO</w:t>
      </w:r>
      <w:r w:rsidRPr="00C0304D">
        <w:rPr>
          <w:vertAlign w:val="subscript"/>
        </w:rPr>
        <w:t>2</w:t>
      </w:r>
      <w:r>
        <w:t xml:space="preserve"> rule.  The EA’s estimates are based on a more detailed analysis of inputs specific to the rulemaking.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434A54A"/>
    <w:lvl w:ilvl="0">
      <w:numFmt w:val="decimal"/>
      <w:lvlText w:val="*"/>
      <w:lvlJc w:val="left"/>
    </w:lvl>
  </w:abstractNum>
  <w:abstractNum w:abstractNumId="1">
    <w:nsid w:val="20BB6422"/>
    <w:multiLevelType w:val="hybridMultilevel"/>
    <w:tmpl w:val="0C660E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C652C7"/>
    <w:multiLevelType w:val="hybridMultilevel"/>
    <w:tmpl w:val="B5007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CAE267D"/>
    <w:multiLevelType w:val="hybridMultilevel"/>
    <w:tmpl w:val="7D4C4334"/>
    <w:lvl w:ilvl="0" w:tplc="563A7A9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A8F036F"/>
    <w:multiLevelType w:val="hybridMultilevel"/>
    <w:tmpl w:val="B8DA20B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bordersDoNotSurroundHeader/>
  <w:bordersDoNotSurroundFooter/>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DF2080"/>
    <w:rsid w:val="0000684D"/>
    <w:rsid w:val="0000708D"/>
    <w:rsid w:val="00010430"/>
    <w:rsid w:val="000111F2"/>
    <w:rsid w:val="00011919"/>
    <w:rsid w:val="00012A4F"/>
    <w:rsid w:val="00013F78"/>
    <w:rsid w:val="00021732"/>
    <w:rsid w:val="000217C3"/>
    <w:rsid w:val="00022B97"/>
    <w:rsid w:val="00024B9A"/>
    <w:rsid w:val="000256A0"/>
    <w:rsid w:val="00025D88"/>
    <w:rsid w:val="000300C5"/>
    <w:rsid w:val="00030F01"/>
    <w:rsid w:val="00036C54"/>
    <w:rsid w:val="00040833"/>
    <w:rsid w:val="00041A0B"/>
    <w:rsid w:val="0004268A"/>
    <w:rsid w:val="00042830"/>
    <w:rsid w:val="000448EB"/>
    <w:rsid w:val="000450D2"/>
    <w:rsid w:val="000469F9"/>
    <w:rsid w:val="0005287C"/>
    <w:rsid w:val="00052891"/>
    <w:rsid w:val="000545A6"/>
    <w:rsid w:val="00061030"/>
    <w:rsid w:val="00061F3F"/>
    <w:rsid w:val="00071457"/>
    <w:rsid w:val="00071A0A"/>
    <w:rsid w:val="0007278D"/>
    <w:rsid w:val="000748D9"/>
    <w:rsid w:val="00074C50"/>
    <w:rsid w:val="000767C9"/>
    <w:rsid w:val="00076C7A"/>
    <w:rsid w:val="00081CB6"/>
    <w:rsid w:val="000822E2"/>
    <w:rsid w:val="00085E6C"/>
    <w:rsid w:val="00086AEB"/>
    <w:rsid w:val="000928F9"/>
    <w:rsid w:val="00096257"/>
    <w:rsid w:val="0009637F"/>
    <w:rsid w:val="000975A6"/>
    <w:rsid w:val="000A1E79"/>
    <w:rsid w:val="000A264E"/>
    <w:rsid w:val="000A47C6"/>
    <w:rsid w:val="000A488E"/>
    <w:rsid w:val="000A4EAD"/>
    <w:rsid w:val="000A6573"/>
    <w:rsid w:val="000A6B78"/>
    <w:rsid w:val="000B2388"/>
    <w:rsid w:val="000B2B86"/>
    <w:rsid w:val="000B31B0"/>
    <w:rsid w:val="000B54F8"/>
    <w:rsid w:val="000B79E3"/>
    <w:rsid w:val="000C6D4B"/>
    <w:rsid w:val="000D0690"/>
    <w:rsid w:val="000E1260"/>
    <w:rsid w:val="000E1400"/>
    <w:rsid w:val="000E16A8"/>
    <w:rsid w:val="000E3114"/>
    <w:rsid w:val="000E72BC"/>
    <w:rsid w:val="000E77AF"/>
    <w:rsid w:val="000F002C"/>
    <w:rsid w:val="000F1124"/>
    <w:rsid w:val="000F165C"/>
    <w:rsid w:val="000F6419"/>
    <w:rsid w:val="000F79FF"/>
    <w:rsid w:val="00101A3B"/>
    <w:rsid w:val="00101CA5"/>
    <w:rsid w:val="001048A0"/>
    <w:rsid w:val="00105976"/>
    <w:rsid w:val="001120AD"/>
    <w:rsid w:val="0011224F"/>
    <w:rsid w:val="001126A5"/>
    <w:rsid w:val="00115198"/>
    <w:rsid w:val="0011705D"/>
    <w:rsid w:val="00120D5A"/>
    <w:rsid w:val="00121225"/>
    <w:rsid w:val="00121619"/>
    <w:rsid w:val="001250BE"/>
    <w:rsid w:val="00125228"/>
    <w:rsid w:val="001267F5"/>
    <w:rsid w:val="00127C3B"/>
    <w:rsid w:val="00133DBC"/>
    <w:rsid w:val="00136D46"/>
    <w:rsid w:val="001400BB"/>
    <w:rsid w:val="00142608"/>
    <w:rsid w:val="001427A8"/>
    <w:rsid w:val="00142BD7"/>
    <w:rsid w:val="0014453F"/>
    <w:rsid w:val="001461E3"/>
    <w:rsid w:val="00146E27"/>
    <w:rsid w:val="00146ECA"/>
    <w:rsid w:val="001477FE"/>
    <w:rsid w:val="00150C32"/>
    <w:rsid w:val="00153E4F"/>
    <w:rsid w:val="00155350"/>
    <w:rsid w:val="001557FD"/>
    <w:rsid w:val="00157B1E"/>
    <w:rsid w:val="00160212"/>
    <w:rsid w:val="001603FA"/>
    <w:rsid w:val="00162F7C"/>
    <w:rsid w:val="00164DA5"/>
    <w:rsid w:val="00170661"/>
    <w:rsid w:val="001706FB"/>
    <w:rsid w:val="0017098A"/>
    <w:rsid w:val="00172A10"/>
    <w:rsid w:val="00180488"/>
    <w:rsid w:val="00180B91"/>
    <w:rsid w:val="00181751"/>
    <w:rsid w:val="00184346"/>
    <w:rsid w:val="001858A8"/>
    <w:rsid w:val="001862C3"/>
    <w:rsid w:val="00190391"/>
    <w:rsid w:val="001907B8"/>
    <w:rsid w:val="00194650"/>
    <w:rsid w:val="00195F83"/>
    <w:rsid w:val="001972F0"/>
    <w:rsid w:val="001A2B97"/>
    <w:rsid w:val="001A3626"/>
    <w:rsid w:val="001A417C"/>
    <w:rsid w:val="001A45D7"/>
    <w:rsid w:val="001A5EAF"/>
    <w:rsid w:val="001A6145"/>
    <w:rsid w:val="001A65CB"/>
    <w:rsid w:val="001B0050"/>
    <w:rsid w:val="001B17BA"/>
    <w:rsid w:val="001B2AE3"/>
    <w:rsid w:val="001B324F"/>
    <w:rsid w:val="001B3FD7"/>
    <w:rsid w:val="001B4CD3"/>
    <w:rsid w:val="001B6EF2"/>
    <w:rsid w:val="001C1329"/>
    <w:rsid w:val="001C219E"/>
    <w:rsid w:val="001C2A7A"/>
    <w:rsid w:val="001C4557"/>
    <w:rsid w:val="001C4D74"/>
    <w:rsid w:val="001D1D36"/>
    <w:rsid w:val="001D20C5"/>
    <w:rsid w:val="001D2D66"/>
    <w:rsid w:val="001D654D"/>
    <w:rsid w:val="001D69D3"/>
    <w:rsid w:val="001D76EE"/>
    <w:rsid w:val="001E19A5"/>
    <w:rsid w:val="001F3700"/>
    <w:rsid w:val="001F55BE"/>
    <w:rsid w:val="002012F1"/>
    <w:rsid w:val="00202521"/>
    <w:rsid w:val="002034D9"/>
    <w:rsid w:val="002079AB"/>
    <w:rsid w:val="0021077A"/>
    <w:rsid w:val="0022126E"/>
    <w:rsid w:val="0023480F"/>
    <w:rsid w:val="00236CE9"/>
    <w:rsid w:val="00236EEE"/>
    <w:rsid w:val="00244463"/>
    <w:rsid w:val="00245029"/>
    <w:rsid w:val="00247F63"/>
    <w:rsid w:val="00253ED9"/>
    <w:rsid w:val="00264587"/>
    <w:rsid w:val="0026546C"/>
    <w:rsid w:val="00265544"/>
    <w:rsid w:val="00265D97"/>
    <w:rsid w:val="002669EA"/>
    <w:rsid w:val="00270DBC"/>
    <w:rsid w:val="00271D15"/>
    <w:rsid w:val="00271ED5"/>
    <w:rsid w:val="002756D6"/>
    <w:rsid w:val="00276706"/>
    <w:rsid w:val="00276E10"/>
    <w:rsid w:val="00277FB9"/>
    <w:rsid w:val="00281395"/>
    <w:rsid w:val="00282AAC"/>
    <w:rsid w:val="002875FC"/>
    <w:rsid w:val="00290091"/>
    <w:rsid w:val="00295E10"/>
    <w:rsid w:val="00296649"/>
    <w:rsid w:val="002A489A"/>
    <w:rsid w:val="002A4E05"/>
    <w:rsid w:val="002B40C1"/>
    <w:rsid w:val="002B6956"/>
    <w:rsid w:val="002B7473"/>
    <w:rsid w:val="002C0A8D"/>
    <w:rsid w:val="002C0F6D"/>
    <w:rsid w:val="002C417A"/>
    <w:rsid w:val="002C4EAA"/>
    <w:rsid w:val="002D16D2"/>
    <w:rsid w:val="002D3660"/>
    <w:rsid w:val="002D38B9"/>
    <w:rsid w:val="002D51E8"/>
    <w:rsid w:val="002D65BB"/>
    <w:rsid w:val="002D71CD"/>
    <w:rsid w:val="002D7409"/>
    <w:rsid w:val="002D740B"/>
    <w:rsid w:val="002E0AA1"/>
    <w:rsid w:val="002E0BAE"/>
    <w:rsid w:val="002E0DE7"/>
    <w:rsid w:val="002E0F37"/>
    <w:rsid w:val="002E2119"/>
    <w:rsid w:val="002E2897"/>
    <w:rsid w:val="002E5B2F"/>
    <w:rsid w:val="002F0E61"/>
    <w:rsid w:val="002F3D85"/>
    <w:rsid w:val="002F4DD0"/>
    <w:rsid w:val="002F53EB"/>
    <w:rsid w:val="00302FBC"/>
    <w:rsid w:val="003031B4"/>
    <w:rsid w:val="003039EF"/>
    <w:rsid w:val="003053BF"/>
    <w:rsid w:val="00305923"/>
    <w:rsid w:val="00306045"/>
    <w:rsid w:val="00306BC8"/>
    <w:rsid w:val="003156E8"/>
    <w:rsid w:val="00315D8F"/>
    <w:rsid w:val="0032184C"/>
    <w:rsid w:val="003218D8"/>
    <w:rsid w:val="003224BD"/>
    <w:rsid w:val="003307A4"/>
    <w:rsid w:val="00330901"/>
    <w:rsid w:val="003321A7"/>
    <w:rsid w:val="00332B61"/>
    <w:rsid w:val="00336A21"/>
    <w:rsid w:val="003409E5"/>
    <w:rsid w:val="003443B4"/>
    <w:rsid w:val="003457C4"/>
    <w:rsid w:val="00350D52"/>
    <w:rsid w:val="00352FC6"/>
    <w:rsid w:val="00353EA6"/>
    <w:rsid w:val="00355151"/>
    <w:rsid w:val="003554F8"/>
    <w:rsid w:val="00355A0F"/>
    <w:rsid w:val="00355C6B"/>
    <w:rsid w:val="00356055"/>
    <w:rsid w:val="00362B1D"/>
    <w:rsid w:val="00362D11"/>
    <w:rsid w:val="00365274"/>
    <w:rsid w:val="003662D8"/>
    <w:rsid w:val="00367D8E"/>
    <w:rsid w:val="00370543"/>
    <w:rsid w:val="003713D4"/>
    <w:rsid w:val="00374081"/>
    <w:rsid w:val="003745C4"/>
    <w:rsid w:val="003762C0"/>
    <w:rsid w:val="003829B7"/>
    <w:rsid w:val="00383196"/>
    <w:rsid w:val="00383817"/>
    <w:rsid w:val="0038510F"/>
    <w:rsid w:val="0038563B"/>
    <w:rsid w:val="00393164"/>
    <w:rsid w:val="003977D0"/>
    <w:rsid w:val="003A1405"/>
    <w:rsid w:val="003A4FA9"/>
    <w:rsid w:val="003A5093"/>
    <w:rsid w:val="003A598A"/>
    <w:rsid w:val="003B1739"/>
    <w:rsid w:val="003B31C8"/>
    <w:rsid w:val="003B4D49"/>
    <w:rsid w:val="003B6016"/>
    <w:rsid w:val="003C0583"/>
    <w:rsid w:val="003C2DB4"/>
    <w:rsid w:val="003C6349"/>
    <w:rsid w:val="003C65B6"/>
    <w:rsid w:val="003D310A"/>
    <w:rsid w:val="003D517E"/>
    <w:rsid w:val="003E0EBE"/>
    <w:rsid w:val="003E7D02"/>
    <w:rsid w:val="003F271C"/>
    <w:rsid w:val="003F4257"/>
    <w:rsid w:val="003F7414"/>
    <w:rsid w:val="00400E8B"/>
    <w:rsid w:val="00404E20"/>
    <w:rsid w:val="0041289B"/>
    <w:rsid w:val="004178C1"/>
    <w:rsid w:val="00421B35"/>
    <w:rsid w:val="00421F90"/>
    <w:rsid w:val="004233C4"/>
    <w:rsid w:val="00424A9D"/>
    <w:rsid w:val="0042625E"/>
    <w:rsid w:val="00431953"/>
    <w:rsid w:val="00436786"/>
    <w:rsid w:val="004375EA"/>
    <w:rsid w:val="00440C59"/>
    <w:rsid w:val="004413A7"/>
    <w:rsid w:val="0044295B"/>
    <w:rsid w:val="00444D85"/>
    <w:rsid w:val="0045089A"/>
    <w:rsid w:val="00451F85"/>
    <w:rsid w:val="0045211E"/>
    <w:rsid w:val="004544DB"/>
    <w:rsid w:val="00455E3A"/>
    <w:rsid w:val="004575B1"/>
    <w:rsid w:val="00461A38"/>
    <w:rsid w:val="00461A57"/>
    <w:rsid w:val="00461A8A"/>
    <w:rsid w:val="00461D0A"/>
    <w:rsid w:val="00461E86"/>
    <w:rsid w:val="00466B08"/>
    <w:rsid w:val="00471356"/>
    <w:rsid w:val="0047786A"/>
    <w:rsid w:val="00482E83"/>
    <w:rsid w:val="00486BDD"/>
    <w:rsid w:val="00491963"/>
    <w:rsid w:val="00491EF4"/>
    <w:rsid w:val="0049200C"/>
    <w:rsid w:val="00496934"/>
    <w:rsid w:val="00497255"/>
    <w:rsid w:val="00497FB9"/>
    <w:rsid w:val="004A3FC1"/>
    <w:rsid w:val="004B107D"/>
    <w:rsid w:val="004B1345"/>
    <w:rsid w:val="004B1C02"/>
    <w:rsid w:val="004B2210"/>
    <w:rsid w:val="004B2C5D"/>
    <w:rsid w:val="004B34A6"/>
    <w:rsid w:val="004B427F"/>
    <w:rsid w:val="004C1487"/>
    <w:rsid w:val="004C1AD7"/>
    <w:rsid w:val="004C291D"/>
    <w:rsid w:val="004C2E30"/>
    <w:rsid w:val="004C3402"/>
    <w:rsid w:val="004C5360"/>
    <w:rsid w:val="004C5B3A"/>
    <w:rsid w:val="004C7368"/>
    <w:rsid w:val="004C7E7A"/>
    <w:rsid w:val="004D004B"/>
    <w:rsid w:val="004D249A"/>
    <w:rsid w:val="004D6BFE"/>
    <w:rsid w:val="004D7FB0"/>
    <w:rsid w:val="004D7FBB"/>
    <w:rsid w:val="004E167F"/>
    <w:rsid w:val="004E702B"/>
    <w:rsid w:val="004E7F0C"/>
    <w:rsid w:val="004F0D8B"/>
    <w:rsid w:val="004F5450"/>
    <w:rsid w:val="004F625D"/>
    <w:rsid w:val="004F7D62"/>
    <w:rsid w:val="00501B92"/>
    <w:rsid w:val="00502769"/>
    <w:rsid w:val="00505F82"/>
    <w:rsid w:val="005066DB"/>
    <w:rsid w:val="005069D6"/>
    <w:rsid w:val="00515E9E"/>
    <w:rsid w:val="005168C2"/>
    <w:rsid w:val="00516CFE"/>
    <w:rsid w:val="0052035D"/>
    <w:rsid w:val="005206BF"/>
    <w:rsid w:val="0052093F"/>
    <w:rsid w:val="00521595"/>
    <w:rsid w:val="00522E6D"/>
    <w:rsid w:val="005236EA"/>
    <w:rsid w:val="005272E5"/>
    <w:rsid w:val="0053568D"/>
    <w:rsid w:val="00540DB8"/>
    <w:rsid w:val="00541376"/>
    <w:rsid w:val="0054243E"/>
    <w:rsid w:val="00544864"/>
    <w:rsid w:val="00545880"/>
    <w:rsid w:val="00546296"/>
    <w:rsid w:val="00546B49"/>
    <w:rsid w:val="00546C99"/>
    <w:rsid w:val="00550B67"/>
    <w:rsid w:val="005540CA"/>
    <w:rsid w:val="005551EA"/>
    <w:rsid w:val="00555DAC"/>
    <w:rsid w:val="00557CCB"/>
    <w:rsid w:val="005601DF"/>
    <w:rsid w:val="0056288C"/>
    <w:rsid w:val="0056706C"/>
    <w:rsid w:val="00571755"/>
    <w:rsid w:val="00573BE8"/>
    <w:rsid w:val="00574274"/>
    <w:rsid w:val="005758E1"/>
    <w:rsid w:val="00577ED5"/>
    <w:rsid w:val="00580C10"/>
    <w:rsid w:val="005818E7"/>
    <w:rsid w:val="00585289"/>
    <w:rsid w:val="00585C8D"/>
    <w:rsid w:val="00590E1C"/>
    <w:rsid w:val="00590F5A"/>
    <w:rsid w:val="005940F3"/>
    <w:rsid w:val="00596527"/>
    <w:rsid w:val="00597C43"/>
    <w:rsid w:val="005A7531"/>
    <w:rsid w:val="005A7CE1"/>
    <w:rsid w:val="005B0422"/>
    <w:rsid w:val="005B23F7"/>
    <w:rsid w:val="005B35EB"/>
    <w:rsid w:val="005B5489"/>
    <w:rsid w:val="005C050C"/>
    <w:rsid w:val="005C16DE"/>
    <w:rsid w:val="005C29BA"/>
    <w:rsid w:val="005C45E0"/>
    <w:rsid w:val="005C48FC"/>
    <w:rsid w:val="005C51C2"/>
    <w:rsid w:val="005C53D1"/>
    <w:rsid w:val="005C5E13"/>
    <w:rsid w:val="005D0B06"/>
    <w:rsid w:val="005D18A8"/>
    <w:rsid w:val="005D4AC0"/>
    <w:rsid w:val="005E0282"/>
    <w:rsid w:val="005E2F0C"/>
    <w:rsid w:val="005E3620"/>
    <w:rsid w:val="005E3C28"/>
    <w:rsid w:val="005E61BE"/>
    <w:rsid w:val="005F0D4C"/>
    <w:rsid w:val="005F12A6"/>
    <w:rsid w:val="005F24F7"/>
    <w:rsid w:val="005F4F82"/>
    <w:rsid w:val="005F66BC"/>
    <w:rsid w:val="005F7F6C"/>
    <w:rsid w:val="006006F7"/>
    <w:rsid w:val="00600B74"/>
    <w:rsid w:val="0060246E"/>
    <w:rsid w:val="00603A70"/>
    <w:rsid w:val="0060526E"/>
    <w:rsid w:val="006104D4"/>
    <w:rsid w:val="00613E00"/>
    <w:rsid w:val="00615285"/>
    <w:rsid w:val="00617ED2"/>
    <w:rsid w:val="00620740"/>
    <w:rsid w:val="00621195"/>
    <w:rsid w:val="006236A3"/>
    <w:rsid w:val="00624EB7"/>
    <w:rsid w:val="00625B96"/>
    <w:rsid w:val="006304D5"/>
    <w:rsid w:val="00630D2A"/>
    <w:rsid w:val="00631530"/>
    <w:rsid w:val="006325C1"/>
    <w:rsid w:val="00632780"/>
    <w:rsid w:val="006332E3"/>
    <w:rsid w:val="00633950"/>
    <w:rsid w:val="006340D2"/>
    <w:rsid w:val="006355D0"/>
    <w:rsid w:val="0063748D"/>
    <w:rsid w:val="00641C7F"/>
    <w:rsid w:val="00641E5E"/>
    <w:rsid w:val="00646225"/>
    <w:rsid w:val="00646878"/>
    <w:rsid w:val="00654C65"/>
    <w:rsid w:val="006560AC"/>
    <w:rsid w:val="00656341"/>
    <w:rsid w:val="00656381"/>
    <w:rsid w:val="00657307"/>
    <w:rsid w:val="006605F9"/>
    <w:rsid w:val="00662CC2"/>
    <w:rsid w:val="00665FD5"/>
    <w:rsid w:val="00671E25"/>
    <w:rsid w:val="0067408E"/>
    <w:rsid w:val="00676D53"/>
    <w:rsid w:val="006774A8"/>
    <w:rsid w:val="00680157"/>
    <w:rsid w:val="006818D1"/>
    <w:rsid w:val="00683B51"/>
    <w:rsid w:val="00683F36"/>
    <w:rsid w:val="006856D9"/>
    <w:rsid w:val="00685C4E"/>
    <w:rsid w:val="00690719"/>
    <w:rsid w:val="0069110C"/>
    <w:rsid w:val="00695A9D"/>
    <w:rsid w:val="006A0434"/>
    <w:rsid w:val="006A24EA"/>
    <w:rsid w:val="006A6EC6"/>
    <w:rsid w:val="006B4B72"/>
    <w:rsid w:val="006B5A03"/>
    <w:rsid w:val="006B5FD0"/>
    <w:rsid w:val="006B64CD"/>
    <w:rsid w:val="006B69E6"/>
    <w:rsid w:val="006B7243"/>
    <w:rsid w:val="006B72F1"/>
    <w:rsid w:val="006B793E"/>
    <w:rsid w:val="006C0B17"/>
    <w:rsid w:val="006C1365"/>
    <w:rsid w:val="006C1476"/>
    <w:rsid w:val="006C7D60"/>
    <w:rsid w:val="006D0110"/>
    <w:rsid w:val="006D0B66"/>
    <w:rsid w:val="006D1AB4"/>
    <w:rsid w:val="006D1BF0"/>
    <w:rsid w:val="006D1EF3"/>
    <w:rsid w:val="006D1F97"/>
    <w:rsid w:val="006D3ACA"/>
    <w:rsid w:val="006D446C"/>
    <w:rsid w:val="006D4F86"/>
    <w:rsid w:val="006E2B92"/>
    <w:rsid w:val="006E3C6B"/>
    <w:rsid w:val="006E45D2"/>
    <w:rsid w:val="006E5EF2"/>
    <w:rsid w:val="006E66E5"/>
    <w:rsid w:val="006E6702"/>
    <w:rsid w:val="006E7BDF"/>
    <w:rsid w:val="006F7115"/>
    <w:rsid w:val="006F7A85"/>
    <w:rsid w:val="00701B8F"/>
    <w:rsid w:val="0070459F"/>
    <w:rsid w:val="00713EA0"/>
    <w:rsid w:val="00714A1C"/>
    <w:rsid w:val="0072109C"/>
    <w:rsid w:val="00722266"/>
    <w:rsid w:val="00735D82"/>
    <w:rsid w:val="00740A02"/>
    <w:rsid w:val="00743FFA"/>
    <w:rsid w:val="007502B3"/>
    <w:rsid w:val="007532F4"/>
    <w:rsid w:val="007541E2"/>
    <w:rsid w:val="007602D3"/>
    <w:rsid w:val="00763896"/>
    <w:rsid w:val="00766AD1"/>
    <w:rsid w:val="0077045F"/>
    <w:rsid w:val="00772FCC"/>
    <w:rsid w:val="00773FA3"/>
    <w:rsid w:val="007745C7"/>
    <w:rsid w:val="00775480"/>
    <w:rsid w:val="007767EA"/>
    <w:rsid w:val="00777961"/>
    <w:rsid w:val="00781202"/>
    <w:rsid w:val="00782955"/>
    <w:rsid w:val="00785D6D"/>
    <w:rsid w:val="0078636F"/>
    <w:rsid w:val="00791801"/>
    <w:rsid w:val="00791882"/>
    <w:rsid w:val="007919F7"/>
    <w:rsid w:val="00791CEF"/>
    <w:rsid w:val="0079378D"/>
    <w:rsid w:val="00794027"/>
    <w:rsid w:val="007959EF"/>
    <w:rsid w:val="007A5419"/>
    <w:rsid w:val="007A548A"/>
    <w:rsid w:val="007A61AD"/>
    <w:rsid w:val="007B2149"/>
    <w:rsid w:val="007B21C5"/>
    <w:rsid w:val="007B3C42"/>
    <w:rsid w:val="007B6C12"/>
    <w:rsid w:val="007C0FEF"/>
    <w:rsid w:val="007C1AE8"/>
    <w:rsid w:val="007C3007"/>
    <w:rsid w:val="007C3359"/>
    <w:rsid w:val="007C5521"/>
    <w:rsid w:val="007C6A29"/>
    <w:rsid w:val="007C6DF3"/>
    <w:rsid w:val="007C6E96"/>
    <w:rsid w:val="007C730B"/>
    <w:rsid w:val="007C7D74"/>
    <w:rsid w:val="007D30F6"/>
    <w:rsid w:val="007D5C17"/>
    <w:rsid w:val="007E11E9"/>
    <w:rsid w:val="007E29A6"/>
    <w:rsid w:val="007E4DB9"/>
    <w:rsid w:val="007E54AC"/>
    <w:rsid w:val="007E5EF9"/>
    <w:rsid w:val="00801542"/>
    <w:rsid w:val="00801CB9"/>
    <w:rsid w:val="00801DE2"/>
    <w:rsid w:val="00804BBB"/>
    <w:rsid w:val="00805778"/>
    <w:rsid w:val="00806B13"/>
    <w:rsid w:val="00806FDE"/>
    <w:rsid w:val="00807A21"/>
    <w:rsid w:val="0081023C"/>
    <w:rsid w:val="0081097F"/>
    <w:rsid w:val="00811764"/>
    <w:rsid w:val="00811E84"/>
    <w:rsid w:val="00812173"/>
    <w:rsid w:val="00815803"/>
    <w:rsid w:val="00822092"/>
    <w:rsid w:val="00825578"/>
    <w:rsid w:val="008346D3"/>
    <w:rsid w:val="008457B3"/>
    <w:rsid w:val="0084644C"/>
    <w:rsid w:val="008464C9"/>
    <w:rsid w:val="00847081"/>
    <w:rsid w:val="00854252"/>
    <w:rsid w:val="0085466A"/>
    <w:rsid w:val="00855076"/>
    <w:rsid w:val="00860662"/>
    <w:rsid w:val="00861AFC"/>
    <w:rsid w:val="008628A2"/>
    <w:rsid w:val="00863D19"/>
    <w:rsid w:val="0086793E"/>
    <w:rsid w:val="00870255"/>
    <w:rsid w:val="00870AF2"/>
    <w:rsid w:val="008714E1"/>
    <w:rsid w:val="0087190A"/>
    <w:rsid w:val="00872AF1"/>
    <w:rsid w:val="00873EF3"/>
    <w:rsid w:val="00875C19"/>
    <w:rsid w:val="008805FD"/>
    <w:rsid w:val="00884E1A"/>
    <w:rsid w:val="008855B1"/>
    <w:rsid w:val="008927A9"/>
    <w:rsid w:val="0089310E"/>
    <w:rsid w:val="0089376B"/>
    <w:rsid w:val="00894517"/>
    <w:rsid w:val="008A0A3A"/>
    <w:rsid w:val="008A349D"/>
    <w:rsid w:val="008A3A61"/>
    <w:rsid w:val="008A3A7A"/>
    <w:rsid w:val="008B0C9D"/>
    <w:rsid w:val="008B3E73"/>
    <w:rsid w:val="008B5B0B"/>
    <w:rsid w:val="008B66EB"/>
    <w:rsid w:val="008B70A6"/>
    <w:rsid w:val="008C0A86"/>
    <w:rsid w:val="008C1B7A"/>
    <w:rsid w:val="008C6021"/>
    <w:rsid w:val="008D1FEF"/>
    <w:rsid w:val="008D2592"/>
    <w:rsid w:val="008D2BF5"/>
    <w:rsid w:val="008D3D30"/>
    <w:rsid w:val="008D3F56"/>
    <w:rsid w:val="008D6A6C"/>
    <w:rsid w:val="008D6B8C"/>
    <w:rsid w:val="008D7BD2"/>
    <w:rsid w:val="008E2630"/>
    <w:rsid w:val="008E3DB9"/>
    <w:rsid w:val="008E4183"/>
    <w:rsid w:val="008E41FD"/>
    <w:rsid w:val="008E43B9"/>
    <w:rsid w:val="008F1809"/>
    <w:rsid w:val="008F218E"/>
    <w:rsid w:val="008F27EF"/>
    <w:rsid w:val="008F2AF1"/>
    <w:rsid w:val="008F4020"/>
    <w:rsid w:val="008F4E8B"/>
    <w:rsid w:val="008F52C8"/>
    <w:rsid w:val="008F577D"/>
    <w:rsid w:val="00901C7B"/>
    <w:rsid w:val="00907B47"/>
    <w:rsid w:val="00912A15"/>
    <w:rsid w:val="00914A3E"/>
    <w:rsid w:val="009175D8"/>
    <w:rsid w:val="00917DBC"/>
    <w:rsid w:val="00921404"/>
    <w:rsid w:val="00921E5D"/>
    <w:rsid w:val="00925A3A"/>
    <w:rsid w:val="00925B8B"/>
    <w:rsid w:val="00926801"/>
    <w:rsid w:val="009273E1"/>
    <w:rsid w:val="00931C9D"/>
    <w:rsid w:val="009323A8"/>
    <w:rsid w:val="00932668"/>
    <w:rsid w:val="00934E42"/>
    <w:rsid w:val="00934F34"/>
    <w:rsid w:val="00937080"/>
    <w:rsid w:val="0093746A"/>
    <w:rsid w:val="00940F82"/>
    <w:rsid w:val="009422AE"/>
    <w:rsid w:val="00942B9F"/>
    <w:rsid w:val="00943B63"/>
    <w:rsid w:val="00943F9E"/>
    <w:rsid w:val="00945212"/>
    <w:rsid w:val="00947636"/>
    <w:rsid w:val="009518C0"/>
    <w:rsid w:val="00954E74"/>
    <w:rsid w:val="00956721"/>
    <w:rsid w:val="00956BBB"/>
    <w:rsid w:val="00961B09"/>
    <w:rsid w:val="009674A7"/>
    <w:rsid w:val="009719B5"/>
    <w:rsid w:val="00971ACA"/>
    <w:rsid w:val="00980FAE"/>
    <w:rsid w:val="00981A79"/>
    <w:rsid w:val="00982CBD"/>
    <w:rsid w:val="00991E91"/>
    <w:rsid w:val="00994ECB"/>
    <w:rsid w:val="00996788"/>
    <w:rsid w:val="00996CD5"/>
    <w:rsid w:val="009973DC"/>
    <w:rsid w:val="009A1A7A"/>
    <w:rsid w:val="009A32A9"/>
    <w:rsid w:val="009A3FE5"/>
    <w:rsid w:val="009A4095"/>
    <w:rsid w:val="009A467D"/>
    <w:rsid w:val="009A49B2"/>
    <w:rsid w:val="009A7540"/>
    <w:rsid w:val="009B1307"/>
    <w:rsid w:val="009B1D6E"/>
    <w:rsid w:val="009B3BB5"/>
    <w:rsid w:val="009B5406"/>
    <w:rsid w:val="009C09B8"/>
    <w:rsid w:val="009C16D2"/>
    <w:rsid w:val="009C20DC"/>
    <w:rsid w:val="009C3382"/>
    <w:rsid w:val="009C7ECC"/>
    <w:rsid w:val="009D06C1"/>
    <w:rsid w:val="009D4DA6"/>
    <w:rsid w:val="009E135C"/>
    <w:rsid w:val="009E16AB"/>
    <w:rsid w:val="009E1922"/>
    <w:rsid w:val="009E2C62"/>
    <w:rsid w:val="009E3F61"/>
    <w:rsid w:val="009E5CCF"/>
    <w:rsid w:val="009E6DC2"/>
    <w:rsid w:val="009F0C58"/>
    <w:rsid w:val="009F14D2"/>
    <w:rsid w:val="009F54AC"/>
    <w:rsid w:val="009F5EB5"/>
    <w:rsid w:val="009F6EF2"/>
    <w:rsid w:val="00A0212B"/>
    <w:rsid w:val="00A0262E"/>
    <w:rsid w:val="00A05FF0"/>
    <w:rsid w:val="00A06258"/>
    <w:rsid w:val="00A06947"/>
    <w:rsid w:val="00A1018E"/>
    <w:rsid w:val="00A16748"/>
    <w:rsid w:val="00A16A4E"/>
    <w:rsid w:val="00A20E6B"/>
    <w:rsid w:val="00A238A7"/>
    <w:rsid w:val="00A24D3A"/>
    <w:rsid w:val="00A30AAB"/>
    <w:rsid w:val="00A37581"/>
    <w:rsid w:val="00A37AE3"/>
    <w:rsid w:val="00A425F2"/>
    <w:rsid w:val="00A4780E"/>
    <w:rsid w:val="00A51D5C"/>
    <w:rsid w:val="00A55921"/>
    <w:rsid w:val="00A56086"/>
    <w:rsid w:val="00A5779C"/>
    <w:rsid w:val="00A60392"/>
    <w:rsid w:val="00A61C55"/>
    <w:rsid w:val="00A62CE2"/>
    <w:rsid w:val="00A67A6B"/>
    <w:rsid w:val="00A71D49"/>
    <w:rsid w:val="00A80908"/>
    <w:rsid w:val="00A82054"/>
    <w:rsid w:val="00A8595F"/>
    <w:rsid w:val="00A86CD6"/>
    <w:rsid w:val="00A871CD"/>
    <w:rsid w:val="00A874F2"/>
    <w:rsid w:val="00A875D1"/>
    <w:rsid w:val="00A8796F"/>
    <w:rsid w:val="00A90822"/>
    <w:rsid w:val="00A90BEA"/>
    <w:rsid w:val="00A90FB9"/>
    <w:rsid w:val="00AA0503"/>
    <w:rsid w:val="00AA0833"/>
    <w:rsid w:val="00AA1C7E"/>
    <w:rsid w:val="00AA28BD"/>
    <w:rsid w:val="00AA291C"/>
    <w:rsid w:val="00AB0103"/>
    <w:rsid w:val="00AB65DF"/>
    <w:rsid w:val="00AC159A"/>
    <w:rsid w:val="00AC3A32"/>
    <w:rsid w:val="00AC4639"/>
    <w:rsid w:val="00AC4903"/>
    <w:rsid w:val="00AD0525"/>
    <w:rsid w:val="00AD0AB3"/>
    <w:rsid w:val="00AD30BD"/>
    <w:rsid w:val="00AD53F5"/>
    <w:rsid w:val="00AD6514"/>
    <w:rsid w:val="00AD7020"/>
    <w:rsid w:val="00AD7A78"/>
    <w:rsid w:val="00AE03B2"/>
    <w:rsid w:val="00AE1FD4"/>
    <w:rsid w:val="00AE37FC"/>
    <w:rsid w:val="00AE4EF7"/>
    <w:rsid w:val="00AE7F62"/>
    <w:rsid w:val="00AF3350"/>
    <w:rsid w:val="00AF37F1"/>
    <w:rsid w:val="00AF696C"/>
    <w:rsid w:val="00AF72BF"/>
    <w:rsid w:val="00B0036E"/>
    <w:rsid w:val="00B06A56"/>
    <w:rsid w:val="00B06FDD"/>
    <w:rsid w:val="00B07FD6"/>
    <w:rsid w:val="00B20798"/>
    <w:rsid w:val="00B2084B"/>
    <w:rsid w:val="00B23F96"/>
    <w:rsid w:val="00B25057"/>
    <w:rsid w:val="00B268D8"/>
    <w:rsid w:val="00B26C8D"/>
    <w:rsid w:val="00B30DF4"/>
    <w:rsid w:val="00B313C4"/>
    <w:rsid w:val="00B37C49"/>
    <w:rsid w:val="00B402BF"/>
    <w:rsid w:val="00B42D6B"/>
    <w:rsid w:val="00B46B9B"/>
    <w:rsid w:val="00B63C39"/>
    <w:rsid w:val="00B6428C"/>
    <w:rsid w:val="00B66910"/>
    <w:rsid w:val="00B6728E"/>
    <w:rsid w:val="00B75E16"/>
    <w:rsid w:val="00B76494"/>
    <w:rsid w:val="00B76708"/>
    <w:rsid w:val="00B77671"/>
    <w:rsid w:val="00B80606"/>
    <w:rsid w:val="00B80B6E"/>
    <w:rsid w:val="00B815F9"/>
    <w:rsid w:val="00B85C1D"/>
    <w:rsid w:val="00B862A6"/>
    <w:rsid w:val="00B86749"/>
    <w:rsid w:val="00B86A50"/>
    <w:rsid w:val="00B87C6D"/>
    <w:rsid w:val="00BA0A5C"/>
    <w:rsid w:val="00BA3DF5"/>
    <w:rsid w:val="00BA598C"/>
    <w:rsid w:val="00BA7173"/>
    <w:rsid w:val="00BB12E1"/>
    <w:rsid w:val="00BB2CCE"/>
    <w:rsid w:val="00BB3847"/>
    <w:rsid w:val="00BB4241"/>
    <w:rsid w:val="00BC2ADB"/>
    <w:rsid w:val="00BC42EC"/>
    <w:rsid w:val="00BC4847"/>
    <w:rsid w:val="00BC5E26"/>
    <w:rsid w:val="00BC6899"/>
    <w:rsid w:val="00BC771E"/>
    <w:rsid w:val="00BD46E7"/>
    <w:rsid w:val="00BD6F38"/>
    <w:rsid w:val="00BD7111"/>
    <w:rsid w:val="00BE1135"/>
    <w:rsid w:val="00BE1533"/>
    <w:rsid w:val="00BE1937"/>
    <w:rsid w:val="00BE1D3F"/>
    <w:rsid w:val="00BF125F"/>
    <w:rsid w:val="00BF579E"/>
    <w:rsid w:val="00C02271"/>
    <w:rsid w:val="00C0304D"/>
    <w:rsid w:val="00C03246"/>
    <w:rsid w:val="00C03600"/>
    <w:rsid w:val="00C0381F"/>
    <w:rsid w:val="00C03CFA"/>
    <w:rsid w:val="00C06611"/>
    <w:rsid w:val="00C06E36"/>
    <w:rsid w:val="00C07D2F"/>
    <w:rsid w:val="00C11056"/>
    <w:rsid w:val="00C20761"/>
    <w:rsid w:val="00C240BE"/>
    <w:rsid w:val="00C24F71"/>
    <w:rsid w:val="00C26F87"/>
    <w:rsid w:val="00C44E00"/>
    <w:rsid w:val="00C476FC"/>
    <w:rsid w:val="00C520F4"/>
    <w:rsid w:val="00C5362B"/>
    <w:rsid w:val="00C54ED0"/>
    <w:rsid w:val="00C56241"/>
    <w:rsid w:val="00C567B7"/>
    <w:rsid w:val="00C5734A"/>
    <w:rsid w:val="00C629DF"/>
    <w:rsid w:val="00C66B6C"/>
    <w:rsid w:val="00C712AC"/>
    <w:rsid w:val="00C716D3"/>
    <w:rsid w:val="00C72D98"/>
    <w:rsid w:val="00C7476D"/>
    <w:rsid w:val="00C75095"/>
    <w:rsid w:val="00C762D2"/>
    <w:rsid w:val="00C93B7A"/>
    <w:rsid w:val="00C93DD8"/>
    <w:rsid w:val="00C96C0C"/>
    <w:rsid w:val="00CA1DA3"/>
    <w:rsid w:val="00CA347B"/>
    <w:rsid w:val="00CA3B23"/>
    <w:rsid w:val="00CA42E6"/>
    <w:rsid w:val="00CA6B4F"/>
    <w:rsid w:val="00CB38A9"/>
    <w:rsid w:val="00CB43AD"/>
    <w:rsid w:val="00CB54AA"/>
    <w:rsid w:val="00CB5E6F"/>
    <w:rsid w:val="00CC1845"/>
    <w:rsid w:val="00CC3C45"/>
    <w:rsid w:val="00CC6B84"/>
    <w:rsid w:val="00CD0035"/>
    <w:rsid w:val="00CD09D2"/>
    <w:rsid w:val="00CD2637"/>
    <w:rsid w:val="00CD4FD1"/>
    <w:rsid w:val="00CE009B"/>
    <w:rsid w:val="00CE0DC6"/>
    <w:rsid w:val="00CE4B10"/>
    <w:rsid w:val="00CE50AE"/>
    <w:rsid w:val="00CE597F"/>
    <w:rsid w:val="00CE6509"/>
    <w:rsid w:val="00CE758E"/>
    <w:rsid w:val="00CF0681"/>
    <w:rsid w:val="00CF0F1B"/>
    <w:rsid w:val="00CF3802"/>
    <w:rsid w:val="00D0027E"/>
    <w:rsid w:val="00D00676"/>
    <w:rsid w:val="00D047F2"/>
    <w:rsid w:val="00D12E21"/>
    <w:rsid w:val="00D13234"/>
    <w:rsid w:val="00D13BDD"/>
    <w:rsid w:val="00D15CC8"/>
    <w:rsid w:val="00D20A9B"/>
    <w:rsid w:val="00D21731"/>
    <w:rsid w:val="00D223FC"/>
    <w:rsid w:val="00D24ABD"/>
    <w:rsid w:val="00D27796"/>
    <w:rsid w:val="00D30526"/>
    <w:rsid w:val="00D35608"/>
    <w:rsid w:val="00D362E9"/>
    <w:rsid w:val="00D37EFC"/>
    <w:rsid w:val="00D423B2"/>
    <w:rsid w:val="00D433D6"/>
    <w:rsid w:val="00D4357E"/>
    <w:rsid w:val="00D43E85"/>
    <w:rsid w:val="00D451F3"/>
    <w:rsid w:val="00D452E6"/>
    <w:rsid w:val="00D45300"/>
    <w:rsid w:val="00D4649F"/>
    <w:rsid w:val="00D47B19"/>
    <w:rsid w:val="00D503DD"/>
    <w:rsid w:val="00D511E1"/>
    <w:rsid w:val="00D520E7"/>
    <w:rsid w:val="00D562A7"/>
    <w:rsid w:val="00D610CF"/>
    <w:rsid w:val="00D6199D"/>
    <w:rsid w:val="00D6293A"/>
    <w:rsid w:val="00D631CC"/>
    <w:rsid w:val="00D63671"/>
    <w:rsid w:val="00D72077"/>
    <w:rsid w:val="00D73096"/>
    <w:rsid w:val="00D747DC"/>
    <w:rsid w:val="00D75610"/>
    <w:rsid w:val="00D7591B"/>
    <w:rsid w:val="00D76E26"/>
    <w:rsid w:val="00D77F3A"/>
    <w:rsid w:val="00D8002C"/>
    <w:rsid w:val="00D8100C"/>
    <w:rsid w:val="00D81F3B"/>
    <w:rsid w:val="00D820AA"/>
    <w:rsid w:val="00D83986"/>
    <w:rsid w:val="00D84CE6"/>
    <w:rsid w:val="00D8631B"/>
    <w:rsid w:val="00D87F7D"/>
    <w:rsid w:val="00D96A25"/>
    <w:rsid w:val="00D97141"/>
    <w:rsid w:val="00D97678"/>
    <w:rsid w:val="00DA02FF"/>
    <w:rsid w:val="00DA17D9"/>
    <w:rsid w:val="00DA1E63"/>
    <w:rsid w:val="00DA7B73"/>
    <w:rsid w:val="00DB1659"/>
    <w:rsid w:val="00DC26CD"/>
    <w:rsid w:val="00DC52B4"/>
    <w:rsid w:val="00DD0C3E"/>
    <w:rsid w:val="00DD11CA"/>
    <w:rsid w:val="00DD1AE4"/>
    <w:rsid w:val="00DD4D5A"/>
    <w:rsid w:val="00DD7DED"/>
    <w:rsid w:val="00DE053A"/>
    <w:rsid w:val="00DE17E6"/>
    <w:rsid w:val="00DE3B24"/>
    <w:rsid w:val="00DE5F8D"/>
    <w:rsid w:val="00DE7EA1"/>
    <w:rsid w:val="00DF0E5C"/>
    <w:rsid w:val="00DF2080"/>
    <w:rsid w:val="00DF2934"/>
    <w:rsid w:val="00DF5B21"/>
    <w:rsid w:val="00DF68A3"/>
    <w:rsid w:val="00DF7A6C"/>
    <w:rsid w:val="00E01E1E"/>
    <w:rsid w:val="00E034B8"/>
    <w:rsid w:val="00E04390"/>
    <w:rsid w:val="00E10D57"/>
    <w:rsid w:val="00E11112"/>
    <w:rsid w:val="00E112E5"/>
    <w:rsid w:val="00E129DF"/>
    <w:rsid w:val="00E13017"/>
    <w:rsid w:val="00E15455"/>
    <w:rsid w:val="00E16826"/>
    <w:rsid w:val="00E20A53"/>
    <w:rsid w:val="00E240E9"/>
    <w:rsid w:val="00E2475D"/>
    <w:rsid w:val="00E27AD0"/>
    <w:rsid w:val="00E32A84"/>
    <w:rsid w:val="00E36D3D"/>
    <w:rsid w:val="00E37D7B"/>
    <w:rsid w:val="00E41471"/>
    <w:rsid w:val="00E42B42"/>
    <w:rsid w:val="00E47246"/>
    <w:rsid w:val="00E47826"/>
    <w:rsid w:val="00E50D53"/>
    <w:rsid w:val="00E5207E"/>
    <w:rsid w:val="00E53219"/>
    <w:rsid w:val="00E56396"/>
    <w:rsid w:val="00E56486"/>
    <w:rsid w:val="00E672EF"/>
    <w:rsid w:val="00E7052F"/>
    <w:rsid w:val="00E7311D"/>
    <w:rsid w:val="00E7386D"/>
    <w:rsid w:val="00E73B11"/>
    <w:rsid w:val="00E82DEC"/>
    <w:rsid w:val="00E83289"/>
    <w:rsid w:val="00E8579E"/>
    <w:rsid w:val="00E91090"/>
    <w:rsid w:val="00E91938"/>
    <w:rsid w:val="00E951CF"/>
    <w:rsid w:val="00E95240"/>
    <w:rsid w:val="00E954E6"/>
    <w:rsid w:val="00EA069C"/>
    <w:rsid w:val="00EA32B3"/>
    <w:rsid w:val="00EA3D06"/>
    <w:rsid w:val="00EA43F6"/>
    <w:rsid w:val="00EA76C1"/>
    <w:rsid w:val="00EB2DCC"/>
    <w:rsid w:val="00EB7167"/>
    <w:rsid w:val="00EB71A3"/>
    <w:rsid w:val="00EB7CD1"/>
    <w:rsid w:val="00EC113F"/>
    <w:rsid w:val="00EC1A23"/>
    <w:rsid w:val="00EC1B22"/>
    <w:rsid w:val="00EC3779"/>
    <w:rsid w:val="00EC59A7"/>
    <w:rsid w:val="00EC5B03"/>
    <w:rsid w:val="00EC7F96"/>
    <w:rsid w:val="00ED3CA4"/>
    <w:rsid w:val="00ED44C8"/>
    <w:rsid w:val="00ED71DB"/>
    <w:rsid w:val="00ED7D20"/>
    <w:rsid w:val="00EE09AE"/>
    <w:rsid w:val="00EE186B"/>
    <w:rsid w:val="00EE4E80"/>
    <w:rsid w:val="00EF14F2"/>
    <w:rsid w:val="00EF1A9C"/>
    <w:rsid w:val="00EF2480"/>
    <w:rsid w:val="00EF3A5A"/>
    <w:rsid w:val="00EF5862"/>
    <w:rsid w:val="00EF63D0"/>
    <w:rsid w:val="00EF7BAB"/>
    <w:rsid w:val="00F01955"/>
    <w:rsid w:val="00F04033"/>
    <w:rsid w:val="00F04C3C"/>
    <w:rsid w:val="00F04F43"/>
    <w:rsid w:val="00F065E0"/>
    <w:rsid w:val="00F07B77"/>
    <w:rsid w:val="00F10061"/>
    <w:rsid w:val="00F144E7"/>
    <w:rsid w:val="00F17689"/>
    <w:rsid w:val="00F200E6"/>
    <w:rsid w:val="00F22A9C"/>
    <w:rsid w:val="00F22B00"/>
    <w:rsid w:val="00F25BF4"/>
    <w:rsid w:val="00F27B8E"/>
    <w:rsid w:val="00F27E8B"/>
    <w:rsid w:val="00F31109"/>
    <w:rsid w:val="00F34447"/>
    <w:rsid w:val="00F36DA8"/>
    <w:rsid w:val="00F40C24"/>
    <w:rsid w:val="00F43141"/>
    <w:rsid w:val="00F431C8"/>
    <w:rsid w:val="00F50A8F"/>
    <w:rsid w:val="00F532C1"/>
    <w:rsid w:val="00F53E32"/>
    <w:rsid w:val="00F55B7C"/>
    <w:rsid w:val="00F62971"/>
    <w:rsid w:val="00F629C3"/>
    <w:rsid w:val="00F631D1"/>
    <w:rsid w:val="00F653E5"/>
    <w:rsid w:val="00F67DE1"/>
    <w:rsid w:val="00F71E4C"/>
    <w:rsid w:val="00F72570"/>
    <w:rsid w:val="00F80900"/>
    <w:rsid w:val="00F81344"/>
    <w:rsid w:val="00F827F4"/>
    <w:rsid w:val="00F84873"/>
    <w:rsid w:val="00F85517"/>
    <w:rsid w:val="00F8601B"/>
    <w:rsid w:val="00F86044"/>
    <w:rsid w:val="00F91823"/>
    <w:rsid w:val="00F93370"/>
    <w:rsid w:val="00F93C62"/>
    <w:rsid w:val="00F9445E"/>
    <w:rsid w:val="00FA1826"/>
    <w:rsid w:val="00FA65BC"/>
    <w:rsid w:val="00FA6A28"/>
    <w:rsid w:val="00FB0C28"/>
    <w:rsid w:val="00FB2BC6"/>
    <w:rsid w:val="00FB73B0"/>
    <w:rsid w:val="00FB7A50"/>
    <w:rsid w:val="00FC2A4D"/>
    <w:rsid w:val="00FC2E22"/>
    <w:rsid w:val="00FC4004"/>
    <w:rsid w:val="00FC4017"/>
    <w:rsid w:val="00FC4E80"/>
    <w:rsid w:val="00FC52A4"/>
    <w:rsid w:val="00FD6033"/>
    <w:rsid w:val="00FD7D56"/>
    <w:rsid w:val="00FE0D2D"/>
    <w:rsid w:val="00FE2BF6"/>
    <w:rsid w:val="00FE545A"/>
    <w:rsid w:val="00FF141E"/>
    <w:rsid w:val="00FF23A4"/>
    <w:rsid w:val="00FF48D9"/>
    <w:rsid w:val="00FF52BC"/>
    <w:rsid w:val="00FF6EC8"/>
    <w:rsid w:val="00FF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B65DF"/>
    <w:pPr>
      <w:widowControl w:val="0"/>
      <w:autoSpaceDE w:val="0"/>
      <w:autoSpaceDN w:val="0"/>
      <w:adjustRightInd w:val="0"/>
    </w:pPr>
    <w:rPr>
      <w:szCs w:val="24"/>
    </w:rPr>
  </w:style>
  <w:style w:type="paragraph" w:styleId="Heading1">
    <w:name w:val="heading 1"/>
    <w:basedOn w:val="NoSpacing"/>
    <w:next w:val="Normal"/>
    <w:link w:val="Heading1Char"/>
    <w:uiPriority w:val="9"/>
    <w:qFormat/>
    <w:rsid w:val="002A4E05"/>
    <w:pPr>
      <w:keepNext/>
      <w:spacing w:before="240" w:after="60"/>
      <w:outlineLvl w:val="0"/>
    </w:pPr>
    <w:rPr>
      <w:b/>
      <w:bCs/>
      <w:kern w:val="32"/>
      <w:sz w:val="24"/>
      <w:szCs w:val="32"/>
    </w:rPr>
  </w:style>
  <w:style w:type="paragraph" w:styleId="Heading2">
    <w:name w:val="heading 2"/>
    <w:basedOn w:val="Normal"/>
    <w:next w:val="Normal"/>
    <w:link w:val="Heading2Char"/>
    <w:uiPriority w:val="9"/>
    <w:qFormat/>
    <w:rsid w:val="002A4E05"/>
    <w:pPr>
      <w:keepNext/>
      <w:spacing w:before="240" w:after="60"/>
      <w:outlineLvl w:val="1"/>
    </w:pPr>
    <w:rPr>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65DF"/>
  </w:style>
  <w:style w:type="paragraph" w:styleId="TOC1">
    <w:name w:val="toc 1"/>
    <w:basedOn w:val="Normal"/>
    <w:next w:val="Normal"/>
    <w:link w:val="TOC1Char"/>
    <w:autoRedefine/>
    <w:uiPriority w:val="39"/>
    <w:rsid w:val="0021077A"/>
    <w:pPr>
      <w:tabs>
        <w:tab w:val="left" w:pos="360"/>
        <w:tab w:val="left" w:pos="600"/>
        <w:tab w:val="left" w:pos="1080"/>
        <w:tab w:val="right" w:leader="dot" w:pos="9350"/>
      </w:tabs>
      <w:ind w:left="360" w:hanging="360"/>
    </w:pPr>
    <w:rPr>
      <w:bCs/>
      <w:sz w:val="24"/>
      <w:szCs w:val="20"/>
    </w:rPr>
  </w:style>
  <w:style w:type="character" w:customStyle="1" w:styleId="Hypertext">
    <w:name w:val="Hypertext"/>
    <w:rsid w:val="00AB65DF"/>
    <w:rPr>
      <w:color w:val="0000FF"/>
      <w:u w:val="single"/>
    </w:rPr>
  </w:style>
  <w:style w:type="paragraph" w:styleId="TOC2">
    <w:name w:val="toc 2"/>
    <w:basedOn w:val="Normal"/>
    <w:next w:val="Normal"/>
    <w:link w:val="TOC2Char"/>
    <w:autoRedefine/>
    <w:uiPriority w:val="39"/>
    <w:rsid w:val="00A82054"/>
    <w:pPr>
      <w:spacing w:before="120"/>
      <w:ind w:left="360"/>
    </w:pPr>
    <w:rPr>
      <w:iCs/>
      <w:sz w:val="24"/>
      <w:szCs w:val="20"/>
    </w:rPr>
  </w:style>
  <w:style w:type="paragraph" w:customStyle="1" w:styleId="Level1">
    <w:name w:val="Level 1"/>
    <w:basedOn w:val="Normal"/>
    <w:rsid w:val="00AB65DF"/>
    <w:pPr>
      <w:ind w:left="1440" w:hanging="720"/>
    </w:pPr>
  </w:style>
  <w:style w:type="paragraph" w:styleId="FootnoteText">
    <w:name w:val="footnote text"/>
    <w:basedOn w:val="Normal"/>
    <w:link w:val="FootnoteTextChar"/>
    <w:unhideWhenUsed/>
    <w:rsid w:val="001C1329"/>
    <w:rPr>
      <w:szCs w:val="20"/>
    </w:rPr>
  </w:style>
  <w:style w:type="character" w:customStyle="1" w:styleId="FootnoteTextChar">
    <w:name w:val="Footnote Text Char"/>
    <w:basedOn w:val="DefaultParagraphFont"/>
    <w:link w:val="FootnoteText"/>
    <w:rsid w:val="001C1329"/>
  </w:style>
  <w:style w:type="paragraph" w:styleId="Header">
    <w:name w:val="header"/>
    <w:basedOn w:val="Normal"/>
    <w:link w:val="HeaderChar"/>
    <w:uiPriority w:val="99"/>
    <w:semiHidden/>
    <w:unhideWhenUsed/>
    <w:rsid w:val="00807A21"/>
    <w:pPr>
      <w:tabs>
        <w:tab w:val="center" w:pos="4680"/>
        <w:tab w:val="right" w:pos="9360"/>
      </w:tabs>
    </w:pPr>
  </w:style>
  <w:style w:type="character" w:customStyle="1" w:styleId="HeaderChar">
    <w:name w:val="Header Char"/>
    <w:basedOn w:val="DefaultParagraphFont"/>
    <w:link w:val="Header"/>
    <w:uiPriority w:val="99"/>
    <w:semiHidden/>
    <w:rsid w:val="00807A21"/>
    <w:rPr>
      <w:szCs w:val="24"/>
    </w:rPr>
  </w:style>
  <w:style w:type="paragraph" w:styleId="Footer">
    <w:name w:val="footer"/>
    <w:basedOn w:val="Normal"/>
    <w:link w:val="FooterChar"/>
    <w:uiPriority w:val="99"/>
    <w:unhideWhenUsed/>
    <w:rsid w:val="00807A21"/>
    <w:pPr>
      <w:tabs>
        <w:tab w:val="center" w:pos="4680"/>
        <w:tab w:val="right" w:pos="9360"/>
      </w:tabs>
    </w:pPr>
  </w:style>
  <w:style w:type="character" w:customStyle="1" w:styleId="FooterChar">
    <w:name w:val="Footer Char"/>
    <w:basedOn w:val="DefaultParagraphFont"/>
    <w:link w:val="Footer"/>
    <w:uiPriority w:val="99"/>
    <w:rsid w:val="00807A21"/>
    <w:rPr>
      <w:szCs w:val="24"/>
    </w:rPr>
  </w:style>
  <w:style w:type="paragraph" w:styleId="ListParagraph">
    <w:name w:val="List Paragraph"/>
    <w:basedOn w:val="Normal"/>
    <w:uiPriority w:val="34"/>
    <w:qFormat/>
    <w:rsid w:val="001862C3"/>
    <w:pPr>
      <w:ind w:left="720"/>
    </w:pPr>
  </w:style>
  <w:style w:type="table" w:styleId="TableGrid">
    <w:name w:val="Table Grid"/>
    <w:basedOn w:val="TableNormal"/>
    <w:uiPriority w:val="59"/>
    <w:rsid w:val="00461E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BD46E7"/>
    <w:rPr>
      <w:color w:val="0000FF"/>
      <w:u w:val="single"/>
    </w:rPr>
  </w:style>
  <w:style w:type="character" w:customStyle="1" w:styleId="Heading1Char">
    <w:name w:val="Heading 1 Char"/>
    <w:basedOn w:val="DefaultParagraphFont"/>
    <w:link w:val="Heading1"/>
    <w:uiPriority w:val="9"/>
    <w:rsid w:val="002A4E05"/>
    <w:rPr>
      <w:rFonts w:eastAsia="Times New Roman" w:cs="Times New Roman"/>
      <w:b/>
      <w:bCs/>
      <w:kern w:val="32"/>
      <w:sz w:val="24"/>
      <w:szCs w:val="32"/>
    </w:rPr>
  </w:style>
  <w:style w:type="paragraph" w:styleId="TOCHeading">
    <w:name w:val="TOC Heading"/>
    <w:basedOn w:val="Heading1"/>
    <w:next w:val="Normal"/>
    <w:uiPriority w:val="39"/>
    <w:qFormat/>
    <w:rsid w:val="002A4E05"/>
    <w:pPr>
      <w:keepLines/>
      <w:widowControl/>
      <w:autoSpaceDE/>
      <w:autoSpaceDN/>
      <w:adjustRightInd/>
      <w:spacing w:before="480" w:after="0" w:line="276" w:lineRule="auto"/>
      <w:outlineLvl w:val="9"/>
    </w:pPr>
    <w:rPr>
      <w:color w:val="365F91"/>
      <w:kern w:val="0"/>
      <w:sz w:val="28"/>
      <w:szCs w:val="28"/>
    </w:rPr>
  </w:style>
  <w:style w:type="character" w:customStyle="1" w:styleId="Heading2Char">
    <w:name w:val="Heading 2 Char"/>
    <w:basedOn w:val="DefaultParagraphFont"/>
    <w:link w:val="Heading2"/>
    <w:uiPriority w:val="9"/>
    <w:rsid w:val="002A4E05"/>
    <w:rPr>
      <w:rFonts w:eastAsia="Times New Roman" w:cs="Times New Roman"/>
      <w:b/>
      <w:bCs/>
      <w:iCs/>
      <w:sz w:val="24"/>
      <w:szCs w:val="28"/>
    </w:rPr>
  </w:style>
  <w:style w:type="paragraph" w:styleId="TOC3">
    <w:name w:val="toc 3"/>
    <w:basedOn w:val="Normal"/>
    <w:next w:val="Normal"/>
    <w:autoRedefine/>
    <w:uiPriority w:val="39"/>
    <w:unhideWhenUsed/>
    <w:rsid w:val="00F22B00"/>
    <w:pPr>
      <w:ind w:left="400"/>
    </w:pPr>
    <w:rPr>
      <w:rFonts w:ascii="Calibri" w:hAnsi="Calibri"/>
      <w:szCs w:val="20"/>
    </w:rPr>
  </w:style>
  <w:style w:type="paragraph" w:styleId="NoSpacing">
    <w:name w:val="No Spacing"/>
    <w:uiPriority w:val="1"/>
    <w:qFormat/>
    <w:rsid w:val="002A4E05"/>
    <w:pPr>
      <w:widowControl w:val="0"/>
      <w:autoSpaceDE w:val="0"/>
      <w:autoSpaceDN w:val="0"/>
      <w:adjustRightInd w:val="0"/>
    </w:pPr>
    <w:rPr>
      <w:szCs w:val="24"/>
    </w:rPr>
  </w:style>
  <w:style w:type="paragraph" w:styleId="TOC4">
    <w:name w:val="toc 4"/>
    <w:basedOn w:val="Normal"/>
    <w:next w:val="Normal"/>
    <w:autoRedefine/>
    <w:uiPriority w:val="39"/>
    <w:unhideWhenUsed/>
    <w:rsid w:val="00F22B00"/>
    <w:pPr>
      <w:ind w:left="600"/>
    </w:pPr>
    <w:rPr>
      <w:rFonts w:ascii="Calibri" w:hAnsi="Calibri"/>
      <w:szCs w:val="20"/>
    </w:rPr>
  </w:style>
  <w:style w:type="paragraph" w:styleId="TOC5">
    <w:name w:val="toc 5"/>
    <w:basedOn w:val="Normal"/>
    <w:next w:val="Normal"/>
    <w:autoRedefine/>
    <w:uiPriority w:val="39"/>
    <w:unhideWhenUsed/>
    <w:rsid w:val="00F22B00"/>
    <w:pPr>
      <w:ind w:left="800"/>
    </w:pPr>
    <w:rPr>
      <w:rFonts w:ascii="Calibri" w:hAnsi="Calibri"/>
      <w:szCs w:val="20"/>
    </w:rPr>
  </w:style>
  <w:style w:type="paragraph" w:styleId="TOC6">
    <w:name w:val="toc 6"/>
    <w:basedOn w:val="Normal"/>
    <w:next w:val="Normal"/>
    <w:autoRedefine/>
    <w:uiPriority w:val="39"/>
    <w:unhideWhenUsed/>
    <w:rsid w:val="00F22B00"/>
    <w:pPr>
      <w:ind w:left="1000"/>
    </w:pPr>
    <w:rPr>
      <w:rFonts w:ascii="Calibri" w:hAnsi="Calibri"/>
      <w:szCs w:val="20"/>
    </w:rPr>
  </w:style>
  <w:style w:type="paragraph" w:styleId="TOC7">
    <w:name w:val="toc 7"/>
    <w:basedOn w:val="Normal"/>
    <w:next w:val="Normal"/>
    <w:autoRedefine/>
    <w:uiPriority w:val="39"/>
    <w:unhideWhenUsed/>
    <w:rsid w:val="00F22B00"/>
    <w:pPr>
      <w:ind w:left="1200"/>
    </w:pPr>
    <w:rPr>
      <w:rFonts w:ascii="Calibri" w:hAnsi="Calibri"/>
      <w:szCs w:val="20"/>
    </w:rPr>
  </w:style>
  <w:style w:type="paragraph" w:styleId="TOC8">
    <w:name w:val="toc 8"/>
    <w:basedOn w:val="Normal"/>
    <w:next w:val="Normal"/>
    <w:autoRedefine/>
    <w:uiPriority w:val="39"/>
    <w:unhideWhenUsed/>
    <w:rsid w:val="00F22B00"/>
    <w:pPr>
      <w:ind w:left="1400"/>
    </w:pPr>
    <w:rPr>
      <w:rFonts w:ascii="Calibri" w:hAnsi="Calibri"/>
      <w:szCs w:val="20"/>
    </w:rPr>
  </w:style>
  <w:style w:type="paragraph" w:styleId="TOC9">
    <w:name w:val="toc 9"/>
    <w:basedOn w:val="Normal"/>
    <w:next w:val="Normal"/>
    <w:autoRedefine/>
    <w:uiPriority w:val="39"/>
    <w:unhideWhenUsed/>
    <w:rsid w:val="00F22B00"/>
    <w:pPr>
      <w:ind w:left="1600"/>
    </w:pPr>
    <w:rPr>
      <w:rFonts w:ascii="Calibri" w:hAnsi="Calibri"/>
      <w:szCs w:val="20"/>
    </w:rPr>
  </w:style>
  <w:style w:type="character" w:customStyle="1" w:styleId="TOC1Char">
    <w:name w:val="TOC 1 Char"/>
    <w:basedOn w:val="DefaultParagraphFont"/>
    <w:link w:val="TOC1"/>
    <w:uiPriority w:val="39"/>
    <w:rsid w:val="0021077A"/>
    <w:rPr>
      <w:bCs/>
      <w:sz w:val="24"/>
    </w:rPr>
  </w:style>
  <w:style w:type="character" w:customStyle="1" w:styleId="TOC2Char">
    <w:name w:val="TOC 2 Char"/>
    <w:basedOn w:val="DefaultParagraphFont"/>
    <w:link w:val="TOC2"/>
    <w:uiPriority w:val="39"/>
    <w:rsid w:val="00A82054"/>
    <w:rPr>
      <w:iCs/>
      <w:sz w:val="24"/>
    </w:rPr>
  </w:style>
  <w:style w:type="paragraph" w:styleId="BalloonText">
    <w:name w:val="Balloon Text"/>
    <w:basedOn w:val="Normal"/>
    <w:semiHidden/>
    <w:rsid w:val="00A875D1"/>
    <w:rPr>
      <w:rFonts w:ascii="Tahoma" w:hAnsi="Tahoma" w:cs="Tahoma"/>
      <w:sz w:val="16"/>
      <w:szCs w:val="16"/>
    </w:rPr>
  </w:style>
  <w:style w:type="character" w:styleId="CommentReference">
    <w:name w:val="annotation reference"/>
    <w:basedOn w:val="DefaultParagraphFont"/>
    <w:semiHidden/>
    <w:rsid w:val="00AA0503"/>
    <w:rPr>
      <w:sz w:val="16"/>
      <w:szCs w:val="16"/>
    </w:rPr>
  </w:style>
  <w:style w:type="paragraph" w:styleId="CommentText">
    <w:name w:val="annotation text"/>
    <w:basedOn w:val="Normal"/>
    <w:semiHidden/>
    <w:rsid w:val="00AA0503"/>
    <w:rPr>
      <w:szCs w:val="20"/>
    </w:rPr>
  </w:style>
  <w:style w:type="paragraph" w:styleId="CommentSubject">
    <w:name w:val="annotation subject"/>
    <w:basedOn w:val="CommentText"/>
    <w:next w:val="CommentText"/>
    <w:semiHidden/>
    <w:rsid w:val="00AA0503"/>
    <w:rPr>
      <w:b/>
      <w:bCs/>
    </w:rPr>
  </w:style>
  <w:style w:type="paragraph" w:customStyle="1" w:styleId="CM25">
    <w:name w:val="CM25"/>
    <w:basedOn w:val="Normal"/>
    <w:next w:val="Normal"/>
    <w:rsid w:val="007E54AC"/>
    <w:pPr>
      <w:spacing w:after="283"/>
    </w:pPr>
    <w:rPr>
      <w:rFonts w:ascii="Times" w:hAnsi="Times" w:cs="Times"/>
      <w:sz w:val="24"/>
    </w:rPr>
  </w:style>
</w:styles>
</file>

<file path=word/webSettings.xml><?xml version="1.0" encoding="utf-8"?>
<w:webSettings xmlns:r="http://schemas.openxmlformats.org/officeDocument/2006/relationships" xmlns:w="http://schemas.openxmlformats.org/wordprocessingml/2006/main">
  <w:divs>
    <w:div w:id="48961350">
      <w:bodyDiv w:val="1"/>
      <w:marLeft w:val="0"/>
      <w:marRight w:val="0"/>
      <w:marTop w:val="0"/>
      <w:marBottom w:val="0"/>
      <w:divBdr>
        <w:top w:val="none" w:sz="0" w:space="0" w:color="auto"/>
        <w:left w:val="none" w:sz="0" w:space="0" w:color="auto"/>
        <w:bottom w:val="none" w:sz="0" w:space="0" w:color="auto"/>
        <w:right w:val="none" w:sz="0" w:space="0" w:color="auto"/>
      </w:divBdr>
      <w:divsChild>
        <w:div w:id="1897351553">
          <w:marLeft w:val="0"/>
          <w:marRight w:val="0"/>
          <w:marTop w:val="0"/>
          <w:marBottom w:val="0"/>
          <w:divBdr>
            <w:top w:val="none" w:sz="0" w:space="0" w:color="auto"/>
            <w:left w:val="none" w:sz="0" w:space="0" w:color="auto"/>
            <w:bottom w:val="none" w:sz="0" w:space="0" w:color="auto"/>
            <w:right w:val="none" w:sz="0" w:space="0" w:color="auto"/>
          </w:divBdr>
          <w:divsChild>
            <w:div w:id="1757481340">
              <w:marLeft w:val="0"/>
              <w:marRight w:val="0"/>
              <w:marTop w:val="0"/>
              <w:marBottom w:val="0"/>
              <w:divBdr>
                <w:top w:val="single" w:sz="6" w:space="0" w:color="999999"/>
                <w:left w:val="single" w:sz="6" w:space="0" w:color="999999"/>
                <w:bottom w:val="none" w:sz="0" w:space="0" w:color="auto"/>
                <w:right w:val="single" w:sz="6" w:space="0" w:color="999999"/>
              </w:divBdr>
              <w:divsChild>
                <w:div w:id="910164147">
                  <w:marLeft w:val="0"/>
                  <w:marRight w:val="0"/>
                  <w:marTop w:val="0"/>
                  <w:marBottom w:val="0"/>
                  <w:divBdr>
                    <w:top w:val="single" w:sz="6" w:space="3" w:color="666666"/>
                    <w:left w:val="single" w:sz="6" w:space="0" w:color="666666"/>
                    <w:bottom w:val="none" w:sz="0" w:space="0" w:color="auto"/>
                    <w:right w:val="single" w:sz="6" w:space="0" w:color="666666"/>
                  </w:divBdr>
                  <w:divsChild>
                    <w:div w:id="5391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27471">
      <w:bodyDiv w:val="1"/>
      <w:marLeft w:val="0"/>
      <w:marRight w:val="0"/>
      <w:marTop w:val="0"/>
      <w:marBottom w:val="0"/>
      <w:divBdr>
        <w:top w:val="none" w:sz="0" w:space="0" w:color="auto"/>
        <w:left w:val="none" w:sz="0" w:space="0" w:color="auto"/>
        <w:bottom w:val="none" w:sz="0" w:space="0" w:color="auto"/>
        <w:right w:val="none" w:sz="0" w:space="0" w:color="auto"/>
      </w:divBdr>
      <w:divsChild>
        <w:div w:id="2090039691">
          <w:marLeft w:val="0"/>
          <w:marRight w:val="0"/>
          <w:marTop w:val="0"/>
          <w:marBottom w:val="0"/>
          <w:divBdr>
            <w:top w:val="none" w:sz="0" w:space="0" w:color="auto"/>
            <w:left w:val="none" w:sz="0" w:space="0" w:color="auto"/>
            <w:bottom w:val="none" w:sz="0" w:space="0" w:color="auto"/>
            <w:right w:val="none" w:sz="0" w:space="0" w:color="auto"/>
          </w:divBdr>
          <w:divsChild>
            <w:div w:id="2085301711">
              <w:marLeft w:val="0"/>
              <w:marRight w:val="0"/>
              <w:marTop w:val="0"/>
              <w:marBottom w:val="0"/>
              <w:divBdr>
                <w:top w:val="single" w:sz="6" w:space="0" w:color="999999"/>
                <w:left w:val="single" w:sz="6" w:space="0" w:color="999999"/>
                <w:bottom w:val="none" w:sz="0" w:space="0" w:color="auto"/>
                <w:right w:val="single" w:sz="6" w:space="0" w:color="999999"/>
              </w:divBdr>
              <w:divsChild>
                <w:div w:id="972713031">
                  <w:marLeft w:val="0"/>
                  <w:marRight w:val="0"/>
                  <w:marTop w:val="0"/>
                  <w:marBottom w:val="0"/>
                  <w:divBdr>
                    <w:top w:val="single" w:sz="6" w:space="3" w:color="666666"/>
                    <w:left w:val="single" w:sz="6" w:space="0" w:color="666666"/>
                    <w:bottom w:val="none" w:sz="0" w:space="0" w:color="auto"/>
                    <w:right w:val="single" w:sz="6" w:space="0" w:color="666666"/>
                  </w:divBdr>
                  <w:divsChild>
                    <w:div w:id="17779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30793">
      <w:bodyDiv w:val="1"/>
      <w:marLeft w:val="0"/>
      <w:marRight w:val="0"/>
      <w:marTop w:val="0"/>
      <w:marBottom w:val="0"/>
      <w:divBdr>
        <w:top w:val="none" w:sz="0" w:space="0" w:color="auto"/>
        <w:left w:val="none" w:sz="0" w:space="0" w:color="auto"/>
        <w:bottom w:val="none" w:sz="0" w:space="0" w:color="auto"/>
        <w:right w:val="none" w:sz="0" w:space="0" w:color="auto"/>
      </w:divBdr>
    </w:div>
    <w:div w:id="1074202587">
      <w:bodyDiv w:val="1"/>
      <w:marLeft w:val="0"/>
      <w:marRight w:val="0"/>
      <w:marTop w:val="0"/>
      <w:marBottom w:val="0"/>
      <w:divBdr>
        <w:top w:val="none" w:sz="0" w:space="0" w:color="auto"/>
        <w:left w:val="none" w:sz="0" w:space="0" w:color="auto"/>
        <w:bottom w:val="none" w:sz="0" w:space="0" w:color="auto"/>
        <w:right w:val="none" w:sz="0" w:space="0" w:color="auto"/>
      </w:divBdr>
    </w:div>
    <w:div w:id="1205867039">
      <w:bodyDiv w:val="1"/>
      <w:marLeft w:val="0"/>
      <w:marRight w:val="0"/>
      <w:marTop w:val="0"/>
      <w:marBottom w:val="0"/>
      <w:divBdr>
        <w:top w:val="none" w:sz="0" w:space="0" w:color="auto"/>
        <w:left w:val="none" w:sz="0" w:space="0" w:color="auto"/>
        <w:bottom w:val="none" w:sz="0" w:space="0" w:color="auto"/>
        <w:right w:val="none" w:sz="0" w:space="0" w:color="auto"/>
      </w:divBdr>
    </w:div>
    <w:div w:id="1785342072">
      <w:bodyDiv w:val="1"/>
      <w:marLeft w:val="0"/>
      <w:marRight w:val="0"/>
      <w:marTop w:val="0"/>
      <w:marBottom w:val="0"/>
      <w:divBdr>
        <w:top w:val="none" w:sz="0" w:space="0" w:color="auto"/>
        <w:left w:val="none" w:sz="0" w:space="0" w:color="auto"/>
        <w:bottom w:val="none" w:sz="0" w:space="0" w:color="auto"/>
        <w:right w:val="none" w:sz="0" w:space="0" w:color="auto"/>
      </w:divBdr>
    </w:div>
    <w:div w:id="179112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regulations.gov"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EBE08-F855-403E-87C8-B08F7BEE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5816</Words>
  <Characters>33156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38895</CharactersWithSpaces>
  <SharedDoc>false</SharedDoc>
  <HLinks>
    <vt:vector size="186" baseType="variant">
      <vt:variant>
        <vt:i4>2818151</vt:i4>
      </vt:variant>
      <vt:variant>
        <vt:i4>180</vt:i4>
      </vt:variant>
      <vt:variant>
        <vt:i4>0</vt:i4>
      </vt:variant>
      <vt:variant>
        <vt:i4>5</vt:i4>
      </vt:variant>
      <vt:variant>
        <vt:lpwstr>http://www.regulations.gov/</vt:lpwstr>
      </vt:variant>
      <vt:variant>
        <vt:lpwstr/>
      </vt:variant>
      <vt:variant>
        <vt:i4>1572917</vt:i4>
      </vt:variant>
      <vt:variant>
        <vt:i4>173</vt:i4>
      </vt:variant>
      <vt:variant>
        <vt:i4>0</vt:i4>
      </vt:variant>
      <vt:variant>
        <vt:i4>5</vt:i4>
      </vt:variant>
      <vt:variant>
        <vt:lpwstr/>
      </vt:variant>
      <vt:variant>
        <vt:lpwstr>_Toc268879889</vt:lpwstr>
      </vt:variant>
      <vt:variant>
        <vt:i4>1572917</vt:i4>
      </vt:variant>
      <vt:variant>
        <vt:i4>167</vt:i4>
      </vt:variant>
      <vt:variant>
        <vt:i4>0</vt:i4>
      </vt:variant>
      <vt:variant>
        <vt:i4>5</vt:i4>
      </vt:variant>
      <vt:variant>
        <vt:lpwstr/>
      </vt:variant>
      <vt:variant>
        <vt:lpwstr>_Toc268879888</vt:lpwstr>
      </vt:variant>
      <vt:variant>
        <vt:i4>1572917</vt:i4>
      </vt:variant>
      <vt:variant>
        <vt:i4>164</vt:i4>
      </vt:variant>
      <vt:variant>
        <vt:i4>0</vt:i4>
      </vt:variant>
      <vt:variant>
        <vt:i4>5</vt:i4>
      </vt:variant>
      <vt:variant>
        <vt:lpwstr/>
      </vt:variant>
      <vt:variant>
        <vt:lpwstr>_Toc268879887</vt:lpwstr>
      </vt:variant>
      <vt:variant>
        <vt:i4>1572917</vt:i4>
      </vt:variant>
      <vt:variant>
        <vt:i4>158</vt:i4>
      </vt:variant>
      <vt:variant>
        <vt:i4>0</vt:i4>
      </vt:variant>
      <vt:variant>
        <vt:i4>5</vt:i4>
      </vt:variant>
      <vt:variant>
        <vt:lpwstr/>
      </vt:variant>
      <vt:variant>
        <vt:lpwstr>_Toc268879886</vt:lpwstr>
      </vt:variant>
      <vt:variant>
        <vt:i4>1572917</vt:i4>
      </vt:variant>
      <vt:variant>
        <vt:i4>152</vt:i4>
      </vt:variant>
      <vt:variant>
        <vt:i4>0</vt:i4>
      </vt:variant>
      <vt:variant>
        <vt:i4>5</vt:i4>
      </vt:variant>
      <vt:variant>
        <vt:lpwstr/>
      </vt:variant>
      <vt:variant>
        <vt:lpwstr>_Toc268879885</vt:lpwstr>
      </vt:variant>
      <vt:variant>
        <vt:i4>1572917</vt:i4>
      </vt:variant>
      <vt:variant>
        <vt:i4>146</vt:i4>
      </vt:variant>
      <vt:variant>
        <vt:i4>0</vt:i4>
      </vt:variant>
      <vt:variant>
        <vt:i4>5</vt:i4>
      </vt:variant>
      <vt:variant>
        <vt:lpwstr/>
      </vt:variant>
      <vt:variant>
        <vt:lpwstr>_Toc268879884</vt:lpwstr>
      </vt:variant>
      <vt:variant>
        <vt:i4>1572917</vt:i4>
      </vt:variant>
      <vt:variant>
        <vt:i4>140</vt:i4>
      </vt:variant>
      <vt:variant>
        <vt:i4>0</vt:i4>
      </vt:variant>
      <vt:variant>
        <vt:i4>5</vt:i4>
      </vt:variant>
      <vt:variant>
        <vt:lpwstr/>
      </vt:variant>
      <vt:variant>
        <vt:lpwstr>_Toc268879883</vt:lpwstr>
      </vt:variant>
      <vt:variant>
        <vt:i4>1572917</vt:i4>
      </vt:variant>
      <vt:variant>
        <vt:i4>134</vt:i4>
      </vt:variant>
      <vt:variant>
        <vt:i4>0</vt:i4>
      </vt:variant>
      <vt:variant>
        <vt:i4>5</vt:i4>
      </vt:variant>
      <vt:variant>
        <vt:lpwstr/>
      </vt:variant>
      <vt:variant>
        <vt:lpwstr>_Toc268879882</vt:lpwstr>
      </vt:variant>
      <vt:variant>
        <vt:i4>1572917</vt:i4>
      </vt:variant>
      <vt:variant>
        <vt:i4>128</vt:i4>
      </vt:variant>
      <vt:variant>
        <vt:i4>0</vt:i4>
      </vt:variant>
      <vt:variant>
        <vt:i4>5</vt:i4>
      </vt:variant>
      <vt:variant>
        <vt:lpwstr/>
      </vt:variant>
      <vt:variant>
        <vt:lpwstr>_Toc268879881</vt:lpwstr>
      </vt:variant>
      <vt:variant>
        <vt:i4>1572917</vt:i4>
      </vt:variant>
      <vt:variant>
        <vt:i4>122</vt:i4>
      </vt:variant>
      <vt:variant>
        <vt:i4>0</vt:i4>
      </vt:variant>
      <vt:variant>
        <vt:i4>5</vt:i4>
      </vt:variant>
      <vt:variant>
        <vt:lpwstr/>
      </vt:variant>
      <vt:variant>
        <vt:lpwstr>_Toc268879880</vt:lpwstr>
      </vt:variant>
      <vt:variant>
        <vt:i4>1507381</vt:i4>
      </vt:variant>
      <vt:variant>
        <vt:i4>116</vt:i4>
      </vt:variant>
      <vt:variant>
        <vt:i4>0</vt:i4>
      </vt:variant>
      <vt:variant>
        <vt:i4>5</vt:i4>
      </vt:variant>
      <vt:variant>
        <vt:lpwstr/>
      </vt:variant>
      <vt:variant>
        <vt:lpwstr>_Toc268879879</vt:lpwstr>
      </vt:variant>
      <vt:variant>
        <vt:i4>1507381</vt:i4>
      </vt:variant>
      <vt:variant>
        <vt:i4>110</vt:i4>
      </vt:variant>
      <vt:variant>
        <vt:i4>0</vt:i4>
      </vt:variant>
      <vt:variant>
        <vt:i4>5</vt:i4>
      </vt:variant>
      <vt:variant>
        <vt:lpwstr/>
      </vt:variant>
      <vt:variant>
        <vt:lpwstr>_Toc268879878</vt:lpwstr>
      </vt:variant>
      <vt:variant>
        <vt:i4>1507381</vt:i4>
      </vt:variant>
      <vt:variant>
        <vt:i4>104</vt:i4>
      </vt:variant>
      <vt:variant>
        <vt:i4>0</vt:i4>
      </vt:variant>
      <vt:variant>
        <vt:i4>5</vt:i4>
      </vt:variant>
      <vt:variant>
        <vt:lpwstr/>
      </vt:variant>
      <vt:variant>
        <vt:lpwstr>_Toc268879877</vt:lpwstr>
      </vt:variant>
      <vt:variant>
        <vt:i4>1507381</vt:i4>
      </vt:variant>
      <vt:variant>
        <vt:i4>98</vt:i4>
      </vt:variant>
      <vt:variant>
        <vt:i4>0</vt:i4>
      </vt:variant>
      <vt:variant>
        <vt:i4>5</vt:i4>
      </vt:variant>
      <vt:variant>
        <vt:lpwstr/>
      </vt:variant>
      <vt:variant>
        <vt:lpwstr>_Toc268879876</vt:lpwstr>
      </vt:variant>
      <vt:variant>
        <vt:i4>1507381</vt:i4>
      </vt:variant>
      <vt:variant>
        <vt:i4>92</vt:i4>
      </vt:variant>
      <vt:variant>
        <vt:i4>0</vt:i4>
      </vt:variant>
      <vt:variant>
        <vt:i4>5</vt:i4>
      </vt:variant>
      <vt:variant>
        <vt:lpwstr/>
      </vt:variant>
      <vt:variant>
        <vt:lpwstr>_Toc268879875</vt:lpwstr>
      </vt:variant>
      <vt:variant>
        <vt:i4>1507381</vt:i4>
      </vt:variant>
      <vt:variant>
        <vt:i4>86</vt:i4>
      </vt:variant>
      <vt:variant>
        <vt:i4>0</vt:i4>
      </vt:variant>
      <vt:variant>
        <vt:i4>5</vt:i4>
      </vt:variant>
      <vt:variant>
        <vt:lpwstr/>
      </vt:variant>
      <vt:variant>
        <vt:lpwstr>_Toc268879874</vt:lpwstr>
      </vt:variant>
      <vt:variant>
        <vt:i4>1507381</vt:i4>
      </vt:variant>
      <vt:variant>
        <vt:i4>80</vt:i4>
      </vt:variant>
      <vt:variant>
        <vt:i4>0</vt:i4>
      </vt:variant>
      <vt:variant>
        <vt:i4>5</vt:i4>
      </vt:variant>
      <vt:variant>
        <vt:lpwstr/>
      </vt:variant>
      <vt:variant>
        <vt:lpwstr>_Toc268879873</vt:lpwstr>
      </vt:variant>
      <vt:variant>
        <vt:i4>1507381</vt:i4>
      </vt:variant>
      <vt:variant>
        <vt:i4>74</vt:i4>
      </vt:variant>
      <vt:variant>
        <vt:i4>0</vt:i4>
      </vt:variant>
      <vt:variant>
        <vt:i4>5</vt:i4>
      </vt:variant>
      <vt:variant>
        <vt:lpwstr/>
      </vt:variant>
      <vt:variant>
        <vt:lpwstr>_Toc268879872</vt:lpwstr>
      </vt:variant>
      <vt:variant>
        <vt:i4>1507381</vt:i4>
      </vt:variant>
      <vt:variant>
        <vt:i4>68</vt:i4>
      </vt:variant>
      <vt:variant>
        <vt:i4>0</vt:i4>
      </vt:variant>
      <vt:variant>
        <vt:i4>5</vt:i4>
      </vt:variant>
      <vt:variant>
        <vt:lpwstr/>
      </vt:variant>
      <vt:variant>
        <vt:lpwstr>_Toc268879871</vt:lpwstr>
      </vt:variant>
      <vt:variant>
        <vt:i4>1507381</vt:i4>
      </vt:variant>
      <vt:variant>
        <vt:i4>62</vt:i4>
      </vt:variant>
      <vt:variant>
        <vt:i4>0</vt:i4>
      </vt:variant>
      <vt:variant>
        <vt:i4>5</vt:i4>
      </vt:variant>
      <vt:variant>
        <vt:lpwstr/>
      </vt:variant>
      <vt:variant>
        <vt:lpwstr>_Toc268879870</vt:lpwstr>
      </vt:variant>
      <vt:variant>
        <vt:i4>1441845</vt:i4>
      </vt:variant>
      <vt:variant>
        <vt:i4>56</vt:i4>
      </vt:variant>
      <vt:variant>
        <vt:i4>0</vt:i4>
      </vt:variant>
      <vt:variant>
        <vt:i4>5</vt:i4>
      </vt:variant>
      <vt:variant>
        <vt:lpwstr/>
      </vt:variant>
      <vt:variant>
        <vt:lpwstr>_Toc268879869</vt:lpwstr>
      </vt:variant>
      <vt:variant>
        <vt:i4>1441845</vt:i4>
      </vt:variant>
      <vt:variant>
        <vt:i4>50</vt:i4>
      </vt:variant>
      <vt:variant>
        <vt:i4>0</vt:i4>
      </vt:variant>
      <vt:variant>
        <vt:i4>5</vt:i4>
      </vt:variant>
      <vt:variant>
        <vt:lpwstr/>
      </vt:variant>
      <vt:variant>
        <vt:lpwstr>_Toc268879868</vt:lpwstr>
      </vt:variant>
      <vt:variant>
        <vt:i4>1441845</vt:i4>
      </vt:variant>
      <vt:variant>
        <vt:i4>44</vt:i4>
      </vt:variant>
      <vt:variant>
        <vt:i4>0</vt:i4>
      </vt:variant>
      <vt:variant>
        <vt:i4>5</vt:i4>
      </vt:variant>
      <vt:variant>
        <vt:lpwstr/>
      </vt:variant>
      <vt:variant>
        <vt:lpwstr>_Toc268879867</vt:lpwstr>
      </vt:variant>
      <vt:variant>
        <vt:i4>1441845</vt:i4>
      </vt:variant>
      <vt:variant>
        <vt:i4>38</vt:i4>
      </vt:variant>
      <vt:variant>
        <vt:i4>0</vt:i4>
      </vt:variant>
      <vt:variant>
        <vt:i4>5</vt:i4>
      </vt:variant>
      <vt:variant>
        <vt:lpwstr/>
      </vt:variant>
      <vt:variant>
        <vt:lpwstr>_Toc268879866</vt:lpwstr>
      </vt:variant>
      <vt:variant>
        <vt:i4>1441845</vt:i4>
      </vt:variant>
      <vt:variant>
        <vt:i4>32</vt:i4>
      </vt:variant>
      <vt:variant>
        <vt:i4>0</vt:i4>
      </vt:variant>
      <vt:variant>
        <vt:i4>5</vt:i4>
      </vt:variant>
      <vt:variant>
        <vt:lpwstr/>
      </vt:variant>
      <vt:variant>
        <vt:lpwstr>_Toc268879865</vt:lpwstr>
      </vt:variant>
      <vt:variant>
        <vt:i4>1441845</vt:i4>
      </vt:variant>
      <vt:variant>
        <vt:i4>26</vt:i4>
      </vt:variant>
      <vt:variant>
        <vt:i4>0</vt:i4>
      </vt:variant>
      <vt:variant>
        <vt:i4>5</vt:i4>
      </vt:variant>
      <vt:variant>
        <vt:lpwstr/>
      </vt:variant>
      <vt:variant>
        <vt:lpwstr>_Toc268879864</vt:lpwstr>
      </vt:variant>
      <vt:variant>
        <vt:i4>1441845</vt:i4>
      </vt:variant>
      <vt:variant>
        <vt:i4>20</vt:i4>
      </vt:variant>
      <vt:variant>
        <vt:i4>0</vt:i4>
      </vt:variant>
      <vt:variant>
        <vt:i4>5</vt:i4>
      </vt:variant>
      <vt:variant>
        <vt:lpwstr/>
      </vt:variant>
      <vt:variant>
        <vt:lpwstr>_Toc268879863</vt:lpwstr>
      </vt:variant>
      <vt:variant>
        <vt:i4>1441845</vt:i4>
      </vt:variant>
      <vt:variant>
        <vt:i4>14</vt:i4>
      </vt:variant>
      <vt:variant>
        <vt:i4>0</vt:i4>
      </vt:variant>
      <vt:variant>
        <vt:i4>5</vt:i4>
      </vt:variant>
      <vt:variant>
        <vt:lpwstr/>
      </vt:variant>
      <vt:variant>
        <vt:lpwstr>_Toc268879862</vt:lpwstr>
      </vt:variant>
      <vt:variant>
        <vt:i4>1441845</vt:i4>
      </vt:variant>
      <vt:variant>
        <vt:i4>8</vt:i4>
      </vt:variant>
      <vt:variant>
        <vt:i4>0</vt:i4>
      </vt:variant>
      <vt:variant>
        <vt:i4>5</vt:i4>
      </vt:variant>
      <vt:variant>
        <vt:lpwstr/>
      </vt:variant>
      <vt:variant>
        <vt:lpwstr>_Toc268879861</vt:lpwstr>
      </vt:variant>
      <vt:variant>
        <vt:i4>1441845</vt:i4>
      </vt:variant>
      <vt:variant>
        <vt:i4>2</vt:i4>
      </vt:variant>
      <vt:variant>
        <vt:i4>0</vt:i4>
      </vt:variant>
      <vt:variant>
        <vt:i4>5</vt:i4>
      </vt:variant>
      <vt:variant>
        <vt:lpwstr/>
      </vt:variant>
      <vt:variant>
        <vt:lpwstr>_Toc268879860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Umberger, Judy</dc:creator>
  <cp:lastModifiedBy>U.S. EPA User or Contractor</cp:lastModifiedBy>
  <cp:revision>2</cp:revision>
  <cp:lastPrinted>2013-08-27T17:52:00Z</cp:lastPrinted>
  <dcterms:created xsi:type="dcterms:W3CDTF">2013-09-17T19:48:00Z</dcterms:created>
  <dcterms:modified xsi:type="dcterms:W3CDTF">2013-09-17T19:48:00Z</dcterms:modified>
</cp:coreProperties>
</file>