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Default="008011B6">
      <w:pPr>
        <w:pStyle w:val="Title"/>
        <w:rPr>
          <w:rFonts w:ascii="Times New Roman" w:hAnsi="Times New Roman"/>
          <w:sz w:val="24"/>
          <w:szCs w:val="24"/>
        </w:rPr>
      </w:pP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386054" w:rsidRPr="00EF7FF5" w:rsidRDefault="00386054">
      <w:pPr>
        <w:tabs>
          <w:tab w:val="left" w:pos="0"/>
        </w:tabs>
        <w:suppressAutoHyphens/>
        <w:rPr>
          <w:rFonts w:ascii="Times New Roman" w:hAnsi="Times New Roman"/>
          <w:b/>
          <w:szCs w:val="24"/>
        </w:rPr>
      </w:pPr>
    </w:p>
    <w:bookmarkStart w:id="0" w:name="Text1"/>
    <w:p w:rsidR="00386054" w:rsidRPr="00EF7FF5" w:rsidRDefault="007E77FA">
      <w:pPr>
        <w:suppressAutoHyphens/>
        <w:jc w:val="center"/>
        <w:rPr>
          <w:rFonts w:ascii="Times New Roman" w:hAnsi="Times New Roman"/>
          <w:b/>
          <w:szCs w:val="24"/>
        </w:rPr>
      </w:pPr>
      <w:r w:rsidRPr="00EF7FF5">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EF7FF5">
        <w:rPr>
          <w:rFonts w:ascii="Times New Roman" w:hAnsi="Times New Roman"/>
          <w:b/>
          <w:szCs w:val="24"/>
        </w:rPr>
        <w:instrText xml:space="preserve"> FORMTEXT </w:instrText>
      </w:r>
      <w:r w:rsidRPr="00EF7FF5">
        <w:rPr>
          <w:rFonts w:ascii="Times New Roman" w:hAnsi="Times New Roman"/>
          <w:b/>
          <w:szCs w:val="24"/>
        </w:rPr>
      </w:r>
      <w:r w:rsidRPr="00EF7FF5">
        <w:rPr>
          <w:rFonts w:ascii="Times New Roman" w:hAnsi="Times New Roman"/>
          <w:b/>
          <w:szCs w:val="24"/>
        </w:rPr>
        <w:fldChar w:fldCharType="separate"/>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Pr="00EF7FF5">
        <w:rPr>
          <w:rFonts w:ascii="Times New Roman" w:hAnsi="Times New Roman"/>
          <w:b/>
          <w:szCs w:val="24"/>
        </w:rPr>
        <w:fldChar w:fldCharType="end"/>
      </w:r>
      <w:bookmarkEnd w:id="0"/>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b/>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rsidR="000B2CF3" w:rsidRDefault="000B2CF3" w:rsidP="000B2CF3">
      <w:pPr>
        <w:ind w:left="360" w:hanging="360"/>
      </w:pPr>
    </w:p>
    <w:p w:rsidR="00386054" w:rsidRPr="00974820" w:rsidRDefault="000B2CF3" w:rsidP="00974820">
      <w:pPr>
        <w:pStyle w:val="ListParagraph"/>
        <w:numPr>
          <w:ilvl w:val="0"/>
          <w:numId w:val="15"/>
        </w:numPr>
        <w:tabs>
          <w:tab w:val="left" w:pos="0"/>
        </w:tabs>
        <w:suppressAutoHyphens/>
        <w:rPr>
          <w:rFonts w:ascii="Times New Roman" w:hAnsi="Times New Roman"/>
          <w:szCs w:val="24"/>
        </w:rPr>
      </w:pPr>
      <w:r w:rsidRPr="00974820">
        <w:rPr>
          <w:rFonts w:ascii="Times New Roman" w:hAnsi="Times New Roman"/>
        </w:rPr>
        <w:t>Under Titles III &amp; V of the Higher Education Act of 1965 (HEA), as amended, discretionary grants are awarded to eligible institutions of higher education and organizations (Minority Science and Engineering Improvement Program (MSEIP) Title III, E only) to support improvements in educational quality, institutional management and fiscal stability.  The office of Institutional Service (IS) is authorized to award one year planning grants and five-year development grants to institutions with low per-student expenditures that enroll large percentages of minority and financially disadvantaged students. The communities served by Titles III and V of the HEA include: Historically Black Colleges and Universities (HBCU); Historically Black Graduate Institutions (HBGI); Hispanic-Serving Institutions (HSI); American Indian Tribally Controlled Colleges and Universities (TCCU); Alaskan Native-Serving Institutions; Native Hawaiian-Serving Institutions (ANNH); Asian American and Native American Pacific Islander-Serving Institutions (AANAPISI); Native American-Serving Nontribal Institutions (NASNTI) Predominantly Black Institutions (PBI); and other institutions that serve a significant number of minority and financially disadvantaged students and have low average and general expenditures per student.</w:t>
      </w:r>
    </w:p>
    <w:p w:rsidR="00386054" w:rsidRPr="00EF7FF5" w:rsidRDefault="00386054">
      <w:pPr>
        <w:tabs>
          <w:tab w:val="left" w:pos="0"/>
        </w:tabs>
        <w:suppressAutoHyphens/>
        <w:rPr>
          <w:rFonts w:ascii="Times New Roman" w:hAnsi="Times New Roman"/>
          <w:szCs w:val="24"/>
        </w:rPr>
      </w:pPr>
    </w:p>
    <w:p w:rsidR="00D70CF8" w:rsidRPr="00D70CF8" w:rsidRDefault="00D70CF8" w:rsidP="00D70CF8">
      <w:pPr>
        <w:ind w:left="360"/>
        <w:rPr>
          <w:rFonts w:ascii="Times New Roman" w:hAnsi="Times New Roman" w:cs="Courier New"/>
        </w:rPr>
      </w:pPr>
      <w:r w:rsidRPr="00D70CF8">
        <w:rPr>
          <w:rFonts w:ascii="Times New Roman" w:hAnsi="Times New Roman"/>
        </w:rPr>
        <w:t xml:space="preserve">There are major forces that continue driving the Annual Performance Report (APR): (1) the need to improve the quality and effectiveness of our program monitoring efforts; (2) the need to provide more reliable and valid data for the Government Performance and Results Act (GPRA); (3) the need to evaluate grantee and Program effectiveness; and (4) capacity building efforts toward a Title III and Title V community of practice.  </w:t>
      </w:r>
      <w:r w:rsidRPr="00D70CF8">
        <w:rPr>
          <w:rFonts w:ascii="Times New Roman" w:hAnsi="Times New Roman" w:cs="Courier New"/>
        </w:rPr>
        <w:t xml:space="preserve">The Office of Inspector General (IG) has identified repeatedly the aforementioned needs as areas that the Department of Education should resolve.  For the past </w:t>
      </w:r>
      <w:r w:rsidR="006165E9">
        <w:rPr>
          <w:rFonts w:ascii="Times New Roman" w:hAnsi="Times New Roman" w:cs="Courier New"/>
        </w:rPr>
        <w:t>several</w:t>
      </w:r>
      <w:r w:rsidRPr="00D70CF8">
        <w:rPr>
          <w:rFonts w:ascii="Times New Roman" w:hAnsi="Times New Roman" w:cs="Courier New"/>
        </w:rPr>
        <w:t xml:space="preserve"> years, the Department has been focused on addressing these areas.  </w:t>
      </w:r>
      <w:r>
        <w:rPr>
          <w:rFonts w:ascii="Times New Roman" w:hAnsi="Times New Roman" w:cs="Courier New"/>
        </w:rPr>
        <w:t xml:space="preserve">The data elements for all programs that use this APR continue with no significant changes. </w:t>
      </w:r>
    </w:p>
    <w:p w:rsidR="00D70CF8" w:rsidRDefault="00D70CF8" w:rsidP="001E120A">
      <w:pPr>
        <w:ind w:left="360"/>
        <w:rPr>
          <w:rFonts w:ascii="Times New Roman" w:hAnsi="Times New Roman"/>
        </w:rPr>
      </w:pPr>
    </w:p>
    <w:p w:rsidR="001E120A" w:rsidRPr="001E120A" w:rsidRDefault="001E120A" w:rsidP="001E120A">
      <w:pPr>
        <w:ind w:left="360"/>
        <w:rPr>
          <w:rFonts w:ascii="Times New Roman" w:hAnsi="Times New Roman"/>
        </w:rPr>
      </w:pPr>
      <w:r>
        <w:rPr>
          <w:rFonts w:ascii="Times New Roman" w:hAnsi="Times New Roman"/>
        </w:rPr>
        <w:t>This</w:t>
      </w:r>
      <w:r w:rsidRPr="001E120A">
        <w:rPr>
          <w:rFonts w:ascii="Times New Roman" w:hAnsi="Times New Roman"/>
        </w:rPr>
        <w:t xml:space="preserve"> APR</w:t>
      </w:r>
      <w:r>
        <w:rPr>
          <w:rFonts w:ascii="Times New Roman" w:hAnsi="Times New Roman"/>
        </w:rPr>
        <w:t>,</w:t>
      </w:r>
      <w:r w:rsidRPr="001E120A">
        <w:rPr>
          <w:rFonts w:ascii="Times New Roman" w:hAnsi="Times New Roman"/>
        </w:rPr>
        <w:t xml:space="preserve"> designed specifically for Title III and V programs</w:t>
      </w:r>
      <w:r>
        <w:rPr>
          <w:rFonts w:ascii="Times New Roman" w:hAnsi="Times New Roman"/>
        </w:rPr>
        <w:t>,</w:t>
      </w:r>
      <w:r w:rsidRPr="001E120A">
        <w:rPr>
          <w:rFonts w:ascii="Times New Roman" w:hAnsi="Times New Roman"/>
        </w:rPr>
        <w:t xml:space="preserve"> capture</w:t>
      </w:r>
      <w:r>
        <w:rPr>
          <w:rFonts w:ascii="Times New Roman" w:hAnsi="Times New Roman"/>
        </w:rPr>
        <w:t>s</w:t>
      </w:r>
      <w:r w:rsidRPr="001E120A">
        <w:rPr>
          <w:rFonts w:ascii="Times New Roman" w:hAnsi="Times New Roman"/>
        </w:rPr>
        <w:t xml:space="preserve"> the diverse and unique properties of grant projects, as well as overall program accomplishments.  The APR casts a wide net over the Title III and V programs, but is flexible enough to address all of the specific needs of each of the programs.  Title III and V projects are so unique and the institutional profiles are so diverse that a rigid system of measurement would be inappropriate.  The APR allows grantees to measure their progress against their institution's own baseline data, select their areas of emphasis, and provide additional qualitative information in narrative form if they wish to do so.</w:t>
      </w:r>
    </w:p>
    <w:p w:rsidR="001E120A" w:rsidRPr="001E120A" w:rsidRDefault="001E120A" w:rsidP="001E120A">
      <w:pPr>
        <w:rPr>
          <w:rFonts w:ascii="Times New Roman" w:hAnsi="Times New Roman"/>
        </w:rPr>
      </w:pPr>
    </w:p>
    <w:p w:rsidR="001E120A" w:rsidRPr="001E120A" w:rsidRDefault="001E120A" w:rsidP="001E120A">
      <w:pPr>
        <w:ind w:left="360"/>
        <w:rPr>
          <w:rFonts w:ascii="Times New Roman" w:hAnsi="Times New Roman"/>
        </w:rPr>
      </w:pPr>
      <w:r w:rsidRPr="001E120A">
        <w:rPr>
          <w:rFonts w:ascii="Times New Roman" w:hAnsi="Times New Roman"/>
        </w:rPr>
        <w:t>The APR uses a standard format, making it far easier to elicit specific responses, aggregate data and compare responses within the entire grantee pool or across years.  Albeit narrative responses are allowed, our grantees’ time is more efficiently spent collecting and entering data that, for the most part, already exists in their institution’s records or as a result of their project evaluation plan (which is part of their original grant application).  The APR incorporates the summative and formative independent grant evaluations and provides IS program officers with much needed data that heretofore was not captured electronically and therefore not aggregated and easily analyzed in a systematic manner.</w:t>
      </w:r>
    </w:p>
    <w:p w:rsidR="001E120A" w:rsidRPr="001E120A" w:rsidRDefault="001E120A" w:rsidP="001E120A">
      <w:pPr>
        <w:ind w:left="360"/>
        <w:rPr>
          <w:rFonts w:ascii="Times New Roman" w:hAnsi="Times New Roman"/>
        </w:rPr>
      </w:pPr>
    </w:p>
    <w:p w:rsidR="006450AB" w:rsidRPr="00EA2DF9" w:rsidRDefault="001E120A" w:rsidP="001E120A">
      <w:pPr>
        <w:ind w:left="360"/>
        <w:rPr>
          <w:rFonts w:ascii="Times New Roman" w:hAnsi="Times New Roman"/>
        </w:rPr>
      </w:pPr>
      <w:r w:rsidRPr="00EA2DF9">
        <w:rPr>
          <w:rFonts w:ascii="Times New Roman" w:hAnsi="Times New Roman"/>
        </w:rPr>
        <w:t>Authorization for the collection of information can be found in the following sections</w:t>
      </w:r>
      <w:r w:rsidR="006450AB" w:rsidRPr="00EA2DF9">
        <w:rPr>
          <w:rFonts w:ascii="Times New Roman" w:hAnsi="Times New Roman"/>
        </w:rPr>
        <w:t xml:space="preserve"> of the HEA, by program CFDA: </w:t>
      </w:r>
    </w:p>
    <w:p w:rsidR="006450AB" w:rsidRPr="00EA2DF9" w:rsidRDefault="006450AB" w:rsidP="00A841E0">
      <w:pPr>
        <w:pStyle w:val="ListParagraph"/>
        <w:numPr>
          <w:ilvl w:val="0"/>
          <w:numId w:val="12"/>
        </w:numPr>
        <w:rPr>
          <w:rFonts w:ascii="Times New Roman" w:hAnsi="Times New Roman"/>
          <w:szCs w:val="24"/>
        </w:rPr>
      </w:pPr>
      <w:r w:rsidRPr="00EA2DF9">
        <w:rPr>
          <w:rFonts w:ascii="Times New Roman" w:hAnsi="Times New Roman"/>
          <w:szCs w:val="24"/>
        </w:rPr>
        <w:t xml:space="preserve">84.031A, </w:t>
      </w:r>
      <w:hyperlink r:id="rId9" w:history="1">
        <w:r w:rsidR="00A841E0" w:rsidRPr="00EA2DF9">
          <w:rPr>
            <w:rStyle w:val="Hyperlink"/>
            <w:rFonts w:ascii="Times New Roman" w:hAnsi="Times New Roman"/>
            <w:szCs w:val="24"/>
          </w:rPr>
          <w:t>20 U.S.C. 1057-1059b</w:t>
        </w:r>
      </w:hyperlink>
      <w:r w:rsidR="00A841E0" w:rsidRPr="00EA2DF9">
        <w:rPr>
          <w:rFonts w:ascii="Times New Roman" w:hAnsi="Times New Roman"/>
          <w:szCs w:val="24"/>
        </w:rPr>
        <w:t xml:space="preserve"> </w:t>
      </w:r>
    </w:p>
    <w:p w:rsidR="001028FC" w:rsidRPr="00EA2DF9" w:rsidRDefault="001028FC" w:rsidP="001028FC">
      <w:pPr>
        <w:pStyle w:val="ListParagraph"/>
        <w:numPr>
          <w:ilvl w:val="0"/>
          <w:numId w:val="12"/>
        </w:numPr>
        <w:rPr>
          <w:rFonts w:ascii="Times New Roman" w:hAnsi="Times New Roman"/>
          <w:szCs w:val="24"/>
        </w:rPr>
      </w:pPr>
      <w:r w:rsidRPr="00EA2DF9">
        <w:rPr>
          <w:rFonts w:ascii="Times New Roman" w:hAnsi="Times New Roman"/>
          <w:szCs w:val="24"/>
        </w:rPr>
        <w:t xml:space="preserve">84.031B, </w:t>
      </w:r>
      <w:hyperlink r:id="rId10" w:history="1">
        <w:r w:rsidRPr="00EA2DF9">
          <w:rPr>
            <w:rFonts w:ascii="Times New Roman" w:hAnsi="Times New Roman"/>
            <w:color w:val="0C4790"/>
            <w:szCs w:val="24"/>
            <w:u w:val="single"/>
          </w:rPr>
          <w:t>20 U.S.C. 1060-1063c</w:t>
        </w:r>
      </w:hyperlink>
      <w:r w:rsidRPr="00EA2DF9">
        <w:rPr>
          <w:rFonts w:ascii="Times New Roman" w:hAnsi="Times New Roman"/>
          <w:color w:val="000000"/>
          <w:szCs w:val="24"/>
        </w:rPr>
        <w:t xml:space="preserve">, </w:t>
      </w:r>
      <w:hyperlink r:id="rId11" w:history="1">
        <w:r w:rsidRPr="00EA2DF9">
          <w:rPr>
            <w:rFonts w:ascii="Times New Roman" w:hAnsi="Times New Roman"/>
            <w:color w:val="0C4790"/>
            <w:szCs w:val="24"/>
            <w:u w:val="single"/>
          </w:rPr>
          <w:t>20 U.S.C. 1067q</w:t>
        </w:r>
      </w:hyperlink>
      <w:r w:rsidRPr="00EA2DF9">
        <w:rPr>
          <w:rFonts w:ascii="Times New Roman" w:hAnsi="Times New Roman"/>
          <w:color w:val="000000"/>
          <w:szCs w:val="24"/>
        </w:rPr>
        <w:t xml:space="preserve">, </w:t>
      </w:r>
      <w:hyperlink r:id="rId12" w:history="1">
        <w:r w:rsidRPr="00EA2DF9">
          <w:rPr>
            <w:rFonts w:ascii="Times New Roman" w:hAnsi="Times New Roman"/>
            <w:color w:val="0C4790"/>
            <w:szCs w:val="24"/>
            <w:u w:val="single"/>
          </w:rPr>
          <w:t>20 U.S.C. 1063B</w:t>
        </w:r>
      </w:hyperlink>
      <w:r w:rsidRPr="00EA2DF9">
        <w:rPr>
          <w:rFonts w:ascii="Times New Roman" w:hAnsi="Times New Roman"/>
          <w:color w:val="000000"/>
          <w:szCs w:val="24"/>
        </w:rPr>
        <w:t>.</w:t>
      </w:r>
    </w:p>
    <w:p w:rsidR="001028FC" w:rsidRPr="00EA2DF9" w:rsidRDefault="001028FC" w:rsidP="001028FC">
      <w:pPr>
        <w:numPr>
          <w:ilvl w:val="0"/>
          <w:numId w:val="12"/>
        </w:numPr>
        <w:spacing w:before="100" w:beforeAutospacing="1" w:after="100" w:afterAutospacing="1"/>
        <w:rPr>
          <w:rFonts w:ascii="Times New Roman" w:hAnsi="Times New Roman"/>
          <w:szCs w:val="24"/>
        </w:rPr>
      </w:pPr>
      <w:r w:rsidRPr="00EA2DF9">
        <w:rPr>
          <w:rFonts w:ascii="Times New Roman" w:hAnsi="Times New Roman"/>
          <w:szCs w:val="24"/>
        </w:rPr>
        <w:t xml:space="preserve">84.031L, </w:t>
      </w:r>
      <w:hyperlink r:id="rId13" w:history="1">
        <w:r w:rsidR="00A841E0" w:rsidRPr="00EA2DF9">
          <w:rPr>
            <w:rFonts w:ascii="Times New Roman" w:hAnsi="Times New Roman"/>
            <w:color w:val="0C4790"/>
            <w:szCs w:val="24"/>
            <w:u w:val="single"/>
          </w:rPr>
          <w:t>20 U.S.C. 1059d</w:t>
        </w:r>
      </w:hyperlink>
      <w:r w:rsidR="00A841E0" w:rsidRPr="00EA2DF9">
        <w:rPr>
          <w:rFonts w:ascii="Times New Roman" w:hAnsi="Times New Roman"/>
          <w:color w:val="000000"/>
          <w:szCs w:val="24"/>
        </w:rPr>
        <w:t xml:space="preserve">, </w:t>
      </w:r>
      <w:hyperlink r:id="rId14" w:history="1">
        <w:r w:rsidR="00A841E0" w:rsidRPr="00EA2DF9">
          <w:rPr>
            <w:rFonts w:ascii="Times New Roman" w:hAnsi="Times New Roman"/>
            <w:color w:val="0C4790"/>
            <w:szCs w:val="24"/>
            <w:u w:val="single"/>
          </w:rPr>
          <w:t>20 U.S.C. 1067q</w:t>
        </w:r>
      </w:hyperlink>
    </w:p>
    <w:p w:rsidR="001028FC" w:rsidRPr="00EA2DF9" w:rsidRDefault="001028FC" w:rsidP="001028FC">
      <w:pPr>
        <w:pStyle w:val="ListParagraph"/>
        <w:numPr>
          <w:ilvl w:val="0"/>
          <w:numId w:val="12"/>
        </w:numPr>
        <w:rPr>
          <w:rFonts w:ascii="Times New Roman" w:hAnsi="Times New Roman"/>
          <w:szCs w:val="24"/>
        </w:rPr>
      </w:pPr>
      <w:r w:rsidRPr="00EA2DF9">
        <w:rPr>
          <w:rFonts w:ascii="Times New Roman" w:hAnsi="Times New Roman"/>
          <w:szCs w:val="24"/>
        </w:rPr>
        <w:t xml:space="preserve">84.031M, </w:t>
      </w:r>
      <w:hyperlink r:id="rId15" w:history="1">
        <w:r w:rsidR="00A841E0" w:rsidRPr="00EA2DF9">
          <w:rPr>
            <w:rFonts w:ascii="Times New Roman" w:hAnsi="Times New Roman"/>
            <w:color w:val="0C4790"/>
            <w:szCs w:val="24"/>
            <w:u w:val="single"/>
          </w:rPr>
          <w:t>20 U.S.C. 1102-1102c</w:t>
        </w:r>
      </w:hyperlink>
    </w:p>
    <w:p w:rsidR="006450AB" w:rsidRPr="00EA2DF9" w:rsidRDefault="006450AB" w:rsidP="006450AB">
      <w:pPr>
        <w:pStyle w:val="ListParagraph"/>
        <w:numPr>
          <w:ilvl w:val="0"/>
          <w:numId w:val="12"/>
        </w:numPr>
        <w:rPr>
          <w:rFonts w:ascii="Times New Roman" w:hAnsi="Times New Roman"/>
          <w:szCs w:val="24"/>
        </w:rPr>
      </w:pPr>
      <w:r w:rsidRPr="00EA2DF9">
        <w:rPr>
          <w:rFonts w:ascii="Times New Roman" w:hAnsi="Times New Roman"/>
          <w:szCs w:val="24"/>
        </w:rPr>
        <w:t xml:space="preserve">84.031N, </w:t>
      </w:r>
      <w:hyperlink r:id="rId16" w:history="1">
        <w:r w:rsidR="00A841E0" w:rsidRPr="00EA2DF9">
          <w:rPr>
            <w:rFonts w:ascii="Times New Roman" w:hAnsi="Times New Roman"/>
            <w:color w:val="0C4790"/>
            <w:szCs w:val="24"/>
            <w:u w:val="single"/>
          </w:rPr>
          <w:t>20 U.S.C. 1059d</w:t>
        </w:r>
      </w:hyperlink>
      <w:r w:rsidR="00A841E0" w:rsidRPr="00EA2DF9">
        <w:rPr>
          <w:rFonts w:ascii="Times New Roman" w:hAnsi="Times New Roman"/>
          <w:color w:val="000000"/>
          <w:szCs w:val="24"/>
        </w:rPr>
        <w:t xml:space="preserve">, </w:t>
      </w:r>
      <w:hyperlink r:id="rId17" w:history="1">
        <w:r w:rsidR="00A841E0" w:rsidRPr="00EA2DF9">
          <w:rPr>
            <w:rFonts w:ascii="Times New Roman" w:hAnsi="Times New Roman"/>
            <w:color w:val="0C4790"/>
            <w:szCs w:val="24"/>
            <w:u w:val="single"/>
          </w:rPr>
          <w:t>20 U.S.C. 1067q</w:t>
        </w:r>
      </w:hyperlink>
      <w:r w:rsidR="00A841E0" w:rsidRPr="00EA2DF9">
        <w:rPr>
          <w:rFonts w:ascii="Times New Roman" w:hAnsi="Times New Roman"/>
          <w:color w:val="000000"/>
          <w:szCs w:val="24"/>
        </w:rPr>
        <w:t xml:space="preserve">, </w:t>
      </w:r>
    </w:p>
    <w:p w:rsidR="001028FC" w:rsidRPr="00EA2DF9" w:rsidRDefault="001028FC" w:rsidP="001028FC">
      <w:pPr>
        <w:pStyle w:val="ListParagraph"/>
        <w:numPr>
          <w:ilvl w:val="0"/>
          <w:numId w:val="12"/>
        </w:numPr>
        <w:rPr>
          <w:rFonts w:ascii="Times New Roman" w:hAnsi="Times New Roman"/>
          <w:szCs w:val="24"/>
        </w:rPr>
      </w:pPr>
      <w:r w:rsidRPr="00EA2DF9">
        <w:rPr>
          <w:rFonts w:ascii="Times New Roman" w:hAnsi="Times New Roman"/>
          <w:szCs w:val="24"/>
        </w:rPr>
        <w:t>84.031S</w:t>
      </w:r>
      <w:r w:rsidR="00A841E0" w:rsidRPr="00EA2DF9">
        <w:rPr>
          <w:rFonts w:ascii="Times New Roman" w:hAnsi="Times New Roman"/>
          <w:szCs w:val="24"/>
        </w:rPr>
        <w:t xml:space="preserve">, </w:t>
      </w:r>
      <w:hyperlink r:id="rId18" w:history="1">
        <w:r w:rsidR="00A841E0" w:rsidRPr="00EA2DF9">
          <w:rPr>
            <w:rFonts w:ascii="Times New Roman" w:hAnsi="Times New Roman"/>
            <w:color w:val="0C4790"/>
            <w:szCs w:val="24"/>
            <w:u w:val="single"/>
          </w:rPr>
          <w:t>20 U.S.C. 1101-1101d; 1103-1103g</w:t>
        </w:r>
      </w:hyperlink>
      <w:r w:rsidR="00A841E0" w:rsidRPr="00EA2DF9">
        <w:rPr>
          <w:rFonts w:ascii="Times New Roman" w:hAnsi="Times New Roman"/>
          <w:szCs w:val="24"/>
        </w:rPr>
        <w:t>, (</w:t>
      </w:r>
      <w:hyperlink r:id="rId19" w:history="1">
        <w:r w:rsidR="00A841E0" w:rsidRPr="00EA2DF9">
          <w:rPr>
            <w:rFonts w:ascii="Times New Roman" w:hAnsi="Times New Roman"/>
            <w:color w:val="0C4790"/>
            <w:szCs w:val="24"/>
            <w:u w:val="single"/>
          </w:rPr>
          <w:t>20 U.S.C. 1067q (b) (2) (B</w:t>
        </w:r>
      </w:hyperlink>
      <w:r w:rsidR="00A841E0" w:rsidRPr="00EA2DF9">
        <w:rPr>
          <w:rFonts w:ascii="Times New Roman" w:hAnsi="Times New Roman"/>
          <w:szCs w:val="24"/>
        </w:rPr>
        <w:t>)</w:t>
      </w:r>
      <w:r w:rsidRPr="00EA2DF9">
        <w:rPr>
          <w:rFonts w:ascii="Times New Roman" w:hAnsi="Times New Roman"/>
          <w:szCs w:val="24"/>
        </w:rPr>
        <w:t xml:space="preserve"> </w:t>
      </w:r>
    </w:p>
    <w:p w:rsidR="001028FC" w:rsidRPr="00EA2DF9" w:rsidRDefault="001028FC" w:rsidP="001028FC">
      <w:pPr>
        <w:pStyle w:val="ListParagraph"/>
        <w:numPr>
          <w:ilvl w:val="0"/>
          <w:numId w:val="12"/>
        </w:numPr>
        <w:rPr>
          <w:rFonts w:ascii="Times New Roman" w:hAnsi="Times New Roman"/>
          <w:szCs w:val="24"/>
        </w:rPr>
      </w:pPr>
      <w:r w:rsidRPr="00EA2DF9">
        <w:rPr>
          <w:rFonts w:ascii="Times New Roman" w:hAnsi="Times New Roman"/>
          <w:szCs w:val="24"/>
        </w:rPr>
        <w:t xml:space="preserve">84.031T, </w:t>
      </w:r>
      <w:hyperlink r:id="rId20" w:history="1">
        <w:r w:rsidR="00A841E0" w:rsidRPr="00EA2DF9">
          <w:rPr>
            <w:rFonts w:ascii="Times New Roman" w:hAnsi="Times New Roman"/>
            <w:color w:val="0C4790"/>
            <w:szCs w:val="24"/>
            <w:u w:val="single"/>
          </w:rPr>
          <w:t>20 U.S.C 1059c</w:t>
        </w:r>
      </w:hyperlink>
      <w:r w:rsidR="00A841E0" w:rsidRPr="00EA2DF9">
        <w:rPr>
          <w:rFonts w:ascii="Times New Roman" w:hAnsi="Times New Roman"/>
          <w:color w:val="000000"/>
          <w:szCs w:val="24"/>
        </w:rPr>
        <w:t xml:space="preserve">, </w:t>
      </w:r>
      <w:hyperlink r:id="rId21" w:history="1">
        <w:r w:rsidR="00A841E0" w:rsidRPr="00EA2DF9">
          <w:rPr>
            <w:rFonts w:ascii="Times New Roman" w:hAnsi="Times New Roman"/>
            <w:color w:val="0C4790"/>
            <w:szCs w:val="24"/>
            <w:u w:val="single"/>
          </w:rPr>
          <w:t>20 U.S.C. 1067q</w:t>
        </w:r>
      </w:hyperlink>
    </w:p>
    <w:p w:rsidR="001028FC" w:rsidRPr="00EA2DF9" w:rsidRDefault="001028FC" w:rsidP="00A841E0">
      <w:pPr>
        <w:pStyle w:val="ListParagraph"/>
        <w:numPr>
          <w:ilvl w:val="0"/>
          <w:numId w:val="12"/>
        </w:numPr>
        <w:rPr>
          <w:rFonts w:ascii="Times New Roman" w:hAnsi="Times New Roman"/>
          <w:szCs w:val="24"/>
        </w:rPr>
      </w:pPr>
      <w:r w:rsidRPr="00EA2DF9">
        <w:rPr>
          <w:rFonts w:ascii="Times New Roman" w:hAnsi="Times New Roman"/>
          <w:szCs w:val="24"/>
        </w:rPr>
        <w:t xml:space="preserve">84.031W, </w:t>
      </w:r>
      <w:hyperlink r:id="rId22" w:history="1">
        <w:r w:rsidR="00A841E0" w:rsidRPr="00EA2DF9">
          <w:rPr>
            <w:rFonts w:ascii="Times New Roman" w:hAnsi="Times New Roman"/>
            <w:color w:val="0C4790"/>
            <w:szCs w:val="24"/>
            <w:u w:val="single"/>
          </w:rPr>
          <w:t>20 U.S.C. 1059d</w:t>
        </w:r>
      </w:hyperlink>
      <w:r w:rsidR="00A841E0" w:rsidRPr="00EA2DF9">
        <w:rPr>
          <w:rFonts w:ascii="Times New Roman" w:hAnsi="Times New Roman"/>
          <w:color w:val="000000"/>
          <w:szCs w:val="24"/>
        </w:rPr>
        <w:t xml:space="preserve">, </w:t>
      </w:r>
      <w:hyperlink r:id="rId23" w:history="1">
        <w:r w:rsidR="00A841E0" w:rsidRPr="00EA2DF9">
          <w:rPr>
            <w:rFonts w:ascii="Times New Roman" w:hAnsi="Times New Roman"/>
            <w:color w:val="0C4790"/>
            <w:szCs w:val="24"/>
            <w:u w:val="single"/>
          </w:rPr>
          <w:t>20 U.S.C. 1067q</w:t>
        </w:r>
      </w:hyperlink>
      <w:r w:rsidR="00A841E0" w:rsidRPr="00EA2DF9">
        <w:rPr>
          <w:rFonts w:ascii="Times New Roman" w:hAnsi="Times New Roman"/>
          <w:color w:val="000000"/>
          <w:szCs w:val="24"/>
        </w:rPr>
        <w:t xml:space="preserve">, </w:t>
      </w:r>
    </w:p>
    <w:p w:rsidR="001028FC" w:rsidRPr="00EA2DF9" w:rsidRDefault="001028FC" w:rsidP="001028FC">
      <w:pPr>
        <w:pStyle w:val="ListParagraph"/>
        <w:numPr>
          <w:ilvl w:val="0"/>
          <w:numId w:val="12"/>
        </w:numPr>
        <w:rPr>
          <w:rFonts w:ascii="Times New Roman" w:hAnsi="Times New Roman"/>
          <w:szCs w:val="24"/>
        </w:rPr>
      </w:pPr>
      <w:r w:rsidRPr="00EA2DF9">
        <w:rPr>
          <w:rFonts w:ascii="Times New Roman" w:hAnsi="Times New Roman"/>
          <w:szCs w:val="24"/>
        </w:rPr>
        <w:t xml:space="preserve">84.031X, </w:t>
      </w:r>
      <w:hyperlink r:id="rId24" w:history="1">
        <w:r w:rsidR="00A841E0" w:rsidRPr="00EA2DF9">
          <w:rPr>
            <w:rFonts w:ascii="Times New Roman" w:hAnsi="Times New Roman"/>
            <w:color w:val="0C4790"/>
            <w:szCs w:val="24"/>
            <w:u w:val="single"/>
          </w:rPr>
          <w:t>20 U.S.C. 1059f</w:t>
        </w:r>
      </w:hyperlink>
      <w:r w:rsidR="00A841E0" w:rsidRPr="00EA2DF9">
        <w:rPr>
          <w:rFonts w:ascii="Times New Roman" w:hAnsi="Times New Roman"/>
          <w:color w:val="000000"/>
          <w:szCs w:val="24"/>
        </w:rPr>
        <w:t xml:space="preserve">, </w:t>
      </w:r>
      <w:hyperlink r:id="rId25" w:history="1">
        <w:r w:rsidR="00A841E0" w:rsidRPr="00EA2DF9">
          <w:rPr>
            <w:rFonts w:ascii="Times New Roman" w:hAnsi="Times New Roman"/>
            <w:color w:val="0C4790"/>
            <w:szCs w:val="24"/>
            <w:u w:val="single"/>
          </w:rPr>
          <w:t>20 U.S.C. 1067q</w:t>
        </w:r>
      </w:hyperlink>
    </w:p>
    <w:p w:rsidR="00CA0F36" w:rsidRPr="00EA2DF9" w:rsidRDefault="006450AB" w:rsidP="006450AB">
      <w:pPr>
        <w:numPr>
          <w:ilvl w:val="0"/>
          <w:numId w:val="12"/>
        </w:numPr>
        <w:spacing w:before="100" w:beforeAutospacing="1" w:after="100" w:afterAutospacing="1"/>
        <w:rPr>
          <w:rFonts w:ascii="Times New Roman" w:hAnsi="Times New Roman"/>
          <w:szCs w:val="24"/>
        </w:rPr>
      </w:pPr>
      <w:r w:rsidRPr="00EA2DF9">
        <w:rPr>
          <w:rFonts w:ascii="Times New Roman" w:hAnsi="Times New Roman"/>
          <w:szCs w:val="24"/>
        </w:rPr>
        <w:t xml:space="preserve">84.120A, </w:t>
      </w:r>
      <w:hyperlink r:id="rId26" w:history="1">
        <w:r w:rsidR="00CA0F36" w:rsidRPr="00EA2DF9">
          <w:rPr>
            <w:rFonts w:ascii="Times New Roman" w:hAnsi="Times New Roman"/>
            <w:color w:val="0C4790"/>
            <w:szCs w:val="24"/>
            <w:u w:val="single"/>
          </w:rPr>
          <w:t>20 U.S.C. 1067-1067k</w:t>
        </w:r>
      </w:hyperlink>
      <w:r w:rsidR="00CA0F36" w:rsidRPr="00EA2DF9">
        <w:rPr>
          <w:rFonts w:ascii="Times New Roman" w:hAnsi="Times New Roman"/>
          <w:color w:val="000000"/>
          <w:szCs w:val="24"/>
        </w:rPr>
        <w:t xml:space="preserve"> </w:t>
      </w:r>
    </w:p>
    <w:p w:rsidR="006450AB" w:rsidRPr="00EA2DF9" w:rsidRDefault="006450AB" w:rsidP="006450AB">
      <w:pPr>
        <w:pStyle w:val="ListParagraph"/>
        <w:numPr>
          <w:ilvl w:val="0"/>
          <w:numId w:val="12"/>
        </w:numPr>
        <w:rPr>
          <w:rFonts w:ascii="Times New Roman" w:hAnsi="Times New Roman"/>
          <w:szCs w:val="24"/>
        </w:rPr>
      </w:pPr>
      <w:r w:rsidRPr="00EA2DF9">
        <w:rPr>
          <w:rFonts w:ascii="Times New Roman" w:hAnsi="Times New Roman"/>
          <w:szCs w:val="24"/>
        </w:rPr>
        <w:t xml:space="preserve">84.382B, </w:t>
      </w:r>
      <w:hyperlink r:id="rId27" w:history="1">
        <w:r w:rsidR="00A841E0" w:rsidRPr="00EA2DF9">
          <w:rPr>
            <w:rFonts w:ascii="Times New Roman" w:hAnsi="Times New Roman"/>
            <w:color w:val="0C4790"/>
            <w:szCs w:val="24"/>
            <w:u w:val="single"/>
          </w:rPr>
          <w:t>20 U.S.C. 1059d</w:t>
        </w:r>
      </w:hyperlink>
      <w:r w:rsidR="00A841E0" w:rsidRPr="00EA2DF9">
        <w:rPr>
          <w:rFonts w:ascii="Times New Roman" w:hAnsi="Times New Roman"/>
          <w:color w:val="000000"/>
          <w:szCs w:val="24"/>
        </w:rPr>
        <w:t xml:space="preserve">, </w:t>
      </w:r>
      <w:hyperlink r:id="rId28" w:history="1">
        <w:r w:rsidR="00A841E0" w:rsidRPr="00EA2DF9">
          <w:rPr>
            <w:rFonts w:ascii="Times New Roman" w:hAnsi="Times New Roman"/>
            <w:color w:val="0C4790"/>
            <w:szCs w:val="24"/>
            <w:u w:val="single"/>
          </w:rPr>
          <w:t>20 U.S.C. 1067q</w:t>
        </w:r>
      </w:hyperlink>
    </w:p>
    <w:p w:rsidR="001028FC" w:rsidRPr="00EA2DF9" w:rsidRDefault="001028FC" w:rsidP="006450AB">
      <w:pPr>
        <w:pStyle w:val="ListParagraph"/>
        <w:numPr>
          <w:ilvl w:val="0"/>
          <w:numId w:val="12"/>
        </w:numPr>
        <w:rPr>
          <w:rFonts w:ascii="Times New Roman" w:hAnsi="Times New Roman"/>
          <w:szCs w:val="24"/>
        </w:rPr>
      </w:pPr>
      <w:r w:rsidRPr="00EA2DF9">
        <w:rPr>
          <w:rFonts w:ascii="Times New Roman" w:hAnsi="Times New Roman"/>
          <w:szCs w:val="24"/>
        </w:rPr>
        <w:t>84.382C,</w:t>
      </w:r>
      <w:r w:rsidR="00A841E0" w:rsidRPr="00EA2DF9">
        <w:rPr>
          <w:rFonts w:ascii="Times New Roman" w:hAnsi="Times New Roman"/>
          <w:color w:val="000000"/>
          <w:szCs w:val="24"/>
        </w:rPr>
        <w:t xml:space="preserve"> </w:t>
      </w:r>
      <w:hyperlink r:id="rId29" w:history="1">
        <w:r w:rsidR="00A841E0" w:rsidRPr="00EA2DF9">
          <w:rPr>
            <w:rFonts w:ascii="Times New Roman" w:hAnsi="Times New Roman"/>
            <w:color w:val="0C4790"/>
            <w:szCs w:val="24"/>
            <w:u w:val="single"/>
          </w:rPr>
          <w:t>20 U.S.C. 1059f</w:t>
        </w:r>
      </w:hyperlink>
      <w:r w:rsidR="00A841E0" w:rsidRPr="00EA2DF9">
        <w:rPr>
          <w:rFonts w:ascii="Times New Roman" w:hAnsi="Times New Roman"/>
          <w:color w:val="000000"/>
          <w:szCs w:val="24"/>
        </w:rPr>
        <w:t xml:space="preserve">, </w:t>
      </w:r>
      <w:hyperlink r:id="rId30" w:history="1">
        <w:r w:rsidR="00A841E0" w:rsidRPr="00EA2DF9">
          <w:rPr>
            <w:rFonts w:ascii="Times New Roman" w:hAnsi="Times New Roman"/>
            <w:color w:val="0C4790"/>
            <w:szCs w:val="24"/>
            <w:u w:val="single"/>
          </w:rPr>
          <w:t>20 U.S.C. 1067q</w:t>
        </w:r>
      </w:hyperlink>
    </w:p>
    <w:p w:rsidR="001E120A" w:rsidRPr="00EA2DF9" w:rsidRDefault="001E120A" w:rsidP="001E120A">
      <w:pPr>
        <w:ind w:left="360"/>
        <w:rPr>
          <w:rFonts w:ascii="Times New Roman" w:hAnsi="Times New Roman"/>
        </w:rPr>
      </w:pPr>
    </w:p>
    <w:p w:rsidR="00386054" w:rsidRPr="00EF7FF5" w:rsidRDefault="001E120A" w:rsidP="001E120A">
      <w:pPr>
        <w:tabs>
          <w:tab w:val="left" w:pos="0"/>
        </w:tabs>
        <w:suppressAutoHyphens/>
        <w:rPr>
          <w:rFonts w:ascii="Times New Roman" w:hAnsi="Times New Roman"/>
          <w:szCs w:val="24"/>
        </w:rPr>
      </w:pPr>
      <w:r w:rsidRPr="00EA2DF9">
        <w:rPr>
          <w:rFonts w:ascii="Times New Roman" w:hAnsi="Times New Roman"/>
        </w:rPr>
        <w:t xml:space="preserve">Additional references can be found in the Education Department General Administrative Regulations (EDGAR) parts </w:t>
      </w:r>
      <w:hyperlink r:id="rId31" w:anchor="34:1.1.1.1.21.3.15.28" w:history="1">
        <w:r w:rsidRPr="00EA2DF9">
          <w:rPr>
            <w:rStyle w:val="Hyperlink"/>
            <w:rFonts w:ascii="Times New Roman" w:hAnsi="Times New Roman"/>
          </w:rPr>
          <w:t>74.51</w:t>
        </w:r>
      </w:hyperlink>
      <w:r w:rsidRPr="00EA2DF9">
        <w:rPr>
          <w:rFonts w:ascii="Times New Roman" w:hAnsi="Times New Roman"/>
        </w:rPr>
        <w:t xml:space="preserve">, </w:t>
      </w:r>
      <w:hyperlink r:id="rId32" w:anchor="34:1.1.1.1.22.3.52.11" w:history="1">
        <w:r w:rsidRPr="00EA2DF9">
          <w:rPr>
            <w:rStyle w:val="Hyperlink"/>
            <w:rFonts w:ascii="Times New Roman" w:hAnsi="Times New Roman"/>
          </w:rPr>
          <w:t>75.118</w:t>
        </w:r>
      </w:hyperlink>
      <w:r w:rsidRPr="00EA2DF9">
        <w:rPr>
          <w:rFonts w:ascii="Times New Roman" w:hAnsi="Times New Roman"/>
        </w:rPr>
        <w:t xml:space="preserve">, </w:t>
      </w:r>
      <w:hyperlink r:id="rId33" w:anchor="34:1.1.1.1.22.4.60.27" w:history="1">
        <w:r w:rsidRPr="00EA2DF9">
          <w:rPr>
            <w:rStyle w:val="Hyperlink"/>
            <w:rFonts w:ascii="Times New Roman" w:hAnsi="Times New Roman"/>
          </w:rPr>
          <w:t>75.253</w:t>
        </w:r>
      </w:hyperlink>
      <w:r w:rsidRPr="00EA2DF9">
        <w:rPr>
          <w:rFonts w:ascii="Times New Roman" w:hAnsi="Times New Roman"/>
        </w:rPr>
        <w:t xml:space="preserve">, </w:t>
      </w:r>
      <w:hyperlink r:id="rId34" w:anchor="34:1.1.1.1.22.5.67.20" w:history="1">
        <w:r w:rsidRPr="00EA2DF9">
          <w:rPr>
            <w:rStyle w:val="Hyperlink"/>
            <w:rFonts w:ascii="Times New Roman" w:hAnsi="Times New Roman"/>
          </w:rPr>
          <w:t>75.590</w:t>
        </w:r>
      </w:hyperlink>
      <w:r w:rsidRPr="00EA2DF9">
        <w:rPr>
          <w:rFonts w:ascii="Times New Roman" w:hAnsi="Times New Roman"/>
        </w:rPr>
        <w:t xml:space="preserve">, and </w:t>
      </w:r>
      <w:hyperlink r:id="rId35" w:anchor="34:1.1.1.1.22.5.67.21" w:history="1">
        <w:r w:rsidRPr="00EA2DF9">
          <w:rPr>
            <w:rStyle w:val="Hyperlink"/>
            <w:rFonts w:ascii="Times New Roman" w:hAnsi="Times New Roman"/>
          </w:rPr>
          <w:t>75.591</w:t>
        </w:r>
      </w:hyperlink>
      <w:r w:rsidRPr="00EA2DF9">
        <w:rPr>
          <w:rFonts w:ascii="Times New Roman" w:hAnsi="Times New Roman"/>
        </w:rPr>
        <w:t>.</w:t>
      </w:r>
    </w:p>
    <w:p w:rsidR="00386054" w:rsidRPr="00EF7FF5" w:rsidRDefault="00386054">
      <w:pPr>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rsidR="00D70CF8" w:rsidRDefault="00D70CF8" w:rsidP="00D70CF8">
      <w:pPr>
        <w:rPr>
          <w:rFonts w:ascii="Times New Roman" w:hAnsi="Times New Roman"/>
        </w:rPr>
      </w:pPr>
    </w:p>
    <w:p w:rsidR="00D70CF8" w:rsidRPr="00D70CF8" w:rsidRDefault="00974820" w:rsidP="00974820">
      <w:pPr>
        <w:ind w:left="360"/>
        <w:rPr>
          <w:rFonts w:ascii="Times New Roman" w:hAnsi="Times New Roman"/>
        </w:rPr>
      </w:pPr>
      <w:r>
        <w:rPr>
          <w:rFonts w:ascii="Times New Roman" w:hAnsi="Times New Roman"/>
        </w:rPr>
        <w:t>2.</w:t>
      </w:r>
      <w:r>
        <w:rPr>
          <w:rFonts w:ascii="Times New Roman" w:hAnsi="Times New Roman"/>
        </w:rPr>
        <w:tab/>
      </w:r>
      <w:r w:rsidR="00D70CF8" w:rsidRPr="00D70CF8">
        <w:rPr>
          <w:rFonts w:ascii="Times New Roman" w:hAnsi="Times New Roman"/>
        </w:rPr>
        <w:t xml:space="preserve">The information gathered by the APR will be used to (1) monitor the yearly progress of Title III and V grantees; (2) determine future funding of awards to grantees; (3) collect GPRA data to report to policymakers; (4) follow through on corrective action plans resulting from IG audits; (5) analyze and report Program profiles, trends and practices; and (6) evaluate Program and grants management success.  The project directors compile the </w:t>
      </w:r>
      <w:r w:rsidR="00D70CF8" w:rsidRPr="00D70CF8">
        <w:rPr>
          <w:rFonts w:ascii="Times New Roman" w:hAnsi="Times New Roman"/>
        </w:rPr>
        <w:lastRenderedPageBreak/>
        <w:t xml:space="preserve">information for the report and submit it to the Department of Education via a secure web-based report at </w:t>
      </w:r>
      <w:hyperlink r:id="rId36" w:history="1">
        <w:r w:rsidR="00D70CF8" w:rsidRPr="00D70CF8">
          <w:rPr>
            <w:rFonts w:ascii="Times New Roman" w:hAnsi="Times New Roman"/>
            <w:color w:val="0000FF"/>
            <w:u w:val="single"/>
          </w:rPr>
          <w:t>https://apr.ed.gov</w:t>
        </w:r>
      </w:hyperlink>
      <w:r w:rsidR="00D70CF8" w:rsidRPr="00D70CF8">
        <w:rPr>
          <w:rFonts w:ascii="Times New Roman" w:hAnsi="Times New Roman"/>
        </w:rPr>
        <w:t>.  For the six percent of grantees that fail to meet the submission deadline an optional paper format is available.  Since inception, we have captured more than 5,000 annual reports from Title III and Title V grantees.  Once received, the Title III and V program office and other applicable internal and external entities may analyze the APR data.  The results of the report have played and will continue to play a central role in analyzing project data, analyzing Program data, forecasting, creating a transparent view of Title III and Title V programs and demonstrating the U.S. Department of Education’s success in improving access to our nation’s higher education system.  Trend and Profile Reports have been developed for all programs.</w:t>
      </w:r>
    </w:p>
    <w:p w:rsidR="00D70CF8" w:rsidRPr="00D70CF8" w:rsidRDefault="00D70CF8" w:rsidP="00974820">
      <w:pPr>
        <w:ind w:left="360"/>
        <w:rPr>
          <w:rFonts w:ascii="Times New Roman" w:hAnsi="Times New Roman"/>
        </w:rPr>
      </w:pPr>
    </w:p>
    <w:p w:rsidR="00D70CF8" w:rsidRPr="00D70CF8" w:rsidRDefault="00D70CF8" w:rsidP="00974820">
      <w:pPr>
        <w:ind w:left="360"/>
        <w:rPr>
          <w:rFonts w:ascii="Times New Roman" w:hAnsi="Times New Roman"/>
        </w:rPr>
      </w:pPr>
      <w:r w:rsidRPr="00D70CF8">
        <w:rPr>
          <w:rFonts w:ascii="Times New Roman" w:hAnsi="Times New Roman"/>
        </w:rPr>
        <w:t xml:space="preserve">The program office makes grant awards for the following year in the G5 grants management system, which provides at least 90 days to inform grantees of their funding status.  Grantees must demonstrate that they have made significant progress towards meeting the goals of their project objectives in order to receive funding for the next cycle of an award.  The APR records the accomplishments or progress of a project, provides grantees with an opportunity to articulate why grant objectives were or were not met, and documents their planned and actual federal expenditures.  In addition, the APR has narrative sections that allow grantees to communicate important information that is harder to capture in the quantitative sections of the report, such as unexpected outcomes from their Title III or Title V projects.  </w:t>
      </w:r>
    </w:p>
    <w:p w:rsidR="00D70CF8" w:rsidRPr="00D70CF8" w:rsidRDefault="00D70CF8" w:rsidP="00974820">
      <w:pPr>
        <w:ind w:left="1080"/>
        <w:rPr>
          <w:rFonts w:ascii="Times New Roman" w:hAnsi="Times New Roman"/>
        </w:rPr>
      </w:pPr>
    </w:p>
    <w:p w:rsidR="00D70CF8" w:rsidRPr="00D70CF8" w:rsidRDefault="00D70CF8" w:rsidP="00974820">
      <w:pPr>
        <w:ind w:left="360"/>
        <w:rPr>
          <w:rFonts w:ascii="Times New Roman" w:hAnsi="Times New Roman"/>
        </w:rPr>
      </w:pPr>
      <w:r w:rsidRPr="00D70CF8">
        <w:rPr>
          <w:rFonts w:ascii="Times New Roman" w:hAnsi="Times New Roman"/>
        </w:rPr>
        <w:t>The APR is structured to provide varying levels of analysis, the most expansive of which is the collection of GPRA data and independent evaluation data.  The most detailed and individualistic level of analysis is focused on the specific grant activities identified in the grantee’s original application.  As the grantees provide responses to the status of their activities, the configuration of the APR allows for broader inquiry by grouping activities into categories that are identified in the legislation governing Titles III and V.  The flexible structure of the APR is further conducive to a program-wide analysis and allows us to measure the targeting of federal resources, the effectiveness of program outcomes, and subsequently, the success of the programs as a whole.  This level of analysis is central to our compliance with GPRA requirements, the President’s transparency initiative, and the need to evaluate national programs and individual projects from independent sources.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D70CF8" w:rsidRPr="00023B25" w:rsidRDefault="00974820" w:rsidP="00F66084">
      <w:pPr>
        <w:pStyle w:val="BodyTextIndent2"/>
        <w:ind w:firstLine="0"/>
      </w:pPr>
      <w:r>
        <w:t>3.</w:t>
      </w:r>
      <w:r>
        <w:tab/>
      </w:r>
      <w:r w:rsidR="00D70CF8" w:rsidRPr="00023B25">
        <w:t xml:space="preserve">The APR is housed and maintained under contract with our consultants.  The respondents can upload data, save and return to the report before submitting it to </w:t>
      </w:r>
      <w:r w:rsidR="00D70CF8">
        <w:t>IS</w:t>
      </w:r>
      <w:r w:rsidR="00D70CF8" w:rsidRPr="00023B25">
        <w:t>, print out the report at any</w:t>
      </w:r>
      <w:r w:rsidR="00D70CF8">
        <w:t xml:space="preserve"> </w:t>
      </w:r>
      <w:r w:rsidR="00D70CF8" w:rsidRPr="00023B25">
        <w:t>time, and benefit from the latest in web-security</w:t>
      </w:r>
      <w:r w:rsidR="00945A19">
        <w:t>.</w:t>
      </w:r>
    </w:p>
    <w:p w:rsidR="00D70CF8" w:rsidRPr="00023B25" w:rsidRDefault="00D70CF8" w:rsidP="00D70CF8">
      <w:pPr>
        <w:pStyle w:val="BodyTextIndent2"/>
      </w:pPr>
    </w:p>
    <w:p w:rsidR="00D70CF8" w:rsidRPr="00023B25" w:rsidRDefault="00D70CF8" w:rsidP="00D70CF8">
      <w:pPr>
        <w:pStyle w:val="BodyTextIndent2"/>
        <w:ind w:firstLine="0"/>
      </w:pPr>
      <w:r w:rsidRPr="00023B25">
        <w:t xml:space="preserve">The advantages of a web-based APR for </w:t>
      </w:r>
      <w:r>
        <w:t>IS</w:t>
      </w:r>
      <w:r w:rsidRPr="00023B25">
        <w:t xml:space="preserve"> are significant.  For clarity </w:t>
      </w:r>
      <w:r w:rsidR="002F1C5D">
        <w:t>in</w:t>
      </w:r>
      <w:r w:rsidRPr="00023B25">
        <w:t xml:space="preserve"> completing the report, </w:t>
      </w:r>
      <w:r w:rsidR="002F1C5D">
        <w:t>the</w:t>
      </w:r>
      <w:r w:rsidRPr="00023B25">
        <w:t xml:space="preserve"> web-based version displays only the relevant portions of the APR to the grantee, </w:t>
      </w:r>
      <w:r w:rsidRPr="00023B25">
        <w:lastRenderedPageBreak/>
        <w:t>based on the program that the grantee is participating in and the type of institution the grantee represents.  Given that the APR is intended to serve multiple programs and diverse institutions, if the report is viewed in its entirety, there are an overwhelming number of options.  Based on the information that a grantee provides when they login to the system (creating a profile), only the pertinent sections of the report will be selected and displayed to the grantee.  For example, a 2-Year Institution would not see questions about enrollment at 4-Year Institutions, making the report easier to understand and complete.  The paper version of the APR that existed prior to 2001 encompasse</w:t>
      </w:r>
      <w:r w:rsidR="002F1C5D">
        <w:t>d</w:t>
      </w:r>
      <w:r w:rsidRPr="00023B25">
        <w:t xml:space="preserve"> every option for every type of institution and program— the web-version only displays what is pertinent to the program and the type of institution reporting.</w:t>
      </w:r>
    </w:p>
    <w:p w:rsidR="00D70CF8" w:rsidRPr="00023B25" w:rsidRDefault="00D70CF8" w:rsidP="00D70CF8">
      <w:pPr>
        <w:pStyle w:val="BodyTextIndent2"/>
        <w:ind w:firstLine="0"/>
      </w:pPr>
    </w:p>
    <w:p w:rsidR="00D70CF8" w:rsidRPr="00023B25" w:rsidRDefault="00D70CF8" w:rsidP="00D70CF8">
      <w:pPr>
        <w:pStyle w:val="BodyTextIndent2"/>
        <w:ind w:firstLine="0"/>
      </w:pPr>
      <w:r w:rsidRPr="00023B25">
        <w:t xml:space="preserve">The web-based APR facilitates data management and subsequently information management purposes.  Once the reports are complete, in order to make use of the data, the responses need to be entered into a database.  To manually create a database from a paper copy of the APR would be an extremely daunting and inefficient task.  The web-based format enables us to automatically download the responses (as a Comma Separated File) into a database, making the analysis accessible and manageable. </w:t>
      </w:r>
    </w:p>
    <w:p w:rsidR="00D70CF8" w:rsidRPr="00023B25" w:rsidRDefault="00D70CF8" w:rsidP="00D70CF8">
      <w:pPr>
        <w:pStyle w:val="BodyTextIndent2"/>
        <w:ind w:left="0" w:firstLine="0"/>
      </w:pPr>
    </w:p>
    <w:p w:rsidR="00D70CF8" w:rsidRDefault="00D70CF8" w:rsidP="00746D77">
      <w:pPr>
        <w:pStyle w:val="BodyTextIndent2"/>
        <w:ind w:firstLine="0"/>
      </w:pPr>
      <w:r w:rsidRPr="00023B25">
        <w:t xml:space="preserve">Since the inception we have collected 94% of approximately 5000 individual </w:t>
      </w:r>
      <w:r>
        <w:t xml:space="preserve">performance reports </w:t>
      </w:r>
      <w:r w:rsidRPr="00023B25">
        <w:t xml:space="preserve">completed through the APR online and therefore the data is available for analysis.  (The approximately 5000 reports collected do not include the final performance reports generated by the system).  The APR is accessible by all personal computers, handheld </w:t>
      </w:r>
      <w:r>
        <w:t>PDAs</w:t>
      </w:r>
      <w:r w:rsidRPr="00023B25">
        <w:t>, and mobile phone</w:t>
      </w:r>
      <w:r>
        <w:t>s</w:t>
      </w:r>
      <w:r w:rsidRPr="00023B25">
        <w:t xml:space="preserve"> with web browsers in a </w:t>
      </w:r>
      <w:r>
        <w:t>Linux, A</w:t>
      </w:r>
      <w:r w:rsidRPr="00023B25">
        <w:t xml:space="preserve">pple, or Microsoft environment.  The </w:t>
      </w:r>
      <w:r w:rsidR="00746D77">
        <w:t xml:space="preserve">most recent </w:t>
      </w:r>
      <w:r>
        <w:t>completion</w:t>
      </w:r>
      <w:r w:rsidRPr="00023B25">
        <w:t xml:space="preserve"> rate across all programs for the </w:t>
      </w:r>
      <w:r w:rsidR="00746D77">
        <w:t xml:space="preserve">online </w:t>
      </w:r>
      <w:r w:rsidRPr="00023B25">
        <w:t xml:space="preserve">APR </w:t>
      </w:r>
      <w:r w:rsidR="00746D77">
        <w:t>(for the FY 2012 data collection) was 98%.</w:t>
      </w:r>
    </w:p>
    <w:p w:rsidR="00D70CF8" w:rsidRPr="00023B25" w:rsidRDefault="00D70CF8" w:rsidP="00746D77">
      <w:pPr>
        <w:pStyle w:val="BodyTextIndent2"/>
      </w:pPr>
    </w:p>
    <w:p w:rsidR="00D70CF8" w:rsidRPr="00023B25" w:rsidRDefault="00746D77" w:rsidP="00D70CF8">
      <w:pPr>
        <w:pStyle w:val="BodyTextIndent2"/>
        <w:ind w:firstLine="0"/>
      </w:pPr>
      <w:r>
        <w:t>C</w:t>
      </w:r>
      <w:r w:rsidR="00D70CF8" w:rsidRPr="00023B25">
        <w:t xml:space="preserve">onsiderable effort has been devoted to providing training to program staff and technical assistance to grantees.  A training manual is available for all grantees and staff 24 hours a day under the “training tab” at </w:t>
      </w:r>
      <w:hyperlink r:id="rId37" w:history="1">
        <w:r w:rsidR="00D70CF8" w:rsidRPr="00023B25">
          <w:rPr>
            <w:rStyle w:val="Hyperlink"/>
          </w:rPr>
          <w:t>https://apr.ed.gov</w:t>
        </w:r>
      </w:hyperlink>
      <w:r w:rsidR="00D70CF8" w:rsidRPr="00023B25">
        <w:t xml:space="preserve"> where staff can practice exercises as if they are grantees and potential applicants and general public can become familiar with the information needed to report success or failure of Title III and Title V grants.  A technical assistance phone number and customer service e-mail </w:t>
      </w:r>
      <w:r w:rsidR="00D70CF8">
        <w:t>are</w:t>
      </w:r>
      <w:r w:rsidR="00D70CF8" w:rsidRPr="00023B25">
        <w:t xml:space="preserve"> available while grantees are completing the APR: </w:t>
      </w:r>
      <w:r w:rsidR="00D70CF8" w:rsidRPr="00E66141">
        <w:t xml:space="preserve">the e-mail address </w:t>
      </w:r>
      <w:r w:rsidR="00E66141">
        <w:t xml:space="preserve">is </w:t>
      </w:r>
      <w:r w:rsidR="00E66141" w:rsidRPr="00E66141">
        <w:rPr>
          <w:rFonts w:asciiTheme="majorHAnsi" w:hAnsiTheme="majorHAnsi" w:cs="Helvetica"/>
          <w:color w:val="000066"/>
          <w:szCs w:val="24"/>
        </w:rPr>
        <w:t>ISTechSupport@cbmiweb.com</w:t>
      </w:r>
      <w:r w:rsidR="00D70CF8">
        <w:t>.</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EF7FF5" w:rsidRDefault="00386054">
      <w:pPr>
        <w:tabs>
          <w:tab w:val="left" w:pos="-720"/>
        </w:tabs>
        <w:suppressAutoHyphens/>
        <w:rPr>
          <w:rFonts w:ascii="Times New Roman" w:hAnsi="Times New Roman"/>
          <w:szCs w:val="24"/>
        </w:rPr>
      </w:pPr>
    </w:p>
    <w:p w:rsidR="00F66084" w:rsidRPr="00023B25" w:rsidRDefault="00974820" w:rsidP="00F66084">
      <w:pPr>
        <w:pStyle w:val="BodyTextIndent2"/>
        <w:ind w:firstLine="0"/>
      </w:pPr>
      <w:r>
        <w:t>4.</w:t>
      </w:r>
      <w:r>
        <w:tab/>
      </w:r>
      <w:r w:rsidR="00F66084" w:rsidRPr="00023B25">
        <w:t>Duplications found in the report deal solely with the Institutional Profile (Section Two) data collection in the APR.  As noted in the instructions, the tables correspond to surveys from the Integrated Postsecondary Education Data System (IPEDS), which is administered by the National Center for Education Statistics (NCES), located within the U.S. Department of Education.  IPEDS is a comprehensive system of surveys designed to collect institution-level data in such areas as enrollments, program completions, faculty, staff, and finances.  Approximately 9,900 postsecondary institutions complete the IPEDS surveys every year.</w:t>
      </w:r>
    </w:p>
    <w:p w:rsidR="00F66084" w:rsidRPr="00023B25" w:rsidRDefault="00F66084" w:rsidP="00F66084">
      <w:pPr>
        <w:pStyle w:val="BodyTextIndent2"/>
      </w:pPr>
    </w:p>
    <w:p w:rsidR="00F66084" w:rsidRPr="00023B25" w:rsidRDefault="00F66084" w:rsidP="00F66084">
      <w:pPr>
        <w:pStyle w:val="BodyTextIndent2"/>
        <w:ind w:firstLine="0"/>
      </w:pPr>
      <w:r w:rsidRPr="00023B25">
        <w:lastRenderedPageBreak/>
        <w:t>The Institutional Profile data that the APR is collecting is essential because it lends relevant context to the report.  It is important to make clear the operating conditions of the institutions we serve, especially since so many of them focus on disadvantaged students and underrepresented groups, the so-called “at risk” students.  Also, this institutional context helps gauge how our programs have institution-wide outcomes.  IPEDS offers a meaningful institutional context by providing data regarding student body characteristics, enrollment, and graduation / completion rates.  Rather than create our own method for collecting this data, we felt that it would be less burdensome for the grantee to align our report with the IPEDS survey. Our Trend and Profile reports in the “Outcome Measures Logic Model” utilize IPEDS data and project data to convey the impact grant activities, legislative allowable activities, focus areas, and process measures have on retention and graduation rates.</w:t>
      </w:r>
    </w:p>
    <w:p w:rsidR="00F66084" w:rsidRPr="00023B25" w:rsidRDefault="00F66084" w:rsidP="00F66084">
      <w:pPr>
        <w:pStyle w:val="BodyTextIndent2"/>
        <w:ind w:firstLine="0"/>
      </w:pPr>
    </w:p>
    <w:p w:rsidR="00F66084" w:rsidRPr="00023B25" w:rsidRDefault="00F66084" w:rsidP="00F66084">
      <w:pPr>
        <w:pStyle w:val="BodyTextIndent2"/>
        <w:ind w:firstLine="0"/>
      </w:pPr>
      <w:r w:rsidRPr="00023B25">
        <w:t xml:space="preserve">Furthermore, when most grantees log into the APR, the Institutional Profile section is already populated with data.  </w:t>
      </w:r>
      <w:r>
        <w:t>IS</w:t>
      </w:r>
      <w:r w:rsidRPr="00023B25">
        <w:t xml:space="preserve"> has been working closely with NCES to ensure that this duplication of data will have a minimal burden on institutions.  The grantee will not have to enter in this data, as it will have been pre-loaded into their report.  During our consultation with the grantee community, they asked that we display the data on their institution for their review, a request that we honor.</w:t>
      </w:r>
    </w:p>
    <w:p w:rsidR="00F66084" w:rsidRPr="00023B25" w:rsidRDefault="00F66084" w:rsidP="00F66084">
      <w:pPr>
        <w:pStyle w:val="BodyTextIndent2"/>
        <w:ind w:left="0" w:firstLine="0"/>
        <w:rPr>
          <w:i/>
          <w:color w:val="FF0000"/>
        </w:rPr>
      </w:pPr>
    </w:p>
    <w:p w:rsidR="00F66084" w:rsidRPr="00023B25" w:rsidRDefault="00F66084" w:rsidP="00F66084">
      <w:pPr>
        <w:pStyle w:val="BodyTextIndent2"/>
        <w:ind w:firstLine="0"/>
      </w:pPr>
      <w:r w:rsidRPr="00023B25">
        <w:t xml:space="preserve">The exceptions to the aforementioned process will occur when (1) an institution does not report any data to IPEDS; or (2) a branch campus reports data to IPEDS as an aggregated part of a multi-campus system.  Our consultation with the grantee community informed us that when a branch campus (which may receive its own Title III or V grant) is part of a multi-campus system that reports to IPEDS as a single entity, the branch campus data frequently exists in their institutional records.  In this case, we will ask the branch campus to disaggregate their IPEDS data and report directly in the APR only their particular branch campus data. </w:t>
      </w:r>
    </w:p>
    <w:p w:rsidR="00F66084" w:rsidRPr="00023B25" w:rsidRDefault="00F66084" w:rsidP="00F66084">
      <w:pPr>
        <w:pStyle w:val="BodyTextIndent2"/>
        <w:ind w:firstLine="0"/>
      </w:pPr>
    </w:p>
    <w:p w:rsidR="00F66084" w:rsidRPr="00023B25" w:rsidRDefault="00F66084" w:rsidP="00F66084">
      <w:pPr>
        <w:pStyle w:val="BodyTextIndent2"/>
        <w:ind w:firstLine="0"/>
      </w:pPr>
      <w:r w:rsidRPr="00023B25">
        <w:t>When an institution does not report to IPEDS, the NCES policy is to impute the data based on a number of variables.  To maintain regularity, if an institution does not provide the requested information, we will follow NCES policy and use the imputations supplied by NCES.  The following year, both the IPEDS surveys and the APR will again provide the institution with another opportunity to provide first-hand data.</w:t>
      </w:r>
    </w:p>
    <w:p w:rsidR="00F66084" w:rsidRPr="00023B25" w:rsidRDefault="00F66084" w:rsidP="00F66084">
      <w:pPr>
        <w:pStyle w:val="BodyTextIndent2"/>
        <w:ind w:firstLine="0"/>
      </w:pPr>
    </w:p>
    <w:p w:rsidR="00F66084" w:rsidRPr="00023B25" w:rsidRDefault="00F66084" w:rsidP="00F66084">
      <w:pPr>
        <w:pStyle w:val="BodyTextIndent2"/>
        <w:ind w:firstLine="0"/>
      </w:pPr>
      <w:r w:rsidRPr="00023B25">
        <w:t>In the rare circumstance where an institution or branch campus is unable to provide any IPEDS data (and it cannot be imputed), we will provide a narrative that may be used to explain how providing this data for the purposes of the APR would be far too burdensome or expensive for the institution to absorb.  If the institution provides a satisfactory justification, it will be excused from completing the Institutional Profile section.</w:t>
      </w:r>
    </w:p>
    <w:p w:rsidR="00F66084" w:rsidRPr="00023B25" w:rsidRDefault="00F66084" w:rsidP="00F66084">
      <w:pPr>
        <w:pStyle w:val="BodyTextIndent2"/>
        <w:ind w:firstLine="0"/>
      </w:pPr>
    </w:p>
    <w:p w:rsidR="00F66084" w:rsidRPr="00023B25" w:rsidRDefault="00F66084" w:rsidP="00F66084">
      <w:pPr>
        <w:pStyle w:val="BodyTextIndent2"/>
        <w:ind w:firstLine="0"/>
        <w:rPr>
          <w:color w:val="FF0000"/>
        </w:rPr>
      </w:pPr>
      <w:r w:rsidRPr="00023B25">
        <w:t xml:space="preserve">Based on the scope of institutions participating in the IPEDS survey and our consultation with the grantee community, we believe that providing the data for this section will be of little burden to the majority of institutions.  In regard to the aforementioned exceptions, we will be able to identify those schools in advance and work closely with them to ensure that their participation will not be an excessive burden.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EF7FF5" w:rsidRDefault="00386054">
      <w:pPr>
        <w:tabs>
          <w:tab w:val="left" w:pos="-720"/>
        </w:tabs>
        <w:suppressAutoHyphens/>
        <w:rPr>
          <w:rFonts w:ascii="Times New Roman" w:hAnsi="Times New Roman"/>
          <w:szCs w:val="24"/>
        </w:rPr>
      </w:pPr>
    </w:p>
    <w:p w:rsidR="00F66084" w:rsidRPr="00023B25" w:rsidRDefault="00974820" w:rsidP="00F66084">
      <w:pPr>
        <w:pStyle w:val="BodyTextIndent2"/>
        <w:ind w:firstLine="0"/>
      </w:pPr>
      <w:r>
        <w:t>5.</w:t>
      </w:r>
      <w:r>
        <w:tab/>
      </w:r>
      <w:r w:rsidR="00F66084" w:rsidRPr="00023B25">
        <w:t xml:space="preserve">The collection of information will not have a significant impact on small businesses or entities.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EF7FF5" w:rsidRDefault="00386054">
      <w:pPr>
        <w:tabs>
          <w:tab w:val="left" w:pos="-720"/>
        </w:tabs>
        <w:suppressAutoHyphens/>
        <w:rPr>
          <w:rFonts w:ascii="Times New Roman" w:hAnsi="Times New Roman"/>
          <w:szCs w:val="24"/>
        </w:rPr>
      </w:pPr>
    </w:p>
    <w:p w:rsidR="00974820" w:rsidRPr="00023B25" w:rsidRDefault="00974820" w:rsidP="00974820">
      <w:pPr>
        <w:pStyle w:val="BodyTextIndent2"/>
        <w:ind w:firstLine="0"/>
      </w:pPr>
      <w:r>
        <w:t>6.</w:t>
      </w:r>
      <w:r>
        <w:tab/>
      </w:r>
      <w:r w:rsidRPr="00023B25">
        <w:t xml:space="preserve">Without the use of an APR, we can expect three major consequences.  First, our efforts to monitor programs will be greatly hindered.  As the IG audit reports have made clear, we need to improve our program monitoring, and the </w:t>
      </w:r>
      <w:r>
        <w:t>APR i</w:t>
      </w:r>
      <w:r w:rsidRPr="00023B25">
        <w:t>s central to this challenge.  By revitalizing and improving our performance reports, we can gain a deeper understanding of our programs without substantially increasing our grantees’ existing burden expectations.  While the recommendations made by the IG are certainly a motivating force, even more so is the expectation that with more adequate tools, we can serve our grantees better and more successfully demonstrate the effectiveness of our programs to policymakers and the general public.</w:t>
      </w:r>
    </w:p>
    <w:p w:rsidR="00974820" w:rsidRPr="00023B25" w:rsidRDefault="00974820" w:rsidP="00974820">
      <w:pPr>
        <w:pStyle w:val="BodyTextIndent2"/>
        <w:ind w:left="0" w:firstLine="0"/>
      </w:pPr>
    </w:p>
    <w:p w:rsidR="00974820" w:rsidRPr="00023B25" w:rsidRDefault="00974820" w:rsidP="0074001D">
      <w:pPr>
        <w:pStyle w:val="BodyTextIndent2"/>
        <w:ind w:firstLine="0"/>
      </w:pPr>
      <w:r w:rsidRPr="00023B25">
        <w:t>Secondly, without a standardized APR it is very difficult to aggregate data in a way that satisfies GPRA requirements and IG concerns.  The immense diversity of Title III and V grant activities, as well as the variety of goals expressed in the authorizing legislation, has made it challenging to measure program outcomes in a reliable manner.  With the APR we are collecting data that is reliable, reasonable and informative.</w:t>
      </w:r>
    </w:p>
    <w:p w:rsidR="00974820" w:rsidRPr="00023B25" w:rsidRDefault="00974820" w:rsidP="0074001D">
      <w:pPr>
        <w:pStyle w:val="BodyTextIndent2"/>
        <w:ind w:firstLine="0"/>
      </w:pPr>
    </w:p>
    <w:p w:rsidR="00974820" w:rsidRPr="00023B25" w:rsidRDefault="00974820" w:rsidP="0074001D">
      <w:pPr>
        <w:pStyle w:val="BodyTextIndent2"/>
        <w:ind w:firstLine="0"/>
      </w:pPr>
      <w:r>
        <w:t xml:space="preserve">Third, we cannot </w:t>
      </w:r>
      <w:r w:rsidRPr="00023B25">
        <w:t>present to the American citizens and the higher education community a comprehensive transparent view of Title III and Title V Programs without this data collection.</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rsidR="00386054" w:rsidRPr="00EF7FF5" w:rsidRDefault="00386054">
      <w:pPr>
        <w:tabs>
          <w:tab w:val="left" w:pos="-720"/>
        </w:tabs>
        <w:suppressAutoHyphens/>
        <w:rPr>
          <w:rFonts w:ascii="Times New Roman" w:hAnsi="Times New Roman"/>
          <w:b/>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386054" w:rsidRPr="00EF7FF5" w:rsidRDefault="00386054">
      <w:pPr>
        <w:numPr>
          <w:ilvl w:val="12"/>
          <w:numId w:val="0"/>
        </w:numPr>
        <w:tabs>
          <w:tab w:val="left" w:pos="-720"/>
        </w:tabs>
        <w:suppressAutoHyphens/>
        <w:ind w:left="340"/>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proofErr w:type="gramStart"/>
      <w:r w:rsidRPr="00EF7FF5">
        <w:rPr>
          <w:rFonts w:ascii="Times New Roman" w:hAnsi="Times New Roman"/>
          <w:szCs w:val="24"/>
        </w:rPr>
        <w:t>requiring</w:t>
      </w:r>
      <w:proofErr w:type="gramEnd"/>
      <w:r w:rsidRPr="00EF7FF5">
        <w:rPr>
          <w:rFonts w:ascii="Times New Roman" w:hAnsi="Times New Roman"/>
          <w:szCs w:val="24"/>
        </w:rPr>
        <w:t xml:space="preserve">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386054" w:rsidRPr="00EF7FF5" w:rsidRDefault="00386054">
      <w:pPr>
        <w:tabs>
          <w:tab w:val="left" w:pos="-720"/>
        </w:tabs>
        <w:suppressAutoHyphens/>
        <w:rPr>
          <w:rFonts w:ascii="Times New Roman" w:hAnsi="Times New Roman"/>
          <w:szCs w:val="24"/>
        </w:rPr>
      </w:pPr>
    </w:p>
    <w:p w:rsidR="00974820" w:rsidRPr="00974820" w:rsidRDefault="00974820" w:rsidP="00516749">
      <w:pPr>
        <w:ind w:left="360"/>
        <w:rPr>
          <w:rFonts w:ascii="Times New Roman" w:hAnsi="Times New Roman"/>
        </w:rPr>
      </w:pPr>
      <w:r>
        <w:rPr>
          <w:rFonts w:ascii="Times New Roman" w:hAnsi="Times New Roman"/>
        </w:rPr>
        <w:t>7.</w:t>
      </w:r>
      <w:r>
        <w:rPr>
          <w:rFonts w:ascii="Times New Roman" w:hAnsi="Times New Roman"/>
        </w:rPr>
        <w:tab/>
      </w:r>
      <w:r w:rsidRPr="00974820">
        <w:rPr>
          <w:rFonts w:ascii="Times New Roman" w:hAnsi="Times New Roman"/>
        </w:rPr>
        <w:t>There are no special circumstances as outlined in #7 of the Supporting Statement Instructions.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pPr>
        <w:tabs>
          <w:tab w:val="left" w:pos="-720"/>
        </w:tabs>
        <w:suppressAutoHyphens/>
        <w:rPr>
          <w:rStyle w:val="a"/>
          <w:rFonts w:ascii="Times New Roman" w:hAnsi="Times New Roman"/>
          <w:b/>
          <w:szCs w:val="24"/>
        </w:rPr>
      </w:pPr>
    </w:p>
    <w:p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Pr="00EF7FF5" w:rsidRDefault="00386054">
      <w:pPr>
        <w:tabs>
          <w:tab w:val="left" w:pos="-720"/>
        </w:tabs>
        <w:suppressAutoHyphens/>
        <w:rPr>
          <w:rFonts w:ascii="Times New Roman" w:hAnsi="Times New Roman"/>
          <w:szCs w:val="24"/>
        </w:rPr>
      </w:pPr>
    </w:p>
    <w:p w:rsidR="00696C07" w:rsidRDefault="00516749" w:rsidP="00696C07">
      <w:pPr>
        <w:tabs>
          <w:tab w:val="left" w:pos="-720"/>
        </w:tabs>
        <w:suppressAutoHyphens/>
        <w:ind w:left="720"/>
        <w:rPr>
          <w:rFonts w:ascii="Times New Roman" w:hAnsi="Times New Roman"/>
          <w:szCs w:val="24"/>
        </w:rPr>
      </w:pPr>
      <w:r>
        <w:rPr>
          <w:rFonts w:ascii="Times New Roman" w:hAnsi="Times New Roman"/>
        </w:rPr>
        <w:t>8.</w:t>
      </w:r>
      <w:r>
        <w:rPr>
          <w:rFonts w:ascii="Times New Roman" w:hAnsi="Times New Roman"/>
        </w:rPr>
        <w:tab/>
      </w:r>
      <w:r w:rsidR="00696C07">
        <w:rPr>
          <w:rFonts w:ascii="Times New Roman" w:hAnsi="Times New Roman"/>
        </w:rPr>
        <w:t xml:space="preserve">During the period of the prior cleared APR (2011-2013), IS has been actively engaged in a series of consultations with our Title III and V grantee communities.  Our goal has been to solicit our grantees’ input, guidance and support in developing a system that would measure institutional and program performance accurately and fairly.  OPE’s Institutional Service has begun a long-term effort to reconsider and revise the entire </w:t>
      </w:r>
      <w:r w:rsidR="00696C07">
        <w:rPr>
          <w:rFonts w:ascii="Times New Roman" w:hAnsi="Times New Roman"/>
        </w:rPr>
        <w:lastRenderedPageBreak/>
        <w:t>proposal and performance-report process, including consultation with the grantees and other stakeholder communities.  In particular, during the March 2013 national Higher Education Programs grantee conference, we held well-attended sessions on potential revisions to the proposal and reporting process; the feedback we have received is under study, as well as an effort to develop improved measures of the major focus areas and legislatively-allowed activities.  These efforts are not reflected in the current APR renewal; we anticipate that revision and consultation with stakeholders will take at least two more years before we have a version of a proposal/data collection process ready for trial.</w:t>
      </w:r>
    </w:p>
    <w:p w:rsidR="00696C07" w:rsidRDefault="00696C07" w:rsidP="00696C07">
      <w:pPr>
        <w:tabs>
          <w:tab w:val="left" w:pos="-720"/>
          <w:tab w:val="left" w:pos="1044"/>
        </w:tabs>
        <w:suppressAutoHyphens/>
        <w:ind w:left="720"/>
        <w:rPr>
          <w:rFonts w:ascii="Times New Roman" w:hAnsi="Times New Roman"/>
          <w:szCs w:val="24"/>
        </w:rPr>
      </w:pPr>
    </w:p>
    <w:p w:rsidR="008A46BC" w:rsidRPr="00EF7FF5" w:rsidRDefault="00D67644" w:rsidP="0007219C">
      <w:pPr>
        <w:tabs>
          <w:tab w:val="left" w:pos="-720"/>
          <w:tab w:val="left" w:pos="1044"/>
        </w:tabs>
        <w:suppressAutoHyphens/>
        <w:ind w:left="720"/>
        <w:rPr>
          <w:rFonts w:ascii="Times New Roman" w:hAnsi="Times New Roman"/>
          <w:szCs w:val="24"/>
        </w:rPr>
      </w:pPr>
      <w:r w:rsidRPr="00D67644">
        <w:rPr>
          <w:rFonts w:ascii="Times New Roman" w:hAnsi="Times New Roman"/>
        </w:rPr>
        <w:t>A separate 60-day Federal Register notice followed by a 30-day Federal Register notice will be published to solicit public comments.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386054" w:rsidRPr="00516749" w:rsidRDefault="00516749" w:rsidP="00516749">
      <w:pPr>
        <w:pStyle w:val="ListParagraph"/>
        <w:numPr>
          <w:ilvl w:val="0"/>
          <w:numId w:val="2"/>
        </w:numPr>
        <w:tabs>
          <w:tab w:val="left" w:pos="-720"/>
        </w:tabs>
        <w:suppressAutoHyphens/>
        <w:ind w:left="1095"/>
        <w:rPr>
          <w:rFonts w:ascii="Times New Roman" w:hAnsi="Times New Roman"/>
          <w:szCs w:val="24"/>
        </w:rPr>
      </w:pPr>
      <w:r w:rsidRPr="00516749">
        <w:rPr>
          <w:rFonts w:ascii="Times New Roman" w:hAnsi="Times New Roman"/>
          <w:szCs w:val="24"/>
        </w:rPr>
        <w:t xml:space="preserve">No payment or gifts are provided to respondents.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
    <w:p w:rsidR="00386054" w:rsidRPr="00EF7FF5" w:rsidRDefault="00386054">
      <w:pPr>
        <w:tabs>
          <w:tab w:val="left" w:pos="-720"/>
        </w:tabs>
        <w:suppressAutoHyphens/>
        <w:rPr>
          <w:rFonts w:ascii="Times New Roman" w:hAnsi="Times New Roman"/>
          <w:szCs w:val="24"/>
        </w:rPr>
      </w:pPr>
    </w:p>
    <w:p w:rsidR="00D96BC4" w:rsidRPr="00D96BC4" w:rsidRDefault="00516749" w:rsidP="00D96BC4">
      <w:pPr>
        <w:pStyle w:val="ListParagraph"/>
        <w:numPr>
          <w:ilvl w:val="0"/>
          <w:numId w:val="2"/>
        </w:numPr>
        <w:tabs>
          <w:tab w:val="left" w:pos="-720"/>
        </w:tabs>
        <w:suppressAutoHyphens/>
        <w:ind w:left="1095"/>
        <w:rPr>
          <w:rFonts w:ascii="Times New Roman" w:hAnsi="Times New Roman"/>
          <w:szCs w:val="24"/>
        </w:rPr>
      </w:pPr>
      <w:r>
        <w:rPr>
          <w:rFonts w:ascii="Times New Roman" w:hAnsi="Times New Roman"/>
          <w:szCs w:val="24"/>
        </w:rPr>
        <w:t>The Department makes no pledge about the confidential</w:t>
      </w:r>
      <w:r w:rsidR="00D96BC4">
        <w:rPr>
          <w:rFonts w:ascii="Times New Roman" w:hAnsi="Times New Roman"/>
          <w:szCs w:val="24"/>
        </w:rPr>
        <w:t>ity</w:t>
      </w:r>
      <w:r>
        <w:rPr>
          <w:rFonts w:ascii="Times New Roman" w:hAnsi="Times New Roman"/>
          <w:szCs w:val="24"/>
        </w:rPr>
        <w:t xml:space="preserve"> of the data.</w:t>
      </w:r>
      <w:r w:rsidR="0007219C">
        <w:rPr>
          <w:rFonts w:ascii="Times New Roman" w:hAnsi="Times New Roman"/>
          <w:szCs w:val="24"/>
        </w:rPr>
        <w:t xml:space="preserve"> </w:t>
      </w:r>
      <w:r w:rsidR="00D96BC4" w:rsidRPr="00D96BC4">
        <w:rPr>
          <w:rFonts w:ascii="Times New Roman" w:hAnsi="Times New Roman"/>
          <w:szCs w:val="24"/>
        </w:rPr>
        <w:t>No personally identifiable information, other than contact information for the grantee project director, is provided.</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Default="00386054">
      <w:pPr>
        <w:tabs>
          <w:tab w:val="left" w:pos="-720"/>
        </w:tabs>
        <w:suppressAutoHyphens/>
        <w:rPr>
          <w:rFonts w:ascii="Times New Roman" w:hAnsi="Times New Roman"/>
          <w:szCs w:val="24"/>
        </w:rPr>
      </w:pPr>
    </w:p>
    <w:p w:rsidR="00A77F43" w:rsidRPr="00A77F43" w:rsidRDefault="00A77F43" w:rsidP="00A77F43">
      <w:pPr>
        <w:pStyle w:val="ListParagraph"/>
        <w:numPr>
          <w:ilvl w:val="0"/>
          <w:numId w:val="2"/>
        </w:numPr>
        <w:tabs>
          <w:tab w:val="left" w:pos="-720"/>
        </w:tabs>
        <w:suppressAutoHyphens/>
        <w:ind w:left="1095"/>
        <w:rPr>
          <w:rFonts w:ascii="Times New Roman" w:hAnsi="Times New Roman"/>
          <w:szCs w:val="24"/>
        </w:rPr>
      </w:pPr>
      <w:r w:rsidRPr="00A77F43">
        <w:rPr>
          <w:rFonts w:ascii="Times New Roman" w:hAnsi="Times New Roman"/>
        </w:rPr>
        <w:t>There are no questions of a sensitive nature within the APR.</w:t>
      </w:r>
    </w:p>
    <w:p w:rsidR="00A77F43" w:rsidRDefault="00A77F43">
      <w:pPr>
        <w:tabs>
          <w:tab w:val="left" w:pos="-720"/>
        </w:tabs>
        <w:suppressAutoHyphens/>
        <w:rPr>
          <w:rFonts w:ascii="Times New Roman" w:hAnsi="Times New Roman"/>
          <w:szCs w:val="24"/>
        </w:rPr>
      </w:pPr>
    </w:p>
    <w:p w:rsidR="00A77F43" w:rsidRPr="00EF7FF5" w:rsidRDefault="00A77F43">
      <w:pPr>
        <w:tabs>
          <w:tab w:val="left" w:pos="-720"/>
        </w:tabs>
        <w:suppressAutoHyphens/>
        <w:rPr>
          <w:rFonts w:ascii="Times New Roman" w:hAnsi="Times New Roman"/>
          <w:szCs w:val="24"/>
        </w:rPr>
      </w:pPr>
    </w:p>
    <w:p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Pr="00EF7FF5" w:rsidRDefault="00386054" w:rsidP="003C29C2">
      <w:pPr>
        <w:tabs>
          <w:tab w:val="left" w:pos="-720"/>
          <w:tab w:val="left" w:pos="1247"/>
        </w:tabs>
        <w:suppressAutoHyphens/>
        <w:rPr>
          <w:rStyle w:val="a"/>
          <w:rFonts w:ascii="Times New Roman" w:hAnsi="Times New Roman"/>
          <w:szCs w:val="24"/>
        </w:rPr>
      </w:pP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rsidRDefault="00386054">
      <w:pPr>
        <w:suppressAutoHyphens/>
        <w:rPr>
          <w:rFonts w:ascii="Times New Roman" w:hAnsi="Times New Roman"/>
          <w:szCs w:val="24"/>
        </w:rPr>
      </w:pPr>
    </w:p>
    <w:p w:rsidR="00A23B36" w:rsidRPr="00D67644" w:rsidRDefault="00A23B36" w:rsidP="00D67644">
      <w:pPr>
        <w:pStyle w:val="ListParagraph"/>
        <w:numPr>
          <w:ilvl w:val="0"/>
          <w:numId w:val="2"/>
        </w:numPr>
        <w:tabs>
          <w:tab w:val="left" w:pos="270"/>
        </w:tabs>
        <w:rPr>
          <w:rFonts w:ascii="Times New Roman" w:hAnsi="Times New Roman"/>
        </w:rPr>
      </w:pPr>
      <w:r w:rsidRPr="00D67644">
        <w:rPr>
          <w:rFonts w:ascii="Times New Roman" w:hAnsi="Times New Roman"/>
        </w:rPr>
        <w:t>Prior to the first submission of this package in fiscal year 1999, nine (9) grantees voluntarily reviewed and completed the APR as a “pilot test.”  In addition to providing valuable insights and recommendations, the grantees were able to supply a reliable burden estimate based on their experiences.  The hour burden on respondents is expected to vary by program as the APR is structured around the number of activities that a grantee is undertaking.  Typically, different projects funded by Title III and V have more or less activities than others, which cause variation in the burden on respondents.</w:t>
      </w:r>
    </w:p>
    <w:p w:rsidR="00A23B36" w:rsidRPr="00A23B36" w:rsidRDefault="00A23B36" w:rsidP="00A23B36">
      <w:pPr>
        <w:ind w:left="720"/>
        <w:rPr>
          <w:rFonts w:ascii="Times New Roman" w:hAnsi="Times New Roman"/>
        </w:rPr>
      </w:pPr>
    </w:p>
    <w:p w:rsidR="00A23B36" w:rsidRPr="00A23B36" w:rsidRDefault="00A23B36" w:rsidP="00A23B36">
      <w:pPr>
        <w:tabs>
          <w:tab w:val="left" w:pos="270"/>
        </w:tabs>
        <w:rPr>
          <w:rFonts w:ascii="Times New Roman" w:hAnsi="Times New Roman"/>
        </w:rPr>
      </w:pPr>
      <w:r w:rsidRPr="00A23B36">
        <w:rPr>
          <w:rFonts w:ascii="Times New Roman" w:hAnsi="Times New Roman"/>
        </w:rPr>
        <w:t>Each of the Title III/V programs are identified in the following tables</w:t>
      </w:r>
      <w:r>
        <w:rPr>
          <w:rFonts w:ascii="Times New Roman" w:hAnsi="Times New Roman"/>
        </w:rPr>
        <w:t xml:space="preserve"> by CFDA</w:t>
      </w:r>
      <w:r w:rsidRPr="00A23B36">
        <w:rPr>
          <w:rFonts w:ascii="Times New Roman" w:hAnsi="Times New Roman"/>
        </w:rPr>
        <w:t>:</w:t>
      </w:r>
    </w:p>
    <w:p w:rsidR="00A23B36" w:rsidRPr="00A23B36" w:rsidRDefault="00A23B36" w:rsidP="00A23B36">
      <w:pPr>
        <w:ind w:left="720"/>
        <w:rPr>
          <w:rFonts w:ascii="Times New Roman" w:hAnsi="Times New Roman"/>
        </w:rPr>
      </w:pPr>
    </w:p>
    <w:p w:rsidR="00A23B36" w:rsidRPr="00A23B36" w:rsidRDefault="00033DA4" w:rsidP="00A23B36">
      <w:pPr>
        <w:tabs>
          <w:tab w:val="left" w:pos="270"/>
        </w:tabs>
        <w:rPr>
          <w:rFonts w:ascii="Times New Roman" w:hAnsi="Times New Roman"/>
        </w:rPr>
      </w:pPr>
      <w:r>
        <w:rPr>
          <w:rFonts w:ascii="Times New Roman" w:hAnsi="Times New Roman"/>
        </w:rPr>
        <w:object w:dxaOrig="7383" w:dyaOrig="10971">
          <v:shape id="_x0000_i1025" type="#_x0000_t75" style="width:369.75pt;height:548.25pt" o:ole="">
            <v:imagedata r:id="rId38" o:title=""/>
          </v:shape>
          <o:OLEObject Type="Embed" ProgID="Excel.Sheet.12" ShapeID="_x0000_i1025" DrawAspect="Content" ObjectID="_1441795973" r:id="rId39"/>
        </w:object>
      </w:r>
    </w:p>
    <w:p w:rsidR="00A23B36" w:rsidRPr="00A23B36" w:rsidRDefault="00A23B36" w:rsidP="00A23B36">
      <w:pPr>
        <w:tabs>
          <w:tab w:val="left" w:pos="270"/>
        </w:tabs>
        <w:ind w:left="540"/>
        <w:rPr>
          <w:rFonts w:ascii="Times New Roman" w:hAnsi="Times New Roman"/>
        </w:rPr>
      </w:pPr>
      <w:r w:rsidRPr="00A23B36">
        <w:rPr>
          <w:rFonts w:ascii="Times New Roman" w:hAnsi="Times New Roman"/>
        </w:rPr>
        <w:t>*</w:t>
      </w:r>
      <w:r w:rsidRPr="00A23B36">
        <w:rPr>
          <w:rFonts w:ascii="Times New Roman" w:hAnsi="Times New Roman"/>
          <w:i/>
          <w:sz w:val="20"/>
        </w:rPr>
        <w:t>Estimate based on total burden hours x $22.00 estimated hourly wage</w:t>
      </w:r>
      <w:r w:rsidRPr="00A23B36">
        <w:rPr>
          <w:rFonts w:ascii="Times New Roman" w:hAnsi="Times New Roman"/>
        </w:rPr>
        <w:t xml:space="preserve"> </w:t>
      </w:r>
      <w:r w:rsidRPr="00E45980">
        <w:rPr>
          <w:rFonts w:ascii="Times New Roman" w:hAnsi="Times New Roman"/>
          <w:i/>
          <w:sz w:val="20"/>
        </w:rPr>
        <w:t>table:</w:t>
      </w:r>
      <w:bookmarkStart w:id="1" w:name="_GoBack"/>
      <w:bookmarkEnd w:id="1"/>
    </w:p>
    <w:p w:rsidR="00A23B36" w:rsidRPr="00A23B36" w:rsidRDefault="00A23B36" w:rsidP="00A23B36">
      <w:pPr>
        <w:ind w:left="540"/>
        <w:rPr>
          <w:rFonts w:ascii="Times New Roman" w:hAnsi="Times New Roman"/>
        </w:rPr>
      </w:pPr>
    </w:p>
    <w:p w:rsidR="00A23B36" w:rsidRPr="00A23B36" w:rsidRDefault="00A23B36" w:rsidP="00A23B36">
      <w:pPr>
        <w:numPr>
          <w:ilvl w:val="0"/>
          <w:numId w:val="16"/>
        </w:numPr>
        <w:rPr>
          <w:rFonts w:ascii="Times New Roman" w:hAnsi="Times New Roman"/>
        </w:rPr>
      </w:pPr>
      <w:r w:rsidRPr="00A23B36">
        <w:rPr>
          <w:rFonts w:ascii="Times New Roman" w:hAnsi="Times New Roman"/>
        </w:rPr>
        <w:t xml:space="preserve">Number of respondents:  </w:t>
      </w:r>
      <w:r w:rsidR="00E45980">
        <w:rPr>
          <w:rFonts w:ascii="Times New Roman" w:hAnsi="Times New Roman"/>
        </w:rPr>
        <w:t>782</w:t>
      </w:r>
      <w:r w:rsidRPr="00A23B36">
        <w:rPr>
          <w:rFonts w:ascii="Times New Roman" w:hAnsi="Times New Roman"/>
        </w:rPr>
        <w:tab/>
      </w:r>
    </w:p>
    <w:p w:rsidR="00A23B36" w:rsidRPr="00A23B36" w:rsidRDefault="00A23B36" w:rsidP="00A23B36">
      <w:pPr>
        <w:numPr>
          <w:ilvl w:val="0"/>
          <w:numId w:val="16"/>
        </w:numPr>
        <w:rPr>
          <w:rFonts w:ascii="Times New Roman" w:hAnsi="Times New Roman"/>
        </w:rPr>
      </w:pPr>
      <w:r w:rsidRPr="00A23B36">
        <w:rPr>
          <w:rFonts w:ascii="Times New Roman" w:hAnsi="Times New Roman"/>
        </w:rPr>
        <w:t xml:space="preserve">Frequency of response:  Once per year for </w:t>
      </w:r>
      <w:r w:rsidR="00E45980">
        <w:rPr>
          <w:rFonts w:ascii="Times New Roman" w:hAnsi="Times New Roman"/>
        </w:rPr>
        <w:t>782</w:t>
      </w:r>
      <w:r w:rsidRPr="00A23B36">
        <w:rPr>
          <w:rFonts w:ascii="Times New Roman" w:hAnsi="Times New Roman"/>
        </w:rPr>
        <w:tab/>
      </w:r>
    </w:p>
    <w:p w:rsidR="00A23B36" w:rsidRPr="00A23B36" w:rsidRDefault="00A23B36" w:rsidP="00FB3A3D">
      <w:pPr>
        <w:numPr>
          <w:ilvl w:val="0"/>
          <w:numId w:val="16"/>
        </w:numPr>
        <w:tabs>
          <w:tab w:val="left" w:pos="2880"/>
        </w:tabs>
        <w:ind w:left="2880" w:hanging="2520"/>
        <w:rPr>
          <w:rFonts w:ascii="Times New Roman" w:hAnsi="Times New Roman"/>
        </w:rPr>
      </w:pPr>
      <w:r w:rsidRPr="00A23B36">
        <w:rPr>
          <w:rFonts w:ascii="Times New Roman" w:hAnsi="Times New Roman"/>
        </w:rPr>
        <w:t xml:space="preserve">Annual hour burden:  </w:t>
      </w:r>
      <w:r w:rsidR="00FB3A3D">
        <w:rPr>
          <w:rFonts w:ascii="Times New Roman" w:hAnsi="Times New Roman"/>
        </w:rPr>
        <w:t>Hour Burden Total (16,415)/ Number of Respondents (782) = 21 hours</w:t>
      </w:r>
      <w:r w:rsidR="006472F6" w:rsidRPr="006472F6">
        <w:rPr>
          <w:rFonts w:ascii="Times New Roman" w:hAnsi="Times New Roman"/>
        </w:rPr>
        <w:t xml:space="preserve"> </w:t>
      </w:r>
      <w:r w:rsidR="006472F6">
        <w:rPr>
          <w:rFonts w:ascii="Times New Roman" w:hAnsi="Times New Roman"/>
        </w:rPr>
        <w:t>approximately</w:t>
      </w:r>
    </w:p>
    <w:p w:rsidR="00A23B36" w:rsidRPr="00A23B36" w:rsidRDefault="00A23B36" w:rsidP="00A23B36">
      <w:pPr>
        <w:ind w:left="720"/>
        <w:rPr>
          <w:rFonts w:ascii="Times New Roman" w:hAnsi="Times New Roman"/>
          <w:color w:val="FF0000"/>
        </w:rPr>
      </w:pPr>
    </w:p>
    <w:p w:rsidR="00A23B36" w:rsidRPr="00A23B36" w:rsidRDefault="00A23B36" w:rsidP="00A23B36">
      <w:pPr>
        <w:numPr>
          <w:ilvl w:val="0"/>
          <w:numId w:val="16"/>
        </w:numPr>
        <w:rPr>
          <w:rFonts w:ascii="Times New Roman" w:hAnsi="Times New Roman"/>
        </w:rPr>
      </w:pPr>
      <w:r w:rsidRPr="00A23B36">
        <w:rPr>
          <w:rFonts w:ascii="Times New Roman" w:hAnsi="Times New Roman"/>
        </w:rPr>
        <w:lastRenderedPageBreak/>
        <w:t>Estimated annu</w:t>
      </w:r>
      <w:r w:rsidR="00E45980">
        <w:rPr>
          <w:rFonts w:ascii="Times New Roman" w:hAnsi="Times New Roman"/>
        </w:rPr>
        <w:t>alized cost to respondents:  $3</w:t>
      </w:r>
      <w:r w:rsidR="008C48FE">
        <w:rPr>
          <w:rFonts w:ascii="Times New Roman" w:hAnsi="Times New Roman"/>
        </w:rPr>
        <w:t>61</w:t>
      </w:r>
      <w:r w:rsidRPr="00A23B36">
        <w:rPr>
          <w:rFonts w:ascii="Times New Roman" w:hAnsi="Times New Roman"/>
        </w:rPr>
        <w:t>,</w:t>
      </w:r>
      <w:r w:rsidR="008C48FE">
        <w:rPr>
          <w:rFonts w:ascii="Times New Roman" w:hAnsi="Times New Roman"/>
        </w:rPr>
        <w:t>13</w:t>
      </w:r>
      <w:r w:rsidR="00E45980">
        <w:rPr>
          <w:rFonts w:ascii="Times New Roman" w:hAnsi="Times New Roman"/>
        </w:rPr>
        <w:t>0</w:t>
      </w:r>
    </w:p>
    <w:p w:rsidR="00386054" w:rsidRPr="00823A6F" w:rsidRDefault="00A23B36" w:rsidP="00823A6F">
      <w:pPr>
        <w:ind w:left="360" w:firstLine="360"/>
        <w:rPr>
          <w:rFonts w:ascii="Times New Roman" w:hAnsi="Times New Roman"/>
        </w:rPr>
      </w:pPr>
      <w:r w:rsidRPr="00A23B36">
        <w:rPr>
          <w:rFonts w:ascii="Times New Roman" w:hAnsi="Times New Roman"/>
        </w:rPr>
        <w:t>(Estimate was based on total burden hours X $22.00 estimated hourly wage)</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pPr>
        <w:numPr>
          <w:ilvl w:val="12"/>
          <w:numId w:val="0"/>
        </w:numPr>
        <w:tabs>
          <w:tab w:val="left" w:pos="-720"/>
        </w:tabs>
        <w:suppressAutoHyphens/>
        <w:ind w:left="340"/>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3C29C2">
      <w:pPr>
        <w:tabs>
          <w:tab w:val="left" w:pos="-720"/>
          <w:tab w:val="left" w:pos="1247"/>
        </w:tabs>
        <w:suppressAutoHyphens/>
        <w:rPr>
          <w:rFonts w:ascii="Times New Roman" w:hAnsi="Times New Roman"/>
          <w:szCs w:val="24"/>
        </w:rPr>
      </w:pPr>
    </w:p>
    <w:p w:rsidR="00386054" w:rsidRPr="00EF7FF5" w:rsidRDefault="00386054" w:rsidP="003C29C2">
      <w:pPr>
        <w:tabs>
          <w:tab w:val="left" w:pos="-720"/>
          <w:tab w:val="left" w:pos="1247"/>
        </w:tabs>
        <w:suppressAutoHyphens/>
        <w:ind w:left="340"/>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 xml:space="preserve">: </w:t>
      </w:r>
      <w:bookmarkStart w:id="2" w:name="Startup"/>
      <w:r w:rsidR="007E77FA"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2"/>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w:t>
      </w:r>
      <w:bookmarkStart w:id="3" w:name="OM"/>
      <w:r w:rsidR="007E77FA" w:rsidRPr="00EF7FF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3"/>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____________________</w:t>
      </w:r>
    </w:p>
    <w:p w:rsidR="00386054"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 xml:space="preserve">: </w:t>
      </w:r>
      <w:bookmarkStart w:id="4" w:name="Total_Cost"/>
      <w:r w:rsidR="007E77FA"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4"/>
    </w:p>
    <w:p w:rsidR="00FB3A3D" w:rsidRDefault="00FB3A3D">
      <w:pPr>
        <w:tabs>
          <w:tab w:val="left" w:pos="-720"/>
        </w:tabs>
        <w:suppressAutoHyphens/>
        <w:rPr>
          <w:rFonts w:ascii="Times New Roman" w:hAnsi="Times New Roman"/>
          <w:szCs w:val="24"/>
        </w:rPr>
      </w:pPr>
    </w:p>
    <w:p w:rsidR="00FB3A3D" w:rsidRPr="00EF7FF5" w:rsidRDefault="00FB3A3D">
      <w:pPr>
        <w:tabs>
          <w:tab w:val="left" w:pos="-720"/>
        </w:tabs>
        <w:suppressAutoHyphens/>
        <w:rPr>
          <w:rFonts w:ascii="Times New Roman" w:hAnsi="Times New Roman"/>
          <w:szCs w:val="24"/>
        </w:rPr>
      </w:pPr>
      <w:r>
        <w:rPr>
          <w:rFonts w:ascii="Times New Roman" w:hAnsi="Times New Roman"/>
          <w:szCs w:val="24"/>
        </w:rPr>
        <w:t xml:space="preserve">There are no costs to respondents other than those listed in question 12.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t>
      </w:r>
      <w:r w:rsidRPr="00EF7FF5">
        <w:rPr>
          <w:rStyle w:val="a"/>
          <w:rFonts w:ascii="Times New Roman" w:hAnsi="Times New Roman"/>
          <w:szCs w:val="24"/>
        </w:rPr>
        <w:lastRenderedPageBreak/>
        <w:t>would not have been incurred without this collection of information.  Agencies also may aggregate cost estimates from Items 12, 13, and 14 in a single table.</w:t>
      </w:r>
    </w:p>
    <w:p w:rsidR="00386054" w:rsidRDefault="00386054">
      <w:pPr>
        <w:tabs>
          <w:tab w:val="left" w:pos="-720"/>
        </w:tabs>
        <w:suppressAutoHyphens/>
        <w:rPr>
          <w:rFonts w:ascii="Times New Roman" w:hAnsi="Times New Roman"/>
          <w:szCs w:val="24"/>
        </w:rPr>
      </w:pPr>
    </w:p>
    <w:p w:rsidR="007B2C6F" w:rsidRPr="00EF7FF5" w:rsidRDefault="007B2C6F">
      <w:pPr>
        <w:tabs>
          <w:tab w:val="left" w:pos="-720"/>
        </w:tabs>
        <w:suppressAutoHyphens/>
        <w:rPr>
          <w:rFonts w:ascii="Times New Roman" w:hAnsi="Times New Roman"/>
          <w:szCs w:val="24"/>
        </w:rPr>
      </w:pPr>
      <w:r>
        <w:rPr>
          <w:rFonts w:ascii="Times New Roman" w:hAnsi="Times New Roman"/>
          <w:szCs w:val="24"/>
        </w:rPr>
        <w:t>Contract for data collection, site maintenance, data checking, and updates, approximately $100,000 per option year.  Staff support, including technical and substantive contract monitoring, approximately 200 hours per year</w:t>
      </w:r>
      <w:r w:rsidR="008A4E24">
        <w:rPr>
          <w:rFonts w:ascii="Times New Roman" w:hAnsi="Times New Roman"/>
          <w:szCs w:val="24"/>
        </w:rPr>
        <w:t xml:space="preserve"> and $66 per hour, totaling $13,200. The estimated overhead cost is $594</w:t>
      </w:r>
      <w:r>
        <w:rPr>
          <w:rFonts w:ascii="Times New Roman" w:hAnsi="Times New Roman"/>
          <w:szCs w:val="24"/>
        </w:rPr>
        <w:t xml:space="preserve">. </w:t>
      </w:r>
      <w:r w:rsidR="00FB3A3D">
        <w:rPr>
          <w:rFonts w:ascii="Times New Roman" w:hAnsi="Times New Roman"/>
          <w:szCs w:val="24"/>
        </w:rPr>
        <w:t>Total c</w:t>
      </w:r>
      <w:r>
        <w:rPr>
          <w:rFonts w:ascii="Times New Roman" w:hAnsi="Times New Roman"/>
          <w:szCs w:val="24"/>
        </w:rPr>
        <w:t xml:space="preserve">ost estimate: </w:t>
      </w:r>
      <w:r w:rsidR="00D67644">
        <w:rPr>
          <w:rFonts w:ascii="Times New Roman" w:hAnsi="Times New Roman"/>
          <w:szCs w:val="24"/>
        </w:rPr>
        <w:t>$</w:t>
      </w:r>
      <w:r w:rsidR="00126456">
        <w:rPr>
          <w:rFonts w:ascii="Times New Roman" w:hAnsi="Times New Roman"/>
          <w:szCs w:val="24"/>
        </w:rPr>
        <w:t>1</w:t>
      </w:r>
      <w:r w:rsidR="00D67644">
        <w:rPr>
          <w:rFonts w:ascii="Times New Roman" w:hAnsi="Times New Roman"/>
          <w:szCs w:val="24"/>
        </w:rPr>
        <w:t>13,</w:t>
      </w:r>
      <w:r w:rsidR="00FA5EAC">
        <w:rPr>
          <w:rFonts w:ascii="Times New Roman" w:hAnsi="Times New Roman"/>
          <w:szCs w:val="24"/>
        </w:rPr>
        <w:t>794</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rsidR="00386054" w:rsidRDefault="00386054">
      <w:pPr>
        <w:tabs>
          <w:tab w:val="left" w:pos="-720"/>
        </w:tabs>
        <w:suppressAutoHyphens/>
        <w:rPr>
          <w:rFonts w:ascii="Times New Roman" w:hAnsi="Times New Roman"/>
          <w:szCs w:val="24"/>
        </w:rPr>
      </w:pPr>
    </w:p>
    <w:p w:rsidR="00D67644" w:rsidRPr="00EF7FF5" w:rsidRDefault="00D67644">
      <w:pPr>
        <w:tabs>
          <w:tab w:val="left" w:pos="-720"/>
        </w:tabs>
        <w:suppressAutoHyphens/>
        <w:rPr>
          <w:rFonts w:ascii="Times New Roman" w:hAnsi="Times New Roman"/>
          <w:szCs w:val="24"/>
        </w:rPr>
      </w:pPr>
      <w:r>
        <w:rPr>
          <w:rFonts w:ascii="Times New Roman" w:hAnsi="Times New Roman"/>
          <w:szCs w:val="24"/>
        </w:rPr>
        <w:t xml:space="preserve">The decrease in burden is a result of decreased funding appropriations for Title III and V programs. This has resulted in fewer awards being granted which has subsequently led to fewer respondents.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386054" w:rsidRPr="00EF7FF5" w:rsidRDefault="00D67644">
      <w:pPr>
        <w:tabs>
          <w:tab w:val="left" w:pos="-720"/>
        </w:tabs>
        <w:suppressAutoHyphens/>
        <w:rPr>
          <w:rFonts w:ascii="Times New Roman" w:hAnsi="Times New Roman"/>
          <w:szCs w:val="24"/>
        </w:rPr>
      </w:pPr>
      <w:r>
        <w:rPr>
          <w:rFonts w:ascii="Times New Roman" w:hAnsi="Times New Roman"/>
          <w:szCs w:val="24"/>
        </w:rPr>
        <w:t xml:space="preserve">Institutional Service will not be publishing the results of the information collection.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D67644">
      <w:pPr>
        <w:tabs>
          <w:tab w:val="left" w:pos="-720"/>
        </w:tabs>
        <w:suppressAutoHyphens/>
        <w:rPr>
          <w:rFonts w:ascii="Times New Roman" w:hAnsi="Times New Roman"/>
          <w:szCs w:val="24"/>
        </w:rPr>
      </w:pPr>
      <w:r>
        <w:rPr>
          <w:rFonts w:ascii="Times New Roman" w:hAnsi="Times New Roman"/>
          <w:szCs w:val="24"/>
        </w:rPr>
        <w:t>Institutional Service is not seeking approval to</w:t>
      </w:r>
      <w:r w:rsidR="00FB3A3D">
        <w:rPr>
          <w:rFonts w:ascii="Times New Roman" w:hAnsi="Times New Roman"/>
          <w:szCs w:val="24"/>
        </w:rPr>
        <w:t xml:space="preserve"> not</w:t>
      </w:r>
      <w:r>
        <w:rPr>
          <w:rFonts w:ascii="Times New Roman" w:hAnsi="Times New Roman"/>
          <w:szCs w:val="24"/>
        </w:rPr>
        <w:t xml:space="preserve"> display the expiration date for OMB approval of the information collection.</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rsidR="00D67644" w:rsidRDefault="00D67644">
      <w:pPr>
        <w:tabs>
          <w:tab w:val="left" w:pos="-720"/>
        </w:tabs>
        <w:suppressAutoHyphens/>
        <w:rPr>
          <w:rStyle w:val="a"/>
          <w:rFonts w:ascii="Times New Roman" w:hAnsi="Times New Roman"/>
          <w:szCs w:val="24"/>
        </w:rPr>
      </w:pPr>
    </w:p>
    <w:p w:rsidR="00D67644" w:rsidRPr="00EF7FF5" w:rsidRDefault="00D67644">
      <w:pPr>
        <w:tabs>
          <w:tab w:val="left" w:pos="-720"/>
        </w:tabs>
        <w:suppressAutoHyphens/>
        <w:rPr>
          <w:rFonts w:ascii="Times New Roman" w:hAnsi="Times New Roman"/>
          <w:szCs w:val="24"/>
        </w:rPr>
      </w:pPr>
      <w:r>
        <w:rPr>
          <w:rStyle w:val="a"/>
          <w:rFonts w:ascii="Times New Roman" w:hAnsi="Times New Roman"/>
          <w:szCs w:val="24"/>
        </w:rPr>
        <w:t>There are no exceptions to the certification statement in the Certification of Paperwork Reduction Act.</w:t>
      </w:r>
    </w:p>
    <w:sectPr w:rsidR="00D67644" w:rsidRPr="00EF7FF5" w:rsidSect="00E07290">
      <w:headerReference w:type="default" r:id="rId40"/>
      <w:footerReference w:type="default" r:id="rId4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A51" w:rsidRDefault="00340A51">
      <w:pPr>
        <w:spacing w:line="20" w:lineRule="exact"/>
      </w:pPr>
    </w:p>
  </w:endnote>
  <w:endnote w:type="continuationSeparator" w:id="0">
    <w:p w:rsidR="00340A51" w:rsidRDefault="00340A51">
      <w:r>
        <w:t xml:space="preserve"> </w:t>
      </w:r>
    </w:p>
  </w:endnote>
  <w:endnote w:type="continuationNotice" w:id="1">
    <w:p w:rsidR="00340A51" w:rsidRDefault="00340A5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79E" w:rsidRDefault="00DA079E">
    <w:pPr>
      <w:spacing w:before="140" w:line="100" w:lineRule="exact"/>
      <w:rPr>
        <w:sz w:val="10"/>
      </w:rPr>
    </w:pPr>
  </w:p>
  <w:p w:rsidR="00DA079E" w:rsidRDefault="00DA079E">
    <w:pPr>
      <w:tabs>
        <w:tab w:val="left" w:pos="0"/>
      </w:tabs>
      <w:suppressAutoHyphens/>
    </w:pPr>
  </w:p>
  <w:p w:rsidR="00DA079E" w:rsidRDefault="00DA079E">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A079E" w:rsidRDefault="00DA079E">
                          <w:pPr>
                            <w:tabs>
                              <w:tab w:val="center" w:pos="4650"/>
                            </w:tabs>
                            <w:suppressAutoHyphens/>
                            <w:jc w:val="both"/>
                          </w:pPr>
                          <w:r>
                            <w:tab/>
                          </w:r>
                          <w:r>
                            <w:fldChar w:fldCharType="begin"/>
                          </w:r>
                          <w:r>
                            <w:instrText>page \* arabic</w:instrText>
                          </w:r>
                          <w:r>
                            <w:fldChar w:fldCharType="separate"/>
                          </w:r>
                          <w:r w:rsidR="00033DA4">
                            <w:rPr>
                              <w:noProof/>
                            </w:rPr>
                            <w:t>12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DA079E" w:rsidRDefault="00DA079E">
                    <w:pPr>
                      <w:tabs>
                        <w:tab w:val="center" w:pos="4650"/>
                      </w:tabs>
                      <w:suppressAutoHyphens/>
                      <w:jc w:val="both"/>
                    </w:pPr>
                    <w:r>
                      <w:tab/>
                    </w:r>
                    <w:r>
                      <w:fldChar w:fldCharType="begin"/>
                    </w:r>
                    <w:r>
                      <w:instrText>page \* arabic</w:instrText>
                    </w:r>
                    <w:r>
                      <w:fldChar w:fldCharType="separate"/>
                    </w:r>
                    <w:r w:rsidR="00033DA4">
                      <w:rPr>
                        <w:noProof/>
                      </w:rPr>
                      <w:t>12</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A51" w:rsidRDefault="00340A51">
      <w:r>
        <w:separator/>
      </w:r>
    </w:p>
  </w:footnote>
  <w:footnote w:type="continuationSeparator" w:id="0">
    <w:p w:rsidR="00340A51" w:rsidRDefault="00340A51">
      <w:r>
        <w:continuationSeparator/>
      </w:r>
    </w:p>
  </w:footnote>
  <w:footnote w:id="1">
    <w:p w:rsidR="00DA079E" w:rsidRDefault="00DA079E">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DA079E" w:rsidRDefault="00DA079E">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79E" w:rsidRDefault="00DA079E">
    <w:pPr>
      <w:pStyle w:val="Header"/>
      <w:rPr>
        <w:rFonts w:ascii="Times New Roman" w:hAnsi="Times New Roman"/>
        <w:sz w:val="20"/>
      </w:rPr>
    </w:pPr>
    <w:r>
      <w:rPr>
        <w:rFonts w:ascii="Times New Roman" w:hAnsi="Times New Roman"/>
        <w:sz w:val="20"/>
      </w:rPr>
      <w:t>EDICS Tracking and OMB Number: (XXXX) XXXX-XXXX                                         Revised: XX/XX/XXXX</w:t>
    </w:r>
  </w:p>
  <w:p w:rsidR="00DA079E" w:rsidRPr="00386054" w:rsidRDefault="00DA079E">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3in;height:3in" o:bullet="t"/>
    </w:pict>
  </w:numPicBullet>
  <w:numPicBullet w:numPicBulletId="1">
    <w:pict>
      <v:shape id="_x0000_i1071" type="#_x0000_t75" style="width:3in;height:3in" o:bullet="t"/>
    </w:pict>
  </w:numPicBullet>
  <w:numPicBullet w:numPicBulletId="2">
    <w:pict>
      <v:shape id="_x0000_i1072" type="#_x0000_t75" style="width:3in;height:3in" o:bullet="t"/>
    </w:pict>
  </w:numPicBullet>
  <w:numPicBullet w:numPicBulletId="3">
    <w:pict>
      <v:shape id="_x0000_i1073" type="#_x0000_t75" style="width:3in;height:3in" o:bullet="t"/>
    </w:pict>
  </w:numPicBullet>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08D22B5"/>
    <w:multiLevelType w:val="hybridMultilevel"/>
    <w:tmpl w:val="676C23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309B6F40"/>
    <w:multiLevelType w:val="multilevel"/>
    <w:tmpl w:val="5C20B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ED6991"/>
    <w:multiLevelType w:val="hybridMultilevel"/>
    <w:tmpl w:val="6F0ED89E"/>
    <w:lvl w:ilvl="0" w:tplc="8604E532">
      <w:start w:val="1"/>
      <w:numFmt w:val="bullet"/>
      <w:lvlText w:val=""/>
      <w:lvlJc w:val="left"/>
      <w:pPr>
        <w:tabs>
          <w:tab w:val="num" w:pos="720"/>
        </w:tabs>
        <w:ind w:left="720" w:hanging="360"/>
      </w:pPr>
      <w:rPr>
        <w:rFonts w:ascii="Wingdings" w:hAnsi="Wingdings" w:hint="default"/>
      </w:rPr>
    </w:lvl>
    <w:lvl w:ilvl="1" w:tplc="5CCA03E4">
      <w:start w:val="1"/>
      <w:numFmt w:val="bullet"/>
      <w:lvlText w:val="o"/>
      <w:lvlJc w:val="left"/>
      <w:pPr>
        <w:tabs>
          <w:tab w:val="num" w:pos="1440"/>
        </w:tabs>
        <w:ind w:left="1440" w:hanging="360"/>
      </w:pPr>
      <w:rPr>
        <w:rFonts w:ascii="Courier New" w:hAnsi="Courier New" w:hint="default"/>
      </w:rPr>
    </w:lvl>
    <w:lvl w:ilvl="2" w:tplc="7F60F3B2" w:tentative="1">
      <w:start w:val="1"/>
      <w:numFmt w:val="bullet"/>
      <w:lvlText w:val=""/>
      <w:lvlJc w:val="left"/>
      <w:pPr>
        <w:tabs>
          <w:tab w:val="num" w:pos="2160"/>
        </w:tabs>
        <w:ind w:left="2160" w:hanging="360"/>
      </w:pPr>
      <w:rPr>
        <w:rFonts w:ascii="Wingdings" w:hAnsi="Wingdings" w:hint="default"/>
      </w:rPr>
    </w:lvl>
    <w:lvl w:ilvl="3" w:tplc="7EFCF830" w:tentative="1">
      <w:start w:val="1"/>
      <w:numFmt w:val="bullet"/>
      <w:lvlText w:val=""/>
      <w:lvlJc w:val="left"/>
      <w:pPr>
        <w:tabs>
          <w:tab w:val="num" w:pos="2880"/>
        </w:tabs>
        <w:ind w:left="2880" w:hanging="360"/>
      </w:pPr>
      <w:rPr>
        <w:rFonts w:ascii="Symbol" w:hAnsi="Symbol" w:hint="default"/>
      </w:rPr>
    </w:lvl>
    <w:lvl w:ilvl="4" w:tplc="DA64B448" w:tentative="1">
      <w:start w:val="1"/>
      <w:numFmt w:val="bullet"/>
      <w:lvlText w:val="o"/>
      <w:lvlJc w:val="left"/>
      <w:pPr>
        <w:tabs>
          <w:tab w:val="num" w:pos="3600"/>
        </w:tabs>
        <w:ind w:left="3600" w:hanging="360"/>
      </w:pPr>
      <w:rPr>
        <w:rFonts w:ascii="Courier New" w:hAnsi="Courier New" w:hint="default"/>
      </w:rPr>
    </w:lvl>
    <w:lvl w:ilvl="5" w:tplc="CB40D13E" w:tentative="1">
      <w:start w:val="1"/>
      <w:numFmt w:val="bullet"/>
      <w:lvlText w:val=""/>
      <w:lvlJc w:val="left"/>
      <w:pPr>
        <w:tabs>
          <w:tab w:val="num" w:pos="4320"/>
        </w:tabs>
        <w:ind w:left="4320" w:hanging="360"/>
      </w:pPr>
      <w:rPr>
        <w:rFonts w:ascii="Wingdings" w:hAnsi="Wingdings" w:hint="default"/>
      </w:rPr>
    </w:lvl>
    <w:lvl w:ilvl="6" w:tplc="F528C47E" w:tentative="1">
      <w:start w:val="1"/>
      <w:numFmt w:val="bullet"/>
      <w:lvlText w:val=""/>
      <w:lvlJc w:val="left"/>
      <w:pPr>
        <w:tabs>
          <w:tab w:val="num" w:pos="5040"/>
        </w:tabs>
        <w:ind w:left="5040" w:hanging="360"/>
      </w:pPr>
      <w:rPr>
        <w:rFonts w:ascii="Symbol" w:hAnsi="Symbol" w:hint="default"/>
      </w:rPr>
    </w:lvl>
    <w:lvl w:ilvl="7" w:tplc="9EE8B270" w:tentative="1">
      <w:start w:val="1"/>
      <w:numFmt w:val="bullet"/>
      <w:lvlText w:val="o"/>
      <w:lvlJc w:val="left"/>
      <w:pPr>
        <w:tabs>
          <w:tab w:val="num" w:pos="5760"/>
        </w:tabs>
        <w:ind w:left="5760" w:hanging="360"/>
      </w:pPr>
      <w:rPr>
        <w:rFonts w:ascii="Courier New" w:hAnsi="Courier New" w:hint="default"/>
      </w:rPr>
    </w:lvl>
    <w:lvl w:ilvl="8" w:tplc="ECF64854" w:tentative="1">
      <w:start w:val="1"/>
      <w:numFmt w:val="bullet"/>
      <w:lvlText w:val=""/>
      <w:lvlJc w:val="left"/>
      <w:pPr>
        <w:tabs>
          <w:tab w:val="num" w:pos="6480"/>
        </w:tabs>
        <w:ind w:left="6480" w:hanging="360"/>
      </w:pPr>
      <w:rPr>
        <w:rFonts w:ascii="Wingdings" w:hAnsi="Wingdings" w:hint="default"/>
      </w:rPr>
    </w:lvl>
  </w:abstractNum>
  <w:abstractNum w:abstractNumId="7">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8">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1">
    <w:nsid w:val="5B8411D9"/>
    <w:multiLevelType w:val="hybridMultilevel"/>
    <w:tmpl w:val="E3FE0A6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3">
    <w:nsid w:val="6B3F0E20"/>
    <w:multiLevelType w:val="hybridMultilevel"/>
    <w:tmpl w:val="B64C2A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D6C1563"/>
    <w:multiLevelType w:val="singleLevel"/>
    <w:tmpl w:val="B35AFE1A"/>
    <w:lvl w:ilvl="0">
      <w:start w:val="2"/>
      <w:numFmt w:val="decimal"/>
      <w:lvlText w:val="%1.)"/>
      <w:lvlJc w:val="left"/>
      <w:pPr>
        <w:tabs>
          <w:tab w:val="num" w:pos="360"/>
        </w:tabs>
        <w:ind w:left="360" w:hanging="360"/>
      </w:pPr>
      <w:rPr>
        <w:rFonts w:hint="default"/>
      </w:rPr>
    </w:lvl>
  </w:abstractNum>
  <w:abstractNum w:abstractNumId="15">
    <w:nsid w:val="77BE18F9"/>
    <w:multiLevelType w:val="multilevel"/>
    <w:tmpl w:val="868C1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7"/>
  </w:num>
  <w:num w:numId="3">
    <w:abstractNumId w:val="4"/>
  </w:num>
  <w:num w:numId="4">
    <w:abstractNumId w:val="12"/>
  </w:num>
  <w:num w:numId="5">
    <w:abstractNumId w:val="1"/>
  </w:num>
  <w:num w:numId="6">
    <w:abstractNumId w:val="2"/>
  </w:num>
  <w:num w:numId="7">
    <w:abstractNumId w:val="9"/>
  </w:num>
  <w:num w:numId="8">
    <w:abstractNumId w:val="8"/>
  </w:num>
  <w:num w:numId="9">
    <w:abstractNumId w:val="10"/>
  </w:num>
  <w:num w:numId="10">
    <w:abstractNumId w:val="16"/>
  </w:num>
  <w:num w:numId="11">
    <w:abstractNumId w:val="11"/>
  </w:num>
  <w:num w:numId="12">
    <w:abstractNumId w:val="3"/>
  </w:num>
  <w:num w:numId="13">
    <w:abstractNumId w:val="5"/>
  </w:num>
  <w:num w:numId="14">
    <w:abstractNumId w:val="14"/>
  </w:num>
  <w:num w:numId="15">
    <w:abstractNumId w:val="13"/>
  </w:num>
  <w:num w:numId="16">
    <w:abstractNumId w:val="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33DA4"/>
    <w:rsid w:val="00050CBE"/>
    <w:rsid w:val="0007167B"/>
    <w:rsid w:val="0007219C"/>
    <w:rsid w:val="000909E0"/>
    <w:rsid w:val="000A58C9"/>
    <w:rsid w:val="000B14D8"/>
    <w:rsid w:val="000B2CF3"/>
    <w:rsid w:val="000E592D"/>
    <w:rsid w:val="000F175B"/>
    <w:rsid w:val="001028FC"/>
    <w:rsid w:val="00126456"/>
    <w:rsid w:val="0014500F"/>
    <w:rsid w:val="00153F20"/>
    <w:rsid w:val="001743A5"/>
    <w:rsid w:val="0018279C"/>
    <w:rsid w:val="001E120A"/>
    <w:rsid w:val="002473CE"/>
    <w:rsid w:val="002A3BB2"/>
    <w:rsid w:val="002B0412"/>
    <w:rsid w:val="002B0A95"/>
    <w:rsid w:val="002F1C5D"/>
    <w:rsid w:val="002F278A"/>
    <w:rsid w:val="00340A51"/>
    <w:rsid w:val="00386054"/>
    <w:rsid w:val="003C29C2"/>
    <w:rsid w:val="003C7F70"/>
    <w:rsid w:val="003E285A"/>
    <w:rsid w:val="003F2B2C"/>
    <w:rsid w:val="003F6617"/>
    <w:rsid w:val="00413D76"/>
    <w:rsid w:val="004777F5"/>
    <w:rsid w:val="00480F2A"/>
    <w:rsid w:val="004A2DBB"/>
    <w:rsid w:val="004A3EB7"/>
    <w:rsid w:val="004E23D9"/>
    <w:rsid w:val="004F692A"/>
    <w:rsid w:val="00512598"/>
    <w:rsid w:val="00516749"/>
    <w:rsid w:val="00544643"/>
    <w:rsid w:val="00563CCF"/>
    <w:rsid w:val="005A1566"/>
    <w:rsid w:val="005A1DFC"/>
    <w:rsid w:val="005A4185"/>
    <w:rsid w:val="005D2E7B"/>
    <w:rsid w:val="00610758"/>
    <w:rsid w:val="006165E9"/>
    <w:rsid w:val="0063484C"/>
    <w:rsid w:val="006450AB"/>
    <w:rsid w:val="006472F6"/>
    <w:rsid w:val="00654305"/>
    <w:rsid w:val="006737C0"/>
    <w:rsid w:val="00677BC2"/>
    <w:rsid w:val="00696C07"/>
    <w:rsid w:val="006A3B5C"/>
    <w:rsid w:val="006C01D0"/>
    <w:rsid w:val="006F15A4"/>
    <w:rsid w:val="0072315C"/>
    <w:rsid w:val="0074001D"/>
    <w:rsid w:val="00746D77"/>
    <w:rsid w:val="007661D9"/>
    <w:rsid w:val="007B14E8"/>
    <w:rsid w:val="007B2C6F"/>
    <w:rsid w:val="007C12B5"/>
    <w:rsid w:val="007E77FA"/>
    <w:rsid w:val="008011B6"/>
    <w:rsid w:val="00823A6F"/>
    <w:rsid w:val="008327C4"/>
    <w:rsid w:val="008A46BC"/>
    <w:rsid w:val="008A4E24"/>
    <w:rsid w:val="008C48FE"/>
    <w:rsid w:val="008F3062"/>
    <w:rsid w:val="008F4031"/>
    <w:rsid w:val="00921CB1"/>
    <w:rsid w:val="00945A19"/>
    <w:rsid w:val="009544A3"/>
    <w:rsid w:val="00974820"/>
    <w:rsid w:val="009949A8"/>
    <w:rsid w:val="00A01331"/>
    <w:rsid w:val="00A03C9E"/>
    <w:rsid w:val="00A23B36"/>
    <w:rsid w:val="00A27D08"/>
    <w:rsid w:val="00A41F2C"/>
    <w:rsid w:val="00A77F43"/>
    <w:rsid w:val="00A841E0"/>
    <w:rsid w:val="00A87940"/>
    <w:rsid w:val="00A94CCB"/>
    <w:rsid w:val="00AB0D7D"/>
    <w:rsid w:val="00AD4FA2"/>
    <w:rsid w:val="00B23EC0"/>
    <w:rsid w:val="00BC244F"/>
    <w:rsid w:val="00BD1325"/>
    <w:rsid w:val="00C02593"/>
    <w:rsid w:val="00C641E9"/>
    <w:rsid w:val="00C723C2"/>
    <w:rsid w:val="00C7566B"/>
    <w:rsid w:val="00CA0F36"/>
    <w:rsid w:val="00CB6613"/>
    <w:rsid w:val="00CE6759"/>
    <w:rsid w:val="00CE72AF"/>
    <w:rsid w:val="00D115BF"/>
    <w:rsid w:val="00D269C3"/>
    <w:rsid w:val="00D67644"/>
    <w:rsid w:val="00D70CF8"/>
    <w:rsid w:val="00D96BC4"/>
    <w:rsid w:val="00DA079E"/>
    <w:rsid w:val="00DD53C6"/>
    <w:rsid w:val="00E023B7"/>
    <w:rsid w:val="00E07290"/>
    <w:rsid w:val="00E4310A"/>
    <w:rsid w:val="00E45980"/>
    <w:rsid w:val="00E66141"/>
    <w:rsid w:val="00EA2DF9"/>
    <w:rsid w:val="00EA3C1F"/>
    <w:rsid w:val="00EB7306"/>
    <w:rsid w:val="00EC2CC4"/>
    <w:rsid w:val="00EF7FF5"/>
    <w:rsid w:val="00F313DF"/>
    <w:rsid w:val="00F66084"/>
    <w:rsid w:val="00F70217"/>
    <w:rsid w:val="00FA5EAC"/>
    <w:rsid w:val="00FB3A3D"/>
    <w:rsid w:val="00FF3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rsid w:val="00EA3C1F"/>
    <w:rPr>
      <w:sz w:val="20"/>
    </w:rPr>
  </w:style>
  <w:style w:type="character" w:customStyle="1" w:styleId="CommentTextChar">
    <w:name w:val="Comment Text Char"/>
    <w:basedOn w:val="DefaultParagraphFont"/>
    <w:link w:val="CommentText"/>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450AB"/>
    <w:pPr>
      <w:ind w:left="720"/>
      <w:contextualSpacing/>
    </w:pPr>
  </w:style>
  <w:style w:type="paragraph" w:styleId="BodyTextIndent2">
    <w:name w:val="Body Text Indent 2"/>
    <w:basedOn w:val="Normal"/>
    <w:link w:val="BodyTextIndent2Char"/>
    <w:semiHidden/>
    <w:rsid w:val="00D70CF8"/>
    <w:pPr>
      <w:ind w:left="360" w:hanging="360"/>
    </w:pPr>
    <w:rPr>
      <w:rFonts w:ascii="Times New Roman" w:hAnsi="Times New Roman"/>
    </w:rPr>
  </w:style>
  <w:style w:type="character" w:customStyle="1" w:styleId="BodyTextIndent2Char">
    <w:name w:val="Body Text Indent 2 Char"/>
    <w:basedOn w:val="DefaultParagraphFont"/>
    <w:link w:val="BodyTextIndent2"/>
    <w:semiHidden/>
    <w:rsid w:val="00D70CF8"/>
    <w:rPr>
      <w:sz w:val="24"/>
      <w:szCs w:val="20"/>
    </w:rPr>
  </w:style>
  <w:style w:type="character" w:styleId="Hyperlink">
    <w:name w:val="Hyperlink"/>
    <w:semiHidden/>
    <w:rsid w:val="00D70CF8"/>
    <w:rPr>
      <w:color w:val="0000FF"/>
      <w:u w:val="single"/>
    </w:rPr>
  </w:style>
  <w:style w:type="paragraph" w:styleId="BodyText2">
    <w:name w:val="Body Text 2"/>
    <w:basedOn w:val="Normal"/>
    <w:link w:val="BodyText2Char"/>
    <w:uiPriority w:val="99"/>
    <w:semiHidden/>
    <w:unhideWhenUsed/>
    <w:rsid w:val="00A23B36"/>
    <w:pPr>
      <w:spacing w:after="120" w:line="480" w:lineRule="auto"/>
    </w:pPr>
  </w:style>
  <w:style w:type="character" w:customStyle="1" w:styleId="BodyText2Char">
    <w:name w:val="Body Text 2 Char"/>
    <w:basedOn w:val="DefaultParagraphFont"/>
    <w:link w:val="BodyText2"/>
    <w:uiPriority w:val="99"/>
    <w:semiHidden/>
    <w:rsid w:val="00A23B36"/>
    <w:rPr>
      <w:rFonts w:ascii="Courier" w:hAnsi="Courie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rsid w:val="00EA3C1F"/>
    <w:rPr>
      <w:sz w:val="20"/>
    </w:rPr>
  </w:style>
  <w:style w:type="character" w:customStyle="1" w:styleId="CommentTextChar">
    <w:name w:val="Comment Text Char"/>
    <w:basedOn w:val="DefaultParagraphFont"/>
    <w:link w:val="CommentText"/>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450AB"/>
    <w:pPr>
      <w:ind w:left="720"/>
      <w:contextualSpacing/>
    </w:pPr>
  </w:style>
  <w:style w:type="paragraph" w:styleId="BodyTextIndent2">
    <w:name w:val="Body Text Indent 2"/>
    <w:basedOn w:val="Normal"/>
    <w:link w:val="BodyTextIndent2Char"/>
    <w:semiHidden/>
    <w:rsid w:val="00D70CF8"/>
    <w:pPr>
      <w:ind w:left="360" w:hanging="360"/>
    </w:pPr>
    <w:rPr>
      <w:rFonts w:ascii="Times New Roman" w:hAnsi="Times New Roman"/>
    </w:rPr>
  </w:style>
  <w:style w:type="character" w:customStyle="1" w:styleId="BodyTextIndent2Char">
    <w:name w:val="Body Text Indent 2 Char"/>
    <w:basedOn w:val="DefaultParagraphFont"/>
    <w:link w:val="BodyTextIndent2"/>
    <w:semiHidden/>
    <w:rsid w:val="00D70CF8"/>
    <w:rPr>
      <w:sz w:val="24"/>
      <w:szCs w:val="20"/>
    </w:rPr>
  </w:style>
  <w:style w:type="character" w:styleId="Hyperlink">
    <w:name w:val="Hyperlink"/>
    <w:semiHidden/>
    <w:rsid w:val="00D70CF8"/>
    <w:rPr>
      <w:color w:val="0000FF"/>
      <w:u w:val="single"/>
    </w:rPr>
  </w:style>
  <w:style w:type="paragraph" w:styleId="BodyText2">
    <w:name w:val="Body Text 2"/>
    <w:basedOn w:val="Normal"/>
    <w:link w:val="BodyText2Char"/>
    <w:uiPriority w:val="99"/>
    <w:semiHidden/>
    <w:unhideWhenUsed/>
    <w:rsid w:val="00A23B36"/>
    <w:pPr>
      <w:spacing w:after="120" w:line="480" w:lineRule="auto"/>
    </w:pPr>
  </w:style>
  <w:style w:type="character" w:customStyle="1" w:styleId="BodyText2Char">
    <w:name w:val="Body Text 2 Char"/>
    <w:basedOn w:val="DefaultParagraphFont"/>
    <w:link w:val="BodyText2"/>
    <w:uiPriority w:val="99"/>
    <w:semiHidden/>
    <w:rsid w:val="00A23B36"/>
    <w:rPr>
      <w:rFonts w:ascii="Courier" w:hAnsi="Courie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61117">
      <w:bodyDiv w:val="1"/>
      <w:marLeft w:val="0"/>
      <w:marRight w:val="0"/>
      <w:marTop w:val="0"/>
      <w:marBottom w:val="0"/>
      <w:divBdr>
        <w:top w:val="none" w:sz="0" w:space="0" w:color="auto"/>
        <w:left w:val="none" w:sz="0" w:space="0" w:color="auto"/>
        <w:bottom w:val="none" w:sz="0" w:space="0" w:color="auto"/>
        <w:right w:val="none" w:sz="0" w:space="0" w:color="auto"/>
      </w:divBdr>
      <w:divsChild>
        <w:div w:id="1200826688">
          <w:marLeft w:val="0"/>
          <w:marRight w:val="0"/>
          <w:marTop w:val="100"/>
          <w:marBottom w:val="100"/>
          <w:divBdr>
            <w:top w:val="none" w:sz="0" w:space="0" w:color="auto"/>
            <w:left w:val="none" w:sz="0" w:space="0" w:color="auto"/>
            <w:bottom w:val="none" w:sz="0" w:space="0" w:color="auto"/>
            <w:right w:val="none" w:sz="0" w:space="0" w:color="auto"/>
          </w:divBdr>
          <w:divsChild>
            <w:div w:id="17397647">
              <w:marLeft w:val="0"/>
              <w:marRight w:val="0"/>
              <w:marTop w:val="0"/>
              <w:marBottom w:val="0"/>
              <w:divBdr>
                <w:top w:val="none" w:sz="0" w:space="0" w:color="auto"/>
                <w:left w:val="none" w:sz="0" w:space="0" w:color="auto"/>
                <w:bottom w:val="none" w:sz="0" w:space="0" w:color="auto"/>
                <w:right w:val="none" w:sz="0" w:space="0" w:color="auto"/>
              </w:divBdr>
              <w:divsChild>
                <w:div w:id="227614152">
                  <w:marLeft w:val="0"/>
                  <w:marRight w:val="0"/>
                  <w:marTop w:val="0"/>
                  <w:marBottom w:val="0"/>
                  <w:divBdr>
                    <w:top w:val="none" w:sz="0" w:space="0" w:color="auto"/>
                    <w:left w:val="none" w:sz="0" w:space="0" w:color="auto"/>
                    <w:bottom w:val="none" w:sz="0" w:space="0" w:color="auto"/>
                    <w:right w:val="none" w:sz="0" w:space="0" w:color="auto"/>
                  </w:divBdr>
                  <w:divsChild>
                    <w:div w:id="1400446618">
                      <w:marLeft w:val="0"/>
                      <w:marRight w:val="0"/>
                      <w:marTop w:val="100"/>
                      <w:marBottom w:val="225"/>
                      <w:divBdr>
                        <w:top w:val="none" w:sz="0" w:space="0" w:color="auto"/>
                        <w:left w:val="none" w:sz="0" w:space="0" w:color="auto"/>
                        <w:bottom w:val="none" w:sz="0" w:space="0" w:color="auto"/>
                        <w:right w:val="none" w:sz="0" w:space="0" w:color="auto"/>
                      </w:divBdr>
                      <w:divsChild>
                        <w:div w:id="196765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843091">
      <w:bodyDiv w:val="1"/>
      <w:marLeft w:val="0"/>
      <w:marRight w:val="0"/>
      <w:marTop w:val="0"/>
      <w:marBottom w:val="0"/>
      <w:divBdr>
        <w:top w:val="none" w:sz="0" w:space="0" w:color="auto"/>
        <w:left w:val="none" w:sz="0" w:space="0" w:color="auto"/>
        <w:bottom w:val="none" w:sz="0" w:space="0" w:color="auto"/>
        <w:right w:val="none" w:sz="0" w:space="0" w:color="auto"/>
      </w:divBdr>
    </w:div>
    <w:div w:id="711923612">
      <w:bodyDiv w:val="1"/>
      <w:marLeft w:val="0"/>
      <w:marRight w:val="0"/>
      <w:marTop w:val="0"/>
      <w:marBottom w:val="0"/>
      <w:divBdr>
        <w:top w:val="none" w:sz="0" w:space="0" w:color="auto"/>
        <w:left w:val="none" w:sz="0" w:space="0" w:color="auto"/>
        <w:bottom w:val="none" w:sz="0" w:space="0" w:color="auto"/>
        <w:right w:val="none" w:sz="0" w:space="0" w:color="auto"/>
      </w:divBdr>
      <w:divsChild>
        <w:div w:id="728530330">
          <w:marLeft w:val="0"/>
          <w:marRight w:val="0"/>
          <w:marTop w:val="100"/>
          <w:marBottom w:val="100"/>
          <w:divBdr>
            <w:top w:val="none" w:sz="0" w:space="0" w:color="auto"/>
            <w:left w:val="none" w:sz="0" w:space="0" w:color="auto"/>
            <w:bottom w:val="none" w:sz="0" w:space="0" w:color="auto"/>
            <w:right w:val="none" w:sz="0" w:space="0" w:color="auto"/>
          </w:divBdr>
          <w:divsChild>
            <w:div w:id="77214184">
              <w:marLeft w:val="0"/>
              <w:marRight w:val="0"/>
              <w:marTop w:val="0"/>
              <w:marBottom w:val="0"/>
              <w:divBdr>
                <w:top w:val="none" w:sz="0" w:space="0" w:color="auto"/>
                <w:left w:val="none" w:sz="0" w:space="0" w:color="auto"/>
                <w:bottom w:val="none" w:sz="0" w:space="0" w:color="auto"/>
                <w:right w:val="none" w:sz="0" w:space="0" w:color="auto"/>
              </w:divBdr>
              <w:divsChild>
                <w:div w:id="2038460090">
                  <w:marLeft w:val="0"/>
                  <w:marRight w:val="0"/>
                  <w:marTop w:val="0"/>
                  <w:marBottom w:val="0"/>
                  <w:divBdr>
                    <w:top w:val="none" w:sz="0" w:space="0" w:color="auto"/>
                    <w:left w:val="none" w:sz="0" w:space="0" w:color="auto"/>
                    <w:bottom w:val="none" w:sz="0" w:space="0" w:color="auto"/>
                    <w:right w:val="none" w:sz="0" w:space="0" w:color="auto"/>
                  </w:divBdr>
                  <w:divsChild>
                    <w:div w:id="1637686100">
                      <w:marLeft w:val="0"/>
                      <w:marRight w:val="0"/>
                      <w:marTop w:val="100"/>
                      <w:marBottom w:val="225"/>
                      <w:divBdr>
                        <w:top w:val="none" w:sz="0" w:space="0" w:color="auto"/>
                        <w:left w:val="none" w:sz="0" w:space="0" w:color="auto"/>
                        <w:bottom w:val="none" w:sz="0" w:space="0" w:color="auto"/>
                        <w:right w:val="none" w:sz="0" w:space="0" w:color="auto"/>
                      </w:divBdr>
                      <w:divsChild>
                        <w:div w:id="158290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525656">
      <w:bodyDiv w:val="1"/>
      <w:marLeft w:val="0"/>
      <w:marRight w:val="0"/>
      <w:marTop w:val="0"/>
      <w:marBottom w:val="0"/>
      <w:divBdr>
        <w:top w:val="none" w:sz="0" w:space="0" w:color="auto"/>
        <w:left w:val="none" w:sz="0" w:space="0" w:color="auto"/>
        <w:bottom w:val="none" w:sz="0" w:space="0" w:color="auto"/>
        <w:right w:val="none" w:sz="0" w:space="0" w:color="auto"/>
      </w:divBdr>
    </w:div>
    <w:div w:id="1135752388">
      <w:bodyDiv w:val="1"/>
      <w:marLeft w:val="0"/>
      <w:marRight w:val="0"/>
      <w:marTop w:val="0"/>
      <w:marBottom w:val="0"/>
      <w:divBdr>
        <w:top w:val="none" w:sz="0" w:space="0" w:color="auto"/>
        <w:left w:val="none" w:sz="0" w:space="0" w:color="auto"/>
        <w:bottom w:val="none" w:sz="0" w:space="0" w:color="auto"/>
        <w:right w:val="none" w:sz="0" w:space="0" w:color="auto"/>
      </w:divBdr>
      <w:divsChild>
        <w:div w:id="497506158">
          <w:marLeft w:val="0"/>
          <w:marRight w:val="0"/>
          <w:marTop w:val="100"/>
          <w:marBottom w:val="100"/>
          <w:divBdr>
            <w:top w:val="none" w:sz="0" w:space="0" w:color="auto"/>
            <w:left w:val="none" w:sz="0" w:space="0" w:color="auto"/>
            <w:bottom w:val="none" w:sz="0" w:space="0" w:color="auto"/>
            <w:right w:val="none" w:sz="0" w:space="0" w:color="auto"/>
          </w:divBdr>
          <w:divsChild>
            <w:div w:id="1046564974">
              <w:marLeft w:val="0"/>
              <w:marRight w:val="0"/>
              <w:marTop w:val="0"/>
              <w:marBottom w:val="0"/>
              <w:divBdr>
                <w:top w:val="none" w:sz="0" w:space="0" w:color="auto"/>
                <w:left w:val="none" w:sz="0" w:space="0" w:color="auto"/>
                <w:bottom w:val="none" w:sz="0" w:space="0" w:color="auto"/>
                <w:right w:val="none" w:sz="0" w:space="0" w:color="auto"/>
              </w:divBdr>
              <w:divsChild>
                <w:div w:id="70782848">
                  <w:marLeft w:val="0"/>
                  <w:marRight w:val="0"/>
                  <w:marTop w:val="0"/>
                  <w:marBottom w:val="0"/>
                  <w:divBdr>
                    <w:top w:val="none" w:sz="0" w:space="0" w:color="auto"/>
                    <w:left w:val="none" w:sz="0" w:space="0" w:color="auto"/>
                    <w:bottom w:val="none" w:sz="0" w:space="0" w:color="auto"/>
                    <w:right w:val="none" w:sz="0" w:space="0" w:color="auto"/>
                  </w:divBdr>
                  <w:divsChild>
                    <w:div w:id="915212128">
                      <w:marLeft w:val="0"/>
                      <w:marRight w:val="0"/>
                      <w:marTop w:val="100"/>
                      <w:marBottom w:val="225"/>
                      <w:divBdr>
                        <w:top w:val="none" w:sz="0" w:space="0" w:color="auto"/>
                        <w:left w:val="none" w:sz="0" w:space="0" w:color="auto"/>
                        <w:bottom w:val="none" w:sz="0" w:space="0" w:color="auto"/>
                        <w:right w:val="none" w:sz="0" w:space="0" w:color="auto"/>
                      </w:divBdr>
                      <w:divsChild>
                        <w:div w:id="86378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3806727">
      <w:bodyDiv w:val="1"/>
      <w:marLeft w:val="0"/>
      <w:marRight w:val="0"/>
      <w:marTop w:val="0"/>
      <w:marBottom w:val="0"/>
      <w:divBdr>
        <w:top w:val="none" w:sz="0" w:space="0" w:color="auto"/>
        <w:left w:val="none" w:sz="0" w:space="0" w:color="auto"/>
        <w:bottom w:val="none" w:sz="0" w:space="0" w:color="auto"/>
        <w:right w:val="none" w:sz="0" w:space="0" w:color="auto"/>
      </w:divBdr>
      <w:divsChild>
        <w:div w:id="1663580860">
          <w:marLeft w:val="0"/>
          <w:marRight w:val="0"/>
          <w:marTop w:val="100"/>
          <w:marBottom w:val="100"/>
          <w:divBdr>
            <w:top w:val="none" w:sz="0" w:space="0" w:color="auto"/>
            <w:left w:val="none" w:sz="0" w:space="0" w:color="auto"/>
            <w:bottom w:val="none" w:sz="0" w:space="0" w:color="auto"/>
            <w:right w:val="none" w:sz="0" w:space="0" w:color="auto"/>
          </w:divBdr>
          <w:divsChild>
            <w:div w:id="838234483">
              <w:marLeft w:val="0"/>
              <w:marRight w:val="0"/>
              <w:marTop w:val="0"/>
              <w:marBottom w:val="0"/>
              <w:divBdr>
                <w:top w:val="none" w:sz="0" w:space="0" w:color="auto"/>
                <w:left w:val="none" w:sz="0" w:space="0" w:color="auto"/>
                <w:bottom w:val="none" w:sz="0" w:space="0" w:color="auto"/>
                <w:right w:val="none" w:sz="0" w:space="0" w:color="auto"/>
              </w:divBdr>
              <w:divsChild>
                <w:div w:id="419840423">
                  <w:marLeft w:val="0"/>
                  <w:marRight w:val="0"/>
                  <w:marTop w:val="0"/>
                  <w:marBottom w:val="0"/>
                  <w:divBdr>
                    <w:top w:val="none" w:sz="0" w:space="0" w:color="auto"/>
                    <w:left w:val="none" w:sz="0" w:space="0" w:color="auto"/>
                    <w:bottom w:val="none" w:sz="0" w:space="0" w:color="auto"/>
                    <w:right w:val="none" w:sz="0" w:space="0" w:color="auto"/>
                  </w:divBdr>
                  <w:divsChild>
                    <w:div w:id="426972299">
                      <w:marLeft w:val="0"/>
                      <w:marRight w:val="0"/>
                      <w:marTop w:val="100"/>
                      <w:marBottom w:val="225"/>
                      <w:divBdr>
                        <w:top w:val="none" w:sz="0" w:space="0" w:color="auto"/>
                        <w:left w:val="none" w:sz="0" w:space="0" w:color="auto"/>
                        <w:bottom w:val="none" w:sz="0" w:space="0" w:color="auto"/>
                        <w:right w:val="none" w:sz="0" w:space="0" w:color="auto"/>
                      </w:divBdr>
                      <w:divsChild>
                        <w:div w:id="185784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aw.cornell.edu/uscode/html/uscode20/usc_sup_01_20_10_28_20_III_30_A.html" TargetMode="External"/><Relationship Id="rId18" Type="http://schemas.openxmlformats.org/officeDocument/2006/relationships/hyperlink" Target="http://www.law.cornell.edu/uscode/html/uscode20/usc_sup_01_20_10_28_20_V.html" TargetMode="External"/><Relationship Id="rId26" Type="http://schemas.openxmlformats.org/officeDocument/2006/relationships/hyperlink" Target="http://www.law.cornell.edu/uscode/html/uscode20/usc_sup_01_20_10_28_20_III_30_E.html" TargetMode="External"/><Relationship Id="rId39" Type="http://schemas.openxmlformats.org/officeDocument/2006/relationships/package" Target="embeddings/Microsoft_Excel_Worksheet1.xlsx"/><Relationship Id="rId3" Type="http://schemas.openxmlformats.org/officeDocument/2006/relationships/styles" Target="styles.xml"/><Relationship Id="rId21" Type="http://schemas.openxmlformats.org/officeDocument/2006/relationships/hyperlink" Target="http://www.law.cornell.edu/uscode/html/uscode20/usc_sup_01_20_10_28_20_III_30_F.html" TargetMode="External"/><Relationship Id="rId34" Type="http://schemas.openxmlformats.org/officeDocument/2006/relationships/hyperlink" Target="http://www.ecfr.gov/cgi-bin/text-idx?c=ecfr&amp;SID=086932763f55a79ee96960031ae55099&amp;rgn=div5&amp;view=text&amp;node=34:1.1.1.1.22&amp;idno=34"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law.cornell.edu/uscode/html/uscode20/usc_sec_20_00001063---b000-.html" TargetMode="External"/><Relationship Id="rId17" Type="http://schemas.openxmlformats.org/officeDocument/2006/relationships/hyperlink" Target="http://www.law.cornell.edu/uscode/html/uscode20/usc_sup_01_20_10_28_20_III_30_F.html" TargetMode="External"/><Relationship Id="rId25" Type="http://schemas.openxmlformats.org/officeDocument/2006/relationships/hyperlink" Target="http://www.law.cornell.edu/uscode/html/uscode20/usc_sup_01_20_10_28_20_III_30_F.html" TargetMode="External"/><Relationship Id="rId33" Type="http://schemas.openxmlformats.org/officeDocument/2006/relationships/hyperlink" Target="http://www.ecfr.gov/cgi-bin/text-idx?c=ecfr&amp;SID=086932763f55a79ee96960031ae55099&amp;rgn=div5&amp;view=text&amp;node=34:1.1.1.1.22&amp;idno=34" TargetMode="External"/><Relationship Id="rId38"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http://www.law.cornell.edu/uscode/html/uscode20/usc_sup_01_20_10_28_20_III_30_A.html" TargetMode="External"/><Relationship Id="rId20" Type="http://schemas.openxmlformats.org/officeDocument/2006/relationships/hyperlink" Target="http://www.law.cornell.edu/uscode/html/uscode20/usc_sup_01_20_10_28_20_III_30_A.html" TargetMode="External"/><Relationship Id="rId29" Type="http://schemas.openxmlformats.org/officeDocument/2006/relationships/hyperlink" Target="http://www.law.cornell.edu/uscode/html/uscode20/usc_sup_01_20_10_28_20_III_30_A.html"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aw.cornell.edu/uscode/html/uscode20/usc_sup_01_20_10_28_20_III_30_F.html" TargetMode="External"/><Relationship Id="rId24" Type="http://schemas.openxmlformats.org/officeDocument/2006/relationships/hyperlink" Target="http://www.law.cornell.edu/uscode/html/uscode20/usc_sup_01_20_10_28_20_III_30_A.html" TargetMode="External"/><Relationship Id="rId32" Type="http://schemas.openxmlformats.org/officeDocument/2006/relationships/hyperlink" Target="http://www.ecfr.gov/cgi-bin/text-idx?c=ecfr&amp;SID=086932763f55a79ee96960031ae55099&amp;rgn=div5&amp;view=text&amp;node=34:1.1.1.1.22&amp;idno=34" TargetMode="External"/><Relationship Id="rId37" Type="http://schemas.openxmlformats.org/officeDocument/2006/relationships/hyperlink" Target="https://apr.ed.gov" TargetMode="External"/><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law.cornell.edu/uscode/html/uscode20/usc_sup_01_20_10_28_20_V.html" TargetMode="External"/><Relationship Id="rId23" Type="http://schemas.openxmlformats.org/officeDocument/2006/relationships/hyperlink" Target="http://www.law.cornell.edu/uscode/html/uscode20/usc_sup_01_20_10_28_20_III_30_F.html" TargetMode="External"/><Relationship Id="rId28" Type="http://schemas.openxmlformats.org/officeDocument/2006/relationships/hyperlink" Target="http://www.law.cornell.edu/uscode/html/uscode20/usc_sup_01_20_10_28_20_III_30_F.html" TargetMode="External"/><Relationship Id="rId36" Type="http://schemas.openxmlformats.org/officeDocument/2006/relationships/hyperlink" Target="https://apr.ed.gov" TargetMode="External"/><Relationship Id="rId10" Type="http://schemas.openxmlformats.org/officeDocument/2006/relationships/hyperlink" Target="http://www.law.cornell.edu/uscode/html/uscode20/usc_sup_01_20_10_28_20_III_30_B.html" TargetMode="External"/><Relationship Id="rId19" Type="http://schemas.openxmlformats.org/officeDocument/2006/relationships/hyperlink" Target="http://www.law.cornell.edu/uscode/html/uscode20/usc_sec_20_00001067---q000-.html" TargetMode="External"/><Relationship Id="rId31" Type="http://schemas.openxmlformats.org/officeDocument/2006/relationships/hyperlink" Target="http://www.ecfr.gov/cgi-bin/text-idx?c=ecfr&amp;SID=e021e2bed5999e76b53d9d5e60e22370&amp;rgn=div5&amp;view=text&amp;node=34:1.1.1.1.21&amp;idno=34" TargetMode="External"/><Relationship Id="rId4" Type="http://schemas.microsoft.com/office/2007/relationships/stylesWithEffects" Target="stylesWithEffects.xml"/><Relationship Id="rId9" Type="http://schemas.openxmlformats.org/officeDocument/2006/relationships/hyperlink" Target="http://www.law.cornell.edu/uscode/html/uscode20/usc_sup_01_20_10_28_20_III_30_A.html" TargetMode="External"/><Relationship Id="rId14" Type="http://schemas.openxmlformats.org/officeDocument/2006/relationships/hyperlink" Target="http://www.law.cornell.edu/uscode/html/uscode20/usc_sup_01_20_10_28_20_III_30_F.html" TargetMode="External"/><Relationship Id="rId22" Type="http://schemas.openxmlformats.org/officeDocument/2006/relationships/hyperlink" Target="http://www.law.cornell.edu/uscode/html/uscode20/usc_sup_01_20_10_28_20_III_30_A.html" TargetMode="External"/><Relationship Id="rId27" Type="http://schemas.openxmlformats.org/officeDocument/2006/relationships/hyperlink" Target="http://www.law.cornell.edu/uscode/html/uscode20/usc_sup_01_20_10_28_20_III_30_A.html" TargetMode="External"/><Relationship Id="rId30" Type="http://schemas.openxmlformats.org/officeDocument/2006/relationships/hyperlink" Target="http://www.law.cornell.edu/uscode/html/uscode20/usc_sup_01_20_10_28_20_III_30_F.html" TargetMode="External"/><Relationship Id="rId35" Type="http://schemas.openxmlformats.org/officeDocument/2006/relationships/hyperlink" Target="http://www.ecfr.gov/cgi-bin/text-idx?c=ecfr&amp;SID=086932763f55a79ee96960031ae55099&amp;rgn=div5&amp;view=text&amp;node=34:1.1.1.1.22&amp;idno=34"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35A73-318B-42C1-889F-77A5ECA12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5202</Words>
  <Characters>29656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34789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Lauren M. Kennedy</cp:lastModifiedBy>
  <cp:revision>3</cp:revision>
  <cp:lastPrinted>2013-09-26T20:41:00Z</cp:lastPrinted>
  <dcterms:created xsi:type="dcterms:W3CDTF">2013-09-27T18:04:00Z</dcterms:created>
  <dcterms:modified xsi:type="dcterms:W3CDTF">2013-09-27T18:06:00Z</dcterms:modified>
</cp:coreProperties>
</file>