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874" w:rsidRDefault="0036066B" w:rsidP="00A602C5">
      <w:pPr>
        <w:pStyle w:val="NormalWeb"/>
        <w:spacing w:before="0" w:beforeAutospacing="0" w:after="0" w:afterAutospacing="0"/>
        <w:jc w:val="center"/>
        <w:rPr>
          <w:bCs/>
        </w:rPr>
      </w:pPr>
      <w:r w:rsidRPr="0036066B">
        <w:rPr>
          <w:b/>
        </w:rPr>
        <w:t>OCC Guidelines Establishing Heightened Standards for Certain Large Insured National Banks, Insured Federal Savings Associations, and Insured Federal Branches</w:t>
      </w:r>
    </w:p>
    <w:p w:rsidR="0036066B" w:rsidRDefault="0036066B" w:rsidP="00A602C5">
      <w:pPr>
        <w:pStyle w:val="NormalWeb"/>
        <w:spacing w:before="0" w:beforeAutospacing="0" w:after="0" w:afterAutospacing="0"/>
        <w:jc w:val="center"/>
        <w:rPr>
          <w:bCs/>
        </w:rPr>
      </w:pPr>
    </w:p>
    <w:p w:rsidR="00FC61AE" w:rsidRDefault="00FC61AE" w:rsidP="00A602C5">
      <w:pPr>
        <w:pStyle w:val="NormalWeb"/>
        <w:spacing w:before="0" w:beforeAutospacing="0" w:after="0" w:afterAutospacing="0"/>
        <w:jc w:val="center"/>
        <w:rPr>
          <w:rStyle w:val="trigger"/>
        </w:rPr>
      </w:pPr>
      <w:r w:rsidRPr="00772265">
        <w:rPr>
          <w:bCs/>
        </w:rPr>
        <w:t>Supporting Statement</w:t>
      </w:r>
      <w:r>
        <w:rPr>
          <w:bCs/>
        </w:rPr>
        <w:t xml:space="preserve"> A</w:t>
      </w:r>
      <w:r>
        <w:rPr>
          <w:rStyle w:val="trigger"/>
        </w:rPr>
        <w:t xml:space="preserve"> </w:t>
      </w:r>
    </w:p>
    <w:p w:rsidR="00A602C5" w:rsidRDefault="00920AC8" w:rsidP="00A602C5">
      <w:pPr>
        <w:pStyle w:val="NormalWeb"/>
        <w:spacing w:before="0" w:beforeAutospacing="0" w:after="0" w:afterAutospacing="0"/>
        <w:jc w:val="center"/>
        <w:rPr>
          <w:rStyle w:val="trigger"/>
        </w:rPr>
      </w:pPr>
      <w:r>
        <w:rPr>
          <w:rStyle w:val="trigger"/>
        </w:rPr>
        <w:t>1557</w:t>
      </w:r>
      <w:r w:rsidR="00A602C5">
        <w:rPr>
          <w:rStyle w:val="trigger"/>
        </w:rPr>
        <w:t>-</w:t>
      </w:r>
      <w:r w:rsidR="00D66ABA">
        <w:rPr>
          <w:rStyle w:val="trigger"/>
        </w:rPr>
        <w:t>New</w:t>
      </w:r>
    </w:p>
    <w:p w:rsidR="00A602C5" w:rsidRPr="00CC1FCC" w:rsidRDefault="00A602C5" w:rsidP="00CC1FCC">
      <w:pPr>
        <w:pStyle w:val="NormalWeb"/>
        <w:spacing w:before="0" w:beforeAutospacing="0" w:after="0" w:afterAutospacing="0"/>
        <w:jc w:val="center"/>
        <w:rPr>
          <w:bCs/>
        </w:rPr>
      </w:pPr>
      <w:r w:rsidRPr="00772265">
        <w:rPr>
          <w:bCs/>
        </w:rPr>
        <w:t xml:space="preserve"> </w:t>
      </w:r>
    </w:p>
    <w:p w:rsidR="00A602C5" w:rsidRDefault="00A602C5" w:rsidP="00A602C5">
      <w:pPr>
        <w:pStyle w:val="NormalWeb"/>
        <w:spacing w:before="0" w:beforeAutospacing="0" w:after="0" w:afterAutospacing="0" w:line="480" w:lineRule="auto"/>
      </w:pPr>
      <w:r>
        <w:rPr>
          <w:b/>
          <w:bCs/>
        </w:rPr>
        <w:t>A. Justification</w:t>
      </w:r>
    </w:p>
    <w:p w:rsidR="00A602C5" w:rsidRPr="002746DB" w:rsidRDefault="00A602C5" w:rsidP="00A602C5">
      <w:pPr>
        <w:numPr>
          <w:ilvl w:val="0"/>
          <w:numId w:val="1"/>
        </w:numPr>
        <w:spacing w:line="480" w:lineRule="auto"/>
        <w:rPr>
          <w:u w:val="single"/>
        </w:rPr>
      </w:pPr>
      <w:r w:rsidRPr="002746DB">
        <w:rPr>
          <w:u w:val="single"/>
        </w:rPr>
        <w:t xml:space="preserve">Circumstances Making the Collection of Information Necessary </w:t>
      </w:r>
    </w:p>
    <w:p w:rsidR="00C84B43" w:rsidRDefault="00FD0FB5" w:rsidP="00C84B43">
      <w:pPr>
        <w:autoSpaceDE w:val="0"/>
        <w:autoSpaceDN w:val="0"/>
        <w:adjustRightInd w:val="0"/>
        <w:ind w:left="720"/>
        <w:rPr>
          <w:rStyle w:val="documentbody1"/>
          <w:rFonts w:ascii="Times New Roman" w:hAnsi="Times New Roman"/>
          <w:sz w:val="24"/>
          <w:szCs w:val="24"/>
        </w:rPr>
      </w:pPr>
      <w:r>
        <w:rPr>
          <w:rStyle w:val="documentbody1"/>
          <w:rFonts w:ascii="Times New Roman" w:hAnsi="Times New Roman"/>
          <w:sz w:val="24"/>
          <w:szCs w:val="24"/>
        </w:rPr>
        <w:t>The OCC has issued proposed rules and guidelines, to be codified in</w:t>
      </w:r>
      <w:r w:rsidR="00BE2851">
        <w:rPr>
          <w:rStyle w:val="documentbody1"/>
          <w:rFonts w:ascii="Times New Roman" w:hAnsi="Times New Roman"/>
          <w:sz w:val="24"/>
          <w:szCs w:val="24"/>
        </w:rPr>
        <w:t xml:space="preserve"> 12 CFR p</w:t>
      </w:r>
      <w:r w:rsidR="00C84B43" w:rsidRPr="00C84B43">
        <w:rPr>
          <w:rStyle w:val="documentbody1"/>
          <w:rFonts w:ascii="Times New Roman" w:hAnsi="Times New Roman"/>
          <w:sz w:val="24"/>
          <w:szCs w:val="24"/>
        </w:rPr>
        <w:t>art 3</w:t>
      </w:r>
      <w:r>
        <w:rPr>
          <w:rStyle w:val="documentbody1"/>
          <w:rFonts w:ascii="Times New Roman" w:hAnsi="Times New Roman"/>
          <w:sz w:val="24"/>
          <w:szCs w:val="24"/>
        </w:rPr>
        <w:t>0, appendix D, to establish</w:t>
      </w:r>
      <w:r w:rsidR="00C84B43" w:rsidRPr="00C84B43">
        <w:rPr>
          <w:rStyle w:val="documentbody1"/>
          <w:rFonts w:ascii="Times New Roman" w:hAnsi="Times New Roman"/>
          <w:sz w:val="24"/>
          <w:szCs w:val="24"/>
        </w:rPr>
        <w:t xml:space="preserve"> minimum standards for the design and implementation of a risk governance framework for </w:t>
      </w:r>
      <w:r w:rsidR="00C84B43">
        <w:rPr>
          <w:rStyle w:val="documentbody1"/>
          <w:rFonts w:ascii="Times New Roman" w:hAnsi="Times New Roman"/>
          <w:sz w:val="24"/>
          <w:szCs w:val="24"/>
        </w:rPr>
        <w:t xml:space="preserve">large insured </w:t>
      </w:r>
      <w:r w:rsidR="00C84B43" w:rsidRPr="00C84B43">
        <w:rPr>
          <w:rStyle w:val="documentbody1"/>
          <w:rFonts w:ascii="Times New Roman" w:hAnsi="Times New Roman"/>
          <w:sz w:val="24"/>
          <w:szCs w:val="24"/>
        </w:rPr>
        <w:t xml:space="preserve">national banks, </w:t>
      </w:r>
      <w:r w:rsidR="00C84B43">
        <w:rPr>
          <w:rStyle w:val="documentbody1"/>
          <w:rFonts w:ascii="Times New Roman" w:hAnsi="Times New Roman"/>
          <w:sz w:val="24"/>
          <w:szCs w:val="24"/>
        </w:rPr>
        <w:t xml:space="preserve">insured </w:t>
      </w:r>
      <w:r w:rsidR="00C84B43" w:rsidRPr="00C84B43">
        <w:rPr>
          <w:rStyle w:val="documentbody1"/>
          <w:rFonts w:ascii="Times New Roman" w:hAnsi="Times New Roman"/>
          <w:sz w:val="24"/>
          <w:szCs w:val="24"/>
        </w:rPr>
        <w:t>Federal savings associations</w:t>
      </w:r>
      <w:r w:rsidR="00CB1818">
        <w:rPr>
          <w:rStyle w:val="documentbody1"/>
          <w:rFonts w:ascii="Times New Roman" w:hAnsi="Times New Roman"/>
          <w:sz w:val="24"/>
          <w:szCs w:val="24"/>
        </w:rPr>
        <w:t>,</w:t>
      </w:r>
      <w:r w:rsidR="00C84B43" w:rsidRPr="00C84B43">
        <w:rPr>
          <w:rStyle w:val="documentbody1"/>
          <w:rFonts w:ascii="Times New Roman" w:hAnsi="Times New Roman"/>
          <w:sz w:val="24"/>
          <w:szCs w:val="24"/>
        </w:rPr>
        <w:t xml:space="preserve"> and insured Federal branches of a foreign bank with average total consolidated assets equal to or greater than $50 billion</w:t>
      </w:r>
      <w:r w:rsidR="00BE2851">
        <w:rPr>
          <w:rStyle w:val="documentbody1"/>
          <w:rFonts w:ascii="Times New Roman" w:hAnsi="Times New Roman"/>
          <w:sz w:val="24"/>
          <w:szCs w:val="24"/>
        </w:rPr>
        <w:t xml:space="preserve"> as well as a minimum standards for a board of directors in overseeing the framework’s design and implementation</w:t>
      </w:r>
      <w:r>
        <w:rPr>
          <w:rStyle w:val="documentbody1"/>
          <w:rFonts w:ascii="Times New Roman" w:hAnsi="Times New Roman"/>
          <w:sz w:val="24"/>
          <w:szCs w:val="24"/>
        </w:rPr>
        <w:t>.</w:t>
      </w:r>
    </w:p>
    <w:p w:rsidR="00C84B43" w:rsidRDefault="00C84B43" w:rsidP="00C84B43">
      <w:pPr>
        <w:autoSpaceDE w:val="0"/>
        <w:autoSpaceDN w:val="0"/>
        <w:adjustRightInd w:val="0"/>
        <w:ind w:left="720"/>
        <w:rPr>
          <w:rStyle w:val="documentbody1"/>
          <w:rFonts w:ascii="Times New Roman" w:hAnsi="Times New Roman"/>
          <w:sz w:val="24"/>
          <w:szCs w:val="24"/>
        </w:rPr>
      </w:pPr>
    </w:p>
    <w:p w:rsidR="00C84B43" w:rsidRPr="00F639FA" w:rsidRDefault="00C84B43" w:rsidP="00C84B43">
      <w:pPr>
        <w:autoSpaceDE w:val="0"/>
        <w:autoSpaceDN w:val="0"/>
        <w:adjustRightInd w:val="0"/>
        <w:ind w:left="720"/>
        <w:rPr>
          <w:rStyle w:val="documentbody1"/>
          <w:rFonts w:ascii="Times New Roman" w:hAnsi="Times New Roman"/>
          <w:sz w:val="24"/>
          <w:szCs w:val="24"/>
        </w:rPr>
      </w:pPr>
      <w:r w:rsidRPr="00C84B43">
        <w:rPr>
          <w:rStyle w:val="documentbody1"/>
          <w:rFonts w:ascii="Times New Roman" w:hAnsi="Times New Roman"/>
          <w:sz w:val="24"/>
          <w:szCs w:val="24"/>
        </w:rPr>
        <w:t xml:space="preserve">The standards contained </w:t>
      </w:r>
      <w:r w:rsidR="00693BBF">
        <w:rPr>
          <w:rStyle w:val="documentbody1"/>
          <w:rFonts w:ascii="Times New Roman" w:hAnsi="Times New Roman"/>
          <w:sz w:val="24"/>
          <w:szCs w:val="24"/>
        </w:rPr>
        <w:t xml:space="preserve">in the </w:t>
      </w:r>
      <w:r w:rsidR="00FD0FB5">
        <w:rPr>
          <w:rStyle w:val="documentbody1"/>
          <w:rFonts w:ascii="Times New Roman" w:hAnsi="Times New Roman"/>
          <w:sz w:val="24"/>
          <w:szCs w:val="24"/>
        </w:rPr>
        <w:t>guidelines</w:t>
      </w:r>
      <w:r w:rsidRPr="00C84B43">
        <w:rPr>
          <w:rStyle w:val="documentbody1"/>
          <w:rFonts w:ascii="Times New Roman" w:hAnsi="Times New Roman"/>
          <w:sz w:val="24"/>
          <w:szCs w:val="24"/>
        </w:rPr>
        <w:t xml:space="preserve"> would be enforceable </w:t>
      </w:r>
      <w:r>
        <w:rPr>
          <w:rStyle w:val="documentbody1"/>
          <w:rFonts w:ascii="Times New Roman" w:hAnsi="Times New Roman"/>
          <w:sz w:val="24"/>
          <w:szCs w:val="24"/>
        </w:rPr>
        <w:t>under section 39 of the Federal Deposit Insurance Act (FDIA)</w:t>
      </w:r>
      <w:r>
        <w:rPr>
          <w:rStyle w:val="FootnoteReference"/>
        </w:rPr>
        <w:footnoteReference w:id="1"/>
      </w:r>
      <w:r>
        <w:rPr>
          <w:rStyle w:val="documentbody1"/>
          <w:rFonts w:ascii="Times New Roman" w:hAnsi="Times New Roman"/>
          <w:sz w:val="24"/>
          <w:szCs w:val="24"/>
        </w:rPr>
        <w:t>, which</w:t>
      </w:r>
      <w:r w:rsidRPr="00C84B43">
        <w:rPr>
          <w:rStyle w:val="documentbody1"/>
          <w:rFonts w:ascii="Times New Roman" w:hAnsi="Times New Roman"/>
          <w:sz w:val="24"/>
          <w:szCs w:val="24"/>
        </w:rPr>
        <w:t xml:space="preserve"> authorizes the OCC to prescribe operational and managerial standards for </w:t>
      </w:r>
      <w:r w:rsidR="00693BBF">
        <w:rPr>
          <w:rStyle w:val="documentbody1"/>
          <w:rFonts w:ascii="Times New Roman" w:hAnsi="Times New Roman"/>
          <w:sz w:val="24"/>
          <w:szCs w:val="24"/>
        </w:rPr>
        <w:t xml:space="preserve">insured </w:t>
      </w:r>
      <w:r w:rsidRPr="00C84B43">
        <w:rPr>
          <w:rStyle w:val="documentbody1"/>
          <w:rFonts w:ascii="Times New Roman" w:hAnsi="Times New Roman"/>
          <w:sz w:val="24"/>
          <w:szCs w:val="24"/>
        </w:rPr>
        <w:t>national banks</w:t>
      </w:r>
      <w:r w:rsidR="00A43855">
        <w:rPr>
          <w:rStyle w:val="documentbody1"/>
          <w:rFonts w:ascii="Times New Roman" w:hAnsi="Times New Roman"/>
          <w:sz w:val="24"/>
          <w:szCs w:val="24"/>
        </w:rPr>
        <w:t>,</w:t>
      </w:r>
      <w:r w:rsidR="00A43855" w:rsidRPr="00C84B43">
        <w:rPr>
          <w:rStyle w:val="documentbody1"/>
          <w:rFonts w:ascii="Times New Roman" w:hAnsi="Times New Roman"/>
          <w:sz w:val="24"/>
          <w:szCs w:val="24"/>
        </w:rPr>
        <w:t xml:space="preserve"> insured</w:t>
      </w:r>
      <w:r w:rsidR="00693BBF">
        <w:rPr>
          <w:rStyle w:val="documentbody1"/>
          <w:rFonts w:ascii="Times New Roman" w:hAnsi="Times New Roman"/>
          <w:sz w:val="24"/>
          <w:szCs w:val="24"/>
        </w:rPr>
        <w:t xml:space="preserve"> </w:t>
      </w:r>
      <w:r w:rsidRPr="00C84B43">
        <w:rPr>
          <w:rStyle w:val="documentbody1"/>
          <w:rFonts w:ascii="Times New Roman" w:hAnsi="Times New Roman"/>
          <w:sz w:val="24"/>
          <w:szCs w:val="24"/>
        </w:rPr>
        <w:t>Federal savings associations</w:t>
      </w:r>
      <w:r w:rsidR="00693BBF">
        <w:rPr>
          <w:rStyle w:val="documentbody1"/>
          <w:rFonts w:ascii="Times New Roman" w:hAnsi="Times New Roman"/>
          <w:sz w:val="24"/>
          <w:szCs w:val="24"/>
        </w:rPr>
        <w:t>, and insured Federal branches of a foreign bank</w:t>
      </w:r>
      <w:r w:rsidRPr="00C84B43">
        <w:rPr>
          <w:rStyle w:val="documentbody1"/>
          <w:rFonts w:ascii="Times New Roman" w:hAnsi="Times New Roman"/>
          <w:sz w:val="24"/>
          <w:szCs w:val="24"/>
        </w:rPr>
        <w:t>.</w:t>
      </w:r>
    </w:p>
    <w:p w:rsidR="002C113F" w:rsidRPr="00EA7A1B" w:rsidRDefault="002C113F" w:rsidP="002C113F">
      <w:pPr>
        <w:ind w:firstLine="720"/>
      </w:pPr>
    </w:p>
    <w:p w:rsidR="00934D67" w:rsidRPr="00934D67" w:rsidRDefault="00A602C5" w:rsidP="000F1BE3">
      <w:pPr>
        <w:numPr>
          <w:ilvl w:val="0"/>
          <w:numId w:val="1"/>
        </w:numPr>
        <w:rPr>
          <w:u w:val="single"/>
        </w:rPr>
      </w:pPr>
      <w:r w:rsidRPr="00483C2B">
        <w:rPr>
          <w:u w:val="single"/>
        </w:rPr>
        <w:t xml:space="preserve">Purpose and Use of the Information Collection </w:t>
      </w:r>
    </w:p>
    <w:p w:rsidR="00BE2851" w:rsidRDefault="00BE2851" w:rsidP="00BE2851">
      <w:pPr>
        <w:tabs>
          <w:tab w:val="left" w:pos="0"/>
        </w:tabs>
        <w:autoSpaceDE w:val="0"/>
        <w:autoSpaceDN w:val="0"/>
        <w:adjustRightInd w:val="0"/>
        <w:ind w:left="720"/>
      </w:pPr>
    </w:p>
    <w:p w:rsidR="00BE2851" w:rsidRDefault="00BE2851" w:rsidP="00BE2851">
      <w:pPr>
        <w:tabs>
          <w:tab w:val="left" w:pos="0"/>
        </w:tabs>
        <w:autoSpaceDE w:val="0"/>
        <w:autoSpaceDN w:val="0"/>
        <w:adjustRightInd w:val="0"/>
        <w:ind w:left="720"/>
      </w:pPr>
      <w:r w:rsidRPr="00BE2851">
        <w:t>Following the financial cris</w:t>
      </w:r>
      <w:r>
        <w:t xml:space="preserve">is, the OCC developed a set of </w:t>
      </w:r>
      <w:r w:rsidRPr="00BE2851">
        <w:rPr>
          <w:i/>
        </w:rPr>
        <w:t>heightened expectations</w:t>
      </w:r>
      <w:r>
        <w:t xml:space="preserve"> to enhance</w:t>
      </w:r>
      <w:r w:rsidRPr="00BE2851">
        <w:t xml:space="preserve"> supervision and strengthen the</w:t>
      </w:r>
      <w:r>
        <w:t xml:space="preserve"> governance and risk management</w:t>
      </w:r>
      <w:r w:rsidRPr="00BE2851">
        <w:t xml:space="preserve"> practices of </w:t>
      </w:r>
      <w:r w:rsidR="00A43855">
        <w:t xml:space="preserve">large </w:t>
      </w:r>
      <w:r w:rsidR="00A43855" w:rsidRPr="00BE2851">
        <w:t>national</w:t>
      </w:r>
      <w:r w:rsidRPr="00BE2851">
        <w:t xml:space="preserve"> banks</w:t>
      </w:r>
      <w:r>
        <w:t xml:space="preserve">. </w:t>
      </w:r>
    </w:p>
    <w:p w:rsidR="00BE2851" w:rsidRDefault="00BE2851" w:rsidP="00BE2851">
      <w:pPr>
        <w:tabs>
          <w:tab w:val="left" w:pos="0"/>
        </w:tabs>
        <w:autoSpaceDE w:val="0"/>
        <w:autoSpaceDN w:val="0"/>
        <w:adjustRightInd w:val="0"/>
        <w:ind w:left="720"/>
      </w:pPr>
    </w:p>
    <w:p w:rsidR="00BE2851" w:rsidRDefault="00FD0FB5" w:rsidP="00BE2851">
      <w:pPr>
        <w:tabs>
          <w:tab w:val="left" w:pos="0"/>
        </w:tabs>
        <w:autoSpaceDE w:val="0"/>
        <w:autoSpaceDN w:val="0"/>
        <w:adjustRightInd w:val="0"/>
        <w:ind w:left="720"/>
      </w:pPr>
      <w:r>
        <w:t xml:space="preserve">The </w:t>
      </w:r>
      <w:r w:rsidR="00A43855">
        <w:t>proposed guidelines</w:t>
      </w:r>
      <w:r w:rsidR="008D7FEC">
        <w:t xml:space="preserve"> </w:t>
      </w:r>
      <w:r w:rsidR="00BE2851">
        <w:t xml:space="preserve">would formalize </w:t>
      </w:r>
      <w:r w:rsidR="00470EC5">
        <w:t xml:space="preserve">the </w:t>
      </w:r>
      <w:r w:rsidR="00A43855">
        <w:t>OCC’s heightened</w:t>
      </w:r>
      <w:r w:rsidR="008D7FEC">
        <w:t xml:space="preserve"> expectations program</w:t>
      </w:r>
      <w:r w:rsidR="005E489E">
        <w:t>.  This would</w:t>
      </w:r>
      <w:r w:rsidR="005B674B">
        <w:t xml:space="preserve">, </w:t>
      </w:r>
      <w:r w:rsidR="008D7FEC">
        <w:t>further</w:t>
      </w:r>
      <w:r w:rsidR="00BE2851" w:rsidRPr="00BE2851">
        <w:t xml:space="preserve"> the goal of the </w:t>
      </w:r>
      <w:r w:rsidR="00CB1818">
        <w:t>Dodd-Frank Wall Street Reform and Consumer Protection Act of 2010</w:t>
      </w:r>
      <w:r w:rsidR="00CB1818">
        <w:rPr>
          <w:rStyle w:val="FootnoteReference"/>
        </w:rPr>
        <w:footnoteReference w:id="2"/>
      </w:r>
      <w:r w:rsidR="00A3034C">
        <w:t xml:space="preserve"> </w:t>
      </w:r>
      <w:r w:rsidR="00BE2851" w:rsidRPr="00BE2851">
        <w:t>to strengthen the financial system by focusing management and boards of directors on improving</w:t>
      </w:r>
      <w:r w:rsidR="005B674B">
        <w:t xml:space="preserve"> and</w:t>
      </w:r>
      <w:r w:rsidR="00BE2851">
        <w:t xml:space="preserve"> </w:t>
      </w:r>
      <w:r w:rsidR="00BE2851" w:rsidRPr="00BE2851">
        <w:t xml:space="preserve">strengthening risk management practices and governance, thereby minimizing the probability and impact of future crises.  </w:t>
      </w:r>
    </w:p>
    <w:p w:rsidR="00BE2851" w:rsidRDefault="00BE2851" w:rsidP="00BE2851">
      <w:pPr>
        <w:tabs>
          <w:tab w:val="left" w:pos="0"/>
        </w:tabs>
        <w:autoSpaceDE w:val="0"/>
        <w:autoSpaceDN w:val="0"/>
        <w:adjustRightInd w:val="0"/>
        <w:ind w:left="720"/>
      </w:pPr>
    </w:p>
    <w:p w:rsidR="00BE2851" w:rsidRPr="00BE2851" w:rsidRDefault="00CB1818" w:rsidP="00BE2851">
      <w:pPr>
        <w:tabs>
          <w:tab w:val="left" w:pos="0"/>
        </w:tabs>
        <w:autoSpaceDE w:val="0"/>
        <w:autoSpaceDN w:val="0"/>
        <w:adjustRightInd w:val="0"/>
        <w:ind w:left="720"/>
      </w:pPr>
      <w:r>
        <w:t>T</w:t>
      </w:r>
      <w:r w:rsidR="00BE2851" w:rsidRPr="00BE2851">
        <w:t>he standards</w:t>
      </w:r>
      <w:r w:rsidR="00BE2851">
        <w:t xml:space="preserve"> for the design and implementation of the </w:t>
      </w:r>
      <w:r w:rsidR="00C1118E">
        <w:t>proposed guidelines</w:t>
      </w:r>
      <w:r w:rsidR="008D7FEC">
        <w:t>, which</w:t>
      </w:r>
      <w:r w:rsidR="00BE2851">
        <w:t xml:space="preserve"> contain collections of </w:t>
      </w:r>
      <w:r w:rsidR="00C1118E">
        <w:t>information, are</w:t>
      </w:r>
      <w:r w:rsidR="001A4B13">
        <w:t xml:space="preserve"> set forth below</w:t>
      </w:r>
      <w:r w:rsidR="00BE2851">
        <w:t>.</w:t>
      </w:r>
    </w:p>
    <w:p w:rsidR="008D7FEC" w:rsidRDefault="00BE2851" w:rsidP="008D7FEC">
      <w:pPr>
        <w:tabs>
          <w:tab w:val="left" w:pos="0"/>
        </w:tabs>
        <w:autoSpaceDE w:val="0"/>
        <w:autoSpaceDN w:val="0"/>
        <w:adjustRightInd w:val="0"/>
      </w:pPr>
      <w:r w:rsidRPr="00620F48">
        <w:tab/>
      </w:r>
    </w:p>
    <w:p w:rsidR="00BE2851" w:rsidRPr="00BE2851" w:rsidRDefault="00BE2851" w:rsidP="001409F7">
      <w:pPr>
        <w:ind w:left="720"/>
      </w:pPr>
      <w:r w:rsidRPr="00BE2851">
        <w:rPr>
          <w:b/>
        </w:rPr>
        <w:t>Standards for Risk Governance Framework</w:t>
      </w:r>
      <w:r>
        <w:br/>
      </w:r>
      <w:r>
        <w:br/>
      </w:r>
      <w:r w:rsidRPr="00620F48">
        <w:rPr>
          <w:u w:val="single"/>
        </w:rPr>
        <w:t>Front Line Units</w:t>
      </w:r>
    </w:p>
    <w:p w:rsidR="00BC3612" w:rsidRDefault="00BC3612" w:rsidP="00BE2851">
      <w:pPr>
        <w:pStyle w:val="ListParagraph"/>
        <w:ind w:firstLine="720"/>
        <w:rPr>
          <w:u w:val="single"/>
        </w:rPr>
      </w:pPr>
    </w:p>
    <w:p w:rsidR="00BE2851" w:rsidRDefault="00BE2851" w:rsidP="00BC3612">
      <w:pPr>
        <w:pStyle w:val="ListParagraph"/>
      </w:pPr>
      <w:r w:rsidRPr="00620F48">
        <w:t xml:space="preserve">Banks are required to establish and adhere to a formal, written risk governance framework that </w:t>
      </w:r>
      <w:proofErr w:type="gramStart"/>
      <w:r w:rsidRPr="00620F48">
        <w:t xml:space="preserve">is designed by independent risk management, approved by the board of </w:t>
      </w:r>
      <w:r w:rsidRPr="00620F48">
        <w:lastRenderedPageBreak/>
        <w:t>directors or risk committee, and reviewed and updated annually by independent risk management</w:t>
      </w:r>
      <w:r w:rsidR="00607FB1">
        <w:t xml:space="preserve"> (Framework)</w:t>
      </w:r>
      <w:proofErr w:type="gramEnd"/>
      <w:r w:rsidRPr="00620F48">
        <w:t xml:space="preserve">. </w:t>
      </w:r>
    </w:p>
    <w:p w:rsidR="00BE2851" w:rsidRPr="00620F48" w:rsidRDefault="00BE2851" w:rsidP="00BE2851">
      <w:pPr>
        <w:pStyle w:val="ListParagraph"/>
        <w:ind w:firstLine="720"/>
      </w:pPr>
    </w:p>
    <w:p w:rsidR="00BE2851" w:rsidRDefault="00BE2851" w:rsidP="00BE2851">
      <w:pPr>
        <w:pStyle w:val="ListParagraph"/>
        <w:ind w:left="0" w:firstLine="720"/>
        <w:rPr>
          <w:u w:val="single"/>
        </w:rPr>
      </w:pPr>
      <w:r w:rsidRPr="00620F48">
        <w:rPr>
          <w:u w:val="single"/>
        </w:rPr>
        <w:t>Independent Risk Management</w:t>
      </w:r>
    </w:p>
    <w:p w:rsidR="00BE2851" w:rsidRPr="00620F48" w:rsidRDefault="00BE2851" w:rsidP="00BE2851">
      <w:pPr>
        <w:pStyle w:val="ListParagraph"/>
        <w:ind w:left="0" w:firstLine="720"/>
        <w:rPr>
          <w:u w:val="single"/>
        </w:rPr>
      </w:pPr>
    </w:p>
    <w:p w:rsidR="00BE2851" w:rsidRDefault="00BE2851" w:rsidP="00BC3612">
      <w:pPr>
        <w:pStyle w:val="ListParagraph"/>
      </w:pPr>
      <w:proofErr w:type="gramStart"/>
      <w:r w:rsidRPr="00620F48">
        <w:t xml:space="preserve">Independent risk management should oversee the bank’s risk-taking activities and assess risks and issues independent of the Chief Executive Officer </w:t>
      </w:r>
      <w:r w:rsidR="00607FB1">
        <w:t xml:space="preserve">(CEO) </w:t>
      </w:r>
      <w:r w:rsidRPr="00620F48">
        <w:t>and front line units by: (</w:t>
      </w:r>
      <w:proofErr w:type="spellStart"/>
      <w:r w:rsidRPr="00620F48">
        <w:t>i</w:t>
      </w:r>
      <w:proofErr w:type="spellEnd"/>
      <w:r w:rsidRPr="00620F48">
        <w:t xml:space="preserve">) designing a comprehensive written </w:t>
      </w:r>
      <w:r w:rsidR="00607FB1">
        <w:t>F</w:t>
      </w:r>
      <w:r w:rsidRPr="00620F48">
        <w:t xml:space="preserve">ramework commensurate with the size, complexity, and risk profile of the bank; (ii) identifying and assessing, on an ongoing basis, the bank’s material aggregate risks; (iii) establishing and adhering to enterprise policies that include concentration risk limits; (iv) establishing and adhering to procedures and processes, to ensure compliance with </w:t>
      </w:r>
      <w:r w:rsidR="00025C0F">
        <w:t xml:space="preserve">enterprise </w:t>
      </w:r>
      <w:r w:rsidRPr="00620F48">
        <w:t xml:space="preserve">policies; (v) ensuring that front line units meet </w:t>
      </w:r>
      <w:r w:rsidR="00025C0F">
        <w:t>the</w:t>
      </w:r>
      <w:r w:rsidR="00025C0F" w:rsidRPr="00620F48">
        <w:t xml:space="preserve"> </w:t>
      </w:r>
      <w:r w:rsidRPr="00620F48">
        <w:t>standards</w:t>
      </w:r>
      <w:r w:rsidR="00025C0F">
        <w:t xml:space="preserve"> specified for such units</w:t>
      </w:r>
      <w:r w:rsidRPr="00620F48">
        <w:t xml:space="preserve">; (vi) identifying and communicating to the CEO and board of directors or risk committee material risks and significant instances where independent risk management’s assessment of risk differs from that of a front line unit, and significant instances where a front line unit is not adhering to the </w:t>
      </w:r>
      <w:r w:rsidR="00607FB1">
        <w:t>F</w:t>
      </w:r>
      <w:r w:rsidRPr="00620F48">
        <w:t xml:space="preserve">ramework; (vii) identifying and communicating to the board of directors or risk committee material risks and significant instances where independent risk management’s assessment of risk differs from the CEO and significant instances where the CEO is not adhering to, or holding front line units accountable for adhering to, the </w:t>
      </w:r>
      <w:r w:rsidR="00607FB1">
        <w:t>F</w:t>
      </w:r>
      <w:r w:rsidRPr="00620F48">
        <w:t>ramework; (viii) developing, attracting, and retaining talent and maintain</w:t>
      </w:r>
      <w:r w:rsidR="00025C0F">
        <w:t>ing</w:t>
      </w:r>
      <w:r w:rsidRPr="00620F48">
        <w:t xml:space="preserve"> staffing levels required to carry out the unit’s role and responsibilities effectively</w:t>
      </w:r>
      <w:r w:rsidR="00686F14">
        <w:t>; and (ix)</w:t>
      </w:r>
      <w:r w:rsidRPr="00620F48">
        <w:t xml:space="preserve"> establishing and adhering to talent management processes and compensation and performance management programs.</w:t>
      </w:r>
      <w:proofErr w:type="gramEnd"/>
    </w:p>
    <w:p w:rsidR="00BE2851" w:rsidRPr="00620F48" w:rsidRDefault="00BE2851" w:rsidP="00BE2851">
      <w:pPr>
        <w:pStyle w:val="ListParagraph"/>
        <w:ind w:firstLine="720"/>
      </w:pPr>
    </w:p>
    <w:p w:rsidR="00421451" w:rsidRDefault="00BE2851" w:rsidP="00421451">
      <w:pPr>
        <w:pStyle w:val="ListParagraph"/>
        <w:ind w:left="0" w:firstLine="720"/>
        <w:rPr>
          <w:u w:val="single"/>
        </w:rPr>
      </w:pPr>
      <w:r w:rsidRPr="00620F48">
        <w:rPr>
          <w:u w:val="single"/>
        </w:rPr>
        <w:t>Internal Audit</w:t>
      </w:r>
    </w:p>
    <w:p w:rsidR="00421451" w:rsidRDefault="00421451" w:rsidP="00421451">
      <w:pPr>
        <w:pStyle w:val="ListParagraph"/>
        <w:ind w:left="0" w:firstLine="720"/>
        <w:rPr>
          <w:u w:val="single"/>
        </w:rPr>
      </w:pPr>
    </w:p>
    <w:p w:rsidR="00421451" w:rsidRDefault="00BE2851" w:rsidP="00C1118E">
      <w:pPr>
        <w:pStyle w:val="ListParagraph"/>
      </w:pPr>
      <w:r w:rsidRPr="00620F48">
        <w:t xml:space="preserve">Internal audit should ensure that the bank’s </w:t>
      </w:r>
      <w:r w:rsidR="00607FB1">
        <w:t>F</w:t>
      </w:r>
      <w:r w:rsidRPr="00620F48">
        <w:t xml:space="preserve">ramework complies with the </w:t>
      </w:r>
      <w:r w:rsidR="00607FB1">
        <w:t>g</w:t>
      </w:r>
      <w:r w:rsidRPr="00620F48">
        <w:t>uidelines and is appropriate for the size, complexity,</w:t>
      </w:r>
      <w:r w:rsidR="00C1118E">
        <w:t xml:space="preserve"> and risk profile of the bank. </w:t>
      </w:r>
      <w:r w:rsidRPr="00620F48">
        <w:t>It should maintain a complete and current inventory of all of the bank’s material businesses, product lines, services, and functions, and assess the risks associated with each, which collectively provide a basis for the audit plan.  It should establish and adhere to an audit plan, updated at least quarterly, that takes into account the bank’s risk profile, emerging risks</w:t>
      </w:r>
      <w:r w:rsidR="003D23D2">
        <w:t>,</w:t>
      </w:r>
      <w:r w:rsidRPr="00620F48">
        <w:t xml:space="preserve"> and issues.  The audit plan should require internal audit to evaluate the adequacy of and compliance with policies, procedures, and processes established by front line units and independent risk management under the </w:t>
      </w:r>
      <w:r w:rsidR="00647862">
        <w:t>F</w:t>
      </w:r>
      <w:r w:rsidRPr="00620F48">
        <w:t xml:space="preserve">ramework.  </w:t>
      </w:r>
      <w:r w:rsidR="00421451">
        <w:tab/>
      </w:r>
    </w:p>
    <w:p w:rsidR="008D7FEC" w:rsidRDefault="008D7FEC" w:rsidP="008D7FEC">
      <w:pPr>
        <w:pStyle w:val="ListParagraph"/>
        <w:ind w:firstLine="720"/>
      </w:pPr>
    </w:p>
    <w:p w:rsidR="00BE2851" w:rsidRPr="00421451" w:rsidRDefault="00BE2851" w:rsidP="008D7FEC">
      <w:pPr>
        <w:pStyle w:val="ListParagraph"/>
        <w:rPr>
          <w:u w:val="single"/>
        </w:rPr>
      </w:pPr>
      <w:r w:rsidRPr="00620F48">
        <w:t>Changes to the audit plan should be communicated to the board</w:t>
      </w:r>
      <w:r w:rsidR="00D72F7C">
        <w:t xml:space="preserve"> of director</w:t>
      </w:r>
      <w:r w:rsidRPr="00620F48">
        <w:t xml:space="preserve">’s audit committee.  Internal audit should report in writing, conclusions, issues, and recommendations from audit work carried out under the audit plan to the audit committee.  Reports should identify the root cause of any issue and include: (i) a determination of whether the root cause creates an issue that has an impact on one organizational unit or multiple organizational units within the bank; and (ii) a determination of the effectiveness of front line units and independent risk management in identifying and resolving issues in a timely manner.  Internal audit should establish and adhere to processes for independently assessing the design and effectiveness of the </w:t>
      </w:r>
      <w:r w:rsidR="00647862">
        <w:lastRenderedPageBreak/>
        <w:t>F</w:t>
      </w:r>
      <w:r w:rsidRPr="00620F48">
        <w:t xml:space="preserve">ramework on at least an annual basis.  The independent assessment should include a conclusion on the bank’s compliance with the standards set forth in the </w:t>
      </w:r>
      <w:r w:rsidR="00647862">
        <w:t>g</w:t>
      </w:r>
      <w:r w:rsidRPr="00620F48">
        <w:t xml:space="preserve">uidelines and the degree to which the bank’s </w:t>
      </w:r>
      <w:r w:rsidR="00647862">
        <w:t>F</w:t>
      </w:r>
      <w:r w:rsidRPr="00620F48">
        <w:t xml:space="preserve">ramework is consistent with leading industry practices.  Internal audit should identify and communicate to the board of directors or audit committee significant instances where front line units or independent risk management are not adhering to the </w:t>
      </w:r>
      <w:r w:rsidR="00647862">
        <w:t>F</w:t>
      </w:r>
      <w:r w:rsidRPr="00620F48">
        <w:t>ramework.  Internal audit should establish a quality assurance department that ensures internal audit’s policies, procedures, and processes comply with applicable regulatory and industry guidance, are appropriate for the size, complexity, and risk profile of the bank, are updated to reflect changes to internal and external risk factors, and are consistently followed.  Internal audit should develop, attract, and retain talent and maintain staffing levels required to effectively carry out the unit’s role and responsibilities.  Internal audit should establish and adhere to talent management processes.  Internal audit should establish and adhere to compensation and performance management programs.</w:t>
      </w:r>
      <w:r w:rsidRPr="00620F48">
        <w:tab/>
        <w:t xml:space="preserve">  </w:t>
      </w:r>
    </w:p>
    <w:p w:rsidR="00BE2851" w:rsidRPr="00620F48" w:rsidRDefault="00BE2851" w:rsidP="00421451">
      <w:pPr>
        <w:pStyle w:val="ListParagraph"/>
        <w:ind w:firstLine="720"/>
      </w:pPr>
    </w:p>
    <w:p w:rsidR="00BE2851" w:rsidRDefault="00BE2851" w:rsidP="00BE2851">
      <w:pPr>
        <w:pStyle w:val="ListParagraph"/>
        <w:ind w:left="0"/>
        <w:rPr>
          <w:u w:val="single"/>
        </w:rPr>
      </w:pPr>
      <w:r w:rsidRPr="00620F48">
        <w:tab/>
      </w:r>
      <w:r w:rsidRPr="00620F48">
        <w:rPr>
          <w:u w:val="single"/>
        </w:rPr>
        <w:t>Concentration Risk Management</w:t>
      </w:r>
    </w:p>
    <w:p w:rsidR="00BE2851" w:rsidRPr="00BE2851" w:rsidRDefault="00BE2851" w:rsidP="00BE2851">
      <w:pPr>
        <w:pStyle w:val="ListParagraph"/>
        <w:ind w:left="0"/>
      </w:pPr>
    </w:p>
    <w:p w:rsidR="00BE2851" w:rsidRDefault="00BE2851" w:rsidP="00BE2851">
      <w:pPr>
        <w:pStyle w:val="ListParagraph"/>
      </w:pPr>
      <w:r w:rsidRPr="00620F48">
        <w:t xml:space="preserve">The </w:t>
      </w:r>
      <w:r w:rsidR="00647862">
        <w:t>F</w:t>
      </w:r>
      <w:r w:rsidRPr="00620F48">
        <w:t xml:space="preserve">ramework should include policies and supporting processes appropriate for the bank’s size, complexity, and risk profile for effectively identifying, measuring, monitoring, and controlling the bank’s concentration of risk.  </w:t>
      </w:r>
    </w:p>
    <w:p w:rsidR="00BE2851" w:rsidRPr="00620F48" w:rsidRDefault="00BE2851" w:rsidP="00BE2851">
      <w:pPr>
        <w:pStyle w:val="ListParagraph"/>
      </w:pPr>
    </w:p>
    <w:p w:rsidR="00BE2851" w:rsidRDefault="00BE2851" w:rsidP="00BE2851">
      <w:pPr>
        <w:pStyle w:val="ListParagraph"/>
        <w:ind w:left="0"/>
        <w:rPr>
          <w:u w:val="single"/>
        </w:rPr>
      </w:pPr>
      <w:r w:rsidRPr="00620F48">
        <w:tab/>
      </w:r>
      <w:r w:rsidRPr="00620F48">
        <w:rPr>
          <w:u w:val="single"/>
        </w:rPr>
        <w:t>Risk Data Aggregation and Reporting</w:t>
      </w:r>
    </w:p>
    <w:p w:rsidR="00BE2851" w:rsidRPr="00620F48" w:rsidRDefault="00BE2851" w:rsidP="00BE2851">
      <w:pPr>
        <w:pStyle w:val="ListParagraph"/>
        <w:ind w:left="0"/>
        <w:rPr>
          <w:u w:val="single"/>
        </w:rPr>
      </w:pPr>
    </w:p>
    <w:p w:rsidR="00BE2851" w:rsidRDefault="00BE2851" w:rsidP="00BE2851">
      <w:pPr>
        <w:pStyle w:val="ListParagraph"/>
      </w:pPr>
      <w:r w:rsidRPr="00620F48">
        <w:t>Th</w:t>
      </w:r>
      <w:r w:rsidR="00647862">
        <w:t>e</w:t>
      </w:r>
      <w:r w:rsidRPr="00620F48">
        <w:t xml:space="preserve"> </w:t>
      </w:r>
      <w:r w:rsidR="00647862">
        <w:t>F</w:t>
      </w:r>
      <w:r w:rsidRPr="00620F48">
        <w:t xml:space="preserve">ramework should include a set of policies, supported by appropriate procedures and processes, designed to ensure that the bank’s risk data aggregation and reporting capabilities are appropriate for its size, complexity, and risk profile and support supervisory reporting requirements. </w:t>
      </w:r>
      <w:r w:rsidR="0071744B">
        <w:t xml:space="preserve"> </w:t>
      </w:r>
      <w:proofErr w:type="gramStart"/>
      <w:r w:rsidRPr="00620F48">
        <w:t>Collectively, these policies, procedures, and processes should provide for: (</w:t>
      </w:r>
      <w:proofErr w:type="spellStart"/>
      <w:r w:rsidRPr="00620F48">
        <w:t>i</w:t>
      </w:r>
      <w:proofErr w:type="spellEnd"/>
      <w:r w:rsidRPr="00620F48">
        <w:t xml:space="preserve">) the design, implementation, and maintenance of a data architecture and information technology infrastructure that supports the bank’s risk aggregation and reporting needs during normal times and during times of stress;  (ii) the capturing and aggregating of risk data and reporting of material risks, concentrations, and emerging risks in a timely manner to the board of directors and the OCC; and (iii) </w:t>
      </w:r>
      <w:r w:rsidR="0071744B">
        <w:t>t</w:t>
      </w:r>
      <w:r w:rsidRPr="00620F48">
        <w:t>he distribution of risk reports to all relevant parties at a frequency that meets their needs for decision-making purposes.</w:t>
      </w:r>
      <w:proofErr w:type="gramEnd"/>
    </w:p>
    <w:p w:rsidR="00BE2851" w:rsidRPr="00BE2851" w:rsidRDefault="00BE2851" w:rsidP="00BE2851">
      <w:pPr>
        <w:pStyle w:val="ListParagraph"/>
      </w:pPr>
    </w:p>
    <w:p w:rsidR="00A602C5" w:rsidRDefault="00A602C5" w:rsidP="00A602C5">
      <w:pPr>
        <w:numPr>
          <w:ilvl w:val="0"/>
          <w:numId w:val="1"/>
        </w:numPr>
        <w:ind w:right="-1440"/>
        <w:rPr>
          <w:u w:val="single"/>
        </w:rPr>
      </w:pPr>
      <w:r w:rsidRPr="00FE6B7F">
        <w:rPr>
          <w:u w:val="single"/>
        </w:rPr>
        <w:t xml:space="preserve">Use of Improved Information Technology and Burden Reduction </w:t>
      </w:r>
    </w:p>
    <w:p w:rsidR="001D699E" w:rsidRDefault="001D699E" w:rsidP="001D699E">
      <w:pPr>
        <w:ind w:left="720"/>
      </w:pPr>
    </w:p>
    <w:p w:rsidR="008A0CCF" w:rsidRDefault="00131285" w:rsidP="00C84B43">
      <w:pPr>
        <w:ind w:left="720"/>
      </w:pPr>
      <w:r>
        <w:t>Respondents</w:t>
      </w:r>
      <w:r w:rsidR="00A602C5">
        <w:t xml:space="preserve"> may use any method of improved technology that meets the requirements of t</w:t>
      </w:r>
      <w:r w:rsidR="001D699E">
        <w:t>he regulation.</w:t>
      </w:r>
    </w:p>
    <w:p w:rsidR="00BE2851" w:rsidRDefault="00BE2851" w:rsidP="00C84B43">
      <w:pPr>
        <w:ind w:left="720"/>
      </w:pPr>
    </w:p>
    <w:p w:rsidR="00A602C5" w:rsidRPr="00FE6B7F" w:rsidRDefault="00A602C5" w:rsidP="00A602C5">
      <w:pPr>
        <w:numPr>
          <w:ilvl w:val="0"/>
          <w:numId w:val="1"/>
        </w:numPr>
        <w:rPr>
          <w:u w:val="single"/>
        </w:rPr>
      </w:pPr>
      <w:r w:rsidRPr="00FE6B7F">
        <w:rPr>
          <w:u w:val="single"/>
        </w:rPr>
        <w:t xml:space="preserve">Efforts to Identify Duplication and Use of Similar Information </w:t>
      </w:r>
    </w:p>
    <w:p w:rsidR="00A602C5" w:rsidRDefault="00A602C5" w:rsidP="00A602C5">
      <w:pPr>
        <w:ind w:left="720" w:right="893"/>
      </w:pPr>
    </w:p>
    <w:p w:rsidR="00BE2851" w:rsidRDefault="00A602C5" w:rsidP="00AB021D">
      <w:pPr>
        <w:ind w:left="720" w:right="893"/>
      </w:pPr>
      <w:r>
        <w:t>The required information is unique and is not duplicative of any other information already collected.</w:t>
      </w:r>
    </w:p>
    <w:p w:rsidR="00A602C5" w:rsidRPr="00FE6B7F" w:rsidRDefault="00A602C5" w:rsidP="00A602C5"/>
    <w:p w:rsidR="00A602C5" w:rsidRPr="00FE6B7F" w:rsidRDefault="00A602C5" w:rsidP="00A602C5">
      <w:pPr>
        <w:numPr>
          <w:ilvl w:val="0"/>
          <w:numId w:val="1"/>
        </w:numPr>
        <w:rPr>
          <w:u w:val="single"/>
        </w:rPr>
      </w:pPr>
      <w:r>
        <w:rPr>
          <w:u w:val="single"/>
        </w:rPr>
        <w:lastRenderedPageBreak/>
        <w:t>Methods used to Minimize burden if the collection has a significant i</w:t>
      </w:r>
      <w:r w:rsidRPr="00FE6B7F">
        <w:rPr>
          <w:u w:val="single"/>
        </w:rPr>
        <w:t>mpact on Small Businesses or Other Small Entities</w:t>
      </w:r>
    </w:p>
    <w:p w:rsidR="00A602C5" w:rsidRDefault="00A602C5" w:rsidP="00A602C5">
      <w:pPr>
        <w:ind w:left="720" w:right="893"/>
      </w:pPr>
    </w:p>
    <w:p w:rsidR="00A602C5" w:rsidRDefault="00A602C5" w:rsidP="00A602C5">
      <w:pPr>
        <w:ind w:left="720" w:right="893"/>
      </w:pPr>
      <w:r>
        <w:t>The information collection does not have a significant impact on a substantial number of small businesses or other small entities.</w:t>
      </w:r>
    </w:p>
    <w:p w:rsidR="00A602C5" w:rsidRPr="00024958" w:rsidRDefault="00A602C5" w:rsidP="00A602C5">
      <w:pPr>
        <w:ind w:firstLine="720"/>
      </w:pPr>
    </w:p>
    <w:p w:rsidR="00A602C5" w:rsidRPr="004C6979" w:rsidRDefault="00A602C5" w:rsidP="00A602C5">
      <w:pPr>
        <w:numPr>
          <w:ilvl w:val="0"/>
          <w:numId w:val="1"/>
        </w:numPr>
        <w:rPr>
          <w:u w:val="single"/>
        </w:rPr>
      </w:pPr>
      <w:r w:rsidRPr="004C6979">
        <w:rPr>
          <w:u w:val="single"/>
        </w:rPr>
        <w:t>Consequences of Collecting the Information Less Frequently</w:t>
      </w:r>
    </w:p>
    <w:p w:rsidR="00A602C5" w:rsidRDefault="00A602C5" w:rsidP="00A602C5">
      <w:pPr>
        <w:ind w:left="720"/>
      </w:pPr>
    </w:p>
    <w:p w:rsidR="00BE2851" w:rsidRDefault="00A602C5" w:rsidP="00BE2851">
      <w:pPr>
        <w:ind w:left="720"/>
      </w:pPr>
      <w:r>
        <w:t>The consequences of collecting the informa</w:t>
      </w:r>
      <w:r w:rsidR="003E7377">
        <w:t>tion less frequently would prevent</w:t>
      </w:r>
      <w:r>
        <w:t xml:space="preserve"> </w:t>
      </w:r>
      <w:r w:rsidR="00470EC5">
        <w:t xml:space="preserve">the </w:t>
      </w:r>
      <w:r>
        <w:t xml:space="preserve">OCC from </w:t>
      </w:r>
      <w:r w:rsidR="00DC3FB5">
        <w:t xml:space="preserve">developing a set of </w:t>
      </w:r>
      <w:r w:rsidR="00607FB1">
        <w:t>guidelines</w:t>
      </w:r>
      <w:r w:rsidR="00DC3FB5">
        <w:t xml:space="preserve"> to enhance </w:t>
      </w:r>
      <w:r w:rsidR="0071744B">
        <w:t xml:space="preserve">the </w:t>
      </w:r>
      <w:r w:rsidR="00DC3FB5">
        <w:t>OCC’s</w:t>
      </w:r>
      <w:r w:rsidR="00DC3FB5" w:rsidRPr="00DC3FB5">
        <w:t xml:space="preserve"> </w:t>
      </w:r>
      <w:r w:rsidR="00DC3FB5">
        <w:t xml:space="preserve">supervision and </w:t>
      </w:r>
      <w:r w:rsidR="00DC3FB5" w:rsidRPr="00DC3FB5">
        <w:t>strengthen the governance</w:t>
      </w:r>
      <w:r w:rsidR="00DC3FB5">
        <w:t xml:space="preserve"> and risk management</w:t>
      </w:r>
      <w:r w:rsidR="00DC3FB5" w:rsidRPr="00DC3FB5">
        <w:t xml:space="preserve"> practices of large </w:t>
      </w:r>
      <w:r w:rsidR="00647862">
        <w:t>institutions</w:t>
      </w:r>
      <w:r w:rsidR="00DC3FB5" w:rsidRPr="00DC3FB5">
        <w:t xml:space="preserve">.  </w:t>
      </w:r>
    </w:p>
    <w:p w:rsidR="00A602C5" w:rsidRDefault="00DC3FB5" w:rsidP="00DC3FB5">
      <w:pPr>
        <w:tabs>
          <w:tab w:val="left" w:pos="7965"/>
        </w:tabs>
        <w:ind w:firstLine="720"/>
      </w:pPr>
      <w:r>
        <w:tab/>
      </w:r>
    </w:p>
    <w:p w:rsidR="00A602C5" w:rsidRPr="004C6979" w:rsidRDefault="00A602C5" w:rsidP="00A602C5">
      <w:pPr>
        <w:numPr>
          <w:ilvl w:val="0"/>
          <w:numId w:val="1"/>
        </w:numPr>
        <w:rPr>
          <w:u w:val="single"/>
        </w:rPr>
      </w:pPr>
      <w:r w:rsidRPr="004C6979">
        <w:rPr>
          <w:u w:val="single"/>
        </w:rPr>
        <w:t>Special Circumstances Relating to the Guidelines of 5 CFR 1320.5</w:t>
      </w:r>
    </w:p>
    <w:p w:rsidR="00A602C5" w:rsidRDefault="00A602C5" w:rsidP="00A602C5">
      <w:pPr>
        <w:ind w:left="720" w:right="893"/>
      </w:pPr>
    </w:p>
    <w:p w:rsidR="00A602C5" w:rsidRDefault="00A602C5" w:rsidP="00A602C5">
      <w:pPr>
        <w:ind w:left="720" w:right="893"/>
      </w:pPr>
      <w:r>
        <w:t xml:space="preserve">The information collection would be conducted in a manner consistent with </w:t>
      </w:r>
      <w:proofErr w:type="gramStart"/>
      <w:r>
        <w:t>5</w:t>
      </w:r>
      <w:proofErr w:type="gramEnd"/>
      <w:r>
        <w:t xml:space="preserve"> CFR Part 1320.5.</w:t>
      </w:r>
    </w:p>
    <w:p w:rsidR="00A602C5" w:rsidRDefault="00A602C5" w:rsidP="00A602C5">
      <w:pPr>
        <w:ind w:firstLine="720"/>
      </w:pPr>
    </w:p>
    <w:p w:rsidR="00A602C5" w:rsidRPr="00F40104" w:rsidRDefault="00A602C5" w:rsidP="00A602C5">
      <w:pPr>
        <w:numPr>
          <w:ilvl w:val="0"/>
          <w:numId w:val="1"/>
        </w:numPr>
        <w:rPr>
          <w:u w:val="single"/>
        </w:rPr>
      </w:pPr>
      <w:r w:rsidRPr="004C6979">
        <w:rPr>
          <w:u w:val="single"/>
        </w:rPr>
        <w:t>Comments in Response to the Federal Register Notice and</w:t>
      </w:r>
      <w:r>
        <w:rPr>
          <w:u w:val="single"/>
        </w:rPr>
        <w:t xml:space="preserve"> Efforts to Consult Outside the </w:t>
      </w:r>
      <w:r w:rsidRPr="004C6979">
        <w:rPr>
          <w:u w:val="single"/>
        </w:rPr>
        <w:t>Agency</w:t>
      </w:r>
    </w:p>
    <w:p w:rsidR="0019329A" w:rsidRDefault="0019329A" w:rsidP="00A602C5">
      <w:pPr>
        <w:ind w:left="720"/>
      </w:pPr>
    </w:p>
    <w:p w:rsidR="00AE26EF" w:rsidRDefault="00CC6BFA" w:rsidP="00CC6BFA">
      <w:pPr>
        <w:spacing w:after="240"/>
        <w:ind w:left="720"/>
      </w:pPr>
      <w:r w:rsidRPr="007D4F2D">
        <w:t xml:space="preserve">In the </w:t>
      </w:r>
      <w:r w:rsidRPr="00F21C78">
        <w:rPr>
          <w:bCs/>
          <w:u w:val="single"/>
        </w:rPr>
        <w:t>Federal Register</w:t>
      </w:r>
      <w:r w:rsidRPr="007D4F2D">
        <w:rPr>
          <w:b/>
          <w:bCs/>
        </w:rPr>
        <w:t xml:space="preserve"> </w:t>
      </w:r>
      <w:r w:rsidR="00D66ABA">
        <w:t xml:space="preserve">of </w:t>
      </w:r>
      <w:r w:rsidR="006A5445">
        <w:t>January 27</w:t>
      </w:r>
      <w:r w:rsidRPr="007D4F2D">
        <w:t xml:space="preserve">, </w:t>
      </w:r>
      <w:r w:rsidR="00AA66A2">
        <w:t>2014 (79</w:t>
      </w:r>
      <w:r w:rsidR="00D66ABA">
        <w:t xml:space="preserve"> FR</w:t>
      </w:r>
      <w:r w:rsidR="006A5445">
        <w:t xml:space="preserve"> 4282</w:t>
      </w:r>
      <w:r w:rsidRPr="007D4F2D">
        <w:t xml:space="preserve">), </w:t>
      </w:r>
      <w:r w:rsidR="0071744B">
        <w:t xml:space="preserve">the </w:t>
      </w:r>
      <w:r w:rsidRPr="007D4F2D">
        <w:t xml:space="preserve">OCC published </w:t>
      </w:r>
      <w:r w:rsidR="00AA66A2">
        <w:t>the information collection for 60-Days of public comment</w:t>
      </w:r>
      <w:r>
        <w:t xml:space="preserve">.  </w:t>
      </w:r>
    </w:p>
    <w:p w:rsidR="00A602C5" w:rsidRPr="002D36F6" w:rsidRDefault="00A602C5" w:rsidP="00A602C5">
      <w:pPr>
        <w:numPr>
          <w:ilvl w:val="0"/>
          <w:numId w:val="1"/>
        </w:numPr>
        <w:rPr>
          <w:u w:val="single"/>
        </w:rPr>
      </w:pPr>
      <w:r w:rsidRPr="002D36F6">
        <w:rPr>
          <w:u w:val="single"/>
        </w:rPr>
        <w:t>Explanation of Any Payment or Gift to Respondents</w:t>
      </w:r>
    </w:p>
    <w:p w:rsidR="00A602C5" w:rsidRDefault="00A602C5" w:rsidP="00A602C5">
      <w:pPr>
        <w:ind w:left="720"/>
      </w:pPr>
    </w:p>
    <w:p w:rsidR="00AB021D" w:rsidRDefault="0071744B" w:rsidP="00D66ABA">
      <w:pPr>
        <w:ind w:left="720"/>
      </w:pPr>
      <w:r>
        <w:t xml:space="preserve">The </w:t>
      </w:r>
      <w:r w:rsidR="00A602C5">
        <w:t>OCC</w:t>
      </w:r>
      <w:r w:rsidR="00A602C5" w:rsidRPr="002D36F6">
        <w:t xml:space="preserve"> has not provided</w:t>
      </w:r>
      <w:r>
        <w:t>,</w:t>
      </w:r>
      <w:r w:rsidR="00A602C5" w:rsidRPr="002D36F6">
        <w:t xml:space="preserve"> and has no intention to provide</w:t>
      </w:r>
      <w:r>
        <w:t>,</w:t>
      </w:r>
      <w:r w:rsidR="00A602C5" w:rsidRPr="002D36F6">
        <w:t xml:space="preserve"> any payment or gift to</w:t>
      </w:r>
      <w:r w:rsidR="00A602C5">
        <w:t xml:space="preserve"> respondents under this information collection</w:t>
      </w:r>
      <w:r w:rsidR="00A602C5" w:rsidRPr="002D36F6">
        <w:t>.</w:t>
      </w:r>
    </w:p>
    <w:p w:rsidR="00AE26EF" w:rsidRPr="002D36F6" w:rsidRDefault="00AE26EF" w:rsidP="00D66ABA">
      <w:pPr>
        <w:ind w:left="720"/>
      </w:pPr>
    </w:p>
    <w:p w:rsidR="00A602C5" w:rsidRPr="004C6979" w:rsidRDefault="00A602C5" w:rsidP="00A602C5">
      <w:pPr>
        <w:numPr>
          <w:ilvl w:val="0"/>
          <w:numId w:val="1"/>
        </w:numPr>
        <w:rPr>
          <w:u w:val="single"/>
        </w:rPr>
      </w:pPr>
      <w:r w:rsidRPr="004C6979">
        <w:rPr>
          <w:u w:val="single"/>
        </w:rPr>
        <w:t>Assurance of Confidentiality Provided to Respondents</w:t>
      </w:r>
    </w:p>
    <w:p w:rsidR="00A602C5" w:rsidRDefault="00A602C5" w:rsidP="00A602C5">
      <w:pPr>
        <w:numPr>
          <w:ilvl w:val="12"/>
          <w:numId w:val="0"/>
        </w:numPr>
        <w:tabs>
          <w:tab w:val="left" w:pos="720"/>
        </w:tabs>
        <w:ind w:left="720"/>
      </w:pPr>
    </w:p>
    <w:p w:rsidR="00A602C5" w:rsidRDefault="00296874" w:rsidP="00A602C5">
      <w:pPr>
        <w:numPr>
          <w:ilvl w:val="12"/>
          <w:numId w:val="0"/>
        </w:numPr>
        <w:tabs>
          <w:tab w:val="left" w:pos="720"/>
        </w:tabs>
      </w:pPr>
      <w:r>
        <w:tab/>
      </w:r>
      <w:r w:rsidRPr="00296874">
        <w:t xml:space="preserve">The information collection request </w:t>
      </w:r>
      <w:proofErr w:type="gramStart"/>
      <w:r w:rsidRPr="00296874">
        <w:t>will be kept</w:t>
      </w:r>
      <w:proofErr w:type="gramEnd"/>
      <w:r w:rsidRPr="00296874">
        <w:t xml:space="preserve"> private to the extent permissible by law.</w:t>
      </w:r>
    </w:p>
    <w:p w:rsidR="00296874" w:rsidRDefault="00296874" w:rsidP="00A602C5">
      <w:pPr>
        <w:numPr>
          <w:ilvl w:val="12"/>
          <w:numId w:val="0"/>
        </w:numPr>
        <w:tabs>
          <w:tab w:val="left" w:pos="720"/>
        </w:tabs>
      </w:pPr>
    </w:p>
    <w:p w:rsidR="00A602C5" w:rsidRPr="004C6979" w:rsidRDefault="00A602C5" w:rsidP="00A602C5">
      <w:pPr>
        <w:numPr>
          <w:ilvl w:val="0"/>
          <w:numId w:val="1"/>
        </w:numPr>
        <w:rPr>
          <w:u w:val="single"/>
        </w:rPr>
      </w:pPr>
      <w:r w:rsidRPr="004C6979">
        <w:rPr>
          <w:u w:val="single"/>
        </w:rPr>
        <w:t>Justification for Sensitive Questions</w:t>
      </w:r>
    </w:p>
    <w:p w:rsidR="001D12B7" w:rsidRDefault="001D12B7" w:rsidP="00A602C5">
      <w:pPr>
        <w:ind w:firstLine="720"/>
      </w:pPr>
    </w:p>
    <w:p w:rsidR="00421451" w:rsidRDefault="008D7FEC" w:rsidP="001409F7">
      <w:pPr>
        <w:ind w:firstLine="720"/>
      </w:pPr>
      <w:r>
        <w:t>Not applicable.  No personally identifiable information is collected.</w:t>
      </w:r>
    </w:p>
    <w:p w:rsidR="001409F7" w:rsidRPr="00BD753E" w:rsidRDefault="001409F7" w:rsidP="001409F7">
      <w:pPr>
        <w:ind w:firstLine="720"/>
      </w:pPr>
      <w:bookmarkStart w:id="0" w:name="_GoBack"/>
      <w:bookmarkEnd w:id="0"/>
    </w:p>
    <w:p w:rsidR="00930DF2" w:rsidRDefault="00A602C5" w:rsidP="00930DF2">
      <w:pPr>
        <w:numPr>
          <w:ilvl w:val="0"/>
          <w:numId w:val="1"/>
        </w:numPr>
        <w:rPr>
          <w:u w:val="single"/>
        </w:rPr>
      </w:pPr>
      <w:r w:rsidRPr="00BE3685">
        <w:rPr>
          <w:u w:val="single"/>
        </w:rPr>
        <w:t>Estimates of Annualized Burden Hours and Costs</w:t>
      </w:r>
    </w:p>
    <w:p w:rsidR="00877C10" w:rsidRPr="00877C10" w:rsidRDefault="00877C10" w:rsidP="00877C10">
      <w:pPr>
        <w:ind w:left="720"/>
        <w:rPr>
          <w:u w:val="single"/>
        </w:rPr>
      </w:pPr>
    </w:p>
    <w:p w:rsidR="00A602C5" w:rsidRPr="00877C10" w:rsidRDefault="00AA66A2" w:rsidP="00BC3612">
      <w:pPr>
        <w:ind w:left="720"/>
      </w:pPr>
      <w:r>
        <w:t xml:space="preserve">The </w:t>
      </w:r>
      <w:r w:rsidR="00A602C5">
        <w:t xml:space="preserve">OCC </w:t>
      </w:r>
      <w:r w:rsidR="00D66ABA">
        <w:t>estimate</w:t>
      </w:r>
      <w:r>
        <w:t>s</w:t>
      </w:r>
      <w:r w:rsidR="00A602C5">
        <w:t xml:space="preserve"> </w:t>
      </w:r>
      <w:r w:rsidR="00AC058B">
        <w:t>the burden of this colle</w:t>
      </w:r>
      <w:r w:rsidR="00C517A7">
        <w:t>ction of information as follows:</w:t>
      </w:r>
      <w:r w:rsidR="00AC058B">
        <w:rPr>
          <w:sz w:val="20"/>
          <w:szCs w:val="20"/>
        </w:rPr>
        <w:br/>
      </w:r>
    </w:p>
    <w:tbl>
      <w:tblPr>
        <w:tblW w:w="916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07"/>
        <w:gridCol w:w="1611"/>
        <w:gridCol w:w="1746"/>
        <w:gridCol w:w="1517"/>
        <w:gridCol w:w="1374"/>
        <w:gridCol w:w="1009"/>
      </w:tblGrid>
      <w:tr w:rsidR="00566C49" w:rsidRPr="009C2671" w:rsidTr="00D71498">
        <w:trPr>
          <w:trHeight w:val="498"/>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AA66A2" w:rsidP="0091256A">
            <w:pPr>
              <w:widowControl w:val="0"/>
              <w:snapToGrid w:val="0"/>
              <w:jc w:val="center"/>
              <w:rPr>
                <w:b/>
                <w:sz w:val="20"/>
                <w:szCs w:val="20"/>
              </w:rPr>
            </w:pPr>
            <w:bookmarkStart w:id="1" w:name="OLE_LINK1"/>
            <w:r w:rsidRPr="00AA66A2">
              <w:rPr>
                <w:b/>
                <w:sz w:val="20"/>
                <w:szCs w:val="20"/>
              </w:rPr>
              <w:t>Standards for Risk Governance Framework</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No. of Respondents</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No. of Responses per Respondent</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Annual No. of Responses</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Burden per Response</w:t>
            </w:r>
          </w:p>
          <w:p w:rsidR="00566C49" w:rsidRPr="00BD14E2" w:rsidRDefault="00566C49" w:rsidP="007C70B2">
            <w:pPr>
              <w:widowControl w:val="0"/>
              <w:snapToGrid w:val="0"/>
              <w:jc w:val="center"/>
              <w:rPr>
                <w:b/>
                <w:sz w:val="20"/>
                <w:szCs w:val="20"/>
              </w:rPr>
            </w:pP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566C49" w:rsidP="007C70B2">
            <w:pPr>
              <w:widowControl w:val="0"/>
              <w:snapToGrid w:val="0"/>
              <w:jc w:val="center"/>
              <w:rPr>
                <w:b/>
                <w:sz w:val="20"/>
                <w:szCs w:val="20"/>
              </w:rPr>
            </w:pPr>
            <w:r w:rsidRPr="00BD14E2">
              <w:rPr>
                <w:b/>
                <w:sz w:val="20"/>
                <w:szCs w:val="20"/>
              </w:rPr>
              <w:t>Total Hours</w:t>
            </w:r>
          </w:p>
        </w:tc>
      </w:tr>
      <w:tr w:rsidR="00566C49" w:rsidRPr="009C2671" w:rsidTr="00D71498">
        <w:trPr>
          <w:trHeight w:val="224"/>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AA66A2" w:rsidP="00AA66A2">
            <w:pPr>
              <w:widowControl w:val="0"/>
              <w:snapToGrid w:val="0"/>
              <w:rPr>
                <w:sz w:val="20"/>
                <w:szCs w:val="20"/>
              </w:rPr>
            </w:pPr>
            <w:r w:rsidRPr="00AA66A2">
              <w:rPr>
                <w:sz w:val="20"/>
                <w:szCs w:val="20"/>
              </w:rPr>
              <w:t>Front Line Units</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AA66A2" w:rsidP="00D94BC5">
            <w:pPr>
              <w:widowControl w:val="0"/>
              <w:snapToGrid w:val="0"/>
              <w:jc w:val="center"/>
              <w:rPr>
                <w:sz w:val="20"/>
                <w:szCs w:val="20"/>
              </w:rPr>
            </w:pPr>
            <w:r>
              <w:rPr>
                <w:sz w:val="20"/>
                <w:szCs w:val="20"/>
              </w:rPr>
              <w:t>21</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AA66A2" w:rsidP="00D94BC5">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566C49" w:rsidP="00D94BC5">
            <w:pPr>
              <w:widowControl w:val="0"/>
              <w:snapToGrid w:val="0"/>
              <w:jc w:val="center"/>
              <w:rPr>
                <w:sz w:val="20"/>
                <w:szCs w:val="20"/>
              </w:rPr>
            </w:pPr>
            <w:r w:rsidRPr="00BD14E2">
              <w:rPr>
                <w:sz w:val="20"/>
                <w:szCs w:val="20"/>
              </w:rPr>
              <w:t>1</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D94BC5" w:rsidP="00D94BC5">
            <w:pPr>
              <w:jc w:val="center"/>
              <w:rPr>
                <w:sz w:val="20"/>
                <w:szCs w:val="20"/>
              </w:rPr>
            </w:pPr>
            <w:r>
              <w:rPr>
                <w:sz w:val="20"/>
                <w:szCs w:val="20"/>
              </w:rPr>
              <w:t>800</w:t>
            </w: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D94BC5" w:rsidP="00D94BC5">
            <w:pPr>
              <w:jc w:val="center"/>
              <w:rPr>
                <w:sz w:val="20"/>
                <w:szCs w:val="20"/>
              </w:rPr>
            </w:pPr>
            <w:r>
              <w:rPr>
                <w:sz w:val="20"/>
                <w:szCs w:val="20"/>
              </w:rPr>
              <w:t>16,800</w:t>
            </w:r>
          </w:p>
        </w:tc>
      </w:tr>
      <w:tr w:rsidR="00566C49" w:rsidRPr="009C2671" w:rsidTr="00D71498">
        <w:trPr>
          <w:trHeight w:val="210"/>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AA66A2" w:rsidP="00AA66A2">
            <w:pPr>
              <w:widowControl w:val="0"/>
              <w:snapToGrid w:val="0"/>
              <w:rPr>
                <w:sz w:val="20"/>
                <w:szCs w:val="20"/>
              </w:rPr>
            </w:pPr>
            <w:r w:rsidRPr="00AA66A2">
              <w:rPr>
                <w:sz w:val="20"/>
                <w:szCs w:val="20"/>
              </w:rPr>
              <w:t>Independent Risk Management</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AA66A2" w:rsidP="00D94BC5">
            <w:pPr>
              <w:widowControl w:val="0"/>
              <w:snapToGrid w:val="0"/>
              <w:jc w:val="center"/>
              <w:rPr>
                <w:sz w:val="20"/>
                <w:szCs w:val="20"/>
              </w:rPr>
            </w:pPr>
            <w:r>
              <w:rPr>
                <w:sz w:val="20"/>
                <w:szCs w:val="20"/>
              </w:rPr>
              <w:t>21</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AA66A2" w:rsidP="00D94BC5">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566C49" w:rsidP="00D94BC5">
            <w:pPr>
              <w:widowControl w:val="0"/>
              <w:snapToGrid w:val="0"/>
              <w:jc w:val="center"/>
              <w:rPr>
                <w:sz w:val="20"/>
                <w:szCs w:val="20"/>
              </w:rPr>
            </w:pPr>
            <w:r w:rsidRPr="00BD14E2">
              <w:rPr>
                <w:sz w:val="20"/>
                <w:szCs w:val="20"/>
              </w:rPr>
              <w:t>1</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D94BC5" w:rsidP="00D94BC5">
            <w:pPr>
              <w:jc w:val="center"/>
              <w:rPr>
                <w:sz w:val="20"/>
                <w:szCs w:val="20"/>
              </w:rPr>
            </w:pPr>
            <w:r>
              <w:rPr>
                <w:sz w:val="20"/>
                <w:szCs w:val="20"/>
              </w:rPr>
              <w:t>640</w:t>
            </w: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D94BC5" w:rsidP="00D94BC5">
            <w:pPr>
              <w:jc w:val="center"/>
              <w:rPr>
                <w:sz w:val="20"/>
                <w:szCs w:val="20"/>
              </w:rPr>
            </w:pPr>
            <w:r>
              <w:rPr>
                <w:sz w:val="20"/>
                <w:szCs w:val="20"/>
              </w:rPr>
              <w:t>13,440</w:t>
            </w:r>
          </w:p>
        </w:tc>
      </w:tr>
      <w:tr w:rsidR="00566C49" w:rsidRPr="009C2671" w:rsidTr="00D71498">
        <w:trPr>
          <w:trHeight w:val="210"/>
        </w:trPr>
        <w:tc>
          <w:tcPr>
            <w:tcW w:w="1907" w:type="dxa"/>
            <w:tcBorders>
              <w:top w:val="single" w:sz="6" w:space="0" w:color="000000"/>
              <w:left w:val="single" w:sz="6" w:space="0" w:color="000000"/>
              <w:bottom w:val="single" w:sz="6" w:space="0" w:color="000000"/>
              <w:right w:val="single" w:sz="6" w:space="0" w:color="000000"/>
            </w:tcBorders>
          </w:tcPr>
          <w:p w:rsidR="00566C49" w:rsidRPr="00BD14E2" w:rsidRDefault="00AA66A2" w:rsidP="00AA66A2">
            <w:pPr>
              <w:widowControl w:val="0"/>
              <w:snapToGrid w:val="0"/>
              <w:rPr>
                <w:sz w:val="20"/>
                <w:szCs w:val="20"/>
              </w:rPr>
            </w:pPr>
            <w:r w:rsidRPr="00AA66A2">
              <w:rPr>
                <w:sz w:val="20"/>
                <w:szCs w:val="20"/>
              </w:rPr>
              <w:t>Internal Audit</w:t>
            </w:r>
          </w:p>
        </w:tc>
        <w:tc>
          <w:tcPr>
            <w:tcW w:w="1611" w:type="dxa"/>
            <w:tcBorders>
              <w:top w:val="single" w:sz="6" w:space="0" w:color="000000"/>
              <w:left w:val="single" w:sz="6" w:space="0" w:color="000000"/>
              <w:bottom w:val="single" w:sz="6" w:space="0" w:color="000000"/>
              <w:right w:val="single" w:sz="6" w:space="0" w:color="000000"/>
            </w:tcBorders>
          </w:tcPr>
          <w:p w:rsidR="00566C49" w:rsidRPr="00BD14E2" w:rsidRDefault="00AA66A2" w:rsidP="00D94BC5">
            <w:pPr>
              <w:widowControl w:val="0"/>
              <w:snapToGrid w:val="0"/>
              <w:jc w:val="center"/>
              <w:rPr>
                <w:sz w:val="20"/>
                <w:szCs w:val="20"/>
              </w:rPr>
            </w:pPr>
            <w:r>
              <w:rPr>
                <w:sz w:val="20"/>
                <w:szCs w:val="20"/>
              </w:rPr>
              <w:t>21</w:t>
            </w:r>
          </w:p>
        </w:tc>
        <w:tc>
          <w:tcPr>
            <w:tcW w:w="1746" w:type="dxa"/>
            <w:tcBorders>
              <w:top w:val="single" w:sz="6" w:space="0" w:color="000000"/>
              <w:left w:val="single" w:sz="6" w:space="0" w:color="000000"/>
              <w:bottom w:val="single" w:sz="6" w:space="0" w:color="000000"/>
              <w:right w:val="single" w:sz="6" w:space="0" w:color="000000"/>
            </w:tcBorders>
          </w:tcPr>
          <w:p w:rsidR="00566C49" w:rsidRPr="00BD14E2" w:rsidRDefault="00AA66A2" w:rsidP="00D94BC5">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BD14E2" w:rsidRDefault="00BD14E2" w:rsidP="00D94BC5">
            <w:pPr>
              <w:widowControl w:val="0"/>
              <w:snapToGrid w:val="0"/>
              <w:jc w:val="center"/>
              <w:rPr>
                <w:sz w:val="20"/>
                <w:szCs w:val="20"/>
              </w:rPr>
            </w:pPr>
            <w:r>
              <w:rPr>
                <w:sz w:val="20"/>
                <w:szCs w:val="20"/>
              </w:rPr>
              <w:t>1</w:t>
            </w:r>
          </w:p>
        </w:tc>
        <w:tc>
          <w:tcPr>
            <w:tcW w:w="1374" w:type="dxa"/>
            <w:tcBorders>
              <w:top w:val="single" w:sz="6" w:space="0" w:color="000000"/>
              <w:left w:val="single" w:sz="6" w:space="0" w:color="000000"/>
              <w:bottom w:val="single" w:sz="6" w:space="0" w:color="000000"/>
              <w:right w:val="single" w:sz="6" w:space="0" w:color="000000"/>
            </w:tcBorders>
          </w:tcPr>
          <w:p w:rsidR="00566C49" w:rsidRPr="00BD14E2" w:rsidRDefault="00D94BC5" w:rsidP="00D94BC5">
            <w:pPr>
              <w:jc w:val="center"/>
              <w:rPr>
                <w:sz w:val="20"/>
                <w:szCs w:val="20"/>
              </w:rPr>
            </w:pPr>
            <w:r>
              <w:rPr>
                <w:sz w:val="20"/>
                <w:szCs w:val="20"/>
              </w:rPr>
              <w:t>960</w:t>
            </w:r>
          </w:p>
        </w:tc>
        <w:tc>
          <w:tcPr>
            <w:tcW w:w="1009" w:type="dxa"/>
            <w:tcBorders>
              <w:top w:val="single" w:sz="6" w:space="0" w:color="000000"/>
              <w:left w:val="single" w:sz="6" w:space="0" w:color="000000"/>
              <w:bottom w:val="single" w:sz="6" w:space="0" w:color="000000"/>
              <w:right w:val="single" w:sz="6" w:space="0" w:color="000000"/>
            </w:tcBorders>
          </w:tcPr>
          <w:p w:rsidR="00566C49" w:rsidRPr="00BD14E2" w:rsidRDefault="00D94BC5" w:rsidP="00D94BC5">
            <w:pPr>
              <w:jc w:val="center"/>
              <w:rPr>
                <w:sz w:val="20"/>
                <w:szCs w:val="20"/>
              </w:rPr>
            </w:pPr>
            <w:r>
              <w:rPr>
                <w:sz w:val="20"/>
                <w:szCs w:val="20"/>
              </w:rPr>
              <w:t>20,160</w:t>
            </w:r>
          </w:p>
        </w:tc>
      </w:tr>
      <w:tr w:rsidR="00566C49" w:rsidRPr="009C2671" w:rsidTr="00D71498">
        <w:trPr>
          <w:trHeight w:val="224"/>
        </w:trPr>
        <w:tc>
          <w:tcPr>
            <w:tcW w:w="1907" w:type="dxa"/>
            <w:tcBorders>
              <w:top w:val="single" w:sz="6" w:space="0" w:color="000000"/>
              <w:left w:val="single" w:sz="6" w:space="0" w:color="000000"/>
              <w:bottom w:val="single" w:sz="6" w:space="0" w:color="000000"/>
              <w:right w:val="single" w:sz="6" w:space="0" w:color="000000"/>
            </w:tcBorders>
          </w:tcPr>
          <w:p w:rsidR="00566C49" w:rsidRPr="009C2671" w:rsidRDefault="00AA66A2" w:rsidP="00AA66A2">
            <w:pPr>
              <w:widowControl w:val="0"/>
              <w:snapToGrid w:val="0"/>
              <w:rPr>
                <w:sz w:val="20"/>
                <w:szCs w:val="20"/>
              </w:rPr>
            </w:pPr>
            <w:r w:rsidRPr="00AA66A2">
              <w:rPr>
                <w:sz w:val="20"/>
                <w:szCs w:val="20"/>
              </w:rPr>
              <w:t xml:space="preserve">Concentration Risk </w:t>
            </w:r>
            <w:r w:rsidRPr="00AA66A2">
              <w:rPr>
                <w:sz w:val="20"/>
                <w:szCs w:val="20"/>
              </w:rPr>
              <w:lastRenderedPageBreak/>
              <w:t>Management</w:t>
            </w:r>
          </w:p>
        </w:tc>
        <w:tc>
          <w:tcPr>
            <w:tcW w:w="1611" w:type="dxa"/>
            <w:tcBorders>
              <w:top w:val="single" w:sz="6" w:space="0" w:color="000000"/>
              <w:left w:val="single" w:sz="6" w:space="0" w:color="000000"/>
              <w:bottom w:val="single" w:sz="6" w:space="0" w:color="000000"/>
              <w:right w:val="single" w:sz="6" w:space="0" w:color="000000"/>
            </w:tcBorders>
          </w:tcPr>
          <w:p w:rsidR="00566C49" w:rsidRPr="009C2671" w:rsidRDefault="00AA66A2" w:rsidP="00D94BC5">
            <w:pPr>
              <w:widowControl w:val="0"/>
              <w:snapToGrid w:val="0"/>
              <w:jc w:val="center"/>
              <w:rPr>
                <w:sz w:val="20"/>
                <w:szCs w:val="20"/>
              </w:rPr>
            </w:pPr>
            <w:r>
              <w:rPr>
                <w:sz w:val="20"/>
                <w:szCs w:val="20"/>
              </w:rPr>
              <w:lastRenderedPageBreak/>
              <w:t>21</w:t>
            </w:r>
          </w:p>
        </w:tc>
        <w:tc>
          <w:tcPr>
            <w:tcW w:w="1746" w:type="dxa"/>
            <w:tcBorders>
              <w:top w:val="single" w:sz="6" w:space="0" w:color="000000"/>
              <w:left w:val="single" w:sz="6" w:space="0" w:color="000000"/>
              <w:bottom w:val="single" w:sz="6" w:space="0" w:color="000000"/>
              <w:right w:val="single" w:sz="6" w:space="0" w:color="000000"/>
            </w:tcBorders>
          </w:tcPr>
          <w:p w:rsidR="00566C49" w:rsidRPr="009C2671" w:rsidRDefault="00AA66A2" w:rsidP="00D94BC5">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566C49" w:rsidRPr="009C2671" w:rsidRDefault="00AA66A2" w:rsidP="00D94BC5">
            <w:pPr>
              <w:widowControl w:val="0"/>
              <w:snapToGrid w:val="0"/>
              <w:jc w:val="center"/>
              <w:rPr>
                <w:sz w:val="20"/>
                <w:szCs w:val="20"/>
              </w:rPr>
            </w:pPr>
            <w:r>
              <w:rPr>
                <w:sz w:val="20"/>
                <w:szCs w:val="20"/>
              </w:rPr>
              <w:t>1</w:t>
            </w:r>
          </w:p>
        </w:tc>
        <w:tc>
          <w:tcPr>
            <w:tcW w:w="1374" w:type="dxa"/>
            <w:tcBorders>
              <w:top w:val="single" w:sz="6" w:space="0" w:color="000000"/>
              <w:left w:val="single" w:sz="6" w:space="0" w:color="000000"/>
              <w:bottom w:val="single" w:sz="6" w:space="0" w:color="000000"/>
              <w:right w:val="single" w:sz="6" w:space="0" w:color="000000"/>
            </w:tcBorders>
          </w:tcPr>
          <w:p w:rsidR="00566C49" w:rsidRPr="009C2671" w:rsidRDefault="00D94BC5" w:rsidP="00D94BC5">
            <w:pPr>
              <w:jc w:val="center"/>
              <w:rPr>
                <w:sz w:val="20"/>
                <w:szCs w:val="20"/>
              </w:rPr>
            </w:pPr>
            <w:r>
              <w:rPr>
                <w:sz w:val="20"/>
                <w:szCs w:val="20"/>
              </w:rPr>
              <w:t>800</w:t>
            </w:r>
          </w:p>
        </w:tc>
        <w:tc>
          <w:tcPr>
            <w:tcW w:w="1009" w:type="dxa"/>
            <w:tcBorders>
              <w:top w:val="single" w:sz="6" w:space="0" w:color="000000"/>
              <w:left w:val="single" w:sz="6" w:space="0" w:color="000000"/>
              <w:bottom w:val="single" w:sz="6" w:space="0" w:color="000000"/>
              <w:right w:val="single" w:sz="6" w:space="0" w:color="000000"/>
            </w:tcBorders>
          </w:tcPr>
          <w:p w:rsidR="00566C49" w:rsidRPr="009C2671" w:rsidRDefault="00D94BC5" w:rsidP="00D94BC5">
            <w:pPr>
              <w:jc w:val="center"/>
              <w:rPr>
                <w:sz w:val="20"/>
                <w:szCs w:val="20"/>
              </w:rPr>
            </w:pPr>
            <w:r>
              <w:rPr>
                <w:sz w:val="20"/>
                <w:szCs w:val="20"/>
              </w:rPr>
              <w:t>16,800</w:t>
            </w:r>
          </w:p>
        </w:tc>
      </w:tr>
      <w:tr w:rsidR="00AA66A2" w:rsidRPr="009C2671" w:rsidTr="00D71498">
        <w:trPr>
          <w:trHeight w:val="224"/>
        </w:trPr>
        <w:tc>
          <w:tcPr>
            <w:tcW w:w="1907" w:type="dxa"/>
            <w:tcBorders>
              <w:top w:val="single" w:sz="6" w:space="0" w:color="000000"/>
              <w:left w:val="single" w:sz="6" w:space="0" w:color="000000"/>
              <w:bottom w:val="single" w:sz="6" w:space="0" w:color="000000"/>
              <w:right w:val="single" w:sz="6" w:space="0" w:color="000000"/>
            </w:tcBorders>
          </w:tcPr>
          <w:p w:rsidR="00AA66A2" w:rsidRDefault="00AA66A2" w:rsidP="00AA66A2">
            <w:pPr>
              <w:widowControl w:val="0"/>
              <w:snapToGrid w:val="0"/>
              <w:rPr>
                <w:sz w:val="20"/>
                <w:szCs w:val="20"/>
              </w:rPr>
            </w:pPr>
            <w:r>
              <w:rPr>
                <w:sz w:val="20"/>
                <w:szCs w:val="20"/>
              </w:rPr>
              <w:lastRenderedPageBreak/>
              <w:t>Risk Data</w:t>
            </w:r>
          </w:p>
          <w:p w:rsidR="00D94BC5" w:rsidRPr="00AA66A2" w:rsidRDefault="00AA66A2" w:rsidP="00AA66A2">
            <w:pPr>
              <w:widowControl w:val="0"/>
              <w:snapToGrid w:val="0"/>
              <w:rPr>
                <w:sz w:val="20"/>
                <w:szCs w:val="20"/>
              </w:rPr>
            </w:pPr>
            <w:r w:rsidRPr="00AA66A2">
              <w:rPr>
                <w:sz w:val="20"/>
                <w:szCs w:val="20"/>
              </w:rPr>
              <w:t>Aggregation and Reporting</w:t>
            </w:r>
          </w:p>
        </w:tc>
        <w:tc>
          <w:tcPr>
            <w:tcW w:w="1611" w:type="dxa"/>
            <w:tcBorders>
              <w:top w:val="single" w:sz="6" w:space="0" w:color="000000"/>
              <w:left w:val="single" w:sz="6" w:space="0" w:color="000000"/>
              <w:bottom w:val="single" w:sz="6" w:space="0" w:color="000000"/>
              <w:right w:val="single" w:sz="6" w:space="0" w:color="000000"/>
            </w:tcBorders>
          </w:tcPr>
          <w:p w:rsidR="00AA66A2" w:rsidRPr="009C2671" w:rsidRDefault="00AA66A2" w:rsidP="00D94BC5">
            <w:pPr>
              <w:widowControl w:val="0"/>
              <w:snapToGrid w:val="0"/>
              <w:jc w:val="center"/>
              <w:rPr>
                <w:sz w:val="20"/>
                <w:szCs w:val="20"/>
              </w:rPr>
            </w:pPr>
            <w:r>
              <w:rPr>
                <w:sz w:val="20"/>
                <w:szCs w:val="20"/>
              </w:rPr>
              <w:t>21</w:t>
            </w:r>
          </w:p>
        </w:tc>
        <w:tc>
          <w:tcPr>
            <w:tcW w:w="1746" w:type="dxa"/>
            <w:tcBorders>
              <w:top w:val="single" w:sz="6" w:space="0" w:color="000000"/>
              <w:left w:val="single" w:sz="6" w:space="0" w:color="000000"/>
              <w:bottom w:val="single" w:sz="6" w:space="0" w:color="000000"/>
              <w:right w:val="single" w:sz="6" w:space="0" w:color="000000"/>
            </w:tcBorders>
          </w:tcPr>
          <w:p w:rsidR="00AA66A2" w:rsidRPr="009C2671" w:rsidRDefault="00AA66A2" w:rsidP="00D94BC5">
            <w:pPr>
              <w:widowControl w:val="0"/>
              <w:snapToGrid w:val="0"/>
              <w:jc w:val="center"/>
              <w:rPr>
                <w:sz w:val="20"/>
                <w:szCs w:val="20"/>
              </w:rPr>
            </w:pPr>
            <w:r>
              <w:rPr>
                <w:sz w:val="20"/>
                <w:szCs w:val="20"/>
              </w:rPr>
              <w:t>1</w:t>
            </w:r>
          </w:p>
        </w:tc>
        <w:tc>
          <w:tcPr>
            <w:tcW w:w="1517" w:type="dxa"/>
            <w:tcBorders>
              <w:top w:val="single" w:sz="6" w:space="0" w:color="000000"/>
              <w:left w:val="single" w:sz="6" w:space="0" w:color="000000"/>
              <w:bottom w:val="single" w:sz="6" w:space="0" w:color="000000"/>
              <w:right w:val="single" w:sz="6" w:space="0" w:color="000000"/>
            </w:tcBorders>
          </w:tcPr>
          <w:p w:rsidR="00AA66A2" w:rsidRPr="009C2671" w:rsidRDefault="00AA66A2" w:rsidP="00D94BC5">
            <w:pPr>
              <w:widowControl w:val="0"/>
              <w:snapToGrid w:val="0"/>
              <w:jc w:val="center"/>
              <w:rPr>
                <w:sz w:val="20"/>
                <w:szCs w:val="20"/>
              </w:rPr>
            </w:pPr>
            <w:r>
              <w:rPr>
                <w:sz w:val="20"/>
                <w:szCs w:val="20"/>
              </w:rPr>
              <w:t>1</w:t>
            </w:r>
          </w:p>
        </w:tc>
        <w:tc>
          <w:tcPr>
            <w:tcW w:w="1374" w:type="dxa"/>
            <w:tcBorders>
              <w:top w:val="single" w:sz="6" w:space="0" w:color="000000"/>
              <w:left w:val="single" w:sz="6" w:space="0" w:color="000000"/>
              <w:bottom w:val="single" w:sz="6" w:space="0" w:color="000000"/>
              <w:right w:val="single" w:sz="6" w:space="0" w:color="000000"/>
            </w:tcBorders>
          </w:tcPr>
          <w:p w:rsidR="00AA66A2" w:rsidRPr="009C2671" w:rsidRDefault="00D94BC5" w:rsidP="00D94BC5">
            <w:pPr>
              <w:jc w:val="center"/>
              <w:rPr>
                <w:sz w:val="20"/>
                <w:szCs w:val="20"/>
              </w:rPr>
            </w:pPr>
            <w:r>
              <w:rPr>
                <w:sz w:val="20"/>
                <w:szCs w:val="20"/>
              </w:rPr>
              <w:t>4,000</w:t>
            </w:r>
          </w:p>
        </w:tc>
        <w:tc>
          <w:tcPr>
            <w:tcW w:w="1009" w:type="dxa"/>
            <w:tcBorders>
              <w:top w:val="single" w:sz="6" w:space="0" w:color="000000"/>
              <w:left w:val="single" w:sz="6" w:space="0" w:color="000000"/>
              <w:bottom w:val="single" w:sz="6" w:space="0" w:color="000000"/>
              <w:right w:val="single" w:sz="6" w:space="0" w:color="000000"/>
            </w:tcBorders>
          </w:tcPr>
          <w:p w:rsidR="00AA66A2" w:rsidRPr="009C2671" w:rsidRDefault="00D94BC5" w:rsidP="00D94BC5">
            <w:pPr>
              <w:jc w:val="center"/>
              <w:rPr>
                <w:sz w:val="20"/>
                <w:szCs w:val="20"/>
              </w:rPr>
            </w:pPr>
            <w:r>
              <w:rPr>
                <w:sz w:val="20"/>
                <w:szCs w:val="20"/>
              </w:rPr>
              <w:t>84,000</w:t>
            </w:r>
          </w:p>
        </w:tc>
      </w:tr>
      <w:tr w:rsidR="00566C49" w:rsidRPr="009C2671" w:rsidTr="00D71498">
        <w:trPr>
          <w:trHeight w:val="282"/>
        </w:trPr>
        <w:tc>
          <w:tcPr>
            <w:tcW w:w="1907" w:type="dxa"/>
            <w:tcBorders>
              <w:top w:val="single" w:sz="6" w:space="0" w:color="000000"/>
              <w:left w:val="single" w:sz="6" w:space="0" w:color="000000"/>
              <w:bottom w:val="single" w:sz="6" w:space="0" w:color="000000"/>
              <w:right w:val="single" w:sz="6" w:space="0" w:color="000000"/>
            </w:tcBorders>
          </w:tcPr>
          <w:p w:rsidR="00566C49" w:rsidRPr="003372FC" w:rsidRDefault="00566C49" w:rsidP="00BD14E2">
            <w:pPr>
              <w:widowControl w:val="0"/>
              <w:snapToGrid w:val="0"/>
              <w:jc w:val="center"/>
              <w:rPr>
                <w:b/>
                <w:sz w:val="20"/>
                <w:szCs w:val="20"/>
              </w:rPr>
            </w:pPr>
            <w:r>
              <w:rPr>
                <w:b/>
                <w:sz w:val="20"/>
                <w:szCs w:val="20"/>
              </w:rPr>
              <w:t>Total</w:t>
            </w:r>
          </w:p>
        </w:tc>
        <w:tc>
          <w:tcPr>
            <w:tcW w:w="1611" w:type="dxa"/>
            <w:tcBorders>
              <w:top w:val="single" w:sz="6" w:space="0" w:color="000000"/>
              <w:left w:val="single" w:sz="6" w:space="0" w:color="000000"/>
              <w:bottom w:val="single" w:sz="6" w:space="0" w:color="000000"/>
              <w:right w:val="single" w:sz="6" w:space="0" w:color="000000"/>
            </w:tcBorders>
          </w:tcPr>
          <w:p w:rsidR="00566C49" w:rsidRPr="003372FC" w:rsidRDefault="00566C49" w:rsidP="00D94BC5">
            <w:pPr>
              <w:widowControl w:val="0"/>
              <w:snapToGrid w:val="0"/>
              <w:jc w:val="center"/>
              <w:rPr>
                <w:b/>
                <w:sz w:val="20"/>
                <w:szCs w:val="20"/>
              </w:rPr>
            </w:pPr>
          </w:p>
        </w:tc>
        <w:tc>
          <w:tcPr>
            <w:tcW w:w="1746" w:type="dxa"/>
            <w:tcBorders>
              <w:top w:val="single" w:sz="6" w:space="0" w:color="000000"/>
              <w:left w:val="single" w:sz="6" w:space="0" w:color="000000"/>
              <w:bottom w:val="single" w:sz="6" w:space="0" w:color="000000"/>
              <w:right w:val="single" w:sz="6" w:space="0" w:color="000000"/>
            </w:tcBorders>
          </w:tcPr>
          <w:p w:rsidR="00566C49" w:rsidRPr="003372FC" w:rsidRDefault="00566C49" w:rsidP="00D94BC5">
            <w:pPr>
              <w:widowControl w:val="0"/>
              <w:snapToGrid w:val="0"/>
              <w:jc w:val="center"/>
              <w:rPr>
                <w:b/>
                <w:sz w:val="20"/>
                <w:szCs w:val="20"/>
              </w:rPr>
            </w:pPr>
          </w:p>
        </w:tc>
        <w:tc>
          <w:tcPr>
            <w:tcW w:w="1517" w:type="dxa"/>
            <w:tcBorders>
              <w:top w:val="single" w:sz="6" w:space="0" w:color="000000"/>
              <w:left w:val="single" w:sz="6" w:space="0" w:color="000000"/>
              <w:bottom w:val="single" w:sz="6" w:space="0" w:color="000000"/>
              <w:right w:val="single" w:sz="6" w:space="0" w:color="000000"/>
            </w:tcBorders>
          </w:tcPr>
          <w:p w:rsidR="00566C49" w:rsidRPr="003372FC" w:rsidRDefault="00566C49" w:rsidP="00D94BC5">
            <w:pPr>
              <w:widowControl w:val="0"/>
              <w:snapToGrid w:val="0"/>
              <w:jc w:val="center"/>
              <w:rPr>
                <w:b/>
                <w:sz w:val="20"/>
                <w:szCs w:val="20"/>
              </w:rPr>
            </w:pPr>
          </w:p>
        </w:tc>
        <w:tc>
          <w:tcPr>
            <w:tcW w:w="1374" w:type="dxa"/>
            <w:tcBorders>
              <w:top w:val="single" w:sz="6" w:space="0" w:color="000000"/>
              <w:left w:val="single" w:sz="6" w:space="0" w:color="000000"/>
              <w:bottom w:val="single" w:sz="6" w:space="0" w:color="000000"/>
              <w:right w:val="single" w:sz="6" w:space="0" w:color="000000"/>
            </w:tcBorders>
          </w:tcPr>
          <w:p w:rsidR="00566C49" w:rsidRPr="003372FC" w:rsidRDefault="00D94BC5" w:rsidP="00D94BC5">
            <w:pPr>
              <w:widowControl w:val="0"/>
              <w:snapToGrid w:val="0"/>
              <w:jc w:val="center"/>
              <w:rPr>
                <w:b/>
                <w:sz w:val="20"/>
                <w:szCs w:val="20"/>
              </w:rPr>
            </w:pPr>
            <w:r>
              <w:rPr>
                <w:b/>
                <w:sz w:val="20"/>
                <w:szCs w:val="20"/>
              </w:rPr>
              <w:t>7,200</w:t>
            </w:r>
          </w:p>
        </w:tc>
        <w:tc>
          <w:tcPr>
            <w:tcW w:w="1009" w:type="dxa"/>
            <w:tcBorders>
              <w:top w:val="single" w:sz="6" w:space="0" w:color="000000"/>
              <w:left w:val="single" w:sz="6" w:space="0" w:color="000000"/>
              <w:bottom w:val="single" w:sz="6" w:space="0" w:color="000000"/>
              <w:right w:val="single" w:sz="6" w:space="0" w:color="000000"/>
            </w:tcBorders>
          </w:tcPr>
          <w:p w:rsidR="00566C49" w:rsidRDefault="00D94BC5" w:rsidP="00D94BC5">
            <w:pPr>
              <w:widowControl w:val="0"/>
              <w:snapToGrid w:val="0"/>
              <w:jc w:val="center"/>
              <w:rPr>
                <w:b/>
                <w:sz w:val="20"/>
                <w:szCs w:val="20"/>
              </w:rPr>
            </w:pPr>
            <w:r>
              <w:rPr>
                <w:b/>
                <w:sz w:val="20"/>
                <w:szCs w:val="20"/>
              </w:rPr>
              <w:t>151,200</w:t>
            </w:r>
          </w:p>
        </w:tc>
      </w:tr>
    </w:tbl>
    <w:p w:rsidR="00BE2851" w:rsidRDefault="00BE2851" w:rsidP="00BE2851"/>
    <w:p w:rsidR="00BE2851" w:rsidRDefault="00BE2851" w:rsidP="001D12B7">
      <w:pPr>
        <w:ind w:left="720"/>
      </w:pPr>
    </w:p>
    <w:bookmarkEnd w:id="1"/>
    <w:p w:rsidR="00A602C5" w:rsidRPr="00706E40" w:rsidRDefault="00A602C5" w:rsidP="00A602C5">
      <w:pPr>
        <w:numPr>
          <w:ilvl w:val="0"/>
          <w:numId w:val="1"/>
        </w:numPr>
      </w:pPr>
      <w:r w:rsidRPr="004C6979">
        <w:rPr>
          <w:u w:val="single"/>
        </w:rPr>
        <w:t>Estimates of Annual Cost Burden to Respondents and Record Keepers</w:t>
      </w:r>
    </w:p>
    <w:p w:rsidR="00A602C5" w:rsidRDefault="00A602C5" w:rsidP="00A602C5">
      <w:pPr>
        <w:ind w:left="720"/>
      </w:pPr>
    </w:p>
    <w:p w:rsidR="00D03541" w:rsidRDefault="00AB021D"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D03541">
        <w:t>Total annual cost burden:</w:t>
      </w:r>
    </w:p>
    <w:p w:rsidR="00D03541" w:rsidRDefault="00D03541" w:rsidP="00D03541">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 xml:space="preserve">Total annualized capital and start-up costs associated with </w:t>
      </w:r>
      <w:r w:rsidR="006B54D6">
        <w:t>the Framework</w:t>
      </w:r>
      <w:r w:rsidR="00AA66A2">
        <w:t xml:space="preserve"> is</w:t>
      </w:r>
      <w:r>
        <w:t xml:space="preserve"> estimated to be $0 (zero dollars).  </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w:t>
      </w:r>
    </w:p>
    <w:p w:rsidR="00D03541" w:rsidRDefault="00D03541" w:rsidP="00D035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A602C5" w:rsidRDefault="00D03541" w:rsidP="0087537F">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A602C5" w:rsidRDefault="00A602C5" w:rsidP="00A602C5">
      <w:pPr>
        <w:ind w:left="720"/>
      </w:pPr>
    </w:p>
    <w:p w:rsidR="00A602C5" w:rsidRPr="00F40104" w:rsidRDefault="00A602C5" w:rsidP="00A602C5">
      <w:pPr>
        <w:pStyle w:val="ListParagraph"/>
        <w:numPr>
          <w:ilvl w:val="0"/>
          <w:numId w:val="1"/>
        </w:numPr>
        <w:rPr>
          <w:u w:val="single"/>
        </w:rPr>
      </w:pPr>
      <w:r w:rsidRPr="00042C5B">
        <w:t xml:space="preserve"> </w:t>
      </w:r>
      <w:r w:rsidRPr="00F40104">
        <w:rPr>
          <w:u w:val="single"/>
        </w:rPr>
        <w:t>Annualized Cost to the Federal Government</w:t>
      </w:r>
    </w:p>
    <w:p w:rsidR="00A602C5" w:rsidRDefault="00A602C5" w:rsidP="00A602C5">
      <w:pPr>
        <w:autoSpaceDE w:val="0"/>
        <w:autoSpaceDN w:val="0"/>
        <w:adjustRightInd w:val="0"/>
        <w:ind w:firstLine="720"/>
      </w:pPr>
    </w:p>
    <w:p w:rsidR="00A602C5" w:rsidRDefault="00800CA0" w:rsidP="00A602C5">
      <w:pPr>
        <w:autoSpaceDE w:val="0"/>
        <w:autoSpaceDN w:val="0"/>
        <w:adjustRightInd w:val="0"/>
        <w:ind w:firstLine="720"/>
      </w:pPr>
      <w:proofErr w:type="gramStart"/>
      <w:r>
        <w:t>N</w:t>
      </w:r>
      <w:r w:rsidR="00A602C5">
        <w:t>o annualized cost to the Federal government.</w:t>
      </w:r>
      <w:proofErr w:type="gramEnd"/>
    </w:p>
    <w:p w:rsidR="00A602C5" w:rsidRPr="00706E40" w:rsidRDefault="00A602C5" w:rsidP="00A602C5">
      <w:pPr>
        <w:autoSpaceDE w:val="0"/>
        <w:autoSpaceDN w:val="0"/>
        <w:adjustRightInd w:val="0"/>
        <w:ind w:firstLine="720"/>
      </w:pPr>
    </w:p>
    <w:p w:rsidR="00A602C5" w:rsidRPr="004C6979" w:rsidRDefault="00A602C5" w:rsidP="00A602C5">
      <w:pPr>
        <w:numPr>
          <w:ilvl w:val="0"/>
          <w:numId w:val="1"/>
        </w:numPr>
        <w:rPr>
          <w:u w:val="single"/>
        </w:rPr>
      </w:pPr>
      <w:r w:rsidRPr="004C6979">
        <w:rPr>
          <w:u w:val="single"/>
        </w:rPr>
        <w:t>Explanation for Program Changes or Adjustments</w:t>
      </w:r>
    </w:p>
    <w:p w:rsidR="00A602C5" w:rsidRDefault="00A602C5" w:rsidP="00A602C5">
      <w:pPr>
        <w:ind w:firstLine="720"/>
      </w:pPr>
    </w:p>
    <w:p w:rsidR="00F164C1" w:rsidRPr="001C3C40" w:rsidRDefault="001C3C40" w:rsidP="00D340A8">
      <w:pPr>
        <w:ind w:left="720"/>
      </w:pPr>
      <w:r w:rsidRPr="001C3C40">
        <w:t xml:space="preserve">This </w:t>
      </w:r>
      <w:r w:rsidR="00D66ABA">
        <w:t>is a new information collection request.</w:t>
      </w:r>
    </w:p>
    <w:p w:rsidR="001C3C40" w:rsidRDefault="001C3C40" w:rsidP="00A602C5">
      <w:pPr>
        <w:ind w:firstLine="720"/>
      </w:pPr>
    </w:p>
    <w:p w:rsidR="00A602C5" w:rsidRPr="004C6979" w:rsidRDefault="00A602C5" w:rsidP="00A602C5">
      <w:pPr>
        <w:numPr>
          <w:ilvl w:val="0"/>
          <w:numId w:val="1"/>
        </w:numPr>
        <w:rPr>
          <w:u w:val="single"/>
        </w:rPr>
      </w:pPr>
      <w:r w:rsidRPr="004C6979">
        <w:rPr>
          <w:u w:val="single"/>
        </w:rPr>
        <w:t>Plans for Tabulation and Publication and Project Time Schedule</w:t>
      </w:r>
    </w:p>
    <w:p w:rsidR="00A602C5" w:rsidRDefault="00A602C5" w:rsidP="00A602C5">
      <w:pPr>
        <w:ind w:firstLine="720"/>
      </w:pPr>
    </w:p>
    <w:p w:rsidR="00A602C5" w:rsidRDefault="00A602C5" w:rsidP="00D340A8">
      <w:pPr>
        <w:ind w:firstLine="720"/>
      </w:pPr>
      <w:r>
        <w:t>There are no publications.</w:t>
      </w:r>
    </w:p>
    <w:p w:rsidR="00AA66A2" w:rsidRDefault="00AA66A2" w:rsidP="00D340A8">
      <w:pPr>
        <w:ind w:firstLine="720"/>
      </w:pPr>
    </w:p>
    <w:p w:rsidR="00A602C5" w:rsidRPr="004C6979" w:rsidRDefault="00A602C5" w:rsidP="00A602C5">
      <w:pPr>
        <w:numPr>
          <w:ilvl w:val="0"/>
          <w:numId w:val="1"/>
        </w:numPr>
        <w:rPr>
          <w:u w:val="single"/>
        </w:rPr>
      </w:pPr>
      <w:r w:rsidRPr="004C6979">
        <w:rPr>
          <w:u w:val="single"/>
        </w:rPr>
        <w:t>Reason(s) Display of OMB Expiration Date is Inappropriate</w:t>
      </w:r>
    </w:p>
    <w:p w:rsidR="00A602C5" w:rsidRDefault="00A602C5" w:rsidP="00A602C5">
      <w:pPr>
        <w:ind w:left="720"/>
      </w:pPr>
    </w:p>
    <w:p w:rsidR="00A602C5" w:rsidRDefault="00A602C5" w:rsidP="00A602C5">
      <w:pPr>
        <w:ind w:left="720"/>
      </w:pPr>
      <w:r w:rsidRPr="00F877F6">
        <w:t xml:space="preserve">The agency is not seeking to display the expiration date </w:t>
      </w:r>
      <w:r>
        <w:t>of</w:t>
      </w:r>
      <w:r w:rsidRPr="00F877F6">
        <w:t xml:space="preserve"> OMB approval of the information collection.</w:t>
      </w:r>
    </w:p>
    <w:p w:rsidR="00A602C5" w:rsidRDefault="00A602C5" w:rsidP="00A602C5"/>
    <w:p w:rsidR="00A602C5" w:rsidRDefault="00A602C5" w:rsidP="00A602C5">
      <w:pPr>
        <w:ind w:left="720" w:hanging="360"/>
      </w:pPr>
      <w:r>
        <w:t xml:space="preserve">18. </w:t>
      </w:r>
      <w:r>
        <w:rPr>
          <w:u w:val="single"/>
        </w:rPr>
        <w:t>E</w:t>
      </w:r>
      <w:r w:rsidRPr="004C6979">
        <w:rPr>
          <w:u w:val="single"/>
        </w:rPr>
        <w:t>xceptions to Certification for Paperwork Reduction Act Submission</w:t>
      </w:r>
      <w:r>
        <w:rPr>
          <w:u w:val="single"/>
        </w:rPr>
        <w:t>s</w:t>
      </w:r>
      <w:r>
        <w:t xml:space="preserve"> </w:t>
      </w:r>
    </w:p>
    <w:p w:rsidR="00A602C5" w:rsidRDefault="00A602C5" w:rsidP="00A602C5">
      <w:pPr>
        <w:ind w:firstLine="720"/>
      </w:pPr>
    </w:p>
    <w:p w:rsidR="00A602C5" w:rsidRPr="00F877F6" w:rsidRDefault="00A602C5" w:rsidP="00A602C5">
      <w:pPr>
        <w:ind w:firstLine="720"/>
      </w:pPr>
      <w:r w:rsidRPr="00F877F6">
        <w:t>There are no exceptions to the certification</w:t>
      </w:r>
      <w:r>
        <w:t>.</w:t>
      </w:r>
    </w:p>
    <w:p w:rsidR="00930DF2" w:rsidRDefault="00930DF2"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758B7" w:rsidRPr="00110A32" w:rsidRDefault="008758B7" w:rsidP="008758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10A32">
        <w:rPr>
          <w:b/>
        </w:rPr>
        <w:t xml:space="preserve">B.  </w:t>
      </w:r>
      <w:r w:rsidR="00110A32" w:rsidRPr="00110A32">
        <w:rPr>
          <w:b/>
        </w:rPr>
        <w:t>Collection of Information Employing Statistical Methods</w:t>
      </w:r>
    </w:p>
    <w:p w:rsidR="00110A32" w:rsidRDefault="00110A32"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602C5" w:rsidRPr="001D12B7" w:rsidRDefault="008758B7" w:rsidP="001D12B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957F5B" w:rsidRDefault="00957F5B"/>
    <w:sectPr w:rsidR="00957F5B" w:rsidSect="004427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8B" w:rsidRDefault="0087268B" w:rsidP="00A602C5">
      <w:r>
        <w:separator/>
      </w:r>
    </w:p>
  </w:endnote>
  <w:endnote w:type="continuationSeparator" w:id="0">
    <w:p w:rsidR="0087268B" w:rsidRDefault="0087268B"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4C5B7F" w:rsidRDefault="00D8670F">
        <w:pPr>
          <w:pStyle w:val="Footer"/>
          <w:jc w:val="center"/>
        </w:pPr>
        <w:r>
          <w:fldChar w:fldCharType="begin"/>
        </w:r>
        <w:r>
          <w:instrText xml:space="preserve"> PAGE   \* MERGEFORMAT </w:instrText>
        </w:r>
        <w:r>
          <w:fldChar w:fldCharType="separate"/>
        </w:r>
        <w:r w:rsidR="001409F7">
          <w:rPr>
            <w:noProof/>
          </w:rPr>
          <w:t>5</w:t>
        </w:r>
        <w:r>
          <w:rPr>
            <w:noProof/>
          </w:rPr>
          <w:fldChar w:fldCharType="end"/>
        </w:r>
      </w:p>
    </w:sdtContent>
  </w:sdt>
  <w:p w:rsidR="004C5B7F" w:rsidRDefault="004C5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8B" w:rsidRDefault="0087268B" w:rsidP="00A602C5">
      <w:r>
        <w:separator/>
      </w:r>
    </w:p>
  </w:footnote>
  <w:footnote w:type="continuationSeparator" w:id="0">
    <w:p w:rsidR="0087268B" w:rsidRDefault="0087268B" w:rsidP="00A602C5">
      <w:r>
        <w:continuationSeparator/>
      </w:r>
    </w:p>
  </w:footnote>
  <w:footnote w:id="1">
    <w:p w:rsidR="00C84B43" w:rsidRDefault="00C84B43">
      <w:pPr>
        <w:pStyle w:val="FootnoteText"/>
      </w:pPr>
      <w:r>
        <w:rPr>
          <w:rStyle w:val="FootnoteReference"/>
        </w:rPr>
        <w:footnoteRef/>
      </w:r>
      <w:r>
        <w:t xml:space="preserve"> </w:t>
      </w:r>
      <w:proofErr w:type="gramStart"/>
      <w:r w:rsidRPr="00C84B43">
        <w:t>12</w:t>
      </w:r>
      <w:proofErr w:type="gramEnd"/>
      <w:r w:rsidRPr="00C84B43">
        <w:t xml:space="preserve"> U.S.C. 1831p-1.  Section 39 was enacted as part of the Federal Deposit Insurance Corporation Improvement Act of 1991, P.L. 102-242, section 132(a), 105 Stat. 2236, </w:t>
      </w:r>
      <w:proofErr w:type="gramStart"/>
      <w:r w:rsidRPr="00C84B43">
        <w:t>2267</w:t>
      </w:r>
      <w:proofErr w:type="gramEnd"/>
      <w:r w:rsidRPr="00C84B43">
        <w:t>-70 (Dec. 19, 1991).</w:t>
      </w:r>
    </w:p>
  </w:footnote>
  <w:footnote w:id="2">
    <w:p w:rsidR="00CB1818" w:rsidRDefault="00CB1818" w:rsidP="00C1118E">
      <w:pPr>
        <w:pStyle w:val="FootnoteText"/>
      </w:pPr>
      <w:r>
        <w:rPr>
          <w:rStyle w:val="FootnoteReference"/>
        </w:rPr>
        <w:footnoteRef/>
      </w:r>
      <w:r>
        <w:t xml:space="preserve">  Public Law 111-203, 124 Stat. 1376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4F3" w:rsidRDefault="00307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C5"/>
    <w:rsid w:val="00025C0F"/>
    <w:rsid w:val="00042C5B"/>
    <w:rsid w:val="00043E18"/>
    <w:rsid w:val="00065181"/>
    <w:rsid w:val="00086DB2"/>
    <w:rsid w:val="000B04A5"/>
    <w:rsid w:val="000C2836"/>
    <w:rsid w:val="000C50CC"/>
    <w:rsid w:val="000F1BE3"/>
    <w:rsid w:val="00110A32"/>
    <w:rsid w:val="00131285"/>
    <w:rsid w:val="001409F7"/>
    <w:rsid w:val="0017262F"/>
    <w:rsid w:val="00187822"/>
    <w:rsid w:val="0019329A"/>
    <w:rsid w:val="001A4B13"/>
    <w:rsid w:val="001A61AA"/>
    <w:rsid w:val="001C3C40"/>
    <w:rsid w:val="001D12B7"/>
    <w:rsid w:val="001D1EE6"/>
    <w:rsid w:val="001D699E"/>
    <w:rsid w:val="00277343"/>
    <w:rsid w:val="0029200F"/>
    <w:rsid w:val="00296874"/>
    <w:rsid w:val="002A1428"/>
    <w:rsid w:val="002C113F"/>
    <w:rsid w:val="003074F3"/>
    <w:rsid w:val="0033119A"/>
    <w:rsid w:val="0035215F"/>
    <w:rsid w:val="0036066B"/>
    <w:rsid w:val="003D116E"/>
    <w:rsid w:val="003D23D2"/>
    <w:rsid w:val="003E7377"/>
    <w:rsid w:val="00421451"/>
    <w:rsid w:val="00425CC8"/>
    <w:rsid w:val="0044276C"/>
    <w:rsid w:val="00460CFB"/>
    <w:rsid w:val="00470EC5"/>
    <w:rsid w:val="004C5B7F"/>
    <w:rsid w:val="004C720E"/>
    <w:rsid w:val="00566C49"/>
    <w:rsid w:val="005B674B"/>
    <w:rsid w:val="005E489E"/>
    <w:rsid w:val="00607FB1"/>
    <w:rsid w:val="00624294"/>
    <w:rsid w:val="00625D38"/>
    <w:rsid w:val="00647862"/>
    <w:rsid w:val="00686F14"/>
    <w:rsid w:val="00693BBF"/>
    <w:rsid w:val="00693C36"/>
    <w:rsid w:val="006A12B9"/>
    <w:rsid w:val="006A5445"/>
    <w:rsid w:val="006B54D6"/>
    <w:rsid w:val="006B5B17"/>
    <w:rsid w:val="006C2146"/>
    <w:rsid w:val="006C3C73"/>
    <w:rsid w:val="0071744B"/>
    <w:rsid w:val="00762D6B"/>
    <w:rsid w:val="007C70B2"/>
    <w:rsid w:val="007E08C2"/>
    <w:rsid w:val="00800CA0"/>
    <w:rsid w:val="00814540"/>
    <w:rsid w:val="0087268B"/>
    <w:rsid w:val="0087537F"/>
    <w:rsid w:val="008758B7"/>
    <w:rsid w:val="00877C10"/>
    <w:rsid w:val="00885E35"/>
    <w:rsid w:val="00892915"/>
    <w:rsid w:val="008A0CCF"/>
    <w:rsid w:val="008B7F00"/>
    <w:rsid w:val="008D5445"/>
    <w:rsid w:val="008D7F91"/>
    <w:rsid w:val="008D7FEC"/>
    <w:rsid w:val="0091256A"/>
    <w:rsid w:val="00920AC8"/>
    <w:rsid w:val="00930DF2"/>
    <w:rsid w:val="00934D67"/>
    <w:rsid w:val="00957F5B"/>
    <w:rsid w:val="0096289C"/>
    <w:rsid w:val="009A3008"/>
    <w:rsid w:val="009D0F9F"/>
    <w:rsid w:val="009F0DFE"/>
    <w:rsid w:val="009F5741"/>
    <w:rsid w:val="00A3034C"/>
    <w:rsid w:val="00A43855"/>
    <w:rsid w:val="00A602C5"/>
    <w:rsid w:val="00AA66A2"/>
    <w:rsid w:val="00AB021D"/>
    <w:rsid w:val="00AC058B"/>
    <w:rsid w:val="00AE26EF"/>
    <w:rsid w:val="00B86FD5"/>
    <w:rsid w:val="00BC3612"/>
    <w:rsid w:val="00BC7456"/>
    <w:rsid w:val="00BD14E2"/>
    <w:rsid w:val="00BE2851"/>
    <w:rsid w:val="00C02532"/>
    <w:rsid w:val="00C1118E"/>
    <w:rsid w:val="00C16790"/>
    <w:rsid w:val="00C173F5"/>
    <w:rsid w:val="00C517A7"/>
    <w:rsid w:val="00C75B57"/>
    <w:rsid w:val="00C84B43"/>
    <w:rsid w:val="00CA6B14"/>
    <w:rsid w:val="00CB1818"/>
    <w:rsid w:val="00CC1FCC"/>
    <w:rsid w:val="00CC6BFA"/>
    <w:rsid w:val="00D03541"/>
    <w:rsid w:val="00D340A8"/>
    <w:rsid w:val="00D656A4"/>
    <w:rsid w:val="00D66ABA"/>
    <w:rsid w:val="00D71498"/>
    <w:rsid w:val="00D72F7C"/>
    <w:rsid w:val="00D8670F"/>
    <w:rsid w:val="00D94BC5"/>
    <w:rsid w:val="00DC3061"/>
    <w:rsid w:val="00DC3FB5"/>
    <w:rsid w:val="00DE13E1"/>
    <w:rsid w:val="00E51F8F"/>
    <w:rsid w:val="00E52B65"/>
    <w:rsid w:val="00E75B0B"/>
    <w:rsid w:val="00E84ED2"/>
    <w:rsid w:val="00EF17B1"/>
    <w:rsid w:val="00F164C1"/>
    <w:rsid w:val="00F639FA"/>
    <w:rsid w:val="00F7098D"/>
    <w:rsid w:val="00FC61AE"/>
    <w:rsid w:val="00FD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uiPriority w:val="99"/>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5B674B"/>
    <w:rPr>
      <w:sz w:val="16"/>
      <w:szCs w:val="16"/>
    </w:rPr>
  </w:style>
  <w:style w:type="paragraph" w:styleId="CommentText">
    <w:name w:val="annotation text"/>
    <w:basedOn w:val="Normal"/>
    <w:link w:val="CommentTextChar"/>
    <w:rsid w:val="005B674B"/>
    <w:rPr>
      <w:sz w:val="20"/>
      <w:szCs w:val="20"/>
    </w:rPr>
  </w:style>
  <w:style w:type="character" w:customStyle="1" w:styleId="CommentTextChar">
    <w:name w:val="Comment Text Char"/>
    <w:basedOn w:val="DefaultParagraphFont"/>
    <w:link w:val="CommentText"/>
    <w:rsid w:val="005B674B"/>
  </w:style>
  <w:style w:type="paragraph" w:styleId="CommentSubject">
    <w:name w:val="annotation subject"/>
    <w:basedOn w:val="CommentText"/>
    <w:next w:val="CommentText"/>
    <w:link w:val="CommentSubjectChar"/>
    <w:rsid w:val="005B674B"/>
    <w:rPr>
      <w:b/>
      <w:bCs/>
    </w:rPr>
  </w:style>
  <w:style w:type="character" w:customStyle="1" w:styleId="CommentSubjectChar">
    <w:name w:val="Comment Subject Char"/>
    <w:basedOn w:val="CommentTextChar"/>
    <w:link w:val="CommentSubject"/>
    <w:rsid w:val="005B674B"/>
    <w:rPr>
      <w:b/>
      <w:bCs/>
    </w:rPr>
  </w:style>
  <w:style w:type="paragraph" w:styleId="BalloonText">
    <w:name w:val="Balloon Text"/>
    <w:basedOn w:val="Normal"/>
    <w:link w:val="BalloonTextChar"/>
    <w:rsid w:val="005B674B"/>
    <w:rPr>
      <w:rFonts w:ascii="Tahoma" w:hAnsi="Tahoma" w:cs="Tahoma"/>
      <w:sz w:val="16"/>
      <w:szCs w:val="16"/>
    </w:rPr>
  </w:style>
  <w:style w:type="character" w:customStyle="1" w:styleId="BalloonTextChar">
    <w:name w:val="Balloon Text Char"/>
    <w:basedOn w:val="DefaultParagraphFont"/>
    <w:link w:val="BalloonText"/>
    <w:rsid w:val="005B6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3A30D-3383-4C6E-88FF-E3C8B047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1643</Words>
  <Characters>9554</Characters>
  <Application>Microsoft Office Word</Application>
  <DocSecurity>0</DocSecurity>
  <Lines>173</Lines>
  <Paragraphs>73</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juanmanuel.vilela</cp:lastModifiedBy>
  <cp:revision>8</cp:revision>
  <cp:lastPrinted>2014-01-14T15:30:00Z</cp:lastPrinted>
  <dcterms:created xsi:type="dcterms:W3CDTF">2014-01-15T16:36:00Z</dcterms:created>
  <dcterms:modified xsi:type="dcterms:W3CDTF">2014-01-27T15:39:00Z</dcterms:modified>
</cp:coreProperties>
</file>