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17" w:rsidRDefault="00E85517" w:rsidP="004563BF">
      <w:pPr>
        <w:rPr>
          <w:b/>
          <w:bCs/>
          <w:sz w:val="28"/>
          <w:szCs w:val="28"/>
        </w:rPr>
      </w:pPr>
      <w:r>
        <w:rPr>
          <w:sz w:val="28"/>
          <w:szCs w:val="28"/>
        </w:rPr>
        <w:tab/>
        <w:t xml:space="preserve">         </w:t>
      </w:r>
      <w:r>
        <w:rPr>
          <w:b/>
          <w:bCs/>
          <w:sz w:val="28"/>
          <w:szCs w:val="28"/>
        </w:rPr>
        <w:t xml:space="preserve">Supporting Statement for the Collection of State Medicaid </w:t>
      </w:r>
    </w:p>
    <w:p w:rsidR="00E85517" w:rsidRDefault="00E85517" w:rsidP="004563BF">
      <w:pPr>
        <w:rPr>
          <w:b/>
          <w:bCs/>
          <w:sz w:val="28"/>
          <w:szCs w:val="28"/>
        </w:rPr>
      </w:pPr>
      <w:r>
        <w:rPr>
          <w:b/>
          <w:bCs/>
          <w:sz w:val="28"/>
          <w:szCs w:val="28"/>
        </w:rPr>
        <w:tab/>
      </w:r>
      <w:r>
        <w:rPr>
          <w:b/>
          <w:bCs/>
          <w:sz w:val="28"/>
          <w:szCs w:val="28"/>
        </w:rPr>
        <w:tab/>
        <w:t xml:space="preserve">         Fraud Control Units’ Reports as Required by </w:t>
      </w:r>
    </w:p>
    <w:p w:rsidR="00E85517" w:rsidRDefault="00E85517" w:rsidP="004563BF">
      <w:pPr>
        <w:rPr>
          <w:b/>
          <w:bCs/>
          <w:sz w:val="24"/>
          <w:szCs w:val="24"/>
        </w:rPr>
      </w:pPr>
      <w:r>
        <w:rPr>
          <w:b/>
          <w:bCs/>
          <w:sz w:val="28"/>
          <w:szCs w:val="28"/>
        </w:rPr>
        <w:tab/>
      </w:r>
      <w:r>
        <w:rPr>
          <w:b/>
          <w:bCs/>
          <w:sz w:val="28"/>
          <w:szCs w:val="28"/>
        </w:rPr>
        <w:tab/>
        <w:t xml:space="preserve">              42 CFR § 1007.15 and 42 CFR § 1007.17 </w:t>
      </w:r>
      <w:r>
        <w:rPr>
          <w:b/>
          <w:bCs/>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b/>
          <w:bCs/>
          <w:sz w:val="24"/>
          <w:szCs w:val="24"/>
        </w:rPr>
        <w:t>Background</w:t>
      </w:r>
    </w:p>
    <w:p w:rsidR="00E85517" w:rsidRDefault="00E85517" w:rsidP="004563BF">
      <w:pPr>
        <w:rPr>
          <w:sz w:val="24"/>
          <w:szCs w:val="24"/>
        </w:rPr>
      </w:pPr>
      <w:r>
        <w:rPr>
          <w:sz w:val="24"/>
          <w:szCs w:val="24"/>
        </w:rPr>
        <w:tab/>
      </w:r>
    </w:p>
    <w:p w:rsidR="00E85517" w:rsidRDefault="00E85517" w:rsidP="004563BF">
      <w:pPr>
        <w:ind w:left="720"/>
        <w:rPr>
          <w:sz w:val="24"/>
          <w:szCs w:val="24"/>
        </w:rPr>
      </w:pPr>
      <w:r>
        <w:rPr>
          <w:sz w:val="24"/>
          <w:szCs w:val="24"/>
        </w:rPr>
        <w:t>The Office of Inspector General (OIG) is requesting Office of Management and Budget (OMB) approval for the collection of information to comply with the requirements in Title XIX of the Social Security Act at 1903(q), 42 CFR § 1007.15, and 42 CFR § 1007.17, in accordance with the Paperwork Reduction Act.  The information collected consists of 50 separate annual reports and 50 separate application requests for certification/recertification of State Medicaid Fraud Control Units (MFCU or Unit).  The collection is required by the statute and submitted yearly to OIG by the 50 MFCUs.  OIG uses the information collected to determine the MFCUs’ compliance with Federal requirements and eligibility for continued Federal financial participation (FFP) under the Federal MFCU grant program.</w:t>
      </w:r>
    </w:p>
    <w:p w:rsidR="00E85517" w:rsidRDefault="00E85517" w:rsidP="004563BF">
      <w:pPr>
        <w:rPr>
          <w:sz w:val="24"/>
          <w:szCs w:val="24"/>
        </w:rPr>
      </w:pPr>
    </w:p>
    <w:p w:rsidR="00E85517" w:rsidRDefault="00E85517" w:rsidP="004563BF">
      <w:pPr>
        <w:tabs>
          <w:tab w:val="left" w:pos="720"/>
        </w:tabs>
        <w:ind w:left="720" w:hanging="720"/>
        <w:rPr>
          <w:sz w:val="24"/>
          <w:szCs w:val="24"/>
        </w:rPr>
      </w:pPr>
      <w:r>
        <w:rPr>
          <w:b/>
          <w:bCs/>
          <w:sz w:val="24"/>
          <w:szCs w:val="24"/>
        </w:rPr>
        <w:t>A.</w:t>
      </w:r>
      <w:r>
        <w:rPr>
          <w:sz w:val="24"/>
          <w:szCs w:val="24"/>
        </w:rPr>
        <w:tab/>
      </w:r>
      <w:r>
        <w:rPr>
          <w:b/>
          <w:bCs/>
          <w:sz w:val="24"/>
          <w:szCs w:val="24"/>
        </w:rPr>
        <w:t>Justification</w:t>
      </w:r>
    </w:p>
    <w:p w:rsidR="00E85517" w:rsidRDefault="00E85517" w:rsidP="004563BF">
      <w:pPr>
        <w:rPr>
          <w:sz w:val="24"/>
          <w:szCs w:val="24"/>
        </w:rPr>
      </w:pPr>
    </w:p>
    <w:p w:rsidR="00E85517" w:rsidRDefault="00E85517" w:rsidP="004563BF">
      <w:pPr>
        <w:rPr>
          <w:sz w:val="24"/>
          <w:szCs w:val="24"/>
        </w:rPr>
      </w:pPr>
      <w:r>
        <w:rPr>
          <w:b/>
          <w:bCs/>
          <w:sz w:val="24"/>
          <w:szCs w:val="24"/>
        </w:rPr>
        <w:tab/>
        <w:t xml:space="preserve">1.  </w:t>
      </w:r>
      <w:r>
        <w:rPr>
          <w:b/>
          <w:bCs/>
          <w:sz w:val="24"/>
          <w:szCs w:val="24"/>
          <w:u w:val="single"/>
        </w:rPr>
        <w:t>Need and Legal Basis</w:t>
      </w:r>
      <w:r>
        <w:rPr>
          <w:sz w:val="24"/>
          <w:szCs w:val="24"/>
        </w:rPr>
        <w:t xml:space="preserve"> </w:t>
      </w:r>
      <w:r>
        <w:rPr>
          <w:b/>
          <w:bCs/>
          <w:sz w:val="24"/>
          <w:szCs w:val="24"/>
        </w:rPr>
        <w:t xml:space="preserve">  </w:t>
      </w:r>
    </w:p>
    <w:p w:rsidR="00E85517" w:rsidRDefault="00E85517" w:rsidP="004563BF">
      <w:pPr>
        <w:rPr>
          <w:sz w:val="24"/>
          <w:szCs w:val="24"/>
        </w:rPr>
      </w:pPr>
    </w:p>
    <w:p w:rsidR="00E85517" w:rsidRDefault="00E85517" w:rsidP="00620781">
      <w:pPr>
        <w:ind w:left="720"/>
        <w:rPr>
          <w:sz w:val="24"/>
          <w:szCs w:val="24"/>
        </w:rPr>
      </w:pPr>
      <w:r>
        <w:rPr>
          <w:sz w:val="24"/>
          <w:szCs w:val="24"/>
        </w:rPr>
        <w:t xml:space="preserve">Public Law 95-142, the Medicare-Medicaid Anti-Fraud and Abuse Amendments, was enacted in 1977 to strengthen the capabilities of Federal and State governments to combat and eliminate fraud and abuse in Medicaid, through the establishment of the MFCUs.  This law amended section 1903 of the Social Security Act to establish operating requirements for MFCUs  and provide FFP to State governments for the cost of establishing MFCUs, training State personnel, and keeping the MFCUs operational. </w:t>
      </w:r>
    </w:p>
    <w:p w:rsidR="00E85517" w:rsidRDefault="00E85517" w:rsidP="00620781">
      <w:pPr>
        <w:ind w:left="720"/>
        <w:rPr>
          <w:sz w:val="24"/>
          <w:szCs w:val="24"/>
        </w:rPr>
      </w:pPr>
    </w:p>
    <w:p w:rsidR="00E85517" w:rsidRDefault="00E85517" w:rsidP="00620781">
      <w:pPr>
        <w:ind w:left="720"/>
        <w:rPr>
          <w:sz w:val="24"/>
          <w:szCs w:val="24"/>
        </w:rPr>
      </w:pPr>
      <w:r>
        <w:rPr>
          <w:sz w:val="24"/>
          <w:szCs w:val="24"/>
        </w:rPr>
        <w:t xml:space="preserve">Under section 1903(q)(7), each MFCU must annually submit to the Secretary of Health and Human Services (Secretary) an application and annual report containing information that the Secretary determines is necessary to certify the MFCU as meeting the requirements for FFP.  FFP is available only for activities directly related to the investigation and prosecution of health care providers suspected of committing Medicaid fraud.  The MFCUs also review complaints of alleged abuse or neglect of patients and the misuse of patients’ personal funds in heath care facilities.  OIG reviews the information collected to ensure that Federal matching funds are expended by MFCUs only for allowable costs.  In addition, OIG analyzes each MFCU’s submission to determine whether there is a need for OIG technical assistance and to establish priorities for onsite reviews to further monitor program activities.  </w:t>
      </w:r>
    </w:p>
    <w:p w:rsidR="00E85517" w:rsidRDefault="00E85517" w:rsidP="004563BF">
      <w:pPr>
        <w:rPr>
          <w:sz w:val="24"/>
          <w:szCs w:val="24"/>
        </w:rPr>
      </w:pPr>
      <w:r>
        <w:rPr>
          <w:sz w:val="24"/>
          <w:szCs w:val="24"/>
        </w:rPr>
        <w:tab/>
      </w:r>
    </w:p>
    <w:p w:rsidR="00E85517" w:rsidRDefault="00E85517" w:rsidP="004563BF">
      <w:pPr>
        <w:rPr>
          <w:sz w:val="24"/>
          <w:szCs w:val="24"/>
        </w:rPr>
      </w:pPr>
      <w:r>
        <w:rPr>
          <w:b/>
          <w:bCs/>
          <w:sz w:val="24"/>
          <w:szCs w:val="24"/>
        </w:rPr>
        <w:tab/>
        <w:t xml:space="preserve">2.  </w:t>
      </w:r>
      <w:r w:rsidRPr="007D62D7">
        <w:rPr>
          <w:b/>
          <w:bCs/>
          <w:sz w:val="24"/>
          <w:szCs w:val="24"/>
          <w:u w:val="single"/>
        </w:rPr>
        <w:t>Information Users</w:t>
      </w:r>
      <w:r>
        <w:rPr>
          <w:b/>
          <w:bCs/>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OIG uses the information to measure the efficiency and effectiveness of MFCUs and to </w:t>
      </w:r>
      <w:r>
        <w:rPr>
          <w:sz w:val="24"/>
          <w:szCs w:val="24"/>
        </w:rPr>
        <w:lastRenderedPageBreak/>
        <w:t xml:space="preserve">evaluate funding and budget decisions made by each MFCU. </w:t>
      </w:r>
    </w:p>
    <w:p w:rsidR="00E85517" w:rsidRDefault="00E85517" w:rsidP="004563BF">
      <w:pPr>
        <w:rPr>
          <w:sz w:val="24"/>
          <w:szCs w:val="24"/>
        </w:rPr>
      </w:pPr>
    </w:p>
    <w:p w:rsidR="00E85517" w:rsidRDefault="00E85517" w:rsidP="004563BF">
      <w:pPr>
        <w:rPr>
          <w:sz w:val="24"/>
          <w:szCs w:val="24"/>
        </w:rPr>
      </w:pPr>
      <w:r>
        <w:rPr>
          <w:b/>
          <w:bCs/>
          <w:sz w:val="24"/>
          <w:szCs w:val="24"/>
        </w:rPr>
        <w:tab/>
        <w:t xml:space="preserve">3.  </w:t>
      </w:r>
      <w:r>
        <w:rPr>
          <w:b/>
          <w:bCs/>
          <w:sz w:val="24"/>
          <w:szCs w:val="24"/>
          <w:u w:val="single"/>
        </w:rPr>
        <w:t>Improved Information Technology</w:t>
      </w:r>
      <w:r>
        <w:rPr>
          <w:b/>
          <w:bCs/>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No other methods are available, from a technology standpoint, to assess the MFCUs’ efforts to combat and eliminate fraud and abuse in Medicaid. </w:t>
      </w:r>
    </w:p>
    <w:p w:rsidR="00E85517" w:rsidRDefault="00E85517" w:rsidP="004563BF">
      <w:pPr>
        <w:rPr>
          <w:sz w:val="24"/>
          <w:szCs w:val="24"/>
        </w:rPr>
      </w:pPr>
    </w:p>
    <w:p w:rsidR="00E85517" w:rsidRDefault="00E85517" w:rsidP="004563BF">
      <w:pPr>
        <w:rPr>
          <w:sz w:val="24"/>
          <w:szCs w:val="24"/>
        </w:rPr>
      </w:pPr>
    </w:p>
    <w:p w:rsidR="00E85517" w:rsidRDefault="00E85517" w:rsidP="004563BF">
      <w:pPr>
        <w:rPr>
          <w:sz w:val="24"/>
          <w:szCs w:val="24"/>
        </w:rPr>
      </w:pPr>
      <w:r>
        <w:rPr>
          <w:b/>
          <w:bCs/>
          <w:sz w:val="24"/>
          <w:szCs w:val="24"/>
        </w:rPr>
        <w:tab/>
        <w:t xml:space="preserve">4.   </w:t>
      </w:r>
      <w:r>
        <w:rPr>
          <w:b/>
          <w:bCs/>
          <w:sz w:val="24"/>
          <w:szCs w:val="24"/>
          <w:u w:val="single"/>
        </w:rPr>
        <w:t>Duplication of Similar Information</w:t>
      </w:r>
    </w:p>
    <w:p w:rsidR="00E85517" w:rsidRDefault="00E85517" w:rsidP="004563BF">
      <w:pPr>
        <w:rPr>
          <w:sz w:val="24"/>
          <w:szCs w:val="24"/>
        </w:rPr>
      </w:pPr>
    </w:p>
    <w:p w:rsidR="00E85517" w:rsidRDefault="00E85517" w:rsidP="004563BF">
      <w:pPr>
        <w:rPr>
          <w:sz w:val="24"/>
          <w:szCs w:val="24"/>
        </w:rPr>
      </w:pPr>
      <w:r>
        <w:rPr>
          <w:sz w:val="24"/>
          <w:szCs w:val="24"/>
        </w:rPr>
        <w:tab/>
        <w:t>This collection does not duplicate other data collection efforts.</w:t>
      </w:r>
    </w:p>
    <w:p w:rsidR="00E85517" w:rsidRDefault="00E85517" w:rsidP="004563BF">
      <w:pPr>
        <w:rPr>
          <w:sz w:val="24"/>
          <w:szCs w:val="24"/>
        </w:rPr>
      </w:pPr>
    </w:p>
    <w:p w:rsidR="00E85517" w:rsidRDefault="00E85517" w:rsidP="004563BF">
      <w:pPr>
        <w:rPr>
          <w:sz w:val="24"/>
          <w:szCs w:val="24"/>
        </w:rPr>
      </w:pPr>
      <w:r>
        <w:rPr>
          <w:b/>
          <w:bCs/>
          <w:sz w:val="24"/>
          <w:szCs w:val="24"/>
        </w:rPr>
        <w:tab/>
        <w:t xml:space="preserve">5.   </w:t>
      </w:r>
      <w:r>
        <w:rPr>
          <w:b/>
          <w:bCs/>
          <w:sz w:val="24"/>
          <w:szCs w:val="24"/>
          <w:u w:val="single"/>
        </w:rPr>
        <w:t>Small Business</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The yearly </w:t>
      </w:r>
      <w:proofErr w:type="gramStart"/>
      <w:r>
        <w:rPr>
          <w:sz w:val="24"/>
          <w:szCs w:val="24"/>
        </w:rPr>
        <w:t>collection of the annual reports and certification/recertification application requests from the State MFCUs have</w:t>
      </w:r>
      <w:proofErr w:type="gramEnd"/>
      <w:r>
        <w:rPr>
          <w:sz w:val="24"/>
          <w:szCs w:val="24"/>
        </w:rPr>
        <w:t xml:space="preserve"> no relationship to small business.</w:t>
      </w:r>
    </w:p>
    <w:p w:rsidR="00E85517" w:rsidRDefault="00E85517" w:rsidP="004563BF">
      <w:pPr>
        <w:rPr>
          <w:sz w:val="24"/>
          <w:szCs w:val="24"/>
        </w:rPr>
      </w:pPr>
      <w:r>
        <w:rPr>
          <w:sz w:val="24"/>
          <w:szCs w:val="24"/>
        </w:rPr>
        <w:t xml:space="preserve"> </w:t>
      </w:r>
    </w:p>
    <w:p w:rsidR="00E85517" w:rsidRDefault="00E85517" w:rsidP="004563BF">
      <w:pPr>
        <w:rPr>
          <w:sz w:val="24"/>
          <w:szCs w:val="24"/>
        </w:rPr>
      </w:pPr>
      <w:r>
        <w:rPr>
          <w:b/>
          <w:bCs/>
          <w:sz w:val="24"/>
          <w:szCs w:val="24"/>
        </w:rPr>
        <w:tab/>
        <w:t xml:space="preserve">6.   </w:t>
      </w:r>
      <w:r>
        <w:rPr>
          <w:b/>
          <w:bCs/>
          <w:sz w:val="24"/>
          <w:szCs w:val="24"/>
          <w:u w:val="single"/>
        </w:rPr>
        <w:t>Less Frequent Collection</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Section 1903(q) of the Act, and implementing regulations at 42 CFR §§ 1007.15 and 1007.17, require that each MFCU submit an annual application for recertification and an annual report with information necessary to determine whether the Unit meets Federal requirements for FFP.  Without this particular information collection, a decision to recertify the MFCU as eligible to continue to receive Federal matching funds cannot be finalized.  </w:t>
      </w:r>
    </w:p>
    <w:p w:rsidR="00E85517" w:rsidRDefault="00E85517" w:rsidP="004563BF">
      <w:pPr>
        <w:rPr>
          <w:sz w:val="24"/>
          <w:szCs w:val="24"/>
        </w:rPr>
      </w:pPr>
    </w:p>
    <w:p w:rsidR="00E85517" w:rsidRDefault="00E85517" w:rsidP="004563BF">
      <w:pPr>
        <w:rPr>
          <w:sz w:val="24"/>
          <w:szCs w:val="24"/>
        </w:rPr>
      </w:pPr>
      <w:r>
        <w:rPr>
          <w:b/>
          <w:bCs/>
          <w:sz w:val="24"/>
          <w:szCs w:val="24"/>
        </w:rPr>
        <w:tab/>
        <w:t xml:space="preserve">7.   </w:t>
      </w:r>
      <w:r>
        <w:rPr>
          <w:b/>
          <w:bCs/>
          <w:sz w:val="24"/>
          <w:szCs w:val="24"/>
          <w:u w:val="single"/>
        </w:rPr>
        <w:t>Special Circumstances</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No special circumstances are involved in this collection of information.  The OIG requirement that the MFCUs collect this information is in full compliance with law and regulations.   </w:t>
      </w:r>
    </w:p>
    <w:p w:rsidR="00E85517" w:rsidRDefault="00E85517" w:rsidP="004563BF">
      <w:pPr>
        <w:rPr>
          <w:b/>
          <w:bCs/>
          <w:sz w:val="24"/>
          <w:szCs w:val="24"/>
        </w:rPr>
      </w:pPr>
      <w:r>
        <w:rPr>
          <w:sz w:val="24"/>
          <w:szCs w:val="24"/>
        </w:rPr>
        <w:tab/>
      </w:r>
    </w:p>
    <w:p w:rsidR="00E85517" w:rsidRDefault="00E85517" w:rsidP="004563BF">
      <w:pPr>
        <w:rPr>
          <w:sz w:val="24"/>
          <w:szCs w:val="24"/>
        </w:rPr>
      </w:pPr>
      <w:r>
        <w:rPr>
          <w:b/>
          <w:bCs/>
          <w:sz w:val="24"/>
          <w:szCs w:val="24"/>
        </w:rPr>
        <w:tab/>
        <w:t xml:space="preserve">8.   </w:t>
      </w:r>
      <w:r>
        <w:rPr>
          <w:b/>
          <w:bCs/>
          <w:sz w:val="24"/>
          <w:szCs w:val="24"/>
          <w:u w:val="single"/>
        </w:rPr>
        <w:t>Federal Register Notice/Outside Consultation</w:t>
      </w:r>
    </w:p>
    <w:p w:rsidR="00E85517" w:rsidRDefault="00E85517" w:rsidP="004563BF">
      <w:pPr>
        <w:rPr>
          <w:sz w:val="24"/>
          <w:szCs w:val="24"/>
        </w:rPr>
      </w:pPr>
    </w:p>
    <w:p w:rsidR="00E85517" w:rsidRPr="00613465" w:rsidRDefault="00D71245" w:rsidP="008449D7">
      <w:pPr>
        <w:ind w:left="720"/>
        <w:rPr>
          <w:sz w:val="24"/>
          <w:szCs w:val="24"/>
        </w:rPr>
      </w:pPr>
      <w:r>
        <w:rPr>
          <w:sz w:val="24"/>
          <w:szCs w:val="24"/>
        </w:rPr>
        <w:t xml:space="preserve">A 60-day notice for </w:t>
      </w:r>
      <w:proofErr w:type="spellStart"/>
      <w:r>
        <w:rPr>
          <w:sz w:val="24"/>
          <w:szCs w:val="24"/>
        </w:rPr>
        <w:t>extention</w:t>
      </w:r>
      <w:proofErr w:type="spellEnd"/>
      <w:r>
        <w:rPr>
          <w:sz w:val="24"/>
          <w:szCs w:val="24"/>
        </w:rPr>
        <w:t xml:space="preserve"> of the MFCU annual reporting requirement was published in the </w:t>
      </w:r>
      <w:r w:rsidRPr="00D56882">
        <w:rPr>
          <w:i/>
          <w:sz w:val="24"/>
          <w:szCs w:val="24"/>
        </w:rPr>
        <w:t>Federal Register</w:t>
      </w:r>
      <w:r>
        <w:rPr>
          <w:sz w:val="24"/>
          <w:szCs w:val="24"/>
        </w:rPr>
        <w:t>, Vol. 78, No. 207, page 63980 on Friday, October 25, 2013.  No public comments were received.</w:t>
      </w:r>
      <w:r w:rsidR="00E85517" w:rsidRPr="008A0906">
        <w:rPr>
          <w:sz w:val="24"/>
          <w:szCs w:val="24"/>
        </w:rPr>
        <w:t xml:space="preserve">  </w:t>
      </w:r>
      <w:r w:rsidR="00E85517">
        <w:rPr>
          <w:sz w:val="24"/>
          <w:szCs w:val="24"/>
        </w:rPr>
        <w:t xml:space="preserve">The MFCU annual report is approved through January 31, 2014, under OMB No. 0990-0162. </w:t>
      </w:r>
      <w:r w:rsidR="00E85517" w:rsidRPr="008A0906">
        <w:rPr>
          <w:sz w:val="24"/>
          <w:szCs w:val="24"/>
        </w:rPr>
        <w:t xml:space="preserve"> </w:t>
      </w:r>
      <w:r w:rsidR="00E85517" w:rsidRPr="00613465">
        <w:rPr>
          <w:sz w:val="24"/>
          <w:szCs w:val="24"/>
        </w:rPr>
        <w:t xml:space="preserve">   </w:t>
      </w:r>
    </w:p>
    <w:p w:rsidR="00E85517" w:rsidRDefault="00E85517" w:rsidP="002C0634">
      <w:pPr>
        <w:ind w:left="720"/>
        <w:rPr>
          <w:sz w:val="24"/>
          <w:szCs w:val="24"/>
        </w:rPr>
      </w:pPr>
    </w:p>
    <w:p w:rsidR="00E85517" w:rsidRDefault="00E85517" w:rsidP="00C35493">
      <w:pPr>
        <w:ind w:firstLine="720"/>
        <w:rPr>
          <w:sz w:val="24"/>
          <w:szCs w:val="24"/>
        </w:rPr>
      </w:pPr>
    </w:p>
    <w:p w:rsidR="00E85517" w:rsidRDefault="00E85517" w:rsidP="004563BF">
      <w:pPr>
        <w:rPr>
          <w:sz w:val="24"/>
          <w:szCs w:val="24"/>
        </w:rPr>
      </w:pPr>
      <w:r>
        <w:rPr>
          <w:b/>
          <w:bCs/>
          <w:sz w:val="24"/>
          <w:szCs w:val="24"/>
        </w:rPr>
        <w:tab/>
        <w:t xml:space="preserve">9.    </w:t>
      </w:r>
      <w:r>
        <w:rPr>
          <w:b/>
          <w:bCs/>
          <w:sz w:val="24"/>
          <w:szCs w:val="24"/>
          <w:u w:val="single"/>
        </w:rPr>
        <w:t>Payment/Gift to Respondent</w:t>
      </w:r>
    </w:p>
    <w:p w:rsidR="00E85517" w:rsidRDefault="00E85517" w:rsidP="004563BF">
      <w:pPr>
        <w:rPr>
          <w:sz w:val="24"/>
          <w:szCs w:val="24"/>
        </w:rPr>
      </w:pPr>
    </w:p>
    <w:p w:rsidR="00E85517" w:rsidRDefault="00E85517" w:rsidP="004563BF">
      <w:pPr>
        <w:rPr>
          <w:sz w:val="24"/>
          <w:szCs w:val="24"/>
        </w:rPr>
      </w:pPr>
      <w:r>
        <w:rPr>
          <w:sz w:val="24"/>
          <w:szCs w:val="24"/>
        </w:rPr>
        <w:tab/>
        <w:t>No such payments or gifts are foreseen to the respondents, and none have been given.</w:t>
      </w:r>
    </w:p>
    <w:p w:rsidR="00E85517" w:rsidRDefault="00E85517" w:rsidP="004563BF">
      <w:pPr>
        <w:rPr>
          <w:sz w:val="24"/>
          <w:szCs w:val="24"/>
        </w:rPr>
      </w:pPr>
    </w:p>
    <w:p w:rsidR="00E85517" w:rsidRDefault="00E85517" w:rsidP="004563BF">
      <w:pPr>
        <w:rPr>
          <w:sz w:val="24"/>
          <w:szCs w:val="24"/>
        </w:rPr>
      </w:pPr>
      <w:r>
        <w:rPr>
          <w:b/>
          <w:bCs/>
          <w:sz w:val="24"/>
          <w:szCs w:val="24"/>
        </w:rPr>
        <w:tab/>
        <w:t xml:space="preserve">10.  </w:t>
      </w:r>
      <w:r>
        <w:rPr>
          <w:b/>
          <w:bCs/>
          <w:sz w:val="24"/>
          <w:szCs w:val="24"/>
          <w:u w:val="single"/>
        </w:rPr>
        <w:t>Confidentiality</w:t>
      </w:r>
    </w:p>
    <w:p w:rsidR="00E85517" w:rsidRDefault="00E85517" w:rsidP="004563BF">
      <w:pPr>
        <w:rPr>
          <w:sz w:val="24"/>
          <w:szCs w:val="24"/>
        </w:rPr>
      </w:pPr>
    </w:p>
    <w:p w:rsidR="00E85517" w:rsidRDefault="00E85517" w:rsidP="004563BF">
      <w:pPr>
        <w:rPr>
          <w:sz w:val="24"/>
          <w:szCs w:val="24"/>
        </w:rPr>
      </w:pPr>
      <w:r>
        <w:rPr>
          <w:sz w:val="24"/>
          <w:szCs w:val="24"/>
          <w:lang w:val="en-CA"/>
        </w:rPr>
        <w:tab/>
      </w:r>
      <w:r>
        <w:rPr>
          <w:sz w:val="24"/>
          <w:szCs w:val="24"/>
        </w:rPr>
        <w:t xml:space="preserve">The </w:t>
      </w:r>
      <w:proofErr w:type="gramStart"/>
      <w:r>
        <w:rPr>
          <w:sz w:val="24"/>
          <w:szCs w:val="24"/>
        </w:rPr>
        <w:t>contents of the collection contains</w:t>
      </w:r>
      <w:proofErr w:type="gramEnd"/>
      <w:r>
        <w:rPr>
          <w:sz w:val="24"/>
          <w:szCs w:val="24"/>
        </w:rPr>
        <w:t xml:space="preserve"> no personal identifying information regarding </w:t>
      </w:r>
      <w:r>
        <w:rPr>
          <w:sz w:val="24"/>
          <w:szCs w:val="24"/>
        </w:rPr>
        <w:tab/>
        <w:t xml:space="preserve">individuals, such as a Social Security number, home address, or other identifiable </w:t>
      </w:r>
      <w:r>
        <w:rPr>
          <w:sz w:val="24"/>
          <w:szCs w:val="24"/>
        </w:rPr>
        <w:tab/>
        <w:t>information.  Regulations at 42 CFR § 1007.11(f) require that the MFCUs safeguard</w:t>
      </w:r>
      <w:r>
        <w:rPr>
          <w:sz w:val="24"/>
          <w:szCs w:val="24"/>
        </w:rPr>
        <w:tab/>
        <w:t xml:space="preserve">the privacy of all individuals and provide safeguards to prevent the misuse of </w:t>
      </w:r>
      <w:r>
        <w:rPr>
          <w:sz w:val="24"/>
          <w:szCs w:val="24"/>
        </w:rPr>
        <w:tab/>
        <w:t xml:space="preserve">information under MFCU control.  In accordance with the principles of the Freedom  </w:t>
      </w:r>
      <w:r>
        <w:rPr>
          <w:sz w:val="24"/>
          <w:szCs w:val="24"/>
        </w:rPr>
        <w:tab/>
        <w:t xml:space="preserve">of Information Act (FOIA), 5 U.S.C. 552, OIG will adhere to all applicable rules and </w:t>
      </w:r>
    </w:p>
    <w:p w:rsidR="00E85517" w:rsidRDefault="00E85517" w:rsidP="004563BF">
      <w:pPr>
        <w:rPr>
          <w:sz w:val="24"/>
          <w:szCs w:val="24"/>
        </w:rPr>
      </w:pPr>
      <w:r>
        <w:rPr>
          <w:sz w:val="24"/>
          <w:szCs w:val="24"/>
        </w:rPr>
        <w:tab/>
      </w:r>
      <w:proofErr w:type="gramStart"/>
      <w:r>
        <w:rPr>
          <w:sz w:val="24"/>
          <w:szCs w:val="24"/>
        </w:rPr>
        <w:t>provisions</w:t>
      </w:r>
      <w:proofErr w:type="gramEnd"/>
      <w:r>
        <w:rPr>
          <w:sz w:val="24"/>
          <w:szCs w:val="24"/>
        </w:rPr>
        <w:t xml:space="preserve"> in the FOIA to which the contents of the collection are subject.</w:t>
      </w:r>
    </w:p>
    <w:p w:rsidR="00E85517" w:rsidRDefault="00E85517" w:rsidP="004563BF">
      <w:pPr>
        <w:rPr>
          <w:sz w:val="24"/>
          <w:szCs w:val="24"/>
        </w:rPr>
      </w:pPr>
    </w:p>
    <w:p w:rsidR="00E85517" w:rsidRDefault="00E85517" w:rsidP="004563BF">
      <w:pPr>
        <w:rPr>
          <w:sz w:val="24"/>
          <w:szCs w:val="24"/>
        </w:rPr>
      </w:pPr>
      <w:r>
        <w:rPr>
          <w:b/>
          <w:bCs/>
          <w:sz w:val="24"/>
          <w:szCs w:val="24"/>
        </w:rPr>
        <w:tab/>
        <w:t xml:space="preserve">11.  </w:t>
      </w:r>
      <w:r>
        <w:rPr>
          <w:b/>
          <w:bCs/>
          <w:sz w:val="24"/>
          <w:szCs w:val="24"/>
          <w:u w:val="single"/>
        </w:rPr>
        <w:t>Sensitive Questions</w:t>
      </w:r>
      <w:r>
        <w:rPr>
          <w:rFonts w:ascii="Arial" w:hAnsi="Arial" w:cs="Arial"/>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Statutory and regulatory reporting requirements pertaining to the program do not require the Secretary (as delegated to OIG) to ask questions of a sensitive nature to make certification and funding decisions relating to the MFCUs. </w:t>
      </w:r>
    </w:p>
    <w:p w:rsidR="00E85517" w:rsidRDefault="00E85517" w:rsidP="004563BF">
      <w:pPr>
        <w:rPr>
          <w:sz w:val="24"/>
          <w:szCs w:val="24"/>
        </w:rPr>
      </w:pPr>
    </w:p>
    <w:p w:rsidR="00E85517" w:rsidRDefault="00E85517" w:rsidP="004563BF">
      <w:pPr>
        <w:rPr>
          <w:sz w:val="24"/>
          <w:szCs w:val="24"/>
        </w:rPr>
      </w:pPr>
      <w:r>
        <w:rPr>
          <w:b/>
          <w:bCs/>
          <w:sz w:val="24"/>
          <w:szCs w:val="24"/>
        </w:rPr>
        <w:tab/>
        <w:t xml:space="preserve">12.  </w:t>
      </w:r>
      <w:r w:rsidRPr="009319CD">
        <w:rPr>
          <w:b/>
          <w:bCs/>
          <w:sz w:val="24"/>
          <w:szCs w:val="24"/>
          <w:u w:val="single"/>
        </w:rPr>
        <w:t xml:space="preserve">Burden Estimate (Total Hours </w:t>
      </w:r>
      <w:r>
        <w:rPr>
          <w:b/>
          <w:bCs/>
          <w:sz w:val="24"/>
          <w:szCs w:val="24"/>
          <w:u w:val="single"/>
        </w:rPr>
        <w:t>and</w:t>
      </w:r>
      <w:r w:rsidRPr="009319CD">
        <w:rPr>
          <w:b/>
          <w:bCs/>
          <w:sz w:val="24"/>
          <w:szCs w:val="24"/>
          <w:u w:val="single"/>
        </w:rPr>
        <w:t xml:space="preserve"> Wages)</w:t>
      </w:r>
      <w:r>
        <w:rPr>
          <w:b/>
          <w:bCs/>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The collection must contain certain mandatory information as outlined at </w:t>
      </w:r>
    </w:p>
    <w:p w:rsidR="00E85517" w:rsidRDefault="00E85517" w:rsidP="004563BF">
      <w:pPr>
        <w:ind w:left="720"/>
        <w:rPr>
          <w:sz w:val="24"/>
          <w:szCs w:val="24"/>
        </w:rPr>
      </w:pPr>
      <w:r>
        <w:rPr>
          <w:sz w:val="24"/>
          <w:szCs w:val="24"/>
        </w:rPr>
        <w:t xml:space="preserve">42 CFR § 1007.15 and 42 CFR § 1007.17, but the format and extent of each MFCU submission to OIG is determined by the respective MFCU.  In preparing a MFCU’s annual report and required certification/recertification application for submission to OIG, a MFCU supervising official spends approximately 64 hours at an estimated $30 per hour to formulate narrative statements and descriptions of MFCU procedures and accomplishments, promulgate and confirm agreements, address and resolve all budgetary issues, guide Unit support staff, and confer with other State officials.  A MFCU support staff member spends approximately 29 hours of effort at an estimated hourly rate of $12 per hour to develop draft products, fulfill data processing activities, complete all required administrative functions, and confer with the MFCU supervising official, all of which are necessary to finalize the collection for submission to OIG.  </w:t>
      </w:r>
      <w:r w:rsidR="007005A2">
        <w:rPr>
          <w:sz w:val="24"/>
          <w:szCs w:val="24"/>
        </w:rPr>
        <w:t>Based on these estimated hours and staff wage rates, the weig</w:t>
      </w:r>
      <w:r w:rsidR="0054036A">
        <w:rPr>
          <w:sz w:val="24"/>
          <w:szCs w:val="24"/>
        </w:rPr>
        <w:t>hted average wage rate is $24.39</w:t>
      </w:r>
      <w:r w:rsidR="007005A2">
        <w:rPr>
          <w:sz w:val="24"/>
          <w:szCs w:val="24"/>
        </w:rPr>
        <w:t xml:space="preserve"> per hour.  </w:t>
      </w:r>
      <w:r>
        <w:rPr>
          <w:sz w:val="24"/>
          <w:szCs w:val="24"/>
        </w:rPr>
        <w:t xml:space="preserve">About 93 burden hours are expended by each </w:t>
      </w:r>
      <w:r w:rsidR="00484CB2">
        <w:rPr>
          <w:sz w:val="24"/>
          <w:szCs w:val="24"/>
        </w:rPr>
        <w:t xml:space="preserve">of the 50 </w:t>
      </w:r>
      <w:r>
        <w:rPr>
          <w:sz w:val="24"/>
          <w:szCs w:val="24"/>
        </w:rPr>
        <w:t>MFCU</w:t>
      </w:r>
      <w:r w:rsidR="00484CB2">
        <w:rPr>
          <w:sz w:val="24"/>
          <w:szCs w:val="24"/>
        </w:rPr>
        <w:t>s</w:t>
      </w:r>
      <w:r>
        <w:rPr>
          <w:sz w:val="24"/>
          <w:szCs w:val="24"/>
        </w:rPr>
        <w:t xml:space="preserve">.  </w:t>
      </w:r>
      <w:r w:rsidR="00484CB2">
        <w:rPr>
          <w:sz w:val="24"/>
          <w:szCs w:val="24"/>
        </w:rPr>
        <w:t>In addition, OIG now permits</w:t>
      </w:r>
      <w:r w:rsidR="00B27297">
        <w:rPr>
          <w:sz w:val="24"/>
          <w:szCs w:val="24"/>
        </w:rPr>
        <w:t xml:space="preserve"> MFCUs</w:t>
      </w:r>
      <w:r w:rsidR="00484CB2">
        <w:rPr>
          <w:sz w:val="24"/>
          <w:szCs w:val="24"/>
        </w:rPr>
        <w:t>, under conditions specified in 42 CFR § 1007.20, to engage in data mining activities.  MFCUs engaging in data</w:t>
      </w:r>
      <w:r w:rsidR="00B27297">
        <w:rPr>
          <w:sz w:val="24"/>
          <w:szCs w:val="24"/>
        </w:rPr>
        <w:t xml:space="preserve"> mining activities are required</w:t>
      </w:r>
      <w:r w:rsidR="00484CB2">
        <w:rPr>
          <w:sz w:val="24"/>
          <w:szCs w:val="24"/>
        </w:rPr>
        <w:t xml:space="preserve"> </w:t>
      </w:r>
      <w:r>
        <w:rPr>
          <w:sz w:val="24"/>
          <w:szCs w:val="24"/>
        </w:rPr>
        <w:t xml:space="preserve">to report on those activities in the annual report.  We estimate that preparing the additional information on data mining activities would take 1 hour per year.  We arrived at that estimate after </w:t>
      </w:r>
      <w:r>
        <w:rPr>
          <w:sz w:val="24"/>
          <w:szCs w:val="24"/>
        </w:rPr>
        <w:lastRenderedPageBreak/>
        <w:t>consulting with Florida’s MFCU, which since 2010 has had an 1115 MEDS AD demonstration waiver to conduct data mining.  Therefore, we estimate that the total burden of preparing the annual report for a Unit participating in data mining to be 94 hours per year</w:t>
      </w:r>
      <w:r w:rsidRPr="00571ECE">
        <w:rPr>
          <w:sz w:val="24"/>
          <w:szCs w:val="24"/>
        </w:rPr>
        <w:t>.</w:t>
      </w:r>
      <w:r>
        <w:rPr>
          <w:sz w:val="24"/>
          <w:szCs w:val="24"/>
        </w:rPr>
        <w:t xml:space="preserve">  </w:t>
      </w:r>
      <w:r w:rsidR="00484CB2">
        <w:rPr>
          <w:sz w:val="24"/>
          <w:szCs w:val="24"/>
        </w:rPr>
        <w:t xml:space="preserve">Further, in consultation with the CMS/Office of the Actuary, OIG estimates that a “medium” level of State MFCUs, defined as </w:t>
      </w:r>
      <w:r w:rsidR="007A2795">
        <w:rPr>
          <w:sz w:val="24"/>
          <w:szCs w:val="24"/>
        </w:rPr>
        <w:t>25 percent of MFCUs or 13 Units, will participate in data mining activities.</w:t>
      </w:r>
      <w:r w:rsidR="00484CB2">
        <w:rPr>
          <w:sz w:val="24"/>
          <w:szCs w:val="24"/>
        </w:rPr>
        <w:t xml:space="preserve">  </w:t>
      </w:r>
      <w:r w:rsidR="007A2795">
        <w:rPr>
          <w:sz w:val="24"/>
          <w:szCs w:val="24"/>
        </w:rPr>
        <w:t xml:space="preserve">Hence, with an estimated 13 Units participating and 1 hour required to prepare the additional data mining information needed for the annual report, we have added 13 hours to the total burden hours in tables 12A and 12B.  </w:t>
      </w:r>
      <w:r>
        <w:rPr>
          <w:sz w:val="24"/>
          <w:szCs w:val="24"/>
        </w:rPr>
        <w:t xml:space="preserve">The estimates shown in the tables below (12A and 12B) were derived from </w:t>
      </w:r>
      <w:r w:rsidRPr="00571ECE">
        <w:rPr>
          <w:sz w:val="24"/>
          <w:szCs w:val="24"/>
        </w:rPr>
        <w:t>three</w:t>
      </w:r>
      <w:r>
        <w:rPr>
          <w:sz w:val="24"/>
          <w:szCs w:val="24"/>
        </w:rPr>
        <w:t xml:space="preserve"> primary sources:  (1) available budget and other information that OIG maintains on each of the 50 MFCUs, (2) relative information that the MFCUs routinely furnish to OIG</w:t>
      </w:r>
      <w:r w:rsidRPr="00571ECE">
        <w:rPr>
          <w:sz w:val="24"/>
          <w:szCs w:val="24"/>
        </w:rPr>
        <w:t xml:space="preserve">, and </w:t>
      </w:r>
      <w:r>
        <w:rPr>
          <w:sz w:val="24"/>
          <w:szCs w:val="24"/>
        </w:rPr>
        <w:t>(</w:t>
      </w:r>
      <w:r w:rsidRPr="00571ECE">
        <w:rPr>
          <w:sz w:val="24"/>
          <w:szCs w:val="24"/>
        </w:rPr>
        <w:t xml:space="preserve">3) </w:t>
      </w:r>
      <w:r w:rsidR="00CF5815">
        <w:rPr>
          <w:sz w:val="24"/>
          <w:szCs w:val="24"/>
        </w:rPr>
        <w:t>assumptions on MFCU participation</w:t>
      </w:r>
      <w:r w:rsidR="007A2795">
        <w:rPr>
          <w:sz w:val="24"/>
          <w:szCs w:val="24"/>
        </w:rPr>
        <w:t xml:space="preserve"> in data mining activities</w:t>
      </w:r>
      <w:r w:rsidR="00CF5815">
        <w:rPr>
          <w:sz w:val="24"/>
          <w:szCs w:val="24"/>
        </w:rPr>
        <w:t xml:space="preserve"> generated in </w:t>
      </w:r>
      <w:r w:rsidR="00FF2BDE">
        <w:rPr>
          <w:sz w:val="24"/>
          <w:szCs w:val="24"/>
        </w:rPr>
        <w:t xml:space="preserve">consultation with </w:t>
      </w:r>
      <w:r w:rsidRPr="00571ECE">
        <w:rPr>
          <w:sz w:val="24"/>
          <w:szCs w:val="24"/>
        </w:rPr>
        <w:t>the CMS/Office of the Actuary.</w:t>
      </w:r>
      <w:r>
        <w:rPr>
          <w:sz w:val="24"/>
          <w:szCs w:val="24"/>
        </w:rPr>
        <w:t xml:space="preserve">  In the case of a MFCU applying to the Medicaid fraud grant program for the first time, the burden hours and associated costs would likely double.  </w:t>
      </w:r>
    </w:p>
    <w:p w:rsidR="00E85517" w:rsidRDefault="00E85517" w:rsidP="004563BF">
      <w:pPr>
        <w:rPr>
          <w:sz w:val="24"/>
          <w:szCs w:val="24"/>
        </w:rPr>
      </w:pPr>
    </w:p>
    <w:p w:rsidR="00E85517" w:rsidRPr="00C537FD" w:rsidRDefault="00E85517" w:rsidP="004563BF">
      <w:pPr>
        <w:rPr>
          <w:i/>
          <w:sz w:val="24"/>
          <w:szCs w:val="24"/>
        </w:rPr>
      </w:pPr>
      <w:r>
        <w:rPr>
          <w:b/>
          <w:bCs/>
          <w:sz w:val="24"/>
          <w:szCs w:val="24"/>
        </w:rPr>
        <w:tab/>
      </w:r>
      <w:r>
        <w:rPr>
          <w:b/>
          <w:bCs/>
          <w:sz w:val="24"/>
          <w:szCs w:val="24"/>
        </w:rPr>
        <w:tab/>
      </w:r>
      <w:r w:rsidRPr="00C537FD">
        <w:rPr>
          <w:i/>
          <w:sz w:val="24"/>
          <w:szCs w:val="24"/>
        </w:rPr>
        <w:t>12A</w:t>
      </w:r>
      <w:proofErr w:type="gramStart"/>
      <w:r w:rsidRPr="00C537FD">
        <w:rPr>
          <w:i/>
          <w:sz w:val="24"/>
          <w:szCs w:val="24"/>
        </w:rPr>
        <w:t xml:space="preserve">. </w:t>
      </w:r>
      <w:r w:rsidRPr="00C537FD">
        <w:rPr>
          <w:b/>
          <w:bCs/>
          <w:i/>
          <w:sz w:val="24"/>
          <w:szCs w:val="24"/>
        </w:rPr>
        <w:t xml:space="preserve"> </w:t>
      </w:r>
      <w:r w:rsidRPr="00C537FD">
        <w:rPr>
          <w:i/>
          <w:sz w:val="24"/>
          <w:szCs w:val="24"/>
        </w:rPr>
        <w:t>Estimated</w:t>
      </w:r>
      <w:proofErr w:type="gramEnd"/>
      <w:r w:rsidRPr="00C537FD">
        <w:rPr>
          <w:i/>
          <w:sz w:val="24"/>
          <w:szCs w:val="24"/>
        </w:rPr>
        <w:t xml:space="preserve"> </w:t>
      </w:r>
      <w:r>
        <w:rPr>
          <w:i/>
          <w:sz w:val="24"/>
          <w:szCs w:val="24"/>
        </w:rPr>
        <w:t>Annual</w:t>
      </w:r>
      <w:r w:rsidRPr="00C537FD">
        <w:rPr>
          <w:i/>
          <w:sz w:val="24"/>
          <w:szCs w:val="24"/>
        </w:rPr>
        <w:t xml:space="preserve"> Burden Hours</w:t>
      </w:r>
      <w:r w:rsidRPr="00C537FD">
        <w:rPr>
          <w:i/>
          <w:sz w:val="24"/>
          <w:szCs w:val="24"/>
        </w:rPr>
        <w:tab/>
      </w:r>
    </w:p>
    <w:p w:rsidR="00E85517" w:rsidRDefault="00E85517" w:rsidP="004563BF">
      <w:pPr>
        <w:rPr>
          <w:sz w:val="24"/>
          <w:szCs w:val="24"/>
        </w:rPr>
      </w:pPr>
      <w:r>
        <w:rPr>
          <w:sz w:val="24"/>
          <w:szCs w:val="24"/>
        </w:rPr>
        <w:tab/>
      </w:r>
      <w:r>
        <w:rPr>
          <w:sz w:val="24"/>
          <w:szCs w:val="24"/>
        </w:rPr>
        <w:tab/>
      </w:r>
    </w:p>
    <w:tbl>
      <w:tblPr>
        <w:tblW w:w="9720" w:type="dxa"/>
        <w:tblInd w:w="100" w:type="dxa"/>
        <w:tblLayout w:type="fixed"/>
        <w:tblCellMar>
          <w:left w:w="100" w:type="dxa"/>
          <w:right w:w="100" w:type="dxa"/>
        </w:tblCellMar>
        <w:tblLook w:val="0000" w:firstRow="0" w:lastRow="0" w:firstColumn="0" w:lastColumn="0" w:noHBand="0" w:noVBand="0"/>
      </w:tblPr>
      <w:tblGrid>
        <w:gridCol w:w="1783"/>
        <w:gridCol w:w="1426"/>
        <w:gridCol w:w="1337"/>
        <w:gridCol w:w="1605"/>
        <w:gridCol w:w="1961"/>
        <w:gridCol w:w="1608"/>
      </w:tblGrid>
      <w:tr w:rsidR="00E85517" w:rsidTr="00C537FD">
        <w:trPr>
          <w:cantSplit/>
          <w:trHeight w:val="595"/>
        </w:trPr>
        <w:tc>
          <w:tcPr>
            <w:tcW w:w="1783" w:type="dxa"/>
            <w:tcBorders>
              <w:top w:val="single" w:sz="6" w:space="0" w:color="000000"/>
              <w:left w:val="single" w:sz="6" w:space="0" w:color="000000"/>
              <w:bottom w:val="nil"/>
              <w:right w:val="nil"/>
            </w:tcBorders>
          </w:tcPr>
          <w:p w:rsidR="00E85517" w:rsidRDefault="00E85517" w:rsidP="004563BF">
            <w:pPr>
              <w:spacing w:before="100" w:after="48"/>
              <w:jc w:val="center"/>
            </w:pPr>
            <w:r>
              <w:t xml:space="preserve"> Respondent  </w:t>
            </w:r>
          </w:p>
        </w:tc>
        <w:tc>
          <w:tcPr>
            <w:tcW w:w="1426" w:type="dxa"/>
            <w:tcBorders>
              <w:top w:val="single" w:sz="6" w:space="0" w:color="000000"/>
              <w:left w:val="single" w:sz="6" w:space="0" w:color="000000"/>
              <w:bottom w:val="nil"/>
              <w:right w:val="nil"/>
            </w:tcBorders>
          </w:tcPr>
          <w:p w:rsidR="00E85517" w:rsidRDefault="00E85517" w:rsidP="004563BF">
            <w:pPr>
              <w:spacing w:before="100" w:after="48"/>
              <w:jc w:val="center"/>
            </w:pPr>
            <w:r>
              <w:t xml:space="preserve">Form </w:t>
            </w:r>
          </w:p>
        </w:tc>
        <w:tc>
          <w:tcPr>
            <w:tcW w:w="1337" w:type="dxa"/>
            <w:tcBorders>
              <w:top w:val="single" w:sz="6" w:space="0" w:color="000000"/>
              <w:left w:val="single" w:sz="6" w:space="0" w:color="000000"/>
              <w:bottom w:val="nil"/>
              <w:right w:val="nil"/>
            </w:tcBorders>
          </w:tcPr>
          <w:p w:rsidR="00E85517" w:rsidRDefault="00E85517" w:rsidP="0054036A">
            <w:pPr>
              <w:spacing w:before="100" w:after="48"/>
              <w:jc w:val="center"/>
            </w:pPr>
            <w:r>
              <w:t>Number of  Respondents</w:t>
            </w:r>
          </w:p>
        </w:tc>
        <w:tc>
          <w:tcPr>
            <w:tcW w:w="1605" w:type="dxa"/>
            <w:tcBorders>
              <w:top w:val="single" w:sz="6" w:space="0" w:color="000000"/>
              <w:left w:val="single" w:sz="6" w:space="0" w:color="000000"/>
              <w:bottom w:val="nil"/>
              <w:right w:val="nil"/>
            </w:tcBorders>
          </w:tcPr>
          <w:p w:rsidR="00E85517" w:rsidRDefault="00E85517" w:rsidP="0054036A">
            <w:pPr>
              <w:spacing w:before="100"/>
              <w:jc w:val="center"/>
            </w:pPr>
            <w:r>
              <w:t>Number of Responses</w:t>
            </w:r>
          </w:p>
          <w:p w:rsidR="00E85517" w:rsidRDefault="00E85517" w:rsidP="0054036A">
            <w:pPr>
              <w:spacing w:after="48"/>
              <w:jc w:val="center"/>
            </w:pPr>
            <w:r>
              <w:t>per Respondent</w:t>
            </w:r>
          </w:p>
        </w:tc>
        <w:tc>
          <w:tcPr>
            <w:tcW w:w="1961" w:type="dxa"/>
            <w:tcBorders>
              <w:top w:val="single" w:sz="6" w:space="0" w:color="000000"/>
              <w:left w:val="single" w:sz="6" w:space="0" w:color="000000"/>
              <w:bottom w:val="nil"/>
              <w:right w:val="nil"/>
            </w:tcBorders>
          </w:tcPr>
          <w:p w:rsidR="00E85517" w:rsidRDefault="00E85517" w:rsidP="0054036A">
            <w:pPr>
              <w:spacing w:before="100" w:after="48"/>
              <w:jc w:val="center"/>
            </w:pPr>
            <w:r>
              <w:t>Average Burden per Response (in hours)</w:t>
            </w:r>
          </w:p>
        </w:tc>
        <w:tc>
          <w:tcPr>
            <w:tcW w:w="1608" w:type="dxa"/>
            <w:tcBorders>
              <w:top w:val="single" w:sz="6" w:space="0" w:color="000000"/>
              <w:left w:val="single" w:sz="6" w:space="0" w:color="000000"/>
              <w:bottom w:val="nil"/>
              <w:right w:val="single" w:sz="6" w:space="0" w:color="000000"/>
            </w:tcBorders>
          </w:tcPr>
          <w:p w:rsidR="00E85517" w:rsidRDefault="00E85517" w:rsidP="0054036A">
            <w:pPr>
              <w:spacing w:before="100"/>
              <w:jc w:val="center"/>
            </w:pPr>
            <w:r>
              <w:t>Total</w:t>
            </w:r>
          </w:p>
          <w:p w:rsidR="00E85517" w:rsidRDefault="00E85517" w:rsidP="0054036A">
            <w:pPr>
              <w:jc w:val="center"/>
            </w:pPr>
            <w:r>
              <w:t>Burden</w:t>
            </w:r>
          </w:p>
          <w:p w:rsidR="00E85517" w:rsidRDefault="00E85517" w:rsidP="0054036A">
            <w:pPr>
              <w:spacing w:after="48"/>
              <w:jc w:val="center"/>
            </w:pPr>
            <w:r>
              <w:t>Hours</w:t>
            </w:r>
          </w:p>
        </w:tc>
      </w:tr>
      <w:tr w:rsidR="00E85517" w:rsidTr="00C537FD">
        <w:trPr>
          <w:cantSplit/>
          <w:trHeight w:val="438"/>
        </w:trPr>
        <w:tc>
          <w:tcPr>
            <w:tcW w:w="1783" w:type="dxa"/>
            <w:tcBorders>
              <w:top w:val="single" w:sz="6" w:space="0" w:color="000000"/>
              <w:left w:val="single" w:sz="6" w:space="0" w:color="000000"/>
              <w:bottom w:val="single" w:sz="6" w:space="0" w:color="000000"/>
              <w:right w:val="nil"/>
            </w:tcBorders>
          </w:tcPr>
          <w:p w:rsidR="00E85517" w:rsidRDefault="00E85517" w:rsidP="004563BF">
            <w:pPr>
              <w:spacing w:before="100" w:after="48"/>
            </w:pPr>
            <w:r>
              <w:t>MFCU</w:t>
            </w:r>
          </w:p>
        </w:tc>
        <w:tc>
          <w:tcPr>
            <w:tcW w:w="1426" w:type="dxa"/>
            <w:tcBorders>
              <w:top w:val="single" w:sz="6" w:space="0" w:color="000000"/>
              <w:left w:val="single" w:sz="6" w:space="0" w:color="000000"/>
              <w:bottom w:val="single" w:sz="6" w:space="0" w:color="000000"/>
              <w:right w:val="nil"/>
            </w:tcBorders>
          </w:tcPr>
          <w:p w:rsidR="00E85517" w:rsidRDefault="00E85517" w:rsidP="004563BF">
            <w:pPr>
              <w:spacing w:before="100" w:after="48"/>
            </w:pPr>
            <w:r>
              <w:t>Annual Report</w:t>
            </w:r>
          </w:p>
        </w:tc>
        <w:tc>
          <w:tcPr>
            <w:tcW w:w="1337" w:type="dxa"/>
            <w:tcBorders>
              <w:top w:val="single" w:sz="6" w:space="0" w:color="000000"/>
              <w:left w:val="single" w:sz="6" w:space="0" w:color="000000"/>
              <w:bottom w:val="single" w:sz="6" w:space="0" w:color="000000"/>
              <w:right w:val="nil"/>
            </w:tcBorders>
          </w:tcPr>
          <w:p w:rsidR="00E85517" w:rsidRDefault="00E85517" w:rsidP="004563BF">
            <w:pPr>
              <w:spacing w:before="100" w:after="48"/>
              <w:jc w:val="center"/>
            </w:pPr>
            <w:r>
              <w:t>50</w:t>
            </w:r>
          </w:p>
        </w:tc>
        <w:tc>
          <w:tcPr>
            <w:tcW w:w="1605" w:type="dxa"/>
            <w:tcBorders>
              <w:top w:val="single" w:sz="6" w:space="0" w:color="000000"/>
              <w:left w:val="single" w:sz="6" w:space="0" w:color="000000"/>
              <w:bottom w:val="single" w:sz="6" w:space="0" w:color="000000"/>
              <w:right w:val="nil"/>
            </w:tcBorders>
          </w:tcPr>
          <w:p w:rsidR="00E85517" w:rsidRDefault="00E85517" w:rsidP="004563BF">
            <w:pPr>
              <w:spacing w:before="100" w:after="48"/>
              <w:jc w:val="center"/>
            </w:pPr>
            <w:r>
              <w:t>1</w:t>
            </w:r>
          </w:p>
        </w:tc>
        <w:tc>
          <w:tcPr>
            <w:tcW w:w="1961" w:type="dxa"/>
            <w:tcBorders>
              <w:top w:val="single" w:sz="6" w:space="0" w:color="000000"/>
              <w:left w:val="single" w:sz="6" w:space="0" w:color="000000"/>
              <w:bottom w:val="single" w:sz="6" w:space="0" w:color="000000"/>
              <w:right w:val="nil"/>
            </w:tcBorders>
          </w:tcPr>
          <w:p w:rsidR="00E85517" w:rsidRDefault="00E85517" w:rsidP="004563BF">
            <w:pPr>
              <w:spacing w:before="100" w:after="48"/>
              <w:jc w:val="center"/>
            </w:pPr>
            <w:r>
              <w:t>88</w:t>
            </w:r>
          </w:p>
        </w:tc>
        <w:tc>
          <w:tcPr>
            <w:tcW w:w="1608" w:type="dxa"/>
            <w:tcBorders>
              <w:top w:val="single" w:sz="6" w:space="0" w:color="000000"/>
              <w:left w:val="single" w:sz="6" w:space="0" w:color="000000"/>
              <w:bottom w:val="single" w:sz="6" w:space="0" w:color="000000"/>
              <w:right w:val="single" w:sz="6" w:space="0" w:color="000000"/>
            </w:tcBorders>
          </w:tcPr>
          <w:p w:rsidR="00E85517" w:rsidRDefault="00E85517" w:rsidP="004563BF">
            <w:pPr>
              <w:spacing w:before="100" w:after="48"/>
              <w:jc w:val="center"/>
            </w:pPr>
            <w:r>
              <w:t>4,400</w:t>
            </w:r>
          </w:p>
        </w:tc>
      </w:tr>
      <w:tr w:rsidR="00E85517" w:rsidTr="00C537FD">
        <w:trPr>
          <w:cantSplit/>
          <w:trHeight w:val="831"/>
        </w:trPr>
        <w:tc>
          <w:tcPr>
            <w:tcW w:w="1783" w:type="dxa"/>
            <w:tcBorders>
              <w:top w:val="single" w:sz="6" w:space="0" w:color="000000"/>
              <w:left w:val="single" w:sz="6" w:space="0" w:color="000000"/>
              <w:bottom w:val="single" w:sz="6" w:space="0" w:color="000000"/>
              <w:right w:val="nil"/>
            </w:tcBorders>
          </w:tcPr>
          <w:p w:rsidR="00E85517" w:rsidRPr="00236160" w:rsidRDefault="00E85517" w:rsidP="00B74779">
            <w:pPr>
              <w:spacing w:before="100" w:after="38"/>
            </w:pPr>
            <w:r w:rsidRPr="00236160">
              <w:t>MFCU, estimating a “medium”</w:t>
            </w:r>
            <w:r w:rsidRPr="00236160">
              <w:rPr>
                <w:rStyle w:val="FootnoteReference"/>
              </w:rPr>
              <w:footnoteReference w:id="1"/>
            </w:r>
            <w:r w:rsidRPr="00236160">
              <w:t xml:space="preserve"> level of  State participation in data mining activities</w:t>
            </w:r>
          </w:p>
        </w:tc>
        <w:tc>
          <w:tcPr>
            <w:tcW w:w="1426"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pPr>
            <w:r w:rsidRPr="00236160">
              <w:t>Annual Report, data mining reporting only.</w:t>
            </w:r>
          </w:p>
        </w:tc>
        <w:tc>
          <w:tcPr>
            <w:tcW w:w="1337"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after="38"/>
              <w:jc w:val="center"/>
            </w:pPr>
            <w:r w:rsidRPr="00236160">
              <w:t>13</w:t>
            </w:r>
          </w:p>
          <w:p w:rsidR="00E85517" w:rsidRPr="00236160" w:rsidRDefault="00E85517" w:rsidP="004563BF">
            <w:pPr>
              <w:spacing w:before="100" w:after="38"/>
              <w:jc w:val="center"/>
              <w:rPr>
                <w:i/>
              </w:rPr>
            </w:pPr>
          </w:p>
        </w:tc>
        <w:tc>
          <w:tcPr>
            <w:tcW w:w="1605"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after="38"/>
              <w:jc w:val="center"/>
            </w:pPr>
            <w:r w:rsidRPr="00236160">
              <w:t>1</w:t>
            </w:r>
          </w:p>
        </w:tc>
        <w:tc>
          <w:tcPr>
            <w:tcW w:w="1961"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after="38"/>
              <w:jc w:val="center"/>
            </w:pPr>
            <w:r w:rsidRPr="00236160">
              <w:t>1</w:t>
            </w:r>
          </w:p>
        </w:tc>
        <w:tc>
          <w:tcPr>
            <w:tcW w:w="1608" w:type="dxa"/>
            <w:tcBorders>
              <w:top w:val="single" w:sz="6" w:space="0" w:color="000000"/>
              <w:left w:val="single" w:sz="6" w:space="0" w:color="000000"/>
              <w:bottom w:val="single" w:sz="6" w:space="0" w:color="000000"/>
              <w:right w:val="single" w:sz="6" w:space="0" w:color="000000"/>
            </w:tcBorders>
          </w:tcPr>
          <w:p w:rsidR="00E85517" w:rsidRPr="00236160" w:rsidRDefault="00E85517" w:rsidP="004563BF">
            <w:pPr>
              <w:spacing w:before="100" w:after="38"/>
              <w:jc w:val="center"/>
            </w:pPr>
            <w:r w:rsidRPr="00236160">
              <w:t>13</w:t>
            </w:r>
          </w:p>
        </w:tc>
      </w:tr>
      <w:tr w:rsidR="00E85517" w:rsidTr="00A7474B">
        <w:trPr>
          <w:cantSplit/>
          <w:trHeight w:val="597"/>
        </w:trPr>
        <w:tc>
          <w:tcPr>
            <w:tcW w:w="1783" w:type="dxa"/>
            <w:tcBorders>
              <w:top w:val="single" w:sz="6" w:space="0" w:color="000000"/>
              <w:left w:val="single" w:sz="6" w:space="0" w:color="000000"/>
              <w:bottom w:val="single" w:sz="6" w:space="0" w:color="000000"/>
              <w:right w:val="nil"/>
            </w:tcBorders>
          </w:tcPr>
          <w:p w:rsidR="00E85517" w:rsidRDefault="00E85517" w:rsidP="004563BF">
            <w:pPr>
              <w:spacing w:before="100" w:after="38"/>
            </w:pPr>
            <w:r>
              <w:t xml:space="preserve">MFCU </w:t>
            </w:r>
          </w:p>
        </w:tc>
        <w:tc>
          <w:tcPr>
            <w:tcW w:w="1426" w:type="dxa"/>
            <w:tcBorders>
              <w:top w:val="single" w:sz="6" w:space="0" w:color="000000"/>
              <w:left w:val="single" w:sz="6" w:space="0" w:color="000000"/>
              <w:bottom w:val="single" w:sz="6" w:space="0" w:color="000000"/>
              <w:right w:val="nil"/>
            </w:tcBorders>
          </w:tcPr>
          <w:p w:rsidR="00E85517" w:rsidRDefault="00E85517" w:rsidP="004563BF">
            <w:r>
              <w:t>Recertification</w:t>
            </w:r>
          </w:p>
          <w:p w:rsidR="00E85517" w:rsidRDefault="00E85517" w:rsidP="004563BF">
            <w:pPr>
              <w:spacing w:after="38"/>
            </w:pPr>
            <w:r>
              <w:t>Application</w:t>
            </w:r>
          </w:p>
        </w:tc>
        <w:tc>
          <w:tcPr>
            <w:tcW w:w="1337" w:type="dxa"/>
            <w:tcBorders>
              <w:top w:val="single" w:sz="6" w:space="0" w:color="000000"/>
              <w:left w:val="single" w:sz="6" w:space="0" w:color="000000"/>
              <w:bottom w:val="single" w:sz="6" w:space="0" w:color="000000"/>
              <w:right w:val="nil"/>
            </w:tcBorders>
          </w:tcPr>
          <w:p w:rsidR="00E85517" w:rsidRDefault="00E85517" w:rsidP="004563BF">
            <w:pPr>
              <w:spacing w:before="100" w:after="38"/>
              <w:jc w:val="center"/>
            </w:pPr>
            <w:r>
              <w:t>50</w:t>
            </w:r>
          </w:p>
        </w:tc>
        <w:tc>
          <w:tcPr>
            <w:tcW w:w="1605" w:type="dxa"/>
            <w:tcBorders>
              <w:top w:val="single" w:sz="6" w:space="0" w:color="000000"/>
              <w:left w:val="single" w:sz="6" w:space="0" w:color="000000"/>
              <w:bottom w:val="single" w:sz="6" w:space="0" w:color="000000"/>
              <w:right w:val="nil"/>
            </w:tcBorders>
          </w:tcPr>
          <w:p w:rsidR="00E85517" w:rsidRDefault="00E85517" w:rsidP="004563BF">
            <w:pPr>
              <w:spacing w:before="100" w:after="38"/>
              <w:jc w:val="center"/>
            </w:pPr>
            <w:r>
              <w:t>1</w:t>
            </w:r>
          </w:p>
        </w:tc>
        <w:tc>
          <w:tcPr>
            <w:tcW w:w="1961" w:type="dxa"/>
            <w:tcBorders>
              <w:top w:val="single" w:sz="6" w:space="0" w:color="000000"/>
              <w:left w:val="single" w:sz="6" w:space="0" w:color="000000"/>
              <w:bottom w:val="single" w:sz="6" w:space="0" w:color="000000"/>
              <w:right w:val="nil"/>
            </w:tcBorders>
          </w:tcPr>
          <w:p w:rsidR="00E85517" w:rsidRDefault="00E85517" w:rsidP="004563BF">
            <w:pPr>
              <w:spacing w:before="100" w:after="38"/>
              <w:jc w:val="center"/>
            </w:pPr>
            <w:r>
              <w:t>5</w:t>
            </w:r>
          </w:p>
        </w:tc>
        <w:tc>
          <w:tcPr>
            <w:tcW w:w="1608" w:type="dxa"/>
            <w:tcBorders>
              <w:top w:val="single" w:sz="6" w:space="0" w:color="000000"/>
              <w:left w:val="single" w:sz="6" w:space="0" w:color="000000"/>
              <w:bottom w:val="single" w:sz="6" w:space="0" w:color="000000"/>
              <w:right w:val="single" w:sz="6" w:space="0" w:color="000000"/>
            </w:tcBorders>
          </w:tcPr>
          <w:p w:rsidR="00E85517" w:rsidRDefault="00E85517" w:rsidP="004563BF">
            <w:pPr>
              <w:spacing w:before="100" w:after="38"/>
              <w:jc w:val="center"/>
            </w:pPr>
            <w:r>
              <w:t>250</w:t>
            </w:r>
          </w:p>
        </w:tc>
      </w:tr>
      <w:tr w:rsidR="00E85517" w:rsidTr="00E22596">
        <w:trPr>
          <w:cantSplit/>
          <w:trHeight w:val="615"/>
        </w:trPr>
        <w:tc>
          <w:tcPr>
            <w:tcW w:w="1783" w:type="dxa"/>
            <w:tcBorders>
              <w:top w:val="single" w:sz="6" w:space="0" w:color="000000"/>
              <w:left w:val="single" w:sz="6" w:space="0" w:color="000000"/>
              <w:bottom w:val="single" w:sz="6" w:space="0" w:color="000000"/>
              <w:right w:val="nil"/>
            </w:tcBorders>
          </w:tcPr>
          <w:p w:rsidR="00E85517" w:rsidRPr="00236160" w:rsidRDefault="00E85517" w:rsidP="00123355">
            <w:pPr>
              <w:spacing w:before="100" w:after="38"/>
            </w:pPr>
            <w:r w:rsidRPr="00A7474B">
              <w:rPr>
                <w:b/>
              </w:rPr>
              <w:t>Total</w:t>
            </w:r>
            <w:r w:rsidRPr="00236160">
              <w:t xml:space="preserve"> </w:t>
            </w:r>
          </w:p>
        </w:tc>
        <w:tc>
          <w:tcPr>
            <w:tcW w:w="1426"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after="38"/>
              <w:jc w:val="right"/>
            </w:pPr>
          </w:p>
        </w:tc>
        <w:tc>
          <w:tcPr>
            <w:tcW w:w="1337" w:type="dxa"/>
            <w:tcBorders>
              <w:top w:val="single" w:sz="6" w:space="0" w:color="000000"/>
              <w:left w:val="single" w:sz="6" w:space="0" w:color="000000"/>
              <w:bottom w:val="single" w:sz="6" w:space="0" w:color="000000"/>
              <w:right w:val="nil"/>
            </w:tcBorders>
          </w:tcPr>
          <w:p w:rsidR="00E85517" w:rsidRPr="00236160" w:rsidRDefault="00E85517" w:rsidP="004563BF">
            <w:pPr>
              <w:spacing w:before="100" w:after="38"/>
              <w:jc w:val="center"/>
            </w:pPr>
            <w:r>
              <w:t>50</w:t>
            </w:r>
          </w:p>
          <w:p w:rsidR="00E85517" w:rsidRPr="00236160" w:rsidRDefault="00E85517" w:rsidP="00841C89">
            <w:pPr>
              <w:spacing w:before="100" w:after="38"/>
            </w:pPr>
          </w:p>
        </w:tc>
        <w:tc>
          <w:tcPr>
            <w:tcW w:w="1605" w:type="dxa"/>
            <w:tcBorders>
              <w:top w:val="single" w:sz="6" w:space="0" w:color="000000"/>
              <w:left w:val="single" w:sz="6" w:space="0" w:color="000000"/>
              <w:bottom w:val="single" w:sz="6" w:space="0" w:color="000000"/>
              <w:right w:val="nil"/>
            </w:tcBorders>
          </w:tcPr>
          <w:p w:rsidR="00E85517" w:rsidRPr="00236160" w:rsidRDefault="007A2795" w:rsidP="00491F93">
            <w:pPr>
              <w:spacing w:before="100" w:after="38"/>
              <w:jc w:val="center"/>
            </w:pPr>
            <w:r>
              <w:t>2</w:t>
            </w:r>
            <w:r>
              <w:rPr>
                <w:rStyle w:val="FootnoteReference"/>
              </w:rPr>
              <w:footnoteReference w:id="2"/>
            </w:r>
          </w:p>
        </w:tc>
        <w:tc>
          <w:tcPr>
            <w:tcW w:w="1961" w:type="dxa"/>
            <w:tcBorders>
              <w:top w:val="single" w:sz="6" w:space="0" w:color="000000"/>
              <w:left w:val="single" w:sz="6" w:space="0" w:color="000000"/>
              <w:bottom w:val="single" w:sz="6" w:space="0" w:color="000000"/>
              <w:right w:val="nil"/>
            </w:tcBorders>
          </w:tcPr>
          <w:p w:rsidR="00E85517" w:rsidRPr="00236160" w:rsidRDefault="00E85517" w:rsidP="00841C89">
            <w:pPr>
              <w:spacing w:before="100" w:after="38"/>
              <w:jc w:val="center"/>
            </w:pPr>
            <w:r w:rsidRPr="00236160">
              <w:t>94</w:t>
            </w:r>
          </w:p>
        </w:tc>
        <w:tc>
          <w:tcPr>
            <w:tcW w:w="1608" w:type="dxa"/>
            <w:tcBorders>
              <w:top w:val="single" w:sz="6" w:space="0" w:color="000000"/>
              <w:left w:val="single" w:sz="6" w:space="0" w:color="000000"/>
              <w:bottom w:val="single" w:sz="6" w:space="0" w:color="000000"/>
              <w:right w:val="single" w:sz="6" w:space="0" w:color="000000"/>
            </w:tcBorders>
          </w:tcPr>
          <w:p w:rsidR="00E85517" w:rsidRPr="00236160" w:rsidRDefault="00E85517" w:rsidP="004563BF">
            <w:pPr>
              <w:spacing w:before="100" w:after="38"/>
              <w:jc w:val="center"/>
            </w:pPr>
            <w:r w:rsidRPr="00A7474B">
              <w:rPr>
                <w:b/>
              </w:rPr>
              <w:t>4,663</w:t>
            </w:r>
            <w:r>
              <w:rPr>
                <w:rStyle w:val="FootnoteReference"/>
              </w:rPr>
              <w:footnoteReference w:id="3"/>
            </w:r>
          </w:p>
        </w:tc>
      </w:tr>
    </w:tbl>
    <w:p w:rsidR="00E85517" w:rsidRDefault="00E85517" w:rsidP="004563BF"/>
    <w:p w:rsidR="00E85517" w:rsidRPr="00904EB5" w:rsidRDefault="00E85517" w:rsidP="004563BF">
      <w:pPr>
        <w:rPr>
          <w:i/>
        </w:rPr>
      </w:pPr>
      <w:r>
        <w:rPr>
          <w:sz w:val="24"/>
          <w:szCs w:val="24"/>
        </w:rPr>
        <w:tab/>
      </w:r>
      <w:r>
        <w:rPr>
          <w:sz w:val="24"/>
          <w:szCs w:val="24"/>
        </w:rPr>
        <w:tab/>
      </w:r>
      <w:r w:rsidRPr="00904EB5">
        <w:rPr>
          <w:i/>
          <w:sz w:val="24"/>
          <w:szCs w:val="24"/>
        </w:rPr>
        <w:t>12B</w:t>
      </w:r>
      <w:proofErr w:type="gramStart"/>
      <w:r w:rsidRPr="00904EB5">
        <w:rPr>
          <w:i/>
          <w:sz w:val="24"/>
          <w:szCs w:val="24"/>
        </w:rPr>
        <w:t>.  Estimation</w:t>
      </w:r>
      <w:proofErr w:type="gramEnd"/>
      <w:r w:rsidRPr="00904EB5">
        <w:rPr>
          <w:i/>
          <w:sz w:val="24"/>
          <w:szCs w:val="24"/>
        </w:rPr>
        <w:t xml:space="preserve"> of Annualized Cost to Respondents</w:t>
      </w:r>
    </w:p>
    <w:p w:rsidR="00E85517" w:rsidRDefault="00E85517" w:rsidP="004563BF">
      <w:pPr>
        <w:jc w:val="center"/>
      </w:pPr>
    </w:p>
    <w:tbl>
      <w:tblPr>
        <w:tblW w:w="9720" w:type="dxa"/>
        <w:tblInd w:w="100" w:type="dxa"/>
        <w:tblLayout w:type="fixed"/>
        <w:tblCellMar>
          <w:left w:w="100" w:type="dxa"/>
          <w:right w:w="100" w:type="dxa"/>
        </w:tblCellMar>
        <w:tblLook w:val="0000" w:firstRow="0" w:lastRow="0" w:firstColumn="0" w:lastColumn="0" w:noHBand="0" w:noVBand="0"/>
      </w:tblPr>
      <w:tblGrid>
        <w:gridCol w:w="1890"/>
        <w:gridCol w:w="1980"/>
        <w:gridCol w:w="1170"/>
        <w:gridCol w:w="2160"/>
        <w:gridCol w:w="2520"/>
      </w:tblGrid>
      <w:tr w:rsidR="007005A2" w:rsidRPr="00236160" w:rsidTr="007005A2">
        <w:trPr>
          <w:cantSplit/>
          <w:trHeight w:val="616"/>
        </w:trPr>
        <w:tc>
          <w:tcPr>
            <w:tcW w:w="1890" w:type="dxa"/>
            <w:tcBorders>
              <w:top w:val="single" w:sz="6" w:space="0" w:color="000000"/>
              <w:left w:val="single" w:sz="6" w:space="0" w:color="000000"/>
              <w:bottom w:val="single" w:sz="6" w:space="0" w:color="000000"/>
              <w:right w:val="nil"/>
            </w:tcBorders>
          </w:tcPr>
          <w:p w:rsidR="007005A2" w:rsidRDefault="007005A2" w:rsidP="004563BF">
            <w:pPr>
              <w:spacing w:before="100" w:after="38"/>
              <w:jc w:val="center"/>
            </w:pPr>
            <w:r>
              <w:t xml:space="preserve"> Respondent  </w:t>
            </w:r>
          </w:p>
        </w:tc>
        <w:tc>
          <w:tcPr>
            <w:tcW w:w="1980" w:type="dxa"/>
            <w:tcBorders>
              <w:top w:val="single" w:sz="6" w:space="0" w:color="000000"/>
              <w:left w:val="single" w:sz="6" w:space="0" w:color="000000"/>
              <w:bottom w:val="single" w:sz="6" w:space="0" w:color="000000"/>
              <w:right w:val="single" w:sz="6" w:space="0" w:color="000000"/>
            </w:tcBorders>
          </w:tcPr>
          <w:p w:rsidR="007005A2" w:rsidRDefault="0054036A" w:rsidP="0054036A">
            <w:pPr>
              <w:spacing w:before="100"/>
              <w:jc w:val="center"/>
            </w:pPr>
            <w:r>
              <w:t>Form</w:t>
            </w:r>
          </w:p>
        </w:tc>
        <w:tc>
          <w:tcPr>
            <w:tcW w:w="1170" w:type="dxa"/>
            <w:tcBorders>
              <w:top w:val="single" w:sz="6" w:space="0" w:color="000000"/>
              <w:left w:val="single" w:sz="6" w:space="0" w:color="000000"/>
              <w:bottom w:val="single" w:sz="6" w:space="0" w:color="000000"/>
              <w:right w:val="nil"/>
            </w:tcBorders>
          </w:tcPr>
          <w:p w:rsidR="007005A2" w:rsidRDefault="007005A2" w:rsidP="0054036A">
            <w:pPr>
              <w:spacing w:before="100"/>
              <w:jc w:val="center"/>
            </w:pPr>
            <w:r>
              <w:t>Total</w:t>
            </w:r>
          </w:p>
          <w:p w:rsidR="007005A2" w:rsidRDefault="007005A2" w:rsidP="0054036A">
            <w:pPr>
              <w:jc w:val="center"/>
            </w:pPr>
            <w:r>
              <w:t>Burden</w:t>
            </w:r>
          </w:p>
          <w:p w:rsidR="007005A2" w:rsidRDefault="007005A2" w:rsidP="0054036A">
            <w:pPr>
              <w:spacing w:after="38"/>
              <w:jc w:val="center"/>
            </w:pPr>
            <w:r>
              <w:t>Hours</w:t>
            </w:r>
          </w:p>
        </w:tc>
        <w:tc>
          <w:tcPr>
            <w:tcW w:w="2160" w:type="dxa"/>
            <w:tcBorders>
              <w:top w:val="single" w:sz="6" w:space="0" w:color="000000"/>
              <w:left w:val="single" w:sz="6" w:space="0" w:color="000000"/>
              <w:bottom w:val="single" w:sz="6" w:space="0" w:color="000000"/>
              <w:right w:val="nil"/>
            </w:tcBorders>
          </w:tcPr>
          <w:p w:rsidR="007005A2" w:rsidRDefault="007005A2" w:rsidP="0054036A">
            <w:pPr>
              <w:spacing w:before="100" w:after="38"/>
              <w:jc w:val="center"/>
            </w:pPr>
            <w:r>
              <w:t>Weighted</w:t>
            </w:r>
            <w:r w:rsidR="0054036A">
              <w:t xml:space="preserve"> </w:t>
            </w:r>
            <w:r>
              <w:t>Hourly Wage Rate</w:t>
            </w:r>
          </w:p>
        </w:tc>
        <w:tc>
          <w:tcPr>
            <w:tcW w:w="2520" w:type="dxa"/>
            <w:tcBorders>
              <w:top w:val="single" w:sz="6" w:space="0" w:color="000000"/>
              <w:left w:val="single" w:sz="6" w:space="0" w:color="000000"/>
              <w:bottom w:val="single" w:sz="6" w:space="0" w:color="000000"/>
              <w:right w:val="single" w:sz="6" w:space="0" w:color="000000"/>
            </w:tcBorders>
          </w:tcPr>
          <w:p w:rsidR="007005A2" w:rsidRDefault="007005A2" w:rsidP="0054036A">
            <w:pPr>
              <w:spacing w:before="100"/>
              <w:jc w:val="center"/>
            </w:pPr>
            <w:r>
              <w:t>Total Respondent Cost</w:t>
            </w:r>
          </w:p>
          <w:p w:rsidR="007005A2" w:rsidRDefault="007005A2" w:rsidP="004563BF">
            <w:pPr>
              <w:spacing w:after="38"/>
              <w:jc w:val="center"/>
            </w:pPr>
          </w:p>
        </w:tc>
      </w:tr>
      <w:tr w:rsidR="007005A2" w:rsidTr="007005A2">
        <w:trPr>
          <w:cantSplit/>
        </w:trPr>
        <w:tc>
          <w:tcPr>
            <w:tcW w:w="1890" w:type="dxa"/>
            <w:tcBorders>
              <w:top w:val="single" w:sz="6" w:space="0" w:color="000000"/>
              <w:left w:val="single" w:sz="6" w:space="0" w:color="000000"/>
              <w:bottom w:val="single" w:sz="6" w:space="0" w:color="000000"/>
              <w:right w:val="nil"/>
            </w:tcBorders>
          </w:tcPr>
          <w:p w:rsidR="007005A2" w:rsidRDefault="007005A2" w:rsidP="004563BF">
            <w:pPr>
              <w:spacing w:before="100" w:after="38"/>
            </w:pPr>
            <w:r>
              <w:lastRenderedPageBreak/>
              <w:t>MFCU</w:t>
            </w:r>
          </w:p>
        </w:tc>
        <w:tc>
          <w:tcPr>
            <w:tcW w:w="1980" w:type="dxa"/>
            <w:tcBorders>
              <w:top w:val="single" w:sz="6" w:space="0" w:color="000000"/>
              <w:left w:val="single" w:sz="6" w:space="0" w:color="000000"/>
              <w:bottom w:val="single" w:sz="6" w:space="0" w:color="000000"/>
              <w:right w:val="single" w:sz="6" w:space="0" w:color="000000"/>
            </w:tcBorders>
          </w:tcPr>
          <w:p w:rsidR="007005A2" w:rsidRDefault="007005A2" w:rsidP="007005A2">
            <w:pPr>
              <w:spacing w:before="100" w:after="38"/>
            </w:pPr>
            <w:r>
              <w:t>Annual Report</w:t>
            </w:r>
          </w:p>
        </w:tc>
        <w:tc>
          <w:tcPr>
            <w:tcW w:w="1170" w:type="dxa"/>
            <w:tcBorders>
              <w:top w:val="single" w:sz="6" w:space="0" w:color="000000"/>
              <w:left w:val="single" w:sz="6" w:space="0" w:color="000000"/>
              <w:bottom w:val="single" w:sz="6" w:space="0" w:color="000000"/>
              <w:right w:val="nil"/>
            </w:tcBorders>
          </w:tcPr>
          <w:p w:rsidR="007005A2" w:rsidRDefault="007005A2" w:rsidP="004563BF">
            <w:pPr>
              <w:spacing w:before="100" w:after="38"/>
              <w:jc w:val="center"/>
            </w:pPr>
            <w:r>
              <w:t>4,400</w:t>
            </w:r>
          </w:p>
        </w:tc>
        <w:tc>
          <w:tcPr>
            <w:tcW w:w="2160" w:type="dxa"/>
            <w:tcBorders>
              <w:top w:val="single" w:sz="6" w:space="0" w:color="000000"/>
              <w:left w:val="single" w:sz="6" w:space="0" w:color="000000"/>
              <w:bottom w:val="single" w:sz="6" w:space="0" w:color="000000"/>
              <w:right w:val="nil"/>
            </w:tcBorders>
          </w:tcPr>
          <w:p w:rsidR="007005A2" w:rsidRDefault="007005A2" w:rsidP="007005A2">
            <w:pPr>
              <w:spacing w:before="100" w:after="38"/>
              <w:jc w:val="center"/>
            </w:pPr>
            <w:r>
              <w:t>$24.3</w:t>
            </w:r>
            <w:r w:rsidR="0054036A">
              <w:t>9</w:t>
            </w:r>
          </w:p>
        </w:tc>
        <w:tc>
          <w:tcPr>
            <w:tcW w:w="2520" w:type="dxa"/>
            <w:tcBorders>
              <w:top w:val="single" w:sz="6" w:space="0" w:color="000000"/>
              <w:left w:val="single" w:sz="6" w:space="0" w:color="000000"/>
              <w:bottom w:val="single" w:sz="6" w:space="0" w:color="000000"/>
              <w:right w:val="single" w:sz="6" w:space="0" w:color="000000"/>
            </w:tcBorders>
          </w:tcPr>
          <w:p w:rsidR="007005A2" w:rsidRDefault="007005A2" w:rsidP="0054036A">
            <w:pPr>
              <w:spacing w:before="100" w:after="38"/>
              <w:jc w:val="center"/>
            </w:pPr>
            <w:r>
              <w:t>$107,</w:t>
            </w:r>
            <w:r w:rsidR="0054036A">
              <w:t>316</w:t>
            </w:r>
          </w:p>
        </w:tc>
      </w:tr>
      <w:tr w:rsidR="007005A2" w:rsidTr="007005A2">
        <w:trPr>
          <w:cantSplit/>
        </w:trPr>
        <w:tc>
          <w:tcPr>
            <w:tcW w:w="1890" w:type="dxa"/>
            <w:tcBorders>
              <w:top w:val="single" w:sz="6" w:space="0" w:color="000000"/>
              <w:left w:val="single" w:sz="6" w:space="0" w:color="000000"/>
              <w:bottom w:val="single" w:sz="6" w:space="0" w:color="000000"/>
              <w:right w:val="nil"/>
            </w:tcBorders>
          </w:tcPr>
          <w:p w:rsidR="007005A2" w:rsidRPr="00625BDB" w:rsidRDefault="007005A2" w:rsidP="004563BF">
            <w:pPr>
              <w:spacing w:before="100" w:after="38"/>
            </w:pPr>
            <w:r w:rsidRPr="00625BDB">
              <w:t>MFCU, if participating in data mining activities</w:t>
            </w:r>
          </w:p>
        </w:tc>
        <w:tc>
          <w:tcPr>
            <w:tcW w:w="1980" w:type="dxa"/>
            <w:tcBorders>
              <w:top w:val="single" w:sz="6" w:space="0" w:color="000000"/>
              <w:left w:val="single" w:sz="6" w:space="0" w:color="000000"/>
              <w:bottom w:val="single" w:sz="6" w:space="0" w:color="000000"/>
              <w:right w:val="single" w:sz="6" w:space="0" w:color="000000"/>
            </w:tcBorders>
          </w:tcPr>
          <w:p w:rsidR="007005A2" w:rsidRPr="00625BDB" w:rsidRDefault="007005A2" w:rsidP="007005A2">
            <w:pPr>
              <w:spacing w:before="100" w:after="38"/>
            </w:pPr>
            <w:r w:rsidRPr="00236160">
              <w:t>Annual Report, data mining reporting only.</w:t>
            </w:r>
          </w:p>
        </w:tc>
        <w:tc>
          <w:tcPr>
            <w:tcW w:w="1170" w:type="dxa"/>
            <w:tcBorders>
              <w:top w:val="single" w:sz="6" w:space="0" w:color="000000"/>
              <w:left w:val="single" w:sz="6" w:space="0" w:color="000000"/>
              <w:bottom w:val="single" w:sz="6" w:space="0" w:color="000000"/>
              <w:right w:val="nil"/>
            </w:tcBorders>
          </w:tcPr>
          <w:p w:rsidR="007005A2" w:rsidRPr="00625BDB" w:rsidRDefault="007005A2" w:rsidP="004563BF">
            <w:pPr>
              <w:spacing w:before="100" w:after="38"/>
              <w:jc w:val="center"/>
            </w:pPr>
            <w:r w:rsidRPr="00625BDB">
              <w:t>13</w:t>
            </w:r>
          </w:p>
        </w:tc>
        <w:tc>
          <w:tcPr>
            <w:tcW w:w="2160" w:type="dxa"/>
            <w:tcBorders>
              <w:top w:val="single" w:sz="6" w:space="0" w:color="000000"/>
              <w:left w:val="single" w:sz="6" w:space="0" w:color="000000"/>
              <w:bottom w:val="single" w:sz="6" w:space="0" w:color="000000"/>
              <w:right w:val="nil"/>
            </w:tcBorders>
          </w:tcPr>
          <w:p w:rsidR="007005A2" w:rsidRPr="00625BDB" w:rsidRDefault="007005A2" w:rsidP="007005A2">
            <w:pPr>
              <w:spacing w:before="100" w:after="38"/>
              <w:jc w:val="center"/>
            </w:pPr>
            <w:r w:rsidRPr="00625BDB">
              <w:t>$</w:t>
            </w:r>
            <w:r>
              <w:t>24.3</w:t>
            </w:r>
            <w:r w:rsidR="0054036A">
              <w:t>9</w:t>
            </w:r>
          </w:p>
        </w:tc>
        <w:tc>
          <w:tcPr>
            <w:tcW w:w="2520" w:type="dxa"/>
            <w:tcBorders>
              <w:top w:val="single" w:sz="6" w:space="0" w:color="000000"/>
              <w:left w:val="single" w:sz="6" w:space="0" w:color="000000"/>
              <w:bottom w:val="single" w:sz="6" w:space="0" w:color="000000"/>
              <w:right w:val="single" w:sz="6" w:space="0" w:color="000000"/>
            </w:tcBorders>
          </w:tcPr>
          <w:p w:rsidR="007005A2" w:rsidRPr="00625BDB" w:rsidRDefault="007005A2" w:rsidP="007005A2">
            <w:pPr>
              <w:spacing w:before="100" w:after="38"/>
              <w:jc w:val="center"/>
            </w:pPr>
            <w:r w:rsidRPr="00625BDB">
              <w:t>$</w:t>
            </w:r>
            <w:r>
              <w:t>317</w:t>
            </w:r>
          </w:p>
        </w:tc>
      </w:tr>
      <w:tr w:rsidR="007005A2" w:rsidTr="007005A2">
        <w:trPr>
          <w:cantSplit/>
        </w:trPr>
        <w:tc>
          <w:tcPr>
            <w:tcW w:w="1890" w:type="dxa"/>
            <w:tcBorders>
              <w:top w:val="single" w:sz="6" w:space="0" w:color="000000"/>
              <w:left w:val="single" w:sz="6" w:space="0" w:color="000000"/>
              <w:bottom w:val="single" w:sz="6" w:space="0" w:color="000000"/>
              <w:right w:val="nil"/>
            </w:tcBorders>
          </w:tcPr>
          <w:p w:rsidR="007005A2" w:rsidRDefault="007005A2" w:rsidP="004563BF">
            <w:pPr>
              <w:spacing w:before="100" w:after="38"/>
            </w:pPr>
            <w:r>
              <w:t>MFCU</w:t>
            </w:r>
          </w:p>
        </w:tc>
        <w:tc>
          <w:tcPr>
            <w:tcW w:w="1980" w:type="dxa"/>
            <w:tcBorders>
              <w:top w:val="single" w:sz="6" w:space="0" w:color="000000"/>
              <w:left w:val="single" w:sz="6" w:space="0" w:color="000000"/>
              <w:bottom w:val="single" w:sz="6" w:space="0" w:color="000000"/>
              <w:right w:val="single" w:sz="6" w:space="0" w:color="000000"/>
            </w:tcBorders>
          </w:tcPr>
          <w:p w:rsidR="007005A2" w:rsidRDefault="007005A2" w:rsidP="007005A2">
            <w:r>
              <w:t>Recertification Application</w:t>
            </w:r>
          </w:p>
        </w:tc>
        <w:tc>
          <w:tcPr>
            <w:tcW w:w="1170" w:type="dxa"/>
            <w:tcBorders>
              <w:top w:val="single" w:sz="6" w:space="0" w:color="000000"/>
              <w:left w:val="single" w:sz="6" w:space="0" w:color="000000"/>
              <w:bottom w:val="single" w:sz="6" w:space="0" w:color="000000"/>
              <w:right w:val="nil"/>
            </w:tcBorders>
          </w:tcPr>
          <w:p w:rsidR="007005A2" w:rsidRDefault="007005A2" w:rsidP="004563BF">
            <w:pPr>
              <w:spacing w:before="100" w:after="38"/>
              <w:jc w:val="center"/>
            </w:pPr>
            <w:r>
              <w:t>250</w:t>
            </w:r>
          </w:p>
        </w:tc>
        <w:tc>
          <w:tcPr>
            <w:tcW w:w="2160" w:type="dxa"/>
            <w:tcBorders>
              <w:top w:val="single" w:sz="6" w:space="0" w:color="000000"/>
              <w:left w:val="single" w:sz="6" w:space="0" w:color="000000"/>
              <w:bottom w:val="single" w:sz="6" w:space="0" w:color="000000"/>
              <w:right w:val="nil"/>
            </w:tcBorders>
          </w:tcPr>
          <w:p w:rsidR="007005A2" w:rsidRDefault="007005A2" w:rsidP="007005A2">
            <w:pPr>
              <w:spacing w:before="100" w:after="38"/>
              <w:jc w:val="center"/>
            </w:pPr>
            <w:r>
              <w:t>$24.3</w:t>
            </w:r>
            <w:r w:rsidR="0054036A">
              <w:t>9</w:t>
            </w:r>
          </w:p>
        </w:tc>
        <w:tc>
          <w:tcPr>
            <w:tcW w:w="2520" w:type="dxa"/>
            <w:tcBorders>
              <w:top w:val="single" w:sz="6" w:space="0" w:color="000000"/>
              <w:left w:val="single" w:sz="6" w:space="0" w:color="000000"/>
              <w:bottom w:val="single" w:sz="6" w:space="0" w:color="000000"/>
              <w:right w:val="single" w:sz="6" w:space="0" w:color="000000"/>
            </w:tcBorders>
          </w:tcPr>
          <w:p w:rsidR="007005A2" w:rsidRDefault="007005A2" w:rsidP="0054036A">
            <w:pPr>
              <w:spacing w:before="100" w:after="38"/>
              <w:jc w:val="center"/>
            </w:pPr>
            <w:r>
              <w:t>$6,09</w:t>
            </w:r>
            <w:r w:rsidR="0054036A">
              <w:t>8</w:t>
            </w:r>
          </w:p>
        </w:tc>
      </w:tr>
      <w:tr w:rsidR="007005A2" w:rsidTr="00E22596">
        <w:trPr>
          <w:cantSplit/>
          <w:trHeight w:val="507"/>
        </w:trPr>
        <w:tc>
          <w:tcPr>
            <w:tcW w:w="1890" w:type="dxa"/>
            <w:tcBorders>
              <w:top w:val="single" w:sz="6" w:space="0" w:color="000000"/>
              <w:left w:val="single" w:sz="6" w:space="0" w:color="000000"/>
              <w:bottom w:val="single" w:sz="6" w:space="0" w:color="000000"/>
              <w:right w:val="nil"/>
            </w:tcBorders>
          </w:tcPr>
          <w:p w:rsidR="007005A2" w:rsidRDefault="007005A2" w:rsidP="00A7474B">
            <w:pPr>
              <w:spacing w:before="100" w:after="38"/>
            </w:pPr>
            <w:r w:rsidRPr="00A7474B">
              <w:rPr>
                <w:b/>
              </w:rPr>
              <w:t xml:space="preserve">Total </w:t>
            </w:r>
          </w:p>
        </w:tc>
        <w:tc>
          <w:tcPr>
            <w:tcW w:w="1980" w:type="dxa"/>
            <w:tcBorders>
              <w:top w:val="single" w:sz="6" w:space="0" w:color="000000"/>
              <w:left w:val="single" w:sz="6" w:space="0" w:color="000000"/>
              <w:bottom w:val="single" w:sz="6" w:space="0" w:color="000000"/>
              <w:right w:val="single" w:sz="6" w:space="0" w:color="000000"/>
            </w:tcBorders>
          </w:tcPr>
          <w:p w:rsidR="007005A2" w:rsidRDefault="007005A2" w:rsidP="004563BF">
            <w:pPr>
              <w:spacing w:before="100" w:after="38"/>
              <w:jc w:val="center"/>
            </w:pPr>
          </w:p>
        </w:tc>
        <w:tc>
          <w:tcPr>
            <w:tcW w:w="1170" w:type="dxa"/>
            <w:tcBorders>
              <w:top w:val="single" w:sz="6" w:space="0" w:color="000000"/>
              <w:left w:val="single" w:sz="6" w:space="0" w:color="000000"/>
              <w:bottom w:val="single" w:sz="6" w:space="0" w:color="000000"/>
              <w:right w:val="nil"/>
            </w:tcBorders>
          </w:tcPr>
          <w:p w:rsidR="007005A2" w:rsidRDefault="007005A2" w:rsidP="004563BF">
            <w:pPr>
              <w:spacing w:before="100" w:after="38"/>
              <w:jc w:val="center"/>
            </w:pPr>
            <w:r>
              <w:t>4663</w:t>
            </w:r>
          </w:p>
        </w:tc>
        <w:tc>
          <w:tcPr>
            <w:tcW w:w="2160" w:type="dxa"/>
            <w:tcBorders>
              <w:top w:val="single" w:sz="6" w:space="0" w:color="000000"/>
              <w:left w:val="single" w:sz="6" w:space="0" w:color="000000"/>
              <w:bottom w:val="single" w:sz="6" w:space="0" w:color="000000"/>
              <w:right w:val="nil"/>
            </w:tcBorders>
          </w:tcPr>
          <w:p w:rsidR="007005A2" w:rsidRDefault="007005A2" w:rsidP="007005A2">
            <w:pPr>
              <w:spacing w:before="100" w:after="38"/>
              <w:jc w:val="center"/>
            </w:pPr>
            <w:r>
              <w:t>$24.3</w:t>
            </w:r>
            <w:r w:rsidR="0054036A">
              <w:t>9</w:t>
            </w:r>
          </w:p>
        </w:tc>
        <w:tc>
          <w:tcPr>
            <w:tcW w:w="2520" w:type="dxa"/>
            <w:tcBorders>
              <w:top w:val="single" w:sz="6" w:space="0" w:color="000000"/>
              <w:left w:val="single" w:sz="6" w:space="0" w:color="000000"/>
              <w:bottom w:val="single" w:sz="6" w:space="0" w:color="000000"/>
              <w:right w:val="single" w:sz="6" w:space="0" w:color="000000"/>
            </w:tcBorders>
          </w:tcPr>
          <w:p w:rsidR="007005A2" w:rsidRDefault="007005A2" w:rsidP="0054036A">
            <w:pPr>
              <w:spacing w:before="100" w:after="38"/>
              <w:jc w:val="center"/>
            </w:pPr>
            <w:r>
              <w:t>$113,</w:t>
            </w:r>
            <w:r w:rsidR="0054036A">
              <w:t>731</w:t>
            </w:r>
          </w:p>
        </w:tc>
      </w:tr>
    </w:tbl>
    <w:p w:rsidR="00E85517" w:rsidRDefault="00E85517" w:rsidP="004563BF">
      <w:pPr>
        <w:rPr>
          <w:b/>
          <w:bCs/>
          <w:sz w:val="24"/>
          <w:szCs w:val="24"/>
        </w:rPr>
      </w:pPr>
      <w:r>
        <w:rPr>
          <w:b/>
          <w:bCs/>
          <w:sz w:val="24"/>
          <w:szCs w:val="24"/>
        </w:rPr>
        <w:tab/>
      </w:r>
      <w:r>
        <w:rPr>
          <w:b/>
          <w:bCs/>
          <w:sz w:val="24"/>
          <w:szCs w:val="24"/>
        </w:rPr>
        <w:tab/>
      </w:r>
    </w:p>
    <w:p w:rsidR="00E85517" w:rsidRDefault="00E85517" w:rsidP="004563BF">
      <w:pPr>
        <w:rPr>
          <w:sz w:val="24"/>
          <w:szCs w:val="24"/>
        </w:rPr>
      </w:pPr>
      <w:r>
        <w:rPr>
          <w:b/>
          <w:bCs/>
          <w:sz w:val="24"/>
          <w:szCs w:val="24"/>
        </w:rPr>
        <w:tab/>
        <w:t xml:space="preserve">13.  </w:t>
      </w:r>
      <w:r w:rsidRPr="00DC6B3E">
        <w:rPr>
          <w:b/>
          <w:bCs/>
          <w:sz w:val="24"/>
          <w:szCs w:val="24"/>
          <w:u w:val="single"/>
        </w:rPr>
        <w:t>C</w:t>
      </w:r>
      <w:r>
        <w:rPr>
          <w:b/>
          <w:bCs/>
          <w:sz w:val="24"/>
          <w:szCs w:val="24"/>
          <w:u w:val="single"/>
        </w:rPr>
        <w:t>apital C</w:t>
      </w:r>
      <w:r w:rsidRPr="00DC6B3E">
        <w:rPr>
          <w:b/>
          <w:bCs/>
          <w:sz w:val="24"/>
          <w:szCs w:val="24"/>
          <w:u w:val="single"/>
        </w:rPr>
        <w:t>ost</w:t>
      </w:r>
      <w:r>
        <w:rPr>
          <w:b/>
          <w:bCs/>
          <w:sz w:val="24"/>
          <w:szCs w:val="24"/>
          <w:u w:val="single"/>
        </w:rPr>
        <w:t>s (Maintenance of Capital)</w:t>
      </w:r>
      <w:r w:rsidRPr="00DC6B3E">
        <w:rPr>
          <w:b/>
          <w:bCs/>
          <w:sz w:val="24"/>
          <w:szCs w:val="24"/>
        </w:rPr>
        <w:t xml:space="preserve"> </w:t>
      </w:r>
      <w:r w:rsidRPr="00DC6B3E">
        <w:rPr>
          <w:bCs/>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No maintenance of capital costs </w:t>
      </w:r>
      <w:proofErr w:type="gramStart"/>
      <w:r>
        <w:rPr>
          <w:sz w:val="24"/>
          <w:szCs w:val="24"/>
        </w:rPr>
        <w:t>are</w:t>
      </w:r>
      <w:proofErr w:type="gramEnd"/>
      <w:r>
        <w:rPr>
          <w:sz w:val="24"/>
          <w:szCs w:val="24"/>
        </w:rPr>
        <w:t xml:space="preserve"> associated with this collection. </w:t>
      </w:r>
    </w:p>
    <w:p w:rsidR="00E85517" w:rsidRDefault="00E85517" w:rsidP="004563BF">
      <w:pPr>
        <w:rPr>
          <w:b/>
          <w:bCs/>
          <w:sz w:val="24"/>
          <w:szCs w:val="24"/>
        </w:rPr>
      </w:pPr>
      <w:r>
        <w:rPr>
          <w:sz w:val="24"/>
          <w:szCs w:val="24"/>
        </w:rPr>
        <w:tab/>
      </w:r>
    </w:p>
    <w:p w:rsidR="00E85517" w:rsidRDefault="00E85517" w:rsidP="00C537FD">
      <w:pPr>
        <w:rPr>
          <w:sz w:val="24"/>
          <w:szCs w:val="24"/>
        </w:rPr>
      </w:pPr>
      <w:r>
        <w:rPr>
          <w:b/>
          <w:bCs/>
          <w:sz w:val="24"/>
          <w:szCs w:val="24"/>
        </w:rPr>
        <w:tab/>
        <w:t xml:space="preserve">14.  </w:t>
      </w:r>
      <w:r>
        <w:rPr>
          <w:b/>
          <w:bCs/>
          <w:sz w:val="24"/>
          <w:szCs w:val="24"/>
          <w:u w:val="single"/>
        </w:rPr>
        <w:t>Cost to Federal Government</w:t>
      </w:r>
      <w:bookmarkStart w:id="0" w:name="_GoBack"/>
      <w:bookmarkEnd w:id="0"/>
    </w:p>
    <w:p w:rsidR="00E85517" w:rsidRDefault="00E85517" w:rsidP="004563BF">
      <w:pPr>
        <w:jc w:val="center"/>
        <w:rPr>
          <w:sz w:val="24"/>
          <w:szCs w:val="24"/>
        </w:rPr>
      </w:pPr>
    </w:p>
    <w:p w:rsidR="00E85517" w:rsidRDefault="00E85517" w:rsidP="00C96C7E">
      <w:pPr>
        <w:ind w:left="720"/>
        <w:rPr>
          <w:sz w:val="24"/>
          <w:szCs w:val="24"/>
        </w:rPr>
      </w:pPr>
      <w:r>
        <w:rPr>
          <w:sz w:val="24"/>
          <w:szCs w:val="24"/>
        </w:rPr>
        <w:t xml:space="preserve">The annual cost to the Federal government of processing the collection for each of the 50 MFCUs is based on the average time OIG staff takes to thoroughly review and analyze the information in each collection, as well as the time it takes to consult with MFCU officials and their staff, if appropriate.  The number of participating OIG staff is 4.  OIG staff takes 3 hours for each review.  The estimated wage rate for OIG staff is $32–$40 per hour—an average of $36 per hour.  Based on this data, the average annual cost to the Federal Government for collection is approximately $5,400.  The hourly wage rate information was derived from personnel-payroll data.  The figure used for OIG staff processing time was obtained from the participants.  </w:t>
      </w:r>
      <w:r>
        <w:rPr>
          <w:sz w:val="24"/>
          <w:szCs w:val="24"/>
        </w:rPr>
        <w:tab/>
      </w:r>
    </w:p>
    <w:p w:rsidR="00E85517" w:rsidRDefault="00E85517" w:rsidP="004563BF">
      <w:pPr>
        <w:rPr>
          <w:sz w:val="24"/>
          <w:szCs w:val="24"/>
        </w:rPr>
      </w:pPr>
    </w:p>
    <w:p w:rsidR="00E85517" w:rsidRPr="008A0906" w:rsidRDefault="00E85517" w:rsidP="004563BF">
      <w:pPr>
        <w:rPr>
          <w:sz w:val="24"/>
          <w:szCs w:val="24"/>
        </w:rPr>
      </w:pPr>
      <w:r>
        <w:rPr>
          <w:sz w:val="24"/>
          <w:szCs w:val="24"/>
        </w:rPr>
        <w:tab/>
      </w:r>
      <w:r w:rsidRPr="008A0906">
        <w:rPr>
          <w:b/>
          <w:sz w:val="24"/>
          <w:szCs w:val="24"/>
        </w:rPr>
        <w:t>15.</w:t>
      </w:r>
      <w:r w:rsidRPr="008A0906">
        <w:rPr>
          <w:sz w:val="24"/>
          <w:szCs w:val="24"/>
        </w:rPr>
        <w:t xml:space="preserve">  </w:t>
      </w:r>
      <w:r w:rsidRPr="008A0906">
        <w:rPr>
          <w:b/>
          <w:bCs/>
          <w:sz w:val="24"/>
          <w:szCs w:val="24"/>
          <w:u w:val="single"/>
        </w:rPr>
        <w:t>Program or Burden Changes</w:t>
      </w:r>
    </w:p>
    <w:p w:rsidR="00E85517" w:rsidRPr="008A0906" w:rsidRDefault="00E85517" w:rsidP="004563BF">
      <w:pPr>
        <w:rPr>
          <w:sz w:val="24"/>
          <w:szCs w:val="24"/>
        </w:rPr>
      </w:pPr>
    </w:p>
    <w:p w:rsidR="00E85517" w:rsidRDefault="009F39FA" w:rsidP="004563BF">
      <w:pPr>
        <w:ind w:left="720"/>
        <w:rPr>
          <w:sz w:val="24"/>
          <w:szCs w:val="24"/>
        </w:rPr>
      </w:pPr>
      <w:r>
        <w:rPr>
          <w:sz w:val="24"/>
          <w:szCs w:val="24"/>
        </w:rPr>
        <w:t xml:space="preserve">OIG now permits MFCUs, under conditions specified in 42 CFR § 1007.20, to engage in data mining activities.  MFCUs engaging in data mining activities are required to report on those activities in the annual report.  We estimate that preparing the additional information on data mining activities would take 1 hour per year.  </w:t>
      </w:r>
      <w:r w:rsidR="00DB22DF">
        <w:rPr>
          <w:sz w:val="24"/>
          <w:szCs w:val="24"/>
        </w:rPr>
        <w:t xml:space="preserve">If 25 percent of the </w:t>
      </w:r>
      <w:r w:rsidR="0071533F">
        <w:rPr>
          <w:sz w:val="24"/>
          <w:szCs w:val="24"/>
        </w:rPr>
        <w:t>50 MCFUs participate (13 units x 1 burden hour per year), we anticipate 13 additional burden hours a year.</w:t>
      </w:r>
    </w:p>
    <w:p w:rsidR="00E85517" w:rsidRDefault="00E85517" w:rsidP="004563BF">
      <w:pPr>
        <w:rPr>
          <w:sz w:val="24"/>
          <w:szCs w:val="24"/>
        </w:rPr>
      </w:pPr>
      <w:r>
        <w:rPr>
          <w:b/>
          <w:bCs/>
          <w:sz w:val="24"/>
          <w:szCs w:val="24"/>
        </w:rPr>
        <w:tab/>
        <w:t xml:space="preserve">16.  </w:t>
      </w:r>
      <w:r>
        <w:rPr>
          <w:b/>
          <w:bCs/>
          <w:sz w:val="24"/>
          <w:szCs w:val="24"/>
          <w:u w:val="single"/>
        </w:rPr>
        <w:t>Publication and Tabulation Dates</w:t>
      </w:r>
      <w:r>
        <w:rPr>
          <w:b/>
          <w:bCs/>
          <w:sz w:val="24"/>
          <w:szCs w:val="24"/>
        </w:rPr>
        <w:t xml:space="preserve"> </w:t>
      </w:r>
      <w:r>
        <w:rPr>
          <w:sz w:val="24"/>
          <w:szCs w:val="24"/>
        </w:rPr>
        <w:t xml:space="preserve"> </w:t>
      </w:r>
    </w:p>
    <w:p w:rsidR="00E85517" w:rsidRDefault="00E85517" w:rsidP="004563BF">
      <w:pPr>
        <w:rPr>
          <w:sz w:val="24"/>
          <w:szCs w:val="24"/>
        </w:rPr>
      </w:pPr>
    </w:p>
    <w:p w:rsidR="00E85517" w:rsidRDefault="00E85517" w:rsidP="004563BF">
      <w:pPr>
        <w:ind w:left="720"/>
        <w:rPr>
          <w:sz w:val="24"/>
          <w:szCs w:val="24"/>
        </w:rPr>
      </w:pPr>
      <w:r>
        <w:rPr>
          <w:sz w:val="24"/>
          <w:szCs w:val="24"/>
        </w:rPr>
        <w:t xml:space="preserve">OIG does not publicize information submitted in annual reports or certification/recertification application requests.  Since these collections could include information concerning State and Federal ongoing investigations and prosecutions, such information must be requested through FOIA channels, disclosed only on a case-by-case basis and only after a thorough FOIA review.  </w:t>
      </w:r>
    </w:p>
    <w:p w:rsidR="00E85517" w:rsidRDefault="00E85517" w:rsidP="004563BF">
      <w:pPr>
        <w:rPr>
          <w:b/>
          <w:bCs/>
          <w:sz w:val="24"/>
          <w:szCs w:val="24"/>
        </w:rPr>
      </w:pPr>
      <w:r>
        <w:rPr>
          <w:sz w:val="24"/>
          <w:szCs w:val="24"/>
        </w:rPr>
        <w:tab/>
      </w:r>
    </w:p>
    <w:p w:rsidR="00E85517" w:rsidRDefault="00E85517" w:rsidP="004563BF">
      <w:pPr>
        <w:rPr>
          <w:sz w:val="24"/>
          <w:szCs w:val="24"/>
        </w:rPr>
      </w:pPr>
      <w:r>
        <w:rPr>
          <w:b/>
          <w:bCs/>
          <w:sz w:val="24"/>
          <w:szCs w:val="24"/>
        </w:rPr>
        <w:tab/>
        <w:t xml:space="preserve">17.  </w:t>
      </w:r>
      <w:r>
        <w:rPr>
          <w:b/>
          <w:bCs/>
          <w:sz w:val="24"/>
          <w:szCs w:val="24"/>
          <w:u w:val="single"/>
        </w:rPr>
        <w:t>Expiration Date</w:t>
      </w:r>
    </w:p>
    <w:p w:rsidR="00E85517" w:rsidRDefault="00E85517" w:rsidP="004563BF">
      <w:pPr>
        <w:rPr>
          <w:sz w:val="24"/>
          <w:szCs w:val="24"/>
        </w:rPr>
      </w:pPr>
    </w:p>
    <w:p w:rsidR="00E85517" w:rsidRDefault="00E85517" w:rsidP="00AD3E97">
      <w:pPr>
        <w:ind w:firstLine="720"/>
        <w:rPr>
          <w:sz w:val="24"/>
          <w:szCs w:val="24"/>
        </w:rPr>
      </w:pPr>
      <w:r>
        <w:rPr>
          <w:sz w:val="24"/>
          <w:szCs w:val="24"/>
        </w:rPr>
        <w:lastRenderedPageBreak/>
        <w:t xml:space="preserve">This section is not applicable.  </w:t>
      </w:r>
    </w:p>
    <w:p w:rsidR="00E85517" w:rsidRDefault="00E85517" w:rsidP="004563BF">
      <w:pPr>
        <w:rPr>
          <w:sz w:val="24"/>
          <w:szCs w:val="24"/>
        </w:rPr>
      </w:pPr>
    </w:p>
    <w:p w:rsidR="00E85517" w:rsidRDefault="00E85517" w:rsidP="004563BF">
      <w:pPr>
        <w:rPr>
          <w:sz w:val="24"/>
          <w:szCs w:val="24"/>
        </w:rPr>
      </w:pPr>
      <w:r>
        <w:rPr>
          <w:b/>
          <w:bCs/>
          <w:sz w:val="24"/>
          <w:szCs w:val="24"/>
        </w:rPr>
        <w:tab/>
        <w:t xml:space="preserve">18.  </w:t>
      </w:r>
      <w:r>
        <w:rPr>
          <w:b/>
          <w:bCs/>
          <w:sz w:val="24"/>
          <w:szCs w:val="24"/>
          <w:u w:val="single"/>
        </w:rPr>
        <w:t xml:space="preserve">Certification Statement </w:t>
      </w:r>
    </w:p>
    <w:p w:rsidR="00E85517" w:rsidRDefault="00E85517" w:rsidP="004563BF">
      <w:pPr>
        <w:rPr>
          <w:sz w:val="24"/>
          <w:szCs w:val="24"/>
        </w:rPr>
      </w:pPr>
      <w:r>
        <w:rPr>
          <w:sz w:val="24"/>
          <w:szCs w:val="24"/>
        </w:rPr>
        <w:tab/>
      </w:r>
    </w:p>
    <w:p w:rsidR="00E85517" w:rsidRDefault="00E85517" w:rsidP="004563BF">
      <w:pPr>
        <w:rPr>
          <w:sz w:val="24"/>
          <w:szCs w:val="24"/>
        </w:rPr>
      </w:pPr>
      <w:r>
        <w:rPr>
          <w:sz w:val="24"/>
          <w:szCs w:val="24"/>
        </w:rPr>
        <w:tab/>
        <w:t xml:space="preserve">No exceptions to the certification exist. </w:t>
      </w:r>
    </w:p>
    <w:p w:rsidR="00E85517" w:rsidRDefault="00E85517" w:rsidP="004563BF">
      <w:pPr>
        <w:rPr>
          <w:sz w:val="24"/>
          <w:szCs w:val="24"/>
        </w:rPr>
      </w:pPr>
    </w:p>
    <w:p w:rsidR="00E85517" w:rsidRDefault="00E85517" w:rsidP="004563BF">
      <w:pPr>
        <w:rPr>
          <w:sz w:val="24"/>
          <w:szCs w:val="24"/>
        </w:rPr>
      </w:pPr>
    </w:p>
    <w:p w:rsidR="00E85517" w:rsidRDefault="00E85517" w:rsidP="004563BF">
      <w:pPr>
        <w:tabs>
          <w:tab w:val="left" w:pos="720"/>
        </w:tabs>
        <w:ind w:left="720" w:hanging="720"/>
        <w:rPr>
          <w:sz w:val="24"/>
          <w:szCs w:val="24"/>
        </w:rPr>
      </w:pPr>
      <w:r>
        <w:rPr>
          <w:b/>
          <w:bCs/>
          <w:sz w:val="24"/>
          <w:szCs w:val="24"/>
        </w:rPr>
        <w:t>B</w:t>
      </w:r>
      <w:r>
        <w:rPr>
          <w:sz w:val="24"/>
          <w:szCs w:val="24"/>
        </w:rPr>
        <w:t>.</w:t>
      </w:r>
      <w:r>
        <w:rPr>
          <w:sz w:val="24"/>
          <w:szCs w:val="24"/>
        </w:rPr>
        <w:tab/>
      </w:r>
      <w:r>
        <w:rPr>
          <w:b/>
          <w:bCs/>
          <w:sz w:val="24"/>
          <w:szCs w:val="24"/>
          <w:u w:val="single"/>
        </w:rPr>
        <w:t>Collection of Information Employing Statistical Methods</w:t>
      </w:r>
    </w:p>
    <w:p w:rsidR="00E85517" w:rsidRDefault="00E85517" w:rsidP="004563BF">
      <w:pPr>
        <w:rPr>
          <w:sz w:val="24"/>
          <w:szCs w:val="24"/>
        </w:rPr>
      </w:pPr>
    </w:p>
    <w:p w:rsidR="00E85517" w:rsidRDefault="00E85517">
      <w:r>
        <w:rPr>
          <w:sz w:val="24"/>
          <w:szCs w:val="24"/>
        </w:rPr>
        <w:tab/>
        <w:t>No statistical methods are employed in relation to the information collected.</w:t>
      </w:r>
      <w:r>
        <w:t xml:space="preserve"> </w:t>
      </w:r>
    </w:p>
    <w:sectPr w:rsidR="00E85517" w:rsidSect="00E94A04">
      <w:headerReference w:type="default" r:id="rId8"/>
      <w:footerReference w:type="default" r:id="rId9"/>
      <w:type w:val="continuous"/>
      <w:pgSz w:w="12240" w:h="15840"/>
      <w:pgMar w:top="135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53" w:rsidRDefault="001C7753" w:rsidP="00236160">
      <w:r>
        <w:separator/>
      </w:r>
    </w:p>
  </w:endnote>
  <w:endnote w:type="continuationSeparator" w:id="0">
    <w:p w:rsidR="001C7753" w:rsidRDefault="001C7753" w:rsidP="0023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56" w:rsidRDefault="00BD3A56">
    <w:pPr>
      <w:pStyle w:val="Footer"/>
      <w:jc w:val="center"/>
    </w:pPr>
    <w:r>
      <w:fldChar w:fldCharType="begin"/>
    </w:r>
    <w:r>
      <w:instrText xml:space="preserve"> PAGE   \* MERGEFORMAT </w:instrText>
    </w:r>
    <w:r>
      <w:fldChar w:fldCharType="separate"/>
    </w:r>
    <w:r w:rsidR="00D56882">
      <w:rPr>
        <w:noProof/>
      </w:rPr>
      <w:t>5</w:t>
    </w:r>
    <w:r>
      <w:fldChar w:fldCharType="end"/>
    </w:r>
  </w:p>
  <w:p w:rsidR="00BD3A56" w:rsidRDefault="00BD3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53" w:rsidRDefault="001C7753" w:rsidP="00236160">
      <w:r>
        <w:separator/>
      </w:r>
    </w:p>
  </w:footnote>
  <w:footnote w:type="continuationSeparator" w:id="0">
    <w:p w:rsidR="001C7753" w:rsidRDefault="001C7753" w:rsidP="00236160">
      <w:r>
        <w:continuationSeparator/>
      </w:r>
    </w:p>
  </w:footnote>
  <w:footnote w:id="1">
    <w:p w:rsidR="00BD3A56" w:rsidRDefault="00BD3A56">
      <w:pPr>
        <w:pStyle w:val="FootnoteText"/>
      </w:pPr>
      <w:r>
        <w:rPr>
          <w:rStyle w:val="FootnoteReference"/>
        </w:rPr>
        <w:footnoteRef/>
      </w:r>
      <w:r>
        <w:t xml:space="preserve"> </w:t>
      </w:r>
      <w:r w:rsidRPr="00C537FD">
        <w:rPr>
          <w:sz w:val="18"/>
          <w:szCs w:val="18"/>
        </w:rPr>
        <w:t>For medium participation, we estimate 25 percent of the 50 MFCUs participating</w:t>
      </w:r>
      <w:r>
        <w:rPr>
          <w:sz w:val="18"/>
          <w:szCs w:val="18"/>
        </w:rPr>
        <w:t>,</w:t>
      </w:r>
      <w:r w:rsidRPr="00C537FD">
        <w:rPr>
          <w:sz w:val="18"/>
          <w:szCs w:val="18"/>
        </w:rPr>
        <w:t xml:space="preserve"> or 13 Units. </w:t>
      </w:r>
    </w:p>
  </w:footnote>
  <w:footnote w:id="2">
    <w:p w:rsidR="007A2795" w:rsidRPr="00A7474B" w:rsidRDefault="007A2795">
      <w:pPr>
        <w:pStyle w:val="FootnoteText"/>
        <w:rPr>
          <w:sz w:val="18"/>
          <w:szCs w:val="18"/>
        </w:rPr>
      </w:pPr>
      <w:r>
        <w:rPr>
          <w:rStyle w:val="FootnoteReference"/>
        </w:rPr>
        <w:footnoteRef/>
      </w:r>
      <w:r>
        <w:t xml:space="preserve"> </w:t>
      </w:r>
      <w:r>
        <w:rPr>
          <w:sz w:val="18"/>
          <w:szCs w:val="18"/>
        </w:rPr>
        <w:t xml:space="preserve">The </w:t>
      </w:r>
      <w:r w:rsidR="006C44AA">
        <w:rPr>
          <w:sz w:val="18"/>
          <w:szCs w:val="18"/>
        </w:rPr>
        <w:t xml:space="preserve">Units not participating in data mining would have 2 responses; the </w:t>
      </w:r>
      <w:r>
        <w:rPr>
          <w:sz w:val="18"/>
          <w:szCs w:val="18"/>
        </w:rPr>
        <w:t>estimated 13 Units participating in data mining would have 3 responses</w:t>
      </w:r>
      <w:r w:rsidR="006C44AA">
        <w:rPr>
          <w:sz w:val="18"/>
          <w:szCs w:val="18"/>
        </w:rPr>
        <w:t>.</w:t>
      </w:r>
    </w:p>
  </w:footnote>
  <w:footnote w:id="3">
    <w:p w:rsidR="00BD3A56" w:rsidRDefault="00BD3A56">
      <w:pPr>
        <w:pStyle w:val="FootnoteText"/>
      </w:pPr>
      <w:r w:rsidRPr="00C537FD">
        <w:rPr>
          <w:rStyle w:val="FootnoteReference"/>
          <w:sz w:val="18"/>
          <w:szCs w:val="18"/>
        </w:rPr>
        <w:footnoteRef/>
      </w:r>
      <w:r w:rsidRPr="00C537FD">
        <w:rPr>
          <w:sz w:val="18"/>
          <w:szCs w:val="18"/>
        </w:rPr>
        <w:t xml:space="preserve"> Since we estimate 13 Units participating in data mining at an estimated 1 extra burden hour</w:t>
      </w:r>
      <w:r>
        <w:rPr>
          <w:sz w:val="18"/>
          <w:szCs w:val="18"/>
        </w:rPr>
        <w:t xml:space="preserve"> each</w:t>
      </w:r>
      <w:r w:rsidRPr="00C537FD">
        <w:rPr>
          <w:sz w:val="18"/>
          <w:szCs w:val="18"/>
        </w:rPr>
        <w:t xml:space="preserve">, we added 13 hours to the </w:t>
      </w:r>
      <w:r w:rsidR="006C44AA">
        <w:rPr>
          <w:sz w:val="18"/>
          <w:szCs w:val="18"/>
        </w:rPr>
        <w:t>t</w:t>
      </w:r>
      <w:r w:rsidRPr="00C537FD">
        <w:rPr>
          <w:sz w:val="18"/>
          <w:szCs w:val="18"/>
        </w:rPr>
        <w:t xml:space="preserve">otal </w:t>
      </w:r>
      <w:r w:rsidR="006C44AA">
        <w:rPr>
          <w:sz w:val="18"/>
          <w:szCs w:val="18"/>
        </w:rPr>
        <w:t>hours.</w:t>
      </w:r>
      <w:r w:rsidR="00EC52EE">
        <w:rPr>
          <w:sz w:val="18"/>
          <w:szCs w:val="18"/>
        </w:rPr>
        <w:t xml:space="preserve">  As such, the total burden hours are the sum of all burden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56" w:rsidRDefault="00BD3A5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BF"/>
    <w:rsid w:val="000004F3"/>
    <w:rsid w:val="00002559"/>
    <w:rsid w:val="000033A7"/>
    <w:rsid w:val="00006294"/>
    <w:rsid w:val="000212F9"/>
    <w:rsid w:val="00022B41"/>
    <w:rsid w:val="00023B8B"/>
    <w:rsid w:val="00023ED1"/>
    <w:rsid w:val="00025FE3"/>
    <w:rsid w:val="0003232C"/>
    <w:rsid w:val="00032343"/>
    <w:rsid w:val="00035227"/>
    <w:rsid w:val="000364AA"/>
    <w:rsid w:val="00046563"/>
    <w:rsid w:val="00047136"/>
    <w:rsid w:val="00050602"/>
    <w:rsid w:val="0005238A"/>
    <w:rsid w:val="00052594"/>
    <w:rsid w:val="0005409F"/>
    <w:rsid w:val="00054C3D"/>
    <w:rsid w:val="000573ED"/>
    <w:rsid w:val="00057581"/>
    <w:rsid w:val="000617B5"/>
    <w:rsid w:val="000648C5"/>
    <w:rsid w:val="00065EE0"/>
    <w:rsid w:val="000779D9"/>
    <w:rsid w:val="000823EF"/>
    <w:rsid w:val="00086FC8"/>
    <w:rsid w:val="00087F60"/>
    <w:rsid w:val="00091D45"/>
    <w:rsid w:val="000933FA"/>
    <w:rsid w:val="00095B2E"/>
    <w:rsid w:val="000A1AF0"/>
    <w:rsid w:val="000A289C"/>
    <w:rsid w:val="000A2A26"/>
    <w:rsid w:val="000A3B06"/>
    <w:rsid w:val="000B1C61"/>
    <w:rsid w:val="000B1C8D"/>
    <w:rsid w:val="000B378D"/>
    <w:rsid w:val="000B5726"/>
    <w:rsid w:val="000B5826"/>
    <w:rsid w:val="000B61C6"/>
    <w:rsid w:val="000B6C48"/>
    <w:rsid w:val="000C177B"/>
    <w:rsid w:val="000C38A7"/>
    <w:rsid w:val="000C43B3"/>
    <w:rsid w:val="000C52B1"/>
    <w:rsid w:val="000D3235"/>
    <w:rsid w:val="000D6831"/>
    <w:rsid w:val="000E056D"/>
    <w:rsid w:val="000E0671"/>
    <w:rsid w:val="000E3A6C"/>
    <w:rsid w:val="000E5467"/>
    <w:rsid w:val="000E6587"/>
    <w:rsid w:val="000E7790"/>
    <w:rsid w:val="000F158F"/>
    <w:rsid w:val="000F24F8"/>
    <w:rsid w:val="000F3258"/>
    <w:rsid w:val="000F3484"/>
    <w:rsid w:val="000F6DDB"/>
    <w:rsid w:val="000F7789"/>
    <w:rsid w:val="00101D5D"/>
    <w:rsid w:val="001067B9"/>
    <w:rsid w:val="001117DB"/>
    <w:rsid w:val="00116D6B"/>
    <w:rsid w:val="00117869"/>
    <w:rsid w:val="00121776"/>
    <w:rsid w:val="0012317B"/>
    <w:rsid w:val="001232A7"/>
    <w:rsid w:val="00123355"/>
    <w:rsid w:val="00123C13"/>
    <w:rsid w:val="001242F0"/>
    <w:rsid w:val="001258E0"/>
    <w:rsid w:val="001275D9"/>
    <w:rsid w:val="001312A5"/>
    <w:rsid w:val="00132868"/>
    <w:rsid w:val="00132B3E"/>
    <w:rsid w:val="00134B24"/>
    <w:rsid w:val="0013558E"/>
    <w:rsid w:val="001435B5"/>
    <w:rsid w:val="00143F2C"/>
    <w:rsid w:val="00145CF3"/>
    <w:rsid w:val="00147BD9"/>
    <w:rsid w:val="00150E6D"/>
    <w:rsid w:val="00154D53"/>
    <w:rsid w:val="00156129"/>
    <w:rsid w:val="00156EA3"/>
    <w:rsid w:val="0015762E"/>
    <w:rsid w:val="0016059B"/>
    <w:rsid w:val="00160D40"/>
    <w:rsid w:val="0016604A"/>
    <w:rsid w:val="0017032B"/>
    <w:rsid w:val="00172FCE"/>
    <w:rsid w:val="00173DBA"/>
    <w:rsid w:val="00174C55"/>
    <w:rsid w:val="0017586B"/>
    <w:rsid w:val="001759C0"/>
    <w:rsid w:val="001801B2"/>
    <w:rsid w:val="001839CA"/>
    <w:rsid w:val="00183B35"/>
    <w:rsid w:val="001848E4"/>
    <w:rsid w:val="00185A17"/>
    <w:rsid w:val="001878EA"/>
    <w:rsid w:val="00193525"/>
    <w:rsid w:val="00196F80"/>
    <w:rsid w:val="001976F2"/>
    <w:rsid w:val="001A0448"/>
    <w:rsid w:val="001A55A7"/>
    <w:rsid w:val="001A58BA"/>
    <w:rsid w:val="001B0F10"/>
    <w:rsid w:val="001B231E"/>
    <w:rsid w:val="001B291F"/>
    <w:rsid w:val="001B4402"/>
    <w:rsid w:val="001B46DE"/>
    <w:rsid w:val="001B79D9"/>
    <w:rsid w:val="001C1075"/>
    <w:rsid w:val="001C1900"/>
    <w:rsid w:val="001C715F"/>
    <w:rsid w:val="001C7753"/>
    <w:rsid w:val="001C7A68"/>
    <w:rsid w:val="001D293C"/>
    <w:rsid w:val="001D49A7"/>
    <w:rsid w:val="001D5D6D"/>
    <w:rsid w:val="001D5E94"/>
    <w:rsid w:val="001D5EE1"/>
    <w:rsid w:val="001E0EA3"/>
    <w:rsid w:val="001E0EEB"/>
    <w:rsid w:val="001E2672"/>
    <w:rsid w:val="001E3889"/>
    <w:rsid w:val="001E5A48"/>
    <w:rsid w:val="001F2120"/>
    <w:rsid w:val="001F37BD"/>
    <w:rsid w:val="001F69D6"/>
    <w:rsid w:val="001F7240"/>
    <w:rsid w:val="00201719"/>
    <w:rsid w:val="002024BA"/>
    <w:rsid w:val="00202D90"/>
    <w:rsid w:val="002032F4"/>
    <w:rsid w:val="0020700C"/>
    <w:rsid w:val="00207611"/>
    <w:rsid w:val="00207E16"/>
    <w:rsid w:val="0021538F"/>
    <w:rsid w:val="00224344"/>
    <w:rsid w:val="00236160"/>
    <w:rsid w:val="00236E92"/>
    <w:rsid w:val="00237530"/>
    <w:rsid w:val="00237F4C"/>
    <w:rsid w:val="0024329C"/>
    <w:rsid w:val="00244C2A"/>
    <w:rsid w:val="00251134"/>
    <w:rsid w:val="00251BE2"/>
    <w:rsid w:val="002572BD"/>
    <w:rsid w:val="0025783D"/>
    <w:rsid w:val="00257AFC"/>
    <w:rsid w:val="00261C04"/>
    <w:rsid w:val="00261EB6"/>
    <w:rsid w:val="0026305A"/>
    <w:rsid w:val="00271BD8"/>
    <w:rsid w:val="00271DFC"/>
    <w:rsid w:val="0028091E"/>
    <w:rsid w:val="0028170D"/>
    <w:rsid w:val="00281B95"/>
    <w:rsid w:val="002845FC"/>
    <w:rsid w:val="00294213"/>
    <w:rsid w:val="002A28DB"/>
    <w:rsid w:val="002A3189"/>
    <w:rsid w:val="002A4191"/>
    <w:rsid w:val="002B1E10"/>
    <w:rsid w:val="002B3809"/>
    <w:rsid w:val="002B5664"/>
    <w:rsid w:val="002B5B84"/>
    <w:rsid w:val="002B6C9D"/>
    <w:rsid w:val="002B6D07"/>
    <w:rsid w:val="002C0634"/>
    <w:rsid w:val="002C5535"/>
    <w:rsid w:val="002D07CF"/>
    <w:rsid w:val="002D3004"/>
    <w:rsid w:val="002E186A"/>
    <w:rsid w:val="002E68C0"/>
    <w:rsid w:val="002E714B"/>
    <w:rsid w:val="002E79BD"/>
    <w:rsid w:val="002F6040"/>
    <w:rsid w:val="00300946"/>
    <w:rsid w:val="0030322D"/>
    <w:rsid w:val="00303BEE"/>
    <w:rsid w:val="00306545"/>
    <w:rsid w:val="00307AAA"/>
    <w:rsid w:val="00310F91"/>
    <w:rsid w:val="003120CD"/>
    <w:rsid w:val="0031487A"/>
    <w:rsid w:val="00315197"/>
    <w:rsid w:val="0031685E"/>
    <w:rsid w:val="00322E0B"/>
    <w:rsid w:val="00325434"/>
    <w:rsid w:val="00330681"/>
    <w:rsid w:val="00332DCF"/>
    <w:rsid w:val="00334BCB"/>
    <w:rsid w:val="003356A7"/>
    <w:rsid w:val="00336190"/>
    <w:rsid w:val="00336EAA"/>
    <w:rsid w:val="0033770C"/>
    <w:rsid w:val="00342246"/>
    <w:rsid w:val="003432CA"/>
    <w:rsid w:val="00344B69"/>
    <w:rsid w:val="00344F28"/>
    <w:rsid w:val="0034566E"/>
    <w:rsid w:val="0034740D"/>
    <w:rsid w:val="0035125B"/>
    <w:rsid w:val="003532DA"/>
    <w:rsid w:val="00355801"/>
    <w:rsid w:val="0035659C"/>
    <w:rsid w:val="0036127D"/>
    <w:rsid w:val="00361311"/>
    <w:rsid w:val="00362A49"/>
    <w:rsid w:val="003634EC"/>
    <w:rsid w:val="00363CAD"/>
    <w:rsid w:val="00366B14"/>
    <w:rsid w:val="00370B7A"/>
    <w:rsid w:val="00372E1C"/>
    <w:rsid w:val="003741AB"/>
    <w:rsid w:val="0037770B"/>
    <w:rsid w:val="003777E9"/>
    <w:rsid w:val="0038146B"/>
    <w:rsid w:val="00382501"/>
    <w:rsid w:val="00386102"/>
    <w:rsid w:val="00387041"/>
    <w:rsid w:val="0038721B"/>
    <w:rsid w:val="00395B9B"/>
    <w:rsid w:val="003A0471"/>
    <w:rsid w:val="003A5D6A"/>
    <w:rsid w:val="003B0948"/>
    <w:rsid w:val="003B6CC0"/>
    <w:rsid w:val="003C3275"/>
    <w:rsid w:val="003C5E47"/>
    <w:rsid w:val="003C774A"/>
    <w:rsid w:val="003D2DEE"/>
    <w:rsid w:val="003D3D24"/>
    <w:rsid w:val="003D7884"/>
    <w:rsid w:val="003E208C"/>
    <w:rsid w:val="003E24DA"/>
    <w:rsid w:val="003F3F29"/>
    <w:rsid w:val="003F5601"/>
    <w:rsid w:val="003F7CEC"/>
    <w:rsid w:val="004025F5"/>
    <w:rsid w:val="0040782F"/>
    <w:rsid w:val="00411C01"/>
    <w:rsid w:val="00414172"/>
    <w:rsid w:val="0041451F"/>
    <w:rsid w:val="00430563"/>
    <w:rsid w:val="0043136A"/>
    <w:rsid w:val="00433671"/>
    <w:rsid w:val="0043539B"/>
    <w:rsid w:val="0044099C"/>
    <w:rsid w:val="00442425"/>
    <w:rsid w:val="004437E7"/>
    <w:rsid w:val="004504A2"/>
    <w:rsid w:val="004522E6"/>
    <w:rsid w:val="00452FE2"/>
    <w:rsid w:val="004537B5"/>
    <w:rsid w:val="00455167"/>
    <w:rsid w:val="004563BF"/>
    <w:rsid w:val="0046414B"/>
    <w:rsid w:val="004650B8"/>
    <w:rsid w:val="00466009"/>
    <w:rsid w:val="00466173"/>
    <w:rsid w:val="004671F6"/>
    <w:rsid w:val="004720BF"/>
    <w:rsid w:val="00473F11"/>
    <w:rsid w:val="00474109"/>
    <w:rsid w:val="0047685A"/>
    <w:rsid w:val="004820BC"/>
    <w:rsid w:val="004833E0"/>
    <w:rsid w:val="00484CB2"/>
    <w:rsid w:val="00486F0A"/>
    <w:rsid w:val="00491C9E"/>
    <w:rsid w:val="00491F93"/>
    <w:rsid w:val="00493434"/>
    <w:rsid w:val="00493D50"/>
    <w:rsid w:val="00494F04"/>
    <w:rsid w:val="00496930"/>
    <w:rsid w:val="00496946"/>
    <w:rsid w:val="004A1FB8"/>
    <w:rsid w:val="004A2BDD"/>
    <w:rsid w:val="004A3675"/>
    <w:rsid w:val="004B19B0"/>
    <w:rsid w:val="004B6F4F"/>
    <w:rsid w:val="004B7CD8"/>
    <w:rsid w:val="004B7ED7"/>
    <w:rsid w:val="004D020D"/>
    <w:rsid w:val="004D0F6E"/>
    <w:rsid w:val="004D5914"/>
    <w:rsid w:val="004E389B"/>
    <w:rsid w:val="004E605F"/>
    <w:rsid w:val="004F0558"/>
    <w:rsid w:val="004F2941"/>
    <w:rsid w:val="004F7E9D"/>
    <w:rsid w:val="00500296"/>
    <w:rsid w:val="00502DEA"/>
    <w:rsid w:val="0050727B"/>
    <w:rsid w:val="00507749"/>
    <w:rsid w:val="00512D68"/>
    <w:rsid w:val="005135C7"/>
    <w:rsid w:val="00515218"/>
    <w:rsid w:val="00517008"/>
    <w:rsid w:val="005172D0"/>
    <w:rsid w:val="005174CB"/>
    <w:rsid w:val="005219FF"/>
    <w:rsid w:val="00532078"/>
    <w:rsid w:val="0054036A"/>
    <w:rsid w:val="0054055E"/>
    <w:rsid w:val="005408BC"/>
    <w:rsid w:val="00543F29"/>
    <w:rsid w:val="00544B90"/>
    <w:rsid w:val="00544F46"/>
    <w:rsid w:val="00544F8C"/>
    <w:rsid w:val="00546C5B"/>
    <w:rsid w:val="005511DB"/>
    <w:rsid w:val="00551B8D"/>
    <w:rsid w:val="00555D9C"/>
    <w:rsid w:val="005567A7"/>
    <w:rsid w:val="0055787E"/>
    <w:rsid w:val="0055793A"/>
    <w:rsid w:val="00561FA0"/>
    <w:rsid w:val="00561FA3"/>
    <w:rsid w:val="00563EEE"/>
    <w:rsid w:val="00564B9C"/>
    <w:rsid w:val="00571ECE"/>
    <w:rsid w:val="00572039"/>
    <w:rsid w:val="00573BBE"/>
    <w:rsid w:val="00574628"/>
    <w:rsid w:val="0057473F"/>
    <w:rsid w:val="00577820"/>
    <w:rsid w:val="005832DE"/>
    <w:rsid w:val="00585602"/>
    <w:rsid w:val="00585FD6"/>
    <w:rsid w:val="005865CE"/>
    <w:rsid w:val="0059136A"/>
    <w:rsid w:val="0059276C"/>
    <w:rsid w:val="00592C25"/>
    <w:rsid w:val="00597C26"/>
    <w:rsid w:val="005A091F"/>
    <w:rsid w:val="005A1D22"/>
    <w:rsid w:val="005A6EDE"/>
    <w:rsid w:val="005A7295"/>
    <w:rsid w:val="005B053F"/>
    <w:rsid w:val="005B34B6"/>
    <w:rsid w:val="005B6CE8"/>
    <w:rsid w:val="005C2C46"/>
    <w:rsid w:val="005C3E9A"/>
    <w:rsid w:val="005C4943"/>
    <w:rsid w:val="005C668D"/>
    <w:rsid w:val="005D0700"/>
    <w:rsid w:val="005D1815"/>
    <w:rsid w:val="005D7103"/>
    <w:rsid w:val="005E2E78"/>
    <w:rsid w:val="005E5E3E"/>
    <w:rsid w:val="005E6B39"/>
    <w:rsid w:val="005E7B73"/>
    <w:rsid w:val="005F11DE"/>
    <w:rsid w:val="005F2A45"/>
    <w:rsid w:val="00601537"/>
    <w:rsid w:val="00601F28"/>
    <w:rsid w:val="00602EC3"/>
    <w:rsid w:val="00604270"/>
    <w:rsid w:val="00605CA6"/>
    <w:rsid w:val="006074D2"/>
    <w:rsid w:val="00610979"/>
    <w:rsid w:val="00611B84"/>
    <w:rsid w:val="006130F6"/>
    <w:rsid w:val="00613465"/>
    <w:rsid w:val="00620781"/>
    <w:rsid w:val="006210A9"/>
    <w:rsid w:val="0062162F"/>
    <w:rsid w:val="006216DD"/>
    <w:rsid w:val="006234A7"/>
    <w:rsid w:val="006257B9"/>
    <w:rsid w:val="00625BDB"/>
    <w:rsid w:val="00625F5C"/>
    <w:rsid w:val="00626066"/>
    <w:rsid w:val="00627A84"/>
    <w:rsid w:val="00632CF8"/>
    <w:rsid w:val="006350C0"/>
    <w:rsid w:val="0063768C"/>
    <w:rsid w:val="00640587"/>
    <w:rsid w:val="006417BB"/>
    <w:rsid w:val="00641B12"/>
    <w:rsid w:val="00642A4F"/>
    <w:rsid w:val="0064375B"/>
    <w:rsid w:val="0064409F"/>
    <w:rsid w:val="00647F6E"/>
    <w:rsid w:val="00652D9B"/>
    <w:rsid w:val="00656A9D"/>
    <w:rsid w:val="00662E63"/>
    <w:rsid w:val="00664007"/>
    <w:rsid w:val="006678EA"/>
    <w:rsid w:val="00671144"/>
    <w:rsid w:val="00681820"/>
    <w:rsid w:val="00682A09"/>
    <w:rsid w:val="00684DFA"/>
    <w:rsid w:val="00684F6A"/>
    <w:rsid w:val="006856BE"/>
    <w:rsid w:val="00685B68"/>
    <w:rsid w:val="00690C0C"/>
    <w:rsid w:val="006910DC"/>
    <w:rsid w:val="00693784"/>
    <w:rsid w:val="006A1727"/>
    <w:rsid w:val="006A29C1"/>
    <w:rsid w:val="006A2FBC"/>
    <w:rsid w:val="006A505F"/>
    <w:rsid w:val="006A58C5"/>
    <w:rsid w:val="006B0E06"/>
    <w:rsid w:val="006B2ACC"/>
    <w:rsid w:val="006B3A68"/>
    <w:rsid w:val="006C0691"/>
    <w:rsid w:val="006C0AB7"/>
    <w:rsid w:val="006C2B24"/>
    <w:rsid w:val="006C3100"/>
    <w:rsid w:val="006C44AA"/>
    <w:rsid w:val="006C4B71"/>
    <w:rsid w:val="006C5F6F"/>
    <w:rsid w:val="006D41DC"/>
    <w:rsid w:val="006E2A65"/>
    <w:rsid w:val="006E404A"/>
    <w:rsid w:val="006E64E0"/>
    <w:rsid w:val="006E7BEB"/>
    <w:rsid w:val="006F372E"/>
    <w:rsid w:val="0070041C"/>
    <w:rsid w:val="007005A2"/>
    <w:rsid w:val="007033D8"/>
    <w:rsid w:val="007044AA"/>
    <w:rsid w:val="00704581"/>
    <w:rsid w:val="00706C54"/>
    <w:rsid w:val="0071533F"/>
    <w:rsid w:val="007238BA"/>
    <w:rsid w:val="00727E3A"/>
    <w:rsid w:val="00730EEA"/>
    <w:rsid w:val="0073126D"/>
    <w:rsid w:val="00735170"/>
    <w:rsid w:val="00736B03"/>
    <w:rsid w:val="00740BB8"/>
    <w:rsid w:val="00743E76"/>
    <w:rsid w:val="00747939"/>
    <w:rsid w:val="00747E17"/>
    <w:rsid w:val="007505B6"/>
    <w:rsid w:val="00754E42"/>
    <w:rsid w:val="00760B30"/>
    <w:rsid w:val="00764C75"/>
    <w:rsid w:val="00770235"/>
    <w:rsid w:val="00774231"/>
    <w:rsid w:val="0078315C"/>
    <w:rsid w:val="00784A7D"/>
    <w:rsid w:val="00792D99"/>
    <w:rsid w:val="007A1C89"/>
    <w:rsid w:val="007A2795"/>
    <w:rsid w:val="007A2EB6"/>
    <w:rsid w:val="007A6807"/>
    <w:rsid w:val="007A68F9"/>
    <w:rsid w:val="007B01BD"/>
    <w:rsid w:val="007B0593"/>
    <w:rsid w:val="007B6459"/>
    <w:rsid w:val="007C027F"/>
    <w:rsid w:val="007C40F5"/>
    <w:rsid w:val="007D62D7"/>
    <w:rsid w:val="007E64B1"/>
    <w:rsid w:val="007E7693"/>
    <w:rsid w:val="007F533D"/>
    <w:rsid w:val="007F6254"/>
    <w:rsid w:val="0080190E"/>
    <w:rsid w:val="00801EF8"/>
    <w:rsid w:val="00802766"/>
    <w:rsid w:val="008054C9"/>
    <w:rsid w:val="00807A68"/>
    <w:rsid w:val="0081675B"/>
    <w:rsid w:val="008178E5"/>
    <w:rsid w:val="00822838"/>
    <w:rsid w:val="008234E5"/>
    <w:rsid w:val="008239EC"/>
    <w:rsid w:val="00824177"/>
    <w:rsid w:val="00826CAC"/>
    <w:rsid w:val="00831DBA"/>
    <w:rsid w:val="00833409"/>
    <w:rsid w:val="00835F8F"/>
    <w:rsid w:val="008406E9"/>
    <w:rsid w:val="00841C89"/>
    <w:rsid w:val="008423EC"/>
    <w:rsid w:val="00843D1C"/>
    <w:rsid w:val="00844719"/>
    <w:rsid w:val="008449D7"/>
    <w:rsid w:val="008538DC"/>
    <w:rsid w:val="00860AA9"/>
    <w:rsid w:val="00861139"/>
    <w:rsid w:val="008727B7"/>
    <w:rsid w:val="00873DA1"/>
    <w:rsid w:val="00877A83"/>
    <w:rsid w:val="00877B02"/>
    <w:rsid w:val="0088745B"/>
    <w:rsid w:val="00890B8B"/>
    <w:rsid w:val="00892411"/>
    <w:rsid w:val="00892C8C"/>
    <w:rsid w:val="0089333F"/>
    <w:rsid w:val="008A0906"/>
    <w:rsid w:val="008A1A6F"/>
    <w:rsid w:val="008A23CF"/>
    <w:rsid w:val="008A2B0F"/>
    <w:rsid w:val="008B4523"/>
    <w:rsid w:val="008C55C7"/>
    <w:rsid w:val="008C67DF"/>
    <w:rsid w:val="008C6B05"/>
    <w:rsid w:val="008C7B04"/>
    <w:rsid w:val="008D0FC1"/>
    <w:rsid w:val="008D169F"/>
    <w:rsid w:val="008D450C"/>
    <w:rsid w:val="008D7A7E"/>
    <w:rsid w:val="008E2607"/>
    <w:rsid w:val="008E649F"/>
    <w:rsid w:val="008F26B6"/>
    <w:rsid w:val="008F62CC"/>
    <w:rsid w:val="00904EB5"/>
    <w:rsid w:val="009107F3"/>
    <w:rsid w:val="00910D81"/>
    <w:rsid w:val="00910E30"/>
    <w:rsid w:val="009207E4"/>
    <w:rsid w:val="0092256A"/>
    <w:rsid w:val="00923982"/>
    <w:rsid w:val="00924E54"/>
    <w:rsid w:val="0092658D"/>
    <w:rsid w:val="00927973"/>
    <w:rsid w:val="009319CD"/>
    <w:rsid w:val="00932D0E"/>
    <w:rsid w:val="00935B20"/>
    <w:rsid w:val="00943EC0"/>
    <w:rsid w:val="00945059"/>
    <w:rsid w:val="0095004F"/>
    <w:rsid w:val="009539B7"/>
    <w:rsid w:val="009577BB"/>
    <w:rsid w:val="009630D5"/>
    <w:rsid w:val="0096325E"/>
    <w:rsid w:val="009678C5"/>
    <w:rsid w:val="009728BB"/>
    <w:rsid w:val="00974301"/>
    <w:rsid w:val="0097499B"/>
    <w:rsid w:val="00977FFB"/>
    <w:rsid w:val="00980B22"/>
    <w:rsid w:val="00980D7B"/>
    <w:rsid w:val="00980D94"/>
    <w:rsid w:val="00984EF1"/>
    <w:rsid w:val="00993057"/>
    <w:rsid w:val="00993A2A"/>
    <w:rsid w:val="00995310"/>
    <w:rsid w:val="0099760D"/>
    <w:rsid w:val="009A5828"/>
    <w:rsid w:val="009B71C1"/>
    <w:rsid w:val="009B7AC9"/>
    <w:rsid w:val="009C1C01"/>
    <w:rsid w:val="009C224B"/>
    <w:rsid w:val="009C24BE"/>
    <w:rsid w:val="009D0D63"/>
    <w:rsid w:val="009D1341"/>
    <w:rsid w:val="009D2B13"/>
    <w:rsid w:val="009E158C"/>
    <w:rsid w:val="009E38DD"/>
    <w:rsid w:val="009E3948"/>
    <w:rsid w:val="009F001D"/>
    <w:rsid w:val="009F0773"/>
    <w:rsid w:val="009F14C0"/>
    <w:rsid w:val="009F1A79"/>
    <w:rsid w:val="009F2C6A"/>
    <w:rsid w:val="009F39FA"/>
    <w:rsid w:val="009F48AB"/>
    <w:rsid w:val="009F5E7E"/>
    <w:rsid w:val="009F7FA9"/>
    <w:rsid w:val="00A00905"/>
    <w:rsid w:val="00A0388D"/>
    <w:rsid w:val="00A05569"/>
    <w:rsid w:val="00A06122"/>
    <w:rsid w:val="00A06E02"/>
    <w:rsid w:val="00A13D4C"/>
    <w:rsid w:val="00A14BC6"/>
    <w:rsid w:val="00A15989"/>
    <w:rsid w:val="00A20047"/>
    <w:rsid w:val="00A23FB5"/>
    <w:rsid w:val="00A2558B"/>
    <w:rsid w:val="00A27B99"/>
    <w:rsid w:val="00A32B4F"/>
    <w:rsid w:val="00A43A00"/>
    <w:rsid w:val="00A43F54"/>
    <w:rsid w:val="00A4729C"/>
    <w:rsid w:val="00A47897"/>
    <w:rsid w:val="00A51709"/>
    <w:rsid w:val="00A527F0"/>
    <w:rsid w:val="00A52AD0"/>
    <w:rsid w:val="00A53DF9"/>
    <w:rsid w:val="00A626B4"/>
    <w:rsid w:val="00A66795"/>
    <w:rsid w:val="00A7009D"/>
    <w:rsid w:val="00A73C6E"/>
    <w:rsid w:val="00A7474B"/>
    <w:rsid w:val="00A8120B"/>
    <w:rsid w:val="00A833BB"/>
    <w:rsid w:val="00A83DF0"/>
    <w:rsid w:val="00A840EF"/>
    <w:rsid w:val="00A85454"/>
    <w:rsid w:val="00A87481"/>
    <w:rsid w:val="00A87FE8"/>
    <w:rsid w:val="00A93C31"/>
    <w:rsid w:val="00A942D8"/>
    <w:rsid w:val="00AA151A"/>
    <w:rsid w:val="00AA1E68"/>
    <w:rsid w:val="00AA6349"/>
    <w:rsid w:val="00AC1A89"/>
    <w:rsid w:val="00AC2FDD"/>
    <w:rsid w:val="00AC3031"/>
    <w:rsid w:val="00AC5181"/>
    <w:rsid w:val="00AC6FE5"/>
    <w:rsid w:val="00AC70C2"/>
    <w:rsid w:val="00AC7D06"/>
    <w:rsid w:val="00AD0A3A"/>
    <w:rsid w:val="00AD30EE"/>
    <w:rsid w:val="00AD3E97"/>
    <w:rsid w:val="00AD477A"/>
    <w:rsid w:val="00AD6690"/>
    <w:rsid w:val="00AE007B"/>
    <w:rsid w:val="00AE0EA7"/>
    <w:rsid w:val="00AE256C"/>
    <w:rsid w:val="00AE4AEA"/>
    <w:rsid w:val="00AE5DC2"/>
    <w:rsid w:val="00AE6D22"/>
    <w:rsid w:val="00AF5844"/>
    <w:rsid w:val="00AF7F56"/>
    <w:rsid w:val="00B060E5"/>
    <w:rsid w:val="00B069FD"/>
    <w:rsid w:val="00B105BF"/>
    <w:rsid w:val="00B12F35"/>
    <w:rsid w:val="00B22D21"/>
    <w:rsid w:val="00B25967"/>
    <w:rsid w:val="00B27297"/>
    <w:rsid w:val="00B33D87"/>
    <w:rsid w:val="00B42959"/>
    <w:rsid w:val="00B43A6F"/>
    <w:rsid w:val="00B44D7A"/>
    <w:rsid w:val="00B46996"/>
    <w:rsid w:val="00B547BB"/>
    <w:rsid w:val="00B556DC"/>
    <w:rsid w:val="00B62883"/>
    <w:rsid w:val="00B641AC"/>
    <w:rsid w:val="00B646EB"/>
    <w:rsid w:val="00B65CC0"/>
    <w:rsid w:val="00B7204B"/>
    <w:rsid w:val="00B744FB"/>
    <w:rsid w:val="00B74779"/>
    <w:rsid w:val="00B74CEB"/>
    <w:rsid w:val="00B7722E"/>
    <w:rsid w:val="00B80DD9"/>
    <w:rsid w:val="00B86A03"/>
    <w:rsid w:val="00B90057"/>
    <w:rsid w:val="00B92B5A"/>
    <w:rsid w:val="00B96415"/>
    <w:rsid w:val="00BA1295"/>
    <w:rsid w:val="00BA236D"/>
    <w:rsid w:val="00BA2D91"/>
    <w:rsid w:val="00BA36DF"/>
    <w:rsid w:val="00BA5B14"/>
    <w:rsid w:val="00BA664E"/>
    <w:rsid w:val="00BB2D16"/>
    <w:rsid w:val="00BC1FF5"/>
    <w:rsid w:val="00BC29E1"/>
    <w:rsid w:val="00BC29F1"/>
    <w:rsid w:val="00BC6D93"/>
    <w:rsid w:val="00BD04E2"/>
    <w:rsid w:val="00BD209A"/>
    <w:rsid w:val="00BD2D03"/>
    <w:rsid w:val="00BD3095"/>
    <w:rsid w:val="00BD309C"/>
    <w:rsid w:val="00BD3A56"/>
    <w:rsid w:val="00BD3B72"/>
    <w:rsid w:val="00BD440F"/>
    <w:rsid w:val="00BD7E2D"/>
    <w:rsid w:val="00BE1977"/>
    <w:rsid w:val="00BE20F0"/>
    <w:rsid w:val="00BE5237"/>
    <w:rsid w:val="00BF04AE"/>
    <w:rsid w:val="00BF04E0"/>
    <w:rsid w:val="00BF091E"/>
    <w:rsid w:val="00BF2546"/>
    <w:rsid w:val="00BF34E4"/>
    <w:rsid w:val="00BF658D"/>
    <w:rsid w:val="00BF6D03"/>
    <w:rsid w:val="00BF746D"/>
    <w:rsid w:val="00C01C87"/>
    <w:rsid w:val="00C02583"/>
    <w:rsid w:val="00C031B0"/>
    <w:rsid w:val="00C066E4"/>
    <w:rsid w:val="00C13B7B"/>
    <w:rsid w:val="00C1417F"/>
    <w:rsid w:val="00C17BF9"/>
    <w:rsid w:val="00C2257A"/>
    <w:rsid w:val="00C30BDB"/>
    <w:rsid w:val="00C34818"/>
    <w:rsid w:val="00C35284"/>
    <w:rsid w:val="00C35493"/>
    <w:rsid w:val="00C368EB"/>
    <w:rsid w:val="00C37398"/>
    <w:rsid w:val="00C502B6"/>
    <w:rsid w:val="00C5205A"/>
    <w:rsid w:val="00C52854"/>
    <w:rsid w:val="00C537FD"/>
    <w:rsid w:val="00C53A1E"/>
    <w:rsid w:val="00C541E9"/>
    <w:rsid w:val="00C6028F"/>
    <w:rsid w:val="00C6064D"/>
    <w:rsid w:val="00C629E5"/>
    <w:rsid w:val="00C75627"/>
    <w:rsid w:val="00C75752"/>
    <w:rsid w:val="00C82583"/>
    <w:rsid w:val="00C8576E"/>
    <w:rsid w:val="00C87BF4"/>
    <w:rsid w:val="00C96C7E"/>
    <w:rsid w:val="00CA1AE9"/>
    <w:rsid w:val="00CA1EF2"/>
    <w:rsid w:val="00CA2AFD"/>
    <w:rsid w:val="00CB1815"/>
    <w:rsid w:val="00CB307B"/>
    <w:rsid w:val="00CB4F0B"/>
    <w:rsid w:val="00CB740E"/>
    <w:rsid w:val="00CC27D0"/>
    <w:rsid w:val="00CC3535"/>
    <w:rsid w:val="00CC69D3"/>
    <w:rsid w:val="00CD7462"/>
    <w:rsid w:val="00CD7D70"/>
    <w:rsid w:val="00CE024C"/>
    <w:rsid w:val="00CE1163"/>
    <w:rsid w:val="00CE15AA"/>
    <w:rsid w:val="00CE424F"/>
    <w:rsid w:val="00CE587E"/>
    <w:rsid w:val="00CE729B"/>
    <w:rsid w:val="00CE7AB0"/>
    <w:rsid w:val="00CF5815"/>
    <w:rsid w:val="00D0114F"/>
    <w:rsid w:val="00D0226F"/>
    <w:rsid w:val="00D05890"/>
    <w:rsid w:val="00D14007"/>
    <w:rsid w:val="00D14DBB"/>
    <w:rsid w:val="00D15D65"/>
    <w:rsid w:val="00D21284"/>
    <w:rsid w:val="00D2676C"/>
    <w:rsid w:val="00D27152"/>
    <w:rsid w:val="00D309E3"/>
    <w:rsid w:val="00D31A1F"/>
    <w:rsid w:val="00D35034"/>
    <w:rsid w:val="00D35423"/>
    <w:rsid w:val="00D3565E"/>
    <w:rsid w:val="00D40D28"/>
    <w:rsid w:val="00D4176A"/>
    <w:rsid w:val="00D44DAD"/>
    <w:rsid w:val="00D50052"/>
    <w:rsid w:val="00D501EA"/>
    <w:rsid w:val="00D51374"/>
    <w:rsid w:val="00D52523"/>
    <w:rsid w:val="00D556CF"/>
    <w:rsid w:val="00D56882"/>
    <w:rsid w:val="00D6087F"/>
    <w:rsid w:val="00D610C5"/>
    <w:rsid w:val="00D61D26"/>
    <w:rsid w:val="00D61D99"/>
    <w:rsid w:val="00D66C66"/>
    <w:rsid w:val="00D71245"/>
    <w:rsid w:val="00D71BF9"/>
    <w:rsid w:val="00D74BC7"/>
    <w:rsid w:val="00D76716"/>
    <w:rsid w:val="00D84519"/>
    <w:rsid w:val="00D85E81"/>
    <w:rsid w:val="00D868E3"/>
    <w:rsid w:val="00D930BF"/>
    <w:rsid w:val="00DA5420"/>
    <w:rsid w:val="00DA7948"/>
    <w:rsid w:val="00DB06EC"/>
    <w:rsid w:val="00DB22DF"/>
    <w:rsid w:val="00DB3881"/>
    <w:rsid w:val="00DB5F8C"/>
    <w:rsid w:val="00DB7372"/>
    <w:rsid w:val="00DC01F2"/>
    <w:rsid w:val="00DC4740"/>
    <w:rsid w:val="00DC6B3E"/>
    <w:rsid w:val="00DD20CE"/>
    <w:rsid w:val="00DE1036"/>
    <w:rsid w:val="00DE478E"/>
    <w:rsid w:val="00DF009C"/>
    <w:rsid w:val="00DF1ED3"/>
    <w:rsid w:val="00DF2E50"/>
    <w:rsid w:val="00DF3E8B"/>
    <w:rsid w:val="00DF6561"/>
    <w:rsid w:val="00DF679D"/>
    <w:rsid w:val="00DF6C04"/>
    <w:rsid w:val="00DF7142"/>
    <w:rsid w:val="00E04BB0"/>
    <w:rsid w:val="00E06F8C"/>
    <w:rsid w:val="00E07195"/>
    <w:rsid w:val="00E07257"/>
    <w:rsid w:val="00E07D39"/>
    <w:rsid w:val="00E11E08"/>
    <w:rsid w:val="00E12815"/>
    <w:rsid w:val="00E13F51"/>
    <w:rsid w:val="00E15FAF"/>
    <w:rsid w:val="00E22596"/>
    <w:rsid w:val="00E3117E"/>
    <w:rsid w:val="00E3154F"/>
    <w:rsid w:val="00E31A15"/>
    <w:rsid w:val="00E3787A"/>
    <w:rsid w:val="00E43480"/>
    <w:rsid w:val="00E44A44"/>
    <w:rsid w:val="00E47722"/>
    <w:rsid w:val="00E51EB8"/>
    <w:rsid w:val="00E5376F"/>
    <w:rsid w:val="00E54D15"/>
    <w:rsid w:val="00E654F7"/>
    <w:rsid w:val="00E7025D"/>
    <w:rsid w:val="00E71BEA"/>
    <w:rsid w:val="00E725A0"/>
    <w:rsid w:val="00E7539E"/>
    <w:rsid w:val="00E803E3"/>
    <w:rsid w:val="00E80BC8"/>
    <w:rsid w:val="00E80EE1"/>
    <w:rsid w:val="00E83398"/>
    <w:rsid w:val="00E8507F"/>
    <w:rsid w:val="00E85517"/>
    <w:rsid w:val="00E86E73"/>
    <w:rsid w:val="00E91883"/>
    <w:rsid w:val="00E9245B"/>
    <w:rsid w:val="00E94A04"/>
    <w:rsid w:val="00E965ED"/>
    <w:rsid w:val="00EA1B02"/>
    <w:rsid w:val="00EA2191"/>
    <w:rsid w:val="00EA4AFD"/>
    <w:rsid w:val="00EB0905"/>
    <w:rsid w:val="00EB193A"/>
    <w:rsid w:val="00EB51C3"/>
    <w:rsid w:val="00EB65B6"/>
    <w:rsid w:val="00EB67E2"/>
    <w:rsid w:val="00EB75FB"/>
    <w:rsid w:val="00EB7BB8"/>
    <w:rsid w:val="00EC52EE"/>
    <w:rsid w:val="00EC6439"/>
    <w:rsid w:val="00EC74E4"/>
    <w:rsid w:val="00EC7E87"/>
    <w:rsid w:val="00ED681E"/>
    <w:rsid w:val="00EE3E1D"/>
    <w:rsid w:val="00EE442B"/>
    <w:rsid w:val="00EF029A"/>
    <w:rsid w:val="00EF0867"/>
    <w:rsid w:val="00EF1157"/>
    <w:rsid w:val="00EF40DF"/>
    <w:rsid w:val="00EF5508"/>
    <w:rsid w:val="00F03C32"/>
    <w:rsid w:val="00F04AEE"/>
    <w:rsid w:val="00F052B6"/>
    <w:rsid w:val="00F06C2F"/>
    <w:rsid w:val="00F10493"/>
    <w:rsid w:val="00F11176"/>
    <w:rsid w:val="00F22BDF"/>
    <w:rsid w:val="00F249E4"/>
    <w:rsid w:val="00F2579C"/>
    <w:rsid w:val="00F25C7F"/>
    <w:rsid w:val="00F32EA7"/>
    <w:rsid w:val="00F33C93"/>
    <w:rsid w:val="00F36109"/>
    <w:rsid w:val="00F41EF4"/>
    <w:rsid w:val="00F43301"/>
    <w:rsid w:val="00F43DC0"/>
    <w:rsid w:val="00F44BB7"/>
    <w:rsid w:val="00F45474"/>
    <w:rsid w:val="00F46681"/>
    <w:rsid w:val="00F5128E"/>
    <w:rsid w:val="00F57A62"/>
    <w:rsid w:val="00F610EE"/>
    <w:rsid w:val="00F63D36"/>
    <w:rsid w:val="00F6594A"/>
    <w:rsid w:val="00F70489"/>
    <w:rsid w:val="00F73D6D"/>
    <w:rsid w:val="00F80840"/>
    <w:rsid w:val="00F82446"/>
    <w:rsid w:val="00F83F82"/>
    <w:rsid w:val="00F8444C"/>
    <w:rsid w:val="00F84ECD"/>
    <w:rsid w:val="00F85C3F"/>
    <w:rsid w:val="00F879CD"/>
    <w:rsid w:val="00F90485"/>
    <w:rsid w:val="00F911EE"/>
    <w:rsid w:val="00F9690E"/>
    <w:rsid w:val="00F96C6B"/>
    <w:rsid w:val="00FA0C08"/>
    <w:rsid w:val="00FA22EA"/>
    <w:rsid w:val="00FA30F4"/>
    <w:rsid w:val="00FA457C"/>
    <w:rsid w:val="00FA4E92"/>
    <w:rsid w:val="00FB12A4"/>
    <w:rsid w:val="00FB3BE3"/>
    <w:rsid w:val="00FB4DC0"/>
    <w:rsid w:val="00FC0313"/>
    <w:rsid w:val="00FC0885"/>
    <w:rsid w:val="00FC20F9"/>
    <w:rsid w:val="00FC4C9E"/>
    <w:rsid w:val="00FC4D38"/>
    <w:rsid w:val="00FC5C91"/>
    <w:rsid w:val="00FC61BB"/>
    <w:rsid w:val="00FC7BAB"/>
    <w:rsid w:val="00FD1AC7"/>
    <w:rsid w:val="00FE2535"/>
    <w:rsid w:val="00FE43EB"/>
    <w:rsid w:val="00FE482A"/>
    <w:rsid w:val="00FE6858"/>
    <w:rsid w:val="00FE741A"/>
    <w:rsid w:val="00FF264F"/>
    <w:rsid w:val="00FF2BDE"/>
    <w:rsid w:val="00FF541E"/>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3B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35493"/>
    <w:rPr>
      <w:rFonts w:ascii="Tahoma" w:hAnsi="Tahoma" w:cs="Tahoma"/>
      <w:sz w:val="16"/>
      <w:szCs w:val="16"/>
    </w:rPr>
  </w:style>
  <w:style w:type="character" w:customStyle="1" w:styleId="BalloonTextChar">
    <w:name w:val="Balloon Text Char"/>
    <w:basedOn w:val="DefaultParagraphFont"/>
    <w:link w:val="BalloonText"/>
    <w:uiPriority w:val="99"/>
    <w:locked/>
    <w:rsid w:val="00C35493"/>
    <w:rPr>
      <w:rFonts w:ascii="Tahoma" w:hAnsi="Tahoma" w:cs="Tahoma"/>
      <w:sz w:val="16"/>
      <w:szCs w:val="16"/>
    </w:rPr>
  </w:style>
  <w:style w:type="paragraph" w:styleId="Header">
    <w:name w:val="header"/>
    <w:basedOn w:val="Normal"/>
    <w:link w:val="HeaderChar"/>
    <w:uiPriority w:val="99"/>
    <w:rsid w:val="00236160"/>
    <w:pPr>
      <w:tabs>
        <w:tab w:val="center" w:pos="4680"/>
        <w:tab w:val="right" w:pos="9360"/>
      </w:tabs>
    </w:pPr>
  </w:style>
  <w:style w:type="character" w:customStyle="1" w:styleId="HeaderChar">
    <w:name w:val="Header Char"/>
    <w:basedOn w:val="DefaultParagraphFont"/>
    <w:link w:val="Header"/>
    <w:uiPriority w:val="99"/>
    <w:locked/>
    <w:rsid w:val="00236160"/>
    <w:rPr>
      <w:rFonts w:cs="Times New Roman"/>
    </w:rPr>
  </w:style>
  <w:style w:type="paragraph" w:styleId="Footer">
    <w:name w:val="footer"/>
    <w:basedOn w:val="Normal"/>
    <w:link w:val="FooterChar"/>
    <w:uiPriority w:val="99"/>
    <w:rsid w:val="00236160"/>
    <w:pPr>
      <w:tabs>
        <w:tab w:val="center" w:pos="4680"/>
        <w:tab w:val="right" w:pos="9360"/>
      </w:tabs>
    </w:pPr>
  </w:style>
  <w:style w:type="character" w:customStyle="1" w:styleId="FooterChar">
    <w:name w:val="Footer Char"/>
    <w:basedOn w:val="DefaultParagraphFont"/>
    <w:link w:val="Footer"/>
    <w:uiPriority w:val="99"/>
    <w:locked/>
    <w:rsid w:val="00236160"/>
    <w:rPr>
      <w:rFonts w:cs="Times New Roman"/>
    </w:rPr>
  </w:style>
  <w:style w:type="paragraph" w:styleId="FootnoteText">
    <w:name w:val="footnote text"/>
    <w:basedOn w:val="Normal"/>
    <w:link w:val="FootnoteTextChar"/>
    <w:uiPriority w:val="99"/>
    <w:rsid w:val="00236160"/>
  </w:style>
  <w:style w:type="character" w:customStyle="1" w:styleId="FootnoteTextChar">
    <w:name w:val="Footnote Text Char"/>
    <w:basedOn w:val="DefaultParagraphFont"/>
    <w:link w:val="FootnoteText"/>
    <w:uiPriority w:val="99"/>
    <w:locked/>
    <w:rsid w:val="00236160"/>
    <w:rPr>
      <w:rFonts w:cs="Times New Roman"/>
    </w:rPr>
  </w:style>
  <w:style w:type="character" w:styleId="FootnoteReference">
    <w:name w:val="footnote reference"/>
    <w:basedOn w:val="DefaultParagraphFont"/>
    <w:uiPriority w:val="99"/>
    <w:rsid w:val="0023616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3B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35493"/>
    <w:rPr>
      <w:rFonts w:ascii="Tahoma" w:hAnsi="Tahoma" w:cs="Tahoma"/>
      <w:sz w:val="16"/>
      <w:szCs w:val="16"/>
    </w:rPr>
  </w:style>
  <w:style w:type="character" w:customStyle="1" w:styleId="BalloonTextChar">
    <w:name w:val="Balloon Text Char"/>
    <w:basedOn w:val="DefaultParagraphFont"/>
    <w:link w:val="BalloonText"/>
    <w:uiPriority w:val="99"/>
    <w:locked/>
    <w:rsid w:val="00C35493"/>
    <w:rPr>
      <w:rFonts w:ascii="Tahoma" w:hAnsi="Tahoma" w:cs="Tahoma"/>
      <w:sz w:val="16"/>
      <w:szCs w:val="16"/>
    </w:rPr>
  </w:style>
  <w:style w:type="paragraph" w:styleId="Header">
    <w:name w:val="header"/>
    <w:basedOn w:val="Normal"/>
    <w:link w:val="HeaderChar"/>
    <w:uiPriority w:val="99"/>
    <w:rsid w:val="00236160"/>
    <w:pPr>
      <w:tabs>
        <w:tab w:val="center" w:pos="4680"/>
        <w:tab w:val="right" w:pos="9360"/>
      </w:tabs>
    </w:pPr>
  </w:style>
  <w:style w:type="character" w:customStyle="1" w:styleId="HeaderChar">
    <w:name w:val="Header Char"/>
    <w:basedOn w:val="DefaultParagraphFont"/>
    <w:link w:val="Header"/>
    <w:uiPriority w:val="99"/>
    <w:locked/>
    <w:rsid w:val="00236160"/>
    <w:rPr>
      <w:rFonts w:cs="Times New Roman"/>
    </w:rPr>
  </w:style>
  <w:style w:type="paragraph" w:styleId="Footer">
    <w:name w:val="footer"/>
    <w:basedOn w:val="Normal"/>
    <w:link w:val="FooterChar"/>
    <w:uiPriority w:val="99"/>
    <w:rsid w:val="00236160"/>
    <w:pPr>
      <w:tabs>
        <w:tab w:val="center" w:pos="4680"/>
        <w:tab w:val="right" w:pos="9360"/>
      </w:tabs>
    </w:pPr>
  </w:style>
  <w:style w:type="character" w:customStyle="1" w:styleId="FooterChar">
    <w:name w:val="Footer Char"/>
    <w:basedOn w:val="DefaultParagraphFont"/>
    <w:link w:val="Footer"/>
    <w:uiPriority w:val="99"/>
    <w:locked/>
    <w:rsid w:val="00236160"/>
    <w:rPr>
      <w:rFonts w:cs="Times New Roman"/>
    </w:rPr>
  </w:style>
  <w:style w:type="paragraph" w:styleId="FootnoteText">
    <w:name w:val="footnote text"/>
    <w:basedOn w:val="Normal"/>
    <w:link w:val="FootnoteTextChar"/>
    <w:uiPriority w:val="99"/>
    <w:rsid w:val="00236160"/>
  </w:style>
  <w:style w:type="character" w:customStyle="1" w:styleId="FootnoteTextChar">
    <w:name w:val="Footnote Text Char"/>
    <w:basedOn w:val="DefaultParagraphFont"/>
    <w:link w:val="FootnoteText"/>
    <w:uiPriority w:val="99"/>
    <w:locked/>
    <w:rsid w:val="00236160"/>
    <w:rPr>
      <w:rFonts w:cs="Times New Roman"/>
    </w:rPr>
  </w:style>
  <w:style w:type="character" w:styleId="FootnoteReference">
    <w:name w:val="footnote reference"/>
    <w:basedOn w:val="DefaultParagraphFont"/>
    <w:uiPriority w:val="99"/>
    <w:rsid w:val="0023616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DC81-5A94-4FC1-9300-07A528BC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1609</Words>
  <Characters>9174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OIG</dc:creator>
  <cp:lastModifiedBy>Funn, Sherrette (OS/ASA/OCIO/OEA)</cp:lastModifiedBy>
  <cp:revision>2</cp:revision>
  <cp:lastPrinted>2013-10-21T14:34:00Z</cp:lastPrinted>
  <dcterms:created xsi:type="dcterms:W3CDTF">2014-01-08T16:52:00Z</dcterms:created>
  <dcterms:modified xsi:type="dcterms:W3CDTF">2014-01-08T16:52:00Z</dcterms:modified>
</cp:coreProperties>
</file>