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CA" w:rsidRPr="00D102CA" w:rsidRDefault="00D102CA" w:rsidP="00BC6A7B">
      <w:pPr>
        <w:jc w:val="center"/>
        <w:rPr>
          <w:b/>
          <w:szCs w:val="24"/>
        </w:rPr>
      </w:pPr>
      <w:r w:rsidRPr="00D102CA">
        <w:rPr>
          <w:b/>
          <w:szCs w:val="24"/>
        </w:rPr>
        <w:t>Supporting Statement For The</w:t>
      </w:r>
    </w:p>
    <w:p w:rsidR="00D102CA" w:rsidRPr="00D102CA" w:rsidRDefault="00D102CA" w:rsidP="00BC6A7B">
      <w:pPr>
        <w:jc w:val="center"/>
        <w:rPr>
          <w:b/>
          <w:szCs w:val="24"/>
        </w:rPr>
      </w:pPr>
      <w:r w:rsidRPr="00D102CA">
        <w:rPr>
          <w:b/>
          <w:szCs w:val="24"/>
        </w:rPr>
        <w:t>Outpatient Rehabilitation Facility</w:t>
      </w:r>
      <w:r w:rsidR="003B4A25">
        <w:rPr>
          <w:b/>
          <w:szCs w:val="24"/>
        </w:rPr>
        <w:t>,</w:t>
      </w:r>
      <w:r w:rsidRPr="00D102CA">
        <w:rPr>
          <w:b/>
          <w:szCs w:val="24"/>
        </w:rPr>
        <w:t xml:space="preserve"> </w:t>
      </w:r>
      <w:r w:rsidR="00B71901" w:rsidRPr="00B71901">
        <w:rPr>
          <w:b/>
          <w:szCs w:val="24"/>
        </w:rPr>
        <w:t>Community Mental Health Center</w:t>
      </w:r>
      <w:r w:rsidR="00B71901" w:rsidRPr="00D102CA">
        <w:rPr>
          <w:b/>
          <w:szCs w:val="24"/>
        </w:rPr>
        <w:t xml:space="preserve"> </w:t>
      </w:r>
      <w:r w:rsidRPr="00D102CA">
        <w:rPr>
          <w:b/>
          <w:szCs w:val="24"/>
        </w:rPr>
        <w:t>Cost Report</w:t>
      </w:r>
    </w:p>
    <w:p w:rsidR="00D102CA" w:rsidRPr="00D102CA" w:rsidRDefault="00D102CA" w:rsidP="00BC6A7B">
      <w:pPr>
        <w:jc w:val="center"/>
        <w:rPr>
          <w:b/>
          <w:szCs w:val="24"/>
        </w:rPr>
      </w:pPr>
      <w:r w:rsidRPr="00D102CA">
        <w:rPr>
          <w:b/>
          <w:szCs w:val="24"/>
        </w:rPr>
        <w:t>And Supporting Regulations in 42 CFR 413.20 and 413.24</w:t>
      </w:r>
    </w:p>
    <w:p w:rsidR="00D102CA" w:rsidRPr="00B71901" w:rsidRDefault="00D102CA" w:rsidP="00BC6A7B">
      <w:pPr>
        <w:jc w:val="center"/>
        <w:rPr>
          <w:b/>
          <w:szCs w:val="24"/>
        </w:rPr>
      </w:pPr>
      <w:r w:rsidRPr="00D102CA">
        <w:rPr>
          <w:b/>
          <w:szCs w:val="24"/>
        </w:rPr>
        <w:t>FORM CMS-2088</w:t>
      </w:r>
      <w:r w:rsidR="00DF7D4E">
        <w:rPr>
          <w:b/>
          <w:szCs w:val="24"/>
        </w:rPr>
        <w:t>-92</w:t>
      </w:r>
      <w:r w:rsidR="00F741EB">
        <w:rPr>
          <w:b/>
          <w:szCs w:val="24"/>
        </w:rPr>
        <w:t xml:space="preserve">, </w:t>
      </w:r>
      <w:proofErr w:type="spellStart"/>
      <w:r w:rsidR="00F741EB">
        <w:rPr>
          <w:b/>
          <w:szCs w:val="24"/>
        </w:rPr>
        <w:t>OCN</w:t>
      </w:r>
      <w:proofErr w:type="spellEnd"/>
      <w:r w:rsidR="00F741EB">
        <w:rPr>
          <w:b/>
          <w:szCs w:val="24"/>
        </w:rPr>
        <w:t xml:space="preserve"> 0938-0037</w:t>
      </w:r>
    </w:p>
    <w:p w:rsidR="0090054C" w:rsidRPr="00B71901" w:rsidRDefault="0090054C" w:rsidP="00D102CA">
      <w:pPr>
        <w:tabs>
          <w:tab w:val="left" w:pos="-1152"/>
          <w:tab w:val="left" w:pos="-720"/>
          <w:tab w:val="left" w:pos="0"/>
          <w:tab w:val="left" w:pos="360"/>
        </w:tabs>
        <w:jc w:val="both"/>
        <w:rPr>
          <w:b/>
          <w:szCs w:val="24"/>
        </w:rPr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 w:hanging="360"/>
        <w:rPr>
          <w:b/>
        </w:rPr>
      </w:pPr>
      <w:r>
        <w:rPr>
          <w:b/>
        </w:rPr>
        <w:t>BACKGROUND</w:t>
      </w: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F741EB">
      <w:pPr>
        <w:tabs>
          <w:tab w:val="left" w:pos="-1152"/>
          <w:tab w:val="left" w:pos="-720"/>
          <w:tab w:val="left" w:pos="0"/>
          <w:tab w:val="left" w:pos="450"/>
        </w:tabs>
        <w:ind w:left="432"/>
      </w:pPr>
      <w:r>
        <w:t xml:space="preserve">CMS is requesting the Office of Management and Budget (OMB) review and </w:t>
      </w:r>
      <w:r w:rsidR="0033557A" w:rsidRPr="004B7CD5">
        <w:t xml:space="preserve">approve this </w:t>
      </w:r>
      <w:r w:rsidR="0033557A" w:rsidRPr="00960FED">
        <w:t xml:space="preserve">extension request for </w:t>
      </w:r>
      <w:r w:rsidRPr="00960FED">
        <w:t>Form</w:t>
      </w:r>
      <w:r>
        <w:t xml:space="preserve"> CMS</w:t>
      </w:r>
      <w:r>
        <w:noBreakHyphen/>
      </w:r>
      <w:r w:rsidR="00D102CA">
        <w:t>2088-92</w:t>
      </w:r>
      <w:r>
        <w:t xml:space="preserve">, the </w:t>
      </w:r>
      <w:r w:rsidR="00D102CA">
        <w:t xml:space="preserve">Outpatient Rehabilitation </w:t>
      </w:r>
      <w:r w:rsidR="004B7CD5" w:rsidRPr="004B7CD5">
        <w:t xml:space="preserve">Community Mental </w:t>
      </w:r>
      <w:r w:rsidR="004B7CD5" w:rsidRPr="00960FED">
        <w:t xml:space="preserve">Health Center (CMHC) </w:t>
      </w:r>
      <w:r w:rsidR="00D102CA" w:rsidRPr="00960FED">
        <w:t>Cost Report</w:t>
      </w:r>
      <w:r w:rsidRPr="00960FED">
        <w:t xml:space="preserve">.  </w:t>
      </w:r>
      <w:r w:rsidR="00DF7D4E" w:rsidRPr="00960FED">
        <w:t>T</w:t>
      </w:r>
      <w:r w:rsidR="004D648C" w:rsidRPr="00960FED">
        <w:t>hese cost report</w:t>
      </w:r>
      <w:r w:rsidR="00343525" w:rsidRPr="00960FED">
        <w:t>s</w:t>
      </w:r>
      <w:r w:rsidR="004D648C" w:rsidRPr="00960FED">
        <w:t xml:space="preserve"> </w:t>
      </w:r>
      <w:r w:rsidRPr="00960FED">
        <w:t>are filed annually by freestanding</w:t>
      </w:r>
      <w:r>
        <w:t xml:space="preserve"> </w:t>
      </w:r>
      <w:r w:rsidR="0033557A" w:rsidRPr="004B7CD5">
        <w:t>CMHC</w:t>
      </w:r>
      <w:r w:rsidR="0033557A">
        <w:t xml:space="preserve"> </w:t>
      </w:r>
      <w:r>
        <w:t>providers participating in the Medicare program to effect year end cost settlement for services</w:t>
      </w:r>
      <w:r w:rsidR="0033557A">
        <w:t xml:space="preserve"> </w:t>
      </w:r>
      <w:r w:rsidR="0033557A" w:rsidRPr="004B7CD5">
        <w:t>provided</w:t>
      </w:r>
      <w:r>
        <w:t xml:space="preserve"> to Medicare beneficiaries.</w:t>
      </w: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 xml:space="preserve">Providers receiving Medicare reimbursement must provide adequate cost data based on financial and statistical </w:t>
      </w:r>
      <w:r w:rsidR="004B7CD5">
        <w:t>records that</w:t>
      </w:r>
      <w:r w:rsidR="00A472E7">
        <w:rPr>
          <w:i/>
          <w:color w:val="FF0000"/>
        </w:rPr>
        <w:t xml:space="preserve"> </w:t>
      </w:r>
      <w:r>
        <w:t>can be verified by qualified auditors.</w:t>
      </w:r>
      <w:r w:rsidR="00DF7D4E">
        <w:t xml:space="preserve">  </w:t>
      </w:r>
      <w:r>
        <w:t>The data</w:t>
      </w:r>
      <w:r w:rsidR="00853B72">
        <w:t xml:space="preserve"> collected</w:t>
      </w:r>
      <w:r>
        <w:t xml:space="preserve"> from these cost report</w:t>
      </w:r>
      <w:r w:rsidR="00343525">
        <w:t>s</w:t>
      </w:r>
      <w:r>
        <w:t xml:space="preserve"> will be used </w:t>
      </w:r>
      <w:r w:rsidR="00A472E7" w:rsidRPr="004B7CD5">
        <w:t xml:space="preserve">to </w:t>
      </w:r>
      <w:r w:rsidR="002D637F">
        <w:t>calculate</w:t>
      </w:r>
      <w:r w:rsidR="00A472E7" w:rsidRPr="004B7CD5">
        <w:t xml:space="preserve"> </w:t>
      </w:r>
      <w:r>
        <w:t xml:space="preserve">current levels of Medicare reimbursement. </w:t>
      </w:r>
    </w:p>
    <w:p w:rsidR="00FF7CF8" w:rsidRDefault="00FF7CF8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rPr>
          <w:b/>
        </w:rPr>
        <w:t>B.</w:t>
      </w:r>
      <w:r>
        <w:rPr>
          <w:b/>
        </w:rPr>
        <w:tab/>
        <w:t>JUSTIFICATION</w:t>
      </w: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t>1.</w:t>
      </w:r>
      <w:r>
        <w:tab/>
      </w:r>
      <w:r>
        <w:rPr>
          <w:u w:val="single"/>
        </w:rPr>
        <w:t>Need and Legal Basis</w:t>
      </w: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5464F" w:rsidRDefault="0090054C" w:rsidP="00343525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 xml:space="preserve">Providers of services participating in the Medicare program are required under sections 1815(a) and 1861(v)(1)(A) of the Social Security Act (42 USC 1395g) to submit annual information to </w:t>
      </w:r>
      <w:r w:rsidR="00343525">
        <w:t>achieve</w:t>
      </w:r>
      <w:r>
        <w:t xml:space="preserve"> settlement of costs for health care services rendered to Medicare beneficiaries.</w:t>
      </w:r>
      <w:r w:rsidR="00343525">
        <w:t xml:space="preserve">  </w:t>
      </w:r>
      <w:r w:rsidR="0095464F">
        <w:t>In addition, regulation</w:t>
      </w:r>
      <w:r w:rsidR="00906183">
        <w:t xml:space="preserve">s at 42 CFR 413.20 and 413.24 </w:t>
      </w:r>
      <w:r w:rsidR="0095464F">
        <w:t>req</w:t>
      </w:r>
      <w:r w:rsidR="00906183">
        <w:t>uire</w:t>
      </w:r>
      <w:r w:rsidR="0095464F">
        <w:t xml:space="preserve"> adequate cost data and cost reports from providers on an annual basis.  </w:t>
      </w: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F01BDF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>The CMS-</w:t>
      </w:r>
      <w:r w:rsidR="00BC6A7B">
        <w:t xml:space="preserve">2088-92 </w:t>
      </w:r>
      <w:r>
        <w:t xml:space="preserve">cost report is needed to </w:t>
      </w:r>
      <w:r w:rsidRPr="00151A00">
        <w:t xml:space="preserve">determine reimbursable cost </w:t>
      </w:r>
      <w:r w:rsidR="005614BB">
        <w:t xml:space="preserve">due to or </w:t>
      </w:r>
      <w:r w:rsidR="00D52EC9">
        <w:t xml:space="preserve">due </w:t>
      </w:r>
      <w:r w:rsidR="005614BB">
        <w:t>from</w:t>
      </w:r>
      <w:r w:rsidR="00853B72">
        <w:t xml:space="preserve"> </w:t>
      </w:r>
      <w:r>
        <w:t>providers furnishing medical services to Medicare beneficiaries.</w:t>
      </w:r>
    </w:p>
    <w:p w:rsidR="00F01BDF" w:rsidRDefault="00F01BDF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t>2.</w:t>
      </w:r>
      <w:r>
        <w:tab/>
      </w:r>
      <w:r>
        <w:rPr>
          <w:u w:val="single"/>
        </w:rPr>
        <w:t>Information Users</w:t>
      </w:r>
    </w:p>
    <w:p w:rsidR="00DF7D4E" w:rsidRDefault="00DF7D4E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90054C" w:rsidRPr="00804003" w:rsidRDefault="0095464F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 xml:space="preserve">The </w:t>
      </w:r>
      <w:r w:rsidR="0090054C" w:rsidRPr="00804003">
        <w:t xml:space="preserve">cost reports are required to be filed with the provider's </w:t>
      </w:r>
      <w:r w:rsidR="009F1603" w:rsidRPr="00804003">
        <w:t xml:space="preserve">Medicare Administrative Contractor (MAC). </w:t>
      </w:r>
      <w:r w:rsidR="0090054C" w:rsidRPr="00804003">
        <w:t xml:space="preserve"> The functions of the </w:t>
      </w:r>
      <w:r w:rsidR="009F1603" w:rsidRPr="00804003">
        <w:t xml:space="preserve">MAC </w:t>
      </w:r>
      <w:r w:rsidR="0090054C" w:rsidRPr="00804003">
        <w:t>are described in section 1816 of the Social Security Act.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 xml:space="preserve">The </w:t>
      </w:r>
      <w:r w:rsidR="00674151" w:rsidRPr="00804003">
        <w:t xml:space="preserve">MAC </w:t>
      </w:r>
      <w:r w:rsidRPr="00804003">
        <w:t xml:space="preserve">uses the cost report </w:t>
      </w:r>
      <w:r w:rsidR="00F91795" w:rsidRPr="00F91795">
        <w:t xml:space="preserve">to </w:t>
      </w:r>
      <w:r w:rsidR="005614BB">
        <w:t xml:space="preserve">calculate the provider’s cost to charge ratios used to compute outlier payments and to </w:t>
      </w:r>
      <w:r w:rsidR="00F91795" w:rsidRPr="00F91795">
        <w:t>determine a provider’s final</w:t>
      </w:r>
      <w:r w:rsidR="00D536DB">
        <w:t xml:space="preserve"> cost</w:t>
      </w:r>
      <w:r w:rsidR="00F91795" w:rsidRPr="00F91795">
        <w:t xml:space="preserve"> settlement by comparing the provider’s interim payments </w:t>
      </w:r>
      <w:r w:rsidR="00D536DB">
        <w:t xml:space="preserve">received </w:t>
      </w:r>
      <w:r w:rsidR="00F91795" w:rsidRPr="00F91795">
        <w:t xml:space="preserve">to the reasonable cost </w:t>
      </w:r>
      <w:r w:rsidRPr="00804003">
        <w:t>for the fiscal pe</w:t>
      </w:r>
      <w:r w:rsidR="00AA4534">
        <w:t>riod covered by the cost report.</w:t>
      </w:r>
      <w:r w:rsidRPr="00804003">
        <w:t xml:space="preserve"> </w:t>
      </w:r>
    </w:p>
    <w:p w:rsidR="00607654" w:rsidRDefault="00607654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607654" w:rsidRPr="00804003" w:rsidRDefault="00607654" w:rsidP="00607654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>T</w:t>
      </w:r>
      <w:r w:rsidRPr="00804003">
        <w:t>he collection of data is a secondary function of the cost report</w:t>
      </w:r>
      <w:r>
        <w:t xml:space="preserve">.  The data is used by CMS to support program operations, payment refinement activities, and </w:t>
      </w:r>
      <w:r w:rsidR="00372E3C">
        <w:t xml:space="preserve">to </w:t>
      </w:r>
      <w:r>
        <w:t>mak</w:t>
      </w:r>
      <w:r w:rsidR="00372E3C">
        <w:t>e</w:t>
      </w:r>
      <w:r>
        <w:t xml:space="preserve"> Medicare Trust Fund projections.  </w:t>
      </w:r>
    </w:p>
    <w:p w:rsidR="0090054C" w:rsidRPr="00804003" w:rsidRDefault="00AA4534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lastRenderedPageBreak/>
        <w:t>T</w:t>
      </w:r>
      <w:r w:rsidR="0090054C" w:rsidRPr="00804003">
        <w:t xml:space="preserve">he data submitted on the </w:t>
      </w:r>
      <w:r>
        <w:t xml:space="preserve">Medicare </w:t>
      </w:r>
      <w:r w:rsidR="0090054C" w:rsidRPr="00804003">
        <w:t xml:space="preserve">cost report </w:t>
      </w:r>
      <w:r>
        <w:t>i</w:t>
      </w:r>
      <w:r w:rsidR="0090054C" w:rsidRPr="00804003">
        <w:t>s</w:t>
      </w:r>
      <w:r>
        <w:t xml:space="preserve"> </w:t>
      </w:r>
      <w:r w:rsidR="00607654">
        <w:t xml:space="preserve">also </w:t>
      </w:r>
      <w:r>
        <w:t xml:space="preserve">used by CMS and other stakeholders to </w:t>
      </w:r>
      <w:r w:rsidR="00E17B5A">
        <w:t xml:space="preserve">analyze </w:t>
      </w:r>
      <w:r>
        <w:t xml:space="preserve">a myriad of health care </w:t>
      </w:r>
      <w:r w:rsidR="00580072">
        <w:t>measures</w:t>
      </w:r>
      <w:r>
        <w:t xml:space="preserve"> on a national level. </w:t>
      </w:r>
      <w:r w:rsidR="00607654">
        <w:t xml:space="preserve"> These other stakeholders include </w:t>
      </w:r>
      <w:r w:rsidR="00343525">
        <w:t xml:space="preserve">OMB, </w:t>
      </w:r>
      <w:r w:rsidR="00260B9C">
        <w:t xml:space="preserve">the Congressional Budget Office, </w:t>
      </w:r>
      <w:r w:rsidR="00A41A8B">
        <w:t>Medicare Payment Advisory Commission</w:t>
      </w:r>
      <w:r w:rsidR="00343525">
        <w:t xml:space="preserve">, </w:t>
      </w:r>
      <w:r w:rsidR="00260B9C">
        <w:t>C</w:t>
      </w:r>
      <w:r w:rsidR="00343525">
        <w:t>ongress, researchers, universities, and other interested parties</w:t>
      </w:r>
      <w:r w:rsidR="005614BB">
        <w:t>.</w:t>
      </w:r>
      <w:r w:rsidR="00343525">
        <w:t xml:space="preserve"> 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3.</w:t>
      </w:r>
      <w:r w:rsidRPr="00804003">
        <w:tab/>
      </w:r>
      <w:r w:rsidR="00607654" w:rsidRPr="008170E7">
        <w:rPr>
          <w:u w:val="single"/>
        </w:rPr>
        <w:t xml:space="preserve">Use of </w:t>
      </w:r>
      <w:r w:rsidRPr="008170E7">
        <w:rPr>
          <w:u w:val="single"/>
        </w:rPr>
        <w:t>Information</w:t>
      </w:r>
      <w:r w:rsidRPr="00804003">
        <w:rPr>
          <w:u w:val="single"/>
        </w:rPr>
        <w:t xml:space="preserve"> Technology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B6364C" w:rsidRDefault="000540B0" w:rsidP="00B6364C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 xml:space="preserve">CMHCs are required to submit </w:t>
      </w:r>
      <w:r>
        <w:t>Medicare cost reports electronically f</w:t>
      </w:r>
      <w:r w:rsidR="00AF6CA9" w:rsidRPr="00F91795">
        <w:t xml:space="preserve">or </w:t>
      </w:r>
      <w:r w:rsidR="0090054C" w:rsidRPr="00804003">
        <w:t xml:space="preserve">cost reporting periods ending on or after </w:t>
      </w:r>
      <w:r w:rsidR="005614BB">
        <w:t>March 31, 2005</w:t>
      </w:r>
      <w:r>
        <w:t>.</w:t>
      </w:r>
      <w:r w:rsidR="00B6364C">
        <w:t xml:space="preserve">  Although providers are still required to submit a </w:t>
      </w:r>
      <w:r w:rsidR="00372E3C">
        <w:t xml:space="preserve">paper </w:t>
      </w:r>
      <w:r w:rsidR="00B6364C">
        <w:t>signed attestation</w:t>
      </w:r>
      <w:r w:rsidR="00E7437A">
        <w:t xml:space="preserve"> page</w:t>
      </w:r>
      <w:r w:rsidR="00B6364C">
        <w:t xml:space="preserve">, CMS is exploring methods to </w:t>
      </w:r>
      <w:r w:rsidR="00822996">
        <w:t>transmit the signed attestation electronically</w:t>
      </w:r>
      <w:r w:rsidR="00372E3C">
        <w:t xml:space="preserve"> to eliminate the paper submission</w:t>
      </w:r>
      <w:r w:rsidR="00822996">
        <w:t>.</w:t>
      </w:r>
      <w:r w:rsidR="00372E3C">
        <w:t xml:space="preserve">  </w:t>
      </w:r>
    </w:p>
    <w:p w:rsidR="002D16DC" w:rsidRPr="00804003" w:rsidRDefault="002D16DC" w:rsidP="00B6364C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4.</w:t>
      </w:r>
      <w:r w:rsidRPr="00804003">
        <w:tab/>
      </w:r>
      <w:r w:rsidRPr="00804003">
        <w:rPr>
          <w:u w:val="single"/>
        </w:rPr>
        <w:t xml:space="preserve">Duplication </w:t>
      </w:r>
      <w:r w:rsidR="00372E3C">
        <w:rPr>
          <w:u w:val="single"/>
        </w:rPr>
        <w:t>of Efforts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>Th</w:t>
      </w:r>
      <w:r w:rsidR="00FC7CA1">
        <w:t>is information collection</w:t>
      </w:r>
      <w:r w:rsidRPr="00804003">
        <w:t xml:space="preserve"> does not duplicate any other </w:t>
      </w:r>
      <w:r w:rsidR="00FC7CA1">
        <w:t xml:space="preserve">effort and </w:t>
      </w:r>
      <w:r w:rsidR="00224701">
        <w:t xml:space="preserve">the </w:t>
      </w:r>
      <w:r w:rsidR="00224701" w:rsidRPr="00804003">
        <w:t>information</w:t>
      </w:r>
      <w:r w:rsidRPr="00804003">
        <w:t xml:space="preserve"> </w:t>
      </w:r>
      <w:r w:rsidR="00FC7CA1">
        <w:t>cannot be obtained from any</w:t>
      </w:r>
      <w:r w:rsidRPr="00804003">
        <w:t xml:space="preserve"> other</w:t>
      </w:r>
      <w:r w:rsidR="00FC7CA1">
        <w:t xml:space="preserve"> source. </w:t>
      </w:r>
    </w:p>
    <w:p w:rsidR="0090054C" w:rsidRPr="00804003" w:rsidRDefault="0090054C" w:rsidP="00AF6CA9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5.</w:t>
      </w:r>
      <w:r w:rsidRPr="00804003">
        <w:tab/>
      </w:r>
      <w:r w:rsidRPr="00804003">
        <w:rPr>
          <w:u w:val="single"/>
        </w:rPr>
        <w:t>Small Business</w:t>
      </w:r>
      <w:r w:rsidR="002B5344">
        <w:rPr>
          <w:u w:val="single"/>
        </w:rPr>
        <w:t>es</w:t>
      </w:r>
    </w:p>
    <w:p w:rsidR="00AF6CA9" w:rsidRDefault="00AF6CA9" w:rsidP="00AF6CA9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BC6A7B" w:rsidRPr="00804003" w:rsidRDefault="00E7437A" w:rsidP="00AF6CA9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 xml:space="preserve">These </w:t>
      </w:r>
      <w:r w:rsidR="00FC7CA1">
        <w:t xml:space="preserve">cost reporting </w:t>
      </w:r>
      <w:r>
        <w:t>forms have</w:t>
      </w:r>
      <w:r w:rsidR="00BC6A7B" w:rsidRPr="00804003">
        <w:t xml:space="preserve"> been designed with a view towards minimizing the reporting burden for small CMHCs.  Supplemental worksheets are completed </w:t>
      </w:r>
      <w:r w:rsidR="00064E47">
        <w:t xml:space="preserve">by the CMHC </w:t>
      </w:r>
      <w:r w:rsidR="00BC6A7B" w:rsidRPr="00804003">
        <w:t>on an as</w:t>
      </w:r>
      <w:r w:rsidR="00BC6A7B" w:rsidRPr="00804003">
        <w:noBreakHyphen/>
        <w:t>needed basis</w:t>
      </w:r>
      <w:r w:rsidR="00FC7CA1">
        <w:t xml:space="preserve">. </w:t>
      </w:r>
      <w:r w:rsidR="00BC6A7B" w:rsidRPr="00804003">
        <w:t xml:space="preserve"> Providers with low program utilization</w:t>
      </w:r>
      <w:r w:rsidR="00D81F5A">
        <w:t>,</w:t>
      </w:r>
      <w:r w:rsidR="00BC6A7B" w:rsidRPr="00804003">
        <w:t xml:space="preserve"> as defined in 42 </w:t>
      </w:r>
      <w:r w:rsidR="00483DB9">
        <w:t xml:space="preserve">CFR </w:t>
      </w:r>
      <w:r w:rsidR="004413AF">
        <w:t>413.24(h</w:t>
      </w:r>
      <w:r w:rsidR="00BC6A7B" w:rsidRPr="00804003">
        <w:t>)</w:t>
      </w:r>
      <w:r w:rsidR="00D81F5A">
        <w:t>,</w:t>
      </w:r>
      <w:r w:rsidR="00BC6A7B" w:rsidRPr="00804003">
        <w:t xml:space="preserve"> </w:t>
      </w:r>
      <w:r w:rsidR="005614BB">
        <w:t>may</w:t>
      </w:r>
      <w:r w:rsidR="00AF6CA9" w:rsidRPr="00F91795">
        <w:t xml:space="preserve"> not </w:t>
      </w:r>
      <w:r w:rsidR="005614BB">
        <w:t xml:space="preserve">be </w:t>
      </w:r>
      <w:r w:rsidR="00AF6CA9" w:rsidRPr="00F91795">
        <w:t>required</w:t>
      </w:r>
      <w:r w:rsidR="00AF6CA9">
        <w:rPr>
          <w:i/>
          <w:color w:val="FF0000"/>
        </w:rPr>
        <w:t xml:space="preserve"> </w:t>
      </w:r>
      <w:r w:rsidR="00BC6A7B" w:rsidRPr="00804003">
        <w:t>to complete certain worksheets of Form CMS</w:t>
      </w:r>
      <w:r w:rsidR="00AF6CA9" w:rsidRPr="00F91795">
        <w:t>-</w:t>
      </w:r>
      <w:r w:rsidR="00BC6A7B" w:rsidRPr="00804003">
        <w:t xml:space="preserve">2088-92.  </w:t>
      </w:r>
      <w:r w:rsidR="004A2B20">
        <w:t xml:space="preserve">  </w:t>
      </w:r>
    </w:p>
    <w:p w:rsidR="005F69BF" w:rsidRPr="00804003" w:rsidRDefault="005F69BF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6.</w:t>
      </w:r>
      <w:r w:rsidRPr="00804003">
        <w:tab/>
      </w:r>
      <w:r w:rsidRPr="00804003">
        <w:rPr>
          <w:u w:val="single"/>
        </w:rPr>
        <w:t>Less Frequent Collection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 xml:space="preserve">If </w:t>
      </w:r>
      <w:r w:rsidR="00D81F5A">
        <w:t xml:space="preserve">CMHCs are not required to file </w:t>
      </w:r>
      <w:r w:rsidRPr="00804003">
        <w:t xml:space="preserve">the cost report, the Secretary will be unable to determine whether proper payments are being made under Medicare.  </w:t>
      </w:r>
      <w:r w:rsidR="00F4504A">
        <w:t>A</w:t>
      </w:r>
      <w:r w:rsidRPr="00804003">
        <w:t xml:space="preserve"> provider</w:t>
      </w:r>
      <w:r w:rsidR="00F4504A">
        <w:t xml:space="preserve"> who</w:t>
      </w:r>
      <w:r w:rsidRPr="00804003">
        <w:t xml:space="preserve"> fails to file a cost report by the statutory due date</w:t>
      </w:r>
      <w:r w:rsidR="00F4504A">
        <w:t xml:space="preserve"> </w:t>
      </w:r>
      <w:r w:rsidRPr="00804003">
        <w:t xml:space="preserve">is notified that interim payments </w:t>
      </w:r>
      <w:r w:rsidR="00F4504A">
        <w:t>will be</w:t>
      </w:r>
      <w:r w:rsidRPr="00804003">
        <w:t xml:space="preserve"> reduced</w:t>
      </w:r>
      <w:r w:rsidR="00F4504A">
        <w:t xml:space="preserve">, suspended or deemed overpayments.  </w:t>
      </w:r>
    </w:p>
    <w:p w:rsidR="004413AF" w:rsidRDefault="004413AF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7.</w:t>
      </w:r>
      <w:r w:rsidRPr="00804003">
        <w:tab/>
      </w:r>
      <w:r w:rsidRPr="00804003">
        <w:rPr>
          <w:u w:val="single"/>
        </w:rPr>
        <w:t>Special Circumstances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>This information collection complies with all general information collection guidelines in 5</w:t>
      </w:r>
      <w:r w:rsidR="004A2B20">
        <w:t> </w:t>
      </w:r>
      <w:r w:rsidRPr="00804003">
        <w:t>CFR 1320.6</w:t>
      </w:r>
      <w:r w:rsidR="00D11D69">
        <w:t>, without the existence of special circumstances</w:t>
      </w:r>
      <w:r w:rsidRPr="00804003">
        <w:t>.</w:t>
      </w:r>
    </w:p>
    <w:p w:rsidR="005614BB" w:rsidRDefault="005614BB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8.</w:t>
      </w:r>
      <w:r w:rsidRPr="00804003">
        <w:tab/>
      </w:r>
      <w:r w:rsidRPr="00804003">
        <w:rPr>
          <w:u w:val="single"/>
        </w:rPr>
        <w:t>Federal Register /</w:t>
      </w:r>
      <w:r w:rsidR="002B5344">
        <w:rPr>
          <w:u w:val="single"/>
        </w:rPr>
        <w:t xml:space="preserve"> Outside </w:t>
      </w:r>
      <w:r w:rsidRPr="00804003">
        <w:rPr>
          <w:u w:val="single"/>
        </w:rPr>
        <w:t>Consultation</w:t>
      </w:r>
    </w:p>
    <w:p w:rsidR="00224701" w:rsidRDefault="00224701" w:rsidP="00C23A98">
      <w:pPr>
        <w:pStyle w:val="BodyTextIndent2"/>
        <w:jc w:val="left"/>
        <w:rPr>
          <w:color w:val="auto"/>
        </w:rPr>
      </w:pPr>
    </w:p>
    <w:p w:rsidR="00C23A98" w:rsidRPr="008A38C0" w:rsidRDefault="00D70CF1" w:rsidP="00C23A98">
      <w:pPr>
        <w:pStyle w:val="BodyTextIndent2"/>
        <w:jc w:val="left"/>
        <w:rPr>
          <w:color w:val="auto"/>
        </w:rPr>
      </w:pPr>
      <w:r w:rsidRPr="008A38C0">
        <w:rPr>
          <w:color w:val="auto"/>
        </w:rPr>
        <w:t xml:space="preserve">The 60 day Federal Register notice published on </w:t>
      </w:r>
      <w:r w:rsidR="00F741EB">
        <w:rPr>
          <w:color w:val="auto"/>
        </w:rPr>
        <w:t xml:space="preserve">October 23, 2013 (78 </w:t>
      </w:r>
      <w:proofErr w:type="spellStart"/>
      <w:r w:rsidR="00F741EB">
        <w:rPr>
          <w:color w:val="auto"/>
        </w:rPr>
        <w:t>FR</w:t>
      </w:r>
      <w:proofErr w:type="spellEnd"/>
      <w:r w:rsidR="00F741EB">
        <w:rPr>
          <w:color w:val="auto"/>
        </w:rPr>
        <w:t xml:space="preserve"> 63208). No comments were received.</w:t>
      </w:r>
    </w:p>
    <w:p w:rsidR="0090054C" w:rsidRPr="00804003" w:rsidRDefault="0090054C" w:rsidP="00DF7D4E">
      <w:pPr>
        <w:pStyle w:val="BodyTextIndent2"/>
        <w:jc w:val="left"/>
        <w:rPr>
          <w:color w:val="000000"/>
        </w:rPr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9.</w:t>
      </w:r>
      <w:r w:rsidRPr="00804003">
        <w:tab/>
      </w:r>
      <w:r w:rsidRPr="00804003">
        <w:rPr>
          <w:u w:val="single"/>
        </w:rPr>
        <w:t>Payment</w:t>
      </w:r>
      <w:r w:rsidR="00D11D69">
        <w:rPr>
          <w:u w:val="single"/>
        </w:rPr>
        <w:t>s</w:t>
      </w:r>
      <w:r w:rsidRPr="00804003">
        <w:rPr>
          <w:u w:val="single"/>
        </w:rPr>
        <w:t>/Gift</w:t>
      </w:r>
      <w:r w:rsidR="00D11D69">
        <w:rPr>
          <w:u w:val="single"/>
        </w:rPr>
        <w:t>s</w:t>
      </w:r>
      <w:r w:rsidRPr="00804003">
        <w:rPr>
          <w:u w:val="single"/>
        </w:rPr>
        <w:t xml:space="preserve"> to Respondent</w:t>
      </w:r>
      <w:r w:rsidR="00D11D69">
        <w:rPr>
          <w:u w:val="single"/>
        </w:rPr>
        <w:t>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 xml:space="preserve">There </w:t>
      </w:r>
      <w:r w:rsidR="00D11D69">
        <w:t xml:space="preserve">are </w:t>
      </w:r>
      <w:r w:rsidRPr="00804003">
        <w:t>no payment</w:t>
      </w:r>
      <w:r w:rsidR="00D11D69">
        <w:t>s</w:t>
      </w:r>
      <w:r w:rsidRPr="00804003">
        <w:t xml:space="preserve"> or gift</w:t>
      </w:r>
      <w:r w:rsidR="00D11D69">
        <w:t>s</w:t>
      </w:r>
      <w:r w:rsidRPr="00804003">
        <w:t xml:space="preserve"> to respondents.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lastRenderedPageBreak/>
        <w:t>10.</w:t>
      </w:r>
      <w:r w:rsidR="004A2B20">
        <w:tab/>
      </w:r>
      <w:r w:rsidRPr="00804003">
        <w:rPr>
          <w:u w:val="single"/>
        </w:rPr>
        <w:t>Confidentiality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 xml:space="preserve">Confidentiality is not </w:t>
      </w:r>
      <w:r w:rsidR="00D11D69">
        <w:t>assured</w:t>
      </w:r>
      <w:r w:rsidRPr="00804003">
        <w:t>.  Medicare cost reports are subject to disclosure under the Freedom of Information Act.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4A2B20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t>11.</w:t>
      </w:r>
      <w:r>
        <w:tab/>
      </w:r>
      <w:r w:rsidR="0090054C" w:rsidRPr="00804003">
        <w:rPr>
          <w:u w:val="single"/>
        </w:rPr>
        <w:t>Sensitive Questions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417B7A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>There are no questions of a sensitive nature.</w:t>
      </w:r>
    </w:p>
    <w:p w:rsidR="00417B7A" w:rsidRPr="00804003" w:rsidRDefault="00417B7A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DF7D4E" w:rsidRDefault="004A2B20" w:rsidP="00DF7D4E">
      <w:pPr>
        <w:tabs>
          <w:tab w:val="left" w:pos="-1152"/>
          <w:tab w:val="left" w:pos="-720"/>
          <w:tab w:val="left" w:pos="0"/>
          <w:tab w:val="left" w:pos="360"/>
        </w:tabs>
        <w:rPr>
          <w:u w:val="single"/>
        </w:rPr>
      </w:pPr>
      <w:r>
        <w:t>12.</w:t>
      </w:r>
      <w:r>
        <w:tab/>
      </w:r>
      <w:r w:rsidR="00D11D69" w:rsidRPr="00224701">
        <w:rPr>
          <w:u w:val="single"/>
        </w:rPr>
        <w:t xml:space="preserve">Burden </w:t>
      </w:r>
      <w:r w:rsidR="0090054C" w:rsidRPr="00224701">
        <w:rPr>
          <w:u w:val="single"/>
        </w:rPr>
        <w:t>Estimate</w:t>
      </w:r>
      <w:r w:rsidR="00D11D69" w:rsidRPr="00224701">
        <w:rPr>
          <w:u w:val="single"/>
        </w:rPr>
        <w:t>s</w:t>
      </w:r>
      <w:r w:rsidR="0090054C" w:rsidRPr="00804003">
        <w:rPr>
          <w:u w:val="single"/>
        </w:rPr>
        <w:t xml:space="preserve"> (Hours and Wages)</w:t>
      </w:r>
    </w:p>
    <w:p w:rsidR="00B72D0F" w:rsidRDefault="00B72D0F" w:rsidP="00DF7D4E">
      <w:pPr>
        <w:tabs>
          <w:tab w:val="left" w:pos="-1152"/>
          <w:tab w:val="left" w:pos="-720"/>
          <w:tab w:val="left" w:pos="0"/>
          <w:tab w:val="left" w:pos="360"/>
        </w:tabs>
        <w:rPr>
          <w:u w:val="single"/>
        </w:rPr>
      </w:pPr>
    </w:p>
    <w:p w:rsidR="00BD5C4D" w:rsidRDefault="00BD5C4D" w:rsidP="00BD5C4D">
      <w:pPr>
        <w:pStyle w:val="ListParagraph"/>
        <w:numPr>
          <w:ilvl w:val="0"/>
          <w:numId w:val="4"/>
        </w:numPr>
        <w:tabs>
          <w:tab w:val="left" w:pos="-1152"/>
          <w:tab w:val="left" w:pos="-720"/>
          <w:tab w:val="left" w:pos="0"/>
          <w:tab w:val="left" w:pos="360"/>
        </w:tabs>
      </w:pPr>
      <w:r>
        <w:t xml:space="preserve"> </w:t>
      </w:r>
      <w:r w:rsidRPr="00DF7D4E">
        <w:rPr>
          <w:u w:val="single"/>
        </w:rPr>
        <w:t>Hours:</w:t>
      </w:r>
    </w:p>
    <w:p w:rsidR="00BD5C4D" w:rsidRDefault="00BD5C4D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</w:pPr>
    </w:p>
    <w:p w:rsidR="00F94FBB" w:rsidRDefault="00BD5C4D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  <w:rPr>
          <w:szCs w:val="24"/>
        </w:rPr>
      </w:pPr>
      <w:r>
        <w:t xml:space="preserve">Approximately, </w:t>
      </w:r>
      <w:r w:rsidRPr="00E66F34">
        <w:t>5</w:t>
      </w:r>
      <w:r w:rsidR="005F09FA">
        <w:t>40</w:t>
      </w:r>
      <w:r>
        <w:t xml:space="preserve"> free-standing </w:t>
      </w:r>
      <w:proofErr w:type="spellStart"/>
      <w:r>
        <w:t>CMHCs</w:t>
      </w:r>
      <w:proofErr w:type="spellEnd"/>
      <w:r>
        <w:t xml:space="preserve"> file this cost report.  </w:t>
      </w:r>
      <w:r w:rsidRPr="00A211BB">
        <w:rPr>
          <w:szCs w:val="24"/>
        </w:rPr>
        <w:t xml:space="preserve">It will take an average time of </w:t>
      </w:r>
      <w:r>
        <w:rPr>
          <w:szCs w:val="24"/>
        </w:rPr>
        <w:t>10</w:t>
      </w:r>
      <w:r w:rsidRPr="00A211BB">
        <w:rPr>
          <w:szCs w:val="24"/>
        </w:rPr>
        <w:t xml:space="preserve"> hours for the </w:t>
      </w:r>
      <w:proofErr w:type="spellStart"/>
      <w:r>
        <w:rPr>
          <w:szCs w:val="24"/>
        </w:rPr>
        <w:t>CMHCs</w:t>
      </w:r>
      <w:proofErr w:type="spellEnd"/>
      <w:r w:rsidRPr="00A211BB">
        <w:rPr>
          <w:szCs w:val="24"/>
        </w:rPr>
        <w:t xml:space="preserve"> that fill out the regular cost report to complete it, for a total of </w:t>
      </w:r>
      <w:r>
        <w:rPr>
          <w:szCs w:val="24"/>
        </w:rPr>
        <w:t>5,</w:t>
      </w:r>
      <w:r w:rsidR="005F09FA">
        <w:rPr>
          <w:szCs w:val="24"/>
        </w:rPr>
        <w:t>40</w:t>
      </w:r>
      <w:r>
        <w:rPr>
          <w:szCs w:val="24"/>
        </w:rPr>
        <w:t>0</w:t>
      </w:r>
      <w:r>
        <w:rPr>
          <w:color w:val="000000"/>
        </w:rPr>
        <w:t xml:space="preserve"> </w:t>
      </w:r>
      <w:r w:rsidRPr="00A211BB">
        <w:rPr>
          <w:szCs w:val="24"/>
        </w:rPr>
        <w:t>hours (</w:t>
      </w:r>
      <w:r>
        <w:rPr>
          <w:szCs w:val="24"/>
        </w:rPr>
        <w:t>5</w:t>
      </w:r>
      <w:r w:rsidR="005F09FA">
        <w:rPr>
          <w:szCs w:val="24"/>
        </w:rPr>
        <w:t>40</w:t>
      </w:r>
      <w:r w:rsidRPr="00A211BB">
        <w:rPr>
          <w:szCs w:val="24"/>
        </w:rPr>
        <w:t xml:space="preserve"> </w:t>
      </w:r>
      <w:proofErr w:type="spellStart"/>
      <w:r>
        <w:rPr>
          <w:szCs w:val="24"/>
        </w:rPr>
        <w:t>CMHC</w:t>
      </w:r>
      <w:r w:rsidRPr="00A211BB">
        <w:rPr>
          <w:szCs w:val="24"/>
        </w:rPr>
        <w:t>s</w:t>
      </w:r>
      <w:proofErr w:type="spellEnd"/>
      <w:r w:rsidRPr="00A211BB">
        <w:rPr>
          <w:szCs w:val="24"/>
        </w:rPr>
        <w:t xml:space="preserve"> X </w:t>
      </w:r>
      <w:r>
        <w:rPr>
          <w:szCs w:val="24"/>
        </w:rPr>
        <w:t>10</w:t>
      </w:r>
      <w:r w:rsidRPr="00A211BB">
        <w:rPr>
          <w:szCs w:val="24"/>
        </w:rPr>
        <w:t xml:space="preserve"> hours). </w:t>
      </w:r>
      <w:r>
        <w:rPr>
          <w:szCs w:val="24"/>
        </w:rPr>
        <w:t xml:space="preserve"> </w:t>
      </w:r>
      <w:r w:rsidRPr="00A211BB">
        <w:rPr>
          <w:szCs w:val="24"/>
        </w:rPr>
        <w:t xml:space="preserve">The total national reporting burden for the </w:t>
      </w:r>
      <w:proofErr w:type="spellStart"/>
      <w:r>
        <w:rPr>
          <w:szCs w:val="24"/>
        </w:rPr>
        <w:t>CMHC</w:t>
      </w:r>
      <w:proofErr w:type="spellEnd"/>
      <w:r w:rsidRPr="00A211BB">
        <w:rPr>
          <w:szCs w:val="24"/>
        </w:rPr>
        <w:t xml:space="preserve"> cost report will be </w:t>
      </w:r>
      <w:r>
        <w:rPr>
          <w:szCs w:val="24"/>
        </w:rPr>
        <w:t>5,</w:t>
      </w:r>
      <w:r w:rsidR="00F94FBB">
        <w:rPr>
          <w:szCs w:val="24"/>
        </w:rPr>
        <w:t>40</w:t>
      </w:r>
      <w:r>
        <w:rPr>
          <w:szCs w:val="24"/>
        </w:rPr>
        <w:t>0</w:t>
      </w:r>
      <w:r>
        <w:rPr>
          <w:color w:val="000000"/>
        </w:rPr>
        <w:t xml:space="preserve"> </w:t>
      </w:r>
      <w:r w:rsidRPr="00A211BB">
        <w:rPr>
          <w:szCs w:val="24"/>
        </w:rPr>
        <w:t>hours annually.</w:t>
      </w:r>
      <w:r>
        <w:rPr>
          <w:szCs w:val="24"/>
        </w:rPr>
        <w:t xml:space="preserve">  </w:t>
      </w:r>
    </w:p>
    <w:p w:rsidR="00F94FBB" w:rsidRDefault="00F94FBB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  <w:rPr>
          <w:szCs w:val="24"/>
        </w:rPr>
      </w:pPr>
    </w:p>
    <w:p w:rsidR="00CC26B5" w:rsidRDefault="00BD5C4D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</w:pPr>
      <w:r>
        <w:rPr>
          <w:szCs w:val="24"/>
        </w:rPr>
        <w:t>The record keeping burden is estimated at 90 hours for each of the 5</w:t>
      </w:r>
      <w:r w:rsidR="00F94FBB">
        <w:rPr>
          <w:szCs w:val="24"/>
        </w:rPr>
        <w:t>40</w:t>
      </w:r>
      <w:r>
        <w:rPr>
          <w:szCs w:val="24"/>
        </w:rPr>
        <w:t xml:space="preserve"> respondents, resulting in a record keeping burden of </w:t>
      </w:r>
      <w:r w:rsidR="00CC26B5" w:rsidRPr="00CC26B5">
        <w:rPr>
          <w:szCs w:val="24"/>
        </w:rPr>
        <w:t>48,600</w:t>
      </w:r>
      <w:r>
        <w:rPr>
          <w:szCs w:val="24"/>
        </w:rPr>
        <w:t xml:space="preserve"> hours.</w:t>
      </w:r>
      <w:r w:rsidRPr="00BA08B4">
        <w:t xml:space="preserve"> </w:t>
      </w:r>
    </w:p>
    <w:p w:rsidR="00CC26B5" w:rsidRDefault="00CC26B5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</w:pPr>
    </w:p>
    <w:p w:rsidR="00BD5C4D" w:rsidRDefault="00BD5C4D" w:rsidP="00BD5C4D">
      <w:pPr>
        <w:tabs>
          <w:tab w:val="left" w:pos="-1152"/>
          <w:tab w:val="left" w:pos="-720"/>
          <w:tab w:val="left" w:pos="0"/>
          <w:tab w:val="left" w:pos="360"/>
        </w:tabs>
        <w:ind w:left="720"/>
        <w:rPr>
          <w:szCs w:val="24"/>
        </w:rPr>
      </w:pPr>
      <w:r>
        <w:t>Resulting total hours of burden is 5</w:t>
      </w:r>
      <w:r w:rsidR="00CC26B5">
        <w:t>4</w:t>
      </w:r>
      <w:r>
        <w:t>,</w:t>
      </w:r>
      <w:r w:rsidR="00CC26B5">
        <w:t>0</w:t>
      </w:r>
      <w:r>
        <w:t>00.</w:t>
      </w:r>
    </w:p>
    <w:p w:rsidR="00BD5C4D" w:rsidRDefault="00BD5C4D" w:rsidP="00BD5C4D">
      <w:pPr>
        <w:pStyle w:val="BodyTextIndent"/>
        <w:ind w:left="720"/>
        <w:jc w:val="left"/>
        <w:rPr>
          <w:u w:val="single"/>
        </w:rPr>
      </w:pPr>
    </w:p>
    <w:p w:rsidR="00BD5C4D" w:rsidRDefault="00BD5C4D" w:rsidP="00BD5C4D">
      <w:pPr>
        <w:pStyle w:val="BodyTextIndent"/>
        <w:numPr>
          <w:ilvl w:val="0"/>
          <w:numId w:val="4"/>
        </w:numPr>
        <w:jc w:val="left"/>
        <w:rPr>
          <w:u w:val="single"/>
        </w:rPr>
      </w:pPr>
      <w:r w:rsidRPr="005E686F">
        <w:rPr>
          <w:u w:val="single"/>
        </w:rPr>
        <w:t>Cost:</w:t>
      </w:r>
    </w:p>
    <w:p w:rsidR="00BD5C4D" w:rsidRPr="005E686F" w:rsidRDefault="00BD5C4D" w:rsidP="00BD5C4D">
      <w:pPr>
        <w:pStyle w:val="BodyTextIndent"/>
        <w:ind w:left="720"/>
        <w:jc w:val="left"/>
        <w:rPr>
          <w:u w:val="single"/>
        </w:rPr>
      </w:pPr>
    </w:p>
    <w:p w:rsidR="00BD5C4D" w:rsidRDefault="00BD5C4D" w:rsidP="00BD5C4D">
      <w:pPr>
        <w:pStyle w:val="BodyTextIndent"/>
        <w:ind w:left="720"/>
        <w:jc w:val="left"/>
        <w:rPr>
          <w:color w:val="000000"/>
        </w:rPr>
      </w:pPr>
      <w:r>
        <w:t xml:space="preserve">The respondent cost is calculated as the number of hours of paperwork </w:t>
      </w:r>
      <w:r w:rsidRPr="00CE675F">
        <w:rPr>
          <w:color w:val="000000"/>
        </w:rPr>
        <w:t xml:space="preserve">burden </w:t>
      </w:r>
      <w:r>
        <w:rPr>
          <w:color w:val="000000"/>
        </w:rPr>
        <w:t>(5,</w:t>
      </w:r>
      <w:r w:rsidR="00CC26B5">
        <w:rPr>
          <w:color w:val="000000"/>
        </w:rPr>
        <w:t>40</w:t>
      </w:r>
      <w:r>
        <w:rPr>
          <w:color w:val="000000"/>
        </w:rPr>
        <w:t>0)</w:t>
      </w:r>
      <w:r w:rsidRPr="00CE675F">
        <w:rPr>
          <w:color w:val="000000"/>
        </w:rPr>
        <w:t xml:space="preserve"> </w:t>
      </w:r>
      <w:r>
        <w:rPr>
          <w:color w:val="000000"/>
        </w:rPr>
        <w:t xml:space="preserve">times </w:t>
      </w:r>
      <w:r w:rsidRPr="00CE675F">
        <w:rPr>
          <w:color w:val="000000"/>
        </w:rPr>
        <w:t>the standard rate of $1</w:t>
      </w:r>
      <w:r>
        <w:rPr>
          <w:color w:val="000000"/>
        </w:rPr>
        <w:t>5</w:t>
      </w:r>
      <w:r w:rsidRPr="00CE675F">
        <w:rPr>
          <w:color w:val="000000"/>
        </w:rPr>
        <w:t>.00 per hour.  Thus, the respondent cost is</w:t>
      </w:r>
      <w:r>
        <w:rPr>
          <w:color w:val="000000"/>
        </w:rPr>
        <w:t xml:space="preserve"> $8</w:t>
      </w:r>
      <w:r w:rsidR="00480FF8">
        <w:rPr>
          <w:color w:val="000000"/>
        </w:rPr>
        <w:t>1</w:t>
      </w:r>
      <w:r>
        <w:rPr>
          <w:color w:val="000000"/>
        </w:rPr>
        <w:t>,</w:t>
      </w:r>
      <w:r w:rsidR="00480FF8">
        <w:rPr>
          <w:color w:val="000000"/>
        </w:rPr>
        <w:t>0</w:t>
      </w:r>
      <w:r>
        <w:rPr>
          <w:color w:val="000000"/>
        </w:rPr>
        <w:t>00.</w:t>
      </w:r>
      <w:r w:rsidRPr="00CE675F">
        <w:rPr>
          <w:color w:val="000000"/>
        </w:rPr>
        <w:t xml:space="preserve">  </w:t>
      </w:r>
    </w:p>
    <w:p w:rsidR="00822996" w:rsidRDefault="00B72D0F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rPr>
          <w:noProof/>
          <w:snapToGrid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7980F" wp14:editId="35714E71">
                <wp:simplePos x="0" y="0"/>
                <wp:positionH relativeFrom="column">
                  <wp:posOffset>198783</wp:posOffset>
                </wp:positionH>
                <wp:positionV relativeFrom="paragraph">
                  <wp:posOffset>50027</wp:posOffset>
                </wp:positionV>
                <wp:extent cx="5375081" cy="1677725"/>
                <wp:effectExtent l="0" t="0" r="1651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1" cy="167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D69" w:rsidRDefault="00D11D69" w:rsidP="00483DB9">
                            <w:r>
                              <w:t>The CMHC cost report is submitted annually.</w:t>
                            </w:r>
                          </w:p>
                          <w:p w:rsidR="00D11D69" w:rsidRDefault="00D11D69" w:rsidP="00483DB9">
                            <w:r>
                              <w:t>CMS estimates the cost reporting burden: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  <w:p w:rsidR="00D11D69" w:rsidRDefault="00D11D69" w:rsidP="00483DB9">
                            <w:r>
                              <w:t>(90 hours record keeping, 10 hours reporting)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100 hours</w:t>
                            </w:r>
                          </w:p>
                          <w:p w:rsidR="00D11D69" w:rsidRDefault="00D11D69" w:rsidP="00483DB9"/>
                          <w:p w:rsidR="00D11D69" w:rsidRPr="009A3624" w:rsidRDefault="00D11D69" w:rsidP="00483DB9">
                            <w:r>
                              <w:t>The number of respondents: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rPr>
                                <w:u w:val="single"/>
                              </w:rPr>
                              <w:t xml:space="preserve">       540             </w:t>
                            </w:r>
                            <w:r w:rsidRPr="009A3624">
                              <w:t xml:space="preserve">  </w:t>
                            </w:r>
                          </w:p>
                          <w:p w:rsidR="00D11D69" w:rsidRDefault="00D11D69" w:rsidP="00483DB9">
                            <w:r>
                              <w:t>Total burden hours: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54,000 hours</w:t>
                            </w:r>
                          </w:p>
                          <w:p w:rsidR="00D11D69" w:rsidRDefault="00D11D69" w:rsidP="00483DB9"/>
                          <w:p w:rsidR="00D11D69" w:rsidRDefault="00D11D69" w:rsidP="00483DB9">
                            <w:pPr>
                              <w:rPr>
                                <w:u w:val="single"/>
                              </w:rPr>
                            </w:pPr>
                            <w:r>
                              <w:t>The annual cost per hour: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rPr>
                                <w:u w:val="single"/>
                              </w:rPr>
                              <w:t xml:space="preserve">         $20</w:t>
                            </w:r>
                          </w:p>
                          <w:p w:rsidR="00D11D69" w:rsidRDefault="00D11D69" w:rsidP="00483DB9">
                            <w:r w:rsidRPr="00045222">
                              <w:t>The</w:t>
                            </w:r>
                            <w:r>
                              <w:t xml:space="preserve"> total</w:t>
                            </w:r>
                            <w:r w:rsidRPr="00045222">
                              <w:t xml:space="preserve"> </w:t>
                            </w:r>
                            <w:r>
                              <w:t xml:space="preserve">annual burden cost: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$1,080,000</w:t>
                            </w:r>
                          </w:p>
                          <w:p w:rsidR="00D11D69" w:rsidRDefault="00D11D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65pt;margin-top:3.95pt;width:423.2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" fillcolor="white [3201]" strokeweight=".5pt">
                <v:textbox>
                  <w:txbxContent>
                    <w:p w:rsidR="00D11D69" w:rsidRDefault="00D11D69" w:rsidP="00483DB9">
                      <w:r>
                        <w:t>The CMHC cost report is submitted annually.</w:t>
                      </w:r>
                    </w:p>
                    <w:p w:rsidR="00D11D69" w:rsidRDefault="00D11D69" w:rsidP="00483DB9">
                      <w:r>
                        <w:t>CMS estimates the cost reporting burden: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  <w:p w:rsidR="00D11D69" w:rsidRDefault="00D11D69" w:rsidP="00483DB9">
                      <w:r>
                        <w:t>(90 hours record keeping, 10 hours reporting)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100 hours</w:t>
                      </w:r>
                    </w:p>
                    <w:p w:rsidR="00D11D69" w:rsidRDefault="00D11D69" w:rsidP="00483DB9"/>
                    <w:p w:rsidR="00D11D69" w:rsidRPr="009A3624" w:rsidRDefault="00D11D69" w:rsidP="00483DB9">
                      <w:r>
                        <w:t>The number of respondents: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>
                        <w:rPr>
                          <w:u w:val="single"/>
                        </w:rPr>
                        <w:t xml:space="preserve">       540             </w:t>
                      </w:r>
                      <w:r w:rsidRPr="009A3624">
                        <w:t xml:space="preserve">  </w:t>
                      </w:r>
                    </w:p>
                    <w:p w:rsidR="00D11D69" w:rsidRDefault="00D11D69" w:rsidP="00483DB9">
                      <w:r>
                        <w:t>Total burden hours: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54,000 hours</w:t>
                      </w:r>
                    </w:p>
                    <w:p w:rsidR="00D11D69" w:rsidRDefault="00D11D69" w:rsidP="00483DB9"/>
                    <w:p w:rsidR="00D11D69" w:rsidRDefault="00D11D69" w:rsidP="00483DB9">
                      <w:pPr>
                        <w:rPr>
                          <w:u w:val="single"/>
                        </w:rPr>
                      </w:pPr>
                      <w:r>
                        <w:t>The annual cost per hour: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>
                        <w:rPr>
                          <w:u w:val="single"/>
                        </w:rPr>
                        <w:t xml:space="preserve">         $20</w:t>
                      </w:r>
                    </w:p>
                    <w:p w:rsidR="00D11D69" w:rsidRDefault="00D11D69" w:rsidP="00483DB9">
                      <w:r w:rsidRPr="00045222">
                        <w:t>The</w:t>
                      </w:r>
                      <w:r>
                        <w:t xml:space="preserve"> total</w:t>
                      </w:r>
                      <w:r w:rsidRPr="00045222">
                        <w:t xml:space="preserve"> </w:t>
                      </w:r>
                      <w:r>
                        <w:t xml:space="preserve">annual burden cost: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$1,080,000</w:t>
                      </w:r>
                    </w:p>
                    <w:p w:rsidR="00D11D69" w:rsidRDefault="00D11D69"/>
                  </w:txbxContent>
                </v:textbox>
              </v:shape>
            </w:pict>
          </mc:Fallback>
        </mc:AlternateContent>
      </w:r>
    </w:p>
    <w:p w:rsidR="0090054C" w:rsidRPr="00804003" w:rsidRDefault="004A2B20" w:rsidP="00DF7D4E">
      <w:pPr>
        <w:tabs>
          <w:tab w:val="left" w:pos="-1152"/>
          <w:tab w:val="left" w:pos="-720"/>
          <w:tab w:val="left" w:pos="0"/>
          <w:tab w:val="left" w:pos="360"/>
        </w:tabs>
      </w:pPr>
      <w:r>
        <w:t>13.</w:t>
      </w:r>
      <w:r>
        <w:tab/>
      </w:r>
      <w:r w:rsidR="0090054C" w:rsidRPr="00804003">
        <w:rPr>
          <w:u w:val="single"/>
        </w:rPr>
        <w:t>Capital Cost</w:t>
      </w:r>
      <w:r w:rsidR="00D11D69">
        <w:rPr>
          <w:u w:val="single"/>
        </w:rPr>
        <w:t>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045222" w:rsidRDefault="0090054C" w:rsidP="00822996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 w:rsidRPr="00804003">
        <w:t>There are no capital costs.</w:t>
      </w:r>
    </w:p>
    <w:p w:rsidR="005614BB" w:rsidRDefault="005614BB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4A2B20" w:rsidP="00DF7D4E">
      <w:pPr>
        <w:tabs>
          <w:tab w:val="left" w:pos="-1152"/>
          <w:tab w:val="left" w:pos="-720"/>
          <w:tab w:val="left" w:pos="0"/>
          <w:tab w:val="left" w:pos="360"/>
        </w:tabs>
        <w:rPr>
          <w:u w:val="single"/>
        </w:rPr>
      </w:pPr>
      <w:r>
        <w:t>14.</w:t>
      </w:r>
      <w:r>
        <w:tab/>
      </w:r>
      <w:r w:rsidR="0090054C" w:rsidRPr="00804003">
        <w:rPr>
          <w:u w:val="single"/>
        </w:rPr>
        <w:t>Cost to Federal Government</w:t>
      </w:r>
    </w:p>
    <w:p w:rsidR="00822996" w:rsidRPr="00804003" w:rsidRDefault="00822996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41"/>
        <w:gridCol w:w="2475"/>
      </w:tblGrid>
      <w:tr w:rsidR="00483DB9" w:rsidRPr="006B5333" w:rsidTr="00822996">
        <w:trPr>
          <w:trHeight w:val="3113"/>
        </w:trPr>
        <w:tc>
          <w:tcPr>
            <w:tcW w:w="6741" w:type="dxa"/>
            <w:shd w:val="clear" w:color="auto" w:fill="auto"/>
          </w:tcPr>
          <w:p w:rsidR="00483DB9" w:rsidRDefault="00483DB9" w:rsidP="00D11D69">
            <w:pPr>
              <w:tabs>
                <w:tab w:val="left" w:pos="-1152"/>
                <w:tab w:val="left" w:pos="-720"/>
                <w:tab w:val="left" w:pos="0"/>
                <w:tab w:val="left" w:pos="360"/>
              </w:tabs>
              <w:rPr>
                <w:u w:val="single"/>
              </w:rPr>
            </w:pPr>
            <w:r w:rsidRPr="00804003">
              <w:rPr>
                <w:u w:val="single"/>
              </w:rPr>
              <w:t>Cost associated with distribution of forms and instructions:</w:t>
            </w:r>
            <w:r>
              <w:rPr>
                <w:u w:val="single"/>
              </w:rPr>
              <w:t xml:space="preserve">  </w:t>
            </w:r>
          </w:p>
          <w:p w:rsidR="00483DB9" w:rsidRDefault="00483DB9" w:rsidP="00D11D69">
            <w:pPr>
              <w:tabs>
                <w:tab w:val="left" w:pos="-1152"/>
                <w:tab w:val="left" w:pos="-720"/>
                <w:tab w:val="left" w:pos="0"/>
                <w:tab w:val="left" w:pos="360"/>
              </w:tabs>
            </w:pPr>
            <w:r w:rsidRPr="00804003">
              <w:t xml:space="preserve">We no longer print and distribute paper copies of </w:t>
            </w:r>
          </w:p>
          <w:p w:rsidR="00483DB9" w:rsidRDefault="00483DB9" w:rsidP="00D11D69">
            <w:pPr>
              <w:tabs>
                <w:tab w:val="left" w:pos="-1152"/>
                <w:tab w:val="left" w:pos="-720"/>
                <w:tab w:val="left" w:pos="0"/>
                <w:tab w:val="left" w:pos="360"/>
              </w:tabs>
            </w:pPr>
            <w:r w:rsidRPr="00804003">
              <w:t>Form CMS</w:t>
            </w:r>
            <w:r>
              <w:t>-</w:t>
            </w:r>
            <w:r w:rsidRPr="00804003">
              <w:t>2088-92.</w:t>
            </w:r>
            <w:r>
              <w:t xml:space="preserve">  </w:t>
            </w:r>
            <w:r w:rsidRPr="00804003">
              <w:t xml:space="preserve">This manual is now </w:t>
            </w:r>
            <w:r w:rsidRPr="00F91795">
              <w:t xml:space="preserve">available via the </w:t>
            </w:r>
            <w:r w:rsidRPr="00804003">
              <w:t>internet.</w:t>
            </w:r>
            <w:r>
              <w:t xml:space="preserve">                                         </w:t>
            </w:r>
          </w:p>
          <w:p w:rsidR="00483DB9" w:rsidRDefault="00483DB9" w:rsidP="00D11D69">
            <w:pPr>
              <w:rPr>
                <w:u w:val="single"/>
              </w:rPr>
            </w:pPr>
          </w:p>
          <w:p w:rsidR="00483DB9" w:rsidRPr="006B5333" w:rsidRDefault="00483DB9" w:rsidP="00D11D69">
            <w:r w:rsidRPr="006B5333">
              <w:rPr>
                <w:u w:val="single"/>
              </w:rPr>
              <w:t xml:space="preserve">Annual cost to </w:t>
            </w:r>
            <w:r>
              <w:rPr>
                <w:u w:val="single"/>
              </w:rPr>
              <w:t xml:space="preserve">the </w:t>
            </w:r>
            <w:r w:rsidRPr="006B5333">
              <w:rPr>
                <w:u w:val="single"/>
              </w:rPr>
              <w:t>MACs:</w:t>
            </w:r>
            <w:r w:rsidRPr="006B5333">
              <w:t xml:space="preserve">  Annual costs incurred are related to processing information contained on the forms, particularly associated with achieving settlements.  Processing costs are based on estimates provided by the Office of Financial Management.</w:t>
            </w:r>
          </w:p>
          <w:p w:rsidR="00483DB9" w:rsidRPr="006B5333" w:rsidRDefault="00483DB9" w:rsidP="00D11D69">
            <w:r>
              <w:t>(20 hours x $150.00/ hour x 540 respondents)</w:t>
            </w:r>
          </w:p>
        </w:tc>
        <w:tc>
          <w:tcPr>
            <w:tcW w:w="2475" w:type="dxa"/>
            <w:shd w:val="clear" w:color="auto" w:fill="auto"/>
          </w:tcPr>
          <w:p w:rsidR="00483DB9" w:rsidRPr="006B5333" w:rsidRDefault="00483DB9" w:rsidP="00D11D69"/>
          <w:p w:rsidR="00483DB9" w:rsidRPr="006B5333" w:rsidRDefault="00483DB9" w:rsidP="00D11D69"/>
          <w:p w:rsidR="00483DB9" w:rsidRDefault="00483DB9" w:rsidP="00D11D69">
            <w:r>
              <w:t xml:space="preserve">    </w:t>
            </w:r>
            <w:r w:rsidR="005614BB">
              <w:t xml:space="preserve">            </w:t>
            </w:r>
            <w:r>
              <w:t>$0</w:t>
            </w:r>
          </w:p>
          <w:p w:rsidR="00483DB9" w:rsidRDefault="00483DB9" w:rsidP="00D11D69"/>
          <w:p w:rsidR="00483DB9" w:rsidRDefault="00483DB9" w:rsidP="00D11D69"/>
          <w:p w:rsidR="00483DB9" w:rsidRDefault="00483DB9" w:rsidP="00D11D69"/>
          <w:p w:rsidR="00483DB9" w:rsidRDefault="00483DB9" w:rsidP="00D11D69">
            <w:r>
              <w:t xml:space="preserve"> </w:t>
            </w:r>
          </w:p>
          <w:p w:rsidR="00483DB9" w:rsidRDefault="00483DB9" w:rsidP="00D11D69">
            <w:r>
              <w:t xml:space="preserve">  </w:t>
            </w:r>
            <w:r w:rsidRPr="006B5333">
              <w:t>$</w:t>
            </w:r>
            <w:r>
              <w:t xml:space="preserve">1,620,000  </w:t>
            </w:r>
          </w:p>
          <w:p w:rsidR="00483DB9" w:rsidRPr="006B5333" w:rsidRDefault="00483DB9" w:rsidP="00D11D69"/>
        </w:tc>
      </w:tr>
      <w:tr w:rsidR="00483DB9" w:rsidRPr="006B5333" w:rsidTr="00483DB9">
        <w:tc>
          <w:tcPr>
            <w:tcW w:w="6741" w:type="dxa"/>
            <w:shd w:val="clear" w:color="auto" w:fill="auto"/>
          </w:tcPr>
          <w:p w:rsidR="00483DB9" w:rsidRPr="006B5333" w:rsidRDefault="00483DB9" w:rsidP="00D11D69">
            <w:r w:rsidRPr="006B5333">
              <w:rPr>
                <w:u w:val="single"/>
              </w:rPr>
              <w:t>Annual cost to CMS:</w:t>
            </w:r>
            <w:r w:rsidRPr="006B5333">
              <w:t xml:space="preserve">  Total CMS processing cost (HCRIS Budget)</w:t>
            </w:r>
          </w:p>
        </w:tc>
        <w:tc>
          <w:tcPr>
            <w:tcW w:w="2475" w:type="dxa"/>
            <w:shd w:val="clear" w:color="auto" w:fill="auto"/>
          </w:tcPr>
          <w:p w:rsidR="00483DB9" w:rsidRPr="006B5333" w:rsidRDefault="00483DB9" w:rsidP="00D11D69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Pr="006B5333">
              <w:rPr>
                <w:u w:val="single"/>
              </w:rPr>
              <w:t xml:space="preserve">        </w:t>
            </w:r>
            <w:r>
              <w:rPr>
                <w:u w:val="single"/>
              </w:rPr>
              <w:t>$</w:t>
            </w:r>
            <w:r w:rsidRPr="006B5333">
              <w:rPr>
                <w:u w:val="single"/>
              </w:rPr>
              <w:t>42,000</w:t>
            </w:r>
          </w:p>
        </w:tc>
      </w:tr>
      <w:tr w:rsidR="00483DB9" w:rsidRPr="006B5333" w:rsidTr="00483DB9">
        <w:trPr>
          <w:trHeight w:val="459"/>
        </w:trPr>
        <w:tc>
          <w:tcPr>
            <w:tcW w:w="6741" w:type="dxa"/>
            <w:shd w:val="clear" w:color="auto" w:fill="auto"/>
          </w:tcPr>
          <w:p w:rsidR="00483DB9" w:rsidRPr="006B5333" w:rsidRDefault="00483DB9" w:rsidP="00D11D69">
            <w:r w:rsidRPr="006B5333">
              <w:rPr>
                <w:u w:val="single"/>
              </w:rPr>
              <w:t>Total Federal Cost</w:t>
            </w:r>
            <w:r>
              <w:rPr>
                <w:u w:val="single"/>
              </w:rPr>
              <w:t>:</w:t>
            </w:r>
          </w:p>
        </w:tc>
        <w:tc>
          <w:tcPr>
            <w:tcW w:w="2475" w:type="dxa"/>
            <w:shd w:val="clear" w:color="auto" w:fill="auto"/>
          </w:tcPr>
          <w:p w:rsidR="00483DB9" w:rsidRPr="006B5333" w:rsidRDefault="00483DB9" w:rsidP="00D11D69">
            <w:r>
              <w:t xml:space="preserve">    </w:t>
            </w:r>
            <w:r w:rsidRPr="006B5333">
              <w:t>$1</w:t>
            </w:r>
            <w:r>
              <w:t>,662,000</w:t>
            </w:r>
          </w:p>
        </w:tc>
      </w:tr>
    </w:tbl>
    <w:p w:rsidR="002D6ED0" w:rsidRDefault="002D6ED0" w:rsidP="00DF7D4E">
      <w:pPr>
        <w:tabs>
          <w:tab w:val="left" w:pos="-1152"/>
          <w:tab w:val="left" w:pos="-720"/>
          <w:tab w:val="left" w:pos="0"/>
          <w:tab w:val="left" w:pos="360"/>
        </w:tabs>
        <w:ind w:firstLine="360"/>
        <w:rPr>
          <w:u w:val="single"/>
        </w:rPr>
      </w:pPr>
    </w:p>
    <w:p w:rsidR="008170E7" w:rsidRDefault="008170E7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15.</w:t>
      </w:r>
      <w:r w:rsidR="00834061">
        <w:tab/>
      </w:r>
      <w:r w:rsidR="00D11D69" w:rsidRPr="00224701">
        <w:rPr>
          <w:u w:val="single"/>
        </w:rPr>
        <w:t xml:space="preserve">Changes to </w:t>
      </w:r>
      <w:r w:rsidRPr="00224701">
        <w:rPr>
          <w:u w:val="single"/>
        </w:rPr>
        <w:t>Burden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bookmarkStart w:id="0" w:name="_GoBack"/>
      <w:bookmarkEnd w:id="0"/>
    </w:p>
    <w:p w:rsidR="00181890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  <w:rPr>
          <w:color w:val="000000"/>
        </w:rPr>
      </w:pPr>
      <w:r w:rsidRPr="00804003">
        <w:rPr>
          <w:color w:val="000000"/>
        </w:rPr>
        <w:t xml:space="preserve">There </w:t>
      </w:r>
      <w:r w:rsidR="00CD5E44" w:rsidRPr="00804003">
        <w:rPr>
          <w:color w:val="000000"/>
        </w:rPr>
        <w:t xml:space="preserve">are no program changes.  The burden </w:t>
      </w:r>
      <w:r w:rsidR="009A1D17">
        <w:rPr>
          <w:color w:val="000000"/>
        </w:rPr>
        <w:t xml:space="preserve">estimate has been adjusted to account for a </w:t>
      </w:r>
      <w:r w:rsidR="005614BB">
        <w:rPr>
          <w:color w:val="000000"/>
        </w:rPr>
        <w:t>decrease</w:t>
      </w:r>
      <w:r w:rsidR="009A1D17">
        <w:rPr>
          <w:color w:val="000000"/>
        </w:rPr>
        <w:t xml:space="preserve"> in the number of respondents, </w:t>
      </w:r>
      <w:r w:rsidR="005614BB">
        <w:rPr>
          <w:color w:val="000000"/>
        </w:rPr>
        <w:t xml:space="preserve">from 596 </w:t>
      </w:r>
      <w:r w:rsidR="009C1BA6">
        <w:rPr>
          <w:color w:val="000000"/>
        </w:rPr>
        <w:t>to 540.</w:t>
      </w:r>
    </w:p>
    <w:p w:rsidR="00B9538B" w:rsidRPr="00804003" w:rsidRDefault="00B9538B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16.</w:t>
      </w:r>
      <w:r w:rsidR="00834061">
        <w:tab/>
      </w:r>
      <w:r w:rsidRPr="00804003">
        <w:rPr>
          <w:u w:val="single"/>
        </w:rPr>
        <w:t>Publication</w:t>
      </w:r>
      <w:r w:rsidR="00D11D69">
        <w:rPr>
          <w:u w:val="single"/>
        </w:rPr>
        <w:t>/</w:t>
      </w:r>
      <w:r w:rsidRPr="00804003">
        <w:rPr>
          <w:u w:val="single"/>
        </w:rPr>
        <w:t>Tabulation Dates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Default="00107B9F" w:rsidP="00FC2770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>Th</w:t>
      </w:r>
      <w:r w:rsidR="00205228">
        <w:t>e</w:t>
      </w:r>
      <w:r>
        <w:t xml:space="preserve"> data</w:t>
      </w:r>
      <w:r w:rsidRPr="00107B9F">
        <w:t xml:space="preserve"> </w:t>
      </w:r>
      <w:r w:rsidRPr="00804003">
        <w:t>submitted on the cost report</w:t>
      </w:r>
      <w:r>
        <w:t xml:space="preserve"> is not published or tabulated.  </w:t>
      </w:r>
    </w:p>
    <w:p w:rsidR="00107B9F" w:rsidRPr="00804003" w:rsidRDefault="00107B9F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17.</w:t>
      </w:r>
      <w:r w:rsidR="00834061">
        <w:tab/>
      </w:r>
      <w:r w:rsidRPr="00804003">
        <w:rPr>
          <w:u w:val="single"/>
        </w:rPr>
        <w:t>Expiration Date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567F0C" w:rsidRDefault="00205228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  <w:r>
        <w:t>CMS would like an exemption from displaying the expiration date as these forms are used on a continuing basis</w:t>
      </w:r>
      <w:r w:rsidR="005614BB">
        <w:t xml:space="preserve"> and change infrequently</w:t>
      </w:r>
      <w:r>
        <w:t xml:space="preserve">.  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>18.</w:t>
      </w:r>
      <w:r w:rsidR="00834061">
        <w:tab/>
      </w:r>
      <w:r w:rsidRPr="00804003">
        <w:rPr>
          <w:u w:val="single"/>
        </w:rPr>
        <w:t>Certification Statement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</w:p>
    <w:p w:rsidR="00001382" w:rsidRPr="00804003" w:rsidRDefault="0090054C" w:rsidP="00001382">
      <w:pPr>
        <w:tabs>
          <w:tab w:val="left" w:pos="-1152"/>
          <w:tab w:val="left" w:pos="-720"/>
          <w:tab w:val="left" w:pos="0"/>
          <w:tab w:val="left" w:pos="360"/>
        </w:tabs>
        <w:ind w:firstLine="360"/>
      </w:pPr>
      <w:r w:rsidRPr="00804003">
        <w:t>There are no exceptions to the certification statement.</w:t>
      </w:r>
    </w:p>
    <w:p w:rsidR="00205228" w:rsidRPr="00804003" w:rsidRDefault="00205228" w:rsidP="00001382">
      <w:pPr>
        <w:tabs>
          <w:tab w:val="left" w:pos="-1152"/>
          <w:tab w:val="left" w:pos="-720"/>
          <w:tab w:val="left" w:pos="0"/>
          <w:tab w:val="left" w:pos="360"/>
        </w:tabs>
      </w:pPr>
    </w:p>
    <w:p w:rsidR="000A3DF1" w:rsidRPr="00804003" w:rsidRDefault="00D16AF3" w:rsidP="00001382">
      <w:pPr>
        <w:tabs>
          <w:tab w:val="left" w:pos="-1152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>B</w:t>
      </w:r>
      <w:r w:rsidR="00001382" w:rsidRPr="00804003">
        <w:rPr>
          <w:b/>
        </w:rPr>
        <w:t>.</w:t>
      </w:r>
      <w:r w:rsidR="00001382" w:rsidRPr="00804003">
        <w:tab/>
      </w:r>
      <w:r w:rsidR="000A3DF1" w:rsidRPr="00804003">
        <w:rPr>
          <w:b/>
        </w:rPr>
        <w:t>STATISTICAL METHODS</w:t>
      </w:r>
    </w:p>
    <w:p w:rsidR="0090054C" w:rsidRPr="00804003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  <w:ind w:left="360"/>
      </w:pPr>
    </w:p>
    <w:p w:rsidR="0090054C" w:rsidRDefault="0090054C" w:rsidP="00DF7D4E">
      <w:pPr>
        <w:tabs>
          <w:tab w:val="left" w:pos="-1152"/>
          <w:tab w:val="left" w:pos="-720"/>
          <w:tab w:val="left" w:pos="0"/>
          <w:tab w:val="left" w:pos="360"/>
        </w:tabs>
      </w:pPr>
      <w:r w:rsidRPr="00804003">
        <w:tab/>
        <w:t>There are no statistical methods employed in this collec</w:t>
      </w:r>
      <w:r>
        <w:t>tion.</w:t>
      </w:r>
    </w:p>
    <w:sectPr w:rsidR="0090054C" w:rsidSect="007C73D5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3C" w:rsidRDefault="00B52D3C">
      <w:r>
        <w:separator/>
      </w:r>
    </w:p>
  </w:endnote>
  <w:endnote w:type="continuationSeparator" w:id="0">
    <w:p w:rsidR="00B52D3C" w:rsidRDefault="00B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69" w:rsidRDefault="00D11D69">
    <w:pPr>
      <w:spacing w:line="240" w:lineRule="exact"/>
    </w:pPr>
  </w:p>
  <w:p w:rsidR="00D11D69" w:rsidRDefault="00D11D69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9A1D17">
      <w:rPr>
        <w:noProof/>
      </w:rPr>
      <w:t>4</w:t>
    </w:r>
    <w:r>
      <w:rPr>
        <w:noProof/>
      </w:rPr>
      <w:fldChar w:fldCharType="end"/>
    </w:r>
  </w:p>
  <w:p w:rsidR="00D11D69" w:rsidRDefault="00D11D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3C" w:rsidRDefault="00B52D3C">
      <w:r>
        <w:separator/>
      </w:r>
    </w:p>
  </w:footnote>
  <w:footnote w:type="continuationSeparator" w:id="0">
    <w:p w:rsidR="00B52D3C" w:rsidRDefault="00B5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F9F"/>
    <w:multiLevelType w:val="hybridMultilevel"/>
    <w:tmpl w:val="23609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6D3013"/>
    <w:multiLevelType w:val="hybridMultilevel"/>
    <w:tmpl w:val="6C22B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C6436"/>
    <w:multiLevelType w:val="singleLevel"/>
    <w:tmpl w:val="687CBAE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CA75F5A"/>
    <w:multiLevelType w:val="hybridMultilevel"/>
    <w:tmpl w:val="26CA6ACA"/>
    <w:lvl w:ilvl="0" w:tplc="690EB938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80332"/>
    <w:multiLevelType w:val="hybridMultilevel"/>
    <w:tmpl w:val="756AFD2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C2724"/>
    <w:multiLevelType w:val="hybridMultilevel"/>
    <w:tmpl w:val="B260A4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28"/>
    <w:rsid w:val="00001382"/>
    <w:rsid w:val="00007DC3"/>
    <w:rsid w:val="00013339"/>
    <w:rsid w:val="00024416"/>
    <w:rsid w:val="0003721C"/>
    <w:rsid w:val="00045222"/>
    <w:rsid w:val="00051E3B"/>
    <w:rsid w:val="000540B0"/>
    <w:rsid w:val="00064E47"/>
    <w:rsid w:val="00070C79"/>
    <w:rsid w:val="00085DEC"/>
    <w:rsid w:val="00092192"/>
    <w:rsid w:val="000A3DF1"/>
    <w:rsid w:val="000F05D3"/>
    <w:rsid w:val="00107B9F"/>
    <w:rsid w:val="00136121"/>
    <w:rsid w:val="00151A00"/>
    <w:rsid w:val="00154ADF"/>
    <w:rsid w:val="00181890"/>
    <w:rsid w:val="001A602C"/>
    <w:rsid w:val="001C38B3"/>
    <w:rsid w:val="001C39F3"/>
    <w:rsid w:val="001D3D58"/>
    <w:rsid w:val="001E78D7"/>
    <w:rsid w:val="001F14DE"/>
    <w:rsid w:val="001F1DE6"/>
    <w:rsid w:val="00205228"/>
    <w:rsid w:val="002154C9"/>
    <w:rsid w:val="00224701"/>
    <w:rsid w:val="00227CDC"/>
    <w:rsid w:val="00235B55"/>
    <w:rsid w:val="00240EAB"/>
    <w:rsid w:val="00253B90"/>
    <w:rsid w:val="0025648E"/>
    <w:rsid w:val="00260B9C"/>
    <w:rsid w:val="00265C63"/>
    <w:rsid w:val="002904B2"/>
    <w:rsid w:val="002B5344"/>
    <w:rsid w:val="002C4434"/>
    <w:rsid w:val="002C6716"/>
    <w:rsid w:val="002D16DC"/>
    <w:rsid w:val="002D637F"/>
    <w:rsid w:val="002D6ED0"/>
    <w:rsid w:val="002E79B5"/>
    <w:rsid w:val="002F4A1C"/>
    <w:rsid w:val="003057EF"/>
    <w:rsid w:val="00317490"/>
    <w:rsid w:val="00334B8B"/>
    <w:rsid w:val="0033557A"/>
    <w:rsid w:val="00343525"/>
    <w:rsid w:val="0036333A"/>
    <w:rsid w:val="00364768"/>
    <w:rsid w:val="00372E3C"/>
    <w:rsid w:val="003803BB"/>
    <w:rsid w:val="00380EB9"/>
    <w:rsid w:val="00394B0B"/>
    <w:rsid w:val="003A2F97"/>
    <w:rsid w:val="003B05E9"/>
    <w:rsid w:val="003B4A25"/>
    <w:rsid w:val="003D1919"/>
    <w:rsid w:val="003E0856"/>
    <w:rsid w:val="003E3D69"/>
    <w:rsid w:val="003F209B"/>
    <w:rsid w:val="003F2724"/>
    <w:rsid w:val="00410FA3"/>
    <w:rsid w:val="00417B7A"/>
    <w:rsid w:val="004241E8"/>
    <w:rsid w:val="004330D2"/>
    <w:rsid w:val="004413AF"/>
    <w:rsid w:val="00463857"/>
    <w:rsid w:val="004641AF"/>
    <w:rsid w:val="00475DA8"/>
    <w:rsid w:val="00480FF8"/>
    <w:rsid w:val="00483DB9"/>
    <w:rsid w:val="004957BD"/>
    <w:rsid w:val="00495FD5"/>
    <w:rsid w:val="004A2B20"/>
    <w:rsid w:val="004A2D06"/>
    <w:rsid w:val="004A3C53"/>
    <w:rsid w:val="004B743B"/>
    <w:rsid w:val="004B7CD5"/>
    <w:rsid w:val="004C44A0"/>
    <w:rsid w:val="004D0177"/>
    <w:rsid w:val="004D648C"/>
    <w:rsid w:val="004F1196"/>
    <w:rsid w:val="004F4EFC"/>
    <w:rsid w:val="004F7CC1"/>
    <w:rsid w:val="004F7F80"/>
    <w:rsid w:val="005078C8"/>
    <w:rsid w:val="005405A9"/>
    <w:rsid w:val="00552FDA"/>
    <w:rsid w:val="00555ADA"/>
    <w:rsid w:val="005614BB"/>
    <w:rsid w:val="00567F0C"/>
    <w:rsid w:val="00580072"/>
    <w:rsid w:val="00592AB2"/>
    <w:rsid w:val="00594C55"/>
    <w:rsid w:val="005977B5"/>
    <w:rsid w:val="005A15A7"/>
    <w:rsid w:val="005A7AEE"/>
    <w:rsid w:val="005B1FBC"/>
    <w:rsid w:val="005B6C75"/>
    <w:rsid w:val="005C424C"/>
    <w:rsid w:val="005E686F"/>
    <w:rsid w:val="005F08A9"/>
    <w:rsid w:val="005F09FA"/>
    <w:rsid w:val="005F69BF"/>
    <w:rsid w:val="00604D1F"/>
    <w:rsid w:val="00607654"/>
    <w:rsid w:val="00643B3C"/>
    <w:rsid w:val="00660393"/>
    <w:rsid w:val="006615D0"/>
    <w:rsid w:val="00674151"/>
    <w:rsid w:val="0068565F"/>
    <w:rsid w:val="006B1D03"/>
    <w:rsid w:val="006B37D5"/>
    <w:rsid w:val="006B3936"/>
    <w:rsid w:val="006B71FC"/>
    <w:rsid w:val="006C09A2"/>
    <w:rsid w:val="006D6D1E"/>
    <w:rsid w:val="006F19C5"/>
    <w:rsid w:val="00707DD7"/>
    <w:rsid w:val="0071138D"/>
    <w:rsid w:val="00754B9C"/>
    <w:rsid w:val="0076762E"/>
    <w:rsid w:val="007946C9"/>
    <w:rsid w:val="007A20DD"/>
    <w:rsid w:val="007A4CDA"/>
    <w:rsid w:val="007C090C"/>
    <w:rsid w:val="007C73D5"/>
    <w:rsid w:val="007E4450"/>
    <w:rsid w:val="007F4D35"/>
    <w:rsid w:val="00804003"/>
    <w:rsid w:val="0081245B"/>
    <w:rsid w:val="008170E7"/>
    <w:rsid w:val="00822996"/>
    <w:rsid w:val="00826D69"/>
    <w:rsid w:val="008277D2"/>
    <w:rsid w:val="00834061"/>
    <w:rsid w:val="00847AC6"/>
    <w:rsid w:val="00853B72"/>
    <w:rsid w:val="00854FCC"/>
    <w:rsid w:val="0089493F"/>
    <w:rsid w:val="008A38C0"/>
    <w:rsid w:val="008B5DBA"/>
    <w:rsid w:val="008B6570"/>
    <w:rsid w:val="008B79AC"/>
    <w:rsid w:val="008C6C66"/>
    <w:rsid w:val="008E2528"/>
    <w:rsid w:val="008E2EDD"/>
    <w:rsid w:val="008F2185"/>
    <w:rsid w:val="0090054C"/>
    <w:rsid w:val="00906183"/>
    <w:rsid w:val="00940A49"/>
    <w:rsid w:val="009446F6"/>
    <w:rsid w:val="00952B43"/>
    <w:rsid w:val="0095464F"/>
    <w:rsid w:val="00956E4B"/>
    <w:rsid w:val="00960FED"/>
    <w:rsid w:val="00973953"/>
    <w:rsid w:val="009901DB"/>
    <w:rsid w:val="009A1D17"/>
    <w:rsid w:val="009A3624"/>
    <w:rsid w:val="009C1BA6"/>
    <w:rsid w:val="009D4F7F"/>
    <w:rsid w:val="009E1930"/>
    <w:rsid w:val="009E2099"/>
    <w:rsid w:val="009F1603"/>
    <w:rsid w:val="00A050FA"/>
    <w:rsid w:val="00A11098"/>
    <w:rsid w:val="00A41A8B"/>
    <w:rsid w:val="00A472E7"/>
    <w:rsid w:val="00A73E16"/>
    <w:rsid w:val="00A86327"/>
    <w:rsid w:val="00A91A04"/>
    <w:rsid w:val="00AA1BDA"/>
    <w:rsid w:val="00AA4534"/>
    <w:rsid w:val="00AA72D7"/>
    <w:rsid w:val="00AB0226"/>
    <w:rsid w:val="00AC3611"/>
    <w:rsid w:val="00AD0820"/>
    <w:rsid w:val="00AF2250"/>
    <w:rsid w:val="00AF62A6"/>
    <w:rsid w:val="00AF6CA9"/>
    <w:rsid w:val="00AF7CA1"/>
    <w:rsid w:val="00B01BC6"/>
    <w:rsid w:val="00B25C13"/>
    <w:rsid w:val="00B26A36"/>
    <w:rsid w:val="00B3042C"/>
    <w:rsid w:val="00B42852"/>
    <w:rsid w:val="00B464F5"/>
    <w:rsid w:val="00B52D3C"/>
    <w:rsid w:val="00B6364C"/>
    <w:rsid w:val="00B71901"/>
    <w:rsid w:val="00B72D0F"/>
    <w:rsid w:val="00B84969"/>
    <w:rsid w:val="00B84BA8"/>
    <w:rsid w:val="00B87C2B"/>
    <w:rsid w:val="00B91B30"/>
    <w:rsid w:val="00B94550"/>
    <w:rsid w:val="00B9538B"/>
    <w:rsid w:val="00BA08B4"/>
    <w:rsid w:val="00BA2EF9"/>
    <w:rsid w:val="00BA6506"/>
    <w:rsid w:val="00BC6A7B"/>
    <w:rsid w:val="00BD393C"/>
    <w:rsid w:val="00BD5C4D"/>
    <w:rsid w:val="00BF230C"/>
    <w:rsid w:val="00BF23D2"/>
    <w:rsid w:val="00C00600"/>
    <w:rsid w:val="00C102B7"/>
    <w:rsid w:val="00C23A98"/>
    <w:rsid w:val="00C24EBF"/>
    <w:rsid w:val="00C4686D"/>
    <w:rsid w:val="00C52F98"/>
    <w:rsid w:val="00C84DB8"/>
    <w:rsid w:val="00C85F05"/>
    <w:rsid w:val="00C95EF3"/>
    <w:rsid w:val="00CA6130"/>
    <w:rsid w:val="00CA78A8"/>
    <w:rsid w:val="00CC26B5"/>
    <w:rsid w:val="00CD5E44"/>
    <w:rsid w:val="00CE675F"/>
    <w:rsid w:val="00CE6D64"/>
    <w:rsid w:val="00CF7EF3"/>
    <w:rsid w:val="00D018D1"/>
    <w:rsid w:val="00D05BB1"/>
    <w:rsid w:val="00D102CA"/>
    <w:rsid w:val="00D11D69"/>
    <w:rsid w:val="00D16AF3"/>
    <w:rsid w:val="00D20E0E"/>
    <w:rsid w:val="00D35CE2"/>
    <w:rsid w:val="00D43976"/>
    <w:rsid w:val="00D52EC9"/>
    <w:rsid w:val="00D536DB"/>
    <w:rsid w:val="00D569F0"/>
    <w:rsid w:val="00D642B6"/>
    <w:rsid w:val="00D70CF1"/>
    <w:rsid w:val="00D761C9"/>
    <w:rsid w:val="00D80788"/>
    <w:rsid w:val="00D81F5A"/>
    <w:rsid w:val="00D87F4C"/>
    <w:rsid w:val="00D9143B"/>
    <w:rsid w:val="00D935FF"/>
    <w:rsid w:val="00DA3744"/>
    <w:rsid w:val="00DC227A"/>
    <w:rsid w:val="00DD5629"/>
    <w:rsid w:val="00DF41CC"/>
    <w:rsid w:val="00DF7D4E"/>
    <w:rsid w:val="00E113CF"/>
    <w:rsid w:val="00E11944"/>
    <w:rsid w:val="00E17B5A"/>
    <w:rsid w:val="00E22D83"/>
    <w:rsid w:val="00E46277"/>
    <w:rsid w:val="00E642BE"/>
    <w:rsid w:val="00E65719"/>
    <w:rsid w:val="00E66F34"/>
    <w:rsid w:val="00E7437A"/>
    <w:rsid w:val="00E76DCD"/>
    <w:rsid w:val="00E86E61"/>
    <w:rsid w:val="00E96B2B"/>
    <w:rsid w:val="00EA03EA"/>
    <w:rsid w:val="00EB0515"/>
    <w:rsid w:val="00EC3C7B"/>
    <w:rsid w:val="00EC78ED"/>
    <w:rsid w:val="00ED238E"/>
    <w:rsid w:val="00EF5BD5"/>
    <w:rsid w:val="00F00F8D"/>
    <w:rsid w:val="00F01BDF"/>
    <w:rsid w:val="00F2279B"/>
    <w:rsid w:val="00F30FC1"/>
    <w:rsid w:val="00F4504A"/>
    <w:rsid w:val="00F524F6"/>
    <w:rsid w:val="00F54409"/>
    <w:rsid w:val="00F720C3"/>
    <w:rsid w:val="00F741EB"/>
    <w:rsid w:val="00F91795"/>
    <w:rsid w:val="00F94FBB"/>
    <w:rsid w:val="00FB2AD8"/>
    <w:rsid w:val="00FC2770"/>
    <w:rsid w:val="00FC7CA1"/>
    <w:rsid w:val="00FD7A0E"/>
    <w:rsid w:val="00FE12F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D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73D5"/>
  </w:style>
  <w:style w:type="paragraph" w:styleId="Header">
    <w:name w:val="header"/>
    <w:basedOn w:val="Normal"/>
    <w:rsid w:val="007C73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73D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7C73D5"/>
    <w:pPr>
      <w:tabs>
        <w:tab w:val="left" w:pos="-1152"/>
        <w:tab w:val="left" w:pos="-720"/>
        <w:tab w:val="left" w:pos="0"/>
        <w:tab w:val="left" w:pos="360"/>
      </w:tabs>
      <w:ind w:left="360"/>
      <w:jc w:val="both"/>
    </w:pPr>
  </w:style>
  <w:style w:type="paragraph" w:styleId="BodyTextIndent2">
    <w:name w:val="Body Text Indent 2"/>
    <w:basedOn w:val="Normal"/>
    <w:link w:val="BodyTextIndent2Char"/>
    <w:rsid w:val="007C73D5"/>
    <w:pPr>
      <w:tabs>
        <w:tab w:val="left" w:pos="-1152"/>
        <w:tab w:val="left" w:pos="-720"/>
        <w:tab w:val="left" w:pos="0"/>
        <w:tab w:val="left" w:pos="360"/>
      </w:tabs>
      <w:ind w:left="360"/>
      <w:jc w:val="both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5E68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9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7B5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C23A98"/>
    <w:rPr>
      <w:snapToGrid w:val="0"/>
      <w:color w:val="FF0000"/>
      <w:sz w:val="24"/>
    </w:rPr>
  </w:style>
  <w:style w:type="character" w:styleId="CommentReference">
    <w:name w:val="annotation reference"/>
    <w:basedOn w:val="DefaultParagraphFont"/>
    <w:rsid w:val="004641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1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41A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6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1AF"/>
    <w:rPr>
      <w:b/>
      <w:bCs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BD5C4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D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C73D5"/>
  </w:style>
  <w:style w:type="paragraph" w:styleId="Header">
    <w:name w:val="header"/>
    <w:basedOn w:val="Normal"/>
    <w:rsid w:val="007C73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73D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7C73D5"/>
    <w:pPr>
      <w:tabs>
        <w:tab w:val="left" w:pos="-1152"/>
        <w:tab w:val="left" w:pos="-720"/>
        <w:tab w:val="left" w:pos="0"/>
        <w:tab w:val="left" w:pos="360"/>
      </w:tabs>
      <w:ind w:left="360"/>
      <w:jc w:val="both"/>
    </w:pPr>
  </w:style>
  <w:style w:type="paragraph" w:styleId="BodyTextIndent2">
    <w:name w:val="Body Text Indent 2"/>
    <w:basedOn w:val="Normal"/>
    <w:link w:val="BodyTextIndent2Char"/>
    <w:rsid w:val="007C73D5"/>
    <w:pPr>
      <w:tabs>
        <w:tab w:val="left" w:pos="-1152"/>
        <w:tab w:val="left" w:pos="-720"/>
        <w:tab w:val="left" w:pos="0"/>
        <w:tab w:val="left" w:pos="360"/>
      </w:tabs>
      <w:ind w:left="360"/>
      <w:jc w:val="both"/>
    </w:pPr>
    <w:rPr>
      <w:color w:val="FF0000"/>
    </w:rPr>
  </w:style>
  <w:style w:type="paragraph" w:styleId="ListParagraph">
    <w:name w:val="List Paragraph"/>
    <w:basedOn w:val="Normal"/>
    <w:uiPriority w:val="34"/>
    <w:qFormat/>
    <w:rsid w:val="005E68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9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77B5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C23A98"/>
    <w:rPr>
      <w:snapToGrid w:val="0"/>
      <w:color w:val="FF0000"/>
      <w:sz w:val="24"/>
    </w:rPr>
  </w:style>
  <w:style w:type="character" w:styleId="CommentReference">
    <w:name w:val="annotation reference"/>
    <w:basedOn w:val="DefaultParagraphFont"/>
    <w:rsid w:val="004641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1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41A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6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1AF"/>
    <w:rPr>
      <w:b/>
      <w:bCs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BD5C4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9CF2-419C-4A20-ACB2-E19813FD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HCFA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HCFA Software Control</dc:creator>
  <cp:lastModifiedBy>Mitch Bryman</cp:lastModifiedBy>
  <cp:revision>10</cp:revision>
  <cp:lastPrinted>2013-09-27T12:13:00Z</cp:lastPrinted>
  <dcterms:created xsi:type="dcterms:W3CDTF">2014-01-07T16:57:00Z</dcterms:created>
  <dcterms:modified xsi:type="dcterms:W3CDTF">2014-01-07T17:11:00Z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-1877089096</vt:i4>
  </property>
  <property fmtid="{D5CDD505-2E9C-101B-9397-08002B2CF9AE}" pid="3" name="_NewReviewCycle">
    <vt:lpwstr/>
  </property>
  <property fmtid="{D5CDD505-2E9C-101B-9397-08002B2CF9AE}" pid="4" name="_EmailSubject">
    <vt:lpwstr>Complete PRA Package for CMS-2088 (OMB 0938-0037) Outpatient Rehabilitation Provider Cost Report utilized by Community Mental Health Centers</vt:lpwstr>
  </property>
  <property fmtid="{D5CDD505-2E9C-101B-9397-08002B2CF9AE}" pid="5" name="_AuthorEmail">
    <vt:lpwstr>Jill.Keplinger@cms.hhs.gov</vt:lpwstr>
  </property>
  <property fmtid="{D5CDD505-2E9C-101B-9397-08002B2CF9AE}" pid="6" name="_AuthorEmailDisplayName">
    <vt:lpwstr>Keplinger, Jill C. (CMS/CMM)</vt:lpwstr>
  </property>
  <property fmtid="{D5CDD505-2E9C-101B-9397-08002B2CF9AE}" pid="7" name="_PreviousAdHocReviewCycleID">
    <vt:i4>106525611</vt:i4>
  </property>
  <property fmtid="{D5CDD505-2E9C-101B-9397-08002B2CF9AE}" pid="8" name="_ReviewingToolsShownOnce">
    <vt:lpwstr/>
  </property>
</Properties>
</file>