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Pr="0050488D" w:rsidRDefault="00CB3D44" w:rsidP="004305F9">
      <w:pPr>
        <w:jc w:val="center"/>
        <w:outlineLvl w:val="0"/>
        <w:rPr>
          <w:rFonts w:ascii="Times New Roman" w:hAnsi="Times New Roman"/>
          <w:b/>
          <w:i/>
          <w:sz w:val="44"/>
          <w:szCs w:val="44"/>
        </w:rPr>
      </w:pPr>
      <w:r w:rsidRPr="0050488D">
        <w:rPr>
          <w:rFonts w:ascii="Times New Roman" w:hAnsi="Times New Roman"/>
          <w:b/>
          <w:i/>
          <w:sz w:val="44"/>
          <w:szCs w:val="44"/>
        </w:rPr>
        <w:t>NIH Clinical Center</w:t>
      </w: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Pr="0050488D" w:rsidRDefault="00CB3D44" w:rsidP="004305F9">
      <w:pPr>
        <w:jc w:val="center"/>
        <w:outlineLvl w:val="0"/>
        <w:rPr>
          <w:rFonts w:ascii="Times New Roman" w:hAnsi="Times New Roman"/>
          <w:b/>
          <w:i/>
          <w:sz w:val="40"/>
          <w:szCs w:val="40"/>
        </w:rPr>
      </w:pPr>
      <w:r w:rsidRPr="0050488D">
        <w:rPr>
          <w:rFonts w:ascii="Times New Roman" w:hAnsi="Times New Roman"/>
          <w:b/>
          <w:i/>
          <w:sz w:val="40"/>
          <w:szCs w:val="40"/>
        </w:rPr>
        <w:t xml:space="preserve">Request for Generic Clearance </w:t>
      </w:r>
    </w:p>
    <w:p w:rsidR="00CB3D44" w:rsidRPr="0050488D" w:rsidRDefault="00CB3D44" w:rsidP="004305F9">
      <w:pPr>
        <w:jc w:val="center"/>
        <w:outlineLvl w:val="0"/>
        <w:rPr>
          <w:rFonts w:ascii="Times New Roman" w:hAnsi="Times New Roman"/>
          <w:b/>
          <w:i/>
          <w:sz w:val="40"/>
          <w:szCs w:val="40"/>
        </w:rPr>
      </w:pPr>
      <w:r w:rsidRPr="0050488D">
        <w:rPr>
          <w:rFonts w:ascii="Times New Roman" w:hAnsi="Times New Roman"/>
          <w:b/>
          <w:i/>
          <w:sz w:val="40"/>
          <w:szCs w:val="40"/>
        </w:rPr>
        <w:t xml:space="preserve">for Surveys of Customers and Other Partners </w:t>
      </w:r>
    </w:p>
    <w:p w:rsidR="00CB3D44" w:rsidRPr="0050488D" w:rsidRDefault="00CB3D44" w:rsidP="004305F9">
      <w:pPr>
        <w:jc w:val="center"/>
        <w:outlineLvl w:val="0"/>
        <w:rPr>
          <w:rFonts w:ascii="Times New Roman" w:hAnsi="Times New Roman"/>
          <w:b/>
          <w:i/>
          <w:sz w:val="40"/>
          <w:szCs w:val="40"/>
        </w:rPr>
      </w:pPr>
      <w:r w:rsidRPr="0050488D">
        <w:rPr>
          <w:rFonts w:ascii="Times New Roman" w:hAnsi="Times New Roman"/>
          <w:b/>
          <w:i/>
          <w:sz w:val="40"/>
          <w:szCs w:val="40"/>
        </w:rPr>
        <w:t>from the Office of Management and Budget</w:t>
      </w: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163C00" w:rsidP="004305F9">
      <w:pPr>
        <w:jc w:val="center"/>
        <w:rPr>
          <w:rFonts w:ascii="Times New Roman" w:hAnsi="Times New Roman"/>
          <w:b/>
          <w:i/>
          <w:sz w:val="40"/>
          <w:szCs w:val="40"/>
        </w:rPr>
      </w:pPr>
      <w:r>
        <w:rPr>
          <w:rFonts w:ascii="Times New Roman" w:hAnsi="Times New Roman"/>
          <w:b/>
          <w:i/>
          <w:sz w:val="40"/>
          <w:szCs w:val="40"/>
        </w:rPr>
        <w:t>January 1</w:t>
      </w:r>
      <w:r w:rsidR="00DB0561">
        <w:rPr>
          <w:rFonts w:ascii="Times New Roman" w:hAnsi="Times New Roman"/>
          <w:b/>
          <w:i/>
          <w:sz w:val="40"/>
          <w:szCs w:val="40"/>
        </w:rPr>
        <w:t>4</w:t>
      </w:r>
      <w:r>
        <w:rPr>
          <w:rFonts w:ascii="Times New Roman" w:hAnsi="Times New Roman"/>
          <w:b/>
          <w:i/>
          <w:sz w:val="40"/>
          <w:szCs w:val="40"/>
        </w:rPr>
        <w:t>, 2014</w:t>
      </w: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Default="00CB3D44" w:rsidP="004305F9">
      <w:pPr>
        <w:jc w:val="center"/>
        <w:rPr>
          <w:rFonts w:ascii="Times New Roman" w:hAnsi="Times New Roman"/>
          <w:b/>
          <w:i/>
          <w:sz w:val="40"/>
          <w:szCs w:val="40"/>
        </w:rPr>
      </w:pPr>
    </w:p>
    <w:p w:rsidR="00CB3D44" w:rsidRPr="0050488D" w:rsidRDefault="00CB3D44" w:rsidP="004305F9">
      <w:pPr>
        <w:jc w:val="center"/>
        <w:outlineLvl w:val="0"/>
        <w:rPr>
          <w:rFonts w:ascii="Times New Roman" w:hAnsi="Times New Roman"/>
          <w:b/>
          <w:i/>
          <w:sz w:val="28"/>
          <w:szCs w:val="28"/>
        </w:rPr>
      </w:pPr>
      <w:r w:rsidRPr="0050488D">
        <w:rPr>
          <w:rFonts w:ascii="Times New Roman" w:hAnsi="Times New Roman"/>
          <w:b/>
          <w:i/>
          <w:sz w:val="28"/>
          <w:szCs w:val="28"/>
        </w:rPr>
        <w:t>Contact:</w:t>
      </w:r>
    </w:p>
    <w:p w:rsidR="00CB3D44" w:rsidRPr="0050488D" w:rsidRDefault="00CB3D44" w:rsidP="004305F9">
      <w:pPr>
        <w:jc w:val="center"/>
        <w:rPr>
          <w:rFonts w:ascii="Times New Roman" w:hAnsi="Times New Roman"/>
          <w:b/>
          <w:i/>
          <w:sz w:val="28"/>
          <w:szCs w:val="28"/>
        </w:rPr>
      </w:pPr>
      <w:r w:rsidRPr="0050488D">
        <w:rPr>
          <w:rFonts w:ascii="Times New Roman" w:hAnsi="Times New Roman"/>
          <w:b/>
          <w:i/>
          <w:sz w:val="28"/>
          <w:szCs w:val="28"/>
        </w:rPr>
        <w:t>Laura Lee</w:t>
      </w:r>
      <w:r>
        <w:rPr>
          <w:rFonts w:ascii="Times New Roman" w:hAnsi="Times New Roman"/>
          <w:b/>
          <w:i/>
          <w:sz w:val="28"/>
          <w:szCs w:val="28"/>
        </w:rPr>
        <w:t>, RN, BSN</w:t>
      </w:r>
    </w:p>
    <w:p w:rsidR="00CB3D44" w:rsidRDefault="00CB3D44" w:rsidP="004305F9">
      <w:pPr>
        <w:jc w:val="center"/>
        <w:rPr>
          <w:rFonts w:ascii="Times New Roman" w:hAnsi="Times New Roman"/>
          <w:b/>
          <w:i/>
          <w:sz w:val="28"/>
          <w:szCs w:val="28"/>
        </w:rPr>
      </w:pPr>
      <w:r w:rsidRPr="0050488D">
        <w:rPr>
          <w:rFonts w:ascii="Times New Roman" w:hAnsi="Times New Roman"/>
          <w:b/>
          <w:i/>
          <w:sz w:val="28"/>
          <w:szCs w:val="28"/>
        </w:rPr>
        <w:t>Office of the Deputy Director for Clinical Care</w:t>
      </w:r>
    </w:p>
    <w:p w:rsidR="00CB3D44" w:rsidRDefault="00CB3D44" w:rsidP="004305F9">
      <w:pPr>
        <w:jc w:val="center"/>
        <w:rPr>
          <w:rFonts w:ascii="Times New Roman" w:hAnsi="Times New Roman"/>
          <w:b/>
          <w:i/>
          <w:sz w:val="28"/>
          <w:szCs w:val="28"/>
        </w:rPr>
      </w:pPr>
      <w:r>
        <w:rPr>
          <w:rFonts w:ascii="Times New Roman" w:hAnsi="Times New Roman"/>
          <w:b/>
          <w:i/>
          <w:sz w:val="28"/>
          <w:szCs w:val="28"/>
        </w:rPr>
        <w:t>10 Center Drive</w:t>
      </w:r>
    </w:p>
    <w:p w:rsidR="00CB3D44" w:rsidRDefault="00CB3D44" w:rsidP="004305F9">
      <w:pPr>
        <w:jc w:val="center"/>
        <w:rPr>
          <w:rFonts w:ascii="Times New Roman" w:hAnsi="Times New Roman"/>
          <w:b/>
          <w:i/>
          <w:sz w:val="28"/>
          <w:szCs w:val="28"/>
        </w:rPr>
      </w:pPr>
      <w:r>
        <w:rPr>
          <w:rFonts w:ascii="Times New Roman" w:hAnsi="Times New Roman"/>
          <w:b/>
          <w:i/>
          <w:sz w:val="28"/>
          <w:szCs w:val="28"/>
        </w:rPr>
        <w:t>Building 10, Room 6-2551</w:t>
      </w:r>
    </w:p>
    <w:p w:rsidR="00CB3D44" w:rsidRPr="0050488D" w:rsidRDefault="00CB3D44" w:rsidP="004305F9">
      <w:pPr>
        <w:jc w:val="center"/>
        <w:rPr>
          <w:rFonts w:ascii="Times New Roman" w:hAnsi="Times New Roman"/>
          <w:b/>
          <w:i/>
          <w:sz w:val="28"/>
          <w:szCs w:val="28"/>
        </w:rPr>
      </w:pPr>
      <w:r>
        <w:rPr>
          <w:rFonts w:ascii="Times New Roman" w:hAnsi="Times New Roman"/>
          <w:b/>
          <w:i/>
          <w:sz w:val="28"/>
          <w:szCs w:val="28"/>
        </w:rPr>
        <w:t>Bethesda, MD  20892</w:t>
      </w:r>
    </w:p>
    <w:p w:rsidR="008615E9" w:rsidRDefault="00CB3D44" w:rsidP="004305F9">
      <w:pPr>
        <w:jc w:val="center"/>
        <w:rPr>
          <w:rFonts w:ascii="Times New Roman" w:hAnsi="Times New Roman"/>
          <w:b/>
          <w:i/>
        </w:rPr>
      </w:pPr>
      <w:r w:rsidRPr="0050488D">
        <w:rPr>
          <w:rFonts w:ascii="Times New Roman" w:hAnsi="Times New Roman"/>
          <w:b/>
          <w:i/>
          <w:sz w:val="28"/>
          <w:szCs w:val="28"/>
        </w:rPr>
        <w:t>301-496-8025</w:t>
      </w:r>
      <w:r>
        <w:rPr>
          <w:rFonts w:ascii="Times New Roman" w:hAnsi="Times New Roman"/>
          <w:b/>
          <w:i/>
        </w:rPr>
        <w:br w:type="page"/>
      </w:r>
    </w:p>
    <w:p w:rsidR="008615E9" w:rsidRPr="00C37610" w:rsidRDefault="008615E9" w:rsidP="008615E9">
      <w:pPr>
        <w:tabs>
          <w:tab w:val="left" w:pos="3510"/>
        </w:tabs>
        <w:jc w:val="center"/>
      </w:pPr>
      <w:r w:rsidRPr="00C37610">
        <w:lastRenderedPageBreak/>
        <w:t xml:space="preserve">Table of </w:t>
      </w:r>
      <w:r w:rsidR="0048071D">
        <w:t>C</w:t>
      </w:r>
      <w:r w:rsidRPr="00C37610">
        <w:t>ontents</w:t>
      </w:r>
    </w:p>
    <w:p w:rsidR="008615E9" w:rsidRPr="005B07A6" w:rsidRDefault="000643A3" w:rsidP="008615E9">
      <w:pPr>
        <w:pStyle w:val="TOC1"/>
      </w:pPr>
      <w:r w:rsidRPr="005B07A6">
        <w:fldChar w:fldCharType="begin"/>
      </w:r>
      <w:r w:rsidR="008615E9" w:rsidRPr="005B07A6">
        <w:instrText xml:space="preserve"> TOC \o "1-2" \u </w:instrText>
      </w:r>
      <w:r w:rsidRPr="005B07A6">
        <w:fldChar w:fldCharType="separate"/>
      </w:r>
      <w:r w:rsidR="008615E9" w:rsidRPr="005B07A6">
        <w:t>A.</w:t>
      </w:r>
      <w:r w:rsidR="008615E9">
        <w:tab/>
      </w:r>
      <w:r w:rsidR="008615E9" w:rsidRPr="005B07A6">
        <w:t>JUSTIFICATION</w:t>
      </w:r>
      <w:r w:rsidR="008615E9" w:rsidRPr="005B07A6">
        <w:tab/>
      </w:r>
      <w:r w:rsidR="0048071D">
        <w:t>6</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sidR="0048071D">
        <w:rPr>
          <w:noProof/>
          <w:sz w:val="24"/>
          <w:szCs w:val="24"/>
        </w:rPr>
        <w:t>6</w:t>
      </w:r>
    </w:p>
    <w:p w:rsidR="008615E9" w:rsidRPr="005B07A6" w:rsidRDefault="008615E9" w:rsidP="008615E9">
      <w:pPr>
        <w:pStyle w:val="TOC2"/>
        <w:tabs>
          <w:tab w:val="right" w:leader="dot" w:pos="9000"/>
        </w:tabs>
        <w:ind w:right="-360"/>
        <w:rPr>
          <w:noProof/>
          <w:sz w:val="24"/>
          <w:szCs w:val="24"/>
        </w:rPr>
      </w:pPr>
      <w:r w:rsidRPr="005B07A6">
        <w:rPr>
          <w:noProof/>
          <w:sz w:val="24"/>
          <w:szCs w:val="24"/>
        </w:rPr>
        <w:t>A.2.</w:t>
      </w:r>
      <w:r w:rsidRPr="005B07A6">
        <w:rPr>
          <w:noProof/>
          <w:sz w:val="24"/>
          <w:szCs w:val="24"/>
        </w:rPr>
        <w:tab/>
        <w:t>Purpose and Use of the Information C</w:t>
      </w:r>
      <w:r w:rsidR="00AE0B1B">
        <w:rPr>
          <w:noProof/>
          <w:sz w:val="24"/>
          <w:szCs w:val="24"/>
        </w:rPr>
        <w:t>ollection</w:t>
      </w:r>
      <w:r w:rsidRPr="005B07A6">
        <w:rPr>
          <w:noProof/>
          <w:sz w:val="24"/>
          <w:szCs w:val="24"/>
        </w:rPr>
        <w:tab/>
      </w:r>
      <w:r w:rsidR="0048071D">
        <w:rPr>
          <w:noProof/>
          <w:sz w:val="24"/>
          <w:szCs w:val="24"/>
        </w:rPr>
        <w:t>6</w:t>
      </w:r>
    </w:p>
    <w:p w:rsidR="008615E9" w:rsidRPr="005B07A6" w:rsidRDefault="008615E9" w:rsidP="008615E9">
      <w:pPr>
        <w:pStyle w:val="TOC2"/>
        <w:tabs>
          <w:tab w:val="right" w:leader="dot" w:pos="9000"/>
        </w:tabs>
        <w:ind w:right="-360"/>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sidR="0048071D">
        <w:rPr>
          <w:noProof/>
          <w:sz w:val="24"/>
          <w:szCs w:val="24"/>
        </w:rPr>
        <w:t>7</w:t>
      </w:r>
    </w:p>
    <w:p w:rsidR="008615E9" w:rsidRPr="005B07A6" w:rsidRDefault="008615E9" w:rsidP="008615E9">
      <w:pPr>
        <w:pStyle w:val="TOC2"/>
        <w:tabs>
          <w:tab w:val="right" w:leader="dot" w:pos="9000"/>
        </w:tabs>
        <w:ind w:right="-360"/>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sidR="0048071D">
        <w:rPr>
          <w:noProof/>
          <w:sz w:val="24"/>
          <w:szCs w:val="24"/>
        </w:rPr>
        <w:t>7</w:t>
      </w:r>
    </w:p>
    <w:p w:rsidR="008615E9" w:rsidRPr="005B07A6" w:rsidRDefault="008615E9" w:rsidP="008615E9">
      <w:pPr>
        <w:pStyle w:val="TOC2"/>
        <w:tabs>
          <w:tab w:val="right" w:leader="dot" w:pos="9000"/>
        </w:tabs>
        <w:ind w:right="-360"/>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sidR="0048071D">
        <w:rPr>
          <w:noProof/>
          <w:sz w:val="24"/>
          <w:szCs w:val="24"/>
        </w:rPr>
        <w:t>7</w:t>
      </w:r>
    </w:p>
    <w:p w:rsidR="008615E9" w:rsidRPr="005B07A6" w:rsidRDefault="008615E9" w:rsidP="008615E9">
      <w:pPr>
        <w:pStyle w:val="TOC2"/>
        <w:tabs>
          <w:tab w:val="right" w:leader="dot" w:pos="9000"/>
        </w:tabs>
        <w:ind w:right="-360"/>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sidR="0048071D">
        <w:rPr>
          <w:noProof/>
          <w:sz w:val="24"/>
          <w:szCs w:val="24"/>
        </w:rPr>
        <w:t>7</w:t>
      </w:r>
    </w:p>
    <w:p w:rsidR="008615E9" w:rsidRPr="005B07A6" w:rsidRDefault="008615E9" w:rsidP="008615E9">
      <w:pPr>
        <w:pStyle w:val="TOC2"/>
        <w:tabs>
          <w:tab w:val="right" w:leader="dot" w:pos="9000"/>
        </w:tabs>
        <w:ind w:right="-360"/>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sidR="0048071D">
        <w:rPr>
          <w:noProof/>
          <w:sz w:val="24"/>
          <w:szCs w:val="24"/>
        </w:rPr>
        <w:t>8</w:t>
      </w:r>
    </w:p>
    <w:p w:rsidR="008615E9" w:rsidRPr="005B07A6" w:rsidRDefault="008615E9" w:rsidP="008615E9">
      <w:pPr>
        <w:pStyle w:val="TOC2"/>
        <w:tabs>
          <w:tab w:val="right" w:leader="dot" w:pos="9000"/>
        </w:tabs>
        <w:ind w:right="-360"/>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r w:rsidR="0048071D">
        <w:rPr>
          <w:noProof/>
          <w:sz w:val="24"/>
          <w:szCs w:val="24"/>
        </w:rPr>
        <w:t>8</w:t>
      </w:r>
    </w:p>
    <w:p w:rsidR="008615E9" w:rsidRPr="005B07A6" w:rsidRDefault="008615E9" w:rsidP="008615E9">
      <w:pPr>
        <w:pStyle w:val="TOC2"/>
        <w:tabs>
          <w:tab w:val="right" w:leader="dot" w:pos="9000"/>
        </w:tabs>
        <w:ind w:right="-360"/>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sidR="0048071D">
        <w:rPr>
          <w:noProof/>
          <w:sz w:val="24"/>
          <w:szCs w:val="24"/>
        </w:rPr>
        <w:t>8</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sidR="0048071D">
        <w:rPr>
          <w:noProof/>
          <w:sz w:val="24"/>
          <w:szCs w:val="24"/>
        </w:rPr>
        <w:t>8</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sidR="0048071D">
        <w:rPr>
          <w:noProof/>
          <w:sz w:val="24"/>
          <w:szCs w:val="24"/>
        </w:rPr>
        <w:t>8</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sidR="0048071D">
        <w:rPr>
          <w:noProof/>
          <w:sz w:val="24"/>
          <w:szCs w:val="24"/>
        </w:rPr>
        <w:t>8</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8615E9" w:rsidRPr="005B07A6" w:rsidRDefault="008615E9" w:rsidP="008615E9">
      <w:pPr>
        <w:pStyle w:val="TOC2"/>
        <w:tabs>
          <w:tab w:val="right" w:leader="dot" w:pos="9000"/>
        </w:tabs>
        <w:ind w:right="-360"/>
        <w:rPr>
          <w:noProof/>
          <w:sz w:val="24"/>
          <w:szCs w:val="24"/>
        </w:rPr>
      </w:pPr>
      <w:r w:rsidRPr="005B07A6">
        <w:rPr>
          <w:noProof/>
          <w:sz w:val="24"/>
          <w:szCs w:val="24"/>
        </w:rPr>
        <w:tab/>
        <w:t xml:space="preserve"> keepers</w:t>
      </w:r>
      <w:r w:rsidRPr="005B07A6">
        <w:rPr>
          <w:noProof/>
          <w:sz w:val="24"/>
          <w:szCs w:val="24"/>
        </w:rPr>
        <w:tab/>
      </w:r>
      <w:r>
        <w:rPr>
          <w:noProof/>
          <w:sz w:val="24"/>
          <w:szCs w:val="24"/>
        </w:rPr>
        <w:t>1</w:t>
      </w:r>
      <w:r w:rsidR="0048071D">
        <w:rPr>
          <w:noProof/>
          <w:sz w:val="24"/>
          <w:szCs w:val="24"/>
        </w:rPr>
        <w:t>0</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Pr>
          <w:noProof/>
          <w:sz w:val="24"/>
          <w:szCs w:val="24"/>
        </w:rPr>
        <w:t>1</w:t>
      </w:r>
      <w:r w:rsidR="0048071D">
        <w:rPr>
          <w:noProof/>
          <w:sz w:val="24"/>
          <w:szCs w:val="24"/>
        </w:rPr>
        <w:t>0</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Pr>
          <w:noProof/>
          <w:sz w:val="24"/>
          <w:szCs w:val="24"/>
        </w:rPr>
        <w:t>1</w:t>
      </w:r>
      <w:r w:rsidR="0048071D">
        <w:rPr>
          <w:noProof/>
          <w:sz w:val="24"/>
          <w:szCs w:val="24"/>
        </w:rPr>
        <w:t>0</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Pr>
          <w:noProof/>
          <w:sz w:val="24"/>
          <w:szCs w:val="24"/>
        </w:rPr>
        <w:t>1</w:t>
      </w:r>
      <w:r w:rsidR="0048071D">
        <w:rPr>
          <w:noProof/>
          <w:sz w:val="24"/>
          <w:szCs w:val="24"/>
        </w:rPr>
        <w:t>1</w:t>
      </w:r>
    </w:p>
    <w:p w:rsidR="008615E9" w:rsidRPr="005B07A6" w:rsidRDefault="008615E9" w:rsidP="008615E9">
      <w:pPr>
        <w:pStyle w:val="TOC2"/>
        <w:tabs>
          <w:tab w:val="right" w:leader="dot" w:pos="9000"/>
        </w:tabs>
        <w:ind w:right="-360"/>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Pr>
          <w:noProof/>
          <w:sz w:val="24"/>
          <w:szCs w:val="24"/>
        </w:rPr>
        <w:t>1</w:t>
      </w:r>
      <w:r w:rsidR="0048071D">
        <w:rPr>
          <w:noProof/>
          <w:sz w:val="24"/>
          <w:szCs w:val="24"/>
        </w:rPr>
        <w:t>1</w:t>
      </w:r>
    </w:p>
    <w:p w:rsidR="008615E9" w:rsidRDefault="008615E9" w:rsidP="008615E9">
      <w:pPr>
        <w:pStyle w:val="TOC2"/>
        <w:tabs>
          <w:tab w:val="right" w:leader="dot" w:pos="9000"/>
        </w:tabs>
        <w:ind w:right="-360"/>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Pr>
          <w:noProof/>
          <w:sz w:val="24"/>
          <w:szCs w:val="24"/>
        </w:rPr>
        <w:t>1</w:t>
      </w:r>
      <w:r w:rsidR="0048071D">
        <w:rPr>
          <w:noProof/>
          <w:sz w:val="24"/>
          <w:szCs w:val="24"/>
        </w:rPr>
        <w:t>1</w:t>
      </w:r>
    </w:p>
    <w:p w:rsidR="008615E9" w:rsidRDefault="000643A3" w:rsidP="008615E9">
      <w:pPr>
        <w:tabs>
          <w:tab w:val="right" w:leader="dot" w:pos="9000"/>
        </w:tabs>
        <w:ind w:right="-360"/>
        <w:rPr>
          <w:rFonts w:ascii="Times New Roman" w:hAnsi="Times New Roman"/>
          <w:b/>
          <w:i/>
        </w:rPr>
      </w:pPr>
      <w:r w:rsidRPr="005B07A6">
        <w:rPr>
          <w:caps/>
          <w:noProof/>
        </w:rPr>
        <w:fldChar w:fldCharType="end"/>
      </w:r>
      <w:r w:rsidR="008615E9">
        <w:rPr>
          <w:rFonts w:ascii="Times New Roman" w:hAnsi="Times New Roman"/>
          <w:b/>
          <w:i/>
        </w:rPr>
        <w:br w:type="page"/>
      </w:r>
    </w:p>
    <w:p w:rsidR="00CB3D44" w:rsidRPr="005C256C" w:rsidRDefault="00CB3D44" w:rsidP="004305F9">
      <w:pPr>
        <w:jc w:val="center"/>
        <w:rPr>
          <w:rFonts w:ascii="Times New Roman" w:hAnsi="Times New Roman"/>
          <w:b/>
          <w:i/>
        </w:rPr>
      </w:pPr>
      <w:r w:rsidRPr="005C256C">
        <w:rPr>
          <w:rFonts w:ascii="Times New Roman" w:hAnsi="Times New Roman"/>
          <w:b/>
          <w:i/>
        </w:rPr>
        <w:lastRenderedPageBreak/>
        <w:t xml:space="preserve">The National Institutes of Health Clinical Center,  </w:t>
      </w:r>
    </w:p>
    <w:p w:rsidR="00CB3D44" w:rsidRPr="005C256C" w:rsidRDefault="00CB3D44" w:rsidP="004305F9">
      <w:pPr>
        <w:ind w:right="-360"/>
        <w:jc w:val="center"/>
        <w:outlineLvl w:val="0"/>
        <w:rPr>
          <w:rFonts w:ascii="Times New Roman" w:hAnsi="Times New Roman"/>
          <w:b/>
          <w:i/>
        </w:rPr>
      </w:pPr>
      <w:r w:rsidRPr="005C256C">
        <w:rPr>
          <w:rFonts w:ascii="Times New Roman" w:hAnsi="Times New Roman"/>
          <w:b/>
          <w:i/>
        </w:rPr>
        <w:t xml:space="preserve">Request for Generic Clearance for Surveys of Customers and Other Partners </w:t>
      </w:r>
    </w:p>
    <w:p w:rsidR="00CB3D44" w:rsidRPr="005C256C" w:rsidRDefault="00CB3D44" w:rsidP="004305F9">
      <w:pPr>
        <w:ind w:right="-360"/>
        <w:jc w:val="center"/>
        <w:rPr>
          <w:rFonts w:ascii="Times New Roman" w:hAnsi="Times New Roman"/>
          <w:b/>
          <w:i/>
        </w:rPr>
      </w:pPr>
      <w:r w:rsidRPr="005C256C">
        <w:rPr>
          <w:rFonts w:ascii="Times New Roman" w:hAnsi="Times New Roman"/>
          <w:b/>
          <w:i/>
        </w:rPr>
        <w:t>from the Office of Management and Budget</w:t>
      </w:r>
    </w:p>
    <w:p w:rsidR="00CB3D44" w:rsidRPr="007D4BDD" w:rsidRDefault="00CB3D44" w:rsidP="004305F9">
      <w:pPr>
        <w:ind w:right="-360"/>
        <w:rPr>
          <w:rFonts w:ascii="Times New Roman" w:hAnsi="Times New Roman"/>
        </w:rPr>
      </w:pPr>
    </w:p>
    <w:p w:rsidR="00CB3D44" w:rsidRPr="007D4BDD" w:rsidRDefault="00CB3D44" w:rsidP="004305F9">
      <w:pPr>
        <w:rPr>
          <w:rFonts w:ascii="Times New Roman" w:hAnsi="Times New Roman"/>
        </w:rPr>
      </w:pPr>
      <w:r w:rsidRPr="007D4BDD">
        <w:rPr>
          <w:rFonts w:ascii="Times New Roman" w:hAnsi="Times New Roman"/>
        </w:rPr>
        <w:t xml:space="preserve">The Clinical Center of the National Institutes of Health (Clinical Center) requests that the Office of Management and Budget (OMB) provide the NIH Clinical Center with a </w:t>
      </w:r>
      <w:r w:rsidR="000052B0">
        <w:rPr>
          <w:rFonts w:ascii="Times New Roman" w:hAnsi="Times New Roman"/>
        </w:rPr>
        <w:t>r</w:t>
      </w:r>
      <w:r w:rsidR="000052B0" w:rsidRPr="000052B0">
        <w:rPr>
          <w:rFonts w:ascii="Times New Roman" w:hAnsi="Times New Roman"/>
        </w:rPr>
        <w:t xml:space="preserve">einstatement </w:t>
      </w:r>
      <w:r w:rsidR="000052B0">
        <w:rPr>
          <w:rFonts w:ascii="Times New Roman" w:hAnsi="Times New Roman"/>
        </w:rPr>
        <w:t>w</w:t>
      </w:r>
      <w:r w:rsidR="000052B0" w:rsidRPr="000052B0">
        <w:rPr>
          <w:rFonts w:ascii="Times New Roman" w:hAnsi="Times New Roman"/>
        </w:rPr>
        <w:t xml:space="preserve">ithout </w:t>
      </w:r>
      <w:r w:rsidR="000052B0">
        <w:rPr>
          <w:rFonts w:ascii="Times New Roman" w:hAnsi="Times New Roman"/>
        </w:rPr>
        <w:t>c</w:t>
      </w:r>
      <w:r w:rsidR="000052B0" w:rsidRPr="000052B0">
        <w:rPr>
          <w:rFonts w:ascii="Times New Roman" w:hAnsi="Times New Roman"/>
        </w:rPr>
        <w:t>hange</w:t>
      </w:r>
      <w:r w:rsidR="00B87346" w:rsidRPr="000052B0">
        <w:rPr>
          <w:rFonts w:ascii="Times New Roman" w:hAnsi="Times New Roman"/>
        </w:rPr>
        <w:t xml:space="preserve"> to our</w:t>
      </w:r>
      <w:r w:rsidRPr="000052B0">
        <w:rPr>
          <w:rFonts w:ascii="Times New Roman" w:hAnsi="Times New Roman"/>
        </w:rPr>
        <w:t xml:space="preserve"> generic clearance for surveys of our customers and other partners for </w:t>
      </w:r>
      <w:r w:rsidR="000052B0">
        <w:rPr>
          <w:rFonts w:ascii="Times New Roman" w:hAnsi="Times New Roman"/>
        </w:rPr>
        <w:t xml:space="preserve">a </w:t>
      </w:r>
      <w:r w:rsidR="00B87346" w:rsidRPr="000052B0">
        <w:rPr>
          <w:rFonts w:ascii="Times New Roman" w:hAnsi="Times New Roman"/>
        </w:rPr>
        <w:t>three</w:t>
      </w:r>
      <w:r w:rsidR="000052B0">
        <w:rPr>
          <w:rFonts w:ascii="Times New Roman" w:hAnsi="Times New Roman"/>
        </w:rPr>
        <w:t>-</w:t>
      </w:r>
      <w:r w:rsidR="00B87346" w:rsidRPr="000052B0">
        <w:rPr>
          <w:rFonts w:ascii="Times New Roman" w:hAnsi="Times New Roman"/>
        </w:rPr>
        <w:t>year</w:t>
      </w:r>
      <w:r w:rsidR="000052B0">
        <w:rPr>
          <w:rFonts w:ascii="Times New Roman" w:hAnsi="Times New Roman"/>
        </w:rPr>
        <w:t xml:space="preserve"> period</w:t>
      </w:r>
      <w:r w:rsidRPr="000052B0">
        <w:rPr>
          <w:rFonts w:ascii="Times New Roman" w:hAnsi="Times New Roman"/>
        </w:rPr>
        <w:t>.</w:t>
      </w:r>
      <w:r w:rsidRPr="007D4BDD">
        <w:rPr>
          <w:rFonts w:ascii="Times New Roman" w:hAnsi="Times New Roman"/>
        </w:rPr>
        <w:t xml:space="preserve">  We have ensured that these survey activities</w:t>
      </w:r>
      <w:r w:rsidR="00615691">
        <w:rPr>
          <w:rFonts w:ascii="Times New Roman" w:hAnsi="Times New Roman"/>
        </w:rPr>
        <w:t>,</w:t>
      </w:r>
      <w:r w:rsidRPr="007D4BDD">
        <w:rPr>
          <w:rFonts w:ascii="Times New Roman" w:hAnsi="Times New Roman"/>
        </w:rPr>
        <w:t xml:space="preserve"> </w:t>
      </w:r>
      <w:r w:rsidR="00615691">
        <w:rPr>
          <w:rFonts w:ascii="Times New Roman" w:hAnsi="Times New Roman"/>
        </w:rPr>
        <w:t>which</w:t>
      </w:r>
      <w:r w:rsidR="00615691" w:rsidRPr="007D4BDD">
        <w:rPr>
          <w:rFonts w:ascii="Times New Roman" w:hAnsi="Times New Roman"/>
        </w:rPr>
        <w:t xml:space="preserve"> </w:t>
      </w:r>
      <w:r w:rsidRPr="007D4BDD">
        <w:rPr>
          <w:rFonts w:ascii="Times New Roman" w:hAnsi="Times New Roman"/>
        </w:rPr>
        <w:t>are designed to gather and measure customers’ perceptions of the quality of the Clinical Center’s services and operations</w:t>
      </w:r>
      <w:r w:rsidR="00615691">
        <w:rPr>
          <w:rFonts w:ascii="Times New Roman" w:hAnsi="Times New Roman"/>
        </w:rPr>
        <w:t>,</w:t>
      </w:r>
      <w:r w:rsidRPr="007D4BDD">
        <w:rPr>
          <w:rFonts w:ascii="Times New Roman" w:hAnsi="Times New Roman"/>
        </w:rPr>
        <w:t xml:space="preserve"> satisfy the requirements and the spirit of Executive Order (EO) 12862.  Clinical Center staff have also reviewed the OMB Manual “Resource Manual for Customer Surveys” and are confident that all our survey activities meet the requirements and follow the guidelines of this manual.  Further, the Clinical Center agrees to adhere to the guidelines set forth in both EO 12862 and in the OMB Manual.  The Clinical Center recognizes that the generic clearance covers only voluntary surveys of our customers and other partners.  Our surveys will be both qualitative and quantitative.  </w:t>
      </w:r>
      <w:r w:rsidR="003C2442">
        <w:rPr>
          <w:rFonts w:ascii="Times New Roman" w:hAnsi="Times New Roman"/>
        </w:rPr>
        <w:t xml:space="preserve">Information collected will be kept private to the extent allowed by law.  </w:t>
      </w:r>
      <w:r w:rsidRPr="007D4BDD">
        <w:rPr>
          <w:rFonts w:ascii="Times New Roman" w:hAnsi="Times New Roman"/>
        </w:rPr>
        <w:t>The generic clearance is limited to collection of information from current, past, and potential customers and partners of the Clinical Center.</w:t>
      </w:r>
    </w:p>
    <w:p w:rsidR="00CB3D44" w:rsidRPr="007D4BDD" w:rsidRDefault="00CB3D44" w:rsidP="004305F9">
      <w:pPr>
        <w:rPr>
          <w:rFonts w:ascii="Times New Roman" w:hAnsi="Times New Roman"/>
        </w:rPr>
      </w:pPr>
    </w:p>
    <w:p w:rsidR="00CB3D44" w:rsidRPr="007D4BDD" w:rsidRDefault="00CB3D44" w:rsidP="004305F9">
      <w:pPr>
        <w:rPr>
          <w:rFonts w:ascii="Times New Roman" w:hAnsi="Times New Roman"/>
        </w:rPr>
      </w:pPr>
      <w:r w:rsidRPr="007D4BDD">
        <w:rPr>
          <w:rFonts w:ascii="Times New Roman" w:hAnsi="Times New Roman"/>
        </w:rPr>
        <w:t xml:space="preserve">The Clinical Center’s vision is that it will serve as </w:t>
      </w:r>
      <w:r w:rsidRPr="007D4BDD">
        <w:rPr>
          <w:rFonts w:ascii="Times New Roman" w:hAnsi="Times New Roman"/>
          <w:color w:val="000000"/>
        </w:rPr>
        <w:t>a premier center for clinical research and</w:t>
      </w:r>
      <w:r w:rsidR="00615691">
        <w:rPr>
          <w:rFonts w:ascii="Times New Roman" w:hAnsi="Times New Roman"/>
          <w:color w:val="000000"/>
        </w:rPr>
        <w:t>,</w:t>
      </w:r>
      <w:r w:rsidRPr="007D4BDD">
        <w:rPr>
          <w:rFonts w:ascii="Times New Roman" w:hAnsi="Times New Roman"/>
          <w:color w:val="000000"/>
        </w:rPr>
        <w:t xml:space="preserve"> as a model of collaborative excellence, the NIH Clinical Center will lead in the design, conduct, training, and impact of clinical research</w:t>
      </w:r>
      <w:r w:rsidRPr="007D4BDD">
        <w:rPr>
          <w:rFonts w:ascii="Times New Roman" w:hAnsi="Times New Roman"/>
        </w:rPr>
        <w:t xml:space="preserve">.  </w:t>
      </w:r>
      <w:r w:rsidR="00615691">
        <w:rPr>
          <w:rFonts w:ascii="Times New Roman" w:hAnsi="Times New Roman"/>
        </w:rPr>
        <w:t>Soliciting i</w:t>
      </w:r>
      <w:r w:rsidR="00615691" w:rsidRPr="007D4BDD">
        <w:rPr>
          <w:rFonts w:ascii="Times New Roman" w:hAnsi="Times New Roman"/>
        </w:rPr>
        <w:t xml:space="preserve">nput </w:t>
      </w:r>
      <w:r w:rsidRPr="007D4BDD">
        <w:rPr>
          <w:rFonts w:ascii="Times New Roman" w:hAnsi="Times New Roman"/>
        </w:rPr>
        <w:t>from our customers and partners is an essential component of our efforts to improve our services and operations continuously.  Results gathered in these surveys have been, and will continue to be, used to help us improve and refine our goals, to refocus the strategies that we use to address these goals, and to identify areas in which key projects may be designed to improve our services and their outcomes.</w:t>
      </w:r>
    </w:p>
    <w:p w:rsidR="00CB3D44" w:rsidRPr="007D4BDD" w:rsidRDefault="00CB3D44" w:rsidP="004305F9">
      <w:pPr>
        <w:rPr>
          <w:rFonts w:ascii="Times New Roman" w:hAnsi="Times New Roman"/>
        </w:rPr>
      </w:pPr>
    </w:p>
    <w:p w:rsidR="00CB3D44" w:rsidRPr="007D4BDD" w:rsidRDefault="00CB3D44" w:rsidP="004305F9">
      <w:pPr>
        <w:rPr>
          <w:rFonts w:ascii="Times New Roman" w:hAnsi="Times New Roman"/>
        </w:rPr>
      </w:pPr>
      <w:r w:rsidRPr="007D4BDD">
        <w:rPr>
          <w:rFonts w:ascii="Times New Roman" w:hAnsi="Times New Roman"/>
        </w:rPr>
        <w:t>In response to the specific requirements of EO 12862:</w:t>
      </w:r>
    </w:p>
    <w:p w:rsidR="00CB3D44" w:rsidRPr="007D4BDD" w:rsidRDefault="00CB3D44" w:rsidP="004305F9">
      <w:pPr>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w:t>
      </w:r>
      <w:r w:rsidRPr="007D4BDD">
        <w:rPr>
          <w:rFonts w:ascii="Times New Roman" w:hAnsi="Times New Roman"/>
        </w:rPr>
        <w:tab/>
        <w:t xml:space="preserve">Clinical Center leadership has identified and continually refined our major customers and other partners.  The </w:t>
      </w:r>
      <w:r w:rsidR="00D770AE" w:rsidRPr="007D4BDD">
        <w:rPr>
          <w:rFonts w:ascii="Times New Roman" w:hAnsi="Times New Roman"/>
        </w:rPr>
        <w:t>20</w:t>
      </w:r>
      <w:r w:rsidR="00D770AE">
        <w:rPr>
          <w:rFonts w:ascii="Times New Roman" w:hAnsi="Times New Roman"/>
        </w:rPr>
        <w:t>13</w:t>
      </w:r>
      <w:r w:rsidR="00D770AE" w:rsidRPr="007D4BDD">
        <w:rPr>
          <w:rFonts w:ascii="Times New Roman" w:hAnsi="Times New Roman"/>
        </w:rPr>
        <w:t xml:space="preserve"> </w:t>
      </w:r>
      <w:r w:rsidRPr="007D4BDD">
        <w:rPr>
          <w:rFonts w:ascii="Times New Roman" w:hAnsi="Times New Roman"/>
        </w:rPr>
        <w:t>Clinical Center strategic plan identifies the following list of “Stakeholders and Customers”:</w:t>
      </w:r>
    </w:p>
    <w:p w:rsidR="00CB3D44" w:rsidRPr="007D4BDD" w:rsidRDefault="00CB3D44" w:rsidP="004305F9">
      <w:pPr>
        <w:ind w:left="1980" w:hanging="540"/>
        <w:rPr>
          <w:rFonts w:ascii="Times New Roman" w:hAnsi="Times New Roman"/>
        </w:rPr>
      </w:pP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Investigators, working both at NIH and extramurally</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Clinical research subjects</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Visitors and families of clinical research subjects</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 xml:space="preserve">Referring physicians </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Former physician trainees/employees</w:t>
      </w:r>
      <w:r w:rsidR="00EA68A5">
        <w:rPr>
          <w:rFonts w:ascii="Times New Roman" w:hAnsi="Times New Roman"/>
        </w:rPr>
        <w:t xml:space="preserve"> </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Guest workers/researchers</w:t>
      </w:r>
    </w:p>
    <w:p w:rsidR="00CB3D44"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Volunteers</w:t>
      </w:r>
    </w:p>
    <w:p w:rsidR="00EA68A5" w:rsidRPr="00EA68A5" w:rsidRDefault="00EA68A5"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r>
      <w:r w:rsidRPr="00EA68A5">
        <w:rPr>
          <w:rFonts w:ascii="Times New Roman" w:hAnsi="Times New Roman"/>
        </w:rPr>
        <w:t>Governance and advisory bodies</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The Department of Health and Human Services</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Congress</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The public</w:t>
      </w:r>
    </w:p>
    <w:p w:rsidR="00CB3D44" w:rsidRPr="007D4BDD" w:rsidRDefault="00CB3D44" w:rsidP="004305F9">
      <w:pPr>
        <w:ind w:left="1980" w:hanging="540"/>
        <w:rPr>
          <w:rFonts w:ascii="Times New Roman" w:hAnsi="Times New Roman"/>
        </w:rPr>
      </w:pPr>
      <w:r w:rsidRPr="007D4BDD">
        <w:rPr>
          <w:rFonts w:ascii="Times New Roman" w:hAnsi="Times New Roman"/>
        </w:rPr>
        <w:lastRenderedPageBreak/>
        <w:t>•</w:t>
      </w:r>
      <w:r w:rsidRPr="007D4BDD">
        <w:rPr>
          <w:rFonts w:ascii="Times New Roman" w:hAnsi="Times New Roman"/>
        </w:rPr>
        <w:tab/>
        <w:t>Regulators, both governmental and industry-based</w:t>
      </w:r>
    </w:p>
    <w:p w:rsidR="00CB3D44" w:rsidRPr="007D4BDD" w:rsidRDefault="00CB3D44" w:rsidP="004305F9">
      <w:pPr>
        <w:ind w:left="1980" w:hanging="540"/>
        <w:rPr>
          <w:rFonts w:ascii="Times New Roman" w:hAnsi="Times New Roman"/>
        </w:rPr>
      </w:pPr>
      <w:r w:rsidRPr="007D4BDD">
        <w:rPr>
          <w:rFonts w:ascii="Times New Roman" w:hAnsi="Times New Roman"/>
        </w:rPr>
        <w:t>•</w:t>
      </w:r>
      <w:r w:rsidRPr="007D4BDD">
        <w:rPr>
          <w:rFonts w:ascii="Times New Roman" w:hAnsi="Times New Roman"/>
        </w:rPr>
        <w:tab/>
        <w:t>Vendors and suppliers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Clinical Center leadership acknowledge</w:t>
      </w:r>
      <w:r w:rsidR="00A349B1">
        <w:rPr>
          <w:rFonts w:ascii="Times New Roman" w:hAnsi="Times New Roman"/>
        </w:rPr>
        <w:t>s</w:t>
      </w:r>
      <w:r w:rsidRPr="007D4BDD">
        <w:rPr>
          <w:rFonts w:ascii="Times New Roman" w:hAnsi="Times New Roman"/>
        </w:rPr>
        <w:t xml:space="preserve"> that, in the broadest sense, all U.S. citizens and taxpayers are our potential customers.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b.</w:t>
      </w:r>
      <w:r w:rsidRPr="007D4BDD">
        <w:rPr>
          <w:rFonts w:ascii="Times New Roman" w:hAnsi="Times New Roman"/>
        </w:rPr>
        <w:tab/>
        <w:t xml:space="preserve">Historically, the Clinical Center obtained customer input informally from our patients and external customers.  Over the past several years, we have had a generic clearance to conduct surveys of our customers and other partners and have used this clearance to improve the care and services provided to our customers. </w:t>
      </w:r>
      <w:r w:rsidRPr="00FB134E">
        <w:rPr>
          <w:rFonts w:ascii="Times New Roman" w:hAnsi="Times New Roman"/>
          <w:b/>
          <w:i/>
          <w:color w:val="FF0000"/>
        </w:rPr>
        <w:t xml:space="preserve"> </w:t>
      </w:r>
      <w:r w:rsidRPr="007D4BDD">
        <w:rPr>
          <w:rFonts w:ascii="Times New Roman" w:hAnsi="Times New Roman"/>
        </w:rPr>
        <w:t xml:space="preserve">Our planned activities for the next several years reflect our emphasis on performance improvement activities, and our </w:t>
      </w:r>
      <w:r w:rsidR="00EA68A5">
        <w:rPr>
          <w:rFonts w:ascii="Times New Roman" w:hAnsi="Times New Roman"/>
        </w:rPr>
        <w:t xml:space="preserve">continued </w:t>
      </w:r>
      <w:r w:rsidRPr="007D4BDD">
        <w:rPr>
          <w:rFonts w:ascii="Times New Roman" w:hAnsi="Times New Roman"/>
        </w:rPr>
        <w:t>reliance on the valuable data generated from these surveys.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c.</w:t>
      </w:r>
      <w:r w:rsidRPr="007D4BDD">
        <w:rPr>
          <w:rFonts w:ascii="Times New Roman" w:hAnsi="Times New Roman"/>
        </w:rPr>
        <w:tab/>
        <w:t xml:space="preserve">By conducting surveys under the auspices of our previous generic clearance, the Clinical Center established baseline levels of performance, made interventions, and was able to assess the impact of these interventions on our customers’ perceptions of quality.  Additional surveys will provide baseline levels of satisfaction for previously unsurveyed customers and will provide additional information about the efficacy of ongoing performance improvement activities at the Clinical Center.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d.</w:t>
      </w:r>
      <w:r w:rsidRPr="007D4BDD">
        <w:rPr>
          <w:rFonts w:ascii="Times New Roman" w:hAnsi="Times New Roman"/>
        </w:rPr>
        <w:tab/>
        <w:t>The Clinical Center has benchmarked the performance of our organization, as well as that of its individual components, against the performance of organizations that are recognized leaders in the field</w:t>
      </w:r>
      <w:r w:rsidR="00EA68A5">
        <w:rPr>
          <w:rFonts w:ascii="Times New Roman" w:hAnsi="Times New Roman"/>
        </w:rPr>
        <w:t>s</w:t>
      </w:r>
      <w:r w:rsidRPr="007D4BDD">
        <w:rPr>
          <w:rFonts w:ascii="Times New Roman" w:hAnsi="Times New Roman"/>
        </w:rPr>
        <w:t xml:space="preserve"> of clinical research</w:t>
      </w:r>
      <w:r w:rsidR="00EA68A5">
        <w:rPr>
          <w:rFonts w:ascii="Times New Roman" w:hAnsi="Times New Roman"/>
        </w:rPr>
        <w:t xml:space="preserve"> and clinical care</w:t>
      </w:r>
      <w:r w:rsidRPr="007D4BDD">
        <w:rPr>
          <w:rFonts w:ascii="Times New Roman" w:hAnsi="Times New Roman"/>
        </w:rPr>
        <w:t xml:space="preserve">.  Customer satisfaction input is an essential component of this benchmarking activity.  </w:t>
      </w:r>
    </w:p>
    <w:p w:rsidR="00CB3D44" w:rsidRPr="007D4BDD" w:rsidRDefault="00CB3D44" w:rsidP="004305F9">
      <w:pPr>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f.</w:t>
      </w:r>
      <w:r w:rsidRPr="007D4BDD">
        <w:rPr>
          <w:rFonts w:ascii="Times New Roman" w:hAnsi="Times New Roman"/>
        </w:rPr>
        <w:tab/>
        <w:t xml:space="preserve">The major mechanisms by which the Clinical Center will request customer input is through surveys and focus groups.  The surveys will be tailored specifically to each class of customer and to that class of customer’s needs.  Surveys will either be collected as written documents, as faxed documents, mailed electronically or collected </w:t>
      </w:r>
      <w:r w:rsidR="00EA68A5">
        <w:rPr>
          <w:rFonts w:ascii="Times New Roman" w:hAnsi="Times New Roman"/>
        </w:rPr>
        <w:t>via</w:t>
      </w:r>
      <w:r w:rsidR="00EA68A5" w:rsidRPr="007D4BDD">
        <w:rPr>
          <w:rFonts w:ascii="Times New Roman" w:hAnsi="Times New Roman"/>
        </w:rPr>
        <w:t xml:space="preserve"> </w:t>
      </w:r>
      <w:r w:rsidR="00EA68A5">
        <w:rPr>
          <w:rFonts w:ascii="Times New Roman" w:hAnsi="Times New Roman"/>
        </w:rPr>
        <w:t xml:space="preserve">the web or </w:t>
      </w:r>
      <w:r w:rsidR="003C2442">
        <w:rPr>
          <w:rFonts w:ascii="Times New Roman" w:hAnsi="Times New Roman"/>
        </w:rPr>
        <w:t xml:space="preserve">by </w:t>
      </w:r>
      <w:r w:rsidRPr="007D4BDD">
        <w:rPr>
          <w:rFonts w:ascii="Times New Roman" w:hAnsi="Times New Roman"/>
        </w:rPr>
        <w:t>telephone from customers.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g.</w:t>
      </w:r>
      <w:r w:rsidRPr="007D4BDD">
        <w:rPr>
          <w:rFonts w:ascii="Times New Roman" w:hAnsi="Times New Roman"/>
        </w:rPr>
        <w:tab/>
        <w:t xml:space="preserve">The field of clinical research has become increasingly complex, challenging, and competitive.  The Clinical Center must meet the demands of shifting patient demographics; advancing medical and molecular technologies; dramatic changes in the provision and financing of health care; increasing emphasis on outpatient, rather than inpatient medicine and clinical research; the markedly changing role of academic medical centers; and governmental streamlining initiatives.  Competition for patients as subjects in clinical research is intense.  Because of the nature of medicine and clinical research, our customer base is both broad and highly diverse.  Our initiatives range from pediatrics to geriatrics and involve patients who have acute as well as chronic illnesses.  In this increasingly competitive environment, obtaining customer satisfaction information is crucial to the successful achievement </w:t>
      </w:r>
      <w:r w:rsidR="00EA68A5" w:rsidRPr="007D4BDD">
        <w:rPr>
          <w:rFonts w:ascii="Times New Roman" w:hAnsi="Times New Roman"/>
        </w:rPr>
        <w:t>o</w:t>
      </w:r>
      <w:r w:rsidR="00EA68A5">
        <w:rPr>
          <w:rFonts w:ascii="Times New Roman" w:hAnsi="Times New Roman"/>
        </w:rPr>
        <w:t>f</w:t>
      </w:r>
      <w:r w:rsidR="00EA68A5" w:rsidRPr="007D4BDD">
        <w:rPr>
          <w:rFonts w:ascii="Times New Roman" w:hAnsi="Times New Roman"/>
        </w:rPr>
        <w:t xml:space="preserve"> </w:t>
      </w:r>
      <w:r w:rsidRPr="007D4BDD">
        <w:rPr>
          <w:rFonts w:ascii="Times New Roman" w:hAnsi="Times New Roman"/>
        </w:rPr>
        <w:lastRenderedPageBreak/>
        <w:t>organizational goals</w:t>
      </w:r>
      <w:r w:rsidR="00EA68A5">
        <w:rPr>
          <w:rFonts w:ascii="Times New Roman" w:hAnsi="Times New Roman"/>
        </w:rPr>
        <w:t>, and to assessing the continued success and utility of ongoing programs as well as new initiatives.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h.</w:t>
      </w:r>
      <w:r w:rsidRPr="007D4BDD">
        <w:rPr>
          <w:rFonts w:ascii="Times New Roman" w:hAnsi="Times New Roman"/>
        </w:rPr>
        <w:tab/>
        <w:t xml:space="preserve">Information gathered from these surveys of Clinical Center customers and other partners has been, and will continue to be presented to, and used directly by, Clinical Center management and Clinical Center oversight groups to enhance the services and operations of our organization.  If the survey process is viewed as encumbering by any of our respondents, Clinical Center management will be made aware of the problem and corrective action will be taken. </w:t>
      </w:r>
    </w:p>
    <w:p w:rsidR="00D72D0B" w:rsidRDefault="00D72D0B" w:rsidP="004305F9">
      <w:pPr>
        <w:rPr>
          <w:rFonts w:ascii="Times New Roman" w:hAnsi="Times New Roman"/>
        </w:rPr>
      </w:pPr>
    </w:p>
    <w:p w:rsidR="00CB3D44" w:rsidRPr="007D4BDD" w:rsidRDefault="00CB3D44" w:rsidP="004305F9">
      <w:pPr>
        <w:rPr>
          <w:rFonts w:ascii="Times New Roman" w:hAnsi="Times New Roman"/>
        </w:rPr>
      </w:pPr>
      <w:r w:rsidRPr="007D4BDD">
        <w:rPr>
          <w:rFonts w:ascii="Times New Roman" w:hAnsi="Times New Roman"/>
        </w:rPr>
        <w:t>In response to the specific requirements of the OMB Manual, “Resource Manual for Customer Surveys”</w:t>
      </w:r>
      <w:r w:rsidR="003C2442">
        <w:rPr>
          <w:rFonts w:ascii="Times New Roman" w:hAnsi="Times New Roman"/>
        </w:rPr>
        <w:t>:</w:t>
      </w:r>
    </w:p>
    <w:p w:rsidR="00CB3D44" w:rsidRPr="007D4BDD" w:rsidRDefault="00CB3D44" w:rsidP="004305F9">
      <w:pPr>
        <w:rPr>
          <w:rFonts w:ascii="Times New Roman" w:hAnsi="Times New Roman"/>
        </w:rPr>
      </w:pPr>
    </w:p>
    <w:p w:rsidR="00CB3D44" w:rsidRPr="007D4BDD" w:rsidRDefault="00CB3D44" w:rsidP="004305F9">
      <w:pPr>
        <w:rPr>
          <w:rFonts w:ascii="Times New Roman" w:hAnsi="Times New Roman"/>
        </w:rPr>
      </w:pPr>
      <w:r w:rsidRPr="007D4BDD">
        <w:rPr>
          <w:rFonts w:ascii="Times New Roman" w:hAnsi="Times New Roman"/>
        </w:rPr>
        <w:t xml:space="preserve">The Manual delineates twelve steps for designing and conducting surveys of customers and other partners.  The Clinical Center agrees to meet each of the steps outlined, to the fullest extent possible.  </w:t>
      </w:r>
    </w:p>
    <w:p w:rsidR="00CB3D44" w:rsidRPr="007D4BDD" w:rsidRDefault="00CB3D44" w:rsidP="004305F9">
      <w:pPr>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w:t>
      </w:r>
      <w:r w:rsidRPr="007D4BDD">
        <w:rPr>
          <w:rFonts w:ascii="Times New Roman" w:hAnsi="Times New Roman"/>
        </w:rPr>
        <w:tab/>
        <w:t xml:space="preserve">The Clinical Center will coordinate all survey activity centrally, using the scientific expertise of NIH experts and external expert consultants </w:t>
      </w:r>
      <w:r w:rsidR="009E7CF7">
        <w:rPr>
          <w:rFonts w:ascii="Times New Roman" w:hAnsi="Times New Roman"/>
        </w:rPr>
        <w:t>such as</w:t>
      </w:r>
      <w:r w:rsidR="009E7CF7" w:rsidRPr="007D4BDD">
        <w:rPr>
          <w:rFonts w:ascii="Times New Roman" w:hAnsi="Times New Roman"/>
        </w:rPr>
        <w:t xml:space="preserve"> </w:t>
      </w:r>
      <w:r w:rsidRPr="007D4BDD">
        <w:rPr>
          <w:rFonts w:ascii="Times New Roman" w:hAnsi="Times New Roman"/>
        </w:rPr>
        <w:t>the National Research Corporation (NRC) in survey design, including sample size determination, survey conduct, and statistical interpretation of the data.</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b.</w:t>
      </w:r>
      <w:r w:rsidRPr="007D4BDD">
        <w:rPr>
          <w:rFonts w:ascii="Times New Roman" w:hAnsi="Times New Roman"/>
        </w:rPr>
        <w:tab/>
        <w:t xml:space="preserve">The Clinical Center will ensure that problems identified in surveys of customers and other partners will be addressed by Clinical Center leadership.  Clinical Center management will integrate the data from these surveys into our continuous improvement strategies.  Results from our prior surveys (conducted under our previous generic clearance) have been used successfully for performance improvement activities in the Clinical Center.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c.</w:t>
      </w:r>
      <w:r w:rsidRPr="007D4BDD">
        <w:rPr>
          <w:rFonts w:ascii="Times New Roman" w:hAnsi="Times New Roman"/>
        </w:rPr>
        <w:tab/>
        <w:t xml:space="preserve">Prior to implementing any survey activity covered by this generic clearance, the </w:t>
      </w:r>
      <w:r w:rsidRPr="00A20FFC">
        <w:rPr>
          <w:rFonts w:ascii="Times New Roman" w:hAnsi="Times New Roman"/>
        </w:rPr>
        <w:t>Clinical Center will provide copies of the survey document</w:t>
      </w:r>
      <w:r w:rsidRPr="007D4BDD">
        <w:rPr>
          <w:rFonts w:ascii="Times New Roman" w:hAnsi="Times New Roman"/>
        </w:rPr>
        <w:t xml:space="preserve">, a description of the activity and an estimate of the burden hours involved to OMB.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d.</w:t>
      </w:r>
      <w:r w:rsidRPr="007D4BDD">
        <w:rPr>
          <w:rFonts w:ascii="Times New Roman" w:hAnsi="Times New Roman"/>
        </w:rPr>
        <w:tab/>
      </w:r>
      <w:r w:rsidRPr="007D4BDD">
        <w:rPr>
          <w:rFonts w:ascii="Times New Roman" w:hAnsi="Times New Roman"/>
          <w:color w:val="000000"/>
        </w:rPr>
        <w:t xml:space="preserve">With respect to review of each proposed survey, NIH has, for over a decade, successfully exercised strong internal control of information collection activities through the OMB chartered “Clinical Exemption Review Committee” and its project clearance staff of two professionals assisted by a coordinator in each of the </w:t>
      </w:r>
      <w:r w:rsidR="000F6FCD">
        <w:rPr>
          <w:rFonts w:ascii="Times New Roman" w:hAnsi="Times New Roman"/>
          <w:color w:val="000000"/>
        </w:rPr>
        <w:t>27</w:t>
      </w:r>
      <w:r w:rsidR="000F6FCD" w:rsidRPr="007D4BDD">
        <w:rPr>
          <w:rFonts w:ascii="Times New Roman" w:hAnsi="Times New Roman"/>
          <w:color w:val="000000"/>
        </w:rPr>
        <w:t xml:space="preserve"> </w:t>
      </w:r>
      <w:r w:rsidRPr="007D4BDD">
        <w:rPr>
          <w:rFonts w:ascii="Times New Roman" w:hAnsi="Times New Roman"/>
          <w:color w:val="000000"/>
        </w:rPr>
        <w:t>NIH components</w:t>
      </w:r>
      <w:r w:rsidRPr="007D4BDD">
        <w:rPr>
          <w:rFonts w:ascii="Times New Roman" w:hAnsi="Times New Roman"/>
        </w:rPr>
        <w:t>.</w:t>
      </w:r>
    </w:p>
    <w:p w:rsidR="00CB3D44" w:rsidRPr="007D4BDD" w:rsidRDefault="00CB3D44" w:rsidP="0048071D">
      <w:pPr>
        <w:rPr>
          <w:rFonts w:ascii="Times New Roman" w:hAnsi="Times New Roman"/>
        </w:rPr>
      </w:pPr>
    </w:p>
    <w:p w:rsidR="00CB3D44" w:rsidRPr="007D4BDD" w:rsidRDefault="00CB3D44" w:rsidP="004305F9">
      <w:pPr>
        <w:jc w:val="center"/>
        <w:outlineLvl w:val="0"/>
        <w:rPr>
          <w:rFonts w:ascii="Times New Roman" w:hAnsi="Times New Roman"/>
          <w:caps/>
        </w:rPr>
      </w:pPr>
      <w:r w:rsidRPr="007D4BDD">
        <w:rPr>
          <w:rFonts w:ascii="Times New Roman" w:hAnsi="Times New Roman"/>
        </w:rPr>
        <w:br w:type="page"/>
      </w:r>
      <w:r w:rsidRPr="007D4BDD">
        <w:rPr>
          <w:rFonts w:ascii="Times New Roman" w:hAnsi="Times New Roman"/>
          <w:caps/>
        </w:rPr>
        <w:lastRenderedPageBreak/>
        <w:t>Supporting Statement for Request for Generic Clearance</w:t>
      </w:r>
    </w:p>
    <w:p w:rsidR="00CB3D44" w:rsidRPr="007D4BDD" w:rsidRDefault="00CB3D44" w:rsidP="004305F9">
      <w:pPr>
        <w:rPr>
          <w:rFonts w:ascii="Times New Roman" w:hAnsi="Times New Roman"/>
          <w:smallCaps/>
        </w:rPr>
      </w:pPr>
    </w:p>
    <w:p w:rsidR="00CB3D44" w:rsidRPr="007D4BDD" w:rsidRDefault="00CB3D44" w:rsidP="004305F9">
      <w:pPr>
        <w:ind w:left="450" w:hanging="450"/>
        <w:rPr>
          <w:rFonts w:ascii="Times New Roman" w:hAnsi="Times New Roman"/>
          <w:smallCaps/>
        </w:rPr>
      </w:pPr>
      <w:r w:rsidRPr="007D4BDD">
        <w:rPr>
          <w:rFonts w:ascii="Times New Roman" w:hAnsi="Times New Roman"/>
          <w:smallCaps/>
        </w:rPr>
        <w:t>A.</w:t>
      </w:r>
      <w:r w:rsidRPr="007D4BDD">
        <w:rPr>
          <w:rFonts w:ascii="Times New Roman" w:hAnsi="Times New Roman"/>
        </w:rPr>
        <w:tab/>
      </w:r>
      <w:r w:rsidRPr="007D4BDD">
        <w:rPr>
          <w:rFonts w:ascii="Times New Roman" w:hAnsi="Times New Roman"/>
          <w:smallCaps/>
        </w:rPr>
        <w:t>Justification</w:t>
      </w:r>
    </w:p>
    <w:p w:rsidR="00CB3D44" w:rsidRPr="007D4BDD" w:rsidRDefault="00CB3D44" w:rsidP="004305F9">
      <w:pPr>
        <w:ind w:left="450" w:hanging="450"/>
        <w:rPr>
          <w:rFonts w:ascii="Times New Roman" w:hAnsi="Times New Roman"/>
          <w:smallCaps/>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1.</w:t>
      </w:r>
      <w:r w:rsidRPr="007D4BDD">
        <w:rPr>
          <w:rFonts w:ascii="Times New Roman" w:hAnsi="Times New Roman"/>
        </w:rPr>
        <w:tab/>
        <w:t>Circumstances Making the Collection of Information Necessary</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 xml:space="preserve">In accordance with Executive Order 12862, the Clinical Center of the National Institutes of Health (Clinical Center) will be conducting frequent surveys of its customers and other partners.  These surveys (which will be both quantitative and qualitative) have been, and will be, designed to assess the quality of services we provide to our major internal and external customers.  These customers include, but are not limited to, the following groups of individuals:  Clinical Center patients, visitors and family members of Clinical Center patients, families of clinical research subjects, referring physicians, former physician trainees/employees, guest workers/researchers, volunteers, referring physicians, vendors, and regulators.  </w:t>
      </w:r>
      <w:r w:rsidRPr="00FE2507">
        <w:rPr>
          <w:rFonts w:ascii="Times New Roman" w:hAnsi="Times New Roman"/>
        </w:rPr>
        <w:t>As is required by OMB, these surveys will be limited to projects that solicit voluntary opinions and will not collect information that is required or regulated.</w:t>
      </w:r>
      <w:r w:rsidRPr="007D4BDD">
        <w:rPr>
          <w:rFonts w:ascii="Times New Roman" w:hAnsi="Times New Roman"/>
        </w:rPr>
        <w:t xml:space="preserve">  </w:t>
      </w:r>
      <w:r w:rsidR="00FE2507">
        <w:rPr>
          <w:rFonts w:ascii="Times New Roman" w:hAnsi="Times New Roman"/>
        </w:rPr>
        <w:t xml:space="preserve">We have used our current generic </w:t>
      </w:r>
      <w:r w:rsidRPr="007D4BDD">
        <w:rPr>
          <w:rFonts w:ascii="Times New Roman" w:hAnsi="Times New Roman"/>
        </w:rPr>
        <w:t>clearance to conduct similar surveys</w:t>
      </w:r>
      <w:r w:rsidR="00FE2507">
        <w:rPr>
          <w:rFonts w:ascii="Times New Roman" w:hAnsi="Times New Roman"/>
        </w:rPr>
        <w:t xml:space="preserve"> and</w:t>
      </w:r>
      <w:r w:rsidRPr="007D4BDD">
        <w:rPr>
          <w:rFonts w:ascii="Times New Roman" w:hAnsi="Times New Roman"/>
        </w:rPr>
        <w:t xml:space="preserve"> the data generated from these surveys </w:t>
      </w:r>
      <w:r w:rsidR="00FE2507">
        <w:rPr>
          <w:rFonts w:ascii="Times New Roman" w:hAnsi="Times New Roman"/>
        </w:rPr>
        <w:t>has served as</w:t>
      </w:r>
      <w:r w:rsidRPr="007D4BDD">
        <w:rPr>
          <w:rFonts w:ascii="Times New Roman" w:hAnsi="Times New Roman"/>
        </w:rPr>
        <w:t xml:space="preserve"> a fulcrum for our organizational performance improvement activities. </w:t>
      </w:r>
      <w:r w:rsidR="000F6FCD">
        <w:rPr>
          <w:rFonts w:ascii="Times New Roman" w:hAnsi="Times New Roman"/>
        </w:rPr>
        <w:t xml:space="preserve"> </w:t>
      </w:r>
      <w:r w:rsidRPr="000052B0">
        <w:rPr>
          <w:rFonts w:ascii="Times New Roman" w:hAnsi="Times New Roman"/>
        </w:rPr>
        <w:t xml:space="preserve">We now request </w:t>
      </w:r>
      <w:r w:rsidR="00FE2507" w:rsidRPr="000052B0">
        <w:rPr>
          <w:rFonts w:ascii="Times New Roman" w:hAnsi="Times New Roman"/>
        </w:rPr>
        <w:t xml:space="preserve">a </w:t>
      </w:r>
      <w:r w:rsidR="000052B0" w:rsidRPr="000052B0">
        <w:rPr>
          <w:rFonts w:ascii="Times New Roman" w:hAnsi="Times New Roman"/>
        </w:rPr>
        <w:t>reinstatement without change</w:t>
      </w:r>
      <w:r w:rsidR="00FE2507" w:rsidRPr="000052B0">
        <w:rPr>
          <w:rFonts w:ascii="Times New Roman" w:hAnsi="Times New Roman"/>
        </w:rPr>
        <w:t xml:space="preserve"> of this generic clearance</w:t>
      </w:r>
      <w:r w:rsidRPr="000052B0">
        <w:rPr>
          <w:rFonts w:ascii="Times New Roman" w:hAnsi="Times New Roman"/>
        </w:rPr>
        <w:t xml:space="preserve"> to conduct satisfaction surveys of our customers and other partners for the next three years.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2.</w:t>
      </w:r>
      <w:r w:rsidRPr="007D4BDD">
        <w:rPr>
          <w:rFonts w:ascii="Times New Roman" w:hAnsi="Times New Roman"/>
        </w:rPr>
        <w:tab/>
        <w:t>Purpose and Use of the Information</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r>
      <w:r w:rsidRPr="00097939">
        <w:rPr>
          <w:rFonts w:ascii="Times New Roman" w:hAnsi="Times New Roman"/>
        </w:rPr>
        <w:t xml:space="preserve">Obtaining information about the satisfaction of customers and other partners is consonant both with EO 12862 as well as good business practices.  If the Clinical Center did not collect this information, we would simply not have the knowledge necessary to provide the best services possible to our customers and other partners.  </w:t>
      </w:r>
      <w:r w:rsidR="00C10B19" w:rsidRPr="00097939">
        <w:rPr>
          <w:rFonts w:ascii="Times New Roman" w:hAnsi="Times New Roman"/>
        </w:rPr>
        <w:t xml:space="preserve">The initial survey was conducted to provide a baseline and to identify any clear opportunities for improvement.  </w:t>
      </w:r>
      <w:r w:rsidRPr="00097939">
        <w:rPr>
          <w:rFonts w:ascii="Times New Roman" w:hAnsi="Times New Roman"/>
        </w:rPr>
        <w:t xml:space="preserve">The information collected in </w:t>
      </w:r>
      <w:r w:rsidR="00C10B19">
        <w:rPr>
          <w:rFonts w:ascii="Times New Roman" w:hAnsi="Times New Roman"/>
        </w:rPr>
        <w:t>subsequent</w:t>
      </w:r>
      <w:r w:rsidRPr="00097939">
        <w:rPr>
          <w:rFonts w:ascii="Times New Roman" w:hAnsi="Times New Roman"/>
        </w:rPr>
        <w:t xml:space="preserve"> surveys has been used by Clinical Center leadership to identify opportunities for organizational improvement.  </w:t>
      </w:r>
      <w:r w:rsidR="00C10B19">
        <w:rPr>
          <w:rFonts w:ascii="Times New Roman" w:hAnsi="Times New Roman"/>
        </w:rPr>
        <w:t>Most recently, t</w:t>
      </w:r>
      <w:r w:rsidRPr="00097939">
        <w:rPr>
          <w:rFonts w:ascii="Times New Roman" w:hAnsi="Times New Roman"/>
        </w:rPr>
        <w:t xml:space="preserve">hese data have been used successfully to drive performance improvement activities in the Clinical Center in several </w:t>
      </w:r>
      <w:r w:rsidR="000F6FCD" w:rsidRPr="00097939">
        <w:rPr>
          <w:rFonts w:ascii="Times New Roman" w:hAnsi="Times New Roman"/>
        </w:rPr>
        <w:t xml:space="preserve">important </w:t>
      </w:r>
      <w:r w:rsidRPr="00097939">
        <w:rPr>
          <w:rFonts w:ascii="Times New Roman" w:hAnsi="Times New Roman"/>
        </w:rPr>
        <w:t>areas of patient care and customer service</w:t>
      </w:r>
      <w:r w:rsidR="00097939" w:rsidRPr="00097939">
        <w:rPr>
          <w:rFonts w:ascii="Times New Roman" w:hAnsi="Times New Roman"/>
        </w:rPr>
        <w:t xml:space="preserve">, </w:t>
      </w:r>
      <w:r w:rsidR="00097939">
        <w:rPr>
          <w:rFonts w:ascii="Times New Roman" w:hAnsi="Times New Roman"/>
        </w:rPr>
        <w:t xml:space="preserve">e.g., </w:t>
      </w:r>
      <w:r w:rsidR="00097939" w:rsidRPr="00097939">
        <w:rPr>
          <w:rFonts w:ascii="Times New Roman" w:hAnsi="Times New Roman"/>
        </w:rPr>
        <w:t>improv</w:t>
      </w:r>
      <w:r w:rsidR="00097939">
        <w:rPr>
          <w:rFonts w:ascii="Times New Roman" w:hAnsi="Times New Roman"/>
        </w:rPr>
        <w:t>ements to</w:t>
      </w:r>
      <w:r w:rsidR="00097939" w:rsidRPr="00097939">
        <w:rPr>
          <w:rFonts w:ascii="Times New Roman" w:hAnsi="Times New Roman"/>
        </w:rPr>
        <w:t xml:space="preserve"> patients’ television viewing experience</w:t>
      </w:r>
      <w:r w:rsidR="00097939">
        <w:rPr>
          <w:rFonts w:ascii="Times New Roman" w:hAnsi="Times New Roman"/>
        </w:rPr>
        <w:t>s</w:t>
      </w:r>
      <w:r w:rsidR="00097939" w:rsidRPr="00097939">
        <w:rPr>
          <w:rFonts w:ascii="Times New Roman" w:hAnsi="Times New Roman"/>
        </w:rPr>
        <w:t xml:space="preserve">, internet access, and access to their personal health records, as well </w:t>
      </w:r>
      <w:r w:rsidR="00097939">
        <w:rPr>
          <w:rFonts w:ascii="Times New Roman" w:hAnsi="Times New Roman"/>
        </w:rPr>
        <w:t>serving as a</w:t>
      </w:r>
      <w:r w:rsidR="00097939" w:rsidRPr="00097939">
        <w:rPr>
          <w:rFonts w:ascii="Times New Roman" w:hAnsi="Times New Roman"/>
        </w:rPr>
        <w:t xml:space="preserve"> performance evaluation standard for nursing staff</w:t>
      </w:r>
      <w:r w:rsidRPr="00097939">
        <w:rPr>
          <w:rFonts w:ascii="Times New Roman" w:hAnsi="Times New Roman"/>
        </w:rPr>
        <w:t>.  These surveys have been, and will continue to be used 1) to assess the quality of care and services provided to the various Clinical Center customers and other partners</w:t>
      </w:r>
      <w:r w:rsidR="002F542E" w:rsidRPr="00097939">
        <w:rPr>
          <w:rFonts w:ascii="Times New Roman" w:hAnsi="Times New Roman"/>
        </w:rPr>
        <w:t xml:space="preserve">; </w:t>
      </w:r>
      <w:r w:rsidRPr="00097939">
        <w:rPr>
          <w:rFonts w:ascii="Times New Roman" w:hAnsi="Times New Roman"/>
        </w:rPr>
        <w:t xml:space="preserve">2) to assist with the design of modifications of these services, based on customer input; 3) to develop new services, based on customer need; and 4) to obtain customer feedback about the efficacy of implemented service modifications.  </w:t>
      </w:r>
      <w:r w:rsidR="002F542E" w:rsidRPr="00097939">
        <w:rPr>
          <w:rFonts w:ascii="Times New Roman" w:hAnsi="Times New Roman"/>
        </w:rPr>
        <w:t xml:space="preserve">Additionally, past </w:t>
      </w:r>
      <w:r w:rsidRPr="00097939">
        <w:rPr>
          <w:rFonts w:ascii="Times New Roman" w:hAnsi="Times New Roman"/>
        </w:rPr>
        <w:t>surveys have led to clear to quality improvement activities that have both enhanced and streamlined Clinical Center operations</w:t>
      </w:r>
      <w:r w:rsidR="002F542E" w:rsidRPr="00097939">
        <w:rPr>
          <w:rFonts w:ascii="Times New Roman" w:hAnsi="Times New Roman"/>
        </w:rPr>
        <w:t xml:space="preserve">.  </w:t>
      </w:r>
      <w:r w:rsidRPr="00097939">
        <w:rPr>
          <w:rFonts w:ascii="Times New Roman" w:hAnsi="Times New Roman"/>
        </w:rPr>
        <w:t xml:space="preserve">The </w:t>
      </w:r>
      <w:r w:rsidRPr="00097939">
        <w:rPr>
          <w:rFonts w:ascii="Times New Roman" w:hAnsi="Times New Roman"/>
        </w:rPr>
        <w:lastRenderedPageBreak/>
        <w:t xml:space="preserve">Clinical Center will submit specific survey instruments </w:t>
      </w:r>
      <w:r w:rsidR="00FE2507" w:rsidRPr="00097939">
        <w:rPr>
          <w:rFonts w:ascii="Times New Roman" w:hAnsi="Times New Roman"/>
        </w:rPr>
        <w:t xml:space="preserve">to OMB for approval </w:t>
      </w:r>
      <w:r w:rsidRPr="00097939">
        <w:rPr>
          <w:rFonts w:ascii="Times New Roman" w:hAnsi="Times New Roman"/>
        </w:rPr>
        <w:t>as they become available.</w:t>
      </w:r>
      <w:r w:rsidRPr="007D4BDD">
        <w:rPr>
          <w:rFonts w:ascii="Times New Roman" w:hAnsi="Times New Roman"/>
        </w:rPr>
        <w:t xml:space="preserve">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Pr>
          <w:rFonts w:ascii="Times New Roman" w:hAnsi="Times New Roman"/>
        </w:rPr>
        <w:t xml:space="preserve">  </w:t>
      </w:r>
      <w:r w:rsidRPr="007D4BDD">
        <w:rPr>
          <w:rFonts w:ascii="Times New Roman" w:hAnsi="Times New Roman"/>
        </w:rPr>
        <w:t>3.</w:t>
      </w:r>
      <w:r w:rsidRPr="007D4BDD">
        <w:rPr>
          <w:rFonts w:ascii="Times New Roman" w:hAnsi="Times New Roman"/>
        </w:rPr>
        <w:tab/>
        <w:t>Use of Information Technology and Burden Reduction</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r>
      <w:r w:rsidRPr="00EC11A7">
        <w:rPr>
          <w:rFonts w:ascii="Times New Roman" w:hAnsi="Times New Roman"/>
        </w:rPr>
        <w:t xml:space="preserve">Surveys will be conducted using several methodologies, including email, telephone, </w:t>
      </w:r>
      <w:r w:rsidR="00C51900" w:rsidRPr="00EC11A7">
        <w:rPr>
          <w:rFonts w:ascii="Times New Roman" w:hAnsi="Times New Roman"/>
        </w:rPr>
        <w:t xml:space="preserve">web, </w:t>
      </w:r>
      <w:r w:rsidRPr="00EC11A7">
        <w:rPr>
          <w:rFonts w:ascii="Times New Roman" w:hAnsi="Times New Roman"/>
        </w:rPr>
        <w:t xml:space="preserve">direct mail and by conducting focus groups when more detailed information is necessary to design an intervention.  The </w:t>
      </w:r>
      <w:r w:rsidRPr="00EC11A7">
        <w:rPr>
          <w:rFonts w:ascii="Times New Roman" w:hAnsi="Times New Roman"/>
          <w:color w:val="000000"/>
        </w:rPr>
        <w:t xml:space="preserve">size and scope of the remaining surveys is such as not to warrant investment in computer-assisted telephone interviewing (CATI).  </w:t>
      </w:r>
      <w:r w:rsidRPr="00EC11A7">
        <w:rPr>
          <w:rFonts w:ascii="Times New Roman" w:hAnsi="Times New Roman"/>
        </w:rPr>
        <w:t xml:space="preserve">The Clinical Center will work with behavioral intramural and extramural scientists and experts in information </w:t>
      </w:r>
      <w:r w:rsidR="00A0421A" w:rsidRPr="00EC11A7">
        <w:rPr>
          <w:rFonts w:ascii="Times New Roman" w:hAnsi="Times New Roman"/>
        </w:rPr>
        <w:t>systems to</w:t>
      </w:r>
      <w:r w:rsidRPr="00EC11A7">
        <w:rPr>
          <w:rFonts w:ascii="Times New Roman" w:hAnsi="Times New Roman"/>
        </w:rPr>
        <w:t xml:space="preserve"> make the surveys the highest quality possible and to assure that these surveys are as non-intrusive as is possible.</w:t>
      </w:r>
      <w:r w:rsidRPr="007D4BDD">
        <w:rPr>
          <w:rFonts w:ascii="Times New Roman" w:hAnsi="Times New Roman"/>
        </w:rPr>
        <w:t xml:space="preserve"> </w:t>
      </w:r>
      <w:r w:rsidR="00EC11A7">
        <w:rPr>
          <w:rFonts w:ascii="Times New Roman" w:hAnsi="Times New Roman"/>
        </w:rPr>
        <w:t>The most recent Privacy Impact Assessment of Clinical Center survey results was conducted August 31, 2012.</w:t>
      </w:r>
      <w:r w:rsidRPr="007D4BDD">
        <w:rPr>
          <w:rFonts w:ascii="Times New Roman" w:hAnsi="Times New Roman"/>
        </w:rPr>
        <w:t xml:space="preserve">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4.</w:t>
      </w:r>
      <w:r w:rsidRPr="007D4BDD">
        <w:rPr>
          <w:rFonts w:ascii="Times New Roman" w:hAnsi="Times New Roman"/>
        </w:rPr>
        <w:tab/>
        <w:t>Efforts to Identify Duplication and Use of Similar Information</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The National Institutes of Health has an internal review process for surveys that will be used by the Clinical Center to assess the quality of each survey prior to its use.  The Clinical Center administration provided direct oversight for any and all surveys conducted under the prior generic clearance and will continue to do so under this one, to avoid duplication of effort and information collected.</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5.</w:t>
      </w:r>
      <w:r w:rsidRPr="007D4BDD">
        <w:rPr>
          <w:rFonts w:ascii="Times New Roman" w:hAnsi="Times New Roman"/>
        </w:rPr>
        <w:tab/>
        <w:t>Impact on Small Businesses or Other Small Entities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 xml:space="preserve">Small businesses and other small entities may be involved with these surveys; however, the Clinical Center will minimize the burden on these individuals and organizations by seeking satisfaction information on a strictly voluntary basis, and by streamlining these surveys to collect only the minimum amount of information needed to assess the customer’s satisfaction with the quality of the services which the Clinical Center provides.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6.</w:t>
      </w:r>
      <w:r w:rsidRPr="007D4BDD">
        <w:rPr>
          <w:rFonts w:ascii="Times New Roman" w:hAnsi="Times New Roman"/>
        </w:rPr>
        <w:tab/>
        <w:t>Consequences of Collecting the Information Less Frequently</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 xml:space="preserve">To make an adequate evaluation of the service the Clinical Center provides and to design service improvements in a timely manner, the Clinical Center needs to survey the satisfaction of each of its major customer groups at least every other year.  To do so less frequently would provide the Clinical Center with inadequate information needed to provide the best services possible to our customers and other partners.  Through these surveys, the Clinical Center will evaluate customers’ evaluations of the quality and appropriateness of its care and services.  In addition, these surveys will assess customers’ expectations, desires, and preferences concerning the services that the Clinical Center provides.  These data will provide the foundation for new or modified </w:t>
      </w:r>
      <w:r w:rsidRPr="007D4BDD">
        <w:rPr>
          <w:rFonts w:ascii="Times New Roman" w:hAnsi="Times New Roman"/>
        </w:rPr>
        <w:lastRenderedPageBreak/>
        <w:t xml:space="preserve">services that can be tailored to meet customer needs and expectations.  The net effect of the conduct of these surveys should be improved services provided by the Clinical Center.  We are aware of no technical or legal obstacles to reducing this burden. </w:t>
      </w:r>
    </w:p>
    <w:p w:rsidR="00CB3D44" w:rsidRPr="007D4BDD" w:rsidRDefault="00CB3D44" w:rsidP="004305F9">
      <w:pPr>
        <w:ind w:left="1080" w:hanging="540"/>
        <w:rPr>
          <w:rFonts w:ascii="Times New Roman" w:hAnsi="Times New Roman"/>
        </w:rPr>
      </w:pPr>
      <w:r w:rsidRPr="007D4BDD">
        <w:rPr>
          <w:rFonts w:ascii="Times New Roman" w:hAnsi="Times New Roman"/>
        </w:rPr>
        <w:t xml:space="preserve"> </w:t>
      </w: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7.</w:t>
      </w:r>
      <w:r w:rsidRPr="007D4BDD">
        <w:rPr>
          <w:rFonts w:ascii="Times New Roman" w:hAnsi="Times New Roman"/>
        </w:rPr>
        <w:tab/>
        <w:t>Special Circumstances Relating to the Guidelines of 5 CFR 1320.5</w:t>
      </w:r>
    </w:p>
    <w:p w:rsidR="00CB3D44" w:rsidRPr="007D4BDD" w:rsidRDefault="00CB3D44" w:rsidP="004305F9">
      <w:pPr>
        <w:ind w:left="1080" w:hanging="540"/>
        <w:rPr>
          <w:rFonts w:ascii="Times New Roman" w:hAnsi="Times New Roman"/>
        </w:rPr>
      </w:pPr>
      <w:bookmarkStart w:id="0" w:name="OLE_LINK1"/>
      <w:bookmarkStart w:id="1" w:name="OLE_LINK2"/>
    </w:p>
    <w:bookmarkEnd w:id="0"/>
    <w:bookmarkEnd w:id="1"/>
    <w:p w:rsidR="00CB3D44" w:rsidRPr="007D4BDD" w:rsidRDefault="00CB3D44" w:rsidP="004305F9">
      <w:pPr>
        <w:ind w:left="1080" w:hanging="540"/>
        <w:rPr>
          <w:rFonts w:ascii="Times New Roman" w:hAnsi="Times New Roman"/>
        </w:rPr>
      </w:pPr>
      <w:r w:rsidRPr="007D4BDD">
        <w:rPr>
          <w:rFonts w:ascii="Times New Roman" w:hAnsi="Times New Roman"/>
        </w:rPr>
        <w:tab/>
        <w:t>No special circumstances are involved with these surveys.  The surveys will be conducted in accordance with the guidelines in 5 CFR 1320.5.</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8.</w:t>
      </w:r>
      <w:r w:rsidRPr="007D4BDD">
        <w:rPr>
          <w:rFonts w:ascii="Times New Roman" w:hAnsi="Times New Roman"/>
        </w:rPr>
        <w:tab/>
        <w:t>Comments in Response to the Federal Register Notice</w:t>
      </w:r>
    </w:p>
    <w:p w:rsidR="00CB3D44" w:rsidRPr="007D4BDD" w:rsidRDefault="00CB3D44" w:rsidP="004305F9">
      <w:pPr>
        <w:ind w:left="1080" w:hanging="540"/>
        <w:rPr>
          <w:rFonts w:ascii="Times New Roman" w:hAnsi="Times New Roman"/>
        </w:rPr>
      </w:pPr>
    </w:p>
    <w:p w:rsidR="00CB3D44" w:rsidRPr="007D4BDD" w:rsidRDefault="00CB3D44" w:rsidP="004305F9">
      <w:pPr>
        <w:ind w:left="1080"/>
        <w:rPr>
          <w:rFonts w:ascii="Times New Roman" w:hAnsi="Times New Roman"/>
        </w:rPr>
      </w:pPr>
      <w:r w:rsidRPr="00EC11A7">
        <w:rPr>
          <w:rFonts w:ascii="Times New Roman" w:hAnsi="Times New Roman"/>
        </w:rPr>
        <w:t xml:space="preserve">The 60-day notice in the Federal Register was published </w:t>
      </w:r>
      <w:r w:rsidR="00C24B80" w:rsidRPr="00EC11A7">
        <w:rPr>
          <w:rFonts w:ascii="Times New Roman" w:hAnsi="Times New Roman"/>
        </w:rPr>
        <w:t>on</w:t>
      </w:r>
      <w:r w:rsidRPr="00EC11A7">
        <w:rPr>
          <w:rFonts w:ascii="Times New Roman" w:hAnsi="Times New Roman"/>
        </w:rPr>
        <w:t xml:space="preserve"> </w:t>
      </w:r>
      <w:r w:rsidR="00A349B1" w:rsidRPr="00EC11A7">
        <w:rPr>
          <w:rFonts w:ascii="Times New Roman" w:hAnsi="Times New Roman"/>
        </w:rPr>
        <w:t>November 6,</w:t>
      </w:r>
      <w:r w:rsidR="00AC39DF" w:rsidRPr="00EC11A7">
        <w:rPr>
          <w:rFonts w:ascii="Times New Roman" w:hAnsi="Times New Roman"/>
        </w:rPr>
        <w:t xml:space="preserve"> </w:t>
      </w:r>
      <w:r w:rsidR="00A349B1" w:rsidRPr="00EC11A7">
        <w:rPr>
          <w:rFonts w:ascii="Times New Roman" w:hAnsi="Times New Roman"/>
        </w:rPr>
        <w:t>201</w:t>
      </w:r>
      <w:r w:rsidR="00AC39DF" w:rsidRPr="00EC11A7">
        <w:rPr>
          <w:rFonts w:ascii="Times New Roman" w:hAnsi="Times New Roman"/>
        </w:rPr>
        <w:t>3</w:t>
      </w:r>
      <w:r w:rsidR="00396C80">
        <w:rPr>
          <w:rFonts w:ascii="Times New Roman" w:hAnsi="Times New Roman"/>
        </w:rPr>
        <w:t>, Volume 78, No. 215, pages 66750-66751</w:t>
      </w:r>
      <w:r w:rsidR="00A349B1" w:rsidRPr="00EC11A7">
        <w:rPr>
          <w:rFonts w:ascii="Times New Roman" w:hAnsi="Times New Roman"/>
        </w:rPr>
        <w:t>.  No comments</w:t>
      </w:r>
      <w:r w:rsidR="00312DB0" w:rsidRPr="00EC11A7">
        <w:rPr>
          <w:rFonts w:ascii="Times New Roman" w:hAnsi="Times New Roman"/>
        </w:rPr>
        <w:t xml:space="preserve"> regarding </w:t>
      </w:r>
      <w:r w:rsidR="00AC4550" w:rsidRPr="00EC11A7">
        <w:rPr>
          <w:rFonts w:ascii="Times New Roman" w:hAnsi="Times New Roman"/>
        </w:rPr>
        <w:t xml:space="preserve">the use of government </w:t>
      </w:r>
      <w:r w:rsidR="00312DB0" w:rsidRPr="00EC11A7">
        <w:rPr>
          <w:rFonts w:ascii="Times New Roman" w:hAnsi="Times New Roman"/>
        </w:rPr>
        <w:t>resources to conduct surveys was received during the 60-day comment period.</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 xml:space="preserve">  9.</w:t>
      </w:r>
      <w:r w:rsidRPr="007D4BDD">
        <w:rPr>
          <w:rFonts w:ascii="Times New Roman" w:hAnsi="Times New Roman"/>
        </w:rPr>
        <w:tab/>
        <w:t xml:space="preserve">Explanation of any Payment or Gift to </w:t>
      </w:r>
      <w:r w:rsidR="00DD4E9E">
        <w:rPr>
          <w:rFonts w:ascii="Times New Roman" w:hAnsi="Times New Roman"/>
        </w:rPr>
        <w:t>R</w:t>
      </w:r>
      <w:r w:rsidRPr="007D4BDD">
        <w:rPr>
          <w:rFonts w:ascii="Times New Roman" w:hAnsi="Times New Roman"/>
        </w:rPr>
        <w:t>espondents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ab/>
        <w:t>No payments or gifts will be provided to respondents.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10.</w:t>
      </w:r>
      <w:r w:rsidRPr="007D4BDD">
        <w:rPr>
          <w:rFonts w:ascii="Times New Roman" w:hAnsi="Times New Roman"/>
        </w:rPr>
        <w:tab/>
        <w:t>Assurance of Confidentiality Provided to Respondents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 xml:space="preserve">The contractor administering the surveys solely manages survey data collection. </w:t>
      </w:r>
      <w:r w:rsidR="00DD4E9E">
        <w:rPr>
          <w:rFonts w:ascii="Times New Roman" w:hAnsi="Times New Roman"/>
        </w:rPr>
        <w:t xml:space="preserve"> </w:t>
      </w:r>
      <w:r w:rsidR="00C65C72">
        <w:rPr>
          <w:rFonts w:ascii="Times New Roman" w:hAnsi="Times New Roman"/>
          <w:color w:val="000000"/>
        </w:rPr>
        <w:t>R</w:t>
      </w:r>
      <w:r w:rsidRPr="007D4BDD">
        <w:rPr>
          <w:rFonts w:ascii="Times New Roman" w:hAnsi="Times New Roman"/>
          <w:color w:val="000000"/>
        </w:rPr>
        <w:t xml:space="preserve">espondents will be informed that their responses are voluntary and that no consequences will be associated with not responding.  </w:t>
      </w:r>
      <w:r w:rsidR="00C51900">
        <w:rPr>
          <w:rFonts w:ascii="Times New Roman" w:hAnsi="Times New Roman"/>
          <w:color w:val="000000"/>
        </w:rPr>
        <w:t xml:space="preserve">Information will be kept private to the extent allowed by law. </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outlineLvl w:val="0"/>
        <w:rPr>
          <w:rFonts w:ascii="Times New Roman" w:hAnsi="Times New Roman"/>
        </w:rPr>
      </w:pPr>
      <w:r w:rsidRPr="007D4BDD">
        <w:rPr>
          <w:rFonts w:ascii="Times New Roman" w:hAnsi="Times New Roman"/>
        </w:rPr>
        <w:t>11.</w:t>
      </w:r>
      <w:r w:rsidRPr="007D4BDD">
        <w:rPr>
          <w:rFonts w:ascii="Times New Roman" w:hAnsi="Times New Roman"/>
        </w:rPr>
        <w:tab/>
        <w:t>Justification for Sensitive Questions</w:t>
      </w:r>
    </w:p>
    <w:p w:rsidR="00CB3D44" w:rsidRPr="007D4BDD" w:rsidRDefault="00CB3D44" w:rsidP="004305F9">
      <w:pPr>
        <w:ind w:left="1080" w:hanging="540"/>
        <w:rPr>
          <w:rFonts w:ascii="Times New Roman" w:hAnsi="Times New Roman"/>
        </w:rPr>
      </w:pPr>
    </w:p>
    <w:p w:rsidR="00CB3D44" w:rsidRPr="007D4BDD" w:rsidRDefault="00CB3D44" w:rsidP="004305F9">
      <w:pPr>
        <w:ind w:left="1080" w:hanging="540"/>
        <w:rPr>
          <w:rFonts w:ascii="Times New Roman" w:hAnsi="Times New Roman"/>
        </w:rPr>
      </w:pPr>
      <w:r w:rsidRPr="007D4BDD">
        <w:rPr>
          <w:rFonts w:ascii="Times New Roman" w:hAnsi="Times New Roman"/>
        </w:rPr>
        <w:tab/>
        <w:t>All data collected in these surveys will relate directly to the services provided or planned by the Clinical Center; no sensitive information will be collected.</w:t>
      </w:r>
    </w:p>
    <w:p w:rsidR="00CB3D44" w:rsidRPr="007D4BDD" w:rsidRDefault="00CB3D44" w:rsidP="004305F9">
      <w:pPr>
        <w:ind w:left="1080" w:hanging="540"/>
        <w:rPr>
          <w:rFonts w:ascii="Times New Roman" w:hAnsi="Times New Roman"/>
        </w:rPr>
      </w:pPr>
    </w:p>
    <w:p w:rsidR="00CB3D44" w:rsidRDefault="00CB3D44" w:rsidP="004305F9">
      <w:pPr>
        <w:ind w:left="1080" w:hanging="540"/>
        <w:outlineLvl w:val="0"/>
        <w:rPr>
          <w:rFonts w:ascii="Times New Roman" w:hAnsi="Times New Roman"/>
        </w:rPr>
      </w:pPr>
      <w:r w:rsidRPr="007D4BDD">
        <w:rPr>
          <w:rFonts w:ascii="Times New Roman" w:hAnsi="Times New Roman"/>
        </w:rPr>
        <w:t>12.</w:t>
      </w:r>
      <w:r w:rsidRPr="007D4BDD">
        <w:rPr>
          <w:rFonts w:ascii="Times New Roman" w:hAnsi="Times New Roman"/>
        </w:rPr>
        <w:tab/>
        <w:t>Estimates of Hour Burden, Including Annualized Hourly Costs</w:t>
      </w:r>
    </w:p>
    <w:p w:rsidR="00E95859" w:rsidRPr="007D4BDD" w:rsidRDefault="00E95859" w:rsidP="004305F9">
      <w:pPr>
        <w:ind w:left="1080" w:hanging="540"/>
        <w:outlineLvl w:val="0"/>
        <w:rPr>
          <w:rFonts w:ascii="Times New Roman" w:hAnsi="Times New Roman"/>
        </w:rPr>
      </w:pPr>
    </w:p>
    <w:p w:rsidR="00E95859" w:rsidRPr="007D4BDD" w:rsidRDefault="00E95859" w:rsidP="004305F9">
      <w:pPr>
        <w:ind w:left="1080"/>
        <w:rPr>
          <w:rFonts w:ascii="Times New Roman" w:hAnsi="Times New Roman"/>
        </w:rPr>
      </w:pPr>
      <w:r w:rsidRPr="004305F9">
        <w:rPr>
          <w:rFonts w:ascii="Times New Roman" w:hAnsi="Times New Roman"/>
        </w:rPr>
        <w:t>Estimated costs to the respondents consists of their time; time is estimated using a rate of $10.00 per hour for patients and the public; $30.00 for vendors, regulators, organizations and $55.00 for health care professionals.  The estimated annual costs to respondents for each year for which the generic clearance is requested is $</w:t>
      </w:r>
      <w:r w:rsidR="004305F9" w:rsidRPr="004305F9">
        <w:rPr>
          <w:rFonts w:ascii="Times New Roman" w:hAnsi="Times New Roman"/>
        </w:rPr>
        <w:t>97</w:t>
      </w:r>
      <w:r w:rsidR="00CF6272">
        <w:rPr>
          <w:rFonts w:ascii="Times New Roman" w:hAnsi="Times New Roman"/>
        </w:rPr>
        <w:t>5</w:t>
      </w:r>
      <w:r w:rsidR="004305F9" w:rsidRPr="004305F9">
        <w:rPr>
          <w:rFonts w:ascii="Times New Roman" w:hAnsi="Times New Roman"/>
        </w:rPr>
        <w:t>85 per year</w:t>
      </w:r>
      <w:r w:rsidRPr="004305F9">
        <w:rPr>
          <w:rFonts w:ascii="Times New Roman" w:hAnsi="Times New Roman"/>
        </w:rPr>
        <w:t>.</w:t>
      </w:r>
      <w:r w:rsidRPr="007D4BDD">
        <w:rPr>
          <w:rFonts w:ascii="Times New Roman" w:hAnsi="Times New Roman"/>
        </w:rPr>
        <w:t xml:space="preserve"> </w:t>
      </w:r>
      <w:r w:rsidR="00D72D0B">
        <w:rPr>
          <w:rFonts w:ascii="Times New Roman" w:hAnsi="Times New Roman"/>
        </w:rPr>
        <w:t xml:space="preserve"> This estimation has dropped</w:t>
      </w:r>
      <w:r>
        <w:rPr>
          <w:rFonts w:ascii="Times New Roman" w:hAnsi="Times New Roman"/>
        </w:rPr>
        <w:t xml:space="preserve"> from the previous clearance period.</w:t>
      </w:r>
    </w:p>
    <w:p w:rsidR="00CB3D44" w:rsidRPr="007D4BDD" w:rsidRDefault="00CB3D44" w:rsidP="004305F9">
      <w:pPr>
        <w:ind w:left="1080"/>
        <w:rPr>
          <w:rFonts w:ascii="Times New Roman" w:hAnsi="Times New Roman"/>
        </w:rPr>
      </w:pPr>
    </w:p>
    <w:p w:rsidR="00A44E13" w:rsidRDefault="00A44E13">
      <w:r>
        <w:br w:type="page"/>
      </w:r>
      <w:bookmarkStart w:id="2" w:name="_GoBack"/>
      <w:bookmarkEnd w:id="2"/>
    </w:p>
    <w:p w:rsidR="00E95859" w:rsidRPr="003D65E1" w:rsidRDefault="00E95859" w:rsidP="004305F9">
      <w:pPr>
        <w:jc w:val="center"/>
        <w:outlineLvl w:val="0"/>
        <w:rPr>
          <w:rFonts w:ascii="Times New Roman" w:hAnsi="Times New Roman"/>
          <w:sz w:val="20"/>
        </w:rPr>
      </w:pPr>
      <w:r w:rsidRPr="003D65E1">
        <w:rPr>
          <w:rFonts w:ascii="Times New Roman" w:hAnsi="Times New Roman"/>
          <w:sz w:val="20"/>
        </w:rPr>
        <w:lastRenderedPageBreak/>
        <w:t>FY 201</w:t>
      </w:r>
      <w:r>
        <w:rPr>
          <w:rFonts w:ascii="Times New Roman" w:hAnsi="Times New Roman"/>
          <w:sz w:val="20"/>
        </w:rPr>
        <w:t>4</w:t>
      </w:r>
    </w:p>
    <w:p w:rsidR="00E95859" w:rsidRPr="003D65E1" w:rsidRDefault="00E95859" w:rsidP="004305F9">
      <w:pPr>
        <w:ind w:left="720"/>
        <w:rPr>
          <w:rFonts w:ascii="Times New Roman" w:hAnsi="Times New Roman"/>
          <w:sz w:val="20"/>
        </w:rPr>
      </w:pPr>
    </w:p>
    <w:tbl>
      <w:tblPr>
        <w:tblW w:w="910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1440"/>
        <w:gridCol w:w="1530"/>
        <w:gridCol w:w="1530"/>
        <w:gridCol w:w="1710"/>
      </w:tblGrid>
      <w:tr w:rsidR="00E95859" w:rsidRPr="00647DFC" w:rsidTr="00E95859">
        <w:trPr>
          <w:jc w:val="right"/>
        </w:trPr>
        <w:tc>
          <w:tcPr>
            <w:tcW w:w="2898"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Type of Respondent</w:t>
            </w:r>
          </w:p>
        </w:tc>
        <w:tc>
          <w:tcPr>
            <w:tcW w:w="144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Number of Respondents</w:t>
            </w:r>
          </w:p>
        </w:tc>
        <w:tc>
          <w:tcPr>
            <w:tcW w:w="1530" w:type="dxa"/>
          </w:tcPr>
          <w:p w:rsidR="00E95859" w:rsidRPr="00647DFC" w:rsidRDefault="00E95859" w:rsidP="004305F9">
            <w:pPr>
              <w:spacing w:before="120" w:after="120"/>
              <w:ind w:left="-18" w:firstLine="18"/>
              <w:jc w:val="center"/>
              <w:rPr>
                <w:rFonts w:ascii="Times New Roman" w:hAnsi="Times New Roman"/>
                <w:sz w:val="20"/>
              </w:rPr>
            </w:pPr>
            <w:r w:rsidRPr="00647DFC">
              <w:rPr>
                <w:rFonts w:ascii="Times New Roman" w:hAnsi="Times New Roman"/>
                <w:sz w:val="20"/>
              </w:rPr>
              <w:t>Number of Responses per Respondent</w:t>
            </w:r>
          </w:p>
        </w:tc>
        <w:tc>
          <w:tcPr>
            <w:tcW w:w="153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Average Time Per Response</w:t>
            </w:r>
            <w:r>
              <w:rPr>
                <w:rFonts w:ascii="Times New Roman" w:hAnsi="Times New Roman"/>
                <w:sz w:val="20"/>
              </w:rPr>
              <w:t xml:space="preserve"> (in hours)</w:t>
            </w:r>
          </w:p>
        </w:tc>
        <w:tc>
          <w:tcPr>
            <w:tcW w:w="171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Total Annual Hour Burden</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Clinical Center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5000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2500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Family Members of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1000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Visitors to the Clinical Center</w:t>
            </w:r>
          </w:p>
        </w:tc>
        <w:tc>
          <w:tcPr>
            <w:tcW w:w="144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500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84</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NIH Intramural Collaborators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3</w:t>
            </w:r>
            <w:r>
              <w:rPr>
                <w:rFonts w:ascii="Times New Roman" w:hAnsi="Times New Roman"/>
                <w:sz w:val="20"/>
              </w:rPr>
              <w:t>34</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Vendors and Collaborating Commercial Enterprises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500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167</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Professionals and  Organizations Referring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667</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Regulators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30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Volunteers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275</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138</w:t>
            </w:r>
          </w:p>
        </w:tc>
      </w:tr>
      <w:tr w:rsidR="00953E93" w:rsidRPr="003D65E1" w:rsidTr="00E95859">
        <w:trPr>
          <w:jc w:val="right"/>
        </w:trPr>
        <w:tc>
          <w:tcPr>
            <w:tcW w:w="2898" w:type="dxa"/>
          </w:tcPr>
          <w:p w:rsidR="00953E93" w:rsidRPr="003D65E1" w:rsidRDefault="00953E93" w:rsidP="004305F9">
            <w:pPr>
              <w:spacing w:before="120" w:after="120"/>
              <w:rPr>
                <w:rFonts w:ascii="Times New Roman" w:hAnsi="Times New Roman"/>
                <w:sz w:val="20"/>
              </w:rPr>
            </w:pPr>
            <w:r>
              <w:rPr>
                <w:rFonts w:ascii="Times New Roman" w:hAnsi="Times New Roman"/>
                <w:sz w:val="20"/>
              </w:rPr>
              <w:t>Totals</w:t>
            </w:r>
          </w:p>
        </w:tc>
        <w:tc>
          <w:tcPr>
            <w:tcW w:w="1440" w:type="dxa"/>
          </w:tcPr>
          <w:p w:rsidR="00953E93" w:rsidRPr="003D65E1" w:rsidRDefault="00A44E13" w:rsidP="004305F9">
            <w:pPr>
              <w:spacing w:before="120" w:after="120"/>
              <w:jc w:val="center"/>
              <w:rPr>
                <w:rFonts w:ascii="Times New Roman" w:hAnsi="Times New Roman"/>
                <w:sz w:val="20"/>
              </w:rPr>
            </w:pPr>
            <w:r>
              <w:rPr>
                <w:rFonts w:ascii="Times New Roman" w:hAnsi="Times New Roman"/>
                <w:sz w:val="20"/>
              </w:rPr>
              <w:t>12305</w:t>
            </w:r>
          </w:p>
        </w:tc>
        <w:tc>
          <w:tcPr>
            <w:tcW w:w="1530" w:type="dxa"/>
          </w:tcPr>
          <w:p w:rsidR="00953E93" w:rsidRPr="003D65E1" w:rsidRDefault="00953E93" w:rsidP="004305F9">
            <w:pPr>
              <w:spacing w:before="120" w:after="120"/>
              <w:ind w:left="-18" w:firstLine="18"/>
              <w:jc w:val="center"/>
              <w:rPr>
                <w:rFonts w:ascii="Times New Roman" w:hAnsi="Times New Roman"/>
                <w:sz w:val="20"/>
              </w:rPr>
            </w:pPr>
          </w:p>
        </w:tc>
        <w:tc>
          <w:tcPr>
            <w:tcW w:w="1530" w:type="dxa"/>
          </w:tcPr>
          <w:p w:rsidR="00953E93" w:rsidRDefault="00953E93" w:rsidP="004305F9">
            <w:pPr>
              <w:spacing w:before="120" w:after="120"/>
              <w:jc w:val="center"/>
              <w:rPr>
                <w:rFonts w:ascii="Times New Roman" w:hAnsi="Times New Roman"/>
                <w:sz w:val="20"/>
              </w:rPr>
            </w:pPr>
          </w:p>
        </w:tc>
        <w:tc>
          <w:tcPr>
            <w:tcW w:w="1710" w:type="dxa"/>
          </w:tcPr>
          <w:p w:rsidR="00953E93" w:rsidRPr="003D65E1" w:rsidRDefault="00A44E13" w:rsidP="004305F9">
            <w:pPr>
              <w:spacing w:before="120" w:after="120"/>
              <w:jc w:val="center"/>
              <w:rPr>
                <w:rFonts w:ascii="Times New Roman" w:hAnsi="Times New Roman"/>
                <w:sz w:val="20"/>
              </w:rPr>
            </w:pPr>
            <w:r>
              <w:rPr>
                <w:rFonts w:ascii="Times New Roman" w:hAnsi="Times New Roman"/>
                <w:sz w:val="20"/>
              </w:rPr>
              <w:t>4900</w:t>
            </w:r>
          </w:p>
        </w:tc>
      </w:tr>
    </w:tbl>
    <w:p w:rsidR="00E95859" w:rsidRPr="003D65E1" w:rsidRDefault="00E95859" w:rsidP="004305F9">
      <w:pPr>
        <w:jc w:val="center"/>
        <w:rPr>
          <w:rFonts w:ascii="Times New Roman" w:hAnsi="Times New Roman"/>
          <w:sz w:val="20"/>
        </w:rPr>
      </w:pPr>
    </w:p>
    <w:p w:rsidR="00E95859" w:rsidRDefault="00E95859" w:rsidP="004305F9">
      <w:pPr>
        <w:jc w:val="center"/>
        <w:outlineLvl w:val="0"/>
        <w:rPr>
          <w:rFonts w:ascii="Times New Roman" w:hAnsi="Times New Roman"/>
          <w:sz w:val="20"/>
        </w:rPr>
      </w:pPr>
      <w:r w:rsidRPr="003D65E1">
        <w:rPr>
          <w:rFonts w:ascii="Times New Roman" w:hAnsi="Times New Roman"/>
          <w:sz w:val="20"/>
        </w:rPr>
        <w:t>FY 201</w:t>
      </w:r>
      <w:r>
        <w:rPr>
          <w:rFonts w:ascii="Times New Roman" w:hAnsi="Times New Roman"/>
          <w:sz w:val="20"/>
        </w:rPr>
        <w:t>5</w:t>
      </w:r>
    </w:p>
    <w:p w:rsidR="00E95859" w:rsidRDefault="00E95859" w:rsidP="004305F9">
      <w:pPr>
        <w:jc w:val="center"/>
        <w:outlineLvl w:val="0"/>
        <w:rPr>
          <w:rFonts w:ascii="Times New Roman" w:hAnsi="Times New Roman"/>
          <w:sz w:val="20"/>
        </w:rPr>
      </w:pPr>
    </w:p>
    <w:tbl>
      <w:tblPr>
        <w:tblW w:w="910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1440"/>
        <w:gridCol w:w="1530"/>
        <w:gridCol w:w="1530"/>
        <w:gridCol w:w="1710"/>
      </w:tblGrid>
      <w:tr w:rsidR="00E95859" w:rsidRPr="00647DFC" w:rsidTr="00E95859">
        <w:trPr>
          <w:jc w:val="right"/>
        </w:trPr>
        <w:tc>
          <w:tcPr>
            <w:tcW w:w="2898"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Type of Respondent</w:t>
            </w:r>
          </w:p>
        </w:tc>
        <w:tc>
          <w:tcPr>
            <w:tcW w:w="144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Number of Respondents</w:t>
            </w:r>
          </w:p>
        </w:tc>
        <w:tc>
          <w:tcPr>
            <w:tcW w:w="1530" w:type="dxa"/>
          </w:tcPr>
          <w:p w:rsidR="00E95859" w:rsidRPr="00647DFC" w:rsidRDefault="00E95859" w:rsidP="004305F9">
            <w:pPr>
              <w:spacing w:before="120" w:after="120"/>
              <w:ind w:left="-18" w:firstLine="18"/>
              <w:jc w:val="center"/>
              <w:rPr>
                <w:rFonts w:ascii="Times New Roman" w:hAnsi="Times New Roman"/>
                <w:sz w:val="20"/>
              </w:rPr>
            </w:pPr>
            <w:r w:rsidRPr="00647DFC">
              <w:rPr>
                <w:rFonts w:ascii="Times New Roman" w:hAnsi="Times New Roman"/>
                <w:sz w:val="20"/>
              </w:rPr>
              <w:t>Number of Responses per Respondent</w:t>
            </w:r>
          </w:p>
        </w:tc>
        <w:tc>
          <w:tcPr>
            <w:tcW w:w="153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Average Time Per Response</w:t>
            </w:r>
            <w:r>
              <w:rPr>
                <w:rFonts w:ascii="Times New Roman" w:hAnsi="Times New Roman"/>
                <w:sz w:val="20"/>
              </w:rPr>
              <w:t xml:space="preserve"> (in hours)</w:t>
            </w:r>
          </w:p>
        </w:tc>
        <w:tc>
          <w:tcPr>
            <w:tcW w:w="171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Total Annual Hour Burden</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Clinical Center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5000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2500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Family Members of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1000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Visitors to the Clinical Center</w:t>
            </w:r>
          </w:p>
        </w:tc>
        <w:tc>
          <w:tcPr>
            <w:tcW w:w="144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500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84</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NIH Intramural Collaborators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3</w:t>
            </w:r>
            <w:r>
              <w:rPr>
                <w:rFonts w:ascii="Times New Roman" w:hAnsi="Times New Roman"/>
                <w:sz w:val="20"/>
              </w:rPr>
              <w:t>34</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Vendors and Collaborating Commercial Enterprises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500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167</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Professionals and  Organizations Referring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667</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Regulators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30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Volunteers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275</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138</w:t>
            </w:r>
          </w:p>
        </w:tc>
      </w:tr>
      <w:tr w:rsidR="00A44E13" w:rsidRPr="003D65E1" w:rsidTr="00E95859">
        <w:trPr>
          <w:jc w:val="right"/>
        </w:trPr>
        <w:tc>
          <w:tcPr>
            <w:tcW w:w="2898" w:type="dxa"/>
          </w:tcPr>
          <w:p w:rsidR="00A44E13" w:rsidRPr="003D65E1" w:rsidRDefault="00A44E13" w:rsidP="008615E9">
            <w:pPr>
              <w:spacing w:before="120" w:after="120"/>
              <w:rPr>
                <w:rFonts w:ascii="Times New Roman" w:hAnsi="Times New Roman"/>
                <w:sz w:val="20"/>
              </w:rPr>
            </w:pPr>
            <w:r>
              <w:rPr>
                <w:rFonts w:ascii="Times New Roman" w:hAnsi="Times New Roman"/>
                <w:sz w:val="20"/>
              </w:rPr>
              <w:t>Totals</w:t>
            </w:r>
          </w:p>
        </w:tc>
        <w:tc>
          <w:tcPr>
            <w:tcW w:w="1440" w:type="dxa"/>
          </w:tcPr>
          <w:p w:rsidR="00A44E13" w:rsidRPr="003D65E1" w:rsidRDefault="00A44E13" w:rsidP="008615E9">
            <w:pPr>
              <w:spacing w:before="120" w:after="120"/>
              <w:jc w:val="center"/>
              <w:rPr>
                <w:rFonts w:ascii="Times New Roman" w:hAnsi="Times New Roman"/>
                <w:sz w:val="20"/>
              </w:rPr>
            </w:pPr>
            <w:r>
              <w:rPr>
                <w:rFonts w:ascii="Times New Roman" w:hAnsi="Times New Roman"/>
                <w:sz w:val="20"/>
              </w:rPr>
              <w:t>12305</w:t>
            </w:r>
          </w:p>
        </w:tc>
        <w:tc>
          <w:tcPr>
            <w:tcW w:w="1530" w:type="dxa"/>
          </w:tcPr>
          <w:p w:rsidR="00A44E13" w:rsidRPr="003D65E1" w:rsidRDefault="00A44E13" w:rsidP="008615E9">
            <w:pPr>
              <w:spacing w:before="120" w:after="120"/>
              <w:ind w:left="-18" w:firstLine="18"/>
              <w:jc w:val="center"/>
              <w:rPr>
                <w:rFonts w:ascii="Times New Roman" w:hAnsi="Times New Roman"/>
                <w:sz w:val="20"/>
              </w:rPr>
            </w:pPr>
          </w:p>
        </w:tc>
        <w:tc>
          <w:tcPr>
            <w:tcW w:w="1530" w:type="dxa"/>
          </w:tcPr>
          <w:p w:rsidR="00A44E13" w:rsidRDefault="00A44E13" w:rsidP="008615E9">
            <w:pPr>
              <w:spacing w:before="120" w:after="120"/>
              <w:jc w:val="center"/>
              <w:rPr>
                <w:rFonts w:ascii="Times New Roman" w:hAnsi="Times New Roman"/>
                <w:sz w:val="20"/>
              </w:rPr>
            </w:pPr>
          </w:p>
        </w:tc>
        <w:tc>
          <w:tcPr>
            <w:tcW w:w="1710" w:type="dxa"/>
          </w:tcPr>
          <w:p w:rsidR="00A44E13" w:rsidRPr="003D65E1" w:rsidRDefault="00A44E13" w:rsidP="008615E9">
            <w:pPr>
              <w:spacing w:before="120" w:after="120"/>
              <w:jc w:val="center"/>
              <w:rPr>
                <w:rFonts w:ascii="Times New Roman" w:hAnsi="Times New Roman"/>
                <w:sz w:val="20"/>
              </w:rPr>
            </w:pPr>
            <w:r>
              <w:rPr>
                <w:rFonts w:ascii="Times New Roman" w:hAnsi="Times New Roman"/>
                <w:sz w:val="20"/>
              </w:rPr>
              <w:t>4900</w:t>
            </w:r>
          </w:p>
        </w:tc>
      </w:tr>
    </w:tbl>
    <w:p w:rsidR="006642E6" w:rsidRDefault="006642E6" w:rsidP="004305F9">
      <w:pPr>
        <w:jc w:val="center"/>
        <w:outlineLvl w:val="0"/>
        <w:rPr>
          <w:rFonts w:ascii="Times New Roman" w:hAnsi="Times New Roman"/>
          <w:sz w:val="20"/>
        </w:rPr>
      </w:pPr>
    </w:p>
    <w:p w:rsidR="00E95859" w:rsidRDefault="00E95859" w:rsidP="004305F9">
      <w:pPr>
        <w:jc w:val="center"/>
        <w:outlineLvl w:val="0"/>
        <w:rPr>
          <w:rFonts w:ascii="Times New Roman" w:hAnsi="Times New Roman"/>
          <w:sz w:val="20"/>
        </w:rPr>
      </w:pPr>
      <w:r w:rsidRPr="003D65E1">
        <w:rPr>
          <w:rFonts w:ascii="Times New Roman" w:hAnsi="Times New Roman"/>
          <w:sz w:val="20"/>
        </w:rPr>
        <w:lastRenderedPageBreak/>
        <w:t>FY 201</w:t>
      </w:r>
      <w:r>
        <w:rPr>
          <w:rFonts w:ascii="Times New Roman" w:hAnsi="Times New Roman"/>
          <w:sz w:val="20"/>
        </w:rPr>
        <w:t>6</w:t>
      </w:r>
    </w:p>
    <w:p w:rsidR="00E95859" w:rsidRDefault="00E95859" w:rsidP="004305F9">
      <w:pPr>
        <w:jc w:val="center"/>
        <w:outlineLvl w:val="0"/>
        <w:rPr>
          <w:rFonts w:ascii="Times New Roman" w:hAnsi="Times New Roman"/>
          <w:sz w:val="20"/>
        </w:rPr>
      </w:pPr>
    </w:p>
    <w:tbl>
      <w:tblPr>
        <w:tblW w:w="910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1440"/>
        <w:gridCol w:w="1530"/>
        <w:gridCol w:w="1530"/>
        <w:gridCol w:w="1710"/>
      </w:tblGrid>
      <w:tr w:rsidR="00E95859" w:rsidRPr="00647DFC" w:rsidTr="00E95859">
        <w:trPr>
          <w:jc w:val="right"/>
        </w:trPr>
        <w:tc>
          <w:tcPr>
            <w:tcW w:w="2898"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Type of Respondent</w:t>
            </w:r>
          </w:p>
        </w:tc>
        <w:tc>
          <w:tcPr>
            <w:tcW w:w="144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Number of Respondents</w:t>
            </w:r>
          </w:p>
        </w:tc>
        <w:tc>
          <w:tcPr>
            <w:tcW w:w="1530" w:type="dxa"/>
          </w:tcPr>
          <w:p w:rsidR="00E95859" w:rsidRPr="00647DFC" w:rsidRDefault="00E95859" w:rsidP="004305F9">
            <w:pPr>
              <w:spacing w:before="120" w:after="120"/>
              <w:ind w:left="-18" w:firstLine="18"/>
              <w:jc w:val="center"/>
              <w:rPr>
                <w:rFonts w:ascii="Times New Roman" w:hAnsi="Times New Roman"/>
                <w:sz w:val="20"/>
              </w:rPr>
            </w:pPr>
            <w:r w:rsidRPr="00647DFC">
              <w:rPr>
                <w:rFonts w:ascii="Times New Roman" w:hAnsi="Times New Roman"/>
                <w:sz w:val="20"/>
              </w:rPr>
              <w:t>Number of Responses per Respondent</w:t>
            </w:r>
          </w:p>
        </w:tc>
        <w:tc>
          <w:tcPr>
            <w:tcW w:w="153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Average Time Per Response</w:t>
            </w:r>
            <w:r>
              <w:rPr>
                <w:rFonts w:ascii="Times New Roman" w:hAnsi="Times New Roman"/>
                <w:sz w:val="20"/>
              </w:rPr>
              <w:t xml:space="preserve"> (in hours)</w:t>
            </w:r>
          </w:p>
        </w:tc>
        <w:tc>
          <w:tcPr>
            <w:tcW w:w="1710" w:type="dxa"/>
          </w:tcPr>
          <w:p w:rsidR="00E95859" w:rsidRPr="00647DFC" w:rsidRDefault="00E95859" w:rsidP="004305F9">
            <w:pPr>
              <w:spacing w:before="120" w:after="120"/>
              <w:jc w:val="center"/>
              <w:rPr>
                <w:rFonts w:ascii="Times New Roman" w:hAnsi="Times New Roman"/>
                <w:sz w:val="20"/>
              </w:rPr>
            </w:pPr>
            <w:r w:rsidRPr="00647DFC">
              <w:rPr>
                <w:rFonts w:ascii="Times New Roman" w:hAnsi="Times New Roman"/>
                <w:sz w:val="20"/>
              </w:rPr>
              <w:t>Total Annual Hour Burden</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Clinical Center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5000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2500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Family Members of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1000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Visitors to the Clinical Center</w:t>
            </w:r>
          </w:p>
        </w:tc>
        <w:tc>
          <w:tcPr>
            <w:tcW w:w="144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500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84</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NIH Intramural Collaborators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3</w:t>
            </w:r>
            <w:r>
              <w:rPr>
                <w:rFonts w:ascii="Times New Roman" w:hAnsi="Times New Roman"/>
                <w:sz w:val="20"/>
              </w:rPr>
              <w:t>34</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Vendors and Collaborating Commercial Enterprises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500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167</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Professionals and  Organizations Referring Patients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2000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667</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Regulators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30</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20/60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10</w:t>
            </w:r>
          </w:p>
        </w:tc>
      </w:tr>
      <w:tr w:rsidR="00E95859" w:rsidRPr="003D65E1" w:rsidTr="00E95859">
        <w:trPr>
          <w:jc w:val="right"/>
        </w:trPr>
        <w:tc>
          <w:tcPr>
            <w:tcW w:w="2898" w:type="dxa"/>
          </w:tcPr>
          <w:p w:rsidR="00E95859" w:rsidRPr="003D65E1" w:rsidRDefault="00E95859" w:rsidP="004305F9">
            <w:pPr>
              <w:spacing w:before="120" w:after="120"/>
              <w:rPr>
                <w:rFonts w:ascii="Times New Roman" w:hAnsi="Times New Roman"/>
                <w:sz w:val="20"/>
              </w:rPr>
            </w:pPr>
            <w:r w:rsidRPr="003D65E1">
              <w:rPr>
                <w:rFonts w:ascii="Times New Roman" w:hAnsi="Times New Roman"/>
                <w:sz w:val="20"/>
              </w:rPr>
              <w:t>Volunteers</w:t>
            </w:r>
          </w:p>
        </w:tc>
        <w:tc>
          <w:tcPr>
            <w:tcW w:w="144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275</w:t>
            </w:r>
          </w:p>
        </w:tc>
        <w:tc>
          <w:tcPr>
            <w:tcW w:w="1530" w:type="dxa"/>
          </w:tcPr>
          <w:p w:rsidR="00E95859" w:rsidRPr="003D65E1" w:rsidRDefault="00E95859" w:rsidP="004305F9">
            <w:pPr>
              <w:spacing w:before="120" w:after="120"/>
              <w:ind w:left="-18" w:firstLine="18"/>
              <w:jc w:val="center"/>
              <w:rPr>
                <w:rFonts w:ascii="Times New Roman" w:hAnsi="Times New Roman"/>
                <w:sz w:val="20"/>
              </w:rPr>
            </w:pPr>
            <w:r w:rsidRPr="003D65E1">
              <w:rPr>
                <w:rFonts w:ascii="Times New Roman" w:hAnsi="Times New Roman"/>
                <w:sz w:val="20"/>
              </w:rPr>
              <w:t>1</w:t>
            </w:r>
          </w:p>
        </w:tc>
        <w:tc>
          <w:tcPr>
            <w:tcW w:w="1530" w:type="dxa"/>
          </w:tcPr>
          <w:p w:rsidR="00E95859" w:rsidRPr="003D65E1" w:rsidRDefault="00E95859" w:rsidP="004305F9">
            <w:pPr>
              <w:spacing w:before="120" w:after="120"/>
              <w:jc w:val="center"/>
              <w:rPr>
                <w:rFonts w:ascii="Times New Roman" w:hAnsi="Times New Roman"/>
                <w:sz w:val="20"/>
              </w:rPr>
            </w:pPr>
            <w:r>
              <w:rPr>
                <w:rFonts w:ascii="Times New Roman" w:hAnsi="Times New Roman"/>
                <w:sz w:val="20"/>
              </w:rPr>
              <w:t>30/60</w:t>
            </w:r>
          </w:p>
        </w:tc>
        <w:tc>
          <w:tcPr>
            <w:tcW w:w="1710" w:type="dxa"/>
          </w:tcPr>
          <w:p w:rsidR="00E95859" w:rsidRPr="003D65E1" w:rsidRDefault="00E95859" w:rsidP="004305F9">
            <w:pPr>
              <w:spacing w:before="120" w:after="120"/>
              <w:jc w:val="center"/>
              <w:rPr>
                <w:rFonts w:ascii="Times New Roman" w:hAnsi="Times New Roman"/>
                <w:sz w:val="20"/>
              </w:rPr>
            </w:pPr>
            <w:r w:rsidRPr="003D65E1">
              <w:rPr>
                <w:rFonts w:ascii="Times New Roman" w:hAnsi="Times New Roman"/>
                <w:sz w:val="20"/>
              </w:rPr>
              <w:t>138</w:t>
            </w:r>
          </w:p>
        </w:tc>
      </w:tr>
      <w:tr w:rsidR="00A44E13" w:rsidRPr="003D65E1" w:rsidTr="00E95859">
        <w:trPr>
          <w:jc w:val="right"/>
        </w:trPr>
        <w:tc>
          <w:tcPr>
            <w:tcW w:w="2898" w:type="dxa"/>
          </w:tcPr>
          <w:p w:rsidR="00A44E13" w:rsidRPr="003D65E1" w:rsidRDefault="00A44E13" w:rsidP="008615E9">
            <w:pPr>
              <w:spacing w:before="120" w:after="120"/>
              <w:rPr>
                <w:rFonts w:ascii="Times New Roman" w:hAnsi="Times New Roman"/>
                <w:sz w:val="20"/>
              </w:rPr>
            </w:pPr>
            <w:r>
              <w:rPr>
                <w:rFonts w:ascii="Times New Roman" w:hAnsi="Times New Roman"/>
                <w:sz w:val="20"/>
              </w:rPr>
              <w:t>Totals</w:t>
            </w:r>
          </w:p>
        </w:tc>
        <w:tc>
          <w:tcPr>
            <w:tcW w:w="1440" w:type="dxa"/>
          </w:tcPr>
          <w:p w:rsidR="00A44E13" w:rsidRPr="003D65E1" w:rsidRDefault="00A44E13" w:rsidP="008615E9">
            <w:pPr>
              <w:spacing w:before="120" w:after="120"/>
              <w:jc w:val="center"/>
              <w:rPr>
                <w:rFonts w:ascii="Times New Roman" w:hAnsi="Times New Roman"/>
                <w:sz w:val="20"/>
              </w:rPr>
            </w:pPr>
            <w:r>
              <w:rPr>
                <w:rFonts w:ascii="Times New Roman" w:hAnsi="Times New Roman"/>
                <w:sz w:val="20"/>
              </w:rPr>
              <w:t>12305</w:t>
            </w:r>
          </w:p>
        </w:tc>
        <w:tc>
          <w:tcPr>
            <w:tcW w:w="1530" w:type="dxa"/>
          </w:tcPr>
          <w:p w:rsidR="00A44E13" w:rsidRPr="003D65E1" w:rsidRDefault="00A44E13" w:rsidP="008615E9">
            <w:pPr>
              <w:spacing w:before="120" w:after="120"/>
              <w:ind w:left="-18" w:firstLine="18"/>
              <w:jc w:val="center"/>
              <w:rPr>
                <w:rFonts w:ascii="Times New Roman" w:hAnsi="Times New Roman"/>
                <w:sz w:val="20"/>
              </w:rPr>
            </w:pPr>
          </w:p>
        </w:tc>
        <w:tc>
          <w:tcPr>
            <w:tcW w:w="1530" w:type="dxa"/>
          </w:tcPr>
          <w:p w:rsidR="00A44E13" w:rsidRDefault="00A44E13" w:rsidP="008615E9">
            <w:pPr>
              <w:spacing w:before="120" w:after="120"/>
              <w:jc w:val="center"/>
              <w:rPr>
                <w:rFonts w:ascii="Times New Roman" w:hAnsi="Times New Roman"/>
                <w:sz w:val="20"/>
              </w:rPr>
            </w:pPr>
          </w:p>
        </w:tc>
        <w:tc>
          <w:tcPr>
            <w:tcW w:w="1710" w:type="dxa"/>
          </w:tcPr>
          <w:p w:rsidR="00A44E13" w:rsidRPr="003D65E1" w:rsidRDefault="00A44E13" w:rsidP="008615E9">
            <w:pPr>
              <w:spacing w:before="120" w:after="120"/>
              <w:jc w:val="center"/>
              <w:rPr>
                <w:rFonts w:ascii="Times New Roman" w:hAnsi="Times New Roman"/>
                <w:sz w:val="20"/>
              </w:rPr>
            </w:pPr>
            <w:r>
              <w:rPr>
                <w:rFonts w:ascii="Times New Roman" w:hAnsi="Times New Roman"/>
                <w:sz w:val="20"/>
              </w:rPr>
              <w:t>4900</w:t>
            </w:r>
          </w:p>
        </w:tc>
      </w:tr>
    </w:tbl>
    <w:p w:rsidR="00E95859" w:rsidRPr="003D65E1" w:rsidRDefault="00E95859" w:rsidP="004305F9">
      <w:pPr>
        <w:jc w:val="center"/>
        <w:outlineLvl w:val="0"/>
        <w:rPr>
          <w:rFonts w:ascii="Times New Roman" w:hAnsi="Times New Roman"/>
          <w:sz w:val="20"/>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13.</w:t>
      </w:r>
      <w:r w:rsidRPr="007D4BDD">
        <w:rPr>
          <w:rFonts w:ascii="Times New Roman" w:hAnsi="Times New Roman"/>
        </w:rPr>
        <w:tab/>
        <w:t>Estimate of Other Total Annual Cost Burden to Respondents or Recordkeepers</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ab/>
        <w:t>No additional costs should be incurred by respondents or recordkeepers.</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14.</w:t>
      </w:r>
      <w:r w:rsidRPr="007D4BDD">
        <w:rPr>
          <w:rFonts w:ascii="Times New Roman" w:hAnsi="Times New Roman"/>
        </w:rPr>
        <w:tab/>
        <w:t>Annualized Cost to the Federal Government</w:t>
      </w:r>
    </w:p>
    <w:p w:rsidR="00CB3D44" w:rsidRPr="007D4BDD" w:rsidRDefault="00CB3D44" w:rsidP="004305F9">
      <w:pPr>
        <w:ind w:left="360" w:hanging="540"/>
        <w:rPr>
          <w:rFonts w:ascii="Times New Roman" w:hAnsi="Times New Roman"/>
        </w:rPr>
      </w:pPr>
    </w:p>
    <w:p w:rsidR="00CB3D44" w:rsidRPr="007D4BDD" w:rsidRDefault="00CB3D44" w:rsidP="00EC11A7">
      <w:pPr>
        <w:ind w:left="360" w:hanging="540"/>
        <w:rPr>
          <w:rFonts w:ascii="Times New Roman" w:hAnsi="Times New Roman"/>
        </w:rPr>
      </w:pPr>
      <w:r w:rsidRPr="007D4BDD">
        <w:rPr>
          <w:rFonts w:ascii="Times New Roman" w:hAnsi="Times New Roman"/>
        </w:rPr>
        <w:tab/>
      </w:r>
      <w:r w:rsidRPr="00EC11A7">
        <w:rPr>
          <w:rFonts w:ascii="Times New Roman" w:hAnsi="Times New Roman"/>
        </w:rPr>
        <w:t>The costs to the government include costs associated with information collection</w:t>
      </w:r>
      <w:r w:rsidR="00DB731C">
        <w:rPr>
          <w:rFonts w:ascii="Times New Roman" w:hAnsi="Times New Roman"/>
        </w:rPr>
        <w:t xml:space="preserve"> </w:t>
      </w:r>
      <w:r w:rsidRPr="00EC11A7">
        <w:rPr>
          <w:rFonts w:ascii="Times New Roman" w:hAnsi="Times New Roman"/>
        </w:rPr>
        <w:t>design</w:t>
      </w:r>
      <w:r w:rsidR="00DB731C">
        <w:rPr>
          <w:rFonts w:ascii="Times New Roman" w:hAnsi="Times New Roman"/>
        </w:rPr>
        <w:t xml:space="preserve"> and</w:t>
      </w:r>
      <w:r w:rsidRPr="00EC11A7">
        <w:rPr>
          <w:rFonts w:ascii="Times New Roman" w:hAnsi="Times New Roman"/>
        </w:rPr>
        <w:t xml:space="preserve"> development, document printing, mailing costs, and data entry, management and analysis.  </w:t>
      </w:r>
      <w:r w:rsidRPr="00EC11A7">
        <w:rPr>
          <w:rFonts w:ascii="Times New Roman" w:hAnsi="Times New Roman"/>
          <w:color w:val="000000"/>
        </w:rPr>
        <w:t>Much of the expertise necessary to design, conduct and analyze the results of these surveys is present on the NIH campus</w:t>
      </w:r>
      <w:r w:rsidR="00BE73F5">
        <w:rPr>
          <w:rFonts w:ascii="Times New Roman" w:hAnsi="Times New Roman"/>
          <w:color w:val="000000"/>
        </w:rPr>
        <w:t xml:space="preserve"> or through a contractor</w:t>
      </w:r>
      <w:r w:rsidRPr="00EC11A7">
        <w:rPr>
          <w:rFonts w:ascii="Times New Roman" w:hAnsi="Times New Roman"/>
          <w:color w:val="000000"/>
        </w:rPr>
        <w:t xml:space="preserve">.  </w:t>
      </w:r>
      <w:r w:rsidR="00EC11A7" w:rsidRPr="00EC11A7">
        <w:rPr>
          <w:rFonts w:ascii="Times New Roman" w:hAnsi="Times New Roman"/>
        </w:rPr>
        <w:t xml:space="preserve">Estimated </w:t>
      </w:r>
      <w:r w:rsidR="00BE73F5">
        <w:rPr>
          <w:rFonts w:ascii="Times New Roman" w:hAnsi="Times New Roman"/>
        </w:rPr>
        <w:t xml:space="preserve">annual </w:t>
      </w:r>
      <w:r w:rsidR="00EC11A7" w:rsidRPr="00EC11A7">
        <w:rPr>
          <w:rFonts w:ascii="Times New Roman" w:hAnsi="Times New Roman"/>
        </w:rPr>
        <w:t>Operating and Maintenance costs are $75,000</w:t>
      </w:r>
      <w:r w:rsidR="00EC11A7">
        <w:rPr>
          <w:rFonts w:ascii="Times New Roman" w:hAnsi="Times New Roman"/>
        </w:rPr>
        <w:t xml:space="preserve"> </w:t>
      </w:r>
      <w:r w:rsidR="00EC11A7">
        <w:rPr>
          <w:rFonts w:ascii="Times New Roman" w:hAnsi="Times New Roman"/>
          <w:color w:val="000000"/>
        </w:rPr>
        <w:t>including a</w:t>
      </w:r>
      <w:r w:rsidRPr="00EC11A7">
        <w:rPr>
          <w:rFonts w:ascii="Times New Roman" w:hAnsi="Times New Roman"/>
          <w:color w:val="000000"/>
        </w:rPr>
        <w:t xml:space="preserve"> contract </w:t>
      </w:r>
      <w:r w:rsidR="00EC11A7">
        <w:rPr>
          <w:rFonts w:ascii="Times New Roman" w:hAnsi="Times New Roman"/>
        </w:rPr>
        <w:t>to field surveys</w:t>
      </w:r>
      <w:r w:rsidR="001A1C62">
        <w:rPr>
          <w:rFonts w:ascii="Times New Roman" w:hAnsi="Times New Roman"/>
        </w:rPr>
        <w:t xml:space="preserve"> and staff costs to </w:t>
      </w:r>
      <w:r w:rsidR="00DB731C">
        <w:rPr>
          <w:rFonts w:ascii="Times New Roman" w:hAnsi="Times New Roman"/>
        </w:rPr>
        <w:t xml:space="preserve">further </w:t>
      </w:r>
      <w:r w:rsidR="001A1C62">
        <w:rPr>
          <w:rFonts w:ascii="Times New Roman" w:hAnsi="Times New Roman"/>
        </w:rPr>
        <w:t>analyze results</w:t>
      </w:r>
      <w:r w:rsidR="00EC11A7">
        <w:rPr>
          <w:rFonts w:ascii="Times New Roman" w:hAnsi="Times New Roman"/>
        </w:rPr>
        <w:t>.</w:t>
      </w:r>
      <w:r w:rsidR="00DD4E9E" w:rsidRPr="00EC11A7">
        <w:rPr>
          <w:rFonts w:ascii="Times New Roman" w:hAnsi="Times New Roman"/>
        </w:rPr>
        <w:t xml:space="preserve"> </w:t>
      </w:r>
      <w:r w:rsidRPr="00EC11A7">
        <w:rPr>
          <w:rFonts w:ascii="Times New Roman" w:hAnsi="Times New Roman"/>
        </w:rPr>
        <w:t xml:space="preserve"> Estimated Capital </w:t>
      </w:r>
      <w:r w:rsidR="00DD4E9E" w:rsidRPr="00EC11A7">
        <w:rPr>
          <w:rFonts w:ascii="Times New Roman" w:hAnsi="Times New Roman"/>
        </w:rPr>
        <w:t xml:space="preserve">costs </w:t>
      </w:r>
      <w:r w:rsidR="00DB731C">
        <w:rPr>
          <w:rFonts w:ascii="Times New Roman" w:hAnsi="Times New Roman"/>
        </w:rPr>
        <w:t xml:space="preserve">for </w:t>
      </w:r>
      <w:r w:rsidR="00C10B19">
        <w:rPr>
          <w:rFonts w:ascii="Times New Roman" w:hAnsi="Times New Roman"/>
        </w:rPr>
        <w:t xml:space="preserve">all </w:t>
      </w:r>
      <w:r w:rsidR="00DB731C">
        <w:rPr>
          <w:rFonts w:ascii="Times New Roman" w:hAnsi="Times New Roman"/>
        </w:rPr>
        <w:t xml:space="preserve">individual surveys under the generic clearance </w:t>
      </w:r>
      <w:r w:rsidR="00BE73F5">
        <w:rPr>
          <w:rFonts w:ascii="Times New Roman" w:hAnsi="Times New Roman"/>
        </w:rPr>
        <w:t>are $7,000</w:t>
      </w:r>
      <w:r w:rsidR="00DB731C">
        <w:rPr>
          <w:rFonts w:ascii="Times New Roman" w:hAnsi="Times New Roman"/>
        </w:rPr>
        <w:t xml:space="preserve"> or less</w:t>
      </w:r>
      <w:r w:rsidR="000B493F" w:rsidRPr="00EC11A7">
        <w:rPr>
          <w:rFonts w:ascii="Times New Roman" w:hAnsi="Times New Roman"/>
        </w:rPr>
        <w:t>.</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15.</w:t>
      </w:r>
      <w:r w:rsidRPr="007D4BDD">
        <w:rPr>
          <w:rFonts w:ascii="Times New Roman" w:hAnsi="Times New Roman"/>
        </w:rPr>
        <w:tab/>
        <w:t>Explanation for Program Changes or Adjustments</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rPr>
          <w:rFonts w:ascii="Times New Roman" w:hAnsi="Times New Roman"/>
        </w:rPr>
      </w:pPr>
      <w:r w:rsidRPr="007D4BDD">
        <w:rPr>
          <w:rFonts w:ascii="Times New Roman" w:hAnsi="Times New Roman"/>
        </w:rPr>
        <w:tab/>
      </w:r>
      <w:r w:rsidRPr="00DB731C">
        <w:rPr>
          <w:rFonts w:ascii="Times New Roman" w:hAnsi="Times New Roman"/>
        </w:rPr>
        <w:t xml:space="preserve">This </w:t>
      </w:r>
      <w:r w:rsidR="00AE0B1B" w:rsidRPr="00DB731C">
        <w:rPr>
          <w:rFonts w:ascii="Times New Roman" w:hAnsi="Times New Roman"/>
        </w:rPr>
        <w:t>has been an</w:t>
      </w:r>
      <w:r w:rsidRPr="00DB731C">
        <w:rPr>
          <w:rFonts w:ascii="Times New Roman" w:hAnsi="Times New Roman"/>
        </w:rPr>
        <w:t xml:space="preserve"> ongoing performance improvement program, designed to gather the perceptions of the quality of care and services provided to the Clinical Center’s customers and other partners; these surveys should continue to drive service and program changes, as they have in the past.  Such voluntary customer survey work is required by EO 12862.</w:t>
      </w:r>
      <w:r w:rsidR="00E95859" w:rsidRPr="00DB731C">
        <w:rPr>
          <w:rFonts w:ascii="Times New Roman" w:hAnsi="Times New Roman"/>
        </w:rPr>
        <w:t xml:space="preserve">  </w:t>
      </w:r>
      <w:r w:rsidR="00AE0B1B" w:rsidRPr="00DB731C">
        <w:rPr>
          <w:rFonts w:ascii="Times New Roman" w:hAnsi="Times New Roman"/>
        </w:rPr>
        <w:t xml:space="preserve">This generic clearance expired 12/31/13 and no data have been collected </w:t>
      </w:r>
      <w:r w:rsidR="0095460E" w:rsidRPr="00DB731C">
        <w:rPr>
          <w:rFonts w:ascii="Times New Roman" w:hAnsi="Times New Roman"/>
        </w:rPr>
        <w:t xml:space="preserve">since then </w:t>
      </w:r>
      <w:r w:rsidR="00AE0B1B" w:rsidRPr="00DB731C">
        <w:rPr>
          <w:rFonts w:ascii="Times New Roman" w:hAnsi="Times New Roman"/>
        </w:rPr>
        <w:t xml:space="preserve">pending reinstatement.  </w:t>
      </w:r>
      <w:r w:rsidR="00D26E72" w:rsidRPr="00DB731C">
        <w:rPr>
          <w:rFonts w:ascii="Times New Roman" w:hAnsi="Times New Roman"/>
        </w:rPr>
        <w:t xml:space="preserve">In this </w:t>
      </w:r>
      <w:r w:rsidR="00AE0B1B" w:rsidRPr="00DB731C">
        <w:rPr>
          <w:rFonts w:ascii="Times New Roman" w:hAnsi="Times New Roman"/>
        </w:rPr>
        <w:t>reinstatement</w:t>
      </w:r>
      <w:r w:rsidR="0095460E" w:rsidRPr="00DB731C">
        <w:rPr>
          <w:rFonts w:ascii="Times New Roman" w:hAnsi="Times New Roman"/>
        </w:rPr>
        <w:t xml:space="preserve"> request</w:t>
      </w:r>
      <w:r w:rsidR="00D26E72" w:rsidRPr="00DB731C">
        <w:rPr>
          <w:rFonts w:ascii="Times New Roman" w:hAnsi="Times New Roman"/>
        </w:rPr>
        <w:t xml:space="preserve">, </w:t>
      </w:r>
      <w:r w:rsidR="00C65C72" w:rsidRPr="00DB731C">
        <w:rPr>
          <w:rFonts w:ascii="Times New Roman" w:hAnsi="Times New Roman"/>
        </w:rPr>
        <w:t xml:space="preserve">the Clinical Center </w:t>
      </w:r>
      <w:r w:rsidR="0095460E" w:rsidRPr="00DB731C">
        <w:rPr>
          <w:rFonts w:ascii="Times New Roman" w:hAnsi="Times New Roman"/>
        </w:rPr>
        <w:t xml:space="preserve">plans to bring 4,900 burden hours annually back to the inventory.  </w:t>
      </w:r>
      <w:r w:rsidR="0095460E" w:rsidRPr="00DB731C">
        <w:rPr>
          <w:rFonts w:ascii="Times New Roman" w:hAnsi="Times New Roman"/>
        </w:rPr>
        <w:lastRenderedPageBreak/>
        <w:t xml:space="preserve">This </w:t>
      </w:r>
      <w:r w:rsidR="000052B0">
        <w:rPr>
          <w:rFonts w:ascii="Times New Roman" w:hAnsi="Times New Roman"/>
        </w:rPr>
        <w:t xml:space="preserve">adjustment </w:t>
      </w:r>
      <w:r w:rsidR="0095460E" w:rsidRPr="00DB731C">
        <w:rPr>
          <w:rFonts w:ascii="Times New Roman" w:hAnsi="Times New Roman"/>
        </w:rPr>
        <w:t>reflects pla</w:t>
      </w:r>
      <w:r w:rsidR="00C65C72" w:rsidRPr="00DB731C">
        <w:rPr>
          <w:rFonts w:ascii="Times New Roman" w:hAnsi="Times New Roman"/>
        </w:rPr>
        <w:t>ns to survey fewer visitors, vendors and collaborating enterprises</w:t>
      </w:r>
      <w:r w:rsidR="0095460E" w:rsidRPr="00DB731C">
        <w:rPr>
          <w:rFonts w:ascii="Times New Roman" w:hAnsi="Times New Roman"/>
        </w:rPr>
        <w:t>,</w:t>
      </w:r>
      <w:r w:rsidR="00C65C72" w:rsidRPr="00DB731C">
        <w:rPr>
          <w:rFonts w:ascii="Times New Roman" w:hAnsi="Times New Roman"/>
        </w:rPr>
        <w:t xml:space="preserve"> and therefore </w:t>
      </w:r>
      <w:r w:rsidR="00E95859" w:rsidRPr="00DB731C">
        <w:rPr>
          <w:rFonts w:ascii="Times New Roman" w:hAnsi="Times New Roman"/>
        </w:rPr>
        <w:t xml:space="preserve">the overall </w:t>
      </w:r>
      <w:r w:rsidR="0095460E" w:rsidRPr="00DB731C">
        <w:rPr>
          <w:rFonts w:ascii="Times New Roman" w:hAnsi="Times New Roman"/>
        </w:rPr>
        <w:t xml:space="preserve">annual </w:t>
      </w:r>
      <w:r w:rsidR="00E95859" w:rsidRPr="00DB731C">
        <w:rPr>
          <w:rFonts w:ascii="Times New Roman" w:hAnsi="Times New Roman"/>
        </w:rPr>
        <w:t>burden</w:t>
      </w:r>
      <w:r w:rsidR="0095460E" w:rsidRPr="00DB731C">
        <w:rPr>
          <w:rFonts w:ascii="Times New Roman" w:hAnsi="Times New Roman"/>
        </w:rPr>
        <w:t xml:space="preserve"> hours</w:t>
      </w:r>
      <w:r w:rsidR="00E95859" w:rsidRPr="00DB731C">
        <w:rPr>
          <w:rFonts w:ascii="Times New Roman" w:hAnsi="Times New Roman"/>
        </w:rPr>
        <w:t xml:space="preserve"> ha</w:t>
      </w:r>
      <w:r w:rsidR="0095460E" w:rsidRPr="00DB731C">
        <w:rPr>
          <w:rFonts w:ascii="Times New Roman" w:hAnsi="Times New Roman"/>
        </w:rPr>
        <w:t>ve</w:t>
      </w:r>
      <w:r w:rsidR="00E95859" w:rsidRPr="00DB731C">
        <w:rPr>
          <w:rFonts w:ascii="Times New Roman" w:hAnsi="Times New Roman"/>
        </w:rPr>
        <w:t xml:space="preserve"> been reduced</w:t>
      </w:r>
      <w:r w:rsidR="002F40D5" w:rsidRPr="00DB731C">
        <w:rPr>
          <w:rFonts w:ascii="Times New Roman" w:hAnsi="Times New Roman"/>
        </w:rPr>
        <w:t xml:space="preserve"> from</w:t>
      </w:r>
      <w:r w:rsidR="0095460E" w:rsidRPr="00DB731C">
        <w:rPr>
          <w:rFonts w:ascii="Times New Roman" w:hAnsi="Times New Roman"/>
        </w:rPr>
        <w:t xml:space="preserve"> the previous clearance of 5,500-6,000</w:t>
      </w:r>
      <w:r w:rsidR="00E95859" w:rsidRPr="00DB731C">
        <w:rPr>
          <w:rFonts w:ascii="Times New Roman" w:hAnsi="Times New Roman"/>
        </w:rPr>
        <w:t>.</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16.</w:t>
      </w:r>
      <w:r w:rsidRPr="007D4BDD">
        <w:rPr>
          <w:rFonts w:ascii="Times New Roman" w:hAnsi="Times New Roman"/>
        </w:rPr>
        <w:tab/>
        <w:t>Plans for Tabulation and Publication and Project Time Schedule</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rPr>
          <w:rFonts w:ascii="Times New Roman" w:hAnsi="Times New Roman"/>
        </w:rPr>
      </w:pPr>
      <w:r w:rsidRPr="007D4BDD">
        <w:rPr>
          <w:rFonts w:ascii="Times New Roman" w:hAnsi="Times New Roman"/>
        </w:rPr>
        <w:tab/>
        <w:t xml:space="preserve">As has been the case under the prior generic clearance, results obtained from these surveys will be disseminated </w:t>
      </w:r>
      <w:r w:rsidR="00D26E72">
        <w:rPr>
          <w:rFonts w:ascii="Times New Roman" w:hAnsi="Times New Roman"/>
        </w:rPr>
        <w:t xml:space="preserve">where applicable </w:t>
      </w:r>
      <w:r w:rsidRPr="007D4BDD">
        <w:rPr>
          <w:rFonts w:ascii="Times New Roman" w:hAnsi="Times New Roman"/>
        </w:rPr>
        <w:t xml:space="preserve">to key policy and management officials, </w:t>
      </w:r>
      <w:r w:rsidRPr="0060669F">
        <w:rPr>
          <w:rFonts w:ascii="Times New Roman" w:hAnsi="Times New Roman"/>
          <w:color w:val="000000"/>
        </w:rPr>
        <w:t xml:space="preserve">CC </w:t>
      </w:r>
      <w:r w:rsidR="00DD4E9E">
        <w:rPr>
          <w:rFonts w:ascii="Times New Roman" w:hAnsi="Times New Roman"/>
          <w:color w:val="000000"/>
        </w:rPr>
        <w:t>o</w:t>
      </w:r>
      <w:r w:rsidR="00DD4E9E" w:rsidRPr="0060669F">
        <w:rPr>
          <w:rFonts w:ascii="Times New Roman" w:hAnsi="Times New Roman"/>
          <w:color w:val="000000"/>
        </w:rPr>
        <w:t xml:space="preserve">versight </w:t>
      </w:r>
      <w:r w:rsidR="00DD4E9E">
        <w:rPr>
          <w:rFonts w:ascii="Times New Roman" w:hAnsi="Times New Roman"/>
          <w:color w:val="000000"/>
        </w:rPr>
        <w:t>c</w:t>
      </w:r>
      <w:r w:rsidR="00DD4E9E" w:rsidRPr="0060669F">
        <w:rPr>
          <w:rFonts w:ascii="Times New Roman" w:hAnsi="Times New Roman"/>
          <w:color w:val="000000"/>
        </w:rPr>
        <w:t>ommittees</w:t>
      </w:r>
      <w:r w:rsidRPr="0060669F">
        <w:rPr>
          <w:rFonts w:ascii="Times New Roman" w:hAnsi="Times New Roman"/>
          <w:color w:val="000000"/>
        </w:rPr>
        <w:t>,</w:t>
      </w:r>
      <w:r w:rsidRPr="00DD4E9E">
        <w:rPr>
          <w:rFonts w:ascii="Times New Roman" w:hAnsi="Times New Roman"/>
        </w:rPr>
        <w:t xml:space="preserve"> </w:t>
      </w:r>
      <w:r w:rsidRPr="007D4BDD">
        <w:rPr>
          <w:rFonts w:ascii="Times New Roman" w:hAnsi="Times New Roman"/>
        </w:rPr>
        <w:t xml:space="preserve">NIH management, Clinical Center management, NIH investigators, </w:t>
      </w:r>
      <w:r w:rsidR="00D26E72">
        <w:rPr>
          <w:rFonts w:ascii="Times New Roman" w:hAnsi="Times New Roman"/>
        </w:rPr>
        <w:t xml:space="preserve">and </w:t>
      </w:r>
      <w:r w:rsidRPr="007D4BDD">
        <w:rPr>
          <w:rFonts w:ascii="Times New Roman" w:hAnsi="Times New Roman"/>
        </w:rPr>
        <w:t xml:space="preserve">Clinical Center employees </w:t>
      </w:r>
      <w:r w:rsidR="00D26E72">
        <w:rPr>
          <w:rFonts w:ascii="Times New Roman" w:hAnsi="Times New Roman"/>
        </w:rPr>
        <w:t>following</w:t>
      </w:r>
      <w:r w:rsidRPr="00D26E72">
        <w:rPr>
          <w:rFonts w:ascii="Times New Roman" w:hAnsi="Times New Roman"/>
        </w:rPr>
        <w:t xml:space="preserve"> the survey’s completion</w:t>
      </w:r>
      <w:r w:rsidRPr="007D4BDD">
        <w:rPr>
          <w:rFonts w:ascii="Times New Roman" w:hAnsi="Times New Roman"/>
        </w:rPr>
        <w:t xml:space="preserve"> and will be used to drive the organization’s performance improvement activities.</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17.</w:t>
      </w:r>
      <w:r w:rsidRPr="007D4BDD">
        <w:rPr>
          <w:rFonts w:ascii="Times New Roman" w:hAnsi="Times New Roman"/>
        </w:rPr>
        <w:tab/>
      </w:r>
      <w:r w:rsidR="00AE0B1B" w:rsidRPr="00DB731C">
        <w:rPr>
          <w:rFonts w:ascii="Times New Roman" w:hAnsi="Times New Roman"/>
        </w:rPr>
        <w:t>Reason(s) Display of OMB Expiration Date is Inappropriate</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rPr>
          <w:rFonts w:ascii="Times New Roman" w:hAnsi="Times New Roman"/>
        </w:rPr>
      </w:pPr>
      <w:r w:rsidRPr="007D4BDD">
        <w:rPr>
          <w:rFonts w:ascii="Times New Roman" w:hAnsi="Times New Roman"/>
        </w:rPr>
        <w:tab/>
        <w:t xml:space="preserve">The reports clearance expiration date </w:t>
      </w:r>
      <w:r w:rsidR="00D26E72">
        <w:rPr>
          <w:rFonts w:ascii="Times New Roman" w:hAnsi="Times New Roman"/>
        </w:rPr>
        <w:t>will be displayed as required by 5 CFR 1320.8(b)(1)</w:t>
      </w:r>
      <w:r w:rsidRPr="007D4BDD">
        <w:rPr>
          <w:rFonts w:ascii="Times New Roman" w:hAnsi="Times New Roman"/>
        </w:rPr>
        <w:t>.</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rPr>
          <w:rFonts w:ascii="Times New Roman" w:hAnsi="Times New Roman"/>
        </w:rPr>
      </w:pPr>
      <w:r w:rsidRPr="007D4BDD">
        <w:rPr>
          <w:rFonts w:ascii="Times New Roman" w:hAnsi="Times New Roman"/>
        </w:rPr>
        <w:t>18.</w:t>
      </w:r>
      <w:r w:rsidRPr="007D4BDD">
        <w:rPr>
          <w:rFonts w:ascii="Times New Roman" w:hAnsi="Times New Roman"/>
        </w:rPr>
        <w:tab/>
        <w:t>Exceptions to Certification for Paperwork Reduction Act Submissions</w:t>
      </w:r>
    </w:p>
    <w:p w:rsidR="00CB3D44" w:rsidRPr="007D4BDD" w:rsidRDefault="00CB3D44" w:rsidP="004305F9">
      <w:pPr>
        <w:ind w:left="360" w:hanging="540"/>
        <w:rPr>
          <w:rFonts w:ascii="Times New Roman" w:hAnsi="Times New Roman"/>
        </w:rPr>
      </w:pPr>
    </w:p>
    <w:p w:rsidR="00CB3D44" w:rsidRPr="007D4BDD" w:rsidRDefault="00CB3D44" w:rsidP="004305F9">
      <w:pPr>
        <w:ind w:left="360" w:hanging="540"/>
        <w:outlineLvl w:val="0"/>
      </w:pPr>
      <w:r w:rsidRPr="007D4BDD">
        <w:rPr>
          <w:rFonts w:ascii="Times New Roman" w:hAnsi="Times New Roman"/>
        </w:rPr>
        <w:tab/>
        <w:t>The Clinical Center is not requesting an exception to the certification requirements.</w:t>
      </w:r>
    </w:p>
    <w:sectPr w:rsidR="00CB3D44" w:rsidRPr="007D4BDD" w:rsidSect="004305F9">
      <w:headerReference w:type="even" r:id="rId9"/>
      <w:headerReference w:type="default" r:id="rId10"/>
      <w:footerReference w:type="default" r:id="rId11"/>
      <w:pgSz w:w="12240" w:h="15840"/>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A6A" w:rsidRDefault="00834A6A">
      <w:r>
        <w:separator/>
      </w:r>
    </w:p>
  </w:endnote>
  <w:endnote w:type="continuationSeparator" w:id="0">
    <w:p w:rsidR="00834A6A" w:rsidRDefault="0083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46" w:rsidRDefault="00B87346">
    <w:pPr>
      <w:pStyle w:val="Footer"/>
      <w:tabs>
        <w:tab w:val="clear" w:pos="4320"/>
        <w:tab w:val="clear" w:pos="8640"/>
        <w:tab w:val="right" w:pos="9360"/>
      </w:tabs>
      <w:ind w:right="-900"/>
    </w:pP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A6A" w:rsidRDefault="00834A6A">
      <w:r>
        <w:separator/>
      </w:r>
    </w:p>
  </w:footnote>
  <w:footnote w:type="continuationSeparator" w:id="0">
    <w:p w:rsidR="00834A6A" w:rsidRDefault="00834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46" w:rsidRDefault="00B873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7346" w:rsidRDefault="00B873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46" w:rsidRDefault="00B873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52AB">
      <w:rPr>
        <w:rStyle w:val="PageNumber"/>
        <w:noProof/>
      </w:rPr>
      <w:t>10</w:t>
    </w:r>
    <w:r>
      <w:rPr>
        <w:rStyle w:val="PageNumber"/>
      </w:rPr>
      <w:fldChar w:fldCharType="end"/>
    </w:r>
  </w:p>
  <w:p w:rsidR="00B87346" w:rsidRDefault="00B873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40E5A"/>
    <w:multiLevelType w:val="hybridMultilevel"/>
    <w:tmpl w:val="79D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DD"/>
    <w:rsid w:val="000052B0"/>
    <w:rsid w:val="000176ED"/>
    <w:rsid w:val="00032ACF"/>
    <w:rsid w:val="00033AC3"/>
    <w:rsid w:val="00043EFE"/>
    <w:rsid w:val="000643A3"/>
    <w:rsid w:val="0006783E"/>
    <w:rsid w:val="00097939"/>
    <w:rsid w:val="000B493F"/>
    <w:rsid w:val="000E326F"/>
    <w:rsid w:val="000F5663"/>
    <w:rsid w:val="000F6FCD"/>
    <w:rsid w:val="00152D50"/>
    <w:rsid w:val="00163C00"/>
    <w:rsid w:val="00166A31"/>
    <w:rsid w:val="001A1C62"/>
    <w:rsid w:val="001A536B"/>
    <w:rsid w:val="00243D20"/>
    <w:rsid w:val="00283441"/>
    <w:rsid w:val="0028372D"/>
    <w:rsid w:val="002F40D5"/>
    <w:rsid w:val="002F542E"/>
    <w:rsid w:val="00312DB0"/>
    <w:rsid w:val="003267E2"/>
    <w:rsid w:val="003516DA"/>
    <w:rsid w:val="00396C80"/>
    <w:rsid w:val="003C2442"/>
    <w:rsid w:val="00422BC0"/>
    <w:rsid w:val="00426BED"/>
    <w:rsid w:val="004305F9"/>
    <w:rsid w:val="004408AF"/>
    <w:rsid w:val="00440CF6"/>
    <w:rsid w:val="00454FA3"/>
    <w:rsid w:val="0048071D"/>
    <w:rsid w:val="005025D6"/>
    <w:rsid w:val="00506507"/>
    <w:rsid w:val="005715BA"/>
    <w:rsid w:val="005961E4"/>
    <w:rsid w:val="005E0A3F"/>
    <w:rsid w:val="00615691"/>
    <w:rsid w:val="006642E6"/>
    <w:rsid w:val="00680D0B"/>
    <w:rsid w:val="007116D9"/>
    <w:rsid w:val="007B61D0"/>
    <w:rsid w:val="007D4BDD"/>
    <w:rsid w:val="0080027E"/>
    <w:rsid w:val="008003BB"/>
    <w:rsid w:val="00834A6A"/>
    <w:rsid w:val="008615E9"/>
    <w:rsid w:val="00872E4F"/>
    <w:rsid w:val="008D249F"/>
    <w:rsid w:val="009243A0"/>
    <w:rsid w:val="00953E93"/>
    <w:rsid w:val="0095460E"/>
    <w:rsid w:val="009E7CF7"/>
    <w:rsid w:val="00A0421A"/>
    <w:rsid w:val="00A20FFC"/>
    <w:rsid w:val="00A349B1"/>
    <w:rsid w:val="00A44E13"/>
    <w:rsid w:val="00A72028"/>
    <w:rsid w:val="00AC39DF"/>
    <w:rsid w:val="00AC4550"/>
    <w:rsid w:val="00AD4A30"/>
    <w:rsid w:val="00AE0B1B"/>
    <w:rsid w:val="00AE52AB"/>
    <w:rsid w:val="00AF1B1C"/>
    <w:rsid w:val="00B11D23"/>
    <w:rsid w:val="00B20A92"/>
    <w:rsid w:val="00B336DB"/>
    <w:rsid w:val="00B87346"/>
    <w:rsid w:val="00BD36CE"/>
    <w:rsid w:val="00BE73F5"/>
    <w:rsid w:val="00C10B19"/>
    <w:rsid w:val="00C21F0C"/>
    <w:rsid w:val="00C24B80"/>
    <w:rsid w:val="00C51900"/>
    <w:rsid w:val="00C65C72"/>
    <w:rsid w:val="00C67673"/>
    <w:rsid w:val="00C9187E"/>
    <w:rsid w:val="00CB3D44"/>
    <w:rsid w:val="00CC7521"/>
    <w:rsid w:val="00CF6272"/>
    <w:rsid w:val="00D06DF9"/>
    <w:rsid w:val="00D26E72"/>
    <w:rsid w:val="00D36561"/>
    <w:rsid w:val="00D72D0B"/>
    <w:rsid w:val="00D770AE"/>
    <w:rsid w:val="00DB0561"/>
    <w:rsid w:val="00DB731C"/>
    <w:rsid w:val="00DD4E9E"/>
    <w:rsid w:val="00DE4401"/>
    <w:rsid w:val="00E10DB6"/>
    <w:rsid w:val="00E23863"/>
    <w:rsid w:val="00E95859"/>
    <w:rsid w:val="00EA68A5"/>
    <w:rsid w:val="00EC11A7"/>
    <w:rsid w:val="00ED6290"/>
    <w:rsid w:val="00EE62D1"/>
    <w:rsid w:val="00F43B5C"/>
    <w:rsid w:val="00F72118"/>
    <w:rsid w:val="00FE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50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507"/>
    <w:pPr>
      <w:tabs>
        <w:tab w:val="center" w:pos="4320"/>
        <w:tab w:val="right" w:pos="8640"/>
      </w:tabs>
    </w:pPr>
  </w:style>
  <w:style w:type="character" w:styleId="PageNumber">
    <w:name w:val="page number"/>
    <w:basedOn w:val="DefaultParagraphFont"/>
    <w:rsid w:val="00506507"/>
  </w:style>
  <w:style w:type="paragraph" w:styleId="Footer">
    <w:name w:val="footer"/>
    <w:basedOn w:val="Normal"/>
    <w:rsid w:val="00506507"/>
    <w:pPr>
      <w:tabs>
        <w:tab w:val="center" w:pos="4320"/>
        <w:tab w:val="right" w:pos="8640"/>
      </w:tabs>
    </w:pPr>
  </w:style>
  <w:style w:type="paragraph" w:styleId="BlockText">
    <w:name w:val="Block Text"/>
    <w:basedOn w:val="Normal"/>
    <w:rsid w:val="00506507"/>
    <w:pPr>
      <w:ind w:left="1080" w:right="-720" w:hanging="540"/>
    </w:pPr>
    <w:rPr>
      <w:sz w:val="28"/>
    </w:rPr>
  </w:style>
  <w:style w:type="paragraph" w:styleId="DocumentMap">
    <w:name w:val="Document Map"/>
    <w:basedOn w:val="Normal"/>
    <w:semiHidden/>
    <w:rsid w:val="000E326F"/>
    <w:pPr>
      <w:shd w:val="clear" w:color="auto" w:fill="000080"/>
    </w:pPr>
    <w:rPr>
      <w:rFonts w:ascii="Tahoma" w:hAnsi="Tahoma" w:cs="Tahoma"/>
      <w:sz w:val="20"/>
    </w:rPr>
  </w:style>
  <w:style w:type="character" w:styleId="Strong">
    <w:name w:val="Strong"/>
    <w:basedOn w:val="DefaultParagraphFont"/>
    <w:qFormat/>
    <w:rsid w:val="00BD36CE"/>
    <w:rPr>
      <w:b/>
      <w:bCs/>
    </w:rPr>
  </w:style>
  <w:style w:type="paragraph" w:styleId="ListParagraph">
    <w:name w:val="List Paragraph"/>
    <w:basedOn w:val="Normal"/>
    <w:uiPriority w:val="34"/>
    <w:qFormat/>
    <w:rsid w:val="00EA68A5"/>
    <w:pPr>
      <w:ind w:left="720"/>
      <w:contextualSpacing/>
    </w:pPr>
  </w:style>
  <w:style w:type="paragraph" w:styleId="BalloonText">
    <w:name w:val="Balloon Text"/>
    <w:basedOn w:val="Normal"/>
    <w:link w:val="BalloonTextChar"/>
    <w:rsid w:val="00EA68A5"/>
    <w:rPr>
      <w:rFonts w:ascii="Tahoma" w:hAnsi="Tahoma" w:cs="Tahoma"/>
      <w:sz w:val="16"/>
      <w:szCs w:val="16"/>
    </w:rPr>
  </w:style>
  <w:style w:type="character" w:customStyle="1" w:styleId="BalloonTextChar">
    <w:name w:val="Balloon Text Char"/>
    <w:basedOn w:val="DefaultParagraphFont"/>
    <w:link w:val="BalloonText"/>
    <w:rsid w:val="00EA68A5"/>
    <w:rPr>
      <w:rFonts w:ascii="Tahoma" w:hAnsi="Tahoma" w:cs="Tahoma"/>
      <w:sz w:val="16"/>
      <w:szCs w:val="16"/>
    </w:rPr>
  </w:style>
  <w:style w:type="paragraph" w:styleId="TOC1">
    <w:name w:val="toc 1"/>
    <w:autoRedefine/>
    <w:rsid w:val="008615E9"/>
    <w:pPr>
      <w:tabs>
        <w:tab w:val="left" w:pos="0"/>
        <w:tab w:val="left" w:pos="720"/>
        <w:tab w:val="right" w:leader="dot" w:pos="9000"/>
      </w:tabs>
      <w:spacing w:before="120" w:after="120" w:line="480" w:lineRule="auto"/>
      <w:ind w:right="-360"/>
      <w:jc w:val="both"/>
    </w:pPr>
    <w:rPr>
      <w:rFonts w:ascii="Times New Roman" w:hAnsi="Times New Roman"/>
      <w:b/>
      <w:caps/>
      <w:noProof/>
      <w:sz w:val="24"/>
      <w:szCs w:val="24"/>
    </w:rPr>
  </w:style>
  <w:style w:type="paragraph" w:styleId="TOC2">
    <w:name w:val="toc 2"/>
    <w:autoRedefine/>
    <w:rsid w:val="008615E9"/>
    <w:pPr>
      <w:tabs>
        <w:tab w:val="left" w:pos="720"/>
        <w:tab w:val="right" w:leader="dot" w:pos="9494"/>
      </w:tabs>
      <w:spacing w:before="120" w:after="120" w:line="240" w:lineRule="atLeast"/>
      <w:ind w:left="720" w:hanging="720"/>
    </w:pPr>
    <w:rPr>
      <w:rFonts w:ascii="Times New Roman" w:hAnsi="Times New Roman"/>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50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507"/>
    <w:pPr>
      <w:tabs>
        <w:tab w:val="center" w:pos="4320"/>
        <w:tab w:val="right" w:pos="8640"/>
      </w:tabs>
    </w:pPr>
  </w:style>
  <w:style w:type="character" w:styleId="PageNumber">
    <w:name w:val="page number"/>
    <w:basedOn w:val="DefaultParagraphFont"/>
    <w:rsid w:val="00506507"/>
  </w:style>
  <w:style w:type="paragraph" w:styleId="Footer">
    <w:name w:val="footer"/>
    <w:basedOn w:val="Normal"/>
    <w:rsid w:val="00506507"/>
    <w:pPr>
      <w:tabs>
        <w:tab w:val="center" w:pos="4320"/>
        <w:tab w:val="right" w:pos="8640"/>
      </w:tabs>
    </w:pPr>
  </w:style>
  <w:style w:type="paragraph" w:styleId="BlockText">
    <w:name w:val="Block Text"/>
    <w:basedOn w:val="Normal"/>
    <w:rsid w:val="00506507"/>
    <w:pPr>
      <w:ind w:left="1080" w:right="-720" w:hanging="540"/>
    </w:pPr>
    <w:rPr>
      <w:sz w:val="28"/>
    </w:rPr>
  </w:style>
  <w:style w:type="paragraph" w:styleId="DocumentMap">
    <w:name w:val="Document Map"/>
    <w:basedOn w:val="Normal"/>
    <w:semiHidden/>
    <w:rsid w:val="000E326F"/>
    <w:pPr>
      <w:shd w:val="clear" w:color="auto" w:fill="000080"/>
    </w:pPr>
    <w:rPr>
      <w:rFonts w:ascii="Tahoma" w:hAnsi="Tahoma" w:cs="Tahoma"/>
      <w:sz w:val="20"/>
    </w:rPr>
  </w:style>
  <w:style w:type="character" w:styleId="Strong">
    <w:name w:val="Strong"/>
    <w:basedOn w:val="DefaultParagraphFont"/>
    <w:qFormat/>
    <w:rsid w:val="00BD36CE"/>
    <w:rPr>
      <w:b/>
      <w:bCs/>
    </w:rPr>
  </w:style>
  <w:style w:type="paragraph" w:styleId="ListParagraph">
    <w:name w:val="List Paragraph"/>
    <w:basedOn w:val="Normal"/>
    <w:uiPriority w:val="34"/>
    <w:qFormat/>
    <w:rsid w:val="00EA68A5"/>
    <w:pPr>
      <w:ind w:left="720"/>
      <w:contextualSpacing/>
    </w:pPr>
  </w:style>
  <w:style w:type="paragraph" w:styleId="BalloonText">
    <w:name w:val="Balloon Text"/>
    <w:basedOn w:val="Normal"/>
    <w:link w:val="BalloonTextChar"/>
    <w:rsid w:val="00EA68A5"/>
    <w:rPr>
      <w:rFonts w:ascii="Tahoma" w:hAnsi="Tahoma" w:cs="Tahoma"/>
      <w:sz w:val="16"/>
      <w:szCs w:val="16"/>
    </w:rPr>
  </w:style>
  <w:style w:type="character" w:customStyle="1" w:styleId="BalloonTextChar">
    <w:name w:val="Balloon Text Char"/>
    <w:basedOn w:val="DefaultParagraphFont"/>
    <w:link w:val="BalloonText"/>
    <w:rsid w:val="00EA68A5"/>
    <w:rPr>
      <w:rFonts w:ascii="Tahoma" w:hAnsi="Tahoma" w:cs="Tahoma"/>
      <w:sz w:val="16"/>
      <w:szCs w:val="16"/>
    </w:rPr>
  </w:style>
  <w:style w:type="paragraph" w:styleId="TOC1">
    <w:name w:val="toc 1"/>
    <w:autoRedefine/>
    <w:rsid w:val="008615E9"/>
    <w:pPr>
      <w:tabs>
        <w:tab w:val="left" w:pos="0"/>
        <w:tab w:val="left" w:pos="720"/>
        <w:tab w:val="right" w:leader="dot" w:pos="9000"/>
      </w:tabs>
      <w:spacing w:before="120" w:after="120" w:line="480" w:lineRule="auto"/>
      <w:ind w:right="-360"/>
      <w:jc w:val="both"/>
    </w:pPr>
    <w:rPr>
      <w:rFonts w:ascii="Times New Roman" w:hAnsi="Times New Roman"/>
      <w:b/>
      <w:caps/>
      <w:noProof/>
      <w:sz w:val="24"/>
      <w:szCs w:val="24"/>
    </w:rPr>
  </w:style>
  <w:style w:type="paragraph" w:styleId="TOC2">
    <w:name w:val="toc 2"/>
    <w:autoRedefine/>
    <w:rsid w:val="008615E9"/>
    <w:pPr>
      <w:tabs>
        <w:tab w:val="left" w:pos="720"/>
        <w:tab w:val="right" w:leader="dot" w:pos="9494"/>
      </w:tabs>
      <w:spacing w:before="120" w:after="120" w:line="240" w:lineRule="atLeast"/>
      <w:ind w:left="720" w:hanging="720"/>
    </w:pPr>
    <w:rPr>
      <w:rFonts w:ascii="Times New Roman" w:hAnsi="Times New Roma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2E223-535C-454D-B417-8FBF49F5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 Warren G. Magnuson Clinical Center of the National Institutes of Health requests that the Office of Management and Budget (OMB) provide the NIH Clinical Center with generic clearance for surveys of our customers and other partners for the fiscal years</vt:lpstr>
    </vt:vector>
  </TitlesOfParts>
  <Company>NIH</Company>
  <LinksUpToDate>false</LinksUpToDate>
  <CharactersWithSpaces>20833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Warren G. Magnuson Clinical Center of the National Institutes of Health requests that the Office of Management and Budget (OMB) provide the NIH Clinical Center with generic clearance for surveys of our customers and other partners for the fiscal years</dc:title>
  <dc:subject/>
  <dc:creator>David K. Henderson</dc:creator>
  <cp:keywords/>
  <cp:lastModifiedBy>curriem</cp:lastModifiedBy>
  <cp:revision>2</cp:revision>
  <cp:lastPrinted>2014-01-14T17:13:00Z</cp:lastPrinted>
  <dcterms:created xsi:type="dcterms:W3CDTF">2014-01-23T19:09:00Z</dcterms:created>
  <dcterms:modified xsi:type="dcterms:W3CDTF">2014-01-23T19:09:00Z</dcterms:modified>
</cp:coreProperties>
</file>