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ECD53" w14:textId="126AD971" w:rsidR="00880965" w:rsidRDefault="000510F5" w:rsidP="008544D1">
      <w:pPr>
        <w:jc w:val="center"/>
        <w:rPr>
          <w:b/>
          <w:sz w:val="40"/>
          <w:szCs w:val="40"/>
        </w:rPr>
      </w:pPr>
      <w:bookmarkStart w:id="0" w:name="_GoBack"/>
      <w:bookmarkEnd w:id="0"/>
      <w:r w:rsidRPr="000510F5">
        <w:rPr>
          <w:b/>
          <w:sz w:val="40"/>
          <w:szCs w:val="40"/>
        </w:rPr>
        <w:t>Perfluorinated Compound Biological Sampling in the Vicinity of Morgan, Lawrence, and Limestone Counties, Alabama</w:t>
      </w:r>
    </w:p>
    <w:p w14:paraId="2824738F" w14:textId="77777777" w:rsidR="000510F5" w:rsidRDefault="000510F5" w:rsidP="008544D1">
      <w:pPr>
        <w:jc w:val="center"/>
      </w:pPr>
    </w:p>
    <w:p w14:paraId="66D7BBDF" w14:textId="77777777" w:rsidR="00BC290E" w:rsidRDefault="00BC290E" w:rsidP="008544D1">
      <w:pPr>
        <w:jc w:val="center"/>
      </w:pPr>
      <w:r w:rsidRPr="00BC290E">
        <w:t>ATSDR</w:t>
      </w:r>
      <w:r>
        <w:t xml:space="preserve"> Exposure Investigations (EI) Generic Information Collection Request</w:t>
      </w:r>
    </w:p>
    <w:p w14:paraId="7D4F483A" w14:textId="77777777" w:rsidR="00BC290E" w:rsidRDefault="00BC290E" w:rsidP="008544D1">
      <w:pPr>
        <w:jc w:val="center"/>
      </w:pPr>
      <w:r>
        <w:t>OMB No. 0923-0048</w:t>
      </w:r>
    </w:p>
    <w:p w14:paraId="6592E0B0" w14:textId="77777777" w:rsidR="00D61AAC" w:rsidRPr="00EC4AE2" w:rsidRDefault="00D61AAC" w:rsidP="00D61AAC">
      <w:pPr>
        <w:jc w:val="center"/>
      </w:pPr>
      <w:r>
        <w:rPr>
          <w:color w:val="000000"/>
        </w:rPr>
        <w:t>Expiration Date: 05/31/2016</w:t>
      </w:r>
    </w:p>
    <w:p w14:paraId="4EC2B773" w14:textId="77777777" w:rsidR="00BC290E" w:rsidRDefault="00BC290E" w:rsidP="008544D1">
      <w:pPr>
        <w:jc w:val="center"/>
        <w:rPr>
          <w:b/>
        </w:rPr>
      </w:pPr>
    </w:p>
    <w:p w14:paraId="1F0485C1" w14:textId="77777777" w:rsidR="00BC290E" w:rsidRDefault="00BC290E" w:rsidP="008544D1">
      <w:pPr>
        <w:jc w:val="center"/>
        <w:rPr>
          <w:b/>
        </w:rPr>
      </w:pPr>
    </w:p>
    <w:p w14:paraId="0B8C01D3" w14:textId="77777777" w:rsidR="00380EA1" w:rsidRDefault="0053045B" w:rsidP="008544D1">
      <w:pPr>
        <w:jc w:val="center"/>
        <w:rPr>
          <w:b/>
        </w:rPr>
      </w:pPr>
      <w:r>
        <w:rPr>
          <w:b/>
        </w:rPr>
        <w:t xml:space="preserve">Attachment 1: </w:t>
      </w:r>
      <w:r w:rsidR="008544D1">
        <w:rPr>
          <w:b/>
        </w:rPr>
        <w:t xml:space="preserve">Supporting Statement </w:t>
      </w:r>
      <w:r w:rsidR="00BC290E">
        <w:rPr>
          <w:b/>
        </w:rPr>
        <w:t>Part A</w:t>
      </w:r>
      <w:r w:rsidR="00016C0E">
        <w:rPr>
          <w:b/>
        </w:rPr>
        <w:t xml:space="preserve"> </w:t>
      </w:r>
    </w:p>
    <w:p w14:paraId="152EC4C9" w14:textId="77777777" w:rsidR="008544D1" w:rsidRDefault="008544D1" w:rsidP="008544D1">
      <w:pPr>
        <w:jc w:val="center"/>
        <w:rPr>
          <w:b/>
        </w:rPr>
      </w:pPr>
    </w:p>
    <w:p w14:paraId="3E401149" w14:textId="77777777" w:rsidR="008544D1" w:rsidRDefault="008544D1" w:rsidP="008544D1">
      <w:pPr>
        <w:jc w:val="center"/>
        <w:rPr>
          <w:b/>
        </w:rPr>
      </w:pPr>
    </w:p>
    <w:p w14:paraId="3AE3F530" w14:textId="210D1CAB" w:rsidR="008544D1" w:rsidRDefault="00BC290E" w:rsidP="008544D1">
      <w:pPr>
        <w:jc w:val="center"/>
        <w:rPr>
          <w:b/>
        </w:rPr>
      </w:pPr>
      <w:r>
        <w:rPr>
          <w:b/>
        </w:rPr>
        <w:t xml:space="preserve">Submitted:  </w:t>
      </w:r>
      <w:r w:rsidR="00CC00B7">
        <w:rPr>
          <w:b/>
        </w:rPr>
        <w:fldChar w:fldCharType="begin"/>
      </w:r>
      <w:r w:rsidR="00CC00B7">
        <w:rPr>
          <w:b/>
        </w:rPr>
        <w:instrText xml:space="preserve"> DATE \@ "MMMM d, yyyy" </w:instrText>
      </w:r>
      <w:r w:rsidR="00CC00B7">
        <w:rPr>
          <w:b/>
        </w:rPr>
        <w:fldChar w:fldCharType="separate"/>
      </w:r>
      <w:r w:rsidR="00675EE3">
        <w:rPr>
          <w:b/>
          <w:noProof/>
        </w:rPr>
        <w:t>August 6, 2015</w:t>
      </w:r>
      <w:r w:rsidR="00CC00B7">
        <w:rPr>
          <w:b/>
        </w:rPr>
        <w:fldChar w:fldCharType="end"/>
      </w:r>
    </w:p>
    <w:p w14:paraId="5641F9D8" w14:textId="77777777" w:rsidR="00583F53" w:rsidRDefault="00583F53" w:rsidP="008544D1">
      <w:pPr>
        <w:jc w:val="center"/>
        <w:rPr>
          <w:b/>
        </w:rPr>
      </w:pPr>
    </w:p>
    <w:p w14:paraId="3C1AB148" w14:textId="77777777" w:rsidR="00583F53" w:rsidRDefault="00583F53" w:rsidP="008544D1">
      <w:pPr>
        <w:jc w:val="center"/>
        <w:rPr>
          <w:b/>
        </w:rPr>
      </w:pPr>
    </w:p>
    <w:p w14:paraId="670FDA84" w14:textId="77777777" w:rsidR="00C84428" w:rsidRDefault="00C84428" w:rsidP="00C84428">
      <w:pPr>
        <w:jc w:val="center"/>
      </w:pPr>
      <w:r>
        <w:t>Science Support Branch (SSB)</w:t>
      </w:r>
    </w:p>
    <w:p w14:paraId="663EDF1B" w14:textId="77777777" w:rsidR="00583F53" w:rsidRDefault="007A429D" w:rsidP="00C84428">
      <w:pPr>
        <w:jc w:val="center"/>
      </w:pPr>
      <w:r w:rsidRPr="007A429D">
        <w:t xml:space="preserve">Division of </w:t>
      </w:r>
      <w:r w:rsidR="00C84428">
        <w:t>Community and Health Investigations (DCHI)</w:t>
      </w:r>
    </w:p>
    <w:p w14:paraId="1501F0E5" w14:textId="77777777" w:rsidR="00C84428" w:rsidRPr="007A429D" w:rsidRDefault="00C84428" w:rsidP="00C84428">
      <w:pPr>
        <w:jc w:val="center"/>
      </w:pPr>
      <w:r>
        <w:t>Agency for Toxic Substances and Disease Registry (ATSDR)</w:t>
      </w:r>
    </w:p>
    <w:p w14:paraId="06832BC1" w14:textId="77777777" w:rsidR="005856AA" w:rsidRDefault="005856AA" w:rsidP="00583F53">
      <w:pPr>
        <w:rPr>
          <w:b/>
        </w:rPr>
      </w:pPr>
    </w:p>
    <w:p w14:paraId="7132452E" w14:textId="77777777" w:rsidR="00583F53" w:rsidRDefault="00583F53" w:rsidP="00583F53">
      <w:pPr>
        <w:rPr>
          <w:b/>
        </w:rPr>
      </w:pPr>
    </w:p>
    <w:p w14:paraId="3094ED26" w14:textId="77777777" w:rsidR="00C84428" w:rsidRPr="00C84428" w:rsidRDefault="00C84428" w:rsidP="00C84428">
      <w:pPr>
        <w:tabs>
          <w:tab w:val="left" w:pos="1545"/>
        </w:tabs>
        <w:rPr>
          <w:b/>
        </w:rPr>
      </w:pPr>
      <w:r w:rsidRPr="00C84428">
        <w:rPr>
          <w:b/>
        </w:rPr>
        <w:t>Program Official:</w:t>
      </w:r>
    </w:p>
    <w:p w14:paraId="5C5A92F6" w14:textId="77777777"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14:paraId="19C4BE23" w14:textId="77777777" w:rsidR="00C84428" w:rsidRDefault="00C84428" w:rsidP="00C84428">
      <w:pPr>
        <w:autoSpaceDE w:val="0"/>
        <w:autoSpaceDN w:val="0"/>
        <w:adjustRightInd w:val="0"/>
        <w:ind w:left="720"/>
      </w:pPr>
      <w:r>
        <w:t xml:space="preserve">Lead, Exposure Investigations </w:t>
      </w:r>
      <w:r w:rsidR="00C47A8B">
        <w:t xml:space="preserve">and Data Analysis </w:t>
      </w:r>
      <w:r>
        <w:t>Team</w:t>
      </w:r>
    </w:p>
    <w:p w14:paraId="2BBF053B" w14:textId="77777777" w:rsidR="00C84428" w:rsidRDefault="00C84428" w:rsidP="00C84428">
      <w:pPr>
        <w:autoSpaceDE w:val="0"/>
        <w:autoSpaceDN w:val="0"/>
        <w:adjustRightInd w:val="0"/>
        <w:ind w:left="720"/>
      </w:pPr>
      <w:r>
        <w:t>Science Support Branch</w:t>
      </w:r>
    </w:p>
    <w:p w14:paraId="5A386AF8" w14:textId="77777777" w:rsidR="00C84428" w:rsidRDefault="00C84428" w:rsidP="00C84428">
      <w:pPr>
        <w:autoSpaceDE w:val="0"/>
        <w:autoSpaceDN w:val="0"/>
        <w:adjustRightInd w:val="0"/>
        <w:ind w:left="720"/>
      </w:pPr>
      <w:r>
        <w:t xml:space="preserve">Division of Community Health </w:t>
      </w:r>
      <w:r w:rsidRPr="008E0304">
        <w:t>Investigations</w:t>
      </w:r>
    </w:p>
    <w:p w14:paraId="416C9152" w14:textId="77777777" w:rsidR="00C84428" w:rsidRDefault="00C84428" w:rsidP="00C84428">
      <w:pPr>
        <w:autoSpaceDE w:val="0"/>
        <w:autoSpaceDN w:val="0"/>
        <w:adjustRightInd w:val="0"/>
        <w:ind w:left="720"/>
      </w:pPr>
      <w:r>
        <w:t>Agency for Toxic Substances and Disease Registry</w:t>
      </w:r>
    </w:p>
    <w:p w14:paraId="7D0FDFD6" w14:textId="77777777"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14:paraId="650B07E8" w14:textId="77777777" w:rsidR="00C84428" w:rsidRDefault="00C84428" w:rsidP="00C84428">
      <w:pPr>
        <w:autoSpaceDE w:val="0"/>
        <w:autoSpaceDN w:val="0"/>
        <w:adjustRightInd w:val="0"/>
        <w:ind w:left="720"/>
      </w:pPr>
      <w:r>
        <w:t>Phone: 770-488-</w:t>
      </w:r>
      <w:r w:rsidR="00CC027D">
        <w:t>0776</w:t>
      </w:r>
    </w:p>
    <w:p w14:paraId="733B3029" w14:textId="77777777" w:rsidR="00C84428" w:rsidRDefault="00C84428" w:rsidP="00C84428">
      <w:pPr>
        <w:autoSpaceDE w:val="0"/>
        <w:autoSpaceDN w:val="0"/>
        <w:adjustRightInd w:val="0"/>
        <w:ind w:left="720"/>
      </w:pPr>
      <w:r>
        <w:t>Fax:  770-488-1542</w:t>
      </w:r>
    </w:p>
    <w:p w14:paraId="40B38FC7" w14:textId="77777777" w:rsidR="00C84428" w:rsidRDefault="00C84428" w:rsidP="00C84428">
      <w:pPr>
        <w:autoSpaceDE w:val="0"/>
        <w:autoSpaceDN w:val="0"/>
        <w:adjustRightInd w:val="0"/>
        <w:ind w:left="720"/>
      </w:pPr>
      <w:r>
        <w:t xml:space="preserve">Email: </w:t>
      </w:r>
      <w:hyperlink r:id="rId8" w:history="1">
        <w:r w:rsidR="00CC027D" w:rsidRPr="00CC027D">
          <w:rPr>
            <w:rStyle w:val="Hyperlink"/>
          </w:rPr>
          <w:t>PKowalski@cdc.gov</w:t>
        </w:r>
      </w:hyperlink>
    </w:p>
    <w:p w14:paraId="439F9AF0" w14:textId="77777777" w:rsidR="00C84428" w:rsidRDefault="00C84428" w:rsidP="00C84428">
      <w:pPr>
        <w:autoSpaceDE w:val="0"/>
        <w:autoSpaceDN w:val="0"/>
        <w:adjustRightInd w:val="0"/>
        <w:ind w:left="720"/>
      </w:pPr>
    </w:p>
    <w:p w14:paraId="5D07B444" w14:textId="77777777" w:rsidR="00C84428" w:rsidRDefault="00C84428" w:rsidP="008E5673">
      <w:pPr>
        <w:autoSpaceDE w:val="0"/>
        <w:autoSpaceDN w:val="0"/>
        <w:adjustRightInd w:val="0"/>
        <w:ind w:left="720"/>
      </w:pPr>
    </w:p>
    <w:p w14:paraId="0B9B6EB2" w14:textId="77777777" w:rsidR="00C84428" w:rsidRPr="00C84428" w:rsidRDefault="00C84428" w:rsidP="00C84428">
      <w:pPr>
        <w:autoSpaceDE w:val="0"/>
        <w:autoSpaceDN w:val="0"/>
        <w:adjustRightInd w:val="0"/>
        <w:rPr>
          <w:b/>
        </w:rPr>
      </w:pPr>
      <w:r w:rsidRPr="00C84428">
        <w:rPr>
          <w:b/>
        </w:rPr>
        <w:t>Point of Contact:</w:t>
      </w:r>
    </w:p>
    <w:p w14:paraId="64F25BE8" w14:textId="77777777" w:rsidR="00C84428" w:rsidRDefault="00C47A8B" w:rsidP="00C84428">
      <w:pPr>
        <w:autoSpaceDE w:val="0"/>
        <w:autoSpaceDN w:val="0"/>
        <w:adjustRightInd w:val="0"/>
        <w:ind w:left="720"/>
      </w:pPr>
      <w:r>
        <w:t>Rachel R. Worley, MA</w:t>
      </w:r>
    </w:p>
    <w:p w14:paraId="40BCCACB" w14:textId="77777777" w:rsidR="00C84428" w:rsidRDefault="00C84428" w:rsidP="00C47A8B">
      <w:pPr>
        <w:autoSpaceDE w:val="0"/>
        <w:autoSpaceDN w:val="0"/>
        <w:adjustRightInd w:val="0"/>
        <w:ind w:left="720"/>
      </w:pPr>
      <w:r>
        <w:t>Environmental Health Scientist</w:t>
      </w:r>
      <w:r w:rsidR="00C47A8B">
        <w:t>, Exposure Investigations and Data Analysis Team</w:t>
      </w:r>
    </w:p>
    <w:p w14:paraId="25BC9CB9" w14:textId="77777777" w:rsidR="00C84428" w:rsidRDefault="00C84428" w:rsidP="00C84428">
      <w:pPr>
        <w:autoSpaceDE w:val="0"/>
        <w:autoSpaceDN w:val="0"/>
        <w:adjustRightInd w:val="0"/>
        <w:ind w:left="720"/>
      </w:pPr>
      <w:r>
        <w:t>Science Support Branch</w:t>
      </w:r>
    </w:p>
    <w:p w14:paraId="4FD529EA" w14:textId="77777777" w:rsidR="00C84428" w:rsidRDefault="00C84428" w:rsidP="00C84428">
      <w:pPr>
        <w:autoSpaceDE w:val="0"/>
        <w:autoSpaceDN w:val="0"/>
        <w:adjustRightInd w:val="0"/>
        <w:ind w:left="720"/>
      </w:pPr>
      <w:r>
        <w:t xml:space="preserve">Division of Community Health Investigation </w:t>
      </w:r>
    </w:p>
    <w:p w14:paraId="3FB5E580" w14:textId="77777777" w:rsidR="00C84428" w:rsidRDefault="00C84428" w:rsidP="00C84428">
      <w:pPr>
        <w:autoSpaceDE w:val="0"/>
        <w:autoSpaceDN w:val="0"/>
        <w:adjustRightInd w:val="0"/>
        <w:ind w:left="720"/>
      </w:pPr>
      <w:r>
        <w:t>Agency for Toxic Substances and Disease Registry</w:t>
      </w:r>
    </w:p>
    <w:p w14:paraId="40324421" w14:textId="77777777"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14:paraId="636C7DA7" w14:textId="77777777" w:rsidR="00C84428" w:rsidRDefault="00C84428" w:rsidP="00C84428">
      <w:pPr>
        <w:autoSpaceDE w:val="0"/>
        <w:autoSpaceDN w:val="0"/>
        <w:adjustRightInd w:val="0"/>
        <w:ind w:left="720"/>
      </w:pPr>
      <w:r>
        <w:t>Phone: 770-488-</w:t>
      </w:r>
      <w:r w:rsidR="00CD74B4">
        <w:t>1549</w:t>
      </w:r>
    </w:p>
    <w:p w14:paraId="541D5D70" w14:textId="77777777" w:rsidR="00C84428" w:rsidRDefault="00C84428" w:rsidP="00C84428">
      <w:pPr>
        <w:autoSpaceDE w:val="0"/>
        <w:autoSpaceDN w:val="0"/>
        <w:adjustRightInd w:val="0"/>
        <w:ind w:left="720"/>
      </w:pPr>
      <w:r>
        <w:t>Fax:  770-488-1542</w:t>
      </w:r>
    </w:p>
    <w:p w14:paraId="05966F80" w14:textId="77777777" w:rsidR="00090754" w:rsidRDefault="00C84428" w:rsidP="00876788">
      <w:pPr>
        <w:ind w:firstLine="720"/>
        <w:rPr>
          <w:b/>
        </w:rPr>
      </w:pPr>
      <w:r>
        <w:t xml:space="preserve">Email: </w:t>
      </w:r>
      <w:hyperlink r:id="rId9" w:history="1">
        <w:r w:rsidR="00CD74B4" w:rsidRPr="00FA2861">
          <w:rPr>
            <w:rStyle w:val="Hyperlink"/>
          </w:rPr>
          <w:t>RWorley@cdc.gov</w:t>
        </w:r>
      </w:hyperlink>
      <w:r>
        <w:t xml:space="preserve"> </w:t>
      </w:r>
    </w:p>
    <w:p w14:paraId="774044DC" w14:textId="77777777" w:rsidR="000B0BC3" w:rsidRDefault="000B0BC3">
      <w:pPr>
        <w:rPr>
          <w:b/>
        </w:rPr>
      </w:pPr>
    </w:p>
    <w:p w14:paraId="779E9112" w14:textId="77777777" w:rsidR="00BA6CEF" w:rsidRDefault="006E3E43" w:rsidP="00BA6CEF">
      <w:pPr>
        <w:jc w:val="center"/>
        <w:rPr>
          <w:rFonts w:asciiTheme="majorHAnsi" w:hAnsiTheme="majorHAnsi"/>
          <w:b/>
          <w:color w:val="1F497D" w:themeColor="text2"/>
          <w:sz w:val="28"/>
          <w:szCs w:val="28"/>
        </w:rPr>
      </w:pPr>
      <w:r w:rsidRPr="009E7AC5">
        <w:rPr>
          <w:rFonts w:asciiTheme="majorHAnsi" w:hAnsiTheme="majorHAnsi"/>
          <w:b/>
          <w:color w:val="1F497D" w:themeColor="text2"/>
          <w:sz w:val="28"/>
          <w:szCs w:val="28"/>
        </w:rPr>
        <w:t>Table of Contents</w:t>
      </w: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id w:val="2058973390"/>
        <w:docPartObj>
          <w:docPartGallery w:val="Table of Contents"/>
          <w:docPartUnique/>
        </w:docPartObj>
      </w:sdtPr>
      <w:sdtEndPr>
        <w:rPr>
          <w:b/>
          <w:bCs/>
          <w:noProof/>
        </w:rPr>
      </w:sdtEndPr>
      <w:sdtContent>
        <w:p w14:paraId="19306823" w14:textId="77777777" w:rsidR="00AD6E54" w:rsidRDefault="00AD6E54" w:rsidP="00BA6CEF">
          <w:pPr>
            <w:jc w:val="center"/>
          </w:pPr>
        </w:p>
        <w:p w14:paraId="7117BF48" w14:textId="77777777" w:rsidR="00BA6CEF" w:rsidRPr="00BA6CEF" w:rsidRDefault="00AD6E54">
          <w:pPr>
            <w:pStyle w:val="TOC1"/>
            <w:rPr>
              <w:rFonts w:eastAsiaTheme="minorEastAsia"/>
              <w:noProof/>
            </w:rPr>
          </w:pPr>
          <w:r>
            <w:fldChar w:fldCharType="begin"/>
          </w:r>
          <w:r>
            <w:instrText xml:space="preserve"> TOC \o "1-3" \h \z \u </w:instrText>
          </w:r>
          <w:r>
            <w:fldChar w:fldCharType="separate"/>
          </w:r>
          <w:hyperlink w:anchor="_Toc415568052" w:history="1">
            <w:r w:rsidR="00BA6CEF" w:rsidRPr="00BA6CEF">
              <w:rPr>
                <w:rStyle w:val="Hyperlink"/>
                <w:noProof/>
              </w:rPr>
              <w:t>A. Justification</w:t>
            </w:r>
            <w:r w:rsidR="00BA6CEF" w:rsidRPr="00BA6CEF">
              <w:rPr>
                <w:noProof/>
                <w:webHidden/>
              </w:rPr>
              <w:tab/>
            </w:r>
            <w:r w:rsidR="00BA6CEF" w:rsidRPr="00BA6CEF">
              <w:rPr>
                <w:noProof/>
                <w:webHidden/>
              </w:rPr>
              <w:fldChar w:fldCharType="begin"/>
            </w:r>
            <w:r w:rsidR="00BA6CEF" w:rsidRPr="00BA6CEF">
              <w:rPr>
                <w:noProof/>
                <w:webHidden/>
              </w:rPr>
              <w:instrText xml:space="preserve"> PAGEREF _Toc415568052 \h </w:instrText>
            </w:r>
            <w:r w:rsidR="00BA6CEF" w:rsidRPr="00BA6CEF">
              <w:rPr>
                <w:noProof/>
                <w:webHidden/>
              </w:rPr>
            </w:r>
            <w:r w:rsidR="00BA6CEF" w:rsidRPr="00BA6CEF">
              <w:rPr>
                <w:noProof/>
                <w:webHidden/>
              </w:rPr>
              <w:fldChar w:fldCharType="separate"/>
            </w:r>
            <w:r w:rsidR="006A6FFC">
              <w:rPr>
                <w:noProof/>
                <w:webHidden/>
              </w:rPr>
              <w:t>4</w:t>
            </w:r>
            <w:r w:rsidR="00BA6CEF" w:rsidRPr="00BA6CEF">
              <w:rPr>
                <w:noProof/>
                <w:webHidden/>
              </w:rPr>
              <w:fldChar w:fldCharType="end"/>
            </w:r>
          </w:hyperlink>
        </w:p>
        <w:p w14:paraId="371232AE" w14:textId="16B1C228" w:rsidR="00BA6CEF" w:rsidRPr="00BA6CEF" w:rsidRDefault="00675EE3" w:rsidP="00D76A33">
          <w:pPr>
            <w:pStyle w:val="TOC2"/>
          </w:pPr>
          <w:hyperlink w:anchor="_Toc415568053" w:history="1">
            <w:r w:rsidR="00BA6CEF" w:rsidRPr="00BA6CEF">
              <w:rPr>
                <w:rStyle w:val="Hyperlink"/>
              </w:rPr>
              <w:t>A.1 Circumstances Making the Collection of Information Necessary</w:t>
            </w:r>
            <w:r w:rsidR="00BA6CEF" w:rsidRPr="00BA6CEF">
              <w:rPr>
                <w:webHidden/>
              </w:rPr>
              <w:tab/>
            </w:r>
            <w:r w:rsidR="00BA6CEF" w:rsidRPr="00BA6CEF">
              <w:rPr>
                <w:webHidden/>
              </w:rPr>
              <w:fldChar w:fldCharType="begin"/>
            </w:r>
            <w:r w:rsidR="00BA6CEF" w:rsidRPr="00BA6CEF">
              <w:rPr>
                <w:webHidden/>
              </w:rPr>
              <w:instrText xml:space="preserve"> PAGEREF _Toc415568053 \h </w:instrText>
            </w:r>
            <w:r w:rsidR="00BA6CEF" w:rsidRPr="00BA6CEF">
              <w:rPr>
                <w:webHidden/>
              </w:rPr>
            </w:r>
            <w:r w:rsidR="00BA6CEF" w:rsidRPr="00BA6CEF">
              <w:rPr>
                <w:webHidden/>
              </w:rPr>
              <w:fldChar w:fldCharType="separate"/>
            </w:r>
            <w:r w:rsidR="006A6FFC">
              <w:rPr>
                <w:webHidden/>
              </w:rPr>
              <w:t>5</w:t>
            </w:r>
            <w:r w:rsidR="00BA6CEF" w:rsidRPr="00BA6CEF">
              <w:rPr>
                <w:webHidden/>
              </w:rPr>
              <w:fldChar w:fldCharType="end"/>
            </w:r>
          </w:hyperlink>
        </w:p>
        <w:p w14:paraId="502F0B10" w14:textId="77777777" w:rsidR="00BA6CEF" w:rsidRPr="00BA6CEF" w:rsidRDefault="00675EE3" w:rsidP="00D76A33">
          <w:pPr>
            <w:pStyle w:val="TOC2"/>
          </w:pPr>
          <w:hyperlink w:anchor="_Toc415568054" w:history="1">
            <w:r w:rsidR="00BA6CEF" w:rsidRPr="00BA6CEF">
              <w:rPr>
                <w:rStyle w:val="Hyperlink"/>
              </w:rPr>
              <w:t>A.2. Purpose and Use of Information Collection</w:t>
            </w:r>
            <w:r w:rsidR="00BA6CEF" w:rsidRPr="00BA6CEF">
              <w:rPr>
                <w:webHidden/>
              </w:rPr>
              <w:tab/>
            </w:r>
            <w:r w:rsidR="00BA6CEF" w:rsidRPr="00BA6CEF">
              <w:rPr>
                <w:webHidden/>
              </w:rPr>
              <w:fldChar w:fldCharType="begin"/>
            </w:r>
            <w:r w:rsidR="00BA6CEF" w:rsidRPr="00BA6CEF">
              <w:rPr>
                <w:webHidden/>
              </w:rPr>
              <w:instrText xml:space="preserve"> PAGEREF _Toc415568054 \h </w:instrText>
            </w:r>
            <w:r w:rsidR="00BA6CEF" w:rsidRPr="00BA6CEF">
              <w:rPr>
                <w:webHidden/>
              </w:rPr>
            </w:r>
            <w:r w:rsidR="00BA6CEF" w:rsidRPr="00BA6CEF">
              <w:rPr>
                <w:webHidden/>
              </w:rPr>
              <w:fldChar w:fldCharType="separate"/>
            </w:r>
            <w:r w:rsidR="006A6FFC">
              <w:rPr>
                <w:webHidden/>
              </w:rPr>
              <w:t>7</w:t>
            </w:r>
            <w:r w:rsidR="00BA6CEF" w:rsidRPr="00BA6CEF">
              <w:rPr>
                <w:webHidden/>
              </w:rPr>
              <w:fldChar w:fldCharType="end"/>
            </w:r>
          </w:hyperlink>
        </w:p>
        <w:p w14:paraId="37C83416" w14:textId="77777777" w:rsidR="00BA6CEF" w:rsidRPr="00BA6CEF" w:rsidRDefault="00675EE3" w:rsidP="00D76A33">
          <w:pPr>
            <w:pStyle w:val="TOC2"/>
          </w:pPr>
          <w:hyperlink w:anchor="_Toc415568055" w:history="1">
            <w:r w:rsidR="00BA6CEF" w:rsidRPr="00BA6CEF">
              <w:rPr>
                <w:rStyle w:val="Hyperlink"/>
              </w:rPr>
              <w:t>A.3. Use of Improved Information Technology and Burden Reduction</w:t>
            </w:r>
            <w:r w:rsidR="00BA6CEF" w:rsidRPr="00BA6CEF">
              <w:rPr>
                <w:webHidden/>
              </w:rPr>
              <w:tab/>
            </w:r>
            <w:r w:rsidR="00BA6CEF" w:rsidRPr="00BA6CEF">
              <w:rPr>
                <w:webHidden/>
              </w:rPr>
              <w:fldChar w:fldCharType="begin"/>
            </w:r>
            <w:r w:rsidR="00BA6CEF" w:rsidRPr="00BA6CEF">
              <w:rPr>
                <w:webHidden/>
              </w:rPr>
              <w:instrText xml:space="preserve"> PAGEREF _Toc415568055 \h </w:instrText>
            </w:r>
            <w:r w:rsidR="00BA6CEF" w:rsidRPr="00BA6CEF">
              <w:rPr>
                <w:webHidden/>
              </w:rPr>
            </w:r>
            <w:r w:rsidR="00BA6CEF" w:rsidRPr="00BA6CEF">
              <w:rPr>
                <w:webHidden/>
              </w:rPr>
              <w:fldChar w:fldCharType="separate"/>
            </w:r>
            <w:r w:rsidR="006A6FFC">
              <w:rPr>
                <w:webHidden/>
              </w:rPr>
              <w:t>8</w:t>
            </w:r>
            <w:r w:rsidR="00BA6CEF" w:rsidRPr="00BA6CEF">
              <w:rPr>
                <w:webHidden/>
              </w:rPr>
              <w:fldChar w:fldCharType="end"/>
            </w:r>
          </w:hyperlink>
        </w:p>
        <w:p w14:paraId="16831094" w14:textId="77777777" w:rsidR="00BA6CEF" w:rsidRPr="00BA6CEF" w:rsidRDefault="00675EE3" w:rsidP="00D76A33">
          <w:pPr>
            <w:pStyle w:val="TOC2"/>
          </w:pPr>
          <w:hyperlink w:anchor="_Toc415568056" w:history="1">
            <w:r w:rsidR="00BA6CEF" w:rsidRPr="00BA6CEF">
              <w:rPr>
                <w:rStyle w:val="Hyperlink"/>
              </w:rPr>
              <w:t>A.4. Efforts to Identify Duplication and Use of Similar Information</w:t>
            </w:r>
            <w:r w:rsidR="00BA6CEF" w:rsidRPr="00BA6CEF">
              <w:rPr>
                <w:webHidden/>
              </w:rPr>
              <w:tab/>
            </w:r>
            <w:r w:rsidR="00BA6CEF" w:rsidRPr="00BA6CEF">
              <w:rPr>
                <w:webHidden/>
              </w:rPr>
              <w:fldChar w:fldCharType="begin"/>
            </w:r>
            <w:r w:rsidR="00BA6CEF" w:rsidRPr="00BA6CEF">
              <w:rPr>
                <w:webHidden/>
              </w:rPr>
              <w:instrText xml:space="preserve"> PAGEREF _Toc415568056 \h </w:instrText>
            </w:r>
            <w:r w:rsidR="00BA6CEF" w:rsidRPr="00BA6CEF">
              <w:rPr>
                <w:webHidden/>
              </w:rPr>
            </w:r>
            <w:r w:rsidR="00BA6CEF" w:rsidRPr="00BA6CEF">
              <w:rPr>
                <w:webHidden/>
              </w:rPr>
              <w:fldChar w:fldCharType="separate"/>
            </w:r>
            <w:r w:rsidR="006A6FFC">
              <w:rPr>
                <w:webHidden/>
              </w:rPr>
              <w:t>8</w:t>
            </w:r>
            <w:r w:rsidR="00BA6CEF" w:rsidRPr="00BA6CEF">
              <w:rPr>
                <w:webHidden/>
              </w:rPr>
              <w:fldChar w:fldCharType="end"/>
            </w:r>
          </w:hyperlink>
        </w:p>
        <w:p w14:paraId="3D1FB669" w14:textId="77777777" w:rsidR="00BA6CEF" w:rsidRPr="00BA6CEF" w:rsidRDefault="00675EE3" w:rsidP="00D76A33">
          <w:pPr>
            <w:pStyle w:val="TOC2"/>
          </w:pPr>
          <w:hyperlink w:anchor="_Toc415568057" w:history="1">
            <w:r w:rsidR="00BA6CEF" w:rsidRPr="00BA6CEF">
              <w:rPr>
                <w:rStyle w:val="Hyperlink"/>
              </w:rPr>
              <w:t>A.5. Impact on Small Businesses or Other Small Entities</w:t>
            </w:r>
            <w:r w:rsidR="00BA6CEF" w:rsidRPr="00BA6CEF">
              <w:rPr>
                <w:webHidden/>
              </w:rPr>
              <w:tab/>
            </w:r>
            <w:r w:rsidR="00BA6CEF" w:rsidRPr="00BA6CEF">
              <w:rPr>
                <w:webHidden/>
              </w:rPr>
              <w:fldChar w:fldCharType="begin"/>
            </w:r>
            <w:r w:rsidR="00BA6CEF" w:rsidRPr="00BA6CEF">
              <w:rPr>
                <w:webHidden/>
              </w:rPr>
              <w:instrText xml:space="preserve"> PAGEREF _Toc415568057 \h </w:instrText>
            </w:r>
            <w:r w:rsidR="00BA6CEF" w:rsidRPr="00BA6CEF">
              <w:rPr>
                <w:webHidden/>
              </w:rPr>
            </w:r>
            <w:r w:rsidR="00BA6CEF" w:rsidRPr="00BA6CEF">
              <w:rPr>
                <w:webHidden/>
              </w:rPr>
              <w:fldChar w:fldCharType="separate"/>
            </w:r>
            <w:r w:rsidR="006A6FFC">
              <w:rPr>
                <w:webHidden/>
              </w:rPr>
              <w:t>8</w:t>
            </w:r>
            <w:r w:rsidR="00BA6CEF" w:rsidRPr="00BA6CEF">
              <w:rPr>
                <w:webHidden/>
              </w:rPr>
              <w:fldChar w:fldCharType="end"/>
            </w:r>
          </w:hyperlink>
        </w:p>
        <w:p w14:paraId="04A5C047" w14:textId="3E3733C0" w:rsidR="00BA6CEF" w:rsidRPr="00BA6CEF" w:rsidRDefault="00675EE3" w:rsidP="00D76A33">
          <w:pPr>
            <w:pStyle w:val="TOC2"/>
          </w:pPr>
          <w:hyperlink w:anchor="_Toc415568058" w:history="1">
            <w:r w:rsidR="00BA6CEF" w:rsidRPr="00BA6CEF">
              <w:rPr>
                <w:rStyle w:val="Hyperlink"/>
              </w:rPr>
              <w:t>A.6. Consequences of Collecting the Information Less Frequently</w:t>
            </w:r>
            <w:r w:rsidR="00BA6CEF" w:rsidRPr="00BA6CEF">
              <w:rPr>
                <w:webHidden/>
              </w:rPr>
              <w:tab/>
            </w:r>
            <w:r w:rsidR="00BA6CEF" w:rsidRPr="00BA6CEF">
              <w:rPr>
                <w:webHidden/>
              </w:rPr>
              <w:fldChar w:fldCharType="begin"/>
            </w:r>
            <w:r w:rsidR="00BA6CEF" w:rsidRPr="00BA6CEF">
              <w:rPr>
                <w:webHidden/>
              </w:rPr>
              <w:instrText xml:space="preserve"> PAGEREF _Toc415568058 \h </w:instrText>
            </w:r>
            <w:r w:rsidR="00BA6CEF" w:rsidRPr="00BA6CEF">
              <w:rPr>
                <w:webHidden/>
              </w:rPr>
            </w:r>
            <w:r w:rsidR="00BA6CEF" w:rsidRPr="00BA6CEF">
              <w:rPr>
                <w:webHidden/>
              </w:rPr>
              <w:fldChar w:fldCharType="separate"/>
            </w:r>
            <w:r w:rsidR="006A6FFC">
              <w:rPr>
                <w:webHidden/>
              </w:rPr>
              <w:t>8</w:t>
            </w:r>
            <w:r w:rsidR="00BA6CEF" w:rsidRPr="00BA6CEF">
              <w:rPr>
                <w:webHidden/>
              </w:rPr>
              <w:fldChar w:fldCharType="end"/>
            </w:r>
          </w:hyperlink>
        </w:p>
        <w:p w14:paraId="65CE0702" w14:textId="77777777" w:rsidR="00BA6CEF" w:rsidRPr="00BA6CEF" w:rsidRDefault="00675EE3" w:rsidP="00D76A33">
          <w:pPr>
            <w:pStyle w:val="TOC2"/>
          </w:pPr>
          <w:hyperlink w:anchor="_Toc415568059" w:history="1">
            <w:r w:rsidR="00BA6CEF" w:rsidRPr="00BA6CEF">
              <w:rPr>
                <w:rStyle w:val="Hyperlink"/>
              </w:rPr>
              <w:t>A.7. Special Circumstances Relating to the Guidelines of 5 CFR 1320.5</w:t>
            </w:r>
            <w:r w:rsidR="00BA6CEF" w:rsidRPr="00BA6CEF">
              <w:rPr>
                <w:webHidden/>
              </w:rPr>
              <w:tab/>
            </w:r>
            <w:r w:rsidR="00BA6CEF" w:rsidRPr="00BA6CEF">
              <w:rPr>
                <w:webHidden/>
              </w:rPr>
              <w:fldChar w:fldCharType="begin"/>
            </w:r>
            <w:r w:rsidR="00BA6CEF" w:rsidRPr="00BA6CEF">
              <w:rPr>
                <w:webHidden/>
              </w:rPr>
              <w:instrText xml:space="preserve"> PAGEREF _Toc415568059 \h </w:instrText>
            </w:r>
            <w:r w:rsidR="00BA6CEF" w:rsidRPr="00BA6CEF">
              <w:rPr>
                <w:webHidden/>
              </w:rPr>
            </w:r>
            <w:r w:rsidR="00BA6CEF" w:rsidRPr="00BA6CEF">
              <w:rPr>
                <w:webHidden/>
              </w:rPr>
              <w:fldChar w:fldCharType="separate"/>
            </w:r>
            <w:r w:rsidR="006A6FFC">
              <w:rPr>
                <w:webHidden/>
              </w:rPr>
              <w:t>9</w:t>
            </w:r>
            <w:r w:rsidR="00BA6CEF" w:rsidRPr="00BA6CEF">
              <w:rPr>
                <w:webHidden/>
              </w:rPr>
              <w:fldChar w:fldCharType="end"/>
            </w:r>
          </w:hyperlink>
        </w:p>
        <w:p w14:paraId="2BEFBFCE" w14:textId="77777777" w:rsidR="00BA6CEF" w:rsidRPr="00BA6CEF" w:rsidRDefault="00675EE3" w:rsidP="00D76A33">
          <w:pPr>
            <w:pStyle w:val="TOC2"/>
          </w:pPr>
          <w:hyperlink w:anchor="_Toc415568060" w:history="1">
            <w:r w:rsidR="00BA6CEF" w:rsidRPr="00BA6CEF">
              <w:rPr>
                <w:rStyle w:val="Hyperlink"/>
              </w:rPr>
              <w:t>A.8. Comments in Response to the Federal Register Notice and Efforts to Consult Outside the Agency</w:t>
            </w:r>
            <w:r w:rsidR="00BA6CEF" w:rsidRPr="00BA6CEF">
              <w:rPr>
                <w:webHidden/>
              </w:rPr>
              <w:tab/>
            </w:r>
            <w:r w:rsidR="00BA6CEF" w:rsidRPr="00BA6CEF">
              <w:rPr>
                <w:webHidden/>
              </w:rPr>
              <w:fldChar w:fldCharType="begin"/>
            </w:r>
            <w:r w:rsidR="00BA6CEF" w:rsidRPr="00BA6CEF">
              <w:rPr>
                <w:webHidden/>
              </w:rPr>
              <w:instrText xml:space="preserve"> PAGEREF _Toc415568060 \h </w:instrText>
            </w:r>
            <w:r w:rsidR="00BA6CEF" w:rsidRPr="00BA6CEF">
              <w:rPr>
                <w:webHidden/>
              </w:rPr>
            </w:r>
            <w:r w:rsidR="00BA6CEF" w:rsidRPr="00BA6CEF">
              <w:rPr>
                <w:webHidden/>
              </w:rPr>
              <w:fldChar w:fldCharType="separate"/>
            </w:r>
            <w:r w:rsidR="006A6FFC">
              <w:rPr>
                <w:webHidden/>
              </w:rPr>
              <w:t>9</w:t>
            </w:r>
            <w:r w:rsidR="00BA6CEF" w:rsidRPr="00BA6CEF">
              <w:rPr>
                <w:webHidden/>
              </w:rPr>
              <w:fldChar w:fldCharType="end"/>
            </w:r>
          </w:hyperlink>
        </w:p>
        <w:p w14:paraId="279E00C7" w14:textId="77777777" w:rsidR="00BA6CEF" w:rsidRPr="00BA6CEF" w:rsidRDefault="00675EE3" w:rsidP="00D76A33">
          <w:pPr>
            <w:pStyle w:val="TOC2"/>
          </w:pPr>
          <w:hyperlink w:anchor="_Toc415568061" w:history="1">
            <w:r w:rsidR="00BA6CEF" w:rsidRPr="00BA6CEF">
              <w:rPr>
                <w:rStyle w:val="Hyperlink"/>
              </w:rPr>
              <w:t>A.9. Explanation of Any Payment or Gift to Respondents</w:t>
            </w:r>
            <w:r w:rsidR="00BA6CEF" w:rsidRPr="00BA6CEF">
              <w:rPr>
                <w:webHidden/>
              </w:rPr>
              <w:tab/>
            </w:r>
            <w:r w:rsidR="00BA6CEF" w:rsidRPr="00BA6CEF">
              <w:rPr>
                <w:webHidden/>
              </w:rPr>
              <w:fldChar w:fldCharType="begin"/>
            </w:r>
            <w:r w:rsidR="00BA6CEF" w:rsidRPr="00BA6CEF">
              <w:rPr>
                <w:webHidden/>
              </w:rPr>
              <w:instrText xml:space="preserve"> PAGEREF _Toc415568061 \h </w:instrText>
            </w:r>
            <w:r w:rsidR="00BA6CEF" w:rsidRPr="00BA6CEF">
              <w:rPr>
                <w:webHidden/>
              </w:rPr>
            </w:r>
            <w:r w:rsidR="00BA6CEF" w:rsidRPr="00BA6CEF">
              <w:rPr>
                <w:webHidden/>
              </w:rPr>
              <w:fldChar w:fldCharType="separate"/>
            </w:r>
            <w:r w:rsidR="006A6FFC">
              <w:rPr>
                <w:webHidden/>
              </w:rPr>
              <w:t>9</w:t>
            </w:r>
            <w:r w:rsidR="00BA6CEF" w:rsidRPr="00BA6CEF">
              <w:rPr>
                <w:webHidden/>
              </w:rPr>
              <w:fldChar w:fldCharType="end"/>
            </w:r>
          </w:hyperlink>
        </w:p>
        <w:p w14:paraId="73909BF2" w14:textId="77777777" w:rsidR="00BA6CEF" w:rsidRPr="00BA6CEF" w:rsidRDefault="00675EE3" w:rsidP="00D76A33">
          <w:pPr>
            <w:pStyle w:val="TOC2"/>
          </w:pPr>
          <w:hyperlink w:anchor="_Toc415568062" w:history="1">
            <w:r w:rsidR="00BA6CEF" w:rsidRPr="00BA6CEF">
              <w:rPr>
                <w:rStyle w:val="Hyperlink"/>
              </w:rPr>
              <w:t>A.10. Assurance of Privacy Provided to Respondents</w:t>
            </w:r>
            <w:r w:rsidR="00BA6CEF" w:rsidRPr="00BA6CEF">
              <w:rPr>
                <w:webHidden/>
              </w:rPr>
              <w:tab/>
            </w:r>
            <w:r w:rsidR="00BA6CEF" w:rsidRPr="00BA6CEF">
              <w:rPr>
                <w:webHidden/>
              </w:rPr>
              <w:fldChar w:fldCharType="begin"/>
            </w:r>
            <w:r w:rsidR="00BA6CEF" w:rsidRPr="00BA6CEF">
              <w:rPr>
                <w:webHidden/>
              </w:rPr>
              <w:instrText xml:space="preserve"> PAGEREF _Toc415568062 \h </w:instrText>
            </w:r>
            <w:r w:rsidR="00BA6CEF" w:rsidRPr="00BA6CEF">
              <w:rPr>
                <w:webHidden/>
              </w:rPr>
            </w:r>
            <w:r w:rsidR="00BA6CEF" w:rsidRPr="00BA6CEF">
              <w:rPr>
                <w:webHidden/>
              </w:rPr>
              <w:fldChar w:fldCharType="separate"/>
            </w:r>
            <w:r w:rsidR="006A6FFC">
              <w:rPr>
                <w:webHidden/>
              </w:rPr>
              <w:t>9</w:t>
            </w:r>
            <w:r w:rsidR="00BA6CEF" w:rsidRPr="00BA6CEF">
              <w:rPr>
                <w:webHidden/>
              </w:rPr>
              <w:fldChar w:fldCharType="end"/>
            </w:r>
          </w:hyperlink>
        </w:p>
        <w:p w14:paraId="0DBB81F6" w14:textId="03725F81" w:rsidR="00BA6CEF" w:rsidRPr="00BA6CEF" w:rsidRDefault="00675EE3">
          <w:pPr>
            <w:pStyle w:val="TOC3"/>
            <w:tabs>
              <w:tab w:val="right" w:leader="dot" w:pos="9350"/>
            </w:tabs>
            <w:rPr>
              <w:rFonts w:ascii="Times New Roman" w:hAnsi="Times New Roman" w:cs="Times New Roman"/>
              <w:noProof/>
              <w:sz w:val="24"/>
              <w:szCs w:val="24"/>
            </w:rPr>
          </w:pPr>
          <w:hyperlink w:anchor="_Toc415568063" w:history="1">
            <w:r w:rsidR="00BA6CEF" w:rsidRPr="00BA6CEF">
              <w:rPr>
                <w:rStyle w:val="Hyperlink"/>
                <w:rFonts w:ascii="Times New Roman" w:hAnsi="Times New Roman" w:cs="Times New Roman"/>
                <w:noProof/>
                <w:sz w:val="24"/>
                <w:szCs w:val="24"/>
              </w:rPr>
              <w:t>A.10.1. Privacy Impact Assessment Information</w:t>
            </w:r>
            <w:r w:rsidR="00BA6CEF" w:rsidRPr="00BA6CEF">
              <w:rPr>
                <w:rFonts w:ascii="Times New Roman" w:hAnsi="Times New Roman" w:cs="Times New Roman"/>
                <w:noProof/>
                <w:webHidden/>
                <w:sz w:val="24"/>
                <w:szCs w:val="24"/>
              </w:rPr>
              <w:tab/>
            </w:r>
            <w:r w:rsidR="00BA6CEF" w:rsidRPr="00BA6CEF">
              <w:rPr>
                <w:rFonts w:ascii="Times New Roman" w:hAnsi="Times New Roman" w:cs="Times New Roman"/>
                <w:noProof/>
                <w:webHidden/>
                <w:sz w:val="24"/>
                <w:szCs w:val="24"/>
              </w:rPr>
              <w:fldChar w:fldCharType="begin"/>
            </w:r>
            <w:r w:rsidR="00BA6CEF" w:rsidRPr="00BA6CEF">
              <w:rPr>
                <w:rFonts w:ascii="Times New Roman" w:hAnsi="Times New Roman" w:cs="Times New Roman"/>
                <w:noProof/>
                <w:webHidden/>
                <w:sz w:val="24"/>
                <w:szCs w:val="24"/>
              </w:rPr>
              <w:instrText xml:space="preserve"> PAGEREF _Toc415568063 \h </w:instrText>
            </w:r>
            <w:r w:rsidR="00BA6CEF" w:rsidRPr="00BA6CEF">
              <w:rPr>
                <w:rFonts w:ascii="Times New Roman" w:hAnsi="Times New Roman" w:cs="Times New Roman"/>
                <w:noProof/>
                <w:webHidden/>
                <w:sz w:val="24"/>
                <w:szCs w:val="24"/>
              </w:rPr>
            </w:r>
            <w:r w:rsidR="00BA6CEF" w:rsidRPr="00BA6CEF">
              <w:rPr>
                <w:rFonts w:ascii="Times New Roman" w:hAnsi="Times New Roman" w:cs="Times New Roman"/>
                <w:noProof/>
                <w:webHidden/>
                <w:sz w:val="24"/>
                <w:szCs w:val="24"/>
              </w:rPr>
              <w:fldChar w:fldCharType="separate"/>
            </w:r>
            <w:r w:rsidR="006A6FFC">
              <w:rPr>
                <w:rFonts w:ascii="Times New Roman" w:hAnsi="Times New Roman" w:cs="Times New Roman"/>
                <w:noProof/>
                <w:webHidden/>
                <w:sz w:val="24"/>
                <w:szCs w:val="24"/>
              </w:rPr>
              <w:t>9</w:t>
            </w:r>
            <w:r w:rsidR="00BA6CEF" w:rsidRPr="00BA6CEF">
              <w:rPr>
                <w:rFonts w:ascii="Times New Roman" w:hAnsi="Times New Roman" w:cs="Times New Roman"/>
                <w:noProof/>
                <w:webHidden/>
                <w:sz w:val="24"/>
                <w:szCs w:val="24"/>
              </w:rPr>
              <w:fldChar w:fldCharType="end"/>
            </w:r>
          </w:hyperlink>
        </w:p>
        <w:p w14:paraId="6D757555" w14:textId="77777777" w:rsidR="00BA6CEF" w:rsidRPr="00BA6CEF" w:rsidRDefault="00675EE3" w:rsidP="00D76A33">
          <w:pPr>
            <w:pStyle w:val="TOC2"/>
          </w:pPr>
          <w:hyperlink w:anchor="_Toc415568064" w:history="1">
            <w:r w:rsidR="00BA6CEF" w:rsidRPr="00BA6CEF">
              <w:rPr>
                <w:rStyle w:val="Hyperlink"/>
              </w:rPr>
              <w:t>A.11. Justification for Sensitive Questions</w:t>
            </w:r>
            <w:r w:rsidR="00BA6CEF" w:rsidRPr="00BA6CEF">
              <w:rPr>
                <w:webHidden/>
              </w:rPr>
              <w:tab/>
            </w:r>
            <w:r w:rsidR="00BA6CEF" w:rsidRPr="00BA6CEF">
              <w:rPr>
                <w:webHidden/>
              </w:rPr>
              <w:fldChar w:fldCharType="begin"/>
            </w:r>
            <w:r w:rsidR="00BA6CEF" w:rsidRPr="00BA6CEF">
              <w:rPr>
                <w:webHidden/>
              </w:rPr>
              <w:instrText xml:space="preserve"> PAGEREF _Toc415568064 \h </w:instrText>
            </w:r>
            <w:r w:rsidR="00BA6CEF" w:rsidRPr="00BA6CEF">
              <w:rPr>
                <w:webHidden/>
              </w:rPr>
            </w:r>
            <w:r w:rsidR="00BA6CEF" w:rsidRPr="00BA6CEF">
              <w:rPr>
                <w:webHidden/>
              </w:rPr>
              <w:fldChar w:fldCharType="separate"/>
            </w:r>
            <w:r w:rsidR="006A6FFC">
              <w:rPr>
                <w:webHidden/>
              </w:rPr>
              <w:t>12</w:t>
            </w:r>
            <w:r w:rsidR="00BA6CEF" w:rsidRPr="00BA6CEF">
              <w:rPr>
                <w:webHidden/>
              </w:rPr>
              <w:fldChar w:fldCharType="end"/>
            </w:r>
          </w:hyperlink>
        </w:p>
        <w:p w14:paraId="4E233C35" w14:textId="77777777" w:rsidR="00BA6CEF" w:rsidRPr="00BA6CEF" w:rsidRDefault="00675EE3" w:rsidP="00D76A33">
          <w:pPr>
            <w:pStyle w:val="TOC2"/>
          </w:pPr>
          <w:hyperlink w:anchor="_Toc415568065" w:history="1">
            <w:r w:rsidR="00BA6CEF" w:rsidRPr="00BA6CEF">
              <w:rPr>
                <w:rStyle w:val="Hyperlink"/>
              </w:rPr>
              <w:t>A.12. Estimates of Annualized Burden Hours and Costs</w:t>
            </w:r>
            <w:r w:rsidR="00BA6CEF" w:rsidRPr="00BA6CEF">
              <w:rPr>
                <w:webHidden/>
              </w:rPr>
              <w:tab/>
            </w:r>
            <w:r w:rsidR="00BA6CEF" w:rsidRPr="00BA6CEF">
              <w:rPr>
                <w:webHidden/>
              </w:rPr>
              <w:fldChar w:fldCharType="begin"/>
            </w:r>
            <w:r w:rsidR="00BA6CEF" w:rsidRPr="00BA6CEF">
              <w:rPr>
                <w:webHidden/>
              </w:rPr>
              <w:instrText xml:space="preserve"> PAGEREF _Toc415568065 \h </w:instrText>
            </w:r>
            <w:r w:rsidR="00BA6CEF" w:rsidRPr="00BA6CEF">
              <w:rPr>
                <w:webHidden/>
              </w:rPr>
            </w:r>
            <w:r w:rsidR="00BA6CEF" w:rsidRPr="00BA6CEF">
              <w:rPr>
                <w:webHidden/>
              </w:rPr>
              <w:fldChar w:fldCharType="separate"/>
            </w:r>
            <w:r w:rsidR="006A6FFC">
              <w:rPr>
                <w:webHidden/>
              </w:rPr>
              <w:t>13</w:t>
            </w:r>
            <w:r w:rsidR="00BA6CEF" w:rsidRPr="00BA6CEF">
              <w:rPr>
                <w:webHidden/>
              </w:rPr>
              <w:fldChar w:fldCharType="end"/>
            </w:r>
          </w:hyperlink>
        </w:p>
        <w:p w14:paraId="38C9A0AF" w14:textId="77777777" w:rsidR="00BA6CEF" w:rsidRPr="00BA6CEF" w:rsidRDefault="00675EE3">
          <w:pPr>
            <w:pStyle w:val="TOC3"/>
            <w:tabs>
              <w:tab w:val="right" w:leader="dot" w:pos="9350"/>
            </w:tabs>
            <w:rPr>
              <w:rFonts w:ascii="Times New Roman" w:hAnsi="Times New Roman" w:cs="Times New Roman"/>
              <w:noProof/>
              <w:sz w:val="24"/>
              <w:szCs w:val="24"/>
            </w:rPr>
          </w:pPr>
          <w:hyperlink w:anchor="_Toc415568066" w:history="1">
            <w:r w:rsidR="00BA6CEF" w:rsidRPr="00BA6CEF">
              <w:rPr>
                <w:rStyle w:val="Hyperlink"/>
                <w:rFonts w:ascii="Times New Roman" w:hAnsi="Times New Roman" w:cs="Times New Roman"/>
                <w:noProof/>
                <w:sz w:val="24"/>
                <w:szCs w:val="24"/>
              </w:rPr>
              <w:t>A.12.1. Estimates of Annualized Burden Hours</w:t>
            </w:r>
            <w:r w:rsidR="00BA6CEF" w:rsidRPr="00BA6CEF">
              <w:rPr>
                <w:rFonts w:ascii="Times New Roman" w:hAnsi="Times New Roman" w:cs="Times New Roman"/>
                <w:noProof/>
                <w:webHidden/>
                <w:sz w:val="24"/>
                <w:szCs w:val="24"/>
              </w:rPr>
              <w:tab/>
            </w:r>
            <w:r w:rsidR="00BA6CEF" w:rsidRPr="00BA6CEF">
              <w:rPr>
                <w:rFonts w:ascii="Times New Roman" w:hAnsi="Times New Roman" w:cs="Times New Roman"/>
                <w:noProof/>
                <w:webHidden/>
                <w:sz w:val="24"/>
                <w:szCs w:val="24"/>
              </w:rPr>
              <w:fldChar w:fldCharType="begin"/>
            </w:r>
            <w:r w:rsidR="00BA6CEF" w:rsidRPr="00BA6CEF">
              <w:rPr>
                <w:rFonts w:ascii="Times New Roman" w:hAnsi="Times New Roman" w:cs="Times New Roman"/>
                <w:noProof/>
                <w:webHidden/>
                <w:sz w:val="24"/>
                <w:szCs w:val="24"/>
              </w:rPr>
              <w:instrText xml:space="preserve"> PAGEREF _Toc415568066 \h </w:instrText>
            </w:r>
            <w:r w:rsidR="00BA6CEF" w:rsidRPr="00BA6CEF">
              <w:rPr>
                <w:rFonts w:ascii="Times New Roman" w:hAnsi="Times New Roman" w:cs="Times New Roman"/>
                <w:noProof/>
                <w:webHidden/>
                <w:sz w:val="24"/>
                <w:szCs w:val="24"/>
              </w:rPr>
            </w:r>
            <w:r w:rsidR="00BA6CEF" w:rsidRPr="00BA6CEF">
              <w:rPr>
                <w:rFonts w:ascii="Times New Roman" w:hAnsi="Times New Roman" w:cs="Times New Roman"/>
                <w:noProof/>
                <w:webHidden/>
                <w:sz w:val="24"/>
                <w:szCs w:val="24"/>
              </w:rPr>
              <w:fldChar w:fldCharType="separate"/>
            </w:r>
            <w:r w:rsidR="006A6FFC">
              <w:rPr>
                <w:rFonts w:ascii="Times New Roman" w:hAnsi="Times New Roman" w:cs="Times New Roman"/>
                <w:noProof/>
                <w:webHidden/>
                <w:sz w:val="24"/>
                <w:szCs w:val="24"/>
              </w:rPr>
              <w:t>13</w:t>
            </w:r>
            <w:r w:rsidR="00BA6CEF" w:rsidRPr="00BA6CEF">
              <w:rPr>
                <w:rFonts w:ascii="Times New Roman" w:hAnsi="Times New Roman" w:cs="Times New Roman"/>
                <w:noProof/>
                <w:webHidden/>
                <w:sz w:val="24"/>
                <w:szCs w:val="24"/>
              </w:rPr>
              <w:fldChar w:fldCharType="end"/>
            </w:r>
          </w:hyperlink>
        </w:p>
        <w:p w14:paraId="2A2634D7" w14:textId="77777777" w:rsidR="00BA6CEF" w:rsidRPr="00BA6CEF" w:rsidRDefault="00675EE3">
          <w:pPr>
            <w:pStyle w:val="TOC3"/>
            <w:tabs>
              <w:tab w:val="right" w:leader="dot" w:pos="9350"/>
            </w:tabs>
            <w:rPr>
              <w:rFonts w:ascii="Times New Roman" w:hAnsi="Times New Roman" w:cs="Times New Roman"/>
              <w:noProof/>
              <w:sz w:val="24"/>
              <w:szCs w:val="24"/>
            </w:rPr>
          </w:pPr>
          <w:hyperlink w:anchor="_Toc415568067" w:history="1">
            <w:r w:rsidR="00BA6CEF" w:rsidRPr="00BA6CEF">
              <w:rPr>
                <w:rStyle w:val="Hyperlink"/>
                <w:rFonts w:ascii="Times New Roman" w:hAnsi="Times New Roman" w:cs="Times New Roman"/>
                <w:noProof/>
                <w:sz w:val="24"/>
                <w:szCs w:val="24"/>
              </w:rPr>
              <w:t>A.12.2. Annualized Cost to Respondents</w:t>
            </w:r>
            <w:r w:rsidR="00BA6CEF" w:rsidRPr="00BA6CEF">
              <w:rPr>
                <w:rFonts w:ascii="Times New Roman" w:hAnsi="Times New Roman" w:cs="Times New Roman"/>
                <w:noProof/>
                <w:webHidden/>
                <w:sz w:val="24"/>
                <w:szCs w:val="24"/>
              </w:rPr>
              <w:tab/>
            </w:r>
            <w:r w:rsidR="00BA6CEF" w:rsidRPr="00BA6CEF">
              <w:rPr>
                <w:rFonts w:ascii="Times New Roman" w:hAnsi="Times New Roman" w:cs="Times New Roman"/>
                <w:noProof/>
                <w:webHidden/>
                <w:sz w:val="24"/>
                <w:szCs w:val="24"/>
              </w:rPr>
              <w:fldChar w:fldCharType="begin"/>
            </w:r>
            <w:r w:rsidR="00BA6CEF" w:rsidRPr="00BA6CEF">
              <w:rPr>
                <w:rFonts w:ascii="Times New Roman" w:hAnsi="Times New Roman" w:cs="Times New Roman"/>
                <w:noProof/>
                <w:webHidden/>
                <w:sz w:val="24"/>
                <w:szCs w:val="24"/>
              </w:rPr>
              <w:instrText xml:space="preserve"> PAGEREF _Toc415568067 \h </w:instrText>
            </w:r>
            <w:r w:rsidR="00BA6CEF" w:rsidRPr="00BA6CEF">
              <w:rPr>
                <w:rFonts w:ascii="Times New Roman" w:hAnsi="Times New Roman" w:cs="Times New Roman"/>
                <w:noProof/>
                <w:webHidden/>
                <w:sz w:val="24"/>
                <w:szCs w:val="24"/>
              </w:rPr>
            </w:r>
            <w:r w:rsidR="00BA6CEF" w:rsidRPr="00BA6CEF">
              <w:rPr>
                <w:rFonts w:ascii="Times New Roman" w:hAnsi="Times New Roman" w:cs="Times New Roman"/>
                <w:noProof/>
                <w:webHidden/>
                <w:sz w:val="24"/>
                <w:szCs w:val="24"/>
              </w:rPr>
              <w:fldChar w:fldCharType="separate"/>
            </w:r>
            <w:r w:rsidR="006A6FFC">
              <w:rPr>
                <w:rFonts w:ascii="Times New Roman" w:hAnsi="Times New Roman" w:cs="Times New Roman"/>
                <w:noProof/>
                <w:webHidden/>
                <w:sz w:val="24"/>
                <w:szCs w:val="24"/>
              </w:rPr>
              <w:t>13</w:t>
            </w:r>
            <w:r w:rsidR="00BA6CEF" w:rsidRPr="00BA6CEF">
              <w:rPr>
                <w:rFonts w:ascii="Times New Roman" w:hAnsi="Times New Roman" w:cs="Times New Roman"/>
                <w:noProof/>
                <w:webHidden/>
                <w:sz w:val="24"/>
                <w:szCs w:val="24"/>
              </w:rPr>
              <w:fldChar w:fldCharType="end"/>
            </w:r>
          </w:hyperlink>
        </w:p>
        <w:p w14:paraId="16C5D8BA" w14:textId="77777777" w:rsidR="00BA6CEF" w:rsidRPr="00BA6CEF" w:rsidRDefault="00675EE3" w:rsidP="00D76A33">
          <w:pPr>
            <w:pStyle w:val="TOC2"/>
          </w:pPr>
          <w:hyperlink w:anchor="_Toc415568068" w:history="1">
            <w:r w:rsidR="00BA6CEF" w:rsidRPr="00BA6CEF">
              <w:rPr>
                <w:rStyle w:val="Hyperlink"/>
              </w:rPr>
              <w:t>A.13. Estimates of Other Total Annual Cost Burden to Respondents or Record Keepers</w:t>
            </w:r>
            <w:r w:rsidR="00BA6CEF" w:rsidRPr="00BA6CEF">
              <w:rPr>
                <w:webHidden/>
              </w:rPr>
              <w:tab/>
            </w:r>
            <w:r w:rsidR="00BA6CEF" w:rsidRPr="00BA6CEF">
              <w:rPr>
                <w:webHidden/>
              </w:rPr>
              <w:fldChar w:fldCharType="begin"/>
            </w:r>
            <w:r w:rsidR="00BA6CEF" w:rsidRPr="00BA6CEF">
              <w:rPr>
                <w:webHidden/>
              </w:rPr>
              <w:instrText xml:space="preserve"> PAGEREF _Toc415568068 \h </w:instrText>
            </w:r>
            <w:r w:rsidR="00BA6CEF" w:rsidRPr="00BA6CEF">
              <w:rPr>
                <w:webHidden/>
              </w:rPr>
            </w:r>
            <w:r w:rsidR="00BA6CEF" w:rsidRPr="00BA6CEF">
              <w:rPr>
                <w:webHidden/>
              </w:rPr>
              <w:fldChar w:fldCharType="separate"/>
            </w:r>
            <w:r w:rsidR="006A6FFC">
              <w:rPr>
                <w:webHidden/>
              </w:rPr>
              <w:t>13</w:t>
            </w:r>
            <w:r w:rsidR="00BA6CEF" w:rsidRPr="00BA6CEF">
              <w:rPr>
                <w:webHidden/>
              </w:rPr>
              <w:fldChar w:fldCharType="end"/>
            </w:r>
          </w:hyperlink>
        </w:p>
        <w:p w14:paraId="3F180906" w14:textId="77777777" w:rsidR="00BA6CEF" w:rsidRPr="00BA6CEF" w:rsidRDefault="00675EE3" w:rsidP="00D76A33">
          <w:pPr>
            <w:pStyle w:val="TOC2"/>
          </w:pPr>
          <w:hyperlink w:anchor="_Toc415568069" w:history="1">
            <w:r w:rsidR="00BA6CEF" w:rsidRPr="00BA6CEF">
              <w:rPr>
                <w:rStyle w:val="Hyperlink"/>
              </w:rPr>
              <w:t>A.14. Annualized Cost to the Government</w:t>
            </w:r>
            <w:r w:rsidR="00BA6CEF" w:rsidRPr="00BA6CEF">
              <w:rPr>
                <w:webHidden/>
              </w:rPr>
              <w:tab/>
            </w:r>
            <w:r w:rsidR="00BA6CEF" w:rsidRPr="00BA6CEF">
              <w:rPr>
                <w:webHidden/>
              </w:rPr>
              <w:fldChar w:fldCharType="begin"/>
            </w:r>
            <w:r w:rsidR="00BA6CEF" w:rsidRPr="00BA6CEF">
              <w:rPr>
                <w:webHidden/>
              </w:rPr>
              <w:instrText xml:space="preserve"> PAGEREF _Toc415568069 \h </w:instrText>
            </w:r>
            <w:r w:rsidR="00BA6CEF" w:rsidRPr="00BA6CEF">
              <w:rPr>
                <w:webHidden/>
              </w:rPr>
            </w:r>
            <w:r w:rsidR="00BA6CEF" w:rsidRPr="00BA6CEF">
              <w:rPr>
                <w:webHidden/>
              </w:rPr>
              <w:fldChar w:fldCharType="separate"/>
            </w:r>
            <w:r w:rsidR="006A6FFC">
              <w:rPr>
                <w:webHidden/>
              </w:rPr>
              <w:t>14</w:t>
            </w:r>
            <w:r w:rsidR="00BA6CEF" w:rsidRPr="00BA6CEF">
              <w:rPr>
                <w:webHidden/>
              </w:rPr>
              <w:fldChar w:fldCharType="end"/>
            </w:r>
          </w:hyperlink>
        </w:p>
        <w:p w14:paraId="181F0087" w14:textId="77777777" w:rsidR="00BA6CEF" w:rsidRPr="00BA6CEF" w:rsidRDefault="00675EE3" w:rsidP="00D76A33">
          <w:pPr>
            <w:pStyle w:val="TOC2"/>
          </w:pPr>
          <w:hyperlink w:anchor="_Toc415568070" w:history="1">
            <w:r w:rsidR="00BA6CEF" w:rsidRPr="00BA6CEF">
              <w:rPr>
                <w:rStyle w:val="Hyperlink"/>
              </w:rPr>
              <w:t>A.15. Explanation for Program Changes or Adjustments</w:t>
            </w:r>
            <w:r w:rsidR="00BA6CEF" w:rsidRPr="00BA6CEF">
              <w:rPr>
                <w:webHidden/>
              </w:rPr>
              <w:tab/>
            </w:r>
            <w:r w:rsidR="00BA6CEF" w:rsidRPr="00BA6CEF">
              <w:rPr>
                <w:webHidden/>
              </w:rPr>
              <w:fldChar w:fldCharType="begin"/>
            </w:r>
            <w:r w:rsidR="00BA6CEF" w:rsidRPr="00BA6CEF">
              <w:rPr>
                <w:webHidden/>
              </w:rPr>
              <w:instrText xml:space="preserve"> PAGEREF _Toc415568070 \h </w:instrText>
            </w:r>
            <w:r w:rsidR="00BA6CEF" w:rsidRPr="00BA6CEF">
              <w:rPr>
                <w:webHidden/>
              </w:rPr>
            </w:r>
            <w:r w:rsidR="00BA6CEF" w:rsidRPr="00BA6CEF">
              <w:rPr>
                <w:webHidden/>
              </w:rPr>
              <w:fldChar w:fldCharType="separate"/>
            </w:r>
            <w:r w:rsidR="006A6FFC">
              <w:rPr>
                <w:webHidden/>
              </w:rPr>
              <w:t>14</w:t>
            </w:r>
            <w:r w:rsidR="00BA6CEF" w:rsidRPr="00BA6CEF">
              <w:rPr>
                <w:webHidden/>
              </w:rPr>
              <w:fldChar w:fldCharType="end"/>
            </w:r>
          </w:hyperlink>
        </w:p>
        <w:p w14:paraId="7863EA3F" w14:textId="77777777" w:rsidR="00BA6CEF" w:rsidRPr="00BA6CEF" w:rsidRDefault="00675EE3" w:rsidP="00D76A33">
          <w:pPr>
            <w:pStyle w:val="TOC2"/>
          </w:pPr>
          <w:hyperlink w:anchor="_Toc415568071" w:history="1">
            <w:r w:rsidR="00BA6CEF" w:rsidRPr="00BA6CEF">
              <w:rPr>
                <w:rStyle w:val="Hyperlink"/>
              </w:rPr>
              <w:t>A.16. Plans for Tabulation and Publication and Project Time Schedule</w:t>
            </w:r>
            <w:r w:rsidR="00BA6CEF" w:rsidRPr="00BA6CEF">
              <w:rPr>
                <w:webHidden/>
              </w:rPr>
              <w:tab/>
            </w:r>
            <w:r w:rsidR="00BA6CEF" w:rsidRPr="00BA6CEF">
              <w:rPr>
                <w:webHidden/>
              </w:rPr>
              <w:fldChar w:fldCharType="begin"/>
            </w:r>
            <w:r w:rsidR="00BA6CEF" w:rsidRPr="00BA6CEF">
              <w:rPr>
                <w:webHidden/>
              </w:rPr>
              <w:instrText xml:space="preserve"> PAGEREF _Toc415568071 \h </w:instrText>
            </w:r>
            <w:r w:rsidR="00BA6CEF" w:rsidRPr="00BA6CEF">
              <w:rPr>
                <w:webHidden/>
              </w:rPr>
            </w:r>
            <w:r w:rsidR="00BA6CEF" w:rsidRPr="00BA6CEF">
              <w:rPr>
                <w:webHidden/>
              </w:rPr>
              <w:fldChar w:fldCharType="separate"/>
            </w:r>
            <w:r w:rsidR="006A6FFC">
              <w:rPr>
                <w:webHidden/>
              </w:rPr>
              <w:t>14</w:t>
            </w:r>
            <w:r w:rsidR="00BA6CEF" w:rsidRPr="00BA6CEF">
              <w:rPr>
                <w:webHidden/>
              </w:rPr>
              <w:fldChar w:fldCharType="end"/>
            </w:r>
          </w:hyperlink>
        </w:p>
        <w:p w14:paraId="2C1E5D5D" w14:textId="77777777" w:rsidR="00BA6CEF" w:rsidRPr="00BA6CEF" w:rsidRDefault="00675EE3" w:rsidP="00D76A33">
          <w:pPr>
            <w:pStyle w:val="TOC2"/>
          </w:pPr>
          <w:hyperlink w:anchor="_Toc415568072" w:history="1">
            <w:r w:rsidR="00BA6CEF" w:rsidRPr="00BA6CEF">
              <w:rPr>
                <w:rStyle w:val="Hyperlink"/>
              </w:rPr>
              <w:t>A.17. Reason(s) Display of OMB Expiration Date is Inappropriate</w:t>
            </w:r>
            <w:r w:rsidR="00BA6CEF" w:rsidRPr="00BA6CEF">
              <w:rPr>
                <w:webHidden/>
              </w:rPr>
              <w:tab/>
            </w:r>
            <w:r w:rsidR="00BA6CEF" w:rsidRPr="00BA6CEF">
              <w:rPr>
                <w:webHidden/>
              </w:rPr>
              <w:fldChar w:fldCharType="begin"/>
            </w:r>
            <w:r w:rsidR="00BA6CEF" w:rsidRPr="00BA6CEF">
              <w:rPr>
                <w:webHidden/>
              </w:rPr>
              <w:instrText xml:space="preserve"> PAGEREF _Toc415568072 \h </w:instrText>
            </w:r>
            <w:r w:rsidR="00BA6CEF" w:rsidRPr="00BA6CEF">
              <w:rPr>
                <w:webHidden/>
              </w:rPr>
            </w:r>
            <w:r w:rsidR="00BA6CEF" w:rsidRPr="00BA6CEF">
              <w:rPr>
                <w:webHidden/>
              </w:rPr>
              <w:fldChar w:fldCharType="separate"/>
            </w:r>
            <w:r w:rsidR="006A6FFC">
              <w:rPr>
                <w:webHidden/>
              </w:rPr>
              <w:t>15</w:t>
            </w:r>
            <w:r w:rsidR="00BA6CEF" w:rsidRPr="00BA6CEF">
              <w:rPr>
                <w:webHidden/>
              </w:rPr>
              <w:fldChar w:fldCharType="end"/>
            </w:r>
          </w:hyperlink>
        </w:p>
        <w:p w14:paraId="23F0709C" w14:textId="77777777" w:rsidR="00BA6CEF" w:rsidRDefault="00675EE3" w:rsidP="00D76A33">
          <w:pPr>
            <w:pStyle w:val="TOC2"/>
            <w:rPr>
              <w:rFonts w:asciiTheme="minorHAnsi" w:hAnsiTheme="minorHAnsi" w:cstheme="minorBidi"/>
              <w:sz w:val="22"/>
              <w:szCs w:val="22"/>
            </w:rPr>
          </w:pPr>
          <w:hyperlink w:anchor="_Toc415568073" w:history="1">
            <w:r w:rsidR="00BA6CEF" w:rsidRPr="00BA6CEF">
              <w:rPr>
                <w:rStyle w:val="Hyperlink"/>
              </w:rPr>
              <w:t>A.18. Exceptions to Certification for Paperwork Reduction Act Submissions</w:t>
            </w:r>
            <w:r w:rsidR="00BA6CEF" w:rsidRPr="00BA6CEF">
              <w:rPr>
                <w:webHidden/>
              </w:rPr>
              <w:tab/>
            </w:r>
            <w:r w:rsidR="00BA6CEF" w:rsidRPr="00BA6CEF">
              <w:rPr>
                <w:webHidden/>
              </w:rPr>
              <w:fldChar w:fldCharType="begin"/>
            </w:r>
            <w:r w:rsidR="00BA6CEF" w:rsidRPr="00BA6CEF">
              <w:rPr>
                <w:webHidden/>
              </w:rPr>
              <w:instrText xml:space="preserve"> PAGEREF _Toc415568073 \h </w:instrText>
            </w:r>
            <w:r w:rsidR="00BA6CEF" w:rsidRPr="00BA6CEF">
              <w:rPr>
                <w:webHidden/>
              </w:rPr>
            </w:r>
            <w:r w:rsidR="00BA6CEF" w:rsidRPr="00BA6CEF">
              <w:rPr>
                <w:webHidden/>
              </w:rPr>
              <w:fldChar w:fldCharType="separate"/>
            </w:r>
            <w:r w:rsidR="006A6FFC">
              <w:rPr>
                <w:webHidden/>
              </w:rPr>
              <w:t>15</w:t>
            </w:r>
            <w:r w:rsidR="00BA6CEF" w:rsidRPr="00BA6CEF">
              <w:rPr>
                <w:webHidden/>
              </w:rPr>
              <w:fldChar w:fldCharType="end"/>
            </w:r>
          </w:hyperlink>
        </w:p>
        <w:p w14:paraId="5A1CD082" w14:textId="77777777" w:rsidR="00AD6E54" w:rsidRDefault="00AD6E54">
          <w:r>
            <w:rPr>
              <w:b/>
              <w:bCs/>
              <w:noProof/>
            </w:rPr>
            <w:fldChar w:fldCharType="end"/>
          </w:r>
        </w:p>
      </w:sdtContent>
    </w:sdt>
    <w:p w14:paraId="1E780224" w14:textId="77777777" w:rsidR="00DC4A1A" w:rsidRDefault="00DC4A1A">
      <w:pPr>
        <w:rPr>
          <w:b/>
        </w:rPr>
      </w:pPr>
      <w:r>
        <w:rPr>
          <w:b/>
        </w:rPr>
        <w:br w:type="page"/>
      </w:r>
    </w:p>
    <w:p w14:paraId="49274AA4" w14:textId="77777777" w:rsidR="0032408B" w:rsidRPr="009F7507" w:rsidRDefault="0032408B" w:rsidP="0032408B">
      <w:pPr>
        <w:rPr>
          <w:b/>
        </w:rPr>
      </w:pPr>
      <w:r>
        <w:rPr>
          <w:b/>
        </w:rPr>
        <w:lastRenderedPageBreak/>
        <w:t>ATTACHMENTS</w:t>
      </w:r>
    </w:p>
    <w:p w14:paraId="036764B3" w14:textId="77777777" w:rsidR="0032408B" w:rsidRDefault="0032408B" w:rsidP="0032408B">
      <w:pPr>
        <w:pStyle w:val="ListParagraph"/>
        <w:numPr>
          <w:ilvl w:val="0"/>
          <w:numId w:val="27"/>
        </w:numPr>
        <w:spacing w:after="200" w:line="276" w:lineRule="auto"/>
        <w:rPr>
          <w:b/>
        </w:rPr>
      </w:pPr>
      <w:r>
        <w:rPr>
          <w:b/>
        </w:rPr>
        <w:t>Supporting Statement A</w:t>
      </w:r>
    </w:p>
    <w:p w14:paraId="308EE8D1" w14:textId="77777777" w:rsidR="0032408B" w:rsidRDefault="0032408B" w:rsidP="0032408B">
      <w:pPr>
        <w:pStyle w:val="ListParagraph"/>
        <w:numPr>
          <w:ilvl w:val="0"/>
          <w:numId w:val="27"/>
        </w:numPr>
        <w:spacing w:after="200" w:line="276" w:lineRule="auto"/>
        <w:rPr>
          <w:b/>
        </w:rPr>
      </w:pPr>
      <w:r>
        <w:rPr>
          <w:b/>
        </w:rPr>
        <w:t>Supporting Statement B</w:t>
      </w:r>
    </w:p>
    <w:p w14:paraId="75865FD5" w14:textId="77777777" w:rsidR="0032408B" w:rsidRDefault="0032408B" w:rsidP="0032408B">
      <w:pPr>
        <w:pStyle w:val="ListParagraph"/>
        <w:numPr>
          <w:ilvl w:val="0"/>
          <w:numId w:val="27"/>
        </w:numPr>
        <w:spacing w:after="200" w:line="276" w:lineRule="auto"/>
        <w:rPr>
          <w:b/>
        </w:rPr>
      </w:pPr>
      <w:r>
        <w:rPr>
          <w:b/>
        </w:rPr>
        <w:t>Decatur EI Assent/Consent/Parental Permission Forms</w:t>
      </w:r>
    </w:p>
    <w:p w14:paraId="3F175A47" w14:textId="77777777" w:rsidR="0032408B" w:rsidRDefault="0032408B" w:rsidP="0032408B">
      <w:pPr>
        <w:pStyle w:val="ListParagraph"/>
        <w:numPr>
          <w:ilvl w:val="1"/>
          <w:numId w:val="27"/>
        </w:numPr>
        <w:spacing w:after="200" w:line="276" w:lineRule="auto"/>
        <w:rPr>
          <w:b/>
        </w:rPr>
      </w:pPr>
      <w:r w:rsidRPr="00F3090F">
        <w:rPr>
          <w:b/>
        </w:rPr>
        <w:t>Adult Consent Form (≥ 18 years of age)</w:t>
      </w:r>
    </w:p>
    <w:p w14:paraId="7DEF1ED8" w14:textId="77777777" w:rsidR="0032408B" w:rsidRDefault="0032408B" w:rsidP="0032408B">
      <w:pPr>
        <w:pStyle w:val="ListParagraph"/>
        <w:numPr>
          <w:ilvl w:val="1"/>
          <w:numId w:val="27"/>
        </w:numPr>
        <w:spacing w:after="200" w:line="276" w:lineRule="auto"/>
        <w:rPr>
          <w:b/>
        </w:rPr>
      </w:pPr>
      <w:r>
        <w:rPr>
          <w:b/>
        </w:rPr>
        <w:t xml:space="preserve">Adult Consent Form for Sample Storage </w:t>
      </w:r>
      <w:r w:rsidRPr="00F3090F">
        <w:rPr>
          <w:b/>
        </w:rPr>
        <w:t>(≥ 18 years of age)</w:t>
      </w:r>
      <w:r>
        <w:rPr>
          <w:b/>
        </w:rPr>
        <w:t xml:space="preserve"> </w:t>
      </w:r>
    </w:p>
    <w:p w14:paraId="597F487E" w14:textId="77777777" w:rsidR="0032408B" w:rsidRDefault="0032408B" w:rsidP="0032408B">
      <w:pPr>
        <w:pStyle w:val="ListParagraph"/>
        <w:numPr>
          <w:ilvl w:val="1"/>
          <w:numId w:val="27"/>
        </w:numPr>
        <w:spacing w:after="200" w:line="276" w:lineRule="auto"/>
        <w:rPr>
          <w:b/>
        </w:rPr>
      </w:pPr>
      <w:r w:rsidRPr="00F3090F">
        <w:rPr>
          <w:b/>
        </w:rPr>
        <w:t>Assent Form for Children (12 - &lt; 18 Years)</w:t>
      </w:r>
    </w:p>
    <w:p w14:paraId="030CE5B7" w14:textId="77777777" w:rsidR="0032408B" w:rsidRPr="00077D5C" w:rsidRDefault="0032408B" w:rsidP="0032408B">
      <w:pPr>
        <w:pStyle w:val="ListParagraph"/>
        <w:numPr>
          <w:ilvl w:val="1"/>
          <w:numId w:val="27"/>
        </w:numPr>
        <w:spacing w:after="200" w:line="276" w:lineRule="auto"/>
        <w:rPr>
          <w:b/>
        </w:rPr>
      </w:pPr>
      <w:r>
        <w:rPr>
          <w:b/>
        </w:rPr>
        <w:t xml:space="preserve">Assent Form for Children for Sample Storage </w:t>
      </w:r>
      <w:r w:rsidRPr="00F3090F">
        <w:rPr>
          <w:b/>
        </w:rPr>
        <w:t>(12 - &lt; 18 Years)</w:t>
      </w:r>
    </w:p>
    <w:p w14:paraId="20D54C17" w14:textId="77777777" w:rsidR="0032408B" w:rsidRDefault="0032408B" w:rsidP="0032408B">
      <w:pPr>
        <w:pStyle w:val="ListParagraph"/>
        <w:numPr>
          <w:ilvl w:val="1"/>
          <w:numId w:val="27"/>
        </w:numPr>
        <w:spacing w:after="200" w:line="276" w:lineRule="auto"/>
        <w:rPr>
          <w:b/>
        </w:rPr>
      </w:pPr>
      <w:r w:rsidRPr="00F3090F">
        <w:rPr>
          <w:b/>
        </w:rPr>
        <w:t>Parental Permission Form for Children (12 - &lt; 18 Years) Participating in Investigation</w:t>
      </w:r>
    </w:p>
    <w:p w14:paraId="31D4C116" w14:textId="77777777" w:rsidR="0032408B" w:rsidRPr="00F3090F" w:rsidRDefault="0032408B" w:rsidP="0032408B">
      <w:pPr>
        <w:pStyle w:val="ListParagraph"/>
        <w:numPr>
          <w:ilvl w:val="1"/>
          <w:numId w:val="27"/>
        </w:numPr>
        <w:spacing w:after="200" w:line="276" w:lineRule="auto"/>
        <w:rPr>
          <w:b/>
        </w:rPr>
      </w:pPr>
      <w:r>
        <w:rPr>
          <w:b/>
        </w:rPr>
        <w:t xml:space="preserve">Parental Permission Form for Sample Storage </w:t>
      </w:r>
      <w:r w:rsidRPr="00F3090F">
        <w:rPr>
          <w:b/>
        </w:rPr>
        <w:t>for Children (12 - &lt; 18 Years) Participating in Investigation</w:t>
      </w:r>
    </w:p>
    <w:p w14:paraId="4A003259" w14:textId="77777777" w:rsidR="0032408B" w:rsidRPr="00BB5A4C" w:rsidRDefault="0032408B" w:rsidP="0032408B">
      <w:pPr>
        <w:pStyle w:val="ListParagraph"/>
        <w:numPr>
          <w:ilvl w:val="0"/>
          <w:numId w:val="27"/>
        </w:numPr>
        <w:spacing w:after="200" w:line="276" w:lineRule="auto"/>
        <w:rPr>
          <w:b/>
        </w:rPr>
      </w:pPr>
      <w:r>
        <w:rPr>
          <w:b/>
        </w:rPr>
        <w:t>Decatur EI Questionnaire</w:t>
      </w:r>
    </w:p>
    <w:p w14:paraId="04985382" w14:textId="77777777" w:rsidR="0032408B" w:rsidRDefault="0032408B" w:rsidP="0032408B">
      <w:pPr>
        <w:pStyle w:val="ListParagraph"/>
        <w:numPr>
          <w:ilvl w:val="0"/>
          <w:numId w:val="27"/>
        </w:numPr>
        <w:spacing w:after="200" w:line="276" w:lineRule="auto"/>
        <w:rPr>
          <w:b/>
        </w:rPr>
      </w:pPr>
      <w:r>
        <w:rPr>
          <w:b/>
        </w:rPr>
        <w:t>Decatur</w:t>
      </w:r>
      <w:r w:rsidRPr="004D64A2">
        <w:rPr>
          <w:b/>
        </w:rPr>
        <w:t xml:space="preserve"> EI Human Subjects Research Determination Form </w:t>
      </w:r>
    </w:p>
    <w:p w14:paraId="62C8472A" w14:textId="77777777" w:rsidR="0032408B" w:rsidRDefault="0032408B" w:rsidP="0032408B">
      <w:pPr>
        <w:pStyle w:val="ListParagraph"/>
        <w:numPr>
          <w:ilvl w:val="0"/>
          <w:numId w:val="27"/>
        </w:numPr>
        <w:spacing w:after="200" w:line="276" w:lineRule="auto"/>
        <w:rPr>
          <w:b/>
        </w:rPr>
      </w:pPr>
      <w:r>
        <w:rPr>
          <w:b/>
        </w:rPr>
        <w:t>Decatur</w:t>
      </w:r>
      <w:r w:rsidRPr="00081384">
        <w:rPr>
          <w:b/>
        </w:rPr>
        <w:t xml:space="preserve"> EI Sample Results Letters</w:t>
      </w:r>
    </w:p>
    <w:p w14:paraId="385F0527" w14:textId="77777777" w:rsidR="0032408B" w:rsidRDefault="0032408B" w:rsidP="0032408B">
      <w:pPr>
        <w:pStyle w:val="ListParagraph"/>
        <w:numPr>
          <w:ilvl w:val="0"/>
          <w:numId w:val="27"/>
        </w:numPr>
        <w:spacing w:after="200" w:line="276" w:lineRule="auto"/>
        <w:rPr>
          <w:b/>
        </w:rPr>
      </w:pPr>
      <w:r w:rsidRPr="00081384">
        <w:rPr>
          <w:b/>
        </w:rPr>
        <w:t>Example of Prior Exposure Investigation Final Report</w:t>
      </w:r>
    </w:p>
    <w:p w14:paraId="42CE063C" w14:textId="77777777" w:rsidR="00D61AAC" w:rsidRDefault="00D61AAC">
      <w:pPr>
        <w:rPr>
          <w:rFonts w:asciiTheme="majorHAnsi" w:eastAsiaTheme="majorEastAsia" w:hAnsiTheme="majorHAnsi" w:cstheme="majorBidi"/>
          <w:b/>
          <w:bCs/>
          <w:color w:val="365F91" w:themeColor="accent1" w:themeShade="BF"/>
          <w:sz w:val="28"/>
          <w:szCs w:val="28"/>
        </w:rPr>
      </w:pPr>
    </w:p>
    <w:bookmarkEnd w:id="1"/>
    <w:bookmarkEnd w:id="2"/>
    <w:bookmarkEnd w:id="3"/>
    <w:bookmarkEnd w:id="4"/>
    <w:bookmarkEnd w:id="5"/>
    <w:bookmarkEnd w:id="6"/>
    <w:bookmarkEnd w:id="7"/>
    <w:bookmarkEnd w:id="8"/>
    <w:bookmarkEnd w:id="9"/>
    <w:bookmarkEnd w:id="10"/>
    <w:bookmarkEnd w:id="11"/>
    <w:p w14:paraId="74D20A8A" w14:textId="77777777" w:rsidR="003E4C15" w:rsidRPr="00DC4A1A" w:rsidRDefault="003E4C15" w:rsidP="00DC4A1A">
      <w:pPr>
        <w:pStyle w:val="Heading1"/>
      </w:pPr>
    </w:p>
    <w:p w14:paraId="38EB5774" w14:textId="77777777" w:rsidR="00AD6E54" w:rsidRDefault="00AD6E54">
      <w:pPr>
        <w:rPr>
          <w:rFonts w:asciiTheme="majorHAnsi" w:eastAsiaTheme="majorEastAsia" w:hAnsiTheme="majorHAnsi" w:cstheme="majorBidi"/>
          <w:b/>
          <w:bCs/>
          <w:color w:val="4F81BD" w:themeColor="accent1"/>
          <w:sz w:val="26"/>
          <w:szCs w:val="26"/>
        </w:rPr>
      </w:pPr>
      <w:bookmarkStart w:id="12" w:name="_Toc415567660"/>
      <w:r>
        <w:br w:type="page"/>
      </w:r>
    </w:p>
    <w:bookmarkStart w:id="13" w:name="_Toc415568052"/>
    <w:p w14:paraId="3786D8C7" w14:textId="77777777" w:rsidR="0056679B" w:rsidRDefault="0056679B" w:rsidP="00AD6E54">
      <w:pPr>
        <w:pStyle w:val="Heading1"/>
      </w:pPr>
      <w:r>
        <w:rPr>
          <w:noProof/>
        </w:rPr>
        <w:lastRenderedPageBreak/>
        <mc:AlternateContent>
          <mc:Choice Requires="wps">
            <w:drawing>
              <wp:inline distT="0" distB="0" distL="0" distR="0" wp14:anchorId="598710B1" wp14:editId="6E7996DA">
                <wp:extent cx="6162675" cy="7788166"/>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788166"/>
                        </a:xfrm>
                        <a:prstGeom prst="rect">
                          <a:avLst/>
                        </a:prstGeom>
                        <a:solidFill>
                          <a:srgbClr val="FFFFFF"/>
                        </a:solidFill>
                        <a:ln w="9525">
                          <a:solidFill>
                            <a:srgbClr val="000000"/>
                          </a:solidFill>
                          <a:miter lim="800000"/>
                          <a:headEnd/>
                          <a:tailEnd/>
                        </a:ln>
                      </wps:spPr>
                      <wps:txbx>
                        <w:txbxContent>
                          <w:p w14:paraId="13956102" w14:textId="77777777" w:rsidR="00C128DC" w:rsidRDefault="00C128DC" w:rsidP="001B26E3">
                            <w:pPr>
                              <w:pStyle w:val="ListParagraph"/>
                              <w:numPr>
                                <w:ilvl w:val="0"/>
                                <w:numId w:val="35"/>
                              </w:numPr>
                            </w:pPr>
                            <w:r w:rsidRPr="0056679B">
                              <w:rPr>
                                <w:b/>
                              </w:rPr>
                              <w:t>Goal of the Study:</w:t>
                            </w:r>
                            <w:r w:rsidRPr="0056679B">
                              <w:t xml:space="preserve"> </w:t>
                            </w:r>
                            <w:r>
                              <w:t>This project has four primary objectives:</w:t>
                            </w:r>
                          </w:p>
                          <w:p w14:paraId="64B74884" w14:textId="77777777" w:rsidR="00C128DC" w:rsidRDefault="00C128DC" w:rsidP="008C5DC8">
                            <w:pPr>
                              <w:pStyle w:val="ListParagraph"/>
                              <w:numPr>
                                <w:ilvl w:val="1"/>
                                <w:numId w:val="35"/>
                              </w:numPr>
                            </w:pPr>
                            <w:r>
                              <w:t xml:space="preserve">Compare concentrations of perfluorinated compounds (PFCs) measured in each individual with their past PFC concentrations measured during the 2010 EI. </w:t>
                            </w:r>
                          </w:p>
                          <w:p w14:paraId="6665D208" w14:textId="77777777" w:rsidR="00C128DC" w:rsidRDefault="00C128DC" w:rsidP="008C5DC8">
                            <w:pPr>
                              <w:pStyle w:val="ListParagraph"/>
                              <w:numPr>
                                <w:ilvl w:val="1"/>
                                <w:numId w:val="35"/>
                              </w:numPr>
                            </w:pPr>
                            <w:r>
                              <w:t xml:space="preserve">Compare individuals’ serum PFC concentrations to the national reference population (NHANES 2011-2012). </w:t>
                            </w:r>
                          </w:p>
                          <w:p w14:paraId="6B377431" w14:textId="73EA6312" w:rsidR="00C128DC" w:rsidRPr="004C7299" w:rsidRDefault="00C128DC" w:rsidP="001B26E3">
                            <w:pPr>
                              <w:pStyle w:val="ListParagraph"/>
                              <w:numPr>
                                <w:ilvl w:val="1"/>
                                <w:numId w:val="35"/>
                              </w:numPr>
                            </w:pPr>
                            <w:r w:rsidRPr="004C7299">
                              <w:t>Calculate the biological half-life for each PFC species using paired blood and urine PFC concentrations to improve the understanding of the pharmacokinetic behavior of these compounds in humans</w:t>
                            </w:r>
                            <w:r>
                              <w:rPr>
                                <w:color w:val="FF0000"/>
                              </w:rPr>
                              <w:t xml:space="preserve"> </w:t>
                            </w:r>
                            <w:r w:rsidRPr="004C7299">
                              <w:t xml:space="preserve">in this community. </w:t>
                            </w:r>
                          </w:p>
                          <w:p w14:paraId="49715C3C" w14:textId="77777777" w:rsidR="00C128DC" w:rsidRDefault="00C128DC" w:rsidP="001B26E3">
                            <w:pPr>
                              <w:pStyle w:val="ListParagraph"/>
                              <w:numPr>
                                <w:ilvl w:val="1"/>
                                <w:numId w:val="35"/>
                              </w:numPr>
                            </w:pPr>
                            <w:r>
                              <w:t>Evaluate the potential existence of non-drinking water PFC exposure pathways through physiologically-based pharmacokinetic (PBPK) modeling.</w:t>
                            </w:r>
                          </w:p>
                          <w:p w14:paraId="1CEC3AF2" w14:textId="77777777" w:rsidR="00C128DC" w:rsidRPr="0056679B" w:rsidRDefault="00C128DC" w:rsidP="001B26E3">
                            <w:pPr>
                              <w:pStyle w:val="ListParagraph"/>
                              <w:ind w:left="1080"/>
                            </w:pPr>
                          </w:p>
                          <w:p w14:paraId="2D9E24E4" w14:textId="510D9479" w:rsidR="00C128DC" w:rsidRPr="0056679B" w:rsidRDefault="00C128DC" w:rsidP="00D76A33">
                            <w:pPr>
                              <w:pStyle w:val="ListParagraph"/>
                              <w:numPr>
                                <w:ilvl w:val="0"/>
                                <w:numId w:val="35"/>
                              </w:numPr>
                              <w:spacing w:after="200" w:line="276" w:lineRule="auto"/>
                            </w:pPr>
                            <w:r w:rsidRPr="0056679B">
                              <w:rPr>
                                <w:b/>
                              </w:rPr>
                              <w:t>Intended Use of the Resulting Data</w:t>
                            </w:r>
                            <w:r w:rsidRPr="0056679B">
                              <w:t xml:space="preserve">: Data will be used to provide information to the community about their ongoing and past exposures to PFCs, to inform public health recommendations and evaluate the success of past mitigation activities, and to </w:t>
                            </w:r>
                            <w:r w:rsidRPr="004C7299">
                              <w:t xml:space="preserve">contribute to the scientific body of knowledge concerning human exposures to PFCs in this community. </w:t>
                            </w:r>
                            <w:r>
                              <w:t>PBPK modeling will be used to interpret individual results in the context of exposure and will help ATSDR scientists to evaluate the potential existence of non-drinking water exposure pathways.</w:t>
                            </w:r>
                            <w:r w:rsidRPr="00D76A33">
                              <w:t xml:space="preserve"> The results of this EI are not intended to be generalized and are applicable only to the sampled participants</w:t>
                            </w:r>
                            <w:r>
                              <w:t xml:space="preserve"> </w:t>
                            </w:r>
                            <w:r w:rsidRPr="0056679B">
                              <w:t xml:space="preserve"> </w:t>
                            </w:r>
                          </w:p>
                          <w:p w14:paraId="26FA038A" w14:textId="77777777" w:rsidR="00C128DC" w:rsidRPr="0056679B" w:rsidRDefault="00C128DC" w:rsidP="0056679B">
                            <w:pPr>
                              <w:pStyle w:val="ListParagraph"/>
                              <w:ind w:left="360"/>
                            </w:pPr>
                          </w:p>
                          <w:p w14:paraId="60668E43" w14:textId="77777777" w:rsidR="00C128DC" w:rsidRPr="0056679B" w:rsidRDefault="00C128DC" w:rsidP="0056679B">
                            <w:pPr>
                              <w:pStyle w:val="ListParagraph"/>
                              <w:numPr>
                                <w:ilvl w:val="0"/>
                                <w:numId w:val="35"/>
                              </w:numPr>
                              <w:spacing w:after="200" w:line="276" w:lineRule="auto"/>
                            </w:pPr>
                            <w:r>
                              <w:rPr>
                                <w:b/>
                              </w:rPr>
                              <w:t>Methods to be Used to C</w:t>
                            </w:r>
                            <w:r w:rsidRPr="0056679B">
                              <w:rPr>
                                <w:b/>
                              </w:rPr>
                              <w:t>ollect</w:t>
                            </w:r>
                            <w:r>
                              <w:t>: Samples will be collected from members of the community who participated in a past exposure investigation.  This EI aims to evaluate changes in PFC-serum concentrations and thus, participant selection is specifically biased to residents who participated in the 2010 EI, rather than statistical random selection methods used in research to generate or contribute to generalizable knowledge.</w:t>
                            </w:r>
                          </w:p>
                          <w:p w14:paraId="596C84F8" w14:textId="77777777" w:rsidR="00C128DC" w:rsidRPr="0056679B" w:rsidRDefault="00C128DC" w:rsidP="0056679B">
                            <w:pPr>
                              <w:pStyle w:val="ListParagraph"/>
                              <w:ind w:left="360"/>
                            </w:pPr>
                          </w:p>
                          <w:p w14:paraId="3335F5C3" w14:textId="77777777" w:rsidR="00C128DC" w:rsidRPr="0056679B" w:rsidRDefault="00C128DC" w:rsidP="0056679B">
                            <w:pPr>
                              <w:pStyle w:val="ListParagraph"/>
                              <w:numPr>
                                <w:ilvl w:val="0"/>
                                <w:numId w:val="35"/>
                              </w:numPr>
                              <w:spacing w:after="200" w:line="276" w:lineRule="auto"/>
                            </w:pPr>
                            <w:r w:rsidRPr="001B26E3">
                              <w:rPr>
                                <w:b/>
                              </w:rPr>
                              <w:t>Subpopulation to be Studied</w:t>
                            </w:r>
                            <w:r>
                              <w:t xml:space="preserve">: Adults and children over the age of twelve living in Morgan, Lawrence, or Limestone Counties, Alabama. Subpopulation to be study will be the members of the community who participated in the 2010 EI, although additional participants will be included if fewer than 75 past EI participants are willing to participate. </w:t>
                            </w:r>
                          </w:p>
                          <w:p w14:paraId="3822013F" w14:textId="77777777" w:rsidR="00C128DC" w:rsidRPr="0056679B" w:rsidRDefault="00C128DC" w:rsidP="0056679B">
                            <w:pPr>
                              <w:pStyle w:val="ListParagraph"/>
                              <w:ind w:left="360"/>
                            </w:pPr>
                          </w:p>
                          <w:p w14:paraId="0B96ABB3" w14:textId="499D18C3" w:rsidR="00C128DC" w:rsidRPr="0056679B" w:rsidRDefault="00C128DC" w:rsidP="0056679B">
                            <w:pPr>
                              <w:pStyle w:val="ListParagraph"/>
                              <w:numPr>
                                <w:ilvl w:val="0"/>
                                <w:numId w:val="35"/>
                              </w:numPr>
                              <w:spacing w:after="200" w:line="276" w:lineRule="auto"/>
                            </w:pPr>
                            <w:r>
                              <w:rPr>
                                <w:b/>
                              </w:rPr>
                              <w:t>How Data will be A</w:t>
                            </w:r>
                            <w:r w:rsidRPr="001B26E3">
                              <w:rPr>
                                <w:b/>
                              </w:rPr>
                              <w:t>nalyzed</w:t>
                            </w:r>
                            <w:r>
                              <w:t xml:space="preserve">: Each individual’s measured PFC-serum concentrations will be compared to their own past PFC-serum concentrations measured in the 2010 EI. Arithmetic and geometric mean PFC-serum concentrations will be compared to national reference populations (NHANES). Paired blood and urine concentrations will be used to calculate biological half-life for each PFC species in each individual; these calculated values will be compared to reports of biological half-life available in the literature and will be used to parameterize a human PBPK model for select PFC species. This PBPK model will be used to explore the possibility of non-drinking water pathways of exposure in this community. </w:t>
                            </w:r>
                          </w:p>
                          <w:p w14:paraId="2E45B564" w14:textId="77777777" w:rsidR="00C128DC" w:rsidRDefault="00C128DC" w:rsidP="0056679B"/>
                        </w:txbxContent>
                      </wps:txbx>
                      <wps:bodyPr rot="0" vert="horz" wrap="square" lIns="91440" tIns="45720" rIns="91440" bIns="45720" anchor="t" anchorCtr="0">
                        <a:noAutofit/>
                      </wps:bodyPr>
                    </wps:wsp>
                  </a:graphicData>
                </a:graphic>
              </wp:inline>
            </w:drawing>
          </mc:Choice>
          <mc:Fallback>
            <w:pict>
              <v:shapetype w14:anchorId="598710B1" id="_x0000_t202" coordsize="21600,21600" o:spt="202" path="m,l,21600r21600,l21600,xe">
                <v:stroke joinstyle="miter"/>
                <v:path gradientshapeok="t" o:connecttype="rect"/>
              </v:shapetype>
              <v:shape id="Text Box 2" o:spid="_x0000_s1026" type="#_x0000_t202" style="width:485.25pt;height:6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iJQ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">
                <v:textbox>
                  <w:txbxContent>
                    <w:p w14:paraId="13956102" w14:textId="77777777" w:rsidR="00C128DC" w:rsidRDefault="00C128DC" w:rsidP="001B26E3">
                      <w:pPr>
                        <w:pStyle w:val="ListParagraph"/>
                        <w:numPr>
                          <w:ilvl w:val="0"/>
                          <w:numId w:val="35"/>
                        </w:numPr>
                      </w:pPr>
                      <w:r w:rsidRPr="0056679B">
                        <w:rPr>
                          <w:b/>
                        </w:rPr>
                        <w:t>Goal of the Study:</w:t>
                      </w:r>
                      <w:r w:rsidRPr="0056679B">
                        <w:t xml:space="preserve"> </w:t>
                      </w:r>
                      <w:r>
                        <w:t>This project has four primary objectives:</w:t>
                      </w:r>
                    </w:p>
                    <w:p w14:paraId="64B74884" w14:textId="77777777" w:rsidR="00C128DC" w:rsidRDefault="00C128DC" w:rsidP="008C5DC8">
                      <w:pPr>
                        <w:pStyle w:val="ListParagraph"/>
                        <w:numPr>
                          <w:ilvl w:val="1"/>
                          <w:numId w:val="35"/>
                        </w:numPr>
                      </w:pPr>
                      <w:r>
                        <w:t xml:space="preserve">Compare concentrations of </w:t>
                      </w:r>
                      <w:proofErr w:type="spellStart"/>
                      <w:r>
                        <w:t>perfluorinated</w:t>
                      </w:r>
                      <w:proofErr w:type="spellEnd"/>
                      <w:r>
                        <w:t xml:space="preserve"> compounds (PFCs) measured in each individual with their past PFC concentrations measured during the 2010 EI. </w:t>
                      </w:r>
                    </w:p>
                    <w:p w14:paraId="6665D208" w14:textId="77777777" w:rsidR="00C128DC" w:rsidRDefault="00C128DC" w:rsidP="008C5DC8">
                      <w:pPr>
                        <w:pStyle w:val="ListParagraph"/>
                        <w:numPr>
                          <w:ilvl w:val="1"/>
                          <w:numId w:val="35"/>
                        </w:numPr>
                      </w:pPr>
                      <w:r>
                        <w:t xml:space="preserve">Compare individuals’ serum PFC concentrations to the national reference population (NHANES 2011-2012). </w:t>
                      </w:r>
                    </w:p>
                    <w:p w14:paraId="6B377431" w14:textId="73EA6312" w:rsidR="00C128DC" w:rsidRPr="004C7299" w:rsidRDefault="00C128DC" w:rsidP="001B26E3">
                      <w:pPr>
                        <w:pStyle w:val="ListParagraph"/>
                        <w:numPr>
                          <w:ilvl w:val="1"/>
                          <w:numId w:val="35"/>
                        </w:numPr>
                      </w:pPr>
                      <w:r w:rsidRPr="004C7299">
                        <w:t>Calculate the biological half-life for each PFC species using paired blood and urine PFC concentrations to improve the understanding of the pharmacokinetic behavior of these compounds in humans</w:t>
                      </w:r>
                      <w:r>
                        <w:rPr>
                          <w:color w:val="FF0000"/>
                        </w:rPr>
                        <w:t xml:space="preserve"> </w:t>
                      </w:r>
                      <w:r w:rsidRPr="004C7299">
                        <w:t xml:space="preserve">in this community. </w:t>
                      </w:r>
                    </w:p>
                    <w:p w14:paraId="49715C3C" w14:textId="77777777" w:rsidR="00C128DC" w:rsidRDefault="00C128DC" w:rsidP="001B26E3">
                      <w:pPr>
                        <w:pStyle w:val="ListParagraph"/>
                        <w:numPr>
                          <w:ilvl w:val="1"/>
                          <w:numId w:val="35"/>
                        </w:numPr>
                      </w:pPr>
                      <w:r>
                        <w:t>Evaluate the potential existence of non-drinking water PFC exposure pathways through physiologically-based pharmacokinetic (PBPK) modeling.</w:t>
                      </w:r>
                    </w:p>
                    <w:p w14:paraId="1CEC3AF2" w14:textId="77777777" w:rsidR="00C128DC" w:rsidRPr="0056679B" w:rsidRDefault="00C128DC" w:rsidP="001B26E3">
                      <w:pPr>
                        <w:pStyle w:val="ListParagraph"/>
                        <w:ind w:left="1080"/>
                      </w:pPr>
                    </w:p>
                    <w:p w14:paraId="2D9E24E4" w14:textId="510D9479" w:rsidR="00C128DC" w:rsidRPr="0056679B" w:rsidRDefault="00C128DC" w:rsidP="00D76A33">
                      <w:pPr>
                        <w:pStyle w:val="ListParagraph"/>
                        <w:numPr>
                          <w:ilvl w:val="0"/>
                          <w:numId w:val="35"/>
                        </w:numPr>
                        <w:spacing w:after="200" w:line="276" w:lineRule="auto"/>
                      </w:pPr>
                      <w:r w:rsidRPr="0056679B">
                        <w:rPr>
                          <w:b/>
                        </w:rPr>
                        <w:t>Intended Use of the Resulting Data</w:t>
                      </w:r>
                      <w:r w:rsidRPr="0056679B">
                        <w:t xml:space="preserve">: Data will be used to provide information to the community about their ongoing and past exposures to PFCs, to inform public health recommendations and evaluate the success of past mitigation activities, and to </w:t>
                      </w:r>
                      <w:r w:rsidRPr="004C7299">
                        <w:t xml:space="preserve">contribute to the scientific body of knowledge concerning human exposures to PFCs in this community. </w:t>
                      </w:r>
                      <w:r>
                        <w:t>PBPK modeling will be used to interpret individual results in the context of exposure and will help ATSDR scientists to evaluate the potential existence of non-drinking water exposure pathways.</w:t>
                      </w:r>
                      <w:r w:rsidRPr="00D76A33">
                        <w:t xml:space="preserve"> The results of this EI are not intended to be generalized and are applicable only to the sampled participants</w:t>
                      </w:r>
                      <w:r>
                        <w:t xml:space="preserve"> </w:t>
                      </w:r>
                      <w:r w:rsidRPr="0056679B">
                        <w:t xml:space="preserve"> </w:t>
                      </w:r>
                    </w:p>
                    <w:p w14:paraId="26FA038A" w14:textId="77777777" w:rsidR="00C128DC" w:rsidRPr="0056679B" w:rsidRDefault="00C128DC" w:rsidP="0056679B">
                      <w:pPr>
                        <w:pStyle w:val="ListParagraph"/>
                        <w:ind w:left="360"/>
                      </w:pPr>
                    </w:p>
                    <w:p w14:paraId="60668E43" w14:textId="77777777" w:rsidR="00C128DC" w:rsidRPr="0056679B" w:rsidRDefault="00C128DC" w:rsidP="0056679B">
                      <w:pPr>
                        <w:pStyle w:val="ListParagraph"/>
                        <w:numPr>
                          <w:ilvl w:val="0"/>
                          <w:numId w:val="35"/>
                        </w:numPr>
                        <w:spacing w:after="200" w:line="276" w:lineRule="auto"/>
                      </w:pPr>
                      <w:r>
                        <w:rPr>
                          <w:b/>
                        </w:rPr>
                        <w:t>Methods to be Used to C</w:t>
                      </w:r>
                      <w:r w:rsidRPr="0056679B">
                        <w:rPr>
                          <w:b/>
                        </w:rPr>
                        <w:t>ollect</w:t>
                      </w:r>
                      <w:r>
                        <w:t>: Samples will be collected from members of the community who participated in a past exposure investigation.  This EI aims to evaluate changes in PFC-serum concentrations and thus, participant selection is specifically biased to residents who participated in the 2010 EI, rather than statistical random selection methods used in research to generate or contribute to generalizable knowledge.</w:t>
                      </w:r>
                    </w:p>
                    <w:p w14:paraId="596C84F8" w14:textId="77777777" w:rsidR="00C128DC" w:rsidRPr="0056679B" w:rsidRDefault="00C128DC" w:rsidP="0056679B">
                      <w:pPr>
                        <w:pStyle w:val="ListParagraph"/>
                        <w:ind w:left="360"/>
                      </w:pPr>
                    </w:p>
                    <w:p w14:paraId="3335F5C3" w14:textId="77777777" w:rsidR="00C128DC" w:rsidRPr="0056679B" w:rsidRDefault="00C128DC" w:rsidP="0056679B">
                      <w:pPr>
                        <w:pStyle w:val="ListParagraph"/>
                        <w:numPr>
                          <w:ilvl w:val="0"/>
                          <w:numId w:val="35"/>
                        </w:numPr>
                        <w:spacing w:after="200" w:line="276" w:lineRule="auto"/>
                      </w:pPr>
                      <w:r w:rsidRPr="001B26E3">
                        <w:rPr>
                          <w:b/>
                        </w:rPr>
                        <w:t>Subpopulation to be Studied</w:t>
                      </w:r>
                      <w:r>
                        <w:t xml:space="preserve">: Adults and children over the age of twelve living in Morgan, Lawrence, or Limestone Counties, Alabama. Subpopulation to be study will be the members of the community who participated in the 2010 EI, although additional participants will be included if fewer than 75 past EI participants are willing to participate. </w:t>
                      </w:r>
                    </w:p>
                    <w:p w14:paraId="3822013F" w14:textId="77777777" w:rsidR="00C128DC" w:rsidRPr="0056679B" w:rsidRDefault="00C128DC" w:rsidP="0056679B">
                      <w:pPr>
                        <w:pStyle w:val="ListParagraph"/>
                        <w:ind w:left="360"/>
                      </w:pPr>
                    </w:p>
                    <w:p w14:paraId="0B96ABB3" w14:textId="499D18C3" w:rsidR="00C128DC" w:rsidRPr="0056679B" w:rsidRDefault="00C128DC" w:rsidP="0056679B">
                      <w:pPr>
                        <w:pStyle w:val="ListParagraph"/>
                        <w:numPr>
                          <w:ilvl w:val="0"/>
                          <w:numId w:val="35"/>
                        </w:numPr>
                        <w:spacing w:after="200" w:line="276" w:lineRule="auto"/>
                      </w:pPr>
                      <w:r>
                        <w:rPr>
                          <w:b/>
                        </w:rPr>
                        <w:t>How Data will be A</w:t>
                      </w:r>
                      <w:r w:rsidRPr="001B26E3">
                        <w:rPr>
                          <w:b/>
                        </w:rPr>
                        <w:t>nalyzed</w:t>
                      </w:r>
                      <w:r>
                        <w:t xml:space="preserve">: Each individual’s measured PFC-serum concentrations will be compared to their own past PFC-serum concentrations measured in the 2010 EI. Arithmetic and geometric mean PFC-serum concentrations will be compared to national reference populations (NHANES). Paired blood and urine concentrations will be used to calculate biological half-life for each PFC species in each individual; these calculated values will be compared to reports of biological half-life available in the literature and will be used to parameterize a human PBPK model for select PFC species. This PBPK model will be used to explore the possibility of non-drinking water pathways of exposure in this community. </w:t>
                      </w:r>
                    </w:p>
                    <w:p w14:paraId="2E45B564" w14:textId="77777777" w:rsidR="00C128DC" w:rsidRDefault="00C128DC" w:rsidP="0056679B"/>
                  </w:txbxContent>
                </v:textbox>
                <w10:anchorlock/>
              </v:shape>
            </w:pict>
          </mc:Fallback>
        </mc:AlternateContent>
      </w:r>
    </w:p>
    <w:p w14:paraId="4B3729C0" w14:textId="77777777" w:rsidR="0056679B" w:rsidRDefault="0056679B" w:rsidP="00AD6E54">
      <w:pPr>
        <w:pStyle w:val="Heading1"/>
      </w:pPr>
    </w:p>
    <w:p w14:paraId="1E499454" w14:textId="77777777" w:rsidR="001B26E3" w:rsidRPr="001B26E3" w:rsidRDefault="00AD6E54" w:rsidP="001B26E3">
      <w:pPr>
        <w:pStyle w:val="Heading1"/>
        <w:numPr>
          <w:ilvl w:val="0"/>
          <w:numId w:val="36"/>
        </w:numPr>
      </w:pPr>
      <w:r>
        <w:t>Justification</w:t>
      </w:r>
      <w:bookmarkEnd w:id="13"/>
    </w:p>
    <w:p w14:paraId="07CC0B5F" w14:textId="77777777" w:rsidR="00DE0214" w:rsidRPr="00DE0214" w:rsidRDefault="00DE0214" w:rsidP="00DE0214">
      <w:pPr>
        <w:pStyle w:val="Heading2"/>
      </w:pPr>
      <w:bookmarkStart w:id="14" w:name="_Toc415568053"/>
      <w:r>
        <w:t>A.1 Circumstances Making the Collection of Information Necessary</w:t>
      </w:r>
      <w:bookmarkEnd w:id="12"/>
      <w:bookmarkEnd w:id="14"/>
    </w:p>
    <w:p w14:paraId="39DCFF79" w14:textId="77777777" w:rsidR="00073047" w:rsidRPr="003E4C15" w:rsidRDefault="00073047" w:rsidP="004C7B15"/>
    <w:p w14:paraId="6E419521" w14:textId="77777777" w:rsidR="0069469D" w:rsidRDefault="004908F0" w:rsidP="007E5790">
      <w:pPr>
        <w:rPr>
          <w:bCs/>
        </w:rPr>
      </w:pPr>
      <w:r w:rsidRPr="004908F0">
        <w:rPr>
          <w:bCs/>
        </w:rPr>
        <w:t>This data collection is being conducted using the Generic Information Collection mechanism of the Agency for Toxic Substances an</w:t>
      </w:r>
      <w:r w:rsidR="00F87EE0">
        <w:rPr>
          <w:bCs/>
        </w:rPr>
        <w:t>d</w:t>
      </w:r>
      <w:r w:rsidRPr="004908F0">
        <w:rPr>
          <w:bCs/>
        </w:rPr>
        <w:t xml:space="preserve"> Disease Registry (ATSDR) Exposure Investigations (EIs) </w:t>
      </w:r>
      <w:r w:rsidR="00F87EE0">
        <w:rPr>
          <w:bCs/>
        </w:rPr>
        <w:t>(</w:t>
      </w:r>
      <w:r w:rsidRPr="004908F0">
        <w:rPr>
          <w:bCs/>
        </w:rPr>
        <w:t>OMB No. 0923-0048</w:t>
      </w:r>
      <w:r w:rsidR="00F87EE0">
        <w:rPr>
          <w:bCs/>
        </w:rPr>
        <w:t>,</w:t>
      </w:r>
      <w:r w:rsidRPr="004908F0">
        <w:rPr>
          <w:bCs/>
        </w:rPr>
        <w:t xml:space="preserve"> expiration date 5/31/2016</w:t>
      </w:r>
      <w:r w:rsidR="00F87EE0">
        <w:rPr>
          <w:bCs/>
        </w:rPr>
        <w:t>)</w:t>
      </w:r>
      <w:r w:rsidRPr="004908F0">
        <w:rPr>
          <w:bCs/>
        </w:rPr>
        <w:t>.</w:t>
      </w:r>
      <w:r>
        <w:rPr>
          <w:bCs/>
        </w:rPr>
        <w:t xml:space="preserve"> </w:t>
      </w:r>
      <w:r w:rsidR="00BC290E">
        <w:rPr>
          <w:bCs/>
        </w:rPr>
        <w:t xml:space="preserve">The data collection for the </w:t>
      </w:r>
      <w:r w:rsidR="00E95661">
        <w:rPr>
          <w:bCs/>
        </w:rPr>
        <w:t>Decatur Exposure Investi</w:t>
      </w:r>
      <w:r w:rsidR="00731650">
        <w:rPr>
          <w:bCs/>
        </w:rPr>
        <w:t>gati</w:t>
      </w:r>
      <w:r w:rsidR="00E95661">
        <w:rPr>
          <w:bCs/>
        </w:rPr>
        <w:t>on</w:t>
      </w:r>
      <w:r w:rsidR="00BC290E">
        <w:rPr>
          <w:bCs/>
        </w:rPr>
        <w:t xml:space="preserve"> </w:t>
      </w:r>
      <w:r w:rsidR="00AF182D">
        <w:rPr>
          <w:bCs/>
        </w:rPr>
        <w:t xml:space="preserve">(EI) </w:t>
      </w:r>
      <w:r w:rsidR="00BC290E">
        <w:rPr>
          <w:bCs/>
        </w:rPr>
        <w:t xml:space="preserve">aligns with the </w:t>
      </w:r>
      <w:r w:rsidR="00827296">
        <w:rPr>
          <w:bCs/>
        </w:rPr>
        <w:t>a</w:t>
      </w:r>
      <w:r w:rsidR="00905D07">
        <w:rPr>
          <w:bCs/>
        </w:rPr>
        <w:t xml:space="preserve">gency’s </w:t>
      </w:r>
      <w:r w:rsidR="00BC290E">
        <w:rPr>
          <w:bCs/>
        </w:rPr>
        <w:t>mission.</w:t>
      </w:r>
    </w:p>
    <w:p w14:paraId="6502FA76" w14:textId="77777777" w:rsidR="00363D95" w:rsidRDefault="00363D95" w:rsidP="007E5790">
      <w:pPr>
        <w:rPr>
          <w:bCs/>
        </w:rPr>
      </w:pPr>
    </w:p>
    <w:p w14:paraId="3E4F7B3A" w14:textId="77777777" w:rsidR="00363D95" w:rsidRPr="007F6ADC" w:rsidRDefault="00363D95" w:rsidP="00363D95">
      <w:pPr>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14:paraId="0A372B4D" w14:textId="77777777" w:rsidR="00BC290E" w:rsidRDefault="00BC290E" w:rsidP="007E5790"/>
    <w:p w14:paraId="0184EA8A" w14:textId="77777777"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14:paraId="63266122" w14:textId="77777777" w:rsidR="005B1CE6" w:rsidRDefault="005B1CE6" w:rsidP="007E5790">
      <w:pPr>
        <w:rPr>
          <w:color w:val="000000"/>
        </w:rPr>
      </w:pPr>
    </w:p>
    <w:p w14:paraId="2CD3536F" w14:textId="34262D20" w:rsidR="00341D10" w:rsidRDefault="00341D10" w:rsidP="0092363E">
      <w:pPr>
        <w:contextualSpacing/>
        <w:rPr>
          <w:color w:val="000000"/>
          <w:szCs w:val="20"/>
        </w:rPr>
      </w:pPr>
      <w:r w:rsidRPr="0062344A">
        <w:rPr>
          <w:color w:val="000000"/>
          <w:szCs w:val="20"/>
        </w:rPr>
        <w:t xml:space="preserve">In May 2007, a </w:t>
      </w:r>
      <w:r w:rsidR="004B3325">
        <w:rPr>
          <w:color w:val="000000"/>
          <w:szCs w:val="20"/>
        </w:rPr>
        <w:t>PFC</w:t>
      </w:r>
      <w:r w:rsidRPr="0062344A">
        <w:rPr>
          <w:color w:val="000000"/>
          <w:szCs w:val="20"/>
        </w:rPr>
        <w:t xml:space="preserve"> manufacturer in Decatur, Alabama, notified the </w:t>
      </w:r>
      <w:r w:rsidR="0090420F">
        <w:t>U.S. Environmental Protection Agency (</w:t>
      </w:r>
      <w:r w:rsidRPr="0062344A">
        <w:rPr>
          <w:color w:val="000000"/>
          <w:szCs w:val="20"/>
        </w:rPr>
        <w:t>EPA</w:t>
      </w:r>
      <w:r w:rsidR="0090420F">
        <w:rPr>
          <w:color w:val="000000"/>
          <w:szCs w:val="20"/>
        </w:rPr>
        <w:t>)</w:t>
      </w:r>
      <w:r w:rsidRPr="0062344A">
        <w:rPr>
          <w:color w:val="000000"/>
          <w:szCs w:val="20"/>
        </w:rPr>
        <w:t xml:space="preserve"> that it</w:t>
      </w:r>
      <w:r>
        <w:rPr>
          <w:color w:val="000000"/>
          <w:szCs w:val="20"/>
        </w:rPr>
        <w:t xml:space="preserve"> </w:t>
      </w:r>
      <w:r w:rsidRPr="0062344A">
        <w:rPr>
          <w:color w:val="000000"/>
          <w:szCs w:val="20"/>
        </w:rPr>
        <w:t>had unknowingly discharged large amounts of perfluorocarboxylic acids (PFCA) into the Decatur</w:t>
      </w:r>
      <w:r>
        <w:rPr>
          <w:color w:val="000000"/>
          <w:szCs w:val="20"/>
        </w:rPr>
        <w:t xml:space="preserve"> </w:t>
      </w:r>
      <w:r w:rsidRPr="0062344A">
        <w:rPr>
          <w:color w:val="000000"/>
          <w:szCs w:val="20"/>
        </w:rPr>
        <w:t>Utilities’ Dry Creek Wastewater Treatment Plant. PFCA is a class of PFCs that includes</w:t>
      </w:r>
      <w:r w:rsidR="006919A8">
        <w:rPr>
          <w:color w:val="000000"/>
          <w:szCs w:val="20"/>
        </w:rPr>
        <w:t xml:space="preserve"> </w:t>
      </w:r>
      <w:r w:rsidRPr="0062344A">
        <w:rPr>
          <w:color w:val="000000"/>
          <w:szCs w:val="20"/>
        </w:rPr>
        <w:t>perfluorooctanoic acid (PFOA) and other PFCs. PFCs are a class of organofluorine compounds that</w:t>
      </w:r>
      <w:r>
        <w:rPr>
          <w:color w:val="000000"/>
          <w:szCs w:val="20"/>
        </w:rPr>
        <w:t xml:space="preserve"> </w:t>
      </w:r>
      <w:r w:rsidRPr="0062344A">
        <w:rPr>
          <w:color w:val="000000"/>
          <w:szCs w:val="20"/>
        </w:rPr>
        <w:t>are used in a variety of industrial and consumer products, including fire-fighting foams; personal care</w:t>
      </w:r>
      <w:r>
        <w:rPr>
          <w:color w:val="000000"/>
          <w:szCs w:val="20"/>
        </w:rPr>
        <w:t xml:space="preserve"> </w:t>
      </w:r>
      <w:r w:rsidRPr="0062344A">
        <w:rPr>
          <w:color w:val="000000"/>
          <w:szCs w:val="20"/>
        </w:rPr>
        <w:t>and cleaning products; and oil, stain, grease, and water repellent coatings on carpet, textiles, leather,</w:t>
      </w:r>
      <w:r>
        <w:rPr>
          <w:color w:val="000000"/>
          <w:szCs w:val="20"/>
        </w:rPr>
        <w:t xml:space="preserve"> </w:t>
      </w:r>
      <w:r w:rsidRPr="0062344A">
        <w:rPr>
          <w:color w:val="000000"/>
          <w:szCs w:val="20"/>
        </w:rPr>
        <w:t>“non-stick” cookware and paper such as wrappers used on fast food items. As a result, the general</w:t>
      </w:r>
      <w:r>
        <w:rPr>
          <w:color w:val="000000"/>
          <w:szCs w:val="20"/>
        </w:rPr>
        <w:t xml:space="preserve"> </w:t>
      </w:r>
      <w:r w:rsidRPr="0062344A">
        <w:rPr>
          <w:color w:val="000000"/>
          <w:szCs w:val="20"/>
        </w:rPr>
        <w:t xml:space="preserve">United States (U.S.) population’s exposure to PFCs is common. </w:t>
      </w:r>
    </w:p>
    <w:p w14:paraId="4234832B" w14:textId="77777777" w:rsidR="00341D10" w:rsidRPr="0062344A" w:rsidRDefault="00341D10" w:rsidP="00341D10">
      <w:pPr>
        <w:ind w:left="14" w:hanging="14"/>
        <w:contextualSpacing/>
        <w:rPr>
          <w:color w:val="000000"/>
          <w:szCs w:val="20"/>
        </w:rPr>
      </w:pPr>
    </w:p>
    <w:p w14:paraId="7398EB26" w14:textId="77777777" w:rsidR="00341D10" w:rsidRPr="0062344A" w:rsidRDefault="00341D10" w:rsidP="00341D10">
      <w:pPr>
        <w:ind w:left="14" w:hanging="14"/>
        <w:contextualSpacing/>
        <w:rPr>
          <w:color w:val="000000"/>
          <w:szCs w:val="20"/>
        </w:rPr>
      </w:pPr>
      <w:r w:rsidRPr="0062344A">
        <w:rPr>
          <w:color w:val="000000"/>
          <w:szCs w:val="20"/>
        </w:rPr>
        <w:t>From 1996 to 2008 treated sewage sludge (biosolids) from Decatur Utilities was used as a soil</w:t>
      </w:r>
      <w:r>
        <w:rPr>
          <w:color w:val="000000"/>
          <w:szCs w:val="20"/>
        </w:rPr>
        <w:t xml:space="preserve"> </w:t>
      </w:r>
      <w:r w:rsidRPr="0062344A">
        <w:rPr>
          <w:color w:val="000000"/>
          <w:szCs w:val="20"/>
        </w:rPr>
        <w:t>amendment on about 5,000 acres of privately owned agricultural fields in Lawrence, Morgan and</w:t>
      </w:r>
    </w:p>
    <w:p w14:paraId="4C820B89" w14:textId="77777777" w:rsidR="00341D10" w:rsidRDefault="00341D10" w:rsidP="00341D10">
      <w:pPr>
        <w:ind w:left="14" w:hanging="14"/>
        <w:contextualSpacing/>
        <w:rPr>
          <w:color w:val="000000"/>
          <w:szCs w:val="20"/>
        </w:rPr>
      </w:pPr>
      <w:r w:rsidRPr="0062344A">
        <w:rPr>
          <w:color w:val="000000"/>
          <w:szCs w:val="20"/>
        </w:rPr>
        <w:t>Limestone Counties, Alabama. In September 2007</w:t>
      </w:r>
      <w:r>
        <w:rPr>
          <w:color w:val="000000"/>
          <w:szCs w:val="20"/>
        </w:rPr>
        <w:t>,</w:t>
      </w:r>
      <w:r w:rsidRPr="0062344A">
        <w:rPr>
          <w:color w:val="000000"/>
          <w:szCs w:val="20"/>
        </w:rPr>
        <w:t xml:space="preserve"> EPA screened biosolids and soil for PFCs in a</w:t>
      </w:r>
      <w:r>
        <w:rPr>
          <w:color w:val="000000"/>
          <w:szCs w:val="20"/>
        </w:rPr>
        <w:t xml:space="preserve"> </w:t>
      </w:r>
      <w:r w:rsidRPr="0062344A">
        <w:rPr>
          <w:color w:val="000000"/>
          <w:szCs w:val="20"/>
        </w:rPr>
        <w:t>small number of these agricultural fields. PFCs were elevated compared to background levels. In</w:t>
      </w:r>
      <w:r>
        <w:rPr>
          <w:color w:val="000000"/>
          <w:szCs w:val="20"/>
        </w:rPr>
        <w:t xml:space="preserve"> </w:t>
      </w:r>
      <w:r w:rsidRPr="0062344A">
        <w:rPr>
          <w:color w:val="000000"/>
          <w:szCs w:val="20"/>
        </w:rPr>
        <w:t>February and March of 2009, EPA followed up with additional sample collection of the surface water,</w:t>
      </w:r>
      <w:r>
        <w:rPr>
          <w:color w:val="000000"/>
          <w:szCs w:val="20"/>
        </w:rPr>
        <w:t xml:space="preserve"> </w:t>
      </w:r>
      <w:r w:rsidRPr="0062344A">
        <w:rPr>
          <w:color w:val="000000"/>
          <w:szCs w:val="20"/>
        </w:rPr>
        <w:t>ground water, drinking water, and soils in the area around the treated fields to determine the</w:t>
      </w:r>
      <w:r>
        <w:rPr>
          <w:color w:val="000000"/>
          <w:szCs w:val="20"/>
        </w:rPr>
        <w:t xml:space="preserve"> </w:t>
      </w:r>
      <w:r w:rsidRPr="0062344A">
        <w:rPr>
          <w:color w:val="000000"/>
          <w:szCs w:val="20"/>
        </w:rPr>
        <w:t>concentrations of PFCs and PFC precursors. EPA found PFC chemicals in the Decatur Utilities’</w:t>
      </w:r>
      <w:r>
        <w:rPr>
          <w:color w:val="000000"/>
          <w:szCs w:val="20"/>
        </w:rPr>
        <w:t xml:space="preserve"> </w:t>
      </w:r>
      <w:r w:rsidRPr="0062344A">
        <w:rPr>
          <w:color w:val="000000"/>
          <w:szCs w:val="20"/>
        </w:rPr>
        <w:t>biosolids, in soils, surface water, ground water, and drinking water.</w:t>
      </w:r>
    </w:p>
    <w:p w14:paraId="340174FD" w14:textId="77777777" w:rsidR="00341D10" w:rsidRDefault="00341D10" w:rsidP="00341D10">
      <w:pPr>
        <w:ind w:left="14" w:hanging="14"/>
        <w:contextualSpacing/>
        <w:rPr>
          <w:color w:val="000000"/>
          <w:szCs w:val="20"/>
        </w:rPr>
      </w:pPr>
    </w:p>
    <w:p w14:paraId="36F1EF2B" w14:textId="78CD523D" w:rsidR="00341D10" w:rsidRDefault="00341D10" w:rsidP="00341D10">
      <w:pPr>
        <w:ind w:left="-18" w:hanging="11"/>
        <w:contextualSpacing/>
        <w:rPr>
          <w:color w:val="000000"/>
          <w:szCs w:val="20"/>
        </w:rPr>
      </w:pPr>
      <w:r>
        <w:rPr>
          <w:color w:val="000000"/>
          <w:szCs w:val="20"/>
        </w:rPr>
        <w:t xml:space="preserve">In 2009, EPA requested that ATSDR conduct an EI to address potential exposure by residents living near Decatur, AL. </w:t>
      </w:r>
      <w:r w:rsidR="004B3325">
        <w:rPr>
          <w:color w:val="000000"/>
          <w:szCs w:val="20"/>
        </w:rPr>
        <w:t xml:space="preserve">PFCs were detected in many environmental media in the community and, at this time, it was unclear how and to what extent community members were exposed to these compounds. </w:t>
      </w:r>
      <w:r w:rsidR="000230A5">
        <w:rPr>
          <w:color w:val="000000"/>
          <w:szCs w:val="20"/>
        </w:rPr>
        <w:t>In 2010 serum samples from 155 residents of the Decatur area were collected and analyzed for 12 PFC species. I</w:t>
      </w:r>
      <w:r>
        <w:rPr>
          <w:color w:val="000000"/>
          <w:szCs w:val="20"/>
        </w:rPr>
        <w:t xml:space="preserve">n 2013, ATSDR released an EI report that detailed the results </w:t>
      </w:r>
      <w:r w:rsidR="000230A5">
        <w:rPr>
          <w:color w:val="000000"/>
          <w:szCs w:val="20"/>
        </w:rPr>
        <w:t xml:space="preserve">and </w:t>
      </w:r>
      <w:r w:rsidR="004B3325">
        <w:rPr>
          <w:color w:val="000000"/>
          <w:szCs w:val="20"/>
        </w:rPr>
        <w:t xml:space="preserve">identified drinking water from the </w:t>
      </w:r>
      <w:r>
        <w:rPr>
          <w:color w:val="000000"/>
          <w:szCs w:val="20"/>
        </w:rPr>
        <w:t xml:space="preserve">West Morgan/East Lawrence public water system </w:t>
      </w:r>
      <w:r w:rsidR="004B3325">
        <w:rPr>
          <w:color w:val="000000"/>
          <w:szCs w:val="20"/>
        </w:rPr>
        <w:t xml:space="preserve">as well as contaminated private wells as a significant source of </w:t>
      </w:r>
      <w:r w:rsidR="000230A5">
        <w:rPr>
          <w:color w:val="000000"/>
          <w:szCs w:val="20"/>
        </w:rPr>
        <w:t xml:space="preserve">PFC </w:t>
      </w:r>
      <w:r w:rsidR="004B3325">
        <w:rPr>
          <w:color w:val="000000"/>
          <w:szCs w:val="20"/>
        </w:rPr>
        <w:t xml:space="preserve">exposure. </w:t>
      </w:r>
    </w:p>
    <w:p w14:paraId="7A71159E" w14:textId="77777777" w:rsidR="00341D10" w:rsidRDefault="00341D10" w:rsidP="00341D10">
      <w:pPr>
        <w:ind w:left="-18" w:hanging="11"/>
        <w:contextualSpacing/>
        <w:rPr>
          <w:color w:val="000000"/>
          <w:szCs w:val="20"/>
        </w:rPr>
      </w:pPr>
    </w:p>
    <w:p w14:paraId="5F5735CC" w14:textId="77777777" w:rsidR="00341D10" w:rsidRDefault="00341D10" w:rsidP="00341D10">
      <w:pPr>
        <w:ind w:left="-18" w:hanging="11"/>
        <w:contextualSpacing/>
        <w:rPr>
          <w:color w:val="000000"/>
          <w:szCs w:val="20"/>
        </w:rPr>
      </w:pPr>
      <w:r>
        <w:rPr>
          <w:color w:val="000000"/>
          <w:szCs w:val="20"/>
        </w:rPr>
        <w:lastRenderedPageBreak/>
        <w:t>The results from the 2013 Decatur EI</w:t>
      </w:r>
      <w:r w:rsidR="007E25DC">
        <w:rPr>
          <w:color w:val="000000"/>
          <w:szCs w:val="20"/>
        </w:rPr>
        <w:t xml:space="preserve"> report</w:t>
      </w:r>
      <w:r>
        <w:rPr>
          <w:color w:val="000000"/>
          <w:szCs w:val="20"/>
        </w:rPr>
        <w:t xml:space="preserve"> indicated that g</w:t>
      </w:r>
      <w:r w:rsidRPr="001A3622">
        <w:rPr>
          <w:color w:val="000000"/>
          <w:szCs w:val="20"/>
        </w:rPr>
        <w:t>eometric me</w:t>
      </w:r>
      <w:r>
        <w:rPr>
          <w:color w:val="000000"/>
          <w:szCs w:val="20"/>
        </w:rPr>
        <w:t xml:space="preserve">an levels for three PFCs (including PFOA and </w:t>
      </w:r>
      <w:r w:rsidRPr="001A3622">
        <w:rPr>
          <w:color w:val="000000"/>
          <w:szCs w:val="20"/>
        </w:rPr>
        <w:t xml:space="preserve">PFOS) were elevated (about two to four times) in participants compared to the U.S. general population, but were similar to or lower than levels found in other U.S. communities exposed to PFCs via drinking water or other environmental pathways. </w:t>
      </w:r>
      <w:r>
        <w:rPr>
          <w:color w:val="000000"/>
          <w:szCs w:val="20"/>
        </w:rPr>
        <w:t xml:space="preserve">The conclusions of the 2013 Decatur EI </w:t>
      </w:r>
      <w:r w:rsidR="00B6694C">
        <w:rPr>
          <w:color w:val="000000"/>
          <w:szCs w:val="20"/>
        </w:rPr>
        <w:t xml:space="preserve">report </w:t>
      </w:r>
      <w:r>
        <w:rPr>
          <w:color w:val="000000"/>
          <w:szCs w:val="20"/>
        </w:rPr>
        <w:t xml:space="preserve">recommended </w:t>
      </w:r>
      <w:r w:rsidRPr="00DF5BD2">
        <w:rPr>
          <w:color w:val="000000"/>
          <w:szCs w:val="20"/>
        </w:rPr>
        <w:t>continued monitoring for PFCs in the affected public water supply and other potentially impacted public water supplies downstream of Decatur, Alabama</w:t>
      </w:r>
      <w:r>
        <w:rPr>
          <w:color w:val="000000"/>
          <w:szCs w:val="20"/>
        </w:rPr>
        <w:t xml:space="preserve"> as well as</w:t>
      </w:r>
      <w:r w:rsidRPr="00DF5BD2">
        <w:rPr>
          <w:color w:val="000000"/>
          <w:szCs w:val="20"/>
        </w:rPr>
        <w:t xml:space="preserve"> follow-up </w:t>
      </w:r>
      <w:r>
        <w:rPr>
          <w:color w:val="000000"/>
          <w:szCs w:val="20"/>
        </w:rPr>
        <w:t>biological</w:t>
      </w:r>
      <w:r w:rsidRPr="00DF5BD2">
        <w:rPr>
          <w:color w:val="000000"/>
          <w:szCs w:val="20"/>
        </w:rPr>
        <w:t xml:space="preserve"> PFC testing in this community </w:t>
      </w:r>
      <w:r>
        <w:rPr>
          <w:color w:val="000000"/>
          <w:szCs w:val="20"/>
        </w:rPr>
        <w:t xml:space="preserve">in order to determine if exposure to PFCs in this community has been reduced.  </w:t>
      </w:r>
    </w:p>
    <w:p w14:paraId="2FB7C66D" w14:textId="77777777" w:rsidR="00341D10" w:rsidRDefault="00341D10" w:rsidP="00341D10">
      <w:pPr>
        <w:ind w:left="-18" w:hanging="11"/>
        <w:contextualSpacing/>
        <w:rPr>
          <w:color w:val="000000"/>
          <w:szCs w:val="20"/>
        </w:rPr>
      </w:pPr>
    </w:p>
    <w:p w14:paraId="38440BFB" w14:textId="77777777" w:rsidR="00341D10" w:rsidRPr="00341D10" w:rsidRDefault="00341D10" w:rsidP="00341D10">
      <w:pPr>
        <w:contextualSpacing/>
        <w:rPr>
          <w:color w:val="000000"/>
          <w:szCs w:val="20"/>
        </w:rPr>
      </w:pPr>
      <w:r>
        <w:rPr>
          <w:color w:val="000000"/>
          <w:szCs w:val="20"/>
        </w:rPr>
        <w:t>An additional</w:t>
      </w:r>
      <w:r w:rsidRPr="00341D10">
        <w:rPr>
          <w:color w:val="000000"/>
          <w:szCs w:val="20"/>
        </w:rPr>
        <w:t xml:space="preserve"> EI</w:t>
      </w:r>
      <w:r w:rsidR="00925A78">
        <w:rPr>
          <w:color w:val="000000"/>
          <w:szCs w:val="20"/>
        </w:rPr>
        <w:t xml:space="preserve"> that includes</w:t>
      </w:r>
      <w:r w:rsidRPr="00341D10">
        <w:rPr>
          <w:color w:val="000000"/>
          <w:szCs w:val="20"/>
        </w:rPr>
        <w:t xml:space="preserve"> biological sampling for</w:t>
      </w:r>
      <w:r w:rsidR="008A2AAD">
        <w:rPr>
          <w:color w:val="000000"/>
          <w:szCs w:val="20"/>
        </w:rPr>
        <w:t xml:space="preserve"> 12 PFC species </w:t>
      </w:r>
      <w:r w:rsidRPr="00341D10">
        <w:rPr>
          <w:color w:val="000000"/>
          <w:szCs w:val="20"/>
        </w:rPr>
        <w:t xml:space="preserve">in serum and urine is proposed for the Decatur site.  </w:t>
      </w:r>
    </w:p>
    <w:p w14:paraId="258C617F" w14:textId="77777777" w:rsidR="004908F0" w:rsidRDefault="004908F0" w:rsidP="00EC07F3">
      <w:pPr>
        <w:tabs>
          <w:tab w:val="left" w:pos="1545"/>
        </w:tabs>
      </w:pPr>
    </w:p>
    <w:p w14:paraId="1584F94A" w14:textId="77777777"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14:paraId="295C4F8B" w14:textId="77777777" w:rsidR="00341D10" w:rsidRDefault="00341D10" w:rsidP="00341D10"/>
    <w:p w14:paraId="55646229" w14:textId="77777777" w:rsidR="00341D10" w:rsidRDefault="00341D10" w:rsidP="00341D10">
      <w:r>
        <w:t>Four criteria must be met for the EI to be approved and conducted. The criteria are:</w:t>
      </w:r>
    </w:p>
    <w:p w14:paraId="0716907F" w14:textId="77777777" w:rsidR="00341D10" w:rsidRDefault="00341D10" w:rsidP="00341D10"/>
    <w:p w14:paraId="07B20433" w14:textId="77777777" w:rsidR="00341D10" w:rsidRDefault="00341D10" w:rsidP="00341D10">
      <w:pPr>
        <w:numPr>
          <w:ilvl w:val="0"/>
          <w:numId w:val="29"/>
        </w:numPr>
      </w:pPr>
      <w:r>
        <w:t>Can an exposed population be identified?</w:t>
      </w:r>
    </w:p>
    <w:p w14:paraId="5357C482" w14:textId="77777777" w:rsidR="00341D10" w:rsidRDefault="00341D10" w:rsidP="00341D10">
      <w:pPr>
        <w:numPr>
          <w:ilvl w:val="0"/>
          <w:numId w:val="29"/>
        </w:numPr>
      </w:pPr>
      <w:r>
        <w:t>Does a data gap exist that affects the ability to determine if a health hazard exists?</w:t>
      </w:r>
    </w:p>
    <w:p w14:paraId="691AA0F7" w14:textId="77777777" w:rsidR="00341D10" w:rsidRDefault="00341D10" w:rsidP="00341D10">
      <w:pPr>
        <w:numPr>
          <w:ilvl w:val="0"/>
          <w:numId w:val="29"/>
        </w:numPr>
      </w:pPr>
      <w:r>
        <w:t>Can an EI be designed that will address this data gap?</w:t>
      </w:r>
    </w:p>
    <w:p w14:paraId="3D9E1998" w14:textId="77777777" w:rsidR="00341D10" w:rsidRDefault="00341D10" w:rsidP="00341D10">
      <w:pPr>
        <w:numPr>
          <w:ilvl w:val="0"/>
          <w:numId w:val="29"/>
        </w:numPr>
      </w:pPr>
      <w:r>
        <w:t>Will the EI results impact the public health decision for the site?</w:t>
      </w:r>
    </w:p>
    <w:p w14:paraId="7548AB57" w14:textId="77777777" w:rsidR="00363D95" w:rsidRDefault="00363D95" w:rsidP="00363D95"/>
    <w:p w14:paraId="7FE2219C" w14:textId="77777777" w:rsidR="00363D95" w:rsidRDefault="00341D10" w:rsidP="00363D95">
      <w:r w:rsidRPr="00341D10">
        <w:t>If the answers to these questions indicate that an EI would allow ATSDR to make a better-informed public health call, the DCHI EI Team may conduct agency-led EIs. For the</w:t>
      </w:r>
      <w:r>
        <w:t xml:space="preserve"> Decatur site</w:t>
      </w:r>
      <w:r w:rsidRPr="00341D10">
        <w:t>, the responses to the four questions (provided below) indicated that an EI is warranted at the site.</w:t>
      </w:r>
    </w:p>
    <w:p w14:paraId="21306B5D" w14:textId="77777777" w:rsidR="00341D10" w:rsidRDefault="00341D10" w:rsidP="00363D95"/>
    <w:p w14:paraId="599394D8" w14:textId="77777777" w:rsidR="00363D95" w:rsidRPr="00921644" w:rsidRDefault="00363D95" w:rsidP="00584A53">
      <w:pPr>
        <w:tabs>
          <w:tab w:val="left" w:pos="1545"/>
        </w:tabs>
      </w:pPr>
      <w:r>
        <w:t xml:space="preserve">The </w:t>
      </w:r>
      <w:r w:rsidR="00BA6BD0">
        <w:t>EI Team from the DCHI Science Support Branch (</w:t>
      </w:r>
      <w:r>
        <w:t>SSB</w:t>
      </w:r>
      <w:r w:rsidR="00BA6BD0">
        <w:t>)</w:t>
      </w:r>
      <w:r w:rsidR="00702BF5">
        <w:t xml:space="preserve"> and ATSDR Region 4</w:t>
      </w:r>
      <w:r w:rsidR="0002723A">
        <w:t xml:space="preserve"> will lead the investigation, </w:t>
      </w:r>
      <w:r>
        <w:t>evaluate the results</w:t>
      </w:r>
      <w:r w:rsidR="0002723A">
        <w:t>,</w:t>
      </w:r>
      <w:r>
        <w:t xml:space="preserve"> and communicate their public health findings and recommendations to the community</w:t>
      </w:r>
      <w:r w:rsidR="00F93C84">
        <w:t xml:space="preserve"> (further discussed in Section A.2)</w:t>
      </w:r>
      <w:r>
        <w:t>.</w:t>
      </w:r>
    </w:p>
    <w:p w14:paraId="0DC1F5F1" w14:textId="77777777" w:rsidR="0027662B" w:rsidRPr="00921644" w:rsidRDefault="0027662B" w:rsidP="00363D95"/>
    <w:p w14:paraId="6504DF5D" w14:textId="77777777" w:rsidR="00BC290E" w:rsidRDefault="008E5DEA" w:rsidP="00691B3B">
      <w:r>
        <w:rPr>
          <w:rStyle w:val="Strong"/>
          <w:rFonts w:asciiTheme="majorHAnsi" w:hAnsiTheme="majorHAnsi"/>
          <w:color w:val="4F81BD"/>
        </w:rPr>
        <w:t>Decatur</w:t>
      </w:r>
      <w:r w:rsidR="00BC290E">
        <w:rPr>
          <w:rStyle w:val="Strong"/>
          <w:rFonts w:asciiTheme="majorHAnsi" w:hAnsiTheme="majorHAnsi"/>
          <w:color w:val="4F81BD"/>
        </w:rPr>
        <w:t xml:space="preserve"> Exposure Investigation</w:t>
      </w:r>
    </w:p>
    <w:p w14:paraId="06F9D133" w14:textId="77777777" w:rsidR="00BC290E" w:rsidRDefault="00BC290E" w:rsidP="00691B3B"/>
    <w:p w14:paraId="38DB3FE9" w14:textId="77777777" w:rsidR="00363D95" w:rsidRDefault="00363D95" w:rsidP="007F6ADC">
      <w:pPr>
        <w:rPr>
          <w:color w:val="000000"/>
          <w:szCs w:val="20"/>
        </w:rPr>
      </w:pPr>
      <w:r>
        <w:rPr>
          <w:color w:val="000000"/>
          <w:szCs w:val="20"/>
        </w:rPr>
        <w:t>The four questions used to establish whether it was appropriate to conduct a</w:t>
      </w:r>
      <w:r w:rsidR="000154F8">
        <w:rPr>
          <w:color w:val="000000"/>
          <w:szCs w:val="20"/>
        </w:rPr>
        <w:t xml:space="preserve"> follow-up</w:t>
      </w:r>
      <w:r>
        <w:rPr>
          <w:color w:val="000000"/>
          <w:szCs w:val="20"/>
        </w:rPr>
        <w:t xml:space="preserve"> EI for the </w:t>
      </w:r>
      <w:r w:rsidR="00EF2E99">
        <w:rPr>
          <w:color w:val="000000"/>
          <w:szCs w:val="20"/>
        </w:rPr>
        <w:t>Decatur</w:t>
      </w:r>
      <w:r>
        <w:rPr>
          <w:color w:val="000000"/>
          <w:szCs w:val="20"/>
        </w:rPr>
        <w:t xml:space="preserve"> site were as follows:</w:t>
      </w:r>
    </w:p>
    <w:p w14:paraId="4E2F91D4" w14:textId="77777777" w:rsidR="00EF2E99" w:rsidRPr="00EF2E99" w:rsidRDefault="00EF2E99" w:rsidP="007F6ADC">
      <w:pPr>
        <w:rPr>
          <w:color w:val="000000"/>
          <w:szCs w:val="20"/>
        </w:rPr>
      </w:pPr>
    </w:p>
    <w:p w14:paraId="11FA5719" w14:textId="77777777" w:rsidR="00EF2E99" w:rsidRPr="00341D10" w:rsidRDefault="00EF2E99" w:rsidP="00EF2E99">
      <w:pPr>
        <w:pStyle w:val="Header"/>
        <w:numPr>
          <w:ilvl w:val="0"/>
          <w:numId w:val="26"/>
        </w:numPr>
        <w:rPr>
          <w:i/>
          <w:szCs w:val="22"/>
        </w:rPr>
      </w:pPr>
      <w:r w:rsidRPr="00341D10">
        <w:rPr>
          <w:i/>
          <w:szCs w:val="22"/>
        </w:rPr>
        <w:t>Can an exposed population be identified?</w:t>
      </w:r>
    </w:p>
    <w:p w14:paraId="4BEC0ED5" w14:textId="77777777" w:rsidR="000154F8" w:rsidRDefault="000154F8" w:rsidP="00EF2E99">
      <w:pPr>
        <w:pStyle w:val="Header"/>
        <w:ind w:left="720"/>
        <w:rPr>
          <w:szCs w:val="22"/>
        </w:rPr>
      </w:pPr>
    </w:p>
    <w:p w14:paraId="3A01D66C" w14:textId="77777777" w:rsidR="00EF2E99" w:rsidRPr="00EF2E99" w:rsidRDefault="00EF2E99" w:rsidP="00EF2E99">
      <w:pPr>
        <w:pStyle w:val="Header"/>
        <w:ind w:left="720"/>
        <w:rPr>
          <w:b/>
          <w:szCs w:val="22"/>
        </w:rPr>
      </w:pPr>
      <w:r w:rsidRPr="00EF2E99">
        <w:rPr>
          <w:szCs w:val="22"/>
        </w:rPr>
        <w:t xml:space="preserve">Yes. PFCs have been detected in the soil, surface water, and ground water in the vicinity of Lawrence, Morgan, and Limestone Counties, Alabama as well as in the drinking water supply provided by the West Morgan/East Lawrence Water Authority and in private drinking water wells in the area. Further, PFCs were detected in serum samples from 153 participants that live in the Decatur, Alabama community, suggesting that this population has been exposed to PFCs. </w:t>
      </w:r>
    </w:p>
    <w:p w14:paraId="738BCD4A" w14:textId="77777777" w:rsidR="00EF2E99" w:rsidRPr="00EF2E99" w:rsidRDefault="00EF2E99" w:rsidP="00EF2E99">
      <w:pPr>
        <w:pStyle w:val="Header"/>
        <w:ind w:left="720"/>
        <w:rPr>
          <w:b/>
          <w:szCs w:val="22"/>
        </w:rPr>
      </w:pPr>
    </w:p>
    <w:p w14:paraId="554F8AD7" w14:textId="77777777" w:rsidR="00EF2E99" w:rsidRPr="00341D10" w:rsidRDefault="00EF2E99" w:rsidP="00EF2E99">
      <w:pPr>
        <w:pStyle w:val="Header"/>
        <w:numPr>
          <w:ilvl w:val="0"/>
          <w:numId w:val="26"/>
        </w:numPr>
        <w:rPr>
          <w:i/>
          <w:szCs w:val="22"/>
        </w:rPr>
      </w:pPr>
      <w:r w:rsidRPr="00341D10">
        <w:rPr>
          <w:i/>
          <w:szCs w:val="22"/>
        </w:rPr>
        <w:t xml:space="preserve">Does a data gap affect our ability to decide whether a public health hazard exists? </w:t>
      </w:r>
    </w:p>
    <w:p w14:paraId="678E36CA" w14:textId="77777777" w:rsidR="000154F8" w:rsidRDefault="000154F8" w:rsidP="00EF2E99">
      <w:pPr>
        <w:pStyle w:val="Header"/>
        <w:ind w:left="720"/>
        <w:rPr>
          <w:szCs w:val="22"/>
        </w:rPr>
      </w:pPr>
    </w:p>
    <w:p w14:paraId="55D8D7AC" w14:textId="77777777" w:rsidR="00EF2E99" w:rsidRPr="00EF2E99" w:rsidRDefault="00EF2E99" w:rsidP="00EF2E99">
      <w:pPr>
        <w:pStyle w:val="Header"/>
        <w:ind w:left="720"/>
        <w:rPr>
          <w:szCs w:val="22"/>
        </w:rPr>
      </w:pPr>
      <w:r w:rsidRPr="00EF2E99">
        <w:rPr>
          <w:szCs w:val="22"/>
        </w:rPr>
        <w:lastRenderedPageBreak/>
        <w:t xml:space="preserve">Yes. </w:t>
      </w:r>
      <w:r w:rsidR="002F2308">
        <w:rPr>
          <w:szCs w:val="22"/>
        </w:rPr>
        <w:t>Additional</w:t>
      </w:r>
      <w:r w:rsidRPr="00EF2E99">
        <w:rPr>
          <w:szCs w:val="22"/>
        </w:rPr>
        <w:t xml:space="preserve"> </w:t>
      </w:r>
      <w:r w:rsidR="000905A8">
        <w:rPr>
          <w:szCs w:val="22"/>
        </w:rPr>
        <w:t>biological</w:t>
      </w:r>
      <w:r w:rsidRPr="00EF2E99">
        <w:rPr>
          <w:szCs w:val="22"/>
        </w:rPr>
        <w:t xml:space="preserve"> sampling is necessary to determine if exposure to PFCs is still occurring in this community, and whether mitigation activities</w:t>
      </w:r>
      <w:r w:rsidR="008A2AAD">
        <w:rPr>
          <w:szCs w:val="22"/>
        </w:rPr>
        <w:t xml:space="preserve"> (e.g. improved filtration of public water supply, providing an alternative water source to residents with contaminated private wells, educational outreach, etc…)</w:t>
      </w:r>
      <w:r w:rsidRPr="00EF2E99">
        <w:rPr>
          <w:szCs w:val="22"/>
        </w:rPr>
        <w:t xml:space="preserve"> have been effective at reducing exposures</w:t>
      </w:r>
      <w:r w:rsidR="008A2AAD">
        <w:rPr>
          <w:szCs w:val="22"/>
        </w:rPr>
        <w:t xml:space="preserve">. </w:t>
      </w:r>
      <w:r w:rsidRPr="00EF2E99">
        <w:rPr>
          <w:szCs w:val="22"/>
        </w:rPr>
        <w:t xml:space="preserve">The currently available data gives us no information about ongoing exposure following efforts to reduce exposure. </w:t>
      </w:r>
    </w:p>
    <w:p w14:paraId="7AD6B7B9" w14:textId="77777777" w:rsidR="00EF2E99" w:rsidRPr="00EF2E99" w:rsidRDefault="00EF2E99" w:rsidP="00EF2E99">
      <w:pPr>
        <w:pStyle w:val="Header"/>
        <w:ind w:left="720"/>
        <w:rPr>
          <w:b/>
          <w:szCs w:val="22"/>
        </w:rPr>
      </w:pPr>
    </w:p>
    <w:p w14:paraId="1A533709" w14:textId="77777777" w:rsidR="00EF2E99" w:rsidRPr="00341D10" w:rsidRDefault="00EF2E99" w:rsidP="00EF2E99">
      <w:pPr>
        <w:pStyle w:val="Header"/>
        <w:numPr>
          <w:ilvl w:val="0"/>
          <w:numId w:val="26"/>
        </w:numPr>
        <w:rPr>
          <w:i/>
          <w:szCs w:val="22"/>
        </w:rPr>
      </w:pPr>
      <w:r w:rsidRPr="00341D10">
        <w:rPr>
          <w:i/>
          <w:szCs w:val="22"/>
        </w:rPr>
        <w:t>Can an EI address the data gap?</w:t>
      </w:r>
    </w:p>
    <w:p w14:paraId="05730D72" w14:textId="77777777" w:rsidR="000154F8" w:rsidRDefault="000154F8" w:rsidP="00EF2E99">
      <w:pPr>
        <w:pStyle w:val="Header"/>
        <w:ind w:left="720"/>
        <w:rPr>
          <w:szCs w:val="22"/>
        </w:rPr>
      </w:pPr>
    </w:p>
    <w:p w14:paraId="29D7723B" w14:textId="5017D7FF" w:rsidR="00EF2E99" w:rsidRPr="00EF2E99" w:rsidRDefault="00EF2E99" w:rsidP="00EF2E99">
      <w:pPr>
        <w:pStyle w:val="Header"/>
        <w:ind w:left="720"/>
        <w:rPr>
          <w:szCs w:val="22"/>
        </w:rPr>
      </w:pPr>
      <w:r w:rsidRPr="00EF2E99">
        <w:rPr>
          <w:szCs w:val="22"/>
        </w:rPr>
        <w:t xml:space="preserve">Yes. </w:t>
      </w:r>
      <w:r w:rsidR="002F2308">
        <w:rPr>
          <w:szCs w:val="22"/>
        </w:rPr>
        <w:t>A second</w:t>
      </w:r>
      <w:r w:rsidRPr="00EF2E99">
        <w:rPr>
          <w:szCs w:val="22"/>
        </w:rPr>
        <w:t xml:space="preserve"> exposure investigation will give ATSDR the data necessary to determine if serum PFC concentrations in this community are declining and will identify whether additional public health actions are needed. Additional </w:t>
      </w:r>
      <w:r w:rsidR="000905A8">
        <w:rPr>
          <w:szCs w:val="22"/>
        </w:rPr>
        <w:t xml:space="preserve">biological </w:t>
      </w:r>
      <w:r w:rsidRPr="00EF2E99">
        <w:rPr>
          <w:szCs w:val="22"/>
        </w:rPr>
        <w:t>sampling will allow ATSDR to evaluate changes in serum PFC concentrations over time. This data will also allow ATSDR to more fully characterize non-drinking water exposure pathways</w:t>
      </w:r>
      <w:r w:rsidR="00C128DC">
        <w:rPr>
          <w:szCs w:val="22"/>
        </w:rPr>
        <w:t xml:space="preserve"> in this community</w:t>
      </w:r>
      <w:r w:rsidR="008A2AAD">
        <w:rPr>
          <w:szCs w:val="22"/>
        </w:rPr>
        <w:t xml:space="preserve"> using PBPK modeling</w:t>
      </w:r>
      <w:r w:rsidRPr="00EF2E99">
        <w:rPr>
          <w:szCs w:val="22"/>
        </w:rPr>
        <w:t xml:space="preserve">. </w:t>
      </w:r>
    </w:p>
    <w:p w14:paraId="49461487" w14:textId="77777777" w:rsidR="00EF2E99" w:rsidRPr="00EF2E99" w:rsidRDefault="00EF2E99" w:rsidP="00EF2E99">
      <w:pPr>
        <w:pStyle w:val="Header"/>
        <w:ind w:left="720"/>
        <w:rPr>
          <w:b/>
          <w:szCs w:val="22"/>
        </w:rPr>
      </w:pPr>
    </w:p>
    <w:p w14:paraId="208E69BE" w14:textId="77777777" w:rsidR="00EF2E99" w:rsidRPr="00341D10" w:rsidRDefault="00EF2E99" w:rsidP="00EF2E99">
      <w:pPr>
        <w:pStyle w:val="Header"/>
        <w:numPr>
          <w:ilvl w:val="0"/>
          <w:numId w:val="26"/>
        </w:numPr>
        <w:rPr>
          <w:i/>
          <w:szCs w:val="22"/>
        </w:rPr>
      </w:pPr>
      <w:r w:rsidRPr="00341D10">
        <w:rPr>
          <w:i/>
          <w:szCs w:val="22"/>
        </w:rPr>
        <w:t>How will the EI results impact public health decision making?</w:t>
      </w:r>
    </w:p>
    <w:p w14:paraId="127B6AAE" w14:textId="77777777" w:rsidR="000154F8" w:rsidRDefault="000154F8" w:rsidP="00EF2E99">
      <w:pPr>
        <w:pStyle w:val="Header"/>
        <w:ind w:left="720"/>
        <w:rPr>
          <w:szCs w:val="22"/>
        </w:rPr>
      </w:pPr>
    </w:p>
    <w:p w14:paraId="23B841B8" w14:textId="77777777" w:rsidR="00EF2E99" w:rsidRPr="00EF2E99" w:rsidRDefault="00EF2E99" w:rsidP="00EF2E99">
      <w:pPr>
        <w:pStyle w:val="Header"/>
        <w:ind w:left="720"/>
        <w:rPr>
          <w:szCs w:val="22"/>
        </w:rPr>
      </w:pPr>
      <w:r w:rsidRPr="00EF2E99">
        <w:rPr>
          <w:szCs w:val="22"/>
        </w:rPr>
        <w:t xml:space="preserve">Additional sampling will provide community members, the Alabama Department of Environmental Management, and the EPA with additional information about PFC </w:t>
      </w:r>
      <w:r w:rsidR="00035077">
        <w:rPr>
          <w:szCs w:val="22"/>
        </w:rPr>
        <w:t xml:space="preserve">body burden </w:t>
      </w:r>
      <w:r w:rsidRPr="00EF2E99">
        <w:rPr>
          <w:szCs w:val="22"/>
        </w:rPr>
        <w:t>in this community. This will allow for evaluation of the efficacy of mitigation activities that have been implemented following ATSDR’s first exposure investigation. Further, this data will allow ATSDR to more fully characterize ongoing exposures from multiple pathways and will inform public health decision</w:t>
      </w:r>
      <w:r w:rsidR="008A2AAD">
        <w:rPr>
          <w:szCs w:val="22"/>
        </w:rPr>
        <w:t>s</w:t>
      </w:r>
      <w:r w:rsidRPr="00EF2E99">
        <w:rPr>
          <w:szCs w:val="22"/>
        </w:rPr>
        <w:t xml:space="preserve"> regarding future mitigation activities. </w:t>
      </w:r>
    </w:p>
    <w:p w14:paraId="6EBE05A2" w14:textId="77777777" w:rsidR="00EF2E99" w:rsidRPr="00EF2E99" w:rsidRDefault="00EF2E99" w:rsidP="00EF2E99">
      <w:pPr>
        <w:pStyle w:val="Header"/>
        <w:ind w:left="720"/>
        <w:rPr>
          <w:szCs w:val="22"/>
        </w:rPr>
      </w:pPr>
    </w:p>
    <w:p w14:paraId="0AEB173C" w14:textId="2206EC2C" w:rsidR="00EF2E99" w:rsidRDefault="00C57A12" w:rsidP="00EF2E99">
      <w:pPr>
        <w:pStyle w:val="Header"/>
        <w:ind w:left="720"/>
        <w:rPr>
          <w:szCs w:val="22"/>
        </w:rPr>
      </w:pPr>
      <w:r w:rsidRPr="00C57A12">
        <w:rPr>
          <w:szCs w:val="22"/>
        </w:rPr>
        <w:t xml:space="preserve">The results of this EI are not intended to be generalized and are applicable only to the sampled participants.  </w:t>
      </w:r>
      <w:r>
        <w:rPr>
          <w:szCs w:val="22"/>
        </w:rPr>
        <w:t>However, t</w:t>
      </w:r>
      <w:r w:rsidR="00EF2E99" w:rsidRPr="00EF2E99">
        <w:rPr>
          <w:szCs w:val="22"/>
        </w:rPr>
        <w:t xml:space="preserve">his exposure investigation will result in sufficient data </w:t>
      </w:r>
      <w:r w:rsidR="0090420F">
        <w:rPr>
          <w:szCs w:val="22"/>
        </w:rPr>
        <w:t xml:space="preserve">(paired serum and urine concentrations for each PFC) </w:t>
      </w:r>
      <w:r w:rsidR="00EF2E99" w:rsidRPr="00EF2E99">
        <w:rPr>
          <w:szCs w:val="22"/>
        </w:rPr>
        <w:t xml:space="preserve">for physiologically-based pharmacokinetic (PBPK) modeling of PFC exposure in order to better understand the toxicokinetics of PFCs in human bodies – an area of great scientific uncertainty. This advancement of science will allow the public health community to better understand the human toxicology of exposure to these compounds, thus allowing them to make more informed public health decisions. </w:t>
      </w:r>
      <w:r w:rsidR="0092363E">
        <w:rPr>
          <w:szCs w:val="22"/>
        </w:rPr>
        <w:t xml:space="preserve">PBPK modeling will also allow ATSDR scientists to interpret each individual’s biomonitoring data in the context of exposure and to evaluate the potential existence of non-drinking water exposure pathways. </w:t>
      </w:r>
    </w:p>
    <w:p w14:paraId="77E7042D" w14:textId="77777777" w:rsidR="00341D10" w:rsidRPr="00EF2E99" w:rsidRDefault="00341D10" w:rsidP="00EF2E99">
      <w:pPr>
        <w:pStyle w:val="Header"/>
        <w:ind w:left="720"/>
        <w:rPr>
          <w:szCs w:val="22"/>
        </w:rPr>
      </w:pPr>
    </w:p>
    <w:p w14:paraId="74983911" w14:textId="207F0560" w:rsidR="00341D10" w:rsidRDefault="00341D10" w:rsidP="00341D10">
      <w:pPr>
        <w:spacing w:after="100" w:afterAutospacing="1"/>
      </w:pPr>
      <w:r>
        <w:rPr>
          <w:rFonts w:eastAsiaTheme="minorHAnsi"/>
        </w:rPr>
        <w:t xml:space="preserve">Once the EI data collection and analysis is complete, if indicated, </w:t>
      </w:r>
      <w:r w:rsidR="002F2308">
        <w:rPr>
          <w:rFonts w:eastAsiaTheme="minorHAnsi"/>
        </w:rPr>
        <w:t xml:space="preserve">ATSDR will make recommendations, as needed, for exposure reduction to the EPA and appropriate state and local agencies.  These recommendations </w:t>
      </w:r>
      <w:r w:rsidR="0090420F">
        <w:rPr>
          <w:rFonts w:eastAsiaTheme="minorHAnsi"/>
        </w:rPr>
        <w:t>will</w:t>
      </w:r>
      <w:r w:rsidR="002F2308">
        <w:rPr>
          <w:rFonts w:eastAsiaTheme="minorHAnsi"/>
        </w:rPr>
        <w:t xml:space="preserve"> also be provided to the community during a </w:t>
      </w:r>
      <w:r>
        <w:rPr>
          <w:rFonts w:eastAsiaTheme="minorHAnsi"/>
        </w:rPr>
        <w:t>public availability sessio</w:t>
      </w:r>
      <w:r w:rsidR="0090420F">
        <w:rPr>
          <w:rFonts w:eastAsiaTheme="minorHAnsi"/>
        </w:rPr>
        <w:t xml:space="preserve">n. </w:t>
      </w:r>
    </w:p>
    <w:p w14:paraId="0ED231CC" w14:textId="77777777" w:rsidR="00DC4A1A" w:rsidRDefault="002F2308" w:rsidP="00DC4A1A">
      <w:pPr>
        <w:spacing w:after="100" w:afterAutospacing="1"/>
        <w:rPr>
          <w:rFonts w:eastAsiaTheme="minorHAnsi"/>
        </w:rPr>
      </w:pPr>
      <w:r>
        <w:rPr>
          <w:rFonts w:eastAsiaTheme="minorHAnsi"/>
        </w:rPr>
        <w:t>Once all samples and data have been collected and analyzed, a</w:t>
      </w:r>
      <w:r w:rsidR="00341D10">
        <w:rPr>
          <w:rFonts w:eastAsiaTheme="minorHAnsi"/>
        </w:rPr>
        <w:t xml:space="preserve"> full EI Final Report </w:t>
      </w:r>
      <w:r>
        <w:rPr>
          <w:rFonts w:eastAsiaTheme="minorHAnsi"/>
        </w:rPr>
        <w:t xml:space="preserve">will be </w:t>
      </w:r>
      <w:r w:rsidR="00341D10">
        <w:rPr>
          <w:rFonts w:eastAsiaTheme="minorHAnsi"/>
        </w:rPr>
        <w:t>completed and made available to the public and all partners. An example of a past EI Final Report is included as Attachment 7.</w:t>
      </w:r>
      <w:bookmarkStart w:id="15" w:name="_Toc282617892"/>
      <w:bookmarkStart w:id="16" w:name="_Toc305153413"/>
      <w:bookmarkStart w:id="17" w:name="_Toc305153631"/>
      <w:bookmarkStart w:id="18" w:name="_Toc305154207"/>
      <w:bookmarkStart w:id="19" w:name="_Toc305155361"/>
      <w:bookmarkStart w:id="20" w:name="_Toc306341891"/>
      <w:bookmarkStart w:id="21" w:name="_Toc306344144"/>
      <w:bookmarkStart w:id="22" w:name="_Toc306344785"/>
      <w:bookmarkStart w:id="23" w:name="_Toc306345026"/>
      <w:bookmarkStart w:id="24" w:name="_Toc311445495"/>
    </w:p>
    <w:p w14:paraId="30CD12E3" w14:textId="77777777" w:rsidR="00067EF1" w:rsidRPr="003E4C15" w:rsidRDefault="00067EF1" w:rsidP="00186982">
      <w:pPr>
        <w:pStyle w:val="Heading2"/>
      </w:pPr>
      <w:bookmarkStart w:id="25" w:name="_Toc415567661"/>
      <w:bookmarkStart w:id="26" w:name="_Toc415568054"/>
      <w:bookmarkEnd w:id="15"/>
      <w:r w:rsidRPr="003E4C15">
        <w:lastRenderedPageBreak/>
        <w:t>A.2</w:t>
      </w:r>
      <w:r w:rsidR="002A0056">
        <w:t>.</w:t>
      </w:r>
      <w:r w:rsidRPr="003E4C15">
        <w:t xml:space="preserve"> Purpose and Use of Information</w:t>
      </w:r>
      <w:bookmarkEnd w:id="16"/>
      <w:bookmarkEnd w:id="17"/>
      <w:bookmarkEnd w:id="18"/>
      <w:bookmarkEnd w:id="19"/>
      <w:bookmarkEnd w:id="20"/>
      <w:bookmarkEnd w:id="21"/>
      <w:bookmarkEnd w:id="22"/>
      <w:bookmarkEnd w:id="23"/>
      <w:bookmarkEnd w:id="24"/>
      <w:r w:rsidR="00186982">
        <w:t xml:space="preserve"> Collection</w:t>
      </w:r>
      <w:bookmarkEnd w:id="25"/>
      <w:bookmarkEnd w:id="26"/>
    </w:p>
    <w:p w14:paraId="465A55A6" w14:textId="77777777" w:rsidR="0068197A" w:rsidRPr="002D0805" w:rsidRDefault="0068197A" w:rsidP="002F40AB">
      <w:pPr>
        <w:autoSpaceDE w:val="0"/>
        <w:autoSpaceDN w:val="0"/>
        <w:adjustRightInd w:val="0"/>
      </w:pPr>
    </w:p>
    <w:p w14:paraId="12948A37" w14:textId="77777777" w:rsidR="00926230" w:rsidRDefault="00B00DC0" w:rsidP="00584A53">
      <w:pPr>
        <w:tabs>
          <w:tab w:val="left" w:pos="720"/>
        </w:tabs>
      </w:pPr>
      <w:r>
        <w:t>The goal of the EI is t</w:t>
      </w:r>
      <w:r w:rsidRPr="00AA7DE7">
        <w:t>o</w:t>
      </w:r>
      <w:r>
        <w:t xml:space="preserve"> determine whether </w:t>
      </w:r>
      <w:r w:rsidR="00D75023">
        <w:t xml:space="preserve">PFC </w:t>
      </w:r>
      <w:r>
        <w:t xml:space="preserve">contamination </w:t>
      </w:r>
      <w:r w:rsidR="00D75023">
        <w:t>in environmental media</w:t>
      </w:r>
      <w:r>
        <w:t xml:space="preserve"> is resulting in community members </w:t>
      </w:r>
      <w:r w:rsidR="00FC0AD1">
        <w:t>continuing to be</w:t>
      </w:r>
      <w:r>
        <w:t xml:space="preserve"> exposed to </w:t>
      </w:r>
      <w:r w:rsidR="00D75023">
        <w:t>PFCs</w:t>
      </w:r>
      <w:r>
        <w:t xml:space="preserve"> at levels of health concern.  </w:t>
      </w:r>
      <w:r w:rsidR="00FC0AD1">
        <w:t xml:space="preserve">ATSDR found levels of concern in the 2010 EI and this second EI will evaluate whether exposure is continuing in the community. </w:t>
      </w:r>
      <w:r>
        <w:t xml:space="preserve">If this is the case, ATSDR will make recommendations people can take to reduce their exposures and will recommend contaminant mitigation to the appropriate government agencies [e.g., the U.S. Environmental Protection Agency (EPA) and their state equivalent]. </w:t>
      </w:r>
      <w:r w:rsidR="00926230" w:rsidRPr="00921644">
        <w:t xml:space="preserve">If exposures </w:t>
      </w:r>
      <w:r w:rsidR="00926230">
        <w:t xml:space="preserve">are found </w:t>
      </w:r>
      <w:r w:rsidR="00926230" w:rsidRPr="00921644">
        <w:t>at</w:t>
      </w:r>
      <w:r w:rsidR="00926230">
        <w:t xml:space="preserve"> levels that might cause </w:t>
      </w:r>
      <w:r w:rsidR="00926230" w:rsidRPr="00921644">
        <w:t xml:space="preserve">health concerns, </w:t>
      </w:r>
      <w:r w:rsidR="00926230">
        <w:t>ATSDR may recommend the following</w:t>
      </w:r>
      <w:r w:rsidR="00926230" w:rsidRPr="00921644">
        <w:t>:</w:t>
      </w:r>
    </w:p>
    <w:p w14:paraId="67870957" w14:textId="77777777" w:rsidR="00926230" w:rsidRDefault="00926230" w:rsidP="00926230"/>
    <w:p w14:paraId="427E32A3" w14:textId="77777777" w:rsidR="00926230" w:rsidRDefault="0090420F" w:rsidP="00926230">
      <w:pPr>
        <w:numPr>
          <w:ilvl w:val="0"/>
          <w:numId w:val="22"/>
        </w:numPr>
      </w:pPr>
      <w:r>
        <w:t>Expanded implementation of improved filtration on the public water system.</w:t>
      </w:r>
    </w:p>
    <w:p w14:paraId="7E695D7E" w14:textId="77777777" w:rsidR="00926230" w:rsidRDefault="00926230" w:rsidP="00926230">
      <w:pPr>
        <w:numPr>
          <w:ilvl w:val="0"/>
          <w:numId w:val="22"/>
        </w:numPr>
      </w:pPr>
      <w:r>
        <w:t>E</w:t>
      </w:r>
      <w:r w:rsidRPr="00921644">
        <w:t>xpanded sampling to</w:t>
      </w:r>
      <w:r w:rsidR="0090420F">
        <w:t xml:space="preserve"> further characterize non-drinking water exposure pathways</w:t>
      </w:r>
      <w:r w:rsidRPr="00921644">
        <w:t xml:space="preserve">, </w:t>
      </w:r>
      <w:r w:rsidR="0090420F">
        <w:t>and</w:t>
      </w:r>
    </w:p>
    <w:p w14:paraId="2B34B983" w14:textId="77777777" w:rsidR="0090420F" w:rsidRDefault="0090420F" w:rsidP="00926230">
      <w:pPr>
        <w:numPr>
          <w:ilvl w:val="0"/>
          <w:numId w:val="22"/>
        </w:numPr>
      </w:pPr>
      <w:r>
        <w:t>Increased educational outreach.</w:t>
      </w:r>
    </w:p>
    <w:p w14:paraId="20BDB17B" w14:textId="77777777" w:rsidR="00926230" w:rsidRDefault="00926230" w:rsidP="00154C0F">
      <w:pPr>
        <w:tabs>
          <w:tab w:val="left" w:pos="1545"/>
        </w:tabs>
      </w:pPr>
    </w:p>
    <w:p w14:paraId="284E7BD3" w14:textId="77777777" w:rsidR="00154C0F" w:rsidRDefault="00F31C3D" w:rsidP="00154C0F">
      <w:pPr>
        <w:tabs>
          <w:tab w:val="left" w:pos="1545"/>
        </w:tabs>
      </w:pPr>
      <w:r>
        <w:t>Data</w:t>
      </w:r>
      <w:r w:rsidR="0075380A">
        <w:t xml:space="preserve"> </w:t>
      </w:r>
      <w:r w:rsidR="0070071C">
        <w:t xml:space="preserve">from </w:t>
      </w:r>
      <w:r w:rsidR="00154C0F" w:rsidRPr="00C91A37">
        <w:t xml:space="preserve">ATSDR’s </w:t>
      </w:r>
      <w:r w:rsidR="00D75023">
        <w:t>Decatur</w:t>
      </w:r>
      <w:r w:rsidR="00B21F21">
        <w:t xml:space="preserve">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extent of the exposures. </w:t>
      </w:r>
    </w:p>
    <w:p w14:paraId="65F113B5" w14:textId="77777777" w:rsidR="00CE0CFF" w:rsidRDefault="00CE0CFF" w:rsidP="00CE0CFF">
      <w:pPr>
        <w:tabs>
          <w:tab w:val="left" w:pos="1545"/>
        </w:tabs>
      </w:pPr>
    </w:p>
    <w:p w14:paraId="6C8E0096" w14:textId="77777777" w:rsidR="00221518" w:rsidRDefault="00CC797F" w:rsidP="005348BC">
      <w:pPr>
        <w:autoSpaceDE w:val="0"/>
        <w:autoSpaceDN w:val="0"/>
        <w:adjustRightInd w:val="0"/>
      </w:pPr>
      <w:r>
        <w:t>ATSDR</w:t>
      </w:r>
      <w:r w:rsidR="00375D68">
        <w:t xml:space="preserve"> will produce </w:t>
      </w:r>
      <w:r w:rsidR="00B21F21">
        <w:t xml:space="preserve">this </w:t>
      </w:r>
      <w:r w:rsidR="00375D68">
        <w:t>needed information to</w:t>
      </w:r>
      <w:r w:rsidR="0090420F">
        <w:t xml:space="preserve"> support public health action. </w:t>
      </w:r>
      <w:r w:rsidR="008553BA">
        <w:t>The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sampled participants.  </w:t>
      </w:r>
    </w:p>
    <w:p w14:paraId="1EB961AC" w14:textId="77777777" w:rsidR="00341D10" w:rsidRDefault="00341D10" w:rsidP="005348BC">
      <w:pPr>
        <w:autoSpaceDE w:val="0"/>
        <w:autoSpaceDN w:val="0"/>
        <w:adjustRightInd w:val="0"/>
      </w:pPr>
    </w:p>
    <w:p w14:paraId="48E4BB9B" w14:textId="77777777" w:rsidR="00341D10" w:rsidRDefault="00341D10" w:rsidP="00341D10">
      <w:pPr>
        <w:tabs>
          <w:tab w:val="left" w:pos="1545"/>
        </w:tabs>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14:paraId="09FE0506" w14:textId="77777777" w:rsidR="00341D10" w:rsidRDefault="00341D10" w:rsidP="00341D10">
      <w:pPr>
        <w:tabs>
          <w:tab w:val="left" w:pos="1545"/>
        </w:tabs>
        <w:rPr>
          <w:i/>
        </w:rPr>
      </w:pPr>
    </w:p>
    <w:p w14:paraId="7113773E" w14:textId="77777777" w:rsidR="00341D10" w:rsidRDefault="00341D10" w:rsidP="00341D10">
      <w:r>
        <w:t>Data are treated to protect privacy; access to computer files is password-protected and access is limited to authorized EI personnel, including contractors. All sta</w:t>
      </w:r>
      <w:r w:rsidR="007A459D">
        <w:t>ff working on the project agree</w:t>
      </w:r>
      <w:r>
        <w:t xml:space="preserve"> to safeguard the data and not to make unauthorized disclosures. Published reports may present responses in aggregate form and no individuals are identified by name.</w:t>
      </w:r>
    </w:p>
    <w:p w14:paraId="12D26AFB" w14:textId="77777777" w:rsidR="00322A9F" w:rsidRPr="00D531DA" w:rsidRDefault="00322A9F" w:rsidP="00216DEF">
      <w:pPr>
        <w:pStyle w:val="Heading2"/>
      </w:pPr>
      <w:bookmarkStart w:id="27" w:name="_Toc305153414"/>
      <w:bookmarkStart w:id="28" w:name="_Toc305153632"/>
      <w:bookmarkStart w:id="29" w:name="_Toc305154208"/>
      <w:bookmarkStart w:id="30" w:name="_Toc305155362"/>
      <w:bookmarkStart w:id="31" w:name="_Toc306341892"/>
      <w:bookmarkStart w:id="32" w:name="_Toc306344145"/>
      <w:bookmarkStart w:id="33" w:name="_Toc306344786"/>
      <w:bookmarkStart w:id="34" w:name="_Toc306345027"/>
      <w:bookmarkStart w:id="35" w:name="_Toc311445496"/>
      <w:bookmarkStart w:id="36" w:name="_Toc415567662"/>
      <w:bookmarkStart w:id="37" w:name="_Toc415568055"/>
      <w:r w:rsidRPr="00D531DA">
        <w:t>A.3</w:t>
      </w:r>
      <w:r w:rsidR="002A0056">
        <w:t>.</w:t>
      </w:r>
      <w:r w:rsidRPr="00D531DA">
        <w:t xml:space="preserve"> Use of Improved Information Technology and Burden Reduction</w:t>
      </w:r>
      <w:bookmarkEnd w:id="27"/>
      <w:bookmarkEnd w:id="28"/>
      <w:bookmarkEnd w:id="29"/>
      <w:bookmarkEnd w:id="30"/>
      <w:bookmarkEnd w:id="31"/>
      <w:bookmarkEnd w:id="32"/>
      <w:bookmarkEnd w:id="33"/>
      <w:bookmarkEnd w:id="34"/>
      <w:bookmarkEnd w:id="35"/>
      <w:bookmarkEnd w:id="36"/>
      <w:bookmarkEnd w:id="37"/>
    </w:p>
    <w:p w14:paraId="2D5ED090" w14:textId="77777777" w:rsidR="00F01A85" w:rsidRDefault="00F01A85" w:rsidP="00167F85">
      <w:pPr>
        <w:tabs>
          <w:tab w:val="left" w:pos="1545"/>
        </w:tabs>
      </w:pPr>
    </w:p>
    <w:p w14:paraId="2973F2B0" w14:textId="77777777" w:rsidR="00543EE8" w:rsidRDefault="00167F85" w:rsidP="00167F85">
      <w:pPr>
        <w:tabs>
          <w:tab w:val="left" w:pos="1545"/>
        </w:tabs>
        <w:rPr>
          <w:color w:val="000000"/>
        </w:rPr>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94595">
        <w:t>with</w:t>
      </w:r>
      <w:r w:rsidR="00BE03A0">
        <w:t xml:space="preserve"> the participants at the blood collection location.  The results</w:t>
      </w:r>
      <w:r w:rsidR="009704E2">
        <w:t xml:space="preserve"> of the interview</w:t>
      </w:r>
      <w:r>
        <w:t xml:space="preserve"> </w:t>
      </w:r>
      <w:r w:rsidR="00E3648A">
        <w:t>will be recorded on paper questionnaire forms in the field and then entered into Epi-Info</w:t>
      </w:r>
      <w:r w:rsidR="00EF170D">
        <w:t>,</w:t>
      </w:r>
      <w:r w:rsidR="00394595">
        <w:rPr>
          <w:color w:val="333333"/>
        </w:rPr>
        <w:t xml:space="preserve"> an </w:t>
      </w:r>
      <w:r w:rsidR="005376FC">
        <w:rPr>
          <w:color w:val="333333"/>
        </w:rPr>
        <w:t>NCEH/</w:t>
      </w:r>
      <w:r w:rsidR="00394595">
        <w:rPr>
          <w:color w:val="333333"/>
        </w:rPr>
        <w:t>ATSDR information system that</w:t>
      </w:r>
      <w:r w:rsidR="0002723A">
        <w:rPr>
          <w:color w:val="333333"/>
        </w:rPr>
        <w:t xml:space="preserve"> enables</w:t>
      </w:r>
      <w:r w:rsidR="00394595" w:rsidRPr="00273D41">
        <w:rPr>
          <w:color w:val="333333"/>
        </w:rPr>
        <w:t xml:space="preserve"> scientists and epidemiologists to collect</w:t>
      </w:r>
      <w:r w:rsidR="00394595">
        <w:rPr>
          <w:color w:val="333333"/>
        </w:rPr>
        <w:t xml:space="preserve"> </w:t>
      </w:r>
      <w:r w:rsidR="00E3648A">
        <w:rPr>
          <w:color w:val="333333"/>
        </w:rPr>
        <w:t>and analyze questionnaire data</w:t>
      </w:r>
      <w:r w:rsidR="00394595" w:rsidRPr="00273D41">
        <w:rPr>
          <w:color w:val="333333"/>
        </w:rPr>
        <w:t xml:space="preserve">. </w:t>
      </w:r>
    </w:p>
    <w:p w14:paraId="603223A0" w14:textId="77777777" w:rsidR="009704E2" w:rsidRDefault="009704E2" w:rsidP="00167F85">
      <w:pPr>
        <w:tabs>
          <w:tab w:val="left" w:pos="1545"/>
        </w:tabs>
      </w:pPr>
    </w:p>
    <w:p w14:paraId="7E8D9B38" w14:textId="77777777" w:rsidR="0068197A" w:rsidRDefault="0068197A" w:rsidP="00186982">
      <w:pPr>
        <w:pStyle w:val="Heading2"/>
      </w:pPr>
      <w:bookmarkStart w:id="38" w:name="_Toc305153415"/>
      <w:bookmarkStart w:id="39" w:name="_Toc305153633"/>
      <w:bookmarkStart w:id="40" w:name="_Toc305154209"/>
      <w:bookmarkStart w:id="41" w:name="_Toc305155363"/>
      <w:bookmarkStart w:id="42" w:name="_Toc306341893"/>
      <w:bookmarkStart w:id="43" w:name="_Toc306344146"/>
      <w:bookmarkStart w:id="44" w:name="_Toc306344787"/>
      <w:bookmarkStart w:id="45" w:name="_Toc306345028"/>
      <w:bookmarkStart w:id="46" w:name="_Toc311445497"/>
      <w:bookmarkStart w:id="47" w:name="_Toc415567663"/>
      <w:bookmarkStart w:id="48" w:name="_Toc415568056"/>
      <w:r w:rsidRPr="004F54A8">
        <w:t>A.4</w:t>
      </w:r>
      <w:r w:rsidR="002A0056">
        <w:t>.</w:t>
      </w:r>
      <w:r w:rsidRPr="004F54A8">
        <w:t xml:space="preserve"> Efforts </w:t>
      </w:r>
      <w:r w:rsidR="00261215">
        <w:t xml:space="preserve">to </w:t>
      </w:r>
      <w:r w:rsidRPr="004F54A8">
        <w:t>Identify Duplication and Use of Similar Information</w:t>
      </w:r>
      <w:bookmarkEnd w:id="38"/>
      <w:bookmarkEnd w:id="39"/>
      <w:bookmarkEnd w:id="40"/>
      <w:bookmarkEnd w:id="41"/>
      <w:bookmarkEnd w:id="42"/>
      <w:bookmarkEnd w:id="43"/>
      <w:bookmarkEnd w:id="44"/>
      <w:bookmarkEnd w:id="45"/>
      <w:bookmarkEnd w:id="46"/>
      <w:bookmarkEnd w:id="47"/>
      <w:bookmarkEnd w:id="48"/>
    </w:p>
    <w:p w14:paraId="1988BB57" w14:textId="77777777" w:rsidR="004F54A8" w:rsidRPr="004F54A8" w:rsidRDefault="004F54A8" w:rsidP="004F54A8"/>
    <w:p w14:paraId="2D87C628" w14:textId="77777777" w:rsidR="0088333C" w:rsidRPr="007F6ADC" w:rsidRDefault="00EB5106" w:rsidP="00584A53">
      <w:pPr>
        <w:contextualSpacing/>
        <w:rPr>
          <w:color w:val="000000"/>
          <w:szCs w:val="20"/>
        </w:rPr>
      </w:pPr>
      <w:r>
        <w:rPr>
          <w:color w:val="000000"/>
        </w:rPr>
        <w:t xml:space="preserve">This </w:t>
      </w:r>
      <w:r w:rsidR="0088587C">
        <w:rPr>
          <w:color w:val="000000"/>
        </w:rPr>
        <w:t>second</w:t>
      </w:r>
      <w:r>
        <w:rPr>
          <w:color w:val="000000"/>
        </w:rPr>
        <w:t xml:space="preserve"> EI is intended to fill data gaps identified from the original EI that ATSDR completed at the site in 201</w:t>
      </w:r>
      <w:r w:rsidR="00AE6C20">
        <w:rPr>
          <w:color w:val="000000"/>
        </w:rPr>
        <w:t>0</w:t>
      </w:r>
      <w:r>
        <w:rPr>
          <w:color w:val="000000"/>
        </w:rPr>
        <w:t xml:space="preserve">.  </w:t>
      </w:r>
    </w:p>
    <w:p w14:paraId="4CC9C64B" w14:textId="77777777" w:rsidR="00322A9F" w:rsidRPr="004F54A8" w:rsidRDefault="00322A9F" w:rsidP="00186982">
      <w:pPr>
        <w:pStyle w:val="Heading2"/>
      </w:pPr>
      <w:bookmarkStart w:id="49" w:name="_Toc305153416"/>
      <w:bookmarkStart w:id="50" w:name="_Toc305153634"/>
      <w:bookmarkStart w:id="51" w:name="_Toc305154210"/>
      <w:bookmarkStart w:id="52" w:name="_Toc305155364"/>
      <w:bookmarkStart w:id="53" w:name="_Toc306341894"/>
      <w:bookmarkStart w:id="54" w:name="_Toc306344147"/>
      <w:bookmarkStart w:id="55" w:name="_Toc306344788"/>
      <w:bookmarkStart w:id="56" w:name="_Toc306345029"/>
      <w:bookmarkStart w:id="57" w:name="_Toc311445498"/>
      <w:bookmarkStart w:id="58" w:name="_Toc415567664"/>
      <w:bookmarkStart w:id="59" w:name="_Toc415568057"/>
      <w:r w:rsidRPr="004F54A8">
        <w:lastRenderedPageBreak/>
        <w:t>A.5</w:t>
      </w:r>
      <w:r w:rsidR="002A0056">
        <w:t>.</w:t>
      </w:r>
      <w:r w:rsidRPr="004F54A8">
        <w:t xml:space="preserve"> Impact on Small Business</w:t>
      </w:r>
      <w:r w:rsidR="00261215">
        <w:t>es</w:t>
      </w:r>
      <w:r w:rsidRPr="004F54A8">
        <w:t xml:space="preserve"> or Other Small Entities</w:t>
      </w:r>
      <w:bookmarkEnd w:id="49"/>
      <w:bookmarkEnd w:id="50"/>
      <w:bookmarkEnd w:id="51"/>
      <w:bookmarkEnd w:id="52"/>
      <w:bookmarkEnd w:id="53"/>
      <w:bookmarkEnd w:id="54"/>
      <w:bookmarkEnd w:id="55"/>
      <w:bookmarkEnd w:id="56"/>
      <w:bookmarkEnd w:id="57"/>
      <w:bookmarkEnd w:id="58"/>
      <w:bookmarkEnd w:id="59"/>
    </w:p>
    <w:p w14:paraId="73C91C4F" w14:textId="77777777" w:rsidR="004F54A8" w:rsidRDefault="004F54A8" w:rsidP="002F40AB">
      <w:pPr>
        <w:autoSpaceDE w:val="0"/>
        <w:autoSpaceDN w:val="0"/>
        <w:adjustRightInd w:val="0"/>
        <w:rPr>
          <w:rFonts w:ascii="TimesNewRoman" w:hAnsi="TimesNewRoman" w:cs="TimesNewRoman"/>
        </w:rPr>
      </w:pPr>
    </w:p>
    <w:p w14:paraId="05500694" w14:textId="77777777" w:rsidR="00D55B9B" w:rsidRDefault="000A2598" w:rsidP="00D55B9B">
      <w:pPr>
        <w:tabs>
          <w:tab w:val="left" w:pos="1545"/>
        </w:tabs>
      </w:pPr>
      <w:bookmarkStart w:id="60" w:name="_Toc305153417"/>
      <w:bookmarkStart w:id="61" w:name="_Toc305153635"/>
      <w:bookmarkStart w:id="62" w:name="_Toc305154211"/>
      <w:bookmarkStart w:id="63" w:name="_Toc305155365"/>
      <w:bookmarkStart w:id="64" w:name="_Toc306341895"/>
      <w:bookmarkStart w:id="65" w:name="_Toc306344148"/>
      <w:bookmarkStart w:id="66" w:name="_Toc306344789"/>
      <w:bookmarkStart w:id="67" w:name="_Toc306345030"/>
      <w:bookmarkStart w:id="68" w:name="_Toc311445499"/>
      <w:r>
        <w:t xml:space="preserve">No small businesses are included in the </w:t>
      </w:r>
      <w:r w:rsidR="00D75023">
        <w:t>Decatur</w:t>
      </w:r>
      <w:r>
        <w:t xml:space="preserve"> EI.</w:t>
      </w:r>
    </w:p>
    <w:p w14:paraId="6A190340" w14:textId="77777777" w:rsidR="00322A9F" w:rsidRPr="004F54A8" w:rsidRDefault="00322A9F" w:rsidP="00186982">
      <w:pPr>
        <w:pStyle w:val="Heading2"/>
      </w:pPr>
      <w:bookmarkStart w:id="69" w:name="_Toc415567665"/>
      <w:bookmarkStart w:id="70" w:name="_Toc415568058"/>
      <w:r w:rsidRPr="004F54A8">
        <w:t>A.6</w:t>
      </w:r>
      <w:r w:rsidR="002A0056">
        <w:t>.</w:t>
      </w:r>
      <w:r w:rsidRPr="004F54A8">
        <w:t xml:space="preserve"> Consequences of Collecting the Information Less Frequently</w:t>
      </w:r>
      <w:bookmarkEnd w:id="60"/>
      <w:bookmarkEnd w:id="61"/>
      <w:bookmarkEnd w:id="62"/>
      <w:bookmarkEnd w:id="63"/>
      <w:bookmarkEnd w:id="64"/>
      <w:bookmarkEnd w:id="65"/>
      <w:bookmarkEnd w:id="66"/>
      <w:bookmarkEnd w:id="67"/>
      <w:bookmarkEnd w:id="68"/>
      <w:bookmarkEnd w:id="69"/>
      <w:bookmarkEnd w:id="70"/>
    </w:p>
    <w:p w14:paraId="5C9EA3E3" w14:textId="77777777" w:rsidR="004F54A8" w:rsidRPr="002D0805" w:rsidRDefault="004F54A8" w:rsidP="004F54A8">
      <w:pPr>
        <w:autoSpaceDE w:val="0"/>
        <w:autoSpaceDN w:val="0"/>
        <w:adjustRightInd w:val="0"/>
        <w:rPr>
          <w:b/>
          <w:bCs/>
        </w:rPr>
      </w:pPr>
    </w:p>
    <w:p w14:paraId="4D021C0C" w14:textId="77777777" w:rsidR="00062A3F" w:rsidRDefault="000A2598" w:rsidP="00164F2C">
      <w:pPr>
        <w:tabs>
          <w:tab w:val="left" w:pos="1545"/>
        </w:tabs>
      </w:pPr>
      <w:r>
        <w:t xml:space="preserve">This request is for a one time data collection.  </w:t>
      </w:r>
      <w:r w:rsidR="00A6396B">
        <w:t>There are no legal obstacles to reduce the burden.</w:t>
      </w:r>
      <w:bookmarkStart w:id="71" w:name="_Toc305155366"/>
      <w:bookmarkStart w:id="72" w:name="_Toc306341896"/>
      <w:bookmarkStart w:id="73" w:name="_Toc306344149"/>
      <w:bookmarkStart w:id="74" w:name="_Toc306344790"/>
      <w:bookmarkStart w:id="75" w:name="_Toc306345031"/>
      <w:bookmarkStart w:id="76" w:name="_Toc311445500"/>
    </w:p>
    <w:p w14:paraId="64FAD75E" w14:textId="77777777" w:rsidR="00322A9F" w:rsidRPr="00266092" w:rsidRDefault="00322A9F" w:rsidP="00186982">
      <w:pPr>
        <w:pStyle w:val="Heading2"/>
      </w:pPr>
      <w:bookmarkStart w:id="77" w:name="_Toc415567666"/>
      <w:bookmarkStart w:id="78" w:name="_Toc415568059"/>
      <w:r w:rsidRPr="00266092">
        <w:t>A.7</w:t>
      </w:r>
      <w:r w:rsidR="002A0056">
        <w:t>.</w:t>
      </w:r>
      <w:r w:rsidRPr="00266092">
        <w:t xml:space="preserve"> Special Circumstances Relating to the Guidelines of 5 CFR 1320.5</w:t>
      </w:r>
      <w:bookmarkEnd w:id="71"/>
      <w:bookmarkEnd w:id="72"/>
      <w:bookmarkEnd w:id="73"/>
      <w:bookmarkEnd w:id="74"/>
      <w:bookmarkEnd w:id="75"/>
      <w:bookmarkEnd w:id="76"/>
      <w:bookmarkEnd w:id="77"/>
      <w:bookmarkEnd w:id="78"/>
    </w:p>
    <w:p w14:paraId="06251748" w14:textId="77777777" w:rsidR="004F54A8" w:rsidRDefault="004F54A8" w:rsidP="002F40AB">
      <w:pPr>
        <w:autoSpaceDE w:val="0"/>
        <w:autoSpaceDN w:val="0"/>
        <w:adjustRightInd w:val="0"/>
        <w:rPr>
          <w:rFonts w:ascii="TimesNewRoman" w:hAnsi="TimesNewRoman" w:cs="TimesNewRoman"/>
        </w:rPr>
      </w:pPr>
    </w:p>
    <w:p w14:paraId="57FAC85F" w14:textId="77777777" w:rsidR="00322A9F" w:rsidRPr="002D0805" w:rsidRDefault="00322A9F" w:rsidP="002F40AB">
      <w:pPr>
        <w:autoSpaceDE w:val="0"/>
        <w:autoSpaceDN w:val="0"/>
        <w:adjustRightInd w:val="0"/>
        <w:rPr>
          <w:rFonts w:ascii="TimesNewRoman" w:hAnsi="TimesNewRoman" w:cs="TimesNewRoman"/>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14:paraId="4AE5CC96" w14:textId="77777777" w:rsidR="007E0E75" w:rsidRPr="003934D6" w:rsidRDefault="00322A9F" w:rsidP="00912517">
      <w:pPr>
        <w:pStyle w:val="Heading2"/>
      </w:pPr>
      <w:bookmarkStart w:id="79" w:name="_Toc305155367"/>
      <w:bookmarkStart w:id="80" w:name="_Toc306341897"/>
      <w:bookmarkStart w:id="81" w:name="_Toc306344150"/>
      <w:bookmarkStart w:id="82" w:name="_Toc306344791"/>
      <w:bookmarkStart w:id="83" w:name="_Toc306345032"/>
      <w:bookmarkStart w:id="84" w:name="_Toc311445501"/>
      <w:bookmarkStart w:id="85" w:name="_Toc415567667"/>
      <w:bookmarkStart w:id="86" w:name="_Toc415568060"/>
      <w:r w:rsidRPr="003934D6">
        <w:t>A.8</w:t>
      </w:r>
      <w:r w:rsidR="002A0056">
        <w:t>.</w:t>
      </w:r>
      <w:r w:rsidRPr="003934D6">
        <w:t xml:space="preserve"> Comments in Response to the Federal Register Notice and Efforts to Consult Outside</w:t>
      </w:r>
      <w:bookmarkEnd w:id="79"/>
      <w:bookmarkEnd w:id="80"/>
      <w:bookmarkEnd w:id="81"/>
      <w:bookmarkEnd w:id="82"/>
      <w:bookmarkEnd w:id="83"/>
      <w:bookmarkEnd w:id="84"/>
      <w:r w:rsidR="00186982" w:rsidRPr="003934D6">
        <w:t xml:space="preserve"> the Agency</w:t>
      </w:r>
      <w:bookmarkEnd w:id="85"/>
      <w:bookmarkEnd w:id="86"/>
      <w:r w:rsidR="00186982" w:rsidRPr="003934D6">
        <w:t xml:space="preserve"> </w:t>
      </w:r>
    </w:p>
    <w:p w14:paraId="6CE67BCB" w14:textId="77777777" w:rsidR="00DC4A1A" w:rsidRDefault="00DC4A1A" w:rsidP="00DC4A1A"/>
    <w:p w14:paraId="61280AC3" w14:textId="77777777" w:rsidR="00DC4A1A" w:rsidRDefault="00AE6C20" w:rsidP="00DC4A1A">
      <w:r w:rsidRPr="00AE6C20">
        <w:t xml:space="preserve">This data collection is being conducted using the Generic Information Collection mechanism for Exposure Investigations – OMB No. 0923-0048 (expiration date: 05/31/2016).  A 60-day Federal Register Notice was published in the Federal Register, Vol. 77, No. 61 on Thursday, March 29, 2012. No comments were received. </w:t>
      </w:r>
      <w:bookmarkStart w:id="87" w:name="_Toc305155369"/>
      <w:bookmarkStart w:id="88" w:name="_Toc306341899"/>
      <w:bookmarkStart w:id="89" w:name="_Toc306344152"/>
      <w:bookmarkStart w:id="90" w:name="_Toc306344793"/>
      <w:bookmarkStart w:id="91" w:name="_Toc306345034"/>
      <w:bookmarkStart w:id="92" w:name="_Toc311445503"/>
    </w:p>
    <w:p w14:paraId="5831C9F5" w14:textId="77777777" w:rsidR="0068197A" w:rsidRPr="00266092" w:rsidRDefault="0068197A" w:rsidP="00DC4A1A">
      <w:pPr>
        <w:pStyle w:val="Heading2"/>
      </w:pPr>
      <w:bookmarkStart w:id="93" w:name="_Toc415567668"/>
      <w:bookmarkStart w:id="94" w:name="_Toc415568061"/>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7"/>
      <w:bookmarkEnd w:id="88"/>
      <w:bookmarkEnd w:id="89"/>
      <w:bookmarkEnd w:id="90"/>
      <w:bookmarkEnd w:id="91"/>
      <w:bookmarkEnd w:id="92"/>
      <w:bookmarkEnd w:id="93"/>
      <w:bookmarkEnd w:id="94"/>
    </w:p>
    <w:p w14:paraId="091DA428" w14:textId="77777777" w:rsidR="0068197A" w:rsidRPr="002D0805" w:rsidRDefault="0068197A" w:rsidP="002F40AB">
      <w:pPr>
        <w:autoSpaceDE w:val="0"/>
        <w:autoSpaceDN w:val="0"/>
        <w:adjustRightInd w:val="0"/>
      </w:pPr>
    </w:p>
    <w:p w14:paraId="512F5870" w14:textId="77777777" w:rsidR="009125FC" w:rsidRDefault="00980401" w:rsidP="00C17B04">
      <w:pPr>
        <w:tabs>
          <w:tab w:val="left" w:pos="1545"/>
        </w:tabs>
      </w:pPr>
      <w:bookmarkStart w:id="95" w:name="_Toc305155370"/>
      <w:bookmarkStart w:id="96" w:name="_Toc306341900"/>
      <w:bookmarkStart w:id="97" w:name="_Toc306344153"/>
      <w:bookmarkStart w:id="98" w:name="_Toc306344794"/>
      <w:bookmarkStart w:id="99" w:name="_Toc306345035"/>
      <w:bookmarkStart w:id="100" w:name="_Toc311445504"/>
      <w:r>
        <w:t>ATSDR will not provide payments or gifts to participants.</w:t>
      </w:r>
    </w:p>
    <w:p w14:paraId="2060AC96" w14:textId="77777777" w:rsidR="001E683D" w:rsidRDefault="001E683D" w:rsidP="00186982">
      <w:pPr>
        <w:pStyle w:val="Heading2"/>
      </w:pPr>
      <w:bookmarkStart w:id="101" w:name="_Toc415567669"/>
      <w:bookmarkStart w:id="102" w:name="_Toc415568062"/>
      <w:r w:rsidRPr="00266092">
        <w:t>A.10</w:t>
      </w:r>
      <w:r w:rsidR="002A0056">
        <w:t>.</w:t>
      </w:r>
      <w:r w:rsidRPr="00266092">
        <w:t xml:space="preserve"> Assurance of </w:t>
      </w:r>
      <w:r w:rsidR="00A738C5">
        <w:t>Privacy</w:t>
      </w:r>
      <w:r w:rsidRPr="00266092">
        <w:t xml:space="preserve"> Provided to Respondents</w:t>
      </w:r>
      <w:bookmarkEnd w:id="95"/>
      <w:bookmarkEnd w:id="96"/>
      <w:bookmarkEnd w:id="97"/>
      <w:bookmarkEnd w:id="98"/>
      <w:bookmarkEnd w:id="99"/>
      <w:bookmarkEnd w:id="100"/>
      <w:bookmarkEnd w:id="101"/>
      <w:bookmarkEnd w:id="102"/>
    </w:p>
    <w:p w14:paraId="37C9BF8C" w14:textId="77777777" w:rsidR="00AE6C20" w:rsidRPr="00AE6C20" w:rsidRDefault="00AE6C20" w:rsidP="00AE6C20"/>
    <w:p w14:paraId="51C63B85" w14:textId="5CCAEE09" w:rsidR="00AE6C20" w:rsidRDefault="00AE6C20" w:rsidP="00AE6C20">
      <w:r>
        <w:t xml:space="preserve">This submission has been reviewed by CIO who determined that the Privacy Act does apply. The relevant Privacy Act System of Records Notice (SORN) for this EI is the Records of Persons Exposed or Potentially Exposed to Toxic or </w:t>
      </w:r>
      <w:r w:rsidRPr="00046A0C">
        <w:t>Hazardous Substances (HHS/ATSDR)</w:t>
      </w:r>
      <w:r w:rsidR="00046A0C" w:rsidRPr="00046A0C">
        <w:t xml:space="preserve"> (SORN 09-19-0001, Volume 53, Page Number 30702, Publication Date 08/15/1988)</w:t>
      </w:r>
      <w:r w:rsidRPr="00046A0C">
        <w:t xml:space="preserve">. </w:t>
      </w:r>
      <w:r>
        <w:t>This SORN is intended to allow for the implementation of the legislated mandate of ATSDR to identify the public health threat caused by exposure to toxic and hazardous substances using exposure investigations.</w:t>
      </w:r>
    </w:p>
    <w:p w14:paraId="3CE6391B" w14:textId="77777777" w:rsidR="00AE6C20" w:rsidRDefault="00AE6C20" w:rsidP="00AE6C20"/>
    <w:p w14:paraId="672987D7" w14:textId="77777777" w:rsidR="00AE6C20" w:rsidRDefault="00AE6C20" w:rsidP="007A459D">
      <w:r>
        <w:t xml:space="preserve">Data obtained during the exposure investigation will be treated in a secure manner and will not be disclosed, unless otherwise compelled by law. </w:t>
      </w:r>
      <w:r w:rsidR="007A459D" w:rsidRPr="007A459D">
        <w:t>Alabama’s Sunshine laws were replaced by the Alabama Open Meetings Act in 2005. This legislation does not provide access to personal identifying information.</w:t>
      </w:r>
    </w:p>
    <w:p w14:paraId="3F4D2470" w14:textId="77777777" w:rsidR="007A459D" w:rsidRDefault="007A459D" w:rsidP="007A459D">
      <w:pPr>
        <w:rPr>
          <w:u w:val="single"/>
        </w:rPr>
      </w:pPr>
    </w:p>
    <w:p w14:paraId="0D7BB4A8" w14:textId="77777777" w:rsidR="00A6396B" w:rsidRPr="00AE6C20" w:rsidRDefault="00A6396B" w:rsidP="00A6396B">
      <w:pPr>
        <w:tabs>
          <w:tab w:val="left" w:pos="1545"/>
        </w:tabs>
        <w:rPr>
          <w:rStyle w:val="Strong"/>
          <w:color w:val="4F81BD" w:themeColor="accent1"/>
        </w:rPr>
      </w:pPr>
      <w:r w:rsidRPr="00AE6C20">
        <w:rPr>
          <w:rStyle w:val="Strong"/>
          <w:color w:val="4F81BD" w:themeColor="accent1"/>
        </w:rPr>
        <w:t>Institutional Review Board</w:t>
      </w:r>
    </w:p>
    <w:p w14:paraId="5DCE4DF2" w14:textId="77777777" w:rsidR="00A6396B" w:rsidRPr="00647BB2" w:rsidRDefault="00A6396B" w:rsidP="00A6396B">
      <w:pPr>
        <w:tabs>
          <w:tab w:val="left" w:pos="1545"/>
        </w:tabs>
      </w:pPr>
    </w:p>
    <w:p w14:paraId="33026F2B" w14:textId="73161BE7" w:rsidR="00A6396B" w:rsidRPr="006B4164" w:rsidRDefault="00BE7217" w:rsidP="009846C3">
      <w:r w:rsidRPr="00BE7217">
        <w:t xml:space="preserve">Federal Regulations for Protection of Human Subjects (45 CFR 46) state that “research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w:t>
      </w:r>
      <w:r>
        <w:t>This</w:t>
      </w:r>
      <w:r w:rsidRPr="00BE7217">
        <w:t xml:space="preserve"> EI is a nonresearch activity and human subjects review by an Institutional Review Board </w:t>
      </w:r>
      <w:r w:rsidRPr="00BE7217">
        <w:lastRenderedPageBreak/>
        <w:t xml:space="preserve">(IRB) is not required. The EI was reviewed by the NCEH/ATSDR Human Subjects Coordinator who is designated to make human subjects research-or-non-research determinations on a case-by-case basis (Attachment 5). </w:t>
      </w:r>
      <w:bookmarkStart w:id="103" w:name="_Toc415567670"/>
      <w:bookmarkStart w:id="104" w:name="_Toc415568063"/>
      <w:r w:rsidR="000C2177" w:rsidRPr="006B4164">
        <w:t xml:space="preserve">A.10.1. </w:t>
      </w:r>
      <w:r w:rsidR="00A6396B" w:rsidRPr="006B4164">
        <w:t>Privacy Impact Assessment Information</w:t>
      </w:r>
      <w:bookmarkEnd w:id="103"/>
      <w:bookmarkEnd w:id="104"/>
    </w:p>
    <w:p w14:paraId="7F6F9BAF" w14:textId="77777777" w:rsidR="00AE6C20" w:rsidRDefault="00AE6C20" w:rsidP="00AE6C20">
      <w:pPr>
        <w:tabs>
          <w:tab w:val="left" w:pos="1545"/>
        </w:tabs>
      </w:pPr>
    </w:p>
    <w:p w14:paraId="77B48B52" w14:textId="77777777" w:rsidR="00A6396B" w:rsidRDefault="00AE6C20" w:rsidP="00AE6C20">
      <w:pPr>
        <w:tabs>
          <w:tab w:val="left" w:pos="1545"/>
        </w:tabs>
      </w:pPr>
      <w:r>
        <w:t>The Decatur EI will involve</w:t>
      </w:r>
      <w:r w:rsidR="00F17665">
        <w:t xml:space="preserve"> up to 155</w:t>
      </w:r>
      <w:r>
        <w:t xml:space="preserve"> </w:t>
      </w:r>
      <w:r w:rsidR="00F17665">
        <w:t xml:space="preserve">participants, including </w:t>
      </w:r>
      <w:r>
        <w:t xml:space="preserve">children age 12 and older, pregnant women, and women of child-bearing age. ATSDR provides participants with information on the EI process and what it can and cannot determine. After providing the participants this information, ATSDR will ask for parental permission and minor assent, or adult consent to participate in the EI. Participation is completely voluntary; participants can stop participating in the EI at any time.  </w:t>
      </w:r>
    </w:p>
    <w:p w14:paraId="6451C7A4" w14:textId="77777777" w:rsidR="00D84E06" w:rsidRDefault="00D84E06" w:rsidP="00D84E06">
      <w:pPr>
        <w:rPr>
          <w:rStyle w:val="Strong"/>
        </w:rPr>
      </w:pPr>
      <w:bookmarkStart w:id="105" w:name="_Toc415567671"/>
    </w:p>
    <w:p w14:paraId="3064CC59" w14:textId="77777777" w:rsidR="00AE6C20" w:rsidRPr="00D84E06" w:rsidRDefault="00AE6C20" w:rsidP="00D84E06">
      <w:pPr>
        <w:rPr>
          <w:rStyle w:val="Strong"/>
          <w:color w:val="4F81BD" w:themeColor="accent1"/>
        </w:rPr>
      </w:pPr>
      <w:r w:rsidRPr="00D84E06">
        <w:rPr>
          <w:rStyle w:val="Strong"/>
          <w:color w:val="4F81BD" w:themeColor="accent1"/>
        </w:rPr>
        <w:t>Overview of the Data Collection System</w:t>
      </w:r>
      <w:bookmarkEnd w:id="105"/>
    </w:p>
    <w:p w14:paraId="26005025" w14:textId="77777777" w:rsidR="00AE6C20" w:rsidRDefault="00AE6C20" w:rsidP="00AE6C20">
      <w:pPr>
        <w:tabs>
          <w:tab w:val="left" w:pos="1545"/>
        </w:tabs>
      </w:pPr>
    </w:p>
    <w:p w14:paraId="750F5ECD" w14:textId="77777777" w:rsidR="00AE6C20" w:rsidRDefault="00AE6C20" w:rsidP="00AE6C20">
      <w:pPr>
        <w:tabs>
          <w:tab w:val="left" w:pos="1545"/>
        </w:tabs>
      </w:pPr>
      <w:r w:rsidRPr="00F272FD">
        <w:t>The primary objective of the</w:t>
      </w:r>
      <w:r>
        <w:t xml:space="preserve"> information collected for the Decatur EI is to assess exposures to PFCs in biological samples</w:t>
      </w:r>
      <w:r w:rsidR="00EC0D33">
        <w:t xml:space="preserve"> (e.g., serum and urine)</w:t>
      </w:r>
      <w:r>
        <w:t>.  Information obtained from the participants assists the team in determining if exposure has occurred or is occurring.</w:t>
      </w:r>
      <w:r w:rsidRPr="00C14B8B">
        <w:t xml:space="preserve"> </w:t>
      </w:r>
      <w:r>
        <w:t>For this EI, a data collection system will include all of the measurements and procedures that are proposed to address data gaps in the biological sampling at the site.</w:t>
      </w:r>
    </w:p>
    <w:p w14:paraId="69B4C3A0" w14:textId="77777777" w:rsidR="00AE6C20" w:rsidRDefault="00AE6C20" w:rsidP="00AE6C20">
      <w:pPr>
        <w:tabs>
          <w:tab w:val="left" w:pos="1545"/>
        </w:tabs>
      </w:pPr>
    </w:p>
    <w:p w14:paraId="56C1B35B" w14:textId="77777777" w:rsidR="00AE6C20" w:rsidRDefault="00AE6C20" w:rsidP="00AE6C20">
      <w:pPr>
        <w:tabs>
          <w:tab w:val="left" w:pos="1545"/>
        </w:tabs>
      </w:pPr>
      <w:r>
        <w:t>The data collection system for this EI will be characterized by the following:</w:t>
      </w:r>
    </w:p>
    <w:p w14:paraId="600A88EB" w14:textId="77777777" w:rsidR="00AE6C20" w:rsidRDefault="00AE6C20" w:rsidP="00AE6C20">
      <w:pPr>
        <w:tabs>
          <w:tab w:val="left" w:pos="1545"/>
        </w:tabs>
      </w:pPr>
    </w:p>
    <w:p w14:paraId="0F337791" w14:textId="77777777" w:rsidR="00AE6C20" w:rsidRPr="00DB10B4" w:rsidRDefault="00AE6C20" w:rsidP="00AE6C20">
      <w:pPr>
        <w:pStyle w:val="ListParagraph"/>
        <w:numPr>
          <w:ilvl w:val="0"/>
          <w:numId w:val="12"/>
        </w:numPr>
        <w:tabs>
          <w:tab w:val="left" w:pos="1545"/>
        </w:tabs>
        <w:rPr>
          <w:u w:val="single"/>
        </w:rPr>
      </w:pPr>
      <w:r w:rsidRPr="00DB10B4">
        <w:rPr>
          <w:u w:val="single"/>
        </w:rPr>
        <w:t xml:space="preserve">Who </w:t>
      </w:r>
      <w:r>
        <w:rPr>
          <w:u w:val="single"/>
        </w:rPr>
        <w:t>will use the</w:t>
      </w:r>
      <w:r w:rsidRPr="00DB10B4">
        <w:rPr>
          <w:u w:val="single"/>
        </w:rPr>
        <w:t xml:space="preserve"> EI </w:t>
      </w:r>
      <w:r>
        <w:rPr>
          <w:u w:val="single"/>
        </w:rPr>
        <w:t>Data Collection System?</w:t>
      </w:r>
    </w:p>
    <w:p w14:paraId="447EA122" w14:textId="77777777" w:rsidR="00AE6C20" w:rsidRDefault="00AE6C20" w:rsidP="00AE6C20">
      <w:pPr>
        <w:pStyle w:val="ListParagraph"/>
      </w:pPr>
      <w:r w:rsidRPr="00DB10B4">
        <w:t xml:space="preserve">The </w:t>
      </w:r>
      <w:r>
        <w:t xml:space="preserve">DCHI SSB </w:t>
      </w:r>
      <w:r w:rsidRPr="00DB10B4">
        <w:t xml:space="preserve">EI </w:t>
      </w:r>
      <w:r>
        <w:t>T</w:t>
      </w:r>
      <w:r w:rsidRPr="00DB10B4">
        <w:t>eam</w:t>
      </w:r>
      <w:r>
        <w:t xml:space="preserve"> and the ATSDR Region 4 staff </w:t>
      </w:r>
      <w:r w:rsidRPr="00DB10B4">
        <w:t xml:space="preserve">will use the </w:t>
      </w:r>
      <w:r>
        <w:t xml:space="preserve">Data Collection System to perform the biological collection and laboratory analysis during the Decatur EI. </w:t>
      </w:r>
    </w:p>
    <w:p w14:paraId="48F87CAD" w14:textId="77777777" w:rsidR="00AE6C20" w:rsidRDefault="00AE6C20" w:rsidP="00AE6C20">
      <w:pPr>
        <w:pStyle w:val="ListParagraph"/>
      </w:pPr>
    </w:p>
    <w:p w14:paraId="7FD3E531" w14:textId="77777777" w:rsidR="00AE6C20" w:rsidRPr="00DB10B4" w:rsidRDefault="00AE6C20" w:rsidP="00AE6C20">
      <w:pPr>
        <w:pStyle w:val="ListParagraph"/>
        <w:numPr>
          <w:ilvl w:val="0"/>
          <w:numId w:val="12"/>
        </w:numPr>
        <w:rPr>
          <w:u w:val="single"/>
        </w:rPr>
      </w:pPr>
      <w:r w:rsidRPr="00DB10B4">
        <w:rPr>
          <w:u w:val="single"/>
        </w:rPr>
        <w:t>Who can be included as part of the EI</w:t>
      </w:r>
      <w:r>
        <w:rPr>
          <w:u w:val="single"/>
        </w:rPr>
        <w:t xml:space="preserve"> Generic Clearance?</w:t>
      </w:r>
    </w:p>
    <w:p w14:paraId="7F0C7BAA" w14:textId="049CBA74" w:rsidR="00AE6C20" w:rsidRDefault="00AE6C20" w:rsidP="00AE6C20">
      <w:pPr>
        <w:ind w:left="720"/>
      </w:pPr>
      <w:r>
        <w:t>EI participants for the Decatur EI</w:t>
      </w:r>
      <w:r>
        <w:rPr>
          <w:bCs/>
        </w:rPr>
        <w:t xml:space="preserve"> are identified as the participants included in the previous</w:t>
      </w:r>
      <w:r w:rsidR="00DF1B38">
        <w:rPr>
          <w:bCs/>
        </w:rPr>
        <w:t xml:space="preserve"> 2010</w:t>
      </w:r>
      <w:r>
        <w:rPr>
          <w:bCs/>
        </w:rPr>
        <w:t xml:space="preserve"> EI</w:t>
      </w:r>
      <w:r w:rsidR="001D4AF4">
        <w:rPr>
          <w:bCs/>
        </w:rPr>
        <w:t xml:space="preserve"> and others recruited from Morgan, Lawrence, and Limestone counties</w:t>
      </w:r>
      <w:r>
        <w:rPr>
          <w:bCs/>
        </w:rPr>
        <w:t xml:space="preserve">.  </w:t>
      </w:r>
      <w:r>
        <w:t xml:space="preserve"> </w:t>
      </w:r>
    </w:p>
    <w:p w14:paraId="1CF11422" w14:textId="77777777" w:rsidR="001D4AF4" w:rsidRDefault="001D4AF4" w:rsidP="001D4AF4">
      <w:pPr>
        <w:ind w:left="720"/>
      </w:pPr>
    </w:p>
    <w:p w14:paraId="679E1B11" w14:textId="77777777" w:rsidR="001D4AF4" w:rsidRDefault="00F17665" w:rsidP="001D4AF4">
      <w:pPr>
        <w:ind w:left="720"/>
      </w:pPr>
      <w:r>
        <w:t>Up to 155 p</w:t>
      </w:r>
      <w:r w:rsidR="001D4AF4">
        <w:t>articipants will be recruited based on the following prioritization:</w:t>
      </w:r>
    </w:p>
    <w:p w14:paraId="3781364A" w14:textId="43FE02A0" w:rsidR="001D4AF4" w:rsidRDefault="001D4AF4" w:rsidP="001D4AF4">
      <w:pPr>
        <w:pStyle w:val="ListParagraph"/>
        <w:numPr>
          <w:ilvl w:val="0"/>
          <w:numId w:val="34"/>
        </w:numPr>
      </w:pPr>
      <w:r>
        <w:t xml:space="preserve">First Priority Target Group: Participants in the 2010 </w:t>
      </w:r>
      <w:r w:rsidR="00DF1B38">
        <w:t>EI</w:t>
      </w:r>
      <w:r>
        <w:t xml:space="preserve"> who continue to live in Morgan, Lawrence and Limestone Counties. </w:t>
      </w:r>
    </w:p>
    <w:p w14:paraId="730C89EC" w14:textId="0DF6FC0D" w:rsidR="001D4AF4" w:rsidRDefault="001D4AF4" w:rsidP="001D4AF4">
      <w:pPr>
        <w:pStyle w:val="ListParagraph"/>
        <w:numPr>
          <w:ilvl w:val="0"/>
          <w:numId w:val="34"/>
        </w:numPr>
      </w:pPr>
      <w:r>
        <w:t xml:space="preserve">Second Priority Target Group: Participants in the 2010 </w:t>
      </w:r>
      <w:r w:rsidR="00DF1B38">
        <w:t>EI</w:t>
      </w:r>
      <w:r>
        <w:t xml:space="preserve"> who no longer live in Morgan, Lawrence and Limestone Counties. </w:t>
      </w:r>
    </w:p>
    <w:p w14:paraId="43142928" w14:textId="77777777" w:rsidR="001D4AF4" w:rsidRDefault="001D4AF4" w:rsidP="001D4AF4">
      <w:pPr>
        <w:pStyle w:val="ListParagraph"/>
        <w:numPr>
          <w:ilvl w:val="0"/>
          <w:numId w:val="34"/>
        </w:numPr>
      </w:pPr>
      <w:r>
        <w:t xml:space="preserve">Additional participants will be recruited from Morgan, Lawrence, and Limestone Counties if fewer than 75 </w:t>
      </w:r>
      <w:r w:rsidR="00EC0D33">
        <w:t xml:space="preserve">of the original 155 </w:t>
      </w:r>
      <w:r>
        <w:t>participants from the 2010 investigation are willing to participate.</w:t>
      </w:r>
    </w:p>
    <w:p w14:paraId="777BB846" w14:textId="77777777" w:rsidR="001D4AF4" w:rsidRDefault="001D4AF4" w:rsidP="001D4AF4">
      <w:pPr>
        <w:ind w:left="720"/>
      </w:pPr>
    </w:p>
    <w:p w14:paraId="60593FFA" w14:textId="77777777" w:rsidR="001D4AF4" w:rsidRDefault="001D4AF4" w:rsidP="001D4AF4">
      <w:pPr>
        <w:ind w:left="720"/>
      </w:pPr>
      <w:r>
        <w:t>ATSDR will target participants from the 2010 EI for recruitment into this investigation. ATSDR will contact all prior exposure investigation participants by phone to recruit them into the follow-up investigation. If telephone recruitment yields fewer than 75 participants, staff from ATSDR and local health agencies will hold a public meeting with the residents to attempt to recruit additional participants.</w:t>
      </w:r>
    </w:p>
    <w:p w14:paraId="5AF83F0C" w14:textId="77777777" w:rsidR="00AE6C20" w:rsidRDefault="00AE6C20" w:rsidP="00AE6C20">
      <w:pPr>
        <w:ind w:left="720"/>
      </w:pPr>
    </w:p>
    <w:p w14:paraId="0097986A" w14:textId="77777777" w:rsidR="00AE6C20" w:rsidRPr="009175DC" w:rsidRDefault="00AE6C20" w:rsidP="00AE6C20">
      <w:pPr>
        <w:pStyle w:val="ListParagraph"/>
        <w:numPr>
          <w:ilvl w:val="0"/>
          <w:numId w:val="12"/>
        </w:numPr>
        <w:rPr>
          <w:u w:val="single"/>
        </w:rPr>
      </w:pPr>
      <w:r w:rsidRPr="009175DC">
        <w:rPr>
          <w:u w:val="single"/>
        </w:rPr>
        <w:t>What types of questions may be asked as part of the EI Generic Clearance?</w:t>
      </w:r>
    </w:p>
    <w:p w14:paraId="52BEC0F2" w14:textId="77777777" w:rsidR="00AE6C20" w:rsidRPr="00584A53" w:rsidRDefault="00AE6C20" w:rsidP="00AE6C20">
      <w:pPr>
        <w:pStyle w:val="ListParagraph"/>
        <w:rPr>
          <w:b/>
          <w:bCs/>
        </w:rPr>
      </w:pPr>
      <w:r>
        <w:lastRenderedPageBreak/>
        <w:t xml:space="preserve">Attachment 4 provides the information collection form that will be used to evaluate chemical exposure of Decatur EI participants. </w:t>
      </w:r>
      <w:r w:rsidRPr="003D5E14">
        <w:t>Each participant will be asked a few questions to gather information on risk factors for exposure to PFCs through food pathways, contact with contaminated soil, or local well water use. Each participant will have their height, weight, and body fat percentage measured and recorded by an ATSDR staff person.</w:t>
      </w:r>
    </w:p>
    <w:p w14:paraId="7AFCE4B8" w14:textId="77777777" w:rsidR="00D84E06" w:rsidRDefault="00D84E06" w:rsidP="00D84E06">
      <w:pPr>
        <w:rPr>
          <w:rStyle w:val="Strong"/>
        </w:rPr>
      </w:pPr>
      <w:bookmarkStart w:id="106" w:name="_Toc415567672"/>
    </w:p>
    <w:p w14:paraId="52DF6639" w14:textId="77777777" w:rsidR="00AE6C20" w:rsidRPr="00D84E06" w:rsidRDefault="00AE6C20" w:rsidP="00D84E06">
      <w:pPr>
        <w:rPr>
          <w:rStyle w:val="Strong"/>
          <w:color w:val="4F81BD" w:themeColor="accent1"/>
        </w:rPr>
      </w:pPr>
      <w:r w:rsidRPr="00D84E06">
        <w:rPr>
          <w:rStyle w:val="Strong"/>
          <w:color w:val="4F81BD" w:themeColor="accent1"/>
        </w:rPr>
        <w:t>Items of Information to be Collected</w:t>
      </w:r>
      <w:bookmarkEnd w:id="106"/>
    </w:p>
    <w:p w14:paraId="5F616A74" w14:textId="77777777" w:rsidR="00AE6C20" w:rsidRDefault="00AE6C20" w:rsidP="00AE6C20">
      <w:pPr>
        <w:tabs>
          <w:tab w:val="left" w:pos="1545"/>
        </w:tabs>
      </w:pPr>
    </w:p>
    <w:p w14:paraId="373DC480" w14:textId="77777777" w:rsidR="00AE6C20" w:rsidRDefault="00AE6C20" w:rsidP="00AE6C20">
      <w:pPr>
        <w:tabs>
          <w:tab w:val="left" w:pos="1545"/>
        </w:tabs>
      </w:pPr>
      <w:r>
        <w:t>Collecting identifying information is necessary to facilitate personal contact with participants, to obtain their assent/consent/parental permission to participate and to provide them with results.  The information is also used by ATSDR to better interpret the results of the sampling. ATSDR uses the information only to contact respondents. Data is treated in a private manner, unless otherwise compelled by law.</w:t>
      </w:r>
    </w:p>
    <w:p w14:paraId="57A82C9A" w14:textId="77777777" w:rsidR="00AE6C20" w:rsidRDefault="00AE6C20" w:rsidP="00AE6C20">
      <w:pPr>
        <w:tabs>
          <w:tab w:val="left" w:pos="1545"/>
        </w:tabs>
        <w:rPr>
          <w:bCs/>
          <w:iCs/>
          <w:color w:val="000000"/>
        </w:rPr>
      </w:pPr>
    </w:p>
    <w:p w14:paraId="69C4026F" w14:textId="77777777" w:rsidR="00AE6C20" w:rsidRDefault="00AE6C20" w:rsidP="00AE6C20">
      <w:pPr>
        <w:tabs>
          <w:tab w:val="left" w:pos="1545"/>
        </w:tabs>
        <w:rPr>
          <w:bCs/>
          <w:iCs/>
          <w:color w:val="000000"/>
        </w:rPr>
      </w:pPr>
      <w:r>
        <w:rPr>
          <w:bCs/>
          <w:iCs/>
          <w:color w:val="000000"/>
        </w:rPr>
        <w:t xml:space="preserve">ATSDR collects contact information (e.g., name, address, phone number, email address) to provide the participant with their individual results. </w:t>
      </w:r>
      <w:r w:rsidR="00EC0D33">
        <w:rPr>
          <w:bCs/>
          <w:iCs/>
          <w:color w:val="000000"/>
        </w:rPr>
        <w:t xml:space="preserve">Additional information to be collected for this EI include age, date of birth, height, weight and body fat percentage.  Race, ethnicity and gender are also required to be collected.  </w:t>
      </w:r>
      <w:r>
        <w:rPr>
          <w:bCs/>
          <w:iCs/>
          <w:color w:val="000000"/>
        </w:rPr>
        <w:t>General information, which includes height, weight, age/date of birth, race, gender, etc., may also be collected primarily on biological investigations to assist with results interpretation.</w:t>
      </w:r>
    </w:p>
    <w:p w14:paraId="1F9E4B25" w14:textId="77777777" w:rsidR="00AE6C20" w:rsidRDefault="00AE6C20" w:rsidP="00AE6C20">
      <w:pPr>
        <w:tabs>
          <w:tab w:val="left" w:pos="1545"/>
        </w:tabs>
        <w:rPr>
          <w:bCs/>
          <w:iCs/>
        </w:rPr>
      </w:pPr>
    </w:p>
    <w:p w14:paraId="16B596B9" w14:textId="77777777" w:rsidR="00AE6C20" w:rsidRPr="005D78EC" w:rsidRDefault="00AE6C20" w:rsidP="00AE6C20">
      <w:pPr>
        <w:tabs>
          <w:tab w:val="left" w:pos="1545"/>
        </w:tabs>
        <w:rPr>
          <w:bCs/>
          <w:iCs/>
          <w:color w:val="000000"/>
        </w:rPr>
      </w:pPr>
      <w:r>
        <w:rPr>
          <w:bCs/>
          <w:iCs/>
        </w:rPr>
        <w:t>ATSDR will ask participants in the area about their drinking water use and their intake of fish and locally grown produce</w:t>
      </w:r>
      <w:r>
        <w:t xml:space="preserve">. </w:t>
      </w:r>
      <w:r>
        <w:rPr>
          <w:bCs/>
        </w:rPr>
        <w:t xml:space="preserve">Only questions needed to determine the extent of exposure in a particular situation will be asked. The questions are intended to estimate how long and how frequently participants may have contact with PFCs in the environment. </w:t>
      </w:r>
      <w:r w:rsidRPr="005348BC">
        <w:rPr>
          <w:bCs/>
          <w:iCs/>
        </w:rPr>
        <w:t>Th</w:t>
      </w:r>
      <w:r>
        <w:rPr>
          <w:bCs/>
          <w:iCs/>
        </w:rPr>
        <w:t>is</w:t>
      </w:r>
      <w:r w:rsidRPr="005348BC">
        <w:rPr>
          <w:bCs/>
          <w:iCs/>
        </w:rPr>
        <w:t xml:space="preserve"> information represents their individual exposure history. </w:t>
      </w:r>
    </w:p>
    <w:p w14:paraId="4F63E73C" w14:textId="77777777" w:rsidR="00AE6C20" w:rsidRDefault="00AE6C20" w:rsidP="00AE6C20">
      <w:pPr>
        <w:tabs>
          <w:tab w:val="left" w:pos="1545"/>
        </w:tabs>
        <w:rPr>
          <w:bCs/>
          <w:iCs/>
        </w:rPr>
      </w:pPr>
    </w:p>
    <w:p w14:paraId="46AAD332" w14:textId="773CE5DE" w:rsidR="00AE6C20" w:rsidRDefault="00AE6C20" w:rsidP="00AE6C20">
      <w:pPr>
        <w:rPr>
          <w:bCs/>
          <w:iCs/>
        </w:rPr>
      </w:pPr>
      <w:r>
        <w:t>The blood collection will be overseen by ATSDR personnel</w:t>
      </w:r>
      <w:r w:rsidR="001D4AF4">
        <w:t>.</w:t>
      </w:r>
      <w:r w:rsidR="00EF0D35">
        <w:t xml:space="preserve"> </w:t>
      </w:r>
      <w:r w:rsidR="00443720">
        <w:t xml:space="preserve">Urine collection will take place at each individual’s home (approximately 5 minutes). </w:t>
      </w:r>
      <w:r w:rsidR="00EF0D35">
        <w:t xml:space="preserve">Each participant will attend two appointments. At the first appointment (approximately 15 minutes) the participant will sign consent forms, be given instructions and materials for urine collection, and have an opportunity to ask any questions. At the second appointment (approximately 15 minutes) the participant will </w:t>
      </w:r>
      <w:r w:rsidR="00443720">
        <w:t xml:space="preserve">submit their urine sample, </w:t>
      </w:r>
      <w:r w:rsidR="00EF0D35">
        <w:t>have a blood sample collected</w:t>
      </w:r>
      <w:r w:rsidR="00B66090">
        <w:t>,</w:t>
      </w:r>
      <w:r w:rsidR="00EF0D35">
        <w:t xml:space="preserve"> and complete a questionnaire. </w:t>
      </w:r>
      <w:r>
        <w:t xml:space="preserve">Blood samples will be </w:t>
      </w:r>
      <w:r w:rsidR="001D4AF4">
        <w:t xml:space="preserve">obtained by trained phlebotomists and </w:t>
      </w:r>
      <w:r>
        <w:t>shipped directly to the Centers for Disease Control and Prevention (CDC) National Center for Environmental Health (NCEH) laboratory in Atlanta for analysis. Urine samples will be shipped directly to a contract laboratory for analysis. Appropriate Quality Assurance Plans will be prepared and implemented by ATSDR.</w:t>
      </w:r>
      <w:r>
        <w:rPr>
          <w:bCs/>
          <w:iCs/>
        </w:rPr>
        <w:t xml:space="preserve"> </w:t>
      </w:r>
    </w:p>
    <w:p w14:paraId="2274FC4F" w14:textId="77777777" w:rsidR="00F404C0" w:rsidRPr="00D84E06" w:rsidRDefault="00F404C0" w:rsidP="00F404C0">
      <w:pPr>
        <w:rPr>
          <w:rStyle w:val="Strong"/>
          <w:color w:val="4F81BD" w:themeColor="accent1"/>
        </w:rPr>
      </w:pPr>
    </w:p>
    <w:p w14:paraId="7D001FB0" w14:textId="77777777" w:rsidR="00F404C0" w:rsidRPr="00D84E06" w:rsidRDefault="00F404C0" w:rsidP="00F404C0">
      <w:pPr>
        <w:rPr>
          <w:rStyle w:val="Strong"/>
          <w:color w:val="4F81BD" w:themeColor="accent1"/>
        </w:rPr>
      </w:pPr>
      <w:r w:rsidRPr="00D84E06">
        <w:rPr>
          <w:rStyle w:val="Strong"/>
          <w:color w:val="4F81BD" w:themeColor="accent1"/>
        </w:rPr>
        <w:t>Sharing and Purpose of Collected Information</w:t>
      </w:r>
    </w:p>
    <w:p w14:paraId="08CC9D99" w14:textId="77777777" w:rsidR="00F404C0" w:rsidRDefault="00F404C0" w:rsidP="00F404C0">
      <w:pPr>
        <w:tabs>
          <w:tab w:val="left" w:pos="1545"/>
        </w:tabs>
        <w:rPr>
          <w:rStyle w:val="Strong"/>
        </w:rPr>
      </w:pPr>
    </w:p>
    <w:p w14:paraId="2CC6B766" w14:textId="77777777" w:rsidR="00F404C0" w:rsidRPr="009B0F1A" w:rsidRDefault="00F404C0" w:rsidP="00F404C0">
      <w:pPr>
        <w:tabs>
          <w:tab w:val="left" w:pos="1545"/>
        </w:tabs>
        <w:rPr>
          <w:rStyle w:val="Strong"/>
          <w:b w:val="0"/>
        </w:rPr>
      </w:pPr>
      <w:r w:rsidRPr="009B0F1A">
        <w:rPr>
          <w:rStyle w:val="Strong"/>
          <w:b w:val="0"/>
        </w:rPr>
        <w:t>The information</w:t>
      </w:r>
      <w:r>
        <w:rPr>
          <w:rStyle w:val="Strong"/>
          <w:b w:val="0"/>
        </w:rPr>
        <w:t xml:space="preserve"> collected for the Exposure Investigation (EI) will be used to evaluate whether participants may have been exposed to </w:t>
      </w:r>
      <w:r w:rsidR="00EC0D33">
        <w:rPr>
          <w:rStyle w:val="Strong"/>
          <w:b w:val="0"/>
        </w:rPr>
        <w:t>PFCs</w:t>
      </w:r>
      <w:r>
        <w:rPr>
          <w:rStyle w:val="Strong"/>
          <w:b w:val="0"/>
        </w:rPr>
        <w:t xml:space="preserve"> in the environment in the area near Morgan, Lawrence, and Limestone Counties.  Participants will be notified of their individual results and an EI report will be prepared that will present the results of the investigation.</w:t>
      </w:r>
    </w:p>
    <w:p w14:paraId="5E767C19" w14:textId="77777777" w:rsidR="00F404C0" w:rsidRDefault="00F404C0" w:rsidP="00F404C0">
      <w:pPr>
        <w:tabs>
          <w:tab w:val="left" w:pos="1545"/>
        </w:tabs>
        <w:rPr>
          <w:rStyle w:val="Strong"/>
        </w:rPr>
      </w:pPr>
    </w:p>
    <w:p w14:paraId="0283C631" w14:textId="77777777" w:rsidR="00F404C0" w:rsidRDefault="00F404C0" w:rsidP="00F404C0">
      <w:r>
        <w:rPr>
          <w:rStyle w:val="Strong"/>
          <w:rFonts w:asciiTheme="majorHAnsi" w:hAnsiTheme="majorHAnsi"/>
          <w:color w:val="4F81BD"/>
        </w:rPr>
        <w:lastRenderedPageBreak/>
        <w:t>Securing of Collected Inform</w:t>
      </w:r>
      <w:r w:rsidRPr="006274AD">
        <w:rPr>
          <w:rStyle w:val="Strong"/>
          <w:rFonts w:asciiTheme="majorHAnsi" w:hAnsiTheme="majorHAnsi"/>
          <w:color w:val="4F81BD"/>
        </w:rPr>
        <w:t>ation</w:t>
      </w:r>
    </w:p>
    <w:p w14:paraId="145709FD" w14:textId="77777777" w:rsidR="00F404C0" w:rsidRDefault="00F404C0" w:rsidP="00F404C0">
      <w:pPr>
        <w:tabs>
          <w:tab w:val="left" w:pos="1545"/>
        </w:tabs>
      </w:pPr>
    </w:p>
    <w:p w14:paraId="6A26EDA0" w14:textId="77777777" w:rsidR="00F404C0" w:rsidRDefault="00F404C0" w:rsidP="00F404C0">
      <w:pPr>
        <w:tabs>
          <w:tab w:val="left" w:pos="1545"/>
        </w:tabs>
        <w:rPr>
          <w:i/>
        </w:rPr>
      </w:pPr>
      <w:r>
        <w:t xml:space="preserve">ATSDR only collects information that will help us interpret the laboratory data and recognize likely exposure scenarios. Once we conduct an EI, we match the unique answers given by participants with their laboratory results to determine whether intervention is needed on an individual level. The information collection is therefore </w:t>
      </w:r>
      <w:r>
        <w:rPr>
          <w:i/>
        </w:rPr>
        <w:t>inherently person- or location-specific.</w:t>
      </w:r>
    </w:p>
    <w:p w14:paraId="7277053D" w14:textId="77777777" w:rsidR="00F404C0" w:rsidRDefault="00F404C0" w:rsidP="00F404C0">
      <w:pPr>
        <w:tabs>
          <w:tab w:val="left" w:pos="1545"/>
        </w:tabs>
        <w:rPr>
          <w:i/>
        </w:rPr>
      </w:pPr>
    </w:p>
    <w:p w14:paraId="5B10E780" w14:textId="77777777" w:rsidR="00F404C0" w:rsidRDefault="00F404C0" w:rsidP="00F404C0">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14:paraId="328DFA89" w14:textId="77777777" w:rsidR="00F404C0" w:rsidRDefault="00F404C0" w:rsidP="00F404C0"/>
    <w:p w14:paraId="0BD115DE" w14:textId="77777777" w:rsidR="00F404C0" w:rsidRDefault="00F404C0" w:rsidP="00F404C0">
      <w:pPr>
        <w:tabs>
          <w:tab w:val="left" w:pos="1545"/>
        </w:tabs>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and/or modeling results. </w:t>
      </w:r>
    </w:p>
    <w:p w14:paraId="6F408CAF" w14:textId="77777777" w:rsidR="00F404C0" w:rsidRPr="00C41444" w:rsidDel="0036112F" w:rsidRDefault="00F404C0" w:rsidP="00F404C0">
      <w:pPr>
        <w:tabs>
          <w:tab w:val="left" w:pos="1545"/>
        </w:tabs>
        <w:rPr>
          <w:rStyle w:val="Strong"/>
        </w:rPr>
      </w:pPr>
    </w:p>
    <w:p w14:paraId="1A6207C4" w14:textId="77777777" w:rsidR="00F404C0" w:rsidRDefault="00F404C0" w:rsidP="00F404C0">
      <w:r>
        <w:rPr>
          <w:rStyle w:val="Strong"/>
          <w:rFonts w:asciiTheme="majorHAnsi" w:hAnsiTheme="majorHAnsi"/>
          <w:color w:val="4F81BD"/>
        </w:rPr>
        <w:t>Applicability of the Privacy Act</w:t>
      </w:r>
    </w:p>
    <w:p w14:paraId="3DD0BD26" w14:textId="77777777" w:rsidR="00F404C0" w:rsidRDefault="00F404C0" w:rsidP="00F404C0">
      <w:pPr>
        <w:tabs>
          <w:tab w:val="left" w:pos="1545"/>
        </w:tabs>
      </w:pPr>
    </w:p>
    <w:p w14:paraId="0BF53792" w14:textId="77777777" w:rsidR="00F404C0" w:rsidRDefault="00F404C0" w:rsidP="00F404C0">
      <w:pPr>
        <w:tabs>
          <w:tab w:val="left" w:pos="1545"/>
        </w:tabs>
      </w:pPr>
      <w:r>
        <w:t>A. The Privacy Act is applicable. The applicable System of Records Notice (SORN) is No. 09-19-0001, “Records of Persons Exposed or Potentially Exposed to Hazardous or Toxic Substances.”</w:t>
      </w:r>
    </w:p>
    <w:p w14:paraId="59618A91" w14:textId="77777777" w:rsidR="00F404C0" w:rsidRDefault="00F404C0" w:rsidP="00F404C0">
      <w:pPr>
        <w:tabs>
          <w:tab w:val="left" w:pos="1545"/>
        </w:tabs>
      </w:pPr>
    </w:p>
    <w:p w14:paraId="0E0DD52A" w14:textId="77777777" w:rsidR="00F404C0" w:rsidRDefault="00F404C0" w:rsidP="00F404C0">
      <w:pPr>
        <w:tabs>
          <w:tab w:val="left" w:pos="1545"/>
        </w:tabs>
      </w:pPr>
      <w:r>
        <w:t xml:space="preserve">B.  Identifying information such as name, address, phone number and email are collected. ATSDR uses the information only to contact respondents. Identifying information is necessary to facilitate the personal contact with respondents to conduct the questionnaire, to obtain consent to </w:t>
      </w:r>
      <w:r w:rsidRPr="000848A3">
        <w:t xml:space="preserve">participate, and to provide them their results. </w:t>
      </w:r>
    </w:p>
    <w:p w14:paraId="43B762BB" w14:textId="77777777" w:rsidR="00F404C0" w:rsidRDefault="00F404C0" w:rsidP="00F404C0">
      <w:pPr>
        <w:tabs>
          <w:tab w:val="left" w:pos="1545"/>
        </w:tabs>
      </w:pPr>
    </w:p>
    <w:p w14:paraId="6D537BCB" w14:textId="77777777" w:rsidR="00F404C0" w:rsidRDefault="00F404C0" w:rsidP="00F404C0">
      <w:pPr>
        <w:tabs>
          <w:tab w:val="left" w:pos="1545"/>
        </w:tabs>
      </w:pPr>
      <w:r w:rsidRPr="000848A3">
        <w:t>Al</w:t>
      </w:r>
      <w:r>
        <w:t>l identifying information maintained by the agency will be managed by ATSDR and is</w:t>
      </w:r>
      <w:r w:rsidRPr="000848A3">
        <w:t xml:space="preserve"> subject to the ATSDR Comprehensive Record Control Schedule (CRCS), B-371, which contains authorized disposition instructions for ATSDR's administrative an</w:t>
      </w:r>
      <w:r>
        <w:t>d program records.</w:t>
      </w:r>
      <w:r w:rsidRPr="000848A3">
        <w:t xml:space="preserve"> </w:t>
      </w:r>
    </w:p>
    <w:p w14:paraId="36C10F1C" w14:textId="77777777" w:rsidR="00F404C0" w:rsidRDefault="00F404C0" w:rsidP="00F404C0">
      <w:pPr>
        <w:tabs>
          <w:tab w:val="left" w:pos="1545"/>
        </w:tabs>
      </w:pPr>
    </w:p>
    <w:p w14:paraId="276D8276" w14:textId="10B6C11D" w:rsidR="00F404C0" w:rsidRDefault="00F404C0" w:rsidP="00F404C0">
      <w:pPr>
        <w:tabs>
          <w:tab w:val="left" w:pos="1545"/>
        </w:tabs>
      </w:pPr>
      <w:r>
        <w:t>C. Respondent Consent –ATSDR will require that EI participants be fully informed of the potential risks and benefits of their participation and that the privacy of the participants’ information will be protected. The parental permission, minor assent, and adult consent forms for the Decatur EI include all appropriate information from the Privacy Act including authority and purpose for collecting the data, with whom identifiable information will be shared, the voluntary nature of the information collection and the effect upon the respondent for not participating (Attachment 3). The EI will comply with all appropriate requirements.</w:t>
      </w:r>
    </w:p>
    <w:p w14:paraId="2F32A1D0" w14:textId="77777777" w:rsidR="00F404C0" w:rsidRDefault="00F404C0" w:rsidP="00F404C0">
      <w:pPr>
        <w:tabs>
          <w:tab w:val="left" w:pos="1545"/>
        </w:tabs>
      </w:pPr>
    </w:p>
    <w:p w14:paraId="44768433" w14:textId="77777777" w:rsidR="00F404C0" w:rsidRDefault="00F404C0" w:rsidP="00F404C0">
      <w:pPr>
        <w:tabs>
          <w:tab w:val="left" w:pos="1545"/>
        </w:tabs>
      </w:pPr>
      <w:r>
        <w:t>D. Voluntary Nature - Respondents are told that their participation in the EI is voluntary and they may refuse to answer any of the questions.</w:t>
      </w:r>
    </w:p>
    <w:p w14:paraId="11BA77FD" w14:textId="77777777" w:rsidR="00A6396B" w:rsidRDefault="00A6396B" w:rsidP="00A6396B">
      <w:pPr>
        <w:tabs>
          <w:tab w:val="left" w:pos="1545"/>
        </w:tabs>
      </w:pPr>
    </w:p>
    <w:p w14:paraId="3999E81F" w14:textId="77777777" w:rsidR="001E683D" w:rsidRPr="00266092" w:rsidRDefault="001E683D" w:rsidP="00186982">
      <w:pPr>
        <w:pStyle w:val="Heading2"/>
      </w:pPr>
      <w:bookmarkStart w:id="107" w:name="_Toc305155371"/>
      <w:bookmarkStart w:id="108" w:name="_Toc306341901"/>
      <w:bookmarkStart w:id="109" w:name="_Toc306344154"/>
      <w:bookmarkStart w:id="110" w:name="_Toc306344795"/>
      <w:bookmarkStart w:id="111" w:name="_Toc306345036"/>
      <w:bookmarkStart w:id="112" w:name="_Toc311445505"/>
      <w:bookmarkStart w:id="113" w:name="_Toc415567673"/>
      <w:bookmarkStart w:id="114" w:name="_Toc415568064"/>
      <w:r w:rsidRPr="00266092">
        <w:lastRenderedPageBreak/>
        <w:t>A.11</w:t>
      </w:r>
      <w:r w:rsidR="006E0743">
        <w:t>.</w:t>
      </w:r>
      <w:r w:rsidRPr="00266092">
        <w:t xml:space="preserve"> Justification for </w:t>
      </w:r>
      <w:r w:rsidRPr="007F446A">
        <w:t>Sensitive</w:t>
      </w:r>
      <w:r w:rsidRPr="00266092">
        <w:t xml:space="preserve"> Questions</w:t>
      </w:r>
      <w:bookmarkEnd w:id="107"/>
      <w:bookmarkEnd w:id="108"/>
      <w:bookmarkEnd w:id="109"/>
      <w:bookmarkEnd w:id="110"/>
      <w:bookmarkEnd w:id="111"/>
      <w:bookmarkEnd w:id="112"/>
      <w:bookmarkEnd w:id="113"/>
      <w:bookmarkEnd w:id="114"/>
    </w:p>
    <w:p w14:paraId="606AC47A" w14:textId="77777777" w:rsidR="00266092" w:rsidRPr="002D0805" w:rsidRDefault="00266092" w:rsidP="002F40AB">
      <w:pPr>
        <w:autoSpaceDE w:val="0"/>
        <w:autoSpaceDN w:val="0"/>
        <w:adjustRightInd w:val="0"/>
        <w:rPr>
          <w:b/>
          <w:bCs/>
        </w:rPr>
      </w:pPr>
    </w:p>
    <w:p w14:paraId="7B0066A4" w14:textId="77777777" w:rsidR="00FE2EAC" w:rsidRDefault="00A6396B" w:rsidP="00A6396B">
      <w:pPr>
        <w:autoSpaceDE w:val="0"/>
        <w:autoSpaceDN w:val="0"/>
        <w:adjustRightInd w:val="0"/>
      </w:pPr>
      <w:r>
        <w:rPr>
          <w:color w:val="000000"/>
        </w:rPr>
        <w:t xml:space="preserve">ATSDR </w:t>
      </w:r>
      <w:r w:rsidR="0016335B">
        <w:rPr>
          <w:color w:val="000000"/>
        </w:rPr>
        <w:t>will</w:t>
      </w:r>
      <w:r>
        <w:rPr>
          <w:color w:val="000000"/>
        </w:rPr>
        <w:t xml:space="preserve"> gather information about individual characteristics (e.g., gender, age, weight,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14:paraId="596E981D" w14:textId="77777777" w:rsidR="00FE2EAC" w:rsidRDefault="00FE2EAC" w:rsidP="00A6396B">
      <w:pPr>
        <w:autoSpaceDE w:val="0"/>
        <w:autoSpaceDN w:val="0"/>
        <w:adjustRightInd w:val="0"/>
      </w:pPr>
    </w:p>
    <w:p w14:paraId="02CE782A" w14:textId="77777777" w:rsidR="00A6396B" w:rsidRDefault="00967E84" w:rsidP="00EB5106">
      <w:pPr>
        <w:autoSpaceDE w:val="0"/>
        <w:autoSpaceDN w:val="0"/>
        <w:adjustRightInd w:val="0"/>
      </w:pPr>
      <w:r>
        <w:t>W</w:t>
      </w:r>
      <w:r w:rsidR="00A6396B">
        <w:t xml:space="preserve">e </w:t>
      </w:r>
      <w:r w:rsidR="00F83594">
        <w:t>will not</w:t>
      </w:r>
      <w:r w:rsidR="00A6396B">
        <w:t xml:space="preserve"> ask questions on </w:t>
      </w:r>
      <w:r w:rsidR="00876CA0">
        <w:t xml:space="preserve">symptoms, medical outcomes, or </w:t>
      </w:r>
      <w:r w:rsidR="00A6396B">
        <w:t>drug and medication use.</w:t>
      </w:r>
      <w:r w:rsidR="00EB5106">
        <w:t xml:space="preserve"> </w:t>
      </w:r>
    </w:p>
    <w:p w14:paraId="45E49EC0" w14:textId="77777777" w:rsidR="00A6396B" w:rsidRDefault="00A6396B" w:rsidP="00A6396B">
      <w:pPr>
        <w:tabs>
          <w:tab w:val="left" w:pos="1545"/>
        </w:tabs>
      </w:pPr>
      <w:r>
        <w:t>Social se</w:t>
      </w:r>
      <w:r w:rsidR="00646835">
        <w:t>curity numbers are not needed nor will be</w:t>
      </w:r>
      <w:r>
        <w:t xml:space="preserve"> requested.</w:t>
      </w:r>
    </w:p>
    <w:p w14:paraId="6EAB0E21" w14:textId="77777777" w:rsidR="00651981" w:rsidRPr="00392B58" w:rsidRDefault="00651981" w:rsidP="00B60A40">
      <w:pPr>
        <w:pStyle w:val="Heading2"/>
      </w:pPr>
      <w:bookmarkStart w:id="115" w:name="_Toc306344155"/>
      <w:bookmarkStart w:id="116" w:name="_Toc306344796"/>
      <w:bookmarkStart w:id="117" w:name="_Toc306345037"/>
      <w:bookmarkStart w:id="118" w:name="_Toc311445506"/>
      <w:bookmarkStart w:id="119" w:name="_Toc415567674"/>
      <w:bookmarkStart w:id="120" w:name="_Toc415568065"/>
      <w:r w:rsidRPr="00A527F9">
        <w:t>A.12</w:t>
      </w:r>
      <w:r w:rsidR="002A0056">
        <w:t>.</w:t>
      </w:r>
      <w:r w:rsidRPr="00A527F9">
        <w:t xml:space="preserve"> Estimates of Annualized Burden Hours and Costs</w:t>
      </w:r>
      <w:bookmarkEnd w:id="115"/>
      <w:bookmarkEnd w:id="116"/>
      <w:bookmarkEnd w:id="117"/>
      <w:bookmarkEnd w:id="118"/>
      <w:bookmarkEnd w:id="119"/>
      <w:bookmarkEnd w:id="120"/>
    </w:p>
    <w:p w14:paraId="334A0BCA" w14:textId="77777777" w:rsidR="006653AB" w:rsidRPr="004628E1" w:rsidRDefault="006653AB" w:rsidP="003B5990">
      <w:pPr>
        <w:pStyle w:val="Heading3"/>
      </w:pPr>
      <w:bookmarkStart w:id="121" w:name="_Toc415567675"/>
      <w:bookmarkStart w:id="122" w:name="_Toc415568066"/>
      <w:bookmarkStart w:id="123" w:name="_Toc306344156"/>
      <w:bookmarkStart w:id="124" w:name="_Toc306344797"/>
      <w:bookmarkStart w:id="125" w:name="_Toc306345038"/>
      <w:bookmarkStart w:id="126" w:name="_Toc311445507"/>
      <w:r w:rsidRPr="004628E1">
        <w:t>A.</w:t>
      </w:r>
      <w:r w:rsidR="00B60A40">
        <w:t>12.1.</w:t>
      </w:r>
      <w:r w:rsidRPr="004628E1">
        <w:t xml:space="preserve"> Estimates of </w:t>
      </w:r>
      <w:r w:rsidRPr="003B5990">
        <w:t>Annualized</w:t>
      </w:r>
      <w:r w:rsidRPr="004628E1">
        <w:t xml:space="preserve"> Burden Hours</w:t>
      </w:r>
      <w:bookmarkEnd w:id="121"/>
      <w:bookmarkEnd w:id="122"/>
    </w:p>
    <w:p w14:paraId="3AB30B57" w14:textId="77777777" w:rsidR="006653AB" w:rsidRDefault="006653AB" w:rsidP="006653AB">
      <w:pPr>
        <w:tabs>
          <w:tab w:val="center" w:pos="4680"/>
          <w:tab w:val="left" w:pos="7710"/>
        </w:tabs>
        <w:rPr>
          <w:bCs/>
        </w:rPr>
      </w:pPr>
    </w:p>
    <w:p w14:paraId="01C6E2F9" w14:textId="48D76130" w:rsidR="006653AB" w:rsidRDefault="006653AB" w:rsidP="00293340">
      <w:pPr>
        <w:tabs>
          <w:tab w:val="center" w:pos="4680"/>
          <w:tab w:val="left" w:pos="7710"/>
        </w:tabs>
      </w:pPr>
      <w:r>
        <w:rPr>
          <w:bCs/>
        </w:rPr>
        <w:t xml:space="preserve">The </w:t>
      </w:r>
      <w:r w:rsidR="00A838D2">
        <w:rPr>
          <w:bCs/>
        </w:rPr>
        <w:t xml:space="preserve">estimate for burden hours </w:t>
      </w:r>
      <w:r w:rsidR="00540BD7">
        <w:rPr>
          <w:bCs/>
        </w:rPr>
        <w:t xml:space="preserve">for the </w:t>
      </w:r>
      <w:r w:rsidR="00EB5106">
        <w:rPr>
          <w:bCs/>
        </w:rPr>
        <w:t>Decatur</w:t>
      </w:r>
      <w:r w:rsidR="00540BD7">
        <w:rPr>
          <w:bCs/>
        </w:rPr>
        <w:t xml:space="preserve"> EI </w:t>
      </w:r>
      <w:r w:rsidR="00A838D2">
        <w:rPr>
          <w:bCs/>
        </w:rPr>
        <w:t xml:space="preserve">is based on similar </w:t>
      </w:r>
      <w:r w:rsidR="00540BD7">
        <w:rPr>
          <w:bCs/>
        </w:rPr>
        <w:t xml:space="preserve">EIs that the EI team has conducted in the past.  The </w:t>
      </w:r>
      <w:r>
        <w:rPr>
          <w:bCs/>
        </w:rPr>
        <w:t xml:space="preserve">time burden per respondent is estimated at </w:t>
      </w:r>
      <w:r w:rsidR="00687970">
        <w:rPr>
          <w:bCs/>
        </w:rPr>
        <w:t>3</w:t>
      </w:r>
      <w:r w:rsidR="0078781B">
        <w:rPr>
          <w:bCs/>
        </w:rPr>
        <w:t>5</w:t>
      </w:r>
      <w:r w:rsidR="00687970">
        <w:rPr>
          <w:bCs/>
        </w:rPr>
        <w:t xml:space="preserve"> </w:t>
      </w:r>
      <w:r>
        <w:rPr>
          <w:bCs/>
        </w:rPr>
        <w:t>minutes</w:t>
      </w:r>
      <w:r w:rsidR="0078781B">
        <w:rPr>
          <w:bCs/>
        </w:rPr>
        <w:t xml:space="preserve"> total – 5 minutes for urine collection, 15 minutes for the first appointment (to sign consent forms and receive urine collection materials), and 15 minutes for the second appointment (to submit the urine sample, give a blood sample, and complete a questionnaire)</w:t>
      </w:r>
      <w:r>
        <w:rPr>
          <w:bCs/>
        </w:rPr>
        <w:t xml:space="preserve">. </w:t>
      </w:r>
      <w:r w:rsidR="0078781B">
        <w:rPr>
          <w:bCs/>
        </w:rPr>
        <w:t xml:space="preserve">The questionnaire for this exposure investigation includes 18 </w:t>
      </w:r>
      <w:r>
        <w:rPr>
          <w:bCs/>
        </w:rPr>
        <w:t xml:space="preserve">questions </w:t>
      </w:r>
      <w:r w:rsidR="0078781B">
        <w:rPr>
          <w:bCs/>
        </w:rPr>
        <w:t xml:space="preserve">that are expected to </w:t>
      </w:r>
      <w:r>
        <w:rPr>
          <w:bCs/>
        </w:rPr>
        <w:t>tak</w:t>
      </w:r>
      <w:r w:rsidR="0078781B">
        <w:rPr>
          <w:bCs/>
        </w:rPr>
        <w:t>e</w:t>
      </w:r>
      <w:r>
        <w:rPr>
          <w:bCs/>
        </w:rPr>
        <w:t xml:space="preserve"> less than 30 seconds each to respond</w:t>
      </w:r>
      <w:r w:rsidR="0078781B">
        <w:rPr>
          <w:bCs/>
        </w:rPr>
        <w:t xml:space="preserve">. </w:t>
      </w:r>
      <w:r w:rsidR="00112C83">
        <w:rPr>
          <w:bCs/>
        </w:rPr>
        <w:t xml:space="preserve">For purposes of estimation of burden hours, we are assuming that all 155 participants in the first EI will be willing to participate in the second EI. </w:t>
      </w:r>
      <w:r w:rsidRPr="00D02DDA">
        <w:t xml:space="preserve">The total estimated burden hours are </w:t>
      </w:r>
      <w:r w:rsidR="0078781B">
        <w:t>93</w:t>
      </w:r>
      <w:r w:rsidRPr="00D02DDA">
        <w:t>.</w:t>
      </w:r>
    </w:p>
    <w:p w14:paraId="45FE202E" w14:textId="77777777" w:rsidR="006653AB" w:rsidRPr="00935939" w:rsidRDefault="006653AB" w:rsidP="006653AB">
      <w:pPr>
        <w:tabs>
          <w:tab w:val="left" w:pos="1545"/>
        </w:tabs>
        <w:rPr>
          <w:b/>
        </w:rPr>
      </w:pPr>
    </w:p>
    <w:p w14:paraId="4125679E" w14:textId="77777777" w:rsidR="006653AB" w:rsidRPr="003D5701" w:rsidRDefault="006653AB" w:rsidP="006653AB">
      <w:pPr>
        <w:tabs>
          <w:tab w:val="left" w:pos="1545"/>
        </w:tabs>
        <w:rPr>
          <w:u w:val="single"/>
        </w:rPr>
      </w:pPr>
      <w:r w:rsidRPr="003D5701">
        <w:rPr>
          <w:u w:val="single"/>
        </w:rPr>
        <w:t>Estimated Annualized Burden Hours</w:t>
      </w:r>
    </w:p>
    <w:p w14:paraId="53050040" w14:textId="77777777" w:rsidR="006653AB" w:rsidRDefault="006653AB" w:rsidP="006653AB">
      <w:pPr>
        <w:tabs>
          <w:tab w:val="left" w:pos="1545"/>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87"/>
        <w:gridCol w:w="1443"/>
        <w:gridCol w:w="1350"/>
        <w:gridCol w:w="1440"/>
        <w:gridCol w:w="1530"/>
      </w:tblGrid>
      <w:tr w:rsidR="0002381E" w:rsidRPr="0002381E" w14:paraId="5C905E47" w14:textId="77777777" w:rsidTr="0002381E">
        <w:tc>
          <w:tcPr>
            <w:tcW w:w="1638" w:type="dxa"/>
            <w:shd w:val="clear" w:color="auto" w:fill="auto"/>
            <w:vAlign w:val="center"/>
          </w:tcPr>
          <w:p w14:paraId="01E767A7" w14:textId="77777777" w:rsidR="0002381E" w:rsidRPr="0002381E" w:rsidRDefault="0002381E" w:rsidP="0002381E">
            <w:pPr>
              <w:tabs>
                <w:tab w:val="left" w:pos="1545"/>
              </w:tabs>
              <w:jc w:val="center"/>
            </w:pPr>
            <w:r w:rsidRPr="0002381E">
              <w:t>Type of Respondents</w:t>
            </w:r>
          </w:p>
        </w:tc>
        <w:tc>
          <w:tcPr>
            <w:tcW w:w="1887" w:type="dxa"/>
            <w:vAlign w:val="center"/>
          </w:tcPr>
          <w:p w14:paraId="25802153" w14:textId="77777777" w:rsidR="0002381E" w:rsidRPr="0002381E" w:rsidRDefault="0002381E" w:rsidP="0002381E">
            <w:pPr>
              <w:tabs>
                <w:tab w:val="left" w:pos="1545"/>
              </w:tabs>
              <w:jc w:val="center"/>
            </w:pPr>
            <w:r>
              <w:t>Name of Form</w:t>
            </w:r>
          </w:p>
        </w:tc>
        <w:tc>
          <w:tcPr>
            <w:tcW w:w="1443" w:type="dxa"/>
            <w:shd w:val="clear" w:color="auto" w:fill="auto"/>
            <w:vAlign w:val="center"/>
          </w:tcPr>
          <w:p w14:paraId="3F8B34B6" w14:textId="77777777" w:rsidR="0002381E" w:rsidRPr="0002381E" w:rsidRDefault="0002381E" w:rsidP="0002381E">
            <w:pPr>
              <w:tabs>
                <w:tab w:val="left" w:pos="1545"/>
              </w:tabs>
              <w:jc w:val="center"/>
            </w:pPr>
            <w:r w:rsidRPr="0002381E">
              <w:t>No. of Respondents</w:t>
            </w:r>
          </w:p>
        </w:tc>
        <w:tc>
          <w:tcPr>
            <w:tcW w:w="1350" w:type="dxa"/>
            <w:shd w:val="clear" w:color="auto" w:fill="auto"/>
            <w:vAlign w:val="center"/>
          </w:tcPr>
          <w:p w14:paraId="5A720681" w14:textId="77777777" w:rsidR="0002381E" w:rsidRPr="0002381E" w:rsidRDefault="0002381E" w:rsidP="0002381E">
            <w:pPr>
              <w:tabs>
                <w:tab w:val="left" w:pos="1545"/>
              </w:tabs>
              <w:jc w:val="center"/>
            </w:pPr>
            <w:r w:rsidRPr="0002381E">
              <w:t>No. of Responses per Respondent</w:t>
            </w:r>
          </w:p>
        </w:tc>
        <w:tc>
          <w:tcPr>
            <w:tcW w:w="1440" w:type="dxa"/>
            <w:shd w:val="clear" w:color="auto" w:fill="auto"/>
            <w:vAlign w:val="center"/>
          </w:tcPr>
          <w:p w14:paraId="63705B47" w14:textId="77777777" w:rsidR="0002381E" w:rsidRPr="0002381E" w:rsidRDefault="0002381E" w:rsidP="0002381E">
            <w:pPr>
              <w:tabs>
                <w:tab w:val="left" w:pos="1545"/>
              </w:tabs>
              <w:jc w:val="center"/>
            </w:pPr>
            <w:r w:rsidRPr="0002381E">
              <w:t>Average Burden per Response (in hours)</w:t>
            </w:r>
          </w:p>
        </w:tc>
        <w:tc>
          <w:tcPr>
            <w:tcW w:w="1530" w:type="dxa"/>
            <w:shd w:val="clear" w:color="auto" w:fill="auto"/>
            <w:vAlign w:val="center"/>
          </w:tcPr>
          <w:p w14:paraId="686A9984" w14:textId="77777777" w:rsidR="0002381E" w:rsidRPr="0002381E" w:rsidRDefault="0002381E" w:rsidP="0002381E">
            <w:pPr>
              <w:tabs>
                <w:tab w:val="left" w:pos="1545"/>
              </w:tabs>
              <w:jc w:val="center"/>
            </w:pPr>
            <w:r w:rsidRPr="0002381E">
              <w:t>Total Burden (In Hours)</w:t>
            </w:r>
          </w:p>
        </w:tc>
      </w:tr>
      <w:tr w:rsidR="0002381E" w:rsidRPr="0002381E" w14:paraId="60724B88" w14:textId="77777777" w:rsidTr="00442CD3">
        <w:tc>
          <w:tcPr>
            <w:tcW w:w="1638" w:type="dxa"/>
            <w:shd w:val="clear" w:color="auto" w:fill="auto"/>
            <w:vAlign w:val="center"/>
          </w:tcPr>
          <w:p w14:paraId="297DB744" w14:textId="77777777" w:rsidR="0002381E" w:rsidRPr="0002381E" w:rsidRDefault="0002381E" w:rsidP="0002381E">
            <w:pPr>
              <w:tabs>
                <w:tab w:val="left" w:pos="1545"/>
              </w:tabs>
              <w:jc w:val="center"/>
            </w:pPr>
            <w:r w:rsidRPr="0002381E">
              <w:t>EI participants</w:t>
            </w:r>
          </w:p>
        </w:tc>
        <w:tc>
          <w:tcPr>
            <w:tcW w:w="1887" w:type="dxa"/>
            <w:vAlign w:val="center"/>
          </w:tcPr>
          <w:p w14:paraId="56EC6DA4" w14:textId="77777777" w:rsidR="0002381E" w:rsidRPr="0002381E" w:rsidRDefault="0002381E" w:rsidP="0002381E">
            <w:pPr>
              <w:tabs>
                <w:tab w:val="left" w:pos="1545"/>
              </w:tabs>
              <w:jc w:val="center"/>
            </w:pPr>
            <w:r>
              <w:t>Participant Questionnaire</w:t>
            </w:r>
          </w:p>
        </w:tc>
        <w:tc>
          <w:tcPr>
            <w:tcW w:w="1443" w:type="dxa"/>
            <w:shd w:val="clear" w:color="auto" w:fill="auto"/>
            <w:vAlign w:val="center"/>
          </w:tcPr>
          <w:p w14:paraId="4737006C" w14:textId="77777777" w:rsidR="0002381E" w:rsidRPr="0002381E" w:rsidRDefault="0002381E" w:rsidP="0002381E">
            <w:pPr>
              <w:tabs>
                <w:tab w:val="left" w:pos="1545"/>
              </w:tabs>
              <w:jc w:val="center"/>
            </w:pPr>
            <w:r w:rsidRPr="0002381E">
              <w:t>155</w:t>
            </w:r>
          </w:p>
        </w:tc>
        <w:tc>
          <w:tcPr>
            <w:tcW w:w="1350" w:type="dxa"/>
            <w:shd w:val="clear" w:color="auto" w:fill="auto"/>
            <w:vAlign w:val="center"/>
          </w:tcPr>
          <w:p w14:paraId="241812E4" w14:textId="09B84881" w:rsidR="0002381E" w:rsidRPr="0002381E" w:rsidRDefault="0078781B" w:rsidP="0002381E">
            <w:pPr>
              <w:tabs>
                <w:tab w:val="left" w:pos="1545"/>
              </w:tabs>
              <w:jc w:val="center"/>
            </w:pPr>
            <w:r>
              <w:t>3</w:t>
            </w:r>
          </w:p>
        </w:tc>
        <w:tc>
          <w:tcPr>
            <w:tcW w:w="1440" w:type="dxa"/>
            <w:shd w:val="clear" w:color="auto" w:fill="auto"/>
            <w:vAlign w:val="center"/>
          </w:tcPr>
          <w:p w14:paraId="4A997EA2" w14:textId="7DC23D13" w:rsidR="0002381E" w:rsidRPr="0002381E" w:rsidRDefault="00442CD3" w:rsidP="0002381E">
            <w:pPr>
              <w:tabs>
                <w:tab w:val="left" w:pos="1545"/>
              </w:tabs>
              <w:jc w:val="center"/>
            </w:pPr>
            <w:r>
              <w:t>1</w:t>
            </w:r>
            <w:r w:rsidR="0078781B">
              <w:t>2</w:t>
            </w:r>
            <w:r w:rsidR="0002381E" w:rsidRPr="0002381E">
              <w:t>/60</w:t>
            </w:r>
          </w:p>
        </w:tc>
        <w:tc>
          <w:tcPr>
            <w:tcW w:w="1530" w:type="dxa"/>
            <w:shd w:val="clear" w:color="auto" w:fill="auto"/>
            <w:vAlign w:val="center"/>
          </w:tcPr>
          <w:p w14:paraId="7D9BE377" w14:textId="1FADF54B" w:rsidR="0002381E" w:rsidRPr="0002381E" w:rsidRDefault="0078781B" w:rsidP="0002381E">
            <w:pPr>
              <w:tabs>
                <w:tab w:val="left" w:pos="1545"/>
              </w:tabs>
              <w:jc w:val="center"/>
            </w:pPr>
            <w:r>
              <w:t>93</w:t>
            </w:r>
          </w:p>
        </w:tc>
      </w:tr>
    </w:tbl>
    <w:p w14:paraId="1BC891A0" w14:textId="77777777" w:rsidR="00F4473C" w:rsidRPr="0002381E" w:rsidRDefault="00F4473C" w:rsidP="007F446A">
      <w:pPr>
        <w:pStyle w:val="Heading2"/>
        <w:rPr>
          <w:rFonts w:ascii="Times New Roman" w:hAnsi="Times New Roman" w:cs="Times New Roman"/>
          <w:color w:val="4F81BD"/>
          <w:sz w:val="24"/>
          <w:szCs w:val="24"/>
        </w:rPr>
      </w:pPr>
      <w:bookmarkStart w:id="127" w:name="_Toc306344157"/>
      <w:bookmarkStart w:id="128" w:name="_Toc306344798"/>
      <w:bookmarkStart w:id="129" w:name="_Toc306345039"/>
      <w:bookmarkStart w:id="130" w:name="_Toc311445508"/>
      <w:bookmarkEnd w:id="123"/>
      <w:bookmarkEnd w:id="124"/>
      <w:bookmarkEnd w:id="125"/>
      <w:bookmarkEnd w:id="126"/>
    </w:p>
    <w:p w14:paraId="78876C35" w14:textId="77777777" w:rsidR="006653AB" w:rsidRPr="0094069A" w:rsidRDefault="00B60A40" w:rsidP="00B60A40">
      <w:pPr>
        <w:pStyle w:val="Heading3"/>
      </w:pPr>
      <w:bookmarkStart w:id="131" w:name="_Toc415567676"/>
      <w:bookmarkStart w:id="132" w:name="_Toc415568067"/>
      <w:r>
        <w:t>A.12.2.</w:t>
      </w:r>
      <w:r w:rsidR="006653AB" w:rsidRPr="0094069A">
        <w:t xml:space="preserve"> Annualized Cost to Respondents</w:t>
      </w:r>
      <w:bookmarkEnd w:id="131"/>
      <w:bookmarkEnd w:id="132"/>
    </w:p>
    <w:p w14:paraId="7E4F1939" w14:textId="77777777" w:rsidR="006653AB" w:rsidRDefault="006653AB" w:rsidP="006653AB">
      <w:pPr>
        <w:tabs>
          <w:tab w:val="center" w:pos="4680"/>
          <w:tab w:val="left" w:pos="7710"/>
        </w:tabs>
        <w:rPr>
          <w:b/>
        </w:rPr>
      </w:pPr>
    </w:p>
    <w:p w14:paraId="3B87962B" w14:textId="6FA80D98" w:rsidR="006653AB" w:rsidRDefault="00542378" w:rsidP="006653AB">
      <w:pPr>
        <w:tabs>
          <w:tab w:val="center" w:pos="4680"/>
          <w:tab w:val="left" w:pos="7710"/>
        </w:tabs>
        <w:rPr>
          <w:color w:val="FF0000"/>
        </w:rPr>
      </w:pPr>
      <w:r>
        <w:t>Using a rate of $22.33</w:t>
      </w:r>
      <w:r w:rsidR="006653AB">
        <w:rPr>
          <w:color w:val="000000"/>
        </w:rPr>
        <w:t>/hr</w:t>
      </w:r>
      <w:r w:rsidR="00761F94">
        <w:rPr>
          <w:color w:val="000000"/>
        </w:rPr>
        <w:t>.</w:t>
      </w:r>
      <w:r w:rsidR="006653AB">
        <w:rPr>
          <w:color w:val="000000"/>
        </w:rPr>
        <w:t>,</w:t>
      </w:r>
      <w:r w:rsidR="006653AB">
        <w:t xml:space="preserve"> the annualized cost to respondents for the hour burdens for the collection of information is $</w:t>
      </w:r>
      <w:r w:rsidR="00B66090">
        <w:t>2077</w:t>
      </w:r>
      <w:r w:rsidR="006653AB">
        <w:t>. The hourly wage rate is based on the U.S. Department of Labor, Bureau of Labor Statistics’ most current statistics [</w:t>
      </w:r>
      <w:r w:rsidRPr="00542378">
        <w:t>May 2013 National Occupational Employment and Wage Estimates United States, released April 1, 2014</w:t>
      </w:r>
      <w:r w:rsidR="006653AB">
        <w:t>].</w:t>
      </w:r>
    </w:p>
    <w:p w14:paraId="5B98D034" w14:textId="77777777" w:rsidR="006653AB" w:rsidRDefault="006653AB" w:rsidP="006653AB">
      <w:pPr>
        <w:tabs>
          <w:tab w:val="center" w:pos="4680"/>
          <w:tab w:val="left" w:pos="7710"/>
        </w:tabs>
        <w:rPr>
          <w:color w:val="FF0000"/>
        </w:rPr>
      </w:pPr>
    </w:p>
    <w:p w14:paraId="107839E7" w14:textId="77777777"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14:paraId="6F5212AE" w14:textId="77777777"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855"/>
        <w:gridCol w:w="1881"/>
        <w:gridCol w:w="1853"/>
        <w:gridCol w:w="1881"/>
      </w:tblGrid>
      <w:tr w:rsidR="006653AB" w:rsidRPr="00542378" w14:paraId="650D802D" w14:textId="77777777" w:rsidTr="00542378">
        <w:tc>
          <w:tcPr>
            <w:tcW w:w="1915" w:type="dxa"/>
            <w:shd w:val="clear" w:color="auto" w:fill="auto"/>
            <w:vAlign w:val="center"/>
          </w:tcPr>
          <w:p w14:paraId="3AA38D28" w14:textId="77777777" w:rsidR="006653AB" w:rsidRPr="00542378" w:rsidRDefault="006653AB" w:rsidP="00542378">
            <w:pPr>
              <w:tabs>
                <w:tab w:val="center" w:pos="4680"/>
                <w:tab w:val="left" w:pos="7710"/>
              </w:tabs>
              <w:jc w:val="center"/>
            </w:pPr>
            <w:r w:rsidRPr="00542378">
              <w:lastRenderedPageBreak/>
              <w:t>Type of Respondent</w:t>
            </w:r>
          </w:p>
        </w:tc>
        <w:tc>
          <w:tcPr>
            <w:tcW w:w="1915" w:type="dxa"/>
            <w:shd w:val="clear" w:color="auto" w:fill="auto"/>
            <w:vAlign w:val="center"/>
          </w:tcPr>
          <w:p w14:paraId="2F6AF965" w14:textId="77777777" w:rsidR="006653AB" w:rsidRPr="00542378" w:rsidRDefault="006653AB" w:rsidP="00542378">
            <w:pPr>
              <w:tabs>
                <w:tab w:val="left" w:pos="1545"/>
              </w:tabs>
              <w:jc w:val="center"/>
            </w:pPr>
            <w:r w:rsidRPr="00542378">
              <w:t>Total Burden Hours</w:t>
            </w:r>
          </w:p>
        </w:tc>
        <w:tc>
          <w:tcPr>
            <w:tcW w:w="1915" w:type="dxa"/>
            <w:shd w:val="clear" w:color="auto" w:fill="auto"/>
            <w:vAlign w:val="center"/>
          </w:tcPr>
          <w:p w14:paraId="35EE6492" w14:textId="77777777" w:rsidR="006653AB" w:rsidRPr="00542378" w:rsidRDefault="006653AB" w:rsidP="00542378">
            <w:pPr>
              <w:tabs>
                <w:tab w:val="center" w:pos="4680"/>
                <w:tab w:val="left" w:pos="7710"/>
              </w:tabs>
              <w:jc w:val="center"/>
            </w:pPr>
            <w:r w:rsidRPr="00542378">
              <w:t>No. Responses per Respondent</w:t>
            </w:r>
          </w:p>
        </w:tc>
        <w:tc>
          <w:tcPr>
            <w:tcW w:w="1915" w:type="dxa"/>
            <w:shd w:val="clear" w:color="auto" w:fill="auto"/>
            <w:vAlign w:val="center"/>
          </w:tcPr>
          <w:p w14:paraId="1594F674" w14:textId="77777777" w:rsidR="006653AB" w:rsidRPr="00542378" w:rsidRDefault="006653AB" w:rsidP="00542378">
            <w:pPr>
              <w:tabs>
                <w:tab w:val="center" w:pos="4680"/>
                <w:tab w:val="left" w:pos="7710"/>
              </w:tabs>
              <w:jc w:val="center"/>
            </w:pPr>
            <w:r w:rsidRPr="00542378">
              <w:t>Hourly Wage Rate</w:t>
            </w:r>
          </w:p>
        </w:tc>
        <w:tc>
          <w:tcPr>
            <w:tcW w:w="1916" w:type="dxa"/>
            <w:shd w:val="clear" w:color="auto" w:fill="auto"/>
            <w:vAlign w:val="center"/>
          </w:tcPr>
          <w:p w14:paraId="0EBF8993" w14:textId="77777777" w:rsidR="006653AB" w:rsidRPr="00542378" w:rsidRDefault="006653AB" w:rsidP="00542378">
            <w:pPr>
              <w:tabs>
                <w:tab w:val="center" w:pos="4680"/>
                <w:tab w:val="left" w:pos="7710"/>
              </w:tabs>
              <w:jc w:val="center"/>
            </w:pPr>
            <w:r w:rsidRPr="00542378">
              <w:t>Total Respondent Costs</w:t>
            </w:r>
          </w:p>
        </w:tc>
      </w:tr>
      <w:tr w:rsidR="006653AB" w:rsidRPr="00542378" w14:paraId="2A4355D6" w14:textId="77777777" w:rsidTr="00542378">
        <w:tc>
          <w:tcPr>
            <w:tcW w:w="1915" w:type="dxa"/>
            <w:shd w:val="clear" w:color="auto" w:fill="auto"/>
            <w:vAlign w:val="center"/>
          </w:tcPr>
          <w:p w14:paraId="51FB2BE4" w14:textId="77777777" w:rsidR="006653AB" w:rsidRPr="00542378" w:rsidRDefault="006653AB" w:rsidP="00542378">
            <w:pPr>
              <w:tabs>
                <w:tab w:val="center" w:pos="4680"/>
                <w:tab w:val="left" w:pos="7710"/>
              </w:tabs>
              <w:jc w:val="center"/>
            </w:pPr>
            <w:r w:rsidRPr="00542378">
              <w:t>EI participants</w:t>
            </w:r>
          </w:p>
        </w:tc>
        <w:tc>
          <w:tcPr>
            <w:tcW w:w="1915" w:type="dxa"/>
            <w:shd w:val="clear" w:color="auto" w:fill="auto"/>
            <w:vAlign w:val="center"/>
          </w:tcPr>
          <w:p w14:paraId="2BCFB919" w14:textId="1D1E67C6" w:rsidR="006653AB" w:rsidRPr="00542378" w:rsidRDefault="0078781B" w:rsidP="00542378">
            <w:pPr>
              <w:tabs>
                <w:tab w:val="center" w:pos="4680"/>
                <w:tab w:val="left" w:pos="7710"/>
              </w:tabs>
              <w:jc w:val="center"/>
            </w:pPr>
            <w:r>
              <w:t>93</w:t>
            </w:r>
          </w:p>
        </w:tc>
        <w:tc>
          <w:tcPr>
            <w:tcW w:w="1915" w:type="dxa"/>
            <w:shd w:val="clear" w:color="auto" w:fill="auto"/>
            <w:vAlign w:val="center"/>
          </w:tcPr>
          <w:p w14:paraId="5AFCC3CE" w14:textId="327FCB9B" w:rsidR="006653AB" w:rsidRPr="00542378" w:rsidRDefault="0078781B" w:rsidP="00542378">
            <w:pPr>
              <w:tabs>
                <w:tab w:val="center" w:pos="4680"/>
                <w:tab w:val="left" w:pos="7710"/>
              </w:tabs>
              <w:jc w:val="center"/>
            </w:pPr>
            <w:r>
              <w:t>3</w:t>
            </w:r>
          </w:p>
        </w:tc>
        <w:tc>
          <w:tcPr>
            <w:tcW w:w="1915" w:type="dxa"/>
            <w:shd w:val="clear" w:color="auto" w:fill="auto"/>
            <w:vAlign w:val="center"/>
          </w:tcPr>
          <w:p w14:paraId="2DF099DE" w14:textId="77777777" w:rsidR="006653AB" w:rsidRPr="00542378" w:rsidRDefault="00542378" w:rsidP="00542378">
            <w:pPr>
              <w:tabs>
                <w:tab w:val="center" w:pos="4680"/>
                <w:tab w:val="left" w:pos="7710"/>
              </w:tabs>
              <w:jc w:val="center"/>
            </w:pPr>
            <w:r w:rsidRPr="00542378">
              <w:t>$22.33</w:t>
            </w:r>
          </w:p>
        </w:tc>
        <w:tc>
          <w:tcPr>
            <w:tcW w:w="1916" w:type="dxa"/>
            <w:shd w:val="clear" w:color="auto" w:fill="auto"/>
            <w:vAlign w:val="center"/>
          </w:tcPr>
          <w:p w14:paraId="024B9FEF" w14:textId="4497DEC8" w:rsidR="006653AB" w:rsidRPr="00542378" w:rsidRDefault="006653AB" w:rsidP="0078781B">
            <w:pPr>
              <w:tabs>
                <w:tab w:val="center" w:pos="4680"/>
                <w:tab w:val="left" w:pos="7710"/>
              </w:tabs>
              <w:jc w:val="center"/>
            </w:pPr>
            <w:r w:rsidRPr="00542378">
              <w:t>$</w:t>
            </w:r>
            <w:r w:rsidR="0078781B">
              <w:t>2077</w:t>
            </w:r>
          </w:p>
        </w:tc>
      </w:tr>
    </w:tbl>
    <w:p w14:paraId="7440CD8E" w14:textId="77777777" w:rsidR="006653AB" w:rsidRDefault="006653AB" w:rsidP="006653AB">
      <w:pPr>
        <w:tabs>
          <w:tab w:val="center" w:pos="4680"/>
          <w:tab w:val="left" w:pos="7710"/>
        </w:tabs>
        <w:rPr>
          <w:b/>
        </w:rPr>
      </w:pPr>
    </w:p>
    <w:p w14:paraId="751AB71F" w14:textId="77777777" w:rsidR="00261215" w:rsidRDefault="00B60A40" w:rsidP="00B60A40">
      <w:pPr>
        <w:pStyle w:val="Heading2"/>
      </w:pPr>
      <w:bookmarkStart w:id="133" w:name="_Toc415567677"/>
      <w:bookmarkStart w:id="134" w:name="_Toc415568068"/>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33"/>
      <w:bookmarkEnd w:id="134"/>
    </w:p>
    <w:p w14:paraId="1CF007E4" w14:textId="77777777" w:rsidR="00DD0E31" w:rsidRPr="000128D8" w:rsidRDefault="00DD0E31" w:rsidP="006653AB">
      <w:pPr>
        <w:tabs>
          <w:tab w:val="center" w:pos="4680"/>
          <w:tab w:val="left" w:pos="7710"/>
        </w:tabs>
      </w:pPr>
    </w:p>
    <w:p w14:paraId="3F6B7165" w14:textId="77777777"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27"/>
    <w:bookmarkEnd w:id="128"/>
    <w:bookmarkEnd w:id="129"/>
    <w:bookmarkEnd w:id="130"/>
    <w:p w14:paraId="17EA190B" w14:textId="77777777" w:rsidR="00AB0F01" w:rsidRPr="00A527F9" w:rsidRDefault="00AB0F01" w:rsidP="002F40AB">
      <w:pPr>
        <w:autoSpaceDE w:val="0"/>
        <w:autoSpaceDN w:val="0"/>
        <w:adjustRightInd w:val="0"/>
        <w:rPr>
          <w:color w:val="000000" w:themeColor="text1"/>
        </w:rPr>
      </w:pPr>
    </w:p>
    <w:p w14:paraId="0ACF7D50" w14:textId="77777777" w:rsidR="006653AB" w:rsidRDefault="00B60A40" w:rsidP="00B60A40">
      <w:pPr>
        <w:pStyle w:val="Heading2"/>
      </w:pPr>
      <w:bookmarkStart w:id="135" w:name="_Toc415567678"/>
      <w:bookmarkStart w:id="136" w:name="_Toc415568069"/>
      <w:bookmarkStart w:id="137" w:name="_Toc306344159"/>
      <w:bookmarkStart w:id="138" w:name="_Toc306344800"/>
      <w:bookmarkStart w:id="139" w:name="_Toc306345041"/>
      <w:bookmarkStart w:id="140" w:name="_Toc311445510"/>
      <w:r>
        <w:t>A.14</w:t>
      </w:r>
      <w:r w:rsidR="006653AB">
        <w:t>. Annualized Cost to the Government</w:t>
      </w:r>
      <w:bookmarkEnd w:id="135"/>
      <w:bookmarkEnd w:id="136"/>
    </w:p>
    <w:p w14:paraId="55071005" w14:textId="77777777" w:rsidR="006653AB" w:rsidRDefault="006653AB" w:rsidP="006653AB">
      <w:pPr>
        <w:tabs>
          <w:tab w:val="center" w:pos="4680"/>
          <w:tab w:val="left" w:pos="7710"/>
        </w:tabs>
        <w:rPr>
          <w:b/>
        </w:rPr>
      </w:pPr>
    </w:p>
    <w:p w14:paraId="0AFE853C" w14:textId="77777777"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14:paraId="6149F41C" w14:textId="77777777" w:rsidR="00540BD7" w:rsidRDefault="00540BD7" w:rsidP="006653AB">
      <w:pPr>
        <w:tabs>
          <w:tab w:val="center" w:pos="4680"/>
          <w:tab w:val="left" w:pos="7710"/>
        </w:tabs>
      </w:pPr>
    </w:p>
    <w:tbl>
      <w:tblPr>
        <w:tblStyle w:val="TableGrid1"/>
        <w:tblW w:w="0" w:type="auto"/>
        <w:tblLook w:val="04A0" w:firstRow="1" w:lastRow="0" w:firstColumn="1" w:lastColumn="0" w:noHBand="0" w:noVBand="1"/>
      </w:tblPr>
      <w:tblGrid>
        <w:gridCol w:w="4979"/>
        <w:gridCol w:w="1463"/>
        <w:gridCol w:w="1454"/>
        <w:gridCol w:w="1454"/>
      </w:tblGrid>
      <w:tr w:rsidR="00540BD7" w:rsidRPr="00540BD7" w14:paraId="26A0297F" w14:textId="77777777" w:rsidTr="003827F0">
        <w:trPr>
          <w:trHeight w:val="593"/>
        </w:trPr>
        <w:tc>
          <w:tcPr>
            <w:tcW w:w="5148" w:type="dxa"/>
            <w:tcBorders>
              <w:bottom w:val="single" w:sz="12" w:space="0" w:color="auto"/>
            </w:tcBorders>
            <w:shd w:val="clear" w:color="auto" w:fill="D9D9D9" w:themeFill="background1" w:themeFillShade="D9"/>
            <w:vAlign w:val="center"/>
          </w:tcPr>
          <w:p w14:paraId="6D26C18B" w14:textId="77777777" w:rsidR="00540BD7" w:rsidRPr="003827F0" w:rsidRDefault="00540BD7" w:rsidP="00540BD7">
            <w:pPr>
              <w:rPr>
                <w:rFonts w:ascii="Times New Roman" w:hAnsi="Times New Roman" w:cs="Times New Roman"/>
              </w:rPr>
            </w:pPr>
            <w:r w:rsidRPr="003827F0">
              <w:rPr>
                <w:rFonts w:ascii="Times New Roman" w:hAnsi="Times New Roman" w:cs="Times New Roman"/>
              </w:rPr>
              <w:t xml:space="preserve">Staff (FTE) </w:t>
            </w:r>
          </w:p>
        </w:tc>
        <w:tc>
          <w:tcPr>
            <w:tcW w:w="1476" w:type="dxa"/>
            <w:tcBorders>
              <w:bottom w:val="single" w:sz="12" w:space="0" w:color="auto"/>
            </w:tcBorders>
            <w:shd w:val="clear" w:color="auto" w:fill="D9D9D9" w:themeFill="background1" w:themeFillShade="D9"/>
            <w:vAlign w:val="center"/>
          </w:tcPr>
          <w:p w14:paraId="02DBD681" w14:textId="77777777" w:rsidR="00540BD7" w:rsidRPr="003827F0" w:rsidRDefault="00540BD7" w:rsidP="003827F0">
            <w:pPr>
              <w:jc w:val="center"/>
              <w:rPr>
                <w:rFonts w:ascii="Times New Roman" w:hAnsi="Times New Roman" w:cs="Times New Roman"/>
              </w:rPr>
            </w:pPr>
            <w:r w:rsidRPr="003827F0">
              <w:rPr>
                <w:rFonts w:ascii="Times New Roman" w:hAnsi="Times New Roman" w:cs="Times New Roman"/>
              </w:rPr>
              <w:t>Average Hours per Collection</w:t>
            </w:r>
          </w:p>
        </w:tc>
        <w:tc>
          <w:tcPr>
            <w:tcW w:w="1476" w:type="dxa"/>
            <w:tcBorders>
              <w:bottom w:val="single" w:sz="12" w:space="0" w:color="auto"/>
            </w:tcBorders>
            <w:shd w:val="clear" w:color="auto" w:fill="D9D9D9" w:themeFill="background1" w:themeFillShade="D9"/>
            <w:vAlign w:val="center"/>
          </w:tcPr>
          <w:p w14:paraId="46C0C0A5" w14:textId="77777777" w:rsidR="00540BD7" w:rsidRPr="003827F0" w:rsidRDefault="00540BD7" w:rsidP="003827F0">
            <w:pPr>
              <w:jc w:val="center"/>
              <w:rPr>
                <w:rFonts w:ascii="Times New Roman" w:hAnsi="Times New Roman" w:cs="Times New Roman"/>
              </w:rPr>
            </w:pPr>
            <w:r w:rsidRPr="003827F0">
              <w:rPr>
                <w:rFonts w:ascii="Times New Roman" w:hAnsi="Times New Roman" w:cs="Times New Roman"/>
              </w:rPr>
              <w:t>Average Hourly Rate</w:t>
            </w:r>
          </w:p>
        </w:tc>
        <w:tc>
          <w:tcPr>
            <w:tcW w:w="1476" w:type="dxa"/>
            <w:tcBorders>
              <w:bottom w:val="single" w:sz="12" w:space="0" w:color="auto"/>
            </w:tcBorders>
            <w:shd w:val="clear" w:color="auto" w:fill="D9D9D9" w:themeFill="background1" w:themeFillShade="D9"/>
            <w:vAlign w:val="center"/>
          </w:tcPr>
          <w:p w14:paraId="6BAB531B" w14:textId="77777777" w:rsidR="00540BD7" w:rsidRPr="003827F0" w:rsidRDefault="00540BD7" w:rsidP="003827F0">
            <w:pPr>
              <w:jc w:val="center"/>
              <w:rPr>
                <w:rFonts w:ascii="Times New Roman" w:hAnsi="Times New Roman" w:cs="Times New Roman"/>
              </w:rPr>
            </w:pPr>
            <w:r w:rsidRPr="003827F0">
              <w:rPr>
                <w:rFonts w:ascii="Times New Roman" w:hAnsi="Times New Roman" w:cs="Times New Roman"/>
              </w:rPr>
              <w:t>Average Cost</w:t>
            </w:r>
          </w:p>
        </w:tc>
      </w:tr>
      <w:tr w:rsidR="00540BD7" w:rsidRPr="00540BD7" w14:paraId="497031AA" w14:textId="77777777" w:rsidTr="00BE1DEC">
        <w:tc>
          <w:tcPr>
            <w:tcW w:w="5148" w:type="dxa"/>
            <w:tcBorders>
              <w:top w:val="single" w:sz="12" w:space="0" w:color="auto"/>
            </w:tcBorders>
          </w:tcPr>
          <w:p w14:paraId="6964BC2F" w14:textId="77777777" w:rsidR="00540BD7" w:rsidRPr="003827F0" w:rsidRDefault="00540BD7" w:rsidP="00F16C44">
            <w:pPr>
              <w:rPr>
                <w:rFonts w:ascii="Times New Roman" w:hAnsi="Times New Roman" w:cs="Times New Roman"/>
              </w:rPr>
            </w:pPr>
            <w:r w:rsidRPr="003827F0">
              <w:rPr>
                <w:rFonts w:ascii="Times New Roman" w:hAnsi="Times New Roman" w:cs="Times New Roman"/>
              </w:rPr>
              <w:t xml:space="preserve"> </w:t>
            </w:r>
            <w:r w:rsidR="00F16C44" w:rsidRPr="003827F0">
              <w:rPr>
                <w:rFonts w:ascii="Times New Roman" w:hAnsi="Times New Roman" w:cs="Times New Roman"/>
              </w:rPr>
              <w:t>Environmenta</w:t>
            </w:r>
            <w:r w:rsidR="003827F0" w:rsidRPr="003827F0">
              <w:rPr>
                <w:rFonts w:ascii="Times New Roman" w:hAnsi="Times New Roman" w:cs="Times New Roman"/>
              </w:rPr>
              <w:t>l Health Scientist (Lead – GS-13</w:t>
            </w:r>
            <w:r w:rsidR="00F16C44" w:rsidRPr="003827F0">
              <w:rPr>
                <w:rFonts w:ascii="Times New Roman" w:hAnsi="Times New Roman" w:cs="Times New Roman"/>
              </w:rPr>
              <w:t>)</w:t>
            </w:r>
          </w:p>
        </w:tc>
        <w:tc>
          <w:tcPr>
            <w:tcW w:w="1476" w:type="dxa"/>
            <w:tcBorders>
              <w:top w:val="single" w:sz="12" w:space="0" w:color="auto"/>
            </w:tcBorders>
          </w:tcPr>
          <w:p w14:paraId="5894491D" w14:textId="77777777" w:rsidR="00540BD7" w:rsidRPr="003827F0" w:rsidRDefault="00540BD7" w:rsidP="00540BD7">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 xml:space="preserve"> </w:t>
            </w:r>
            <w:r w:rsidR="00F83594" w:rsidRPr="003827F0">
              <w:rPr>
                <w:rFonts w:ascii="Times New Roman" w:hAnsi="Times New Roman" w:cs="Times New Roman"/>
              </w:rPr>
              <w:t>1000</w:t>
            </w:r>
          </w:p>
        </w:tc>
        <w:tc>
          <w:tcPr>
            <w:tcW w:w="1476" w:type="dxa"/>
            <w:tcBorders>
              <w:top w:val="single" w:sz="12" w:space="0" w:color="auto"/>
            </w:tcBorders>
          </w:tcPr>
          <w:p w14:paraId="4BC5C8E8" w14:textId="77777777" w:rsidR="00540BD7" w:rsidRPr="003827F0" w:rsidRDefault="00540BD7" w:rsidP="003827F0">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w:t>
            </w:r>
            <w:r w:rsidR="003827F0" w:rsidRPr="003827F0">
              <w:rPr>
                <w:rFonts w:ascii="Times New Roman" w:hAnsi="Times New Roman" w:cs="Times New Roman"/>
              </w:rPr>
              <w:t>43.70</w:t>
            </w:r>
          </w:p>
        </w:tc>
        <w:tc>
          <w:tcPr>
            <w:tcW w:w="1476" w:type="dxa"/>
            <w:tcBorders>
              <w:top w:val="single" w:sz="12" w:space="0" w:color="auto"/>
            </w:tcBorders>
          </w:tcPr>
          <w:p w14:paraId="7DB95148" w14:textId="77777777" w:rsidR="00540BD7" w:rsidRPr="003827F0" w:rsidRDefault="00540BD7" w:rsidP="003827F0">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w:t>
            </w:r>
            <w:r w:rsidR="003827F0" w:rsidRPr="003827F0">
              <w:rPr>
                <w:rFonts w:ascii="Times New Roman" w:hAnsi="Times New Roman" w:cs="Times New Roman"/>
              </w:rPr>
              <w:t>43,700</w:t>
            </w:r>
          </w:p>
        </w:tc>
      </w:tr>
      <w:tr w:rsidR="00540BD7" w:rsidRPr="00540BD7" w14:paraId="24409370" w14:textId="77777777" w:rsidTr="00BE1DEC">
        <w:tc>
          <w:tcPr>
            <w:tcW w:w="5148" w:type="dxa"/>
          </w:tcPr>
          <w:p w14:paraId="702E1FFF" w14:textId="77777777" w:rsidR="00540BD7" w:rsidRPr="003827F0" w:rsidRDefault="00540BD7" w:rsidP="00482FD3">
            <w:pPr>
              <w:rPr>
                <w:rFonts w:ascii="Times New Roman" w:hAnsi="Times New Roman" w:cs="Times New Roman"/>
              </w:rPr>
            </w:pPr>
            <w:r w:rsidRPr="003827F0">
              <w:rPr>
                <w:rFonts w:ascii="Times New Roman" w:hAnsi="Times New Roman" w:cs="Times New Roman"/>
              </w:rPr>
              <w:t xml:space="preserve"> </w:t>
            </w:r>
            <w:r w:rsidR="00403BAE" w:rsidRPr="003827F0">
              <w:rPr>
                <w:rFonts w:ascii="Times New Roman" w:hAnsi="Times New Roman" w:cs="Times New Roman"/>
              </w:rPr>
              <w:t>Medical Officer (</w:t>
            </w:r>
            <w:r w:rsidR="00DB2E14" w:rsidRPr="003827F0">
              <w:rPr>
                <w:rFonts w:ascii="Times New Roman" w:hAnsi="Times New Roman" w:cs="Times New Roman"/>
              </w:rPr>
              <w:t>Medical Officer</w:t>
            </w:r>
            <w:r w:rsidR="00482FD3" w:rsidRPr="003827F0">
              <w:rPr>
                <w:rFonts w:ascii="Times New Roman" w:hAnsi="Times New Roman" w:cs="Times New Roman"/>
              </w:rPr>
              <w:t xml:space="preserve"> – O-6</w:t>
            </w:r>
            <w:r w:rsidR="00403BAE" w:rsidRPr="003827F0">
              <w:rPr>
                <w:rFonts w:ascii="Times New Roman" w:hAnsi="Times New Roman" w:cs="Times New Roman"/>
              </w:rPr>
              <w:t>)</w:t>
            </w:r>
          </w:p>
        </w:tc>
        <w:tc>
          <w:tcPr>
            <w:tcW w:w="1476" w:type="dxa"/>
          </w:tcPr>
          <w:p w14:paraId="348E604A" w14:textId="77777777" w:rsidR="00540BD7" w:rsidRPr="003827F0" w:rsidRDefault="00540BD7" w:rsidP="00540BD7">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 xml:space="preserve">   </w:t>
            </w:r>
            <w:r w:rsidR="00F83594" w:rsidRPr="003827F0">
              <w:rPr>
                <w:rFonts w:ascii="Times New Roman" w:hAnsi="Times New Roman" w:cs="Times New Roman"/>
              </w:rPr>
              <w:t>200</w:t>
            </w:r>
          </w:p>
        </w:tc>
        <w:tc>
          <w:tcPr>
            <w:tcW w:w="1476" w:type="dxa"/>
          </w:tcPr>
          <w:p w14:paraId="5510CB07" w14:textId="77777777" w:rsidR="00540BD7" w:rsidRPr="003827F0" w:rsidRDefault="00540BD7" w:rsidP="00540BD7">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$50</w:t>
            </w:r>
          </w:p>
        </w:tc>
        <w:tc>
          <w:tcPr>
            <w:tcW w:w="1476" w:type="dxa"/>
          </w:tcPr>
          <w:p w14:paraId="0049A4B6" w14:textId="77777777" w:rsidR="00540BD7" w:rsidRPr="003827F0" w:rsidRDefault="00540BD7" w:rsidP="00540BD7">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$10,000</w:t>
            </w:r>
          </w:p>
        </w:tc>
      </w:tr>
      <w:tr w:rsidR="00540BD7" w:rsidRPr="00540BD7" w14:paraId="51BF168E" w14:textId="77777777" w:rsidTr="00BE1DEC">
        <w:trPr>
          <w:trHeight w:val="332"/>
        </w:trPr>
        <w:tc>
          <w:tcPr>
            <w:tcW w:w="8100" w:type="dxa"/>
            <w:gridSpan w:val="3"/>
            <w:vAlign w:val="center"/>
          </w:tcPr>
          <w:p w14:paraId="5C6507CE" w14:textId="77777777" w:rsidR="00540BD7" w:rsidRPr="003827F0" w:rsidRDefault="00540BD7" w:rsidP="00F83594">
            <w:pPr>
              <w:jc w:val="right"/>
              <w:rPr>
                <w:rFonts w:ascii="Times New Roman" w:hAnsi="Times New Roman" w:cs="Times New Roman"/>
              </w:rPr>
            </w:pPr>
            <w:r w:rsidRPr="003827F0">
              <w:rPr>
                <w:rFonts w:ascii="Times New Roman" w:hAnsi="Times New Roman" w:cs="Times New Roman"/>
              </w:rPr>
              <w:t xml:space="preserve">Estimated Total </w:t>
            </w:r>
            <w:r w:rsidR="00145016" w:rsidRPr="003827F0">
              <w:rPr>
                <w:rFonts w:ascii="Times New Roman" w:hAnsi="Times New Roman" w:cs="Times New Roman"/>
              </w:rPr>
              <w:t xml:space="preserve">Personnel </w:t>
            </w:r>
            <w:r w:rsidRPr="003827F0">
              <w:rPr>
                <w:rFonts w:ascii="Times New Roman" w:hAnsi="Times New Roman" w:cs="Times New Roman"/>
              </w:rPr>
              <w:t xml:space="preserve">Cost of </w:t>
            </w:r>
            <w:r w:rsidR="00F83594" w:rsidRPr="003827F0">
              <w:rPr>
                <w:rFonts w:ascii="Times New Roman" w:hAnsi="Times New Roman" w:cs="Times New Roman"/>
              </w:rPr>
              <w:t>Exposure Investigation</w:t>
            </w:r>
          </w:p>
        </w:tc>
        <w:tc>
          <w:tcPr>
            <w:tcW w:w="1476" w:type="dxa"/>
            <w:vAlign w:val="center"/>
          </w:tcPr>
          <w:p w14:paraId="2AE94314" w14:textId="77777777" w:rsidR="00540BD7" w:rsidRPr="003827F0" w:rsidRDefault="00540BD7" w:rsidP="004801E0">
            <w:pPr>
              <w:rPr>
                <w:rFonts w:ascii="Times New Roman" w:hAnsi="Times New Roman" w:cs="Times New Roman"/>
              </w:rPr>
            </w:pPr>
            <w:r w:rsidRPr="003827F0">
              <w:rPr>
                <w:rFonts w:ascii="Times New Roman" w:hAnsi="Times New Roman" w:cs="Times New Roman"/>
              </w:rPr>
              <w:t xml:space="preserve"> </w:t>
            </w:r>
            <w:r w:rsidR="009A0F23" w:rsidRPr="003827F0">
              <w:rPr>
                <w:rFonts w:ascii="Times New Roman" w:hAnsi="Times New Roman" w:cs="Times New Roman"/>
              </w:rPr>
              <w:t>$</w:t>
            </w:r>
            <w:r w:rsidR="003827F0" w:rsidRPr="003827F0">
              <w:rPr>
                <w:rFonts w:ascii="Times New Roman" w:hAnsi="Times New Roman" w:cs="Times New Roman"/>
              </w:rPr>
              <w:t>53,70</w:t>
            </w:r>
            <w:r w:rsidR="004801E0" w:rsidRPr="003827F0">
              <w:rPr>
                <w:rFonts w:ascii="Times New Roman" w:hAnsi="Times New Roman" w:cs="Times New Roman"/>
              </w:rPr>
              <w:t>0</w:t>
            </w:r>
          </w:p>
        </w:tc>
      </w:tr>
    </w:tbl>
    <w:p w14:paraId="2AD11995" w14:textId="77777777" w:rsidR="00540BD7" w:rsidRDefault="00540BD7" w:rsidP="006653AB">
      <w:pPr>
        <w:tabs>
          <w:tab w:val="center" w:pos="4680"/>
          <w:tab w:val="left" w:pos="7710"/>
        </w:tabs>
      </w:pPr>
    </w:p>
    <w:p w14:paraId="32CF345C" w14:textId="77777777" w:rsidR="006653AB" w:rsidRDefault="006653AB" w:rsidP="006653AB">
      <w:pPr>
        <w:tabs>
          <w:tab w:val="center" w:pos="4680"/>
          <w:tab w:val="left" w:pos="7710"/>
        </w:tabs>
        <w:rPr>
          <w:b/>
        </w:rPr>
      </w:pPr>
      <w:r>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70"/>
        <w:gridCol w:w="1412"/>
        <w:gridCol w:w="1225"/>
        <w:gridCol w:w="1395"/>
        <w:gridCol w:w="1373"/>
        <w:gridCol w:w="2765"/>
      </w:tblGrid>
      <w:tr w:rsidR="00F95ABC" w14:paraId="0DF7B637" w14:textId="77777777" w:rsidTr="00F95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bottom w:val="single" w:sz="8" w:space="0" w:color="000000" w:themeColor="text1"/>
              <w:right w:val="nil"/>
            </w:tcBorders>
            <w:shd w:val="clear" w:color="auto" w:fill="BFBFBF" w:themeFill="background1" w:themeFillShade="BF"/>
          </w:tcPr>
          <w:p w14:paraId="52186EFC" w14:textId="77777777" w:rsidR="00DB2E14" w:rsidRPr="003827F0" w:rsidRDefault="00145016" w:rsidP="006653AB">
            <w:pPr>
              <w:tabs>
                <w:tab w:val="left" w:pos="1545"/>
              </w:tabs>
              <w:rPr>
                <w:b w:val="0"/>
                <w:color w:val="auto"/>
              </w:rPr>
            </w:pPr>
            <w:r w:rsidRPr="003827F0">
              <w:rPr>
                <w:b w:val="0"/>
                <w:color w:val="auto"/>
              </w:rPr>
              <w:t xml:space="preserve">Non-Personnel </w:t>
            </w:r>
          </w:p>
        </w:tc>
        <w:tc>
          <w:tcPr>
            <w:tcW w:w="4110" w:type="dxa"/>
            <w:gridSpan w:val="3"/>
            <w:tcBorders>
              <w:left w:val="nil"/>
              <w:bottom w:val="single" w:sz="8" w:space="0" w:color="000000" w:themeColor="text1"/>
            </w:tcBorders>
            <w:shd w:val="clear" w:color="auto" w:fill="BFBFBF" w:themeFill="background1" w:themeFillShade="BF"/>
          </w:tcPr>
          <w:p w14:paraId="0E6690EB" w14:textId="77777777" w:rsidR="00DB2E14" w:rsidRPr="003827F0"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b w:val="0"/>
                <w:color w:val="auto"/>
              </w:rPr>
            </w:pPr>
          </w:p>
        </w:tc>
        <w:tc>
          <w:tcPr>
            <w:tcW w:w="2838" w:type="dxa"/>
            <w:shd w:val="clear" w:color="auto" w:fill="BFBFBF" w:themeFill="background1" w:themeFillShade="BF"/>
          </w:tcPr>
          <w:p w14:paraId="0FD232E8" w14:textId="77777777" w:rsidR="00DB2E14" w:rsidRPr="003827F0"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b w:val="0"/>
                <w:color w:val="auto"/>
              </w:rPr>
            </w:pPr>
          </w:p>
        </w:tc>
      </w:tr>
      <w:tr w:rsidR="00DB2E14" w14:paraId="045FD790" w14:textId="77777777"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right w:val="nil"/>
            </w:tcBorders>
          </w:tcPr>
          <w:p w14:paraId="73161DD7" w14:textId="77777777" w:rsidR="00DB2E14" w:rsidRPr="003827F0" w:rsidRDefault="00DB2E14" w:rsidP="006653AB">
            <w:pPr>
              <w:tabs>
                <w:tab w:val="left" w:pos="1545"/>
              </w:tabs>
              <w:rPr>
                <w:b w:val="0"/>
              </w:rPr>
            </w:pPr>
            <w:r w:rsidRPr="003827F0">
              <w:rPr>
                <w:b w:val="0"/>
              </w:rPr>
              <w:t>Travel costs</w:t>
            </w:r>
          </w:p>
        </w:tc>
        <w:tc>
          <w:tcPr>
            <w:tcW w:w="4110" w:type="dxa"/>
            <w:gridSpan w:val="3"/>
            <w:tcBorders>
              <w:top w:val="none" w:sz="0" w:space="0" w:color="auto"/>
              <w:left w:val="nil"/>
            </w:tcBorders>
          </w:tcPr>
          <w:p w14:paraId="3283B459" w14:textId="77777777" w:rsidR="00DB2E14" w:rsidRPr="003827F0"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2838" w:type="dxa"/>
            <w:tcBorders>
              <w:top w:val="none" w:sz="0" w:space="0" w:color="auto"/>
              <w:bottom w:val="none" w:sz="0" w:space="0" w:color="auto"/>
              <w:right w:val="none" w:sz="0" w:space="0" w:color="auto"/>
            </w:tcBorders>
          </w:tcPr>
          <w:p w14:paraId="01AA7BE6" w14:textId="77777777" w:rsidR="00DB2E14" w:rsidRPr="003827F0"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14:paraId="1E3CBF2C" w14:textId="77777777" w:rsidTr="00F95ABC">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14:paraId="6BDD5AD9" w14:textId="77777777" w:rsidR="00DB2E14" w:rsidRPr="003827F0" w:rsidRDefault="00DB2E14" w:rsidP="006653AB">
            <w:pPr>
              <w:tabs>
                <w:tab w:val="left" w:pos="1545"/>
              </w:tabs>
              <w:rPr>
                <w:b w:val="0"/>
              </w:rPr>
            </w:pPr>
          </w:p>
        </w:tc>
        <w:tc>
          <w:tcPr>
            <w:tcW w:w="5555" w:type="dxa"/>
            <w:gridSpan w:val="4"/>
            <w:tcBorders>
              <w:left w:val="nil"/>
              <w:bottom w:val="single" w:sz="8" w:space="0" w:color="000000" w:themeColor="text1"/>
            </w:tcBorders>
          </w:tcPr>
          <w:p w14:paraId="25F315C2" w14:textId="77777777" w:rsidR="00DB2E14" w:rsidRPr="003827F0"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3827F0">
              <w:t>Atlanta Personnel</w:t>
            </w:r>
          </w:p>
        </w:tc>
        <w:tc>
          <w:tcPr>
            <w:tcW w:w="2838" w:type="dxa"/>
          </w:tcPr>
          <w:p w14:paraId="7996836C" w14:textId="77777777" w:rsidR="00DB2E14" w:rsidRPr="003827F0" w:rsidRDefault="00DB2E14" w:rsidP="00BC549E">
            <w:pPr>
              <w:tabs>
                <w:tab w:val="left" w:pos="1545"/>
              </w:tabs>
              <w:cnfStyle w:val="000000000000" w:firstRow="0" w:lastRow="0" w:firstColumn="0" w:lastColumn="0" w:oddVBand="0" w:evenVBand="0" w:oddHBand="0" w:evenHBand="0" w:firstRowFirstColumn="0" w:firstRowLastColumn="0" w:lastRowFirstColumn="0" w:lastRowLastColumn="0"/>
            </w:pPr>
            <w:r w:rsidRPr="003827F0">
              <w:t>$</w:t>
            </w:r>
            <w:r w:rsidR="00266574">
              <w:t>5,000</w:t>
            </w:r>
          </w:p>
        </w:tc>
      </w:tr>
      <w:tr w:rsidR="00DB2E14" w14:paraId="4D7065BF" w14:textId="77777777"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14:paraId="1B7EB50E" w14:textId="77777777" w:rsidR="00DB2E14" w:rsidRPr="003827F0" w:rsidRDefault="00DB2E14" w:rsidP="006653AB">
            <w:pPr>
              <w:tabs>
                <w:tab w:val="left" w:pos="1545"/>
              </w:tabs>
              <w:rPr>
                <w:b w:val="0"/>
              </w:rPr>
            </w:pPr>
          </w:p>
        </w:tc>
        <w:tc>
          <w:tcPr>
            <w:tcW w:w="5555" w:type="dxa"/>
            <w:gridSpan w:val="4"/>
            <w:tcBorders>
              <w:top w:val="none" w:sz="0" w:space="0" w:color="auto"/>
              <w:left w:val="nil"/>
              <w:bottom w:val="none" w:sz="0" w:space="0" w:color="auto"/>
            </w:tcBorders>
          </w:tcPr>
          <w:p w14:paraId="66F4AB28" w14:textId="77777777" w:rsidR="00DB2E14" w:rsidRPr="003827F0"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3827F0">
              <w:t>Regional Personnel</w:t>
            </w:r>
          </w:p>
        </w:tc>
        <w:tc>
          <w:tcPr>
            <w:tcW w:w="2838" w:type="dxa"/>
            <w:tcBorders>
              <w:top w:val="none" w:sz="0" w:space="0" w:color="auto"/>
              <w:bottom w:val="none" w:sz="0" w:space="0" w:color="auto"/>
              <w:right w:val="none" w:sz="0" w:space="0" w:color="auto"/>
            </w:tcBorders>
          </w:tcPr>
          <w:p w14:paraId="53570BE6" w14:textId="77777777" w:rsidR="00DB2E14" w:rsidRPr="003827F0" w:rsidRDefault="00DB2E14" w:rsidP="00BC549E">
            <w:pPr>
              <w:tabs>
                <w:tab w:val="left" w:pos="1545"/>
              </w:tabs>
              <w:cnfStyle w:val="000000100000" w:firstRow="0" w:lastRow="0" w:firstColumn="0" w:lastColumn="0" w:oddVBand="0" w:evenVBand="0" w:oddHBand="1" w:evenHBand="0" w:firstRowFirstColumn="0" w:firstRowLastColumn="0" w:lastRowFirstColumn="0" w:lastRowLastColumn="0"/>
            </w:pPr>
            <w:r w:rsidRPr="003827F0">
              <w:t>$</w:t>
            </w:r>
            <w:r w:rsidR="00266574">
              <w:t>0</w:t>
            </w:r>
          </w:p>
        </w:tc>
      </w:tr>
      <w:tr w:rsidR="00DB2E14" w14:paraId="21941810" w14:textId="77777777" w:rsidTr="00F95ABC">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14:paraId="6BFC3F81" w14:textId="77777777" w:rsidR="00DB2E14" w:rsidRPr="003827F0" w:rsidRDefault="00DB2E14" w:rsidP="006653AB">
            <w:pPr>
              <w:tabs>
                <w:tab w:val="left" w:pos="1545"/>
              </w:tabs>
              <w:rPr>
                <w:b w:val="0"/>
              </w:rPr>
            </w:pPr>
            <w:r w:rsidRPr="003827F0">
              <w:rPr>
                <w:b w:val="0"/>
              </w:rPr>
              <w:t>Laboratory costs</w:t>
            </w:r>
          </w:p>
        </w:tc>
        <w:tc>
          <w:tcPr>
            <w:tcW w:w="1410" w:type="dxa"/>
            <w:tcBorders>
              <w:left w:val="nil"/>
            </w:tcBorders>
          </w:tcPr>
          <w:p w14:paraId="471D2003" w14:textId="77777777" w:rsidR="00DB2E14" w:rsidRPr="003827F0"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2838" w:type="dxa"/>
          </w:tcPr>
          <w:p w14:paraId="4361FF83" w14:textId="77777777" w:rsidR="00DB2E14" w:rsidRPr="003827F0"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r>
      <w:tr w:rsidR="009A0F23" w14:paraId="43D7E623" w14:textId="77777777"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14:paraId="496BDEA0" w14:textId="77777777" w:rsidR="00DB2E14" w:rsidRPr="003827F0" w:rsidRDefault="00A178BC" w:rsidP="006653AB">
            <w:pPr>
              <w:tabs>
                <w:tab w:val="left" w:pos="1545"/>
              </w:tabs>
              <w:rPr>
                <w:b w:val="0"/>
              </w:rPr>
            </w:pPr>
            <w:r w:rsidRPr="003827F0">
              <w:rPr>
                <w:b w:val="0"/>
              </w:rPr>
              <w:t>Includes phlebotomist, shipping and sample analysis</w:t>
            </w:r>
          </w:p>
        </w:tc>
        <w:tc>
          <w:tcPr>
            <w:tcW w:w="1410" w:type="dxa"/>
            <w:tcBorders>
              <w:left w:val="nil"/>
            </w:tcBorders>
          </w:tcPr>
          <w:p w14:paraId="4A487E89" w14:textId="77777777" w:rsidR="00DB2E14" w:rsidRPr="003827F0"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2838" w:type="dxa"/>
          </w:tcPr>
          <w:p w14:paraId="5A2B2283" w14:textId="77777777" w:rsidR="00DB2E14" w:rsidRPr="003827F0" w:rsidRDefault="0007281C" w:rsidP="00BC549E">
            <w:pPr>
              <w:tabs>
                <w:tab w:val="left" w:pos="1545"/>
              </w:tabs>
              <w:cnfStyle w:val="000000100000" w:firstRow="0" w:lastRow="0" w:firstColumn="0" w:lastColumn="0" w:oddVBand="0" w:evenVBand="0" w:oddHBand="1" w:evenHBand="0" w:firstRowFirstColumn="0" w:firstRowLastColumn="0" w:lastRowFirstColumn="0" w:lastRowLastColumn="0"/>
            </w:pPr>
            <w:r w:rsidRPr="003827F0">
              <w:t>$</w:t>
            </w:r>
            <w:r w:rsidR="00266574">
              <w:t>40,000</w:t>
            </w:r>
          </w:p>
        </w:tc>
      </w:tr>
      <w:tr w:rsidR="00575460" w14:paraId="55446ACA" w14:textId="77777777" w:rsidTr="009A0F23">
        <w:tc>
          <w:tcPr>
            <w:cnfStyle w:val="001000000000" w:firstRow="0" w:lastRow="0" w:firstColumn="1" w:lastColumn="0" w:oddVBand="0" w:evenVBand="0" w:oddHBand="0" w:evenHBand="0" w:firstRowFirstColumn="0" w:firstRowLastColumn="0" w:lastRowFirstColumn="0" w:lastRowLastColumn="0"/>
            <w:tcW w:w="3888" w:type="dxa"/>
            <w:gridSpan w:val="3"/>
            <w:tcBorders>
              <w:right w:val="nil"/>
            </w:tcBorders>
          </w:tcPr>
          <w:p w14:paraId="4CA4B1CB" w14:textId="77777777" w:rsidR="00575460" w:rsidRPr="003827F0" w:rsidRDefault="009A0F23" w:rsidP="006653AB">
            <w:pPr>
              <w:tabs>
                <w:tab w:val="left" w:pos="1545"/>
              </w:tabs>
              <w:rPr>
                <w:b w:val="0"/>
              </w:rPr>
            </w:pPr>
            <w:r w:rsidRPr="003827F0">
              <w:rPr>
                <w:b w:val="0"/>
              </w:rPr>
              <w:t>TOTAL NON-PERSONNEL COSTS</w:t>
            </w:r>
          </w:p>
        </w:tc>
        <w:tc>
          <w:tcPr>
            <w:tcW w:w="2850" w:type="dxa"/>
            <w:gridSpan w:val="2"/>
            <w:tcBorders>
              <w:left w:val="nil"/>
            </w:tcBorders>
          </w:tcPr>
          <w:p w14:paraId="654593DB" w14:textId="77777777" w:rsidR="00575460" w:rsidRPr="003827F0" w:rsidRDefault="00575460"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2838" w:type="dxa"/>
          </w:tcPr>
          <w:p w14:paraId="394633F7" w14:textId="77777777" w:rsidR="00575460" w:rsidRPr="003827F0" w:rsidRDefault="0030631D" w:rsidP="00BC549E">
            <w:pPr>
              <w:tabs>
                <w:tab w:val="left" w:pos="1545"/>
              </w:tabs>
              <w:cnfStyle w:val="000000000000" w:firstRow="0" w:lastRow="0" w:firstColumn="0" w:lastColumn="0" w:oddVBand="0" w:evenVBand="0" w:oddHBand="0" w:evenHBand="0" w:firstRowFirstColumn="0" w:firstRowLastColumn="0" w:lastRowFirstColumn="0" w:lastRowLastColumn="0"/>
            </w:pPr>
            <w:r w:rsidRPr="003827F0">
              <w:t>$</w:t>
            </w:r>
            <w:r w:rsidR="00266574">
              <w:t>45,000</w:t>
            </w:r>
          </w:p>
        </w:tc>
      </w:tr>
      <w:tr w:rsidR="00DB2E14" w14:paraId="7306FB84" w14:textId="77777777"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right w:val="nil"/>
            </w:tcBorders>
          </w:tcPr>
          <w:p w14:paraId="3CC19BFA" w14:textId="77777777" w:rsidR="00DB2E14" w:rsidRPr="003827F0" w:rsidRDefault="0007281C" w:rsidP="006653AB">
            <w:pPr>
              <w:tabs>
                <w:tab w:val="left" w:pos="1545"/>
              </w:tabs>
              <w:rPr>
                <w:b w:val="0"/>
              </w:rPr>
            </w:pPr>
            <w:r w:rsidRPr="003827F0">
              <w:rPr>
                <w:b w:val="0"/>
              </w:rPr>
              <w:t>TOTAL EI COST</w:t>
            </w:r>
          </w:p>
        </w:tc>
        <w:tc>
          <w:tcPr>
            <w:tcW w:w="4110" w:type="dxa"/>
            <w:gridSpan w:val="3"/>
            <w:tcBorders>
              <w:left w:val="nil"/>
            </w:tcBorders>
          </w:tcPr>
          <w:p w14:paraId="6A89A26E" w14:textId="77777777" w:rsidR="00DB2E14" w:rsidRPr="003827F0" w:rsidRDefault="0030631D" w:rsidP="006653AB">
            <w:pPr>
              <w:tabs>
                <w:tab w:val="left" w:pos="1545"/>
              </w:tabs>
              <w:cnfStyle w:val="000000100000" w:firstRow="0" w:lastRow="0" w:firstColumn="0" w:lastColumn="0" w:oddVBand="0" w:evenVBand="0" w:oddHBand="1" w:evenHBand="0" w:firstRowFirstColumn="0" w:firstRowLastColumn="0" w:lastRowFirstColumn="0" w:lastRowLastColumn="0"/>
            </w:pPr>
            <w:r w:rsidRPr="003827F0">
              <w:t>Personnel + Non-Personnel costs</w:t>
            </w:r>
          </w:p>
        </w:tc>
        <w:tc>
          <w:tcPr>
            <w:tcW w:w="2838" w:type="dxa"/>
          </w:tcPr>
          <w:p w14:paraId="3D294348" w14:textId="77777777" w:rsidR="00DB2E14" w:rsidRPr="003827F0" w:rsidRDefault="0007281C" w:rsidP="00BC549E">
            <w:pPr>
              <w:tabs>
                <w:tab w:val="left" w:pos="1545"/>
              </w:tabs>
              <w:cnfStyle w:val="000000100000" w:firstRow="0" w:lastRow="0" w:firstColumn="0" w:lastColumn="0" w:oddVBand="0" w:evenVBand="0" w:oddHBand="1" w:evenHBand="0" w:firstRowFirstColumn="0" w:firstRowLastColumn="0" w:lastRowFirstColumn="0" w:lastRowLastColumn="0"/>
            </w:pPr>
            <w:r w:rsidRPr="003827F0">
              <w:t>$</w:t>
            </w:r>
            <w:r w:rsidR="00266574">
              <w:t>98,700</w:t>
            </w:r>
          </w:p>
        </w:tc>
      </w:tr>
    </w:tbl>
    <w:p w14:paraId="6DEBF967" w14:textId="77777777" w:rsidR="006653AB" w:rsidRDefault="006653AB" w:rsidP="006653AB">
      <w:pPr>
        <w:tabs>
          <w:tab w:val="left" w:pos="1545"/>
        </w:tabs>
      </w:pPr>
    </w:p>
    <w:p w14:paraId="10CBC767" w14:textId="77777777" w:rsidR="0007281C" w:rsidRDefault="0007281C" w:rsidP="006653AB">
      <w:pPr>
        <w:tabs>
          <w:tab w:val="left" w:pos="1545"/>
        </w:tabs>
      </w:pPr>
      <w:r>
        <w:t>The travel costs include the following:</w:t>
      </w:r>
    </w:p>
    <w:p w14:paraId="74AD6BF1" w14:textId="77777777" w:rsidR="0007281C" w:rsidRDefault="0007281C" w:rsidP="0007281C">
      <w:pPr>
        <w:pStyle w:val="ListParagraph"/>
        <w:numPr>
          <w:ilvl w:val="0"/>
          <w:numId w:val="21"/>
        </w:numPr>
        <w:tabs>
          <w:tab w:val="left" w:pos="1545"/>
        </w:tabs>
      </w:pPr>
      <w:r>
        <w:t>Travel to the site from Atlanta (</w:t>
      </w:r>
      <w:r w:rsidR="00BC549E">
        <w:t>2</w:t>
      </w:r>
      <w:r>
        <w:t xml:space="preserve"> people) </w:t>
      </w:r>
      <w:r w:rsidR="00486D6F">
        <w:t xml:space="preserve">for </w:t>
      </w:r>
      <w:r w:rsidR="00BC549E">
        <w:t>one</w:t>
      </w:r>
      <w:r w:rsidR="003827F0">
        <w:t xml:space="preserve"> week</w:t>
      </w:r>
      <w:r w:rsidR="00486D6F">
        <w:t xml:space="preserve"> </w:t>
      </w:r>
      <w:r>
        <w:t>to</w:t>
      </w:r>
      <w:r w:rsidR="00486D6F">
        <w:t xml:space="preserve"> perform the </w:t>
      </w:r>
      <w:r w:rsidR="00BC549E">
        <w:t xml:space="preserve">biological </w:t>
      </w:r>
      <w:r w:rsidR="00DE039F">
        <w:t>sampling</w:t>
      </w:r>
    </w:p>
    <w:p w14:paraId="3C12FF3A" w14:textId="77777777" w:rsidR="004B35BF" w:rsidRDefault="004B35BF" w:rsidP="0007281C">
      <w:pPr>
        <w:pStyle w:val="ListParagraph"/>
        <w:numPr>
          <w:ilvl w:val="0"/>
          <w:numId w:val="21"/>
        </w:numPr>
        <w:tabs>
          <w:tab w:val="left" w:pos="1545"/>
        </w:tabs>
      </w:pPr>
      <w:r>
        <w:t>T</w:t>
      </w:r>
      <w:r w:rsidR="00486D6F">
        <w:t xml:space="preserve">ravel to the site from Atlanta </w:t>
      </w:r>
      <w:r>
        <w:t xml:space="preserve"> </w:t>
      </w:r>
      <w:r w:rsidR="00486D6F">
        <w:t>(</w:t>
      </w:r>
      <w:r w:rsidR="00DE039F">
        <w:t>2</w:t>
      </w:r>
      <w:r w:rsidR="00486D6F">
        <w:t xml:space="preserve"> pe</w:t>
      </w:r>
      <w:r w:rsidR="00DE039F">
        <w:t>ople</w:t>
      </w:r>
      <w:r>
        <w:t>) for</w:t>
      </w:r>
      <w:r w:rsidR="003827F0">
        <w:t xml:space="preserve"> 2-3 days for</w:t>
      </w:r>
      <w:r>
        <w:t xml:space="preserve"> follow</w:t>
      </w:r>
      <w:r w:rsidR="00BC549E">
        <w:t>-</w:t>
      </w:r>
      <w:r>
        <w:t>up meeting</w:t>
      </w:r>
      <w:r w:rsidR="003827F0">
        <w:t>s</w:t>
      </w:r>
    </w:p>
    <w:p w14:paraId="3FD62585" w14:textId="77777777" w:rsidR="00935939" w:rsidRPr="008E0304" w:rsidRDefault="00935939" w:rsidP="006653AB">
      <w:pPr>
        <w:tabs>
          <w:tab w:val="left" w:pos="1545"/>
        </w:tabs>
      </w:pPr>
    </w:p>
    <w:p w14:paraId="156A23CE" w14:textId="77777777" w:rsidR="006653AB" w:rsidRPr="003B5990" w:rsidRDefault="00B04CF8" w:rsidP="007F446A">
      <w:pPr>
        <w:pStyle w:val="Heading2"/>
        <w:rPr>
          <w:u w:val="single"/>
        </w:rPr>
      </w:pPr>
      <w:bookmarkStart w:id="141" w:name="_Toc415567679"/>
      <w:bookmarkStart w:id="142" w:name="_Toc415568070"/>
      <w:bookmarkStart w:id="143" w:name="_Toc306344160"/>
      <w:bookmarkStart w:id="144" w:name="_Toc306344801"/>
      <w:bookmarkStart w:id="145" w:name="_Toc306345042"/>
      <w:bookmarkStart w:id="146" w:name="_Toc311445513"/>
      <w:bookmarkEnd w:id="137"/>
      <w:bookmarkEnd w:id="138"/>
      <w:bookmarkEnd w:id="139"/>
      <w:bookmarkEnd w:id="140"/>
      <w:r w:rsidRPr="003B5990">
        <w:rPr>
          <w:u w:val="single"/>
        </w:rPr>
        <w:t>A.</w:t>
      </w:r>
      <w:r w:rsidR="006653AB" w:rsidRPr="003B5990">
        <w:rPr>
          <w:u w:val="single"/>
        </w:rPr>
        <w:t>1</w:t>
      </w:r>
      <w:r w:rsidR="00B60A40">
        <w:rPr>
          <w:u w:val="single"/>
        </w:rPr>
        <w:t>5</w:t>
      </w:r>
      <w:r w:rsidR="006653AB" w:rsidRPr="003B5990">
        <w:rPr>
          <w:u w:val="single"/>
        </w:rPr>
        <w:t>. Explanation for Program Changes or Adjustments</w:t>
      </w:r>
      <w:bookmarkEnd w:id="141"/>
      <w:bookmarkEnd w:id="142"/>
    </w:p>
    <w:p w14:paraId="23EC4A10" w14:textId="77777777" w:rsidR="006653AB" w:rsidRPr="003B5990" w:rsidRDefault="006653AB" w:rsidP="006653AB">
      <w:pPr>
        <w:tabs>
          <w:tab w:val="left" w:pos="1545"/>
        </w:tabs>
        <w:rPr>
          <w:b/>
          <w:u w:val="single"/>
        </w:rPr>
      </w:pPr>
    </w:p>
    <w:p w14:paraId="3AE21271" w14:textId="77777777" w:rsidR="006653AB" w:rsidRPr="003827F0" w:rsidRDefault="00540BD7" w:rsidP="006653AB">
      <w:pPr>
        <w:tabs>
          <w:tab w:val="left" w:pos="1545"/>
        </w:tabs>
      </w:pPr>
      <w:r w:rsidRPr="003827F0">
        <w:rPr>
          <w:rFonts w:eastAsia="Calibri"/>
        </w:rPr>
        <w:t>This is a new data collection.</w:t>
      </w:r>
    </w:p>
    <w:p w14:paraId="0DEA4F99" w14:textId="77777777" w:rsidR="006653AB" w:rsidRPr="003B5990" w:rsidRDefault="006653AB" w:rsidP="006653AB">
      <w:pPr>
        <w:tabs>
          <w:tab w:val="left" w:pos="1545"/>
        </w:tabs>
        <w:rPr>
          <w:u w:val="single"/>
        </w:rPr>
      </w:pPr>
    </w:p>
    <w:p w14:paraId="70FC4C30" w14:textId="77777777" w:rsidR="006653AB" w:rsidRPr="003B5990" w:rsidRDefault="00B04CF8" w:rsidP="007F446A">
      <w:pPr>
        <w:pStyle w:val="Heading2"/>
        <w:rPr>
          <w:u w:val="single"/>
        </w:rPr>
      </w:pPr>
      <w:bookmarkStart w:id="147" w:name="_Toc415567680"/>
      <w:bookmarkStart w:id="148" w:name="_Toc415568071"/>
      <w:r w:rsidRPr="003B5990">
        <w:rPr>
          <w:u w:val="single"/>
        </w:rPr>
        <w:lastRenderedPageBreak/>
        <w:t>A.</w:t>
      </w:r>
      <w:r w:rsidR="006653AB" w:rsidRPr="003B5990">
        <w:rPr>
          <w:u w:val="single"/>
        </w:rPr>
        <w:t>1</w:t>
      </w:r>
      <w:r w:rsidR="00B60A40">
        <w:rPr>
          <w:u w:val="single"/>
        </w:rPr>
        <w:t>6</w:t>
      </w:r>
      <w:r w:rsidR="006653AB" w:rsidRPr="003B5990">
        <w:rPr>
          <w:u w:val="single"/>
        </w:rPr>
        <w:t>. Plans for Tabulation and Publication and Project Time Schedule</w:t>
      </w:r>
      <w:bookmarkEnd w:id="147"/>
      <w:bookmarkEnd w:id="148"/>
    </w:p>
    <w:p w14:paraId="1A03C2B4" w14:textId="77777777" w:rsidR="005676F3" w:rsidRPr="007F446A" w:rsidRDefault="005676F3" w:rsidP="00935939">
      <w:pPr>
        <w:tabs>
          <w:tab w:val="left" w:pos="1545"/>
        </w:tabs>
      </w:pPr>
    </w:p>
    <w:p w14:paraId="1D513135" w14:textId="77777777" w:rsidR="00935939" w:rsidRPr="00A70496" w:rsidRDefault="00A70496" w:rsidP="00935939">
      <w:pPr>
        <w:tabs>
          <w:tab w:val="left" w:pos="1545"/>
        </w:tabs>
        <w:rPr>
          <w:rStyle w:val="Strong"/>
          <w:color w:val="4F81BD" w:themeColor="accent1"/>
        </w:rPr>
      </w:pPr>
      <w:r>
        <w:rPr>
          <w:rStyle w:val="Strong"/>
          <w:color w:val="4F81BD" w:themeColor="accent1"/>
        </w:rPr>
        <w:t>A.16.</w:t>
      </w:r>
      <w:r w:rsidR="00935939" w:rsidRPr="00A70496">
        <w:rPr>
          <w:rStyle w:val="Strong"/>
          <w:color w:val="4F81BD" w:themeColor="accent1"/>
        </w:rPr>
        <w:t>1 Project Time Schedule</w:t>
      </w:r>
    </w:p>
    <w:p w14:paraId="4ED99279" w14:textId="77777777" w:rsidR="00935939" w:rsidRDefault="00935939" w:rsidP="00935939">
      <w:pPr>
        <w:tabs>
          <w:tab w:val="left" w:pos="1545"/>
        </w:tabs>
        <w:rPr>
          <w:b/>
        </w:rPr>
      </w:pPr>
    </w:p>
    <w:p w14:paraId="0BD50C18" w14:textId="77777777"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4801E0">
        <w:t>De</w:t>
      </w:r>
      <w:r w:rsidR="00DE039F">
        <w:t>catur</w:t>
      </w:r>
      <w:r>
        <w:t xml:space="preserve"> EI is as follows:</w:t>
      </w:r>
      <w:r w:rsidR="00F04621" w:rsidRPr="007F446A">
        <w:t xml:space="preserve"> </w:t>
      </w:r>
    </w:p>
    <w:p w14:paraId="073DA9EC" w14:textId="77777777" w:rsidR="00F04621" w:rsidRDefault="00935939" w:rsidP="00935939">
      <w:pPr>
        <w:tabs>
          <w:tab w:val="left" w:pos="1545"/>
        </w:tabs>
        <w:rPr>
          <w:b/>
        </w:rPr>
      </w:pPr>
      <w:r>
        <w:rPr>
          <w:b/>
        </w:rPr>
        <w:t xml:space="preserve"> </w:t>
      </w:r>
    </w:p>
    <w:p w14:paraId="63AC74DC" w14:textId="77777777" w:rsidR="00482FD3" w:rsidRDefault="00482FD3" w:rsidP="00935939">
      <w:pPr>
        <w:tabs>
          <w:tab w:val="left" w:pos="1545"/>
        </w:tabs>
        <w:rPr>
          <w:b/>
        </w:rPr>
      </w:pPr>
    </w:p>
    <w:p w14:paraId="6A0C099D" w14:textId="77777777" w:rsidR="00935939" w:rsidRDefault="00935939" w:rsidP="00935939">
      <w:pPr>
        <w:tabs>
          <w:tab w:val="left" w:pos="1545"/>
        </w:tabs>
        <w:rPr>
          <w:b/>
        </w:rPr>
      </w:pPr>
      <w:r>
        <w:rPr>
          <w:b/>
        </w:rPr>
        <w:t>Activity                                                                                 Time Schedule</w:t>
      </w:r>
    </w:p>
    <w:p w14:paraId="6AD9C93D" w14:textId="77777777" w:rsidR="00935939" w:rsidRDefault="00935939" w:rsidP="00935939">
      <w:pPr>
        <w:tabs>
          <w:tab w:val="left" w:pos="1545"/>
        </w:tabs>
        <w:rPr>
          <w:b/>
        </w:rPr>
      </w:pPr>
    </w:p>
    <w:p w14:paraId="400A1701" w14:textId="77777777" w:rsidR="00935939" w:rsidRDefault="00935939" w:rsidP="007D1A50">
      <w:pPr>
        <w:tabs>
          <w:tab w:val="left" w:pos="1545"/>
        </w:tabs>
        <w:jc w:val="both"/>
      </w:pPr>
      <w:r>
        <w:t>Start of data collection</w:t>
      </w:r>
      <w:r w:rsidR="00486D6F">
        <w:t xml:space="preserve"> and </w:t>
      </w:r>
      <w:r w:rsidR="00472B8E">
        <w:t>f</w:t>
      </w:r>
      <w:r w:rsidR="00486D6F">
        <w:t xml:space="preserve">ield </w:t>
      </w:r>
      <w:r w:rsidR="00472B8E">
        <w:t>w</w:t>
      </w:r>
      <w:r w:rsidR="00486D6F">
        <w:t xml:space="preserve">ork </w:t>
      </w:r>
      <w:r>
        <w:t>…………………</w:t>
      </w:r>
      <w:r w:rsidR="0011317C">
        <w:t>…</w:t>
      </w:r>
      <w:r w:rsidR="00472B8E">
        <w:t>..</w:t>
      </w:r>
      <w:r w:rsidR="0011317C">
        <w:t>...</w:t>
      </w:r>
      <w:r w:rsidR="00651D96">
        <w:t>…</w:t>
      </w:r>
      <w:r w:rsidR="002712D8">
        <w:t>…</w:t>
      </w:r>
      <w:r>
        <w:t>1</w:t>
      </w:r>
      <w:r w:rsidR="002712D8">
        <w:t xml:space="preserve"> </w:t>
      </w:r>
      <w:r w:rsidR="00AB00BC">
        <w:t>week</w:t>
      </w:r>
      <w:r>
        <w:t xml:space="preserve"> after OMB approval</w:t>
      </w:r>
    </w:p>
    <w:p w14:paraId="5E21664A" w14:textId="77777777" w:rsidR="00935939" w:rsidRDefault="00661279" w:rsidP="007D1A50">
      <w:pPr>
        <w:tabs>
          <w:tab w:val="left" w:pos="1545"/>
        </w:tabs>
        <w:jc w:val="both"/>
      </w:pPr>
      <w:r>
        <w:t>Data and laboratory a</w:t>
      </w:r>
      <w:r w:rsidR="00935939">
        <w:t>nalysis………………………………....</w:t>
      </w:r>
      <w:r w:rsidR="00D37004">
        <w:t>..</w:t>
      </w:r>
      <w:r w:rsidR="00430FC6">
        <w:t xml:space="preserve"> </w:t>
      </w:r>
      <w:r w:rsidR="00486D6F">
        <w:t>2-3</w:t>
      </w:r>
      <w:r w:rsidR="00935939">
        <w:t xml:space="preserve"> months after OMB approval</w:t>
      </w:r>
    </w:p>
    <w:p w14:paraId="425E186C" w14:textId="77777777" w:rsidR="00935939" w:rsidRDefault="00935939" w:rsidP="007D1A50">
      <w:pPr>
        <w:tabs>
          <w:tab w:val="left" w:pos="1545"/>
        </w:tabs>
        <w:jc w:val="both"/>
      </w:pPr>
      <w:r>
        <w:t>Respond to participants ……………………………</w:t>
      </w:r>
      <w:r w:rsidR="0011317C">
        <w:t>.</w:t>
      </w:r>
      <w:r>
        <w:t>…....</w:t>
      </w:r>
      <w:r w:rsidR="002712D8">
        <w:t>.....</w:t>
      </w:r>
      <w:r w:rsidR="0011317C">
        <w:t>.....</w:t>
      </w:r>
      <w:r w:rsidR="00486D6F">
        <w:t>3-</w:t>
      </w:r>
      <w:r w:rsidR="00AB00BC">
        <w:t>6</w:t>
      </w:r>
      <w:r>
        <w:t xml:space="preserve"> months after OMB approval</w:t>
      </w:r>
    </w:p>
    <w:p w14:paraId="2EDBC485" w14:textId="77777777" w:rsidR="00935939" w:rsidRDefault="00935939" w:rsidP="007D1A50">
      <w:pPr>
        <w:tabs>
          <w:tab w:val="left" w:pos="1545"/>
        </w:tabs>
        <w:jc w:val="both"/>
      </w:pPr>
      <w:r>
        <w:t xml:space="preserve">Written </w:t>
      </w:r>
      <w:r w:rsidR="00472B8E">
        <w:t>r</w:t>
      </w:r>
      <w:r>
        <w:t>eport……………………………………</w:t>
      </w:r>
      <w:r w:rsidR="00472B8E">
        <w:t>.</w:t>
      </w:r>
      <w:r>
        <w:t>…......</w:t>
      </w:r>
      <w:r w:rsidR="00D37004">
        <w:t>.....</w:t>
      </w:r>
      <w:r w:rsidR="0011317C">
        <w:t>....</w:t>
      </w:r>
      <w:r w:rsidR="00482FD3">
        <w:t xml:space="preserve">TBD - </w:t>
      </w:r>
      <w:r w:rsidR="00651D96">
        <w:t>based on clearance process</w:t>
      </w:r>
    </w:p>
    <w:p w14:paraId="400F01A0" w14:textId="77777777" w:rsidR="006653AB" w:rsidRDefault="006653AB" w:rsidP="006653AB">
      <w:pPr>
        <w:tabs>
          <w:tab w:val="left" w:pos="1545"/>
        </w:tabs>
      </w:pPr>
    </w:p>
    <w:p w14:paraId="1ABE32C4" w14:textId="77777777" w:rsidR="004801E0" w:rsidRDefault="004801E0" w:rsidP="006653AB">
      <w:pPr>
        <w:tabs>
          <w:tab w:val="left" w:pos="1545"/>
        </w:tabs>
      </w:pPr>
      <w:r>
        <w:t>Response letters to the participants will be sent for those with elevated</w:t>
      </w:r>
      <w:r w:rsidR="00A70496">
        <w:t xml:space="preserve"> </w:t>
      </w:r>
      <w:r>
        <w:t>and normal (Attachment 6) results. An example of a prior Exposure Investigation report is provided as Attachment 7</w:t>
      </w:r>
      <w:r>
        <w:rPr>
          <w:b/>
        </w:rPr>
        <w:t>.</w:t>
      </w:r>
    </w:p>
    <w:p w14:paraId="0DAE424D" w14:textId="77777777" w:rsidR="006653AB" w:rsidRDefault="00B04CF8" w:rsidP="007F446A">
      <w:pPr>
        <w:pStyle w:val="Heading2"/>
      </w:pPr>
      <w:bookmarkStart w:id="149" w:name="_Toc415567681"/>
      <w:bookmarkStart w:id="150" w:name="_Toc415568072"/>
      <w:r>
        <w:t>A.</w:t>
      </w:r>
      <w:r w:rsidR="006653AB">
        <w:t>1</w:t>
      </w:r>
      <w:r w:rsidR="00B60A40">
        <w:t>7</w:t>
      </w:r>
      <w:r w:rsidR="006653AB">
        <w:t>. Reason(s) Display of OMB Expiration Date is Inappropriate</w:t>
      </w:r>
      <w:bookmarkEnd w:id="149"/>
      <w:bookmarkEnd w:id="150"/>
    </w:p>
    <w:p w14:paraId="7132472E" w14:textId="77777777" w:rsidR="006653AB" w:rsidRDefault="006653AB" w:rsidP="006653AB">
      <w:pPr>
        <w:tabs>
          <w:tab w:val="left" w:pos="1545"/>
        </w:tabs>
        <w:rPr>
          <w:b/>
        </w:rPr>
      </w:pPr>
    </w:p>
    <w:p w14:paraId="30E1AD4B" w14:textId="77777777" w:rsidR="006653AB" w:rsidRDefault="006653AB" w:rsidP="006653AB">
      <w:pPr>
        <w:tabs>
          <w:tab w:val="left" w:pos="1545"/>
        </w:tabs>
      </w:pPr>
      <w:r>
        <w:t>We are not requesting an exemption.</w:t>
      </w:r>
    </w:p>
    <w:p w14:paraId="5CC1DA34" w14:textId="77777777" w:rsidR="006653AB" w:rsidRDefault="006653AB" w:rsidP="006653AB">
      <w:pPr>
        <w:tabs>
          <w:tab w:val="left" w:pos="1545"/>
        </w:tabs>
      </w:pPr>
    </w:p>
    <w:p w14:paraId="13DCF36E" w14:textId="77777777" w:rsidR="006653AB" w:rsidRDefault="00B04CF8" w:rsidP="007F446A">
      <w:pPr>
        <w:pStyle w:val="Heading2"/>
      </w:pPr>
      <w:bookmarkStart w:id="151" w:name="_Toc415567682"/>
      <w:bookmarkStart w:id="152" w:name="_Toc415568073"/>
      <w:r>
        <w:t>A.</w:t>
      </w:r>
      <w:r w:rsidR="006653AB">
        <w:t>1</w:t>
      </w:r>
      <w:r w:rsidR="00B60A40">
        <w:t>8</w:t>
      </w:r>
      <w:r w:rsidR="006653AB">
        <w:t>. Exceptions to Certification for Paperwork Reduction Act Submissions</w:t>
      </w:r>
      <w:bookmarkEnd w:id="151"/>
      <w:bookmarkEnd w:id="152"/>
    </w:p>
    <w:p w14:paraId="1E738413" w14:textId="77777777" w:rsidR="006653AB" w:rsidRDefault="006653AB" w:rsidP="006653AB">
      <w:pPr>
        <w:tabs>
          <w:tab w:val="left" w:pos="1545"/>
        </w:tabs>
        <w:rPr>
          <w:b/>
        </w:rPr>
      </w:pPr>
    </w:p>
    <w:p w14:paraId="509EA0D2" w14:textId="77777777" w:rsidR="006653AB" w:rsidRDefault="006653AB" w:rsidP="006653AB">
      <w:pPr>
        <w:tabs>
          <w:tab w:val="left" w:pos="1545"/>
        </w:tabs>
      </w:pPr>
      <w:r>
        <w:rPr>
          <w:b/>
        </w:rPr>
        <w:t xml:space="preserve"> </w:t>
      </w:r>
      <w:r>
        <w:t>There are no exceptions to certification for Paperwork Reduction Act.</w:t>
      </w:r>
    </w:p>
    <w:bookmarkEnd w:id="143"/>
    <w:bookmarkEnd w:id="144"/>
    <w:bookmarkEnd w:id="145"/>
    <w:bookmarkEnd w:id="146"/>
    <w:p w14:paraId="708C82E9" w14:textId="77777777" w:rsidR="00AA78D1" w:rsidRDefault="00AA78D1" w:rsidP="002F40AB">
      <w:pPr>
        <w:rPr>
          <w:rFonts w:eastAsia="SimSun"/>
          <w:b/>
          <w:bCs/>
          <w:lang w:eastAsia="zh-CN"/>
        </w:rPr>
      </w:pPr>
    </w:p>
    <w:sectPr w:rsidR="00AA78D1" w:rsidSect="0067720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67523" w14:textId="77777777" w:rsidR="00C128DC" w:rsidRDefault="00C128DC">
      <w:r>
        <w:separator/>
      </w:r>
    </w:p>
  </w:endnote>
  <w:endnote w:type="continuationSeparator" w:id="0">
    <w:p w14:paraId="20E9C536" w14:textId="77777777" w:rsidR="00C128DC" w:rsidRDefault="00C1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F98A" w14:textId="77777777" w:rsidR="00C128DC" w:rsidRDefault="00C128D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EE7D8" w14:textId="77777777" w:rsidR="00C128DC" w:rsidRDefault="00C12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35C37" w14:textId="77777777" w:rsidR="00C128DC" w:rsidRDefault="00C128DC"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5EE3">
      <w:rPr>
        <w:rStyle w:val="PageNumber"/>
        <w:noProof/>
      </w:rPr>
      <w:t>1</w:t>
    </w:r>
    <w:r>
      <w:rPr>
        <w:rStyle w:val="PageNumber"/>
      </w:rPr>
      <w:fldChar w:fldCharType="end"/>
    </w:r>
  </w:p>
  <w:p w14:paraId="2E855B49" w14:textId="77777777" w:rsidR="00C128DC" w:rsidRDefault="00C12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18DB4" w14:textId="77777777" w:rsidR="00C128DC" w:rsidRDefault="00C128DC">
      <w:r>
        <w:separator/>
      </w:r>
    </w:p>
  </w:footnote>
  <w:footnote w:type="continuationSeparator" w:id="0">
    <w:p w14:paraId="5612EB20" w14:textId="77777777" w:rsidR="00C128DC" w:rsidRDefault="00C12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B35BE" w14:textId="77777777" w:rsidR="00C128DC" w:rsidRDefault="00C128DC"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ED9A52C" w14:textId="77777777" w:rsidR="00C128DC" w:rsidRDefault="00C128DC" w:rsidP="0067720C">
        <w:pPr>
          <w:pStyle w:val="Header"/>
          <w:jc w:val="center"/>
          <w:rPr>
            <w:rFonts w:asciiTheme="majorHAnsi" w:eastAsiaTheme="majorEastAsia" w:hAnsiTheme="majorHAnsi" w:cstheme="majorBidi"/>
            <w:sz w:val="32"/>
            <w:szCs w:val="32"/>
          </w:rPr>
        </w:pPr>
        <w:r>
          <w:rPr>
            <w:sz w:val="20"/>
            <w:szCs w:val="20"/>
          </w:rPr>
          <w:t>Attachment 1. Decatur, AL, Exposure Investigation:  Supporting Statement A</w:t>
        </w:r>
      </w:p>
    </w:sdtContent>
  </w:sdt>
  <w:p w14:paraId="3EA2593C" w14:textId="77777777" w:rsidR="00C128DC" w:rsidRDefault="00C12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C98"/>
    <w:multiLevelType w:val="hybridMultilevel"/>
    <w:tmpl w:val="AD1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06BD"/>
    <w:multiLevelType w:val="hybridMultilevel"/>
    <w:tmpl w:val="1822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ADE6858"/>
    <w:multiLevelType w:val="hybridMultilevel"/>
    <w:tmpl w:val="4EAEC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A3772"/>
    <w:multiLevelType w:val="hybridMultilevel"/>
    <w:tmpl w:val="B5900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AF3879"/>
    <w:multiLevelType w:val="hybridMultilevel"/>
    <w:tmpl w:val="6CBE2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4781AED"/>
    <w:multiLevelType w:val="hybridMultilevel"/>
    <w:tmpl w:val="6A409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460E57"/>
    <w:multiLevelType w:val="hybridMultilevel"/>
    <w:tmpl w:val="AB6CC5B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D4C436F"/>
    <w:multiLevelType w:val="hybridMultilevel"/>
    <w:tmpl w:val="32E6E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2088B5A">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B799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7C732C"/>
    <w:multiLevelType w:val="hybridMultilevel"/>
    <w:tmpl w:val="4B82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6C85F6B"/>
    <w:multiLevelType w:val="hybridMultilevel"/>
    <w:tmpl w:val="2B3865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467BA8"/>
    <w:multiLevelType w:val="multilevel"/>
    <w:tmpl w:val="F6780A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33"/>
  </w:num>
  <w:num w:numId="3">
    <w:abstractNumId w:val="14"/>
  </w:num>
  <w:num w:numId="4">
    <w:abstractNumId w:val="8"/>
  </w:num>
  <w:num w:numId="5">
    <w:abstractNumId w:val="32"/>
  </w:num>
  <w:num w:numId="6">
    <w:abstractNumId w:val="35"/>
  </w:num>
  <w:num w:numId="7">
    <w:abstractNumId w:val="3"/>
  </w:num>
  <w:num w:numId="8">
    <w:abstractNumId w:val="9"/>
  </w:num>
  <w:num w:numId="9">
    <w:abstractNumId w:val="21"/>
  </w:num>
  <w:num w:numId="10">
    <w:abstractNumId w:val="19"/>
  </w:num>
  <w:num w:numId="11">
    <w:abstractNumId w:val="20"/>
  </w:num>
  <w:num w:numId="12">
    <w:abstractNumId w:val="34"/>
  </w:num>
  <w:num w:numId="13">
    <w:abstractNumId w:val="22"/>
  </w:num>
  <w:num w:numId="14">
    <w:abstractNumId w:val="23"/>
  </w:num>
  <w:num w:numId="15">
    <w:abstractNumId w:val="17"/>
  </w:num>
  <w:num w:numId="16">
    <w:abstractNumId w:val="4"/>
  </w:num>
  <w:num w:numId="17">
    <w:abstractNumId w:val="13"/>
  </w:num>
  <w:num w:numId="18">
    <w:abstractNumId w:val="27"/>
  </w:num>
  <w:num w:numId="19">
    <w:abstractNumId w:val="28"/>
  </w:num>
  <w:num w:numId="20">
    <w:abstractNumId w:val="2"/>
  </w:num>
  <w:num w:numId="21">
    <w:abstractNumId w:val="26"/>
  </w:num>
  <w:num w:numId="22">
    <w:abstractNumId w:val="16"/>
  </w:num>
  <w:num w:numId="23">
    <w:abstractNumId w:val="29"/>
  </w:num>
  <w:num w:numId="24">
    <w:abstractNumId w:val="24"/>
  </w:num>
  <w:num w:numId="25">
    <w:abstractNumId w:val="30"/>
  </w:num>
  <w:num w:numId="26">
    <w:abstractNumId w:val="1"/>
  </w:num>
  <w:num w:numId="27">
    <w:abstractNumId w:val="15"/>
  </w:num>
  <w:num w:numId="28">
    <w:abstractNumId w:val="31"/>
  </w:num>
  <w:num w:numId="29">
    <w:abstractNumId w:val="18"/>
  </w:num>
  <w:num w:numId="30">
    <w:abstractNumId w:val="11"/>
  </w:num>
  <w:num w:numId="31">
    <w:abstractNumId w:val="0"/>
  </w:num>
  <w:num w:numId="32">
    <w:abstractNumId w:val="25"/>
  </w:num>
  <w:num w:numId="33">
    <w:abstractNumId w:val="12"/>
  </w:num>
  <w:num w:numId="34">
    <w:abstractNumId w:val="7"/>
  </w:num>
  <w:num w:numId="35">
    <w:abstractNumId w:val="10"/>
  </w:num>
  <w:num w:numId="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7A8"/>
    <w:rsid w:val="000000D1"/>
    <w:rsid w:val="00000D99"/>
    <w:rsid w:val="00002E14"/>
    <w:rsid w:val="0000420B"/>
    <w:rsid w:val="00005117"/>
    <w:rsid w:val="000074F7"/>
    <w:rsid w:val="00007BC5"/>
    <w:rsid w:val="00010E39"/>
    <w:rsid w:val="00010F99"/>
    <w:rsid w:val="00012804"/>
    <w:rsid w:val="000128D8"/>
    <w:rsid w:val="00012C7C"/>
    <w:rsid w:val="000154F8"/>
    <w:rsid w:val="00016C0E"/>
    <w:rsid w:val="000230A5"/>
    <w:rsid w:val="0002381E"/>
    <w:rsid w:val="00025B51"/>
    <w:rsid w:val="0002723A"/>
    <w:rsid w:val="000275B0"/>
    <w:rsid w:val="00030EFC"/>
    <w:rsid w:val="0003287E"/>
    <w:rsid w:val="00032922"/>
    <w:rsid w:val="00032FB0"/>
    <w:rsid w:val="00035077"/>
    <w:rsid w:val="0004143B"/>
    <w:rsid w:val="00041524"/>
    <w:rsid w:val="00041D2A"/>
    <w:rsid w:val="00046A0C"/>
    <w:rsid w:val="000472D0"/>
    <w:rsid w:val="00047884"/>
    <w:rsid w:val="00050D0E"/>
    <w:rsid w:val="000510F5"/>
    <w:rsid w:val="000526A9"/>
    <w:rsid w:val="00052A85"/>
    <w:rsid w:val="00053166"/>
    <w:rsid w:val="0005797C"/>
    <w:rsid w:val="00061479"/>
    <w:rsid w:val="00062A3F"/>
    <w:rsid w:val="00062BC0"/>
    <w:rsid w:val="000635E9"/>
    <w:rsid w:val="000646CA"/>
    <w:rsid w:val="000649C1"/>
    <w:rsid w:val="00065156"/>
    <w:rsid w:val="000663F9"/>
    <w:rsid w:val="000664AD"/>
    <w:rsid w:val="000670FA"/>
    <w:rsid w:val="00067EB5"/>
    <w:rsid w:val="00067EF1"/>
    <w:rsid w:val="00072511"/>
    <w:rsid w:val="0007281C"/>
    <w:rsid w:val="00073047"/>
    <w:rsid w:val="000773C4"/>
    <w:rsid w:val="00081A58"/>
    <w:rsid w:val="00082B8D"/>
    <w:rsid w:val="00083406"/>
    <w:rsid w:val="0008428C"/>
    <w:rsid w:val="000848A3"/>
    <w:rsid w:val="00085240"/>
    <w:rsid w:val="00087084"/>
    <w:rsid w:val="0008749C"/>
    <w:rsid w:val="00087551"/>
    <w:rsid w:val="0008756C"/>
    <w:rsid w:val="000905A8"/>
    <w:rsid w:val="00090754"/>
    <w:rsid w:val="00091F11"/>
    <w:rsid w:val="000930B2"/>
    <w:rsid w:val="00094F19"/>
    <w:rsid w:val="00096B34"/>
    <w:rsid w:val="00096C93"/>
    <w:rsid w:val="00097D89"/>
    <w:rsid w:val="000A0B3D"/>
    <w:rsid w:val="000A15C9"/>
    <w:rsid w:val="000A2598"/>
    <w:rsid w:val="000A2BDA"/>
    <w:rsid w:val="000A2E46"/>
    <w:rsid w:val="000A32C4"/>
    <w:rsid w:val="000A3873"/>
    <w:rsid w:val="000A49BD"/>
    <w:rsid w:val="000A5592"/>
    <w:rsid w:val="000A5668"/>
    <w:rsid w:val="000A65A5"/>
    <w:rsid w:val="000A6D11"/>
    <w:rsid w:val="000B093C"/>
    <w:rsid w:val="000B0BC3"/>
    <w:rsid w:val="000B1254"/>
    <w:rsid w:val="000B1712"/>
    <w:rsid w:val="000B283E"/>
    <w:rsid w:val="000B3CA2"/>
    <w:rsid w:val="000B4D9B"/>
    <w:rsid w:val="000B6474"/>
    <w:rsid w:val="000B7365"/>
    <w:rsid w:val="000C2177"/>
    <w:rsid w:val="000C63C7"/>
    <w:rsid w:val="000C641F"/>
    <w:rsid w:val="000D0F5D"/>
    <w:rsid w:val="000D26C5"/>
    <w:rsid w:val="000D43FA"/>
    <w:rsid w:val="000D455D"/>
    <w:rsid w:val="000D4FEF"/>
    <w:rsid w:val="000D6641"/>
    <w:rsid w:val="000D67EE"/>
    <w:rsid w:val="000E17DC"/>
    <w:rsid w:val="000E4314"/>
    <w:rsid w:val="000E6BBC"/>
    <w:rsid w:val="000E7793"/>
    <w:rsid w:val="000F3C1B"/>
    <w:rsid w:val="000F4354"/>
    <w:rsid w:val="000F4CCE"/>
    <w:rsid w:val="000F5AD6"/>
    <w:rsid w:val="000F704F"/>
    <w:rsid w:val="00103F78"/>
    <w:rsid w:val="00106CD3"/>
    <w:rsid w:val="001071F9"/>
    <w:rsid w:val="00107B7A"/>
    <w:rsid w:val="001100C0"/>
    <w:rsid w:val="00110107"/>
    <w:rsid w:val="00110D66"/>
    <w:rsid w:val="001116DC"/>
    <w:rsid w:val="00112AB8"/>
    <w:rsid w:val="00112C83"/>
    <w:rsid w:val="0011317C"/>
    <w:rsid w:val="00114D3E"/>
    <w:rsid w:val="00116D85"/>
    <w:rsid w:val="00120226"/>
    <w:rsid w:val="00122D9D"/>
    <w:rsid w:val="00123448"/>
    <w:rsid w:val="00132A7C"/>
    <w:rsid w:val="001337F5"/>
    <w:rsid w:val="00133A1E"/>
    <w:rsid w:val="00133C79"/>
    <w:rsid w:val="001349FC"/>
    <w:rsid w:val="00134A2C"/>
    <w:rsid w:val="00134F7C"/>
    <w:rsid w:val="00141900"/>
    <w:rsid w:val="00143AB2"/>
    <w:rsid w:val="00145016"/>
    <w:rsid w:val="001458B0"/>
    <w:rsid w:val="00146B56"/>
    <w:rsid w:val="00147410"/>
    <w:rsid w:val="001509BD"/>
    <w:rsid w:val="00153B8B"/>
    <w:rsid w:val="00154C0F"/>
    <w:rsid w:val="00155B04"/>
    <w:rsid w:val="0015682F"/>
    <w:rsid w:val="00156C1D"/>
    <w:rsid w:val="00156E28"/>
    <w:rsid w:val="001608A1"/>
    <w:rsid w:val="00160EFB"/>
    <w:rsid w:val="001621EF"/>
    <w:rsid w:val="00162D9E"/>
    <w:rsid w:val="0016335B"/>
    <w:rsid w:val="00164F2C"/>
    <w:rsid w:val="00165D9D"/>
    <w:rsid w:val="00166980"/>
    <w:rsid w:val="00167843"/>
    <w:rsid w:val="00167F85"/>
    <w:rsid w:val="001716E3"/>
    <w:rsid w:val="001717DF"/>
    <w:rsid w:val="00172B0F"/>
    <w:rsid w:val="00174115"/>
    <w:rsid w:val="00175106"/>
    <w:rsid w:val="00175336"/>
    <w:rsid w:val="00180B4A"/>
    <w:rsid w:val="001828C9"/>
    <w:rsid w:val="001833B6"/>
    <w:rsid w:val="001834A3"/>
    <w:rsid w:val="00186982"/>
    <w:rsid w:val="00187F73"/>
    <w:rsid w:val="00190128"/>
    <w:rsid w:val="00191562"/>
    <w:rsid w:val="00191BD4"/>
    <w:rsid w:val="00192F70"/>
    <w:rsid w:val="00195192"/>
    <w:rsid w:val="001A02F8"/>
    <w:rsid w:val="001A3622"/>
    <w:rsid w:val="001A48A4"/>
    <w:rsid w:val="001A6554"/>
    <w:rsid w:val="001B26E3"/>
    <w:rsid w:val="001B2F0F"/>
    <w:rsid w:val="001B330F"/>
    <w:rsid w:val="001B392D"/>
    <w:rsid w:val="001B42E6"/>
    <w:rsid w:val="001B6C41"/>
    <w:rsid w:val="001B71A2"/>
    <w:rsid w:val="001C01C8"/>
    <w:rsid w:val="001C579A"/>
    <w:rsid w:val="001C5B78"/>
    <w:rsid w:val="001C6298"/>
    <w:rsid w:val="001C7136"/>
    <w:rsid w:val="001D0AD0"/>
    <w:rsid w:val="001D0EAE"/>
    <w:rsid w:val="001D4AF4"/>
    <w:rsid w:val="001D4FF9"/>
    <w:rsid w:val="001D558F"/>
    <w:rsid w:val="001D63B6"/>
    <w:rsid w:val="001D6A64"/>
    <w:rsid w:val="001D7273"/>
    <w:rsid w:val="001D789D"/>
    <w:rsid w:val="001E1C8D"/>
    <w:rsid w:val="001E2294"/>
    <w:rsid w:val="001E683D"/>
    <w:rsid w:val="001E6AFE"/>
    <w:rsid w:val="001E7EE8"/>
    <w:rsid w:val="001F0DE9"/>
    <w:rsid w:val="001F0F12"/>
    <w:rsid w:val="001F671F"/>
    <w:rsid w:val="00201F22"/>
    <w:rsid w:val="002025B5"/>
    <w:rsid w:val="00210F73"/>
    <w:rsid w:val="0021237B"/>
    <w:rsid w:val="00214A74"/>
    <w:rsid w:val="002154E3"/>
    <w:rsid w:val="00215E9D"/>
    <w:rsid w:val="00216CF8"/>
    <w:rsid w:val="00216DEF"/>
    <w:rsid w:val="00221518"/>
    <w:rsid w:val="00221B76"/>
    <w:rsid w:val="00224F03"/>
    <w:rsid w:val="00226069"/>
    <w:rsid w:val="00226789"/>
    <w:rsid w:val="00226F12"/>
    <w:rsid w:val="00227352"/>
    <w:rsid w:val="002275A3"/>
    <w:rsid w:val="002276C7"/>
    <w:rsid w:val="00235605"/>
    <w:rsid w:val="00235E02"/>
    <w:rsid w:val="00240CF0"/>
    <w:rsid w:val="002415A9"/>
    <w:rsid w:val="00241C5C"/>
    <w:rsid w:val="002428A9"/>
    <w:rsid w:val="00242ACE"/>
    <w:rsid w:val="00246A18"/>
    <w:rsid w:val="00246A47"/>
    <w:rsid w:val="00246B5A"/>
    <w:rsid w:val="002473AB"/>
    <w:rsid w:val="00250E9A"/>
    <w:rsid w:val="002515D0"/>
    <w:rsid w:val="002538AC"/>
    <w:rsid w:val="00255CE9"/>
    <w:rsid w:val="002569E1"/>
    <w:rsid w:val="002570B0"/>
    <w:rsid w:val="00261215"/>
    <w:rsid w:val="002640DF"/>
    <w:rsid w:val="00266092"/>
    <w:rsid w:val="00266574"/>
    <w:rsid w:val="002669CF"/>
    <w:rsid w:val="00270902"/>
    <w:rsid w:val="00270CDE"/>
    <w:rsid w:val="002712D8"/>
    <w:rsid w:val="0027662B"/>
    <w:rsid w:val="002766A0"/>
    <w:rsid w:val="00277628"/>
    <w:rsid w:val="00277FD1"/>
    <w:rsid w:val="002812FB"/>
    <w:rsid w:val="002818F3"/>
    <w:rsid w:val="0028313F"/>
    <w:rsid w:val="0028483B"/>
    <w:rsid w:val="00284F9D"/>
    <w:rsid w:val="002930BD"/>
    <w:rsid w:val="00293159"/>
    <w:rsid w:val="00293340"/>
    <w:rsid w:val="00295101"/>
    <w:rsid w:val="0029554B"/>
    <w:rsid w:val="00297C51"/>
    <w:rsid w:val="002A0056"/>
    <w:rsid w:val="002A04F0"/>
    <w:rsid w:val="002A676A"/>
    <w:rsid w:val="002B1573"/>
    <w:rsid w:val="002B198F"/>
    <w:rsid w:val="002B2744"/>
    <w:rsid w:val="002B3F38"/>
    <w:rsid w:val="002B4079"/>
    <w:rsid w:val="002B651B"/>
    <w:rsid w:val="002B775D"/>
    <w:rsid w:val="002C0499"/>
    <w:rsid w:val="002C0563"/>
    <w:rsid w:val="002C1DA9"/>
    <w:rsid w:val="002C2492"/>
    <w:rsid w:val="002C33E8"/>
    <w:rsid w:val="002C5903"/>
    <w:rsid w:val="002C7DD8"/>
    <w:rsid w:val="002D0805"/>
    <w:rsid w:val="002D18BD"/>
    <w:rsid w:val="002D21A8"/>
    <w:rsid w:val="002D48E0"/>
    <w:rsid w:val="002D6888"/>
    <w:rsid w:val="002D6CB4"/>
    <w:rsid w:val="002D78FB"/>
    <w:rsid w:val="002E0CB9"/>
    <w:rsid w:val="002E2057"/>
    <w:rsid w:val="002E24AE"/>
    <w:rsid w:val="002E2A9E"/>
    <w:rsid w:val="002E57EE"/>
    <w:rsid w:val="002F0422"/>
    <w:rsid w:val="002F1410"/>
    <w:rsid w:val="002F2308"/>
    <w:rsid w:val="002F269E"/>
    <w:rsid w:val="002F38FD"/>
    <w:rsid w:val="002F40AB"/>
    <w:rsid w:val="002F5B1D"/>
    <w:rsid w:val="002F6358"/>
    <w:rsid w:val="002F6507"/>
    <w:rsid w:val="002F7273"/>
    <w:rsid w:val="003047A0"/>
    <w:rsid w:val="0030631D"/>
    <w:rsid w:val="00307746"/>
    <w:rsid w:val="003108EF"/>
    <w:rsid w:val="00312462"/>
    <w:rsid w:val="00313614"/>
    <w:rsid w:val="0031417C"/>
    <w:rsid w:val="00314B98"/>
    <w:rsid w:val="003169D4"/>
    <w:rsid w:val="00316DF8"/>
    <w:rsid w:val="00317784"/>
    <w:rsid w:val="00320114"/>
    <w:rsid w:val="00322A7D"/>
    <w:rsid w:val="00322A9F"/>
    <w:rsid w:val="0032408B"/>
    <w:rsid w:val="00324120"/>
    <w:rsid w:val="00330E89"/>
    <w:rsid w:val="003327B3"/>
    <w:rsid w:val="003376AD"/>
    <w:rsid w:val="00340F43"/>
    <w:rsid w:val="00341D10"/>
    <w:rsid w:val="00344150"/>
    <w:rsid w:val="003453F4"/>
    <w:rsid w:val="0034721A"/>
    <w:rsid w:val="00347865"/>
    <w:rsid w:val="003530FB"/>
    <w:rsid w:val="0035552F"/>
    <w:rsid w:val="00356195"/>
    <w:rsid w:val="00357B6C"/>
    <w:rsid w:val="00362A15"/>
    <w:rsid w:val="00362B96"/>
    <w:rsid w:val="00363D95"/>
    <w:rsid w:val="003649A9"/>
    <w:rsid w:val="00365505"/>
    <w:rsid w:val="00370214"/>
    <w:rsid w:val="00370423"/>
    <w:rsid w:val="00370B96"/>
    <w:rsid w:val="00370EFD"/>
    <w:rsid w:val="00371441"/>
    <w:rsid w:val="00372087"/>
    <w:rsid w:val="00372214"/>
    <w:rsid w:val="00372457"/>
    <w:rsid w:val="00372FBE"/>
    <w:rsid w:val="00375D68"/>
    <w:rsid w:val="0037652E"/>
    <w:rsid w:val="00380EA1"/>
    <w:rsid w:val="003821C4"/>
    <w:rsid w:val="0038222D"/>
    <w:rsid w:val="003827F0"/>
    <w:rsid w:val="003838E1"/>
    <w:rsid w:val="00384A59"/>
    <w:rsid w:val="0039052A"/>
    <w:rsid w:val="00392B58"/>
    <w:rsid w:val="003934D6"/>
    <w:rsid w:val="00393781"/>
    <w:rsid w:val="00394595"/>
    <w:rsid w:val="0039614F"/>
    <w:rsid w:val="003961A9"/>
    <w:rsid w:val="0039668D"/>
    <w:rsid w:val="00396DB3"/>
    <w:rsid w:val="0039749A"/>
    <w:rsid w:val="003A1F30"/>
    <w:rsid w:val="003A313C"/>
    <w:rsid w:val="003A3443"/>
    <w:rsid w:val="003A34E7"/>
    <w:rsid w:val="003A3C5F"/>
    <w:rsid w:val="003A4223"/>
    <w:rsid w:val="003A448A"/>
    <w:rsid w:val="003A5B61"/>
    <w:rsid w:val="003A5BCE"/>
    <w:rsid w:val="003B0656"/>
    <w:rsid w:val="003B09D0"/>
    <w:rsid w:val="003B3B72"/>
    <w:rsid w:val="003B574E"/>
    <w:rsid w:val="003B5990"/>
    <w:rsid w:val="003B6233"/>
    <w:rsid w:val="003C02F1"/>
    <w:rsid w:val="003C221E"/>
    <w:rsid w:val="003C2B64"/>
    <w:rsid w:val="003C4B87"/>
    <w:rsid w:val="003C6471"/>
    <w:rsid w:val="003C6E41"/>
    <w:rsid w:val="003C6FE3"/>
    <w:rsid w:val="003D22FC"/>
    <w:rsid w:val="003D25F3"/>
    <w:rsid w:val="003D5009"/>
    <w:rsid w:val="003D5701"/>
    <w:rsid w:val="003D5E14"/>
    <w:rsid w:val="003D6F20"/>
    <w:rsid w:val="003D773E"/>
    <w:rsid w:val="003E010E"/>
    <w:rsid w:val="003E1120"/>
    <w:rsid w:val="003E2FB3"/>
    <w:rsid w:val="003E4C15"/>
    <w:rsid w:val="003E4C67"/>
    <w:rsid w:val="003F09CC"/>
    <w:rsid w:val="003F3B2E"/>
    <w:rsid w:val="003F3C32"/>
    <w:rsid w:val="003F7A03"/>
    <w:rsid w:val="0040058C"/>
    <w:rsid w:val="004014F8"/>
    <w:rsid w:val="004021A7"/>
    <w:rsid w:val="004025FF"/>
    <w:rsid w:val="00403254"/>
    <w:rsid w:val="00403BAE"/>
    <w:rsid w:val="00405E33"/>
    <w:rsid w:val="004064CA"/>
    <w:rsid w:val="0041541A"/>
    <w:rsid w:val="00415CEC"/>
    <w:rsid w:val="00416587"/>
    <w:rsid w:val="00416780"/>
    <w:rsid w:val="00416D17"/>
    <w:rsid w:val="004204E1"/>
    <w:rsid w:val="0042229C"/>
    <w:rsid w:val="00424699"/>
    <w:rsid w:val="004248DE"/>
    <w:rsid w:val="00424FA1"/>
    <w:rsid w:val="00425269"/>
    <w:rsid w:val="004256F3"/>
    <w:rsid w:val="0042698E"/>
    <w:rsid w:val="004276E7"/>
    <w:rsid w:val="00430CBD"/>
    <w:rsid w:val="00430EBD"/>
    <w:rsid w:val="00430FC6"/>
    <w:rsid w:val="004311D8"/>
    <w:rsid w:val="004338EC"/>
    <w:rsid w:val="00434A70"/>
    <w:rsid w:val="00435BAC"/>
    <w:rsid w:val="0043660F"/>
    <w:rsid w:val="00436698"/>
    <w:rsid w:val="00436D45"/>
    <w:rsid w:val="00442BA2"/>
    <w:rsid w:val="00442CD3"/>
    <w:rsid w:val="00443311"/>
    <w:rsid w:val="00443720"/>
    <w:rsid w:val="00447597"/>
    <w:rsid w:val="0044774C"/>
    <w:rsid w:val="004505C1"/>
    <w:rsid w:val="0045668E"/>
    <w:rsid w:val="004628E1"/>
    <w:rsid w:val="004651C7"/>
    <w:rsid w:val="00470BAA"/>
    <w:rsid w:val="00471684"/>
    <w:rsid w:val="00472B8E"/>
    <w:rsid w:val="00472E96"/>
    <w:rsid w:val="004801E0"/>
    <w:rsid w:val="0048047A"/>
    <w:rsid w:val="00481480"/>
    <w:rsid w:val="00482FD3"/>
    <w:rsid w:val="00484D12"/>
    <w:rsid w:val="004856EE"/>
    <w:rsid w:val="00486659"/>
    <w:rsid w:val="00486D6F"/>
    <w:rsid w:val="004873AB"/>
    <w:rsid w:val="004908F0"/>
    <w:rsid w:val="0049131E"/>
    <w:rsid w:val="004916CD"/>
    <w:rsid w:val="00491741"/>
    <w:rsid w:val="00491A63"/>
    <w:rsid w:val="00493735"/>
    <w:rsid w:val="004959AF"/>
    <w:rsid w:val="004A1E3D"/>
    <w:rsid w:val="004A36EC"/>
    <w:rsid w:val="004B18EA"/>
    <w:rsid w:val="004B1EEE"/>
    <w:rsid w:val="004B3325"/>
    <w:rsid w:val="004B3540"/>
    <w:rsid w:val="004B35BF"/>
    <w:rsid w:val="004B6110"/>
    <w:rsid w:val="004B7A2F"/>
    <w:rsid w:val="004C1DF9"/>
    <w:rsid w:val="004C1E1A"/>
    <w:rsid w:val="004C25B6"/>
    <w:rsid w:val="004C6650"/>
    <w:rsid w:val="004C7299"/>
    <w:rsid w:val="004C7309"/>
    <w:rsid w:val="004C7391"/>
    <w:rsid w:val="004C7B15"/>
    <w:rsid w:val="004D0F5A"/>
    <w:rsid w:val="004D1612"/>
    <w:rsid w:val="004D2FCD"/>
    <w:rsid w:val="004D46CB"/>
    <w:rsid w:val="004D5914"/>
    <w:rsid w:val="004D6401"/>
    <w:rsid w:val="004D6DEE"/>
    <w:rsid w:val="004D735B"/>
    <w:rsid w:val="004D778E"/>
    <w:rsid w:val="004D7DFC"/>
    <w:rsid w:val="004E050A"/>
    <w:rsid w:val="004E1968"/>
    <w:rsid w:val="004E1D00"/>
    <w:rsid w:val="004E224F"/>
    <w:rsid w:val="004E22E0"/>
    <w:rsid w:val="004E3383"/>
    <w:rsid w:val="004E3FE0"/>
    <w:rsid w:val="004E6F39"/>
    <w:rsid w:val="004E71B9"/>
    <w:rsid w:val="004F0058"/>
    <w:rsid w:val="004F005E"/>
    <w:rsid w:val="004F1A80"/>
    <w:rsid w:val="004F4089"/>
    <w:rsid w:val="004F43DE"/>
    <w:rsid w:val="004F4FDE"/>
    <w:rsid w:val="004F5338"/>
    <w:rsid w:val="004F54A8"/>
    <w:rsid w:val="0050045B"/>
    <w:rsid w:val="00500461"/>
    <w:rsid w:val="00502EA3"/>
    <w:rsid w:val="00504E3B"/>
    <w:rsid w:val="0050563D"/>
    <w:rsid w:val="00510653"/>
    <w:rsid w:val="00512219"/>
    <w:rsid w:val="005124EC"/>
    <w:rsid w:val="005141ED"/>
    <w:rsid w:val="00515B99"/>
    <w:rsid w:val="0051601C"/>
    <w:rsid w:val="005167C6"/>
    <w:rsid w:val="005229C8"/>
    <w:rsid w:val="00523D3E"/>
    <w:rsid w:val="00524678"/>
    <w:rsid w:val="005246DD"/>
    <w:rsid w:val="005249EE"/>
    <w:rsid w:val="005258E1"/>
    <w:rsid w:val="00525D5A"/>
    <w:rsid w:val="0053045B"/>
    <w:rsid w:val="005322EC"/>
    <w:rsid w:val="00533F1F"/>
    <w:rsid w:val="0053404A"/>
    <w:rsid w:val="005348BC"/>
    <w:rsid w:val="00535D03"/>
    <w:rsid w:val="00536DFA"/>
    <w:rsid w:val="005376FC"/>
    <w:rsid w:val="00537907"/>
    <w:rsid w:val="005403F3"/>
    <w:rsid w:val="005409A9"/>
    <w:rsid w:val="00540BD7"/>
    <w:rsid w:val="00542378"/>
    <w:rsid w:val="00543EE8"/>
    <w:rsid w:val="00544321"/>
    <w:rsid w:val="00544956"/>
    <w:rsid w:val="00546017"/>
    <w:rsid w:val="005506BC"/>
    <w:rsid w:val="00550A98"/>
    <w:rsid w:val="00550CE9"/>
    <w:rsid w:val="00551AB0"/>
    <w:rsid w:val="00551B93"/>
    <w:rsid w:val="00551BA1"/>
    <w:rsid w:val="00551BCA"/>
    <w:rsid w:val="00552A78"/>
    <w:rsid w:val="0055302A"/>
    <w:rsid w:val="00556503"/>
    <w:rsid w:val="005570EF"/>
    <w:rsid w:val="00557FCB"/>
    <w:rsid w:val="005610D0"/>
    <w:rsid w:val="00561BE5"/>
    <w:rsid w:val="00562ECD"/>
    <w:rsid w:val="00562EF3"/>
    <w:rsid w:val="005632D5"/>
    <w:rsid w:val="00563588"/>
    <w:rsid w:val="0056679B"/>
    <w:rsid w:val="005676F3"/>
    <w:rsid w:val="00567F99"/>
    <w:rsid w:val="00571985"/>
    <w:rsid w:val="0057385F"/>
    <w:rsid w:val="00573A1B"/>
    <w:rsid w:val="00575460"/>
    <w:rsid w:val="00576A27"/>
    <w:rsid w:val="00577BBE"/>
    <w:rsid w:val="00577C55"/>
    <w:rsid w:val="0058073B"/>
    <w:rsid w:val="00582665"/>
    <w:rsid w:val="00582C91"/>
    <w:rsid w:val="00583F53"/>
    <w:rsid w:val="00584A53"/>
    <w:rsid w:val="005856AA"/>
    <w:rsid w:val="00585FC5"/>
    <w:rsid w:val="00587809"/>
    <w:rsid w:val="00590499"/>
    <w:rsid w:val="00590EB2"/>
    <w:rsid w:val="005956B8"/>
    <w:rsid w:val="00596E4A"/>
    <w:rsid w:val="00597B47"/>
    <w:rsid w:val="005A53DC"/>
    <w:rsid w:val="005A5509"/>
    <w:rsid w:val="005A57CC"/>
    <w:rsid w:val="005A58B9"/>
    <w:rsid w:val="005A65F9"/>
    <w:rsid w:val="005A68D5"/>
    <w:rsid w:val="005B0CA9"/>
    <w:rsid w:val="005B0ED8"/>
    <w:rsid w:val="005B17A7"/>
    <w:rsid w:val="005B1CE6"/>
    <w:rsid w:val="005B1DE2"/>
    <w:rsid w:val="005B43F9"/>
    <w:rsid w:val="005B45F4"/>
    <w:rsid w:val="005B4870"/>
    <w:rsid w:val="005B4ECC"/>
    <w:rsid w:val="005B5BC2"/>
    <w:rsid w:val="005B6B9A"/>
    <w:rsid w:val="005B769E"/>
    <w:rsid w:val="005B7A60"/>
    <w:rsid w:val="005C0816"/>
    <w:rsid w:val="005C18BF"/>
    <w:rsid w:val="005C1CDE"/>
    <w:rsid w:val="005C27F5"/>
    <w:rsid w:val="005C5A41"/>
    <w:rsid w:val="005C5AF0"/>
    <w:rsid w:val="005C69CF"/>
    <w:rsid w:val="005D207D"/>
    <w:rsid w:val="005D27AB"/>
    <w:rsid w:val="005D3D80"/>
    <w:rsid w:val="005D3F9C"/>
    <w:rsid w:val="005D4B8D"/>
    <w:rsid w:val="005D5663"/>
    <w:rsid w:val="005D662F"/>
    <w:rsid w:val="005D6724"/>
    <w:rsid w:val="005D78EC"/>
    <w:rsid w:val="005E1D66"/>
    <w:rsid w:val="005E447E"/>
    <w:rsid w:val="005E6F59"/>
    <w:rsid w:val="005F38BB"/>
    <w:rsid w:val="005F5787"/>
    <w:rsid w:val="005F578E"/>
    <w:rsid w:val="005F6CAB"/>
    <w:rsid w:val="005F7A53"/>
    <w:rsid w:val="00600106"/>
    <w:rsid w:val="006008B4"/>
    <w:rsid w:val="00602106"/>
    <w:rsid w:val="006043AE"/>
    <w:rsid w:val="0060553B"/>
    <w:rsid w:val="006124CC"/>
    <w:rsid w:val="006135CD"/>
    <w:rsid w:val="00613CB6"/>
    <w:rsid w:val="00615C38"/>
    <w:rsid w:val="00615CDA"/>
    <w:rsid w:val="00617385"/>
    <w:rsid w:val="0061771E"/>
    <w:rsid w:val="00617FA2"/>
    <w:rsid w:val="006201FF"/>
    <w:rsid w:val="00621375"/>
    <w:rsid w:val="00622E0D"/>
    <w:rsid w:val="0062344A"/>
    <w:rsid w:val="00624B68"/>
    <w:rsid w:val="0062514C"/>
    <w:rsid w:val="00625E0A"/>
    <w:rsid w:val="006262E9"/>
    <w:rsid w:val="0062653B"/>
    <w:rsid w:val="00627ACD"/>
    <w:rsid w:val="006300F0"/>
    <w:rsid w:val="00631525"/>
    <w:rsid w:val="00631651"/>
    <w:rsid w:val="00632F57"/>
    <w:rsid w:val="0063375F"/>
    <w:rsid w:val="006352DF"/>
    <w:rsid w:val="00642AAC"/>
    <w:rsid w:val="00646241"/>
    <w:rsid w:val="00646835"/>
    <w:rsid w:val="00646BBE"/>
    <w:rsid w:val="00647428"/>
    <w:rsid w:val="00650B53"/>
    <w:rsid w:val="00651981"/>
    <w:rsid w:val="00651D96"/>
    <w:rsid w:val="006525AA"/>
    <w:rsid w:val="00656B10"/>
    <w:rsid w:val="00660F0C"/>
    <w:rsid w:val="00661279"/>
    <w:rsid w:val="006626EC"/>
    <w:rsid w:val="00663053"/>
    <w:rsid w:val="006653AB"/>
    <w:rsid w:val="00665A27"/>
    <w:rsid w:val="006668A4"/>
    <w:rsid w:val="006739D2"/>
    <w:rsid w:val="00675EE3"/>
    <w:rsid w:val="006761DF"/>
    <w:rsid w:val="0067720C"/>
    <w:rsid w:val="00680197"/>
    <w:rsid w:val="0068197A"/>
    <w:rsid w:val="00681AD2"/>
    <w:rsid w:val="00684BCD"/>
    <w:rsid w:val="00685C2D"/>
    <w:rsid w:val="006871DE"/>
    <w:rsid w:val="00687970"/>
    <w:rsid w:val="0069091B"/>
    <w:rsid w:val="006919A8"/>
    <w:rsid w:val="00691B3B"/>
    <w:rsid w:val="00692540"/>
    <w:rsid w:val="006925F9"/>
    <w:rsid w:val="00694686"/>
    <w:rsid w:val="0069469D"/>
    <w:rsid w:val="006966C0"/>
    <w:rsid w:val="00697B11"/>
    <w:rsid w:val="006A0032"/>
    <w:rsid w:val="006A187C"/>
    <w:rsid w:val="006A2AA7"/>
    <w:rsid w:val="006A3B7B"/>
    <w:rsid w:val="006A3F75"/>
    <w:rsid w:val="006A4220"/>
    <w:rsid w:val="006A44C0"/>
    <w:rsid w:val="006A4EDB"/>
    <w:rsid w:val="006A6FFC"/>
    <w:rsid w:val="006A7661"/>
    <w:rsid w:val="006B044B"/>
    <w:rsid w:val="006B07C5"/>
    <w:rsid w:val="006B0F4C"/>
    <w:rsid w:val="006B2C20"/>
    <w:rsid w:val="006B4164"/>
    <w:rsid w:val="006B4A7B"/>
    <w:rsid w:val="006B749A"/>
    <w:rsid w:val="006C1B8A"/>
    <w:rsid w:val="006C45FD"/>
    <w:rsid w:val="006C5E99"/>
    <w:rsid w:val="006C7264"/>
    <w:rsid w:val="006D1176"/>
    <w:rsid w:val="006D19A3"/>
    <w:rsid w:val="006D2146"/>
    <w:rsid w:val="006D34D6"/>
    <w:rsid w:val="006D38F8"/>
    <w:rsid w:val="006D3B13"/>
    <w:rsid w:val="006D3C64"/>
    <w:rsid w:val="006D576E"/>
    <w:rsid w:val="006D5E84"/>
    <w:rsid w:val="006D5FE1"/>
    <w:rsid w:val="006D6063"/>
    <w:rsid w:val="006D784F"/>
    <w:rsid w:val="006D7CB6"/>
    <w:rsid w:val="006E035F"/>
    <w:rsid w:val="006E0743"/>
    <w:rsid w:val="006E0815"/>
    <w:rsid w:val="006E2387"/>
    <w:rsid w:val="006E2673"/>
    <w:rsid w:val="006E3A77"/>
    <w:rsid w:val="006E3E43"/>
    <w:rsid w:val="006E4A36"/>
    <w:rsid w:val="006E6CFE"/>
    <w:rsid w:val="006F0135"/>
    <w:rsid w:val="006F0D45"/>
    <w:rsid w:val="006F15B9"/>
    <w:rsid w:val="006F1740"/>
    <w:rsid w:val="006F1ACD"/>
    <w:rsid w:val="006F4BE8"/>
    <w:rsid w:val="006F614B"/>
    <w:rsid w:val="006F6333"/>
    <w:rsid w:val="006F66A3"/>
    <w:rsid w:val="006F7AFF"/>
    <w:rsid w:val="0070071C"/>
    <w:rsid w:val="00701BE8"/>
    <w:rsid w:val="00702BDA"/>
    <w:rsid w:val="00702BF5"/>
    <w:rsid w:val="007038B4"/>
    <w:rsid w:val="007049CD"/>
    <w:rsid w:val="00705106"/>
    <w:rsid w:val="0070579F"/>
    <w:rsid w:val="00706228"/>
    <w:rsid w:val="0070634B"/>
    <w:rsid w:val="00710CFC"/>
    <w:rsid w:val="0071113A"/>
    <w:rsid w:val="00712A9A"/>
    <w:rsid w:val="0071388D"/>
    <w:rsid w:val="00713A02"/>
    <w:rsid w:val="00714C71"/>
    <w:rsid w:val="00715EFC"/>
    <w:rsid w:val="00716010"/>
    <w:rsid w:val="00716202"/>
    <w:rsid w:val="007174AA"/>
    <w:rsid w:val="00723DD6"/>
    <w:rsid w:val="00725D08"/>
    <w:rsid w:val="00726FEB"/>
    <w:rsid w:val="00731650"/>
    <w:rsid w:val="0073591C"/>
    <w:rsid w:val="00736050"/>
    <w:rsid w:val="00736F73"/>
    <w:rsid w:val="00737C4B"/>
    <w:rsid w:val="00741687"/>
    <w:rsid w:val="00741AAF"/>
    <w:rsid w:val="00742A6F"/>
    <w:rsid w:val="00742C09"/>
    <w:rsid w:val="007464B5"/>
    <w:rsid w:val="00747B23"/>
    <w:rsid w:val="00751DA9"/>
    <w:rsid w:val="007521E8"/>
    <w:rsid w:val="007530C8"/>
    <w:rsid w:val="0075380A"/>
    <w:rsid w:val="007561E0"/>
    <w:rsid w:val="00761F94"/>
    <w:rsid w:val="007626DF"/>
    <w:rsid w:val="00763E7C"/>
    <w:rsid w:val="0076515F"/>
    <w:rsid w:val="0076649B"/>
    <w:rsid w:val="0076675A"/>
    <w:rsid w:val="007668BA"/>
    <w:rsid w:val="00767580"/>
    <w:rsid w:val="00770A10"/>
    <w:rsid w:val="007715C9"/>
    <w:rsid w:val="007724FA"/>
    <w:rsid w:val="00773C8D"/>
    <w:rsid w:val="007770D8"/>
    <w:rsid w:val="00783A0A"/>
    <w:rsid w:val="00786093"/>
    <w:rsid w:val="0078781B"/>
    <w:rsid w:val="00793F4F"/>
    <w:rsid w:val="0079581E"/>
    <w:rsid w:val="007A224E"/>
    <w:rsid w:val="007A429D"/>
    <w:rsid w:val="007A454F"/>
    <w:rsid w:val="007A459D"/>
    <w:rsid w:val="007B0ED5"/>
    <w:rsid w:val="007B12CE"/>
    <w:rsid w:val="007B3CDB"/>
    <w:rsid w:val="007B4BE9"/>
    <w:rsid w:val="007B5494"/>
    <w:rsid w:val="007B5E65"/>
    <w:rsid w:val="007B7EBA"/>
    <w:rsid w:val="007B7F3D"/>
    <w:rsid w:val="007C0CB8"/>
    <w:rsid w:val="007C1105"/>
    <w:rsid w:val="007C1E6A"/>
    <w:rsid w:val="007C3132"/>
    <w:rsid w:val="007C6A1A"/>
    <w:rsid w:val="007C6B61"/>
    <w:rsid w:val="007C7FBC"/>
    <w:rsid w:val="007D17D3"/>
    <w:rsid w:val="007D1A50"/>
    <w:rsid w:val="007D31CC"/>
    <w:rsid w:val="007D3384"/>
    <w:rsid w:val="007D3DBD"/>
    <w:rsid w:val="007D6BC6"/>
    <w:rsid w:val="007E0CE7"/>
    <w:rsid w:val="007E0E75"/>
    <w:rsid w:val="007E25DC"/>
    <w:rsid w:val="007E4325"/>
    <w:rsid w:val="007E4B2D"/>
    <w:rsid w:val="007E5790"/>
    <w:rsid w:val="007E79B5"/>
    <w:rsid w:val="007F21F1"/>
    <w:rsid w:val="007F299C"/>
    <w:rsid w:val="007F29E5"/>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B06"/>
    <w:rsid w:val="00813FA3"/>
    <w:rsid w:val="00815BB8"/>
    <w:rsid w:val="008171A9"/>
    <w:rsid w:val="00820320"/>
    <w:rsid w:val="00821907"/>
    <w:rsid w:val="00827296"/>
    <w:rsid w:val="00827DB6"/>
    <w:rsid w:val="00830317"/>
    <w:rsid w:val="00831792"/>
    <w:rsid w:val="00831D46"/>
    <w:rsid w:val="008327AD"/>
    <w:rsid w:val="008337BA"/>
    <w:rsid w:val="008343E7"/>
    <w:rsid w:val="00837498"/>
    <w:rsid w:val="00840018"/>
    <w:rsid w:val="00840708"/>
    <w:rsid w:val="00841619"/>
    <w:rsid w:val="00842AB9"/>
    <w:rsid w:val="00843880"/>
    <w:rsid w:val="00843A8A"/>
    <w:rsid w:val="00846CC9"/>
    <w:rsid w:val="00847060"/>
    <w:rsid w:val="008474D8"/>
    <w:rsid w:val="00851094"/>
    <w:rsid w:val="00851CD5"/>
    <w:rsid w:val="0085216B"/>
    <w:rsid w:val="008521E3"/>
    <w:rsid w:val="00852993"/>
    <w:rsid w:val="00852B93"/>
    <w:rsid w:val="00852FFD"/>
    <w:rsid w:val="00853DC2"/>
    <w:rsid w:val="008544D1"/>
    <w:rsid w:val="0085451D"/>
    <w:rsid w:val="008553BA"/>
    <w:rsid w:val="00855412"/>
    <w:rsid w:val="008557A0"/>
    <w:rsid w:val="00863529"/>
    <w:rsid w:val="00865D04"/>
    <w:rsid w:val="00867883"/>
    <w:rsid w:val="008700C1"/>
    <w:rsid w:val="0087175C"/>
    <w:rsid w:val="008725C1"/>
    <w:rsid w:val="008727C6"/>
    <w:rsid w:val="00874CBF"/>
    <w:rsid w:val="00876788"/>
    <w:rsid w:val="00876CA0"/>
    <w:rsid w:val="00877A1D"/>
    <w:rsid w:val="00877FA2"/>
    <w:rsid w:val="00880965"/>
    <w:rsid w:val="00880A8E"/>
    <w:rsid w:val="00880E89"/>
    <w:rsid w:val="00881217"/>
    <w:rsid w:val="008823BC"/>
    <w:rsid w:val="00882546"/>
    <w:rsid w:val="00882841"/>
    <w:rsid w:val="0088333C"/>
    <w:rsid w:val="00883F9C"/>
    <w:rsid w:val="0088587C"/>
    <w:rsid w:val="00885BD4"/>
    <w:rsid w:val="00894DE5"/>
    <w:rsid w:val="00895514"/>
    <w:rsid w:val="00895579"/>
    <w:rsid w:val="00895946"/>
    <w:rsid w:val="00896148"/>
    <w:rsid w:val="008972B9"/>
    <w:rsid w:val="008A19C2"/>
    <w:rsid w:val="008A2AAD"/>
    <w:rsid w:val="008A3B55"/>
    <w:rsid w:val="008A3CCD"/>
    <w:rsid w:val="008A3DE4"/>
    <w:rsid w:val="008A5672"/>
    <w:rsid w:val="008A6840"/>
    <w:rsid w:val="008B21E9"/>
    <w:rsid w:val="008B3931"/>
    <w:rsid w:val="008B3B33"/>
    <w:rsid w:val="008B7D44"/>
    <w:rsid w:val="008C1377"/>
    <w:rsid w:val="008C1B55"/>
    <w:rsid w:val="008C2779"/>
    <w:rsid w:val="008C5DC8"/>
    <w:rsid w:val="008D1BFD"/>
    <w:rsid w:val="008D3153"/>
    <w:rsid w:val="008D37FC"/>
    <w:rsid w:val="008D4631"/>
    <w:rsid w:val="008D4A27"/>
    <w:rsid w:val="008D66DB"/>
    <w:rsid w:val="008D6CD5"/>
    <w:rsid w:val="008D7155"/>
    <w:rsid w:val="008D78F1"/>
    <w:rsid w:val="008E08F1"/>
    <w:rsid w:val="008E0BAF"/>
    <w:rsid w:val="008E2E05"/>
    <w:rsid w:val="008E4AFD"/>
    <w:rsid w:val="008E5673"/>
    <w:rsid w:val="008E5DEA"/>
    <w:rsid w:val="008E7880"/>
    <w:rsid w:val="008F0BD8"/>
    <w:rsid w:val="008F1A73"/>
    <w:rsid w:val="008F2097"/>
    <w:rsid w:val="008F5B3E"/>
    <w:rsid w:val="008F60D1"/>
    <w:rsid w:val="008F6F3B"/>
    <w:rsid w:val="008F7BAF"/>
    <w:rsid w:val="0090017A"/>
    <w:rsid w:val="0090143B"/>
    <w:rsid w:val="009040C8"/>
    <w:rsid w:val="0090420F"/>
    <w:rsid w:val="00904B63"/>
    <w:rsid w:val="00905D07"/>
    <w:rsid w:val="00906826"/>
    <w:rsid w:val="0091056C"/>
    <w:rsid w:val="00910E12"/>
    <w:rsid w:val="009111B5"/>
    <w:rsid w:val="009111F2"/>
    <w:rsid w:val="00912517"/>
    <w:rsid w:val="009125FC"/>
    <w:rsid w:val="009151DE"/>
    <w:rsid w:val="00916A55"/>
    <w:rsid w:val="009175DC"/>
    <w:rsid w:val="00921AC6"/>
    <w:rsid w:val="009221B6"/>
    <w:rsid w:val="0092363E"/>
    <w:rsid w:val="00923C7F"/>
    <w:rsid w:val="009241BC"/>
    <w:rsid w:val="00925A78"/>
    <w:rsid w:val="00926230"/>
    <w:rsid w:val="00926D65"/>
    <w:rsid w:val="009308AC"/>
    <w:rsid w:val="00931ABC"/>
    <w:rsid w:val="00931F60"/>
    <w:rsid w:val="0093242E"/>
    <w:rsid w:val="00933B75"/>
    <w:rsid w:val="00934902"/>
    <w:rsid w:val="009354DC"/>
    <w:rsid w:val="00935939"/>
    <w:rsid w:val="0094069A"/>
    <w:rsid w:val="009406CD"/>
    <w:rsid w:val="009439CE"/>
    <w:rsid w:val="00944D45"/>
    <w:rsid w:val="00945374"/>
    <w:rsid w:val="0095152D"/>
    <w:rsid w:val="00954D8D"/>
    <w:rsid w:val="00956AE1"/>
    <w:rsid w:val="009572EC"/>
    <w:rsid w:val="009632E5"/>
    <w:rsid w:val="00964CEA"/>
    <w:rsid w:val="009677C0"/>
    <w:rsid w:val="00967E84"/>
    <w:rsid w:val="00970149"/>
    <w:rsid w:val="009704E2"/>
    <w:rsid w:val="00970CE1"/>
    <w:rsid w:val="00975A0E"/>
    <w:rsid w:val="00976456"/>
    <w:rsid w:val="00976B21"/>
    <w:rsid w:val="00980401"/>
    <w:rsid w:val="009804CC"/>
    <w:rsid w:val="00982769"/>
    <w:rsid w:val="009846C3"/>
    <w:rsid w:val="00986435"/>
    <w:rsid w:val="009876B9"/>
    <w:rsid w:val="00987923"/>
    <w:rsid w:val="009901D9"/>
    <w:rsid w:val="00992266"/>
    <w:rsid w:val="00992380"/>
    <w:rsid w:val="00996090"/>
    <w:rsid w:val="00997496"/>
    <w:rsid w:val="009A0F23"/>
    <w:rsid w:val="009A5B2F"/>
    <w:rsid w:val="009A6B06"/>
    <w:rsid w:val="009A6D70"/>
    <w:rsid w:val="009A6F5F"/>
    <w:rsid w:val="009A78C3"/>
    <w:rsid w:val="009B0450"/>
    <w:rsid w:val="009B086A"/>
    <w:rsid w:val="009B0CD9"/>
    <w:rsid w:val="009B12B7"/>
    <w:rsid w:val="009B1E31"/>
    <w:rsid w:val="009B2E1F"/>
    <w:rsid w:val="009B4768"/>
    <w:rsid w:val="009B5B95"/>
    <w:rsid w:val="009B760F"/>
    <w:rsid w:val="009C0A6E"/>
    <w:rsid w:val="009C0F41"/>
    <w:rsid w:val="009C1D28"/>
    <w:rsid w:val="009C2297"/>
    <w:rsid w:val="009C6278"/>
    <w:rsid w:val="009C647D"/>
    <w:rsid w:val="009C7EC5"/>
    <w:rsid w:val="009D0082"/>
    <w:rsid w:val="009D067F"/>
    <w:rsid w:val="009D0825"/>
    <w:rsid w:val="009D0A49"/>
    <w:rsid w:val="009D1EBA"/>
    <w:rsid w:val="009D2B96"/>
    <w:rsid w:val="009D47CC"/>
    <w:rsid w:val="009D525A"/>
    <w:rsid w:val="009D5C4B"/>
    <w:rsid w:val="009E398E"/>
    <w:rsid w:val="009E3EFD"/>
    <w:rsid w:val="009E6DA5"/>
    <w:rsid w:val="009E6EFE"/>
    <w:rsid w:val="009E7AC5"/>
    <w:rsid w:val="009E7E5D"/>
    <w:rsid w:val="009F3DD8"/>
    <w:rsid w:val="009F4056"/>
    <w:rsid w:val="009F79A3"/>
    <w:rsid w:val="00A019FE"/>
    <w:rsid w:val="00A0377F"/>
    <w:rsid w:val="00A04208"/>
    <w:rsid w:val="00A043F4"/>
    <w:rsid w:val="00A05675"/>
    <w:rsid w:val="00A075F5"/>
    <w:rsid w:val="00A11980"/>
    <w:rsid w:val="00A122DF"/>
    <w:rsid w:val="00A124FB"/>
    <w:rsid w:val="00A131AA"/>
    <w:rsid w:val="00A178BC"/>
    <w:rsid w:val="00A21BF9"/>
    <w:rsid w:val="00A25F24"/>
    <w:rsid w:val="00A26CFD"/>
    <w:rsid w:val="00A32523"/>
    <w:rsid w:val="00A328B0"/>
    <w:rsid w:val="00A345B9"/>
    <w:rsid w:val="00A3479A"/>
    <w:rsid w:val="00A34E95"/>
    <w:rsid w:val="00A40160"/>
    <w:rsid w:val="00A40F78"/>
    <w:rsid w:val="00A448B8"/>
    <w:rsid w:val="00A46ADB"/>
    <w:rsid w:val="00A471FA"/>
    <w:rsid w:val="00A472F6"/>
    <w:rsid w:val="00A51C6D"/>
    <w:rsid w:val="00A527F9"/>
    <w:rsid w:val="00A52D1C"/>
    <w:rsid w:val="00A53295"/>
    <w:rsid w:val="00A61184"/>
    <w:rsid w:val="00A62536"/>
    <w:rsid w:val="00A626AF"/>
    <w:rsid w:val="00A6396B"/>
    <w:rsid w:val="00A67E98"/>
    <w:rsid w:val="00A67F95"/>
    <w:rsid w:val="00A702BF"/>
    <w:rsid w:val="00A70496"/>
    <w:rsid w:val="00A735BD"/>
    <w:rsid w:val="00A738C5"/>
    <w:rsid w:val="00A7532B"/>
    <w:rsid w:val="00A76333"/>
    <w:rsid w:val="00A777F5"/>
    <w:rsid w:val="00A77BB1"/>
    <w:rsid w:val="00A821CE"/>
    <w:rsid w:val="00A826AE"/>
    <w:rsid w:val="00A838D2"/>
    <w:rsid w:val="00A83B80"/>
    <w:rsid w:val="00A8571E"/>
    <w:rsid w:val="00A870CD"/>
    <w:rsid w:val="00A87855"/>
    <w:rsid w:val="00A87A23"/>
    <w:rsid w:val="00A87C6C"/>
    <w:rsid w:val="00A9158C"/>
    <w:rsid w:val="00A9376A"/>
    <w:rsid w:val="00A93EE6"/>
    <w:rsid w:val="00AA0385"/>
    <w:rsid w:val="00AA0731"/>
    <w:rsid w:val="00AA09E4"/>
    <w:rsid w:val="00AA4D16"/>
    <w:rsid w:val="00AA542E"/>
    <w:rsid w:val="00AA6588"/>
    <w:rsid w:val="00AA75C6"/>
    <w:rsid w:val="00AA78D1"/>
    <w:rsid w:val="00AB00BC"/>
    <w:rsid w:val="00AB03D8"/>
    <w:rsid w:val="00AB0F01"/>
    <w:rsid w:val="00AB2507"/>
    <w:rsid w:val="00AB25C6"/>
    <w:rsid w:val="00AB2C60"/>
    <w:rsid w:val="00AB36D9"/>
    <w:rsid w:val="00AB4F00"/>
    <w:rsid w:val="00AB6D82"/>
    <w:rsid w:val="00AB6F2A"/>
    <w:rsid w:val="00AB7942"/>
    <w:rsid w:val="00AC2CDD"/>
    <w:rsid w:val="00AC2F6F"/>
    <w:rsid w:val="00AC314B"/>
    <w:rsid w:val="00AC5805"/>
    <w:rsid w:val="00AC6600"/>
    <w:rsid w:val="00AC7886"/>
    <w:rsid w:val="00AD148E"/>
    <w:rsid w:val="00AD2511"/>
    <w:rsid w:val="00AD4576"/>
    <w:rsid w:val="00AD602D"/>
    <w:rsid w:val="00AD6606"/>
    <w:rsid w:val="00AD6E54"/>
    <w:rsid w:val="00AD72ED"/>
    <w:rsid w:val="00AD7F09"/>
    <w:rsid w:val="00AE0E6A"/>
    <w:rsid w:val="00AE1610"/>
    <w:rsid w:val="00AE3CF2"/>
    <w:rsid w:val="00AE48B3"/>
    <w:rsid w:val="00AE502B"/>
    <w:rsid w:val="00AE6C20"/>
    <w:rsid w:val="00AE74B5"/>
    <w:rsid w:val="00AF182D"/>
    <w:rsid w:val="00AF26E9"/>
    <w:rsid w:val="00AF2E12"/>
    <w:rsid w:val="00AF6E17"/>
    <w:rsid w:val="00AF7D67"/>
    <w:rsid w:val="00B00D95"/>
    <w:rsid w:val="00B00DC0"/>
    <w:rsid w:val="00B01F7C"/>
    <w:rsid w:val="00B0412E"/>
    <w:rsid w:val="00B04CF8"/>
    <w:rsid w:val="00B05A66"/>
    <w:rsid w:val="00B063C5"/>
    <w:rsid w:val="00B066C8"/>
    <w:rsid w:val="00B15930"/>
    <w:rsid w:val="00B1685E"/>
    <w:rsid w:val="00B21F21"/>
    <w:rsid w:val="00B249A2"/>
    <w:rsid w:val="00B27C47"/>
    <w:rsid w:val="00B3460A"/>
    <w:rsid w:val="00B36E38"/>
    <w:rsid w:val="00B36FA1"/>
    <w:rsid w:val="00B4086F"/>
    <w:rsid w:val="00B40A7A"/>
    <w:rsid w:val="00B43FC5"/>
    <w:rsid w:val="00B47FC8"/>
    <w:rsid w:val="00B50008"/>
    <w:rsid w:val="00B50E36"/>
    <w:rsid w:val="00B516B5"/>
    <w:rsid w:val="00B546AA"/>
    <w:rsid w:val="00B54903"/>
    <w:rsid w:val="00B57704"/>
    <w:rsid w:val="00B60A40"/>
    <w:rsid w:val="00B61DF3"/>
    <w:rsid w:val="00B636CE"/>
    <w:rsid w:val="00B66090"/>
    <w:rsid w:val="00B664C7"/>
    <w:rsid w:val="00B66711"/>
    <w:rsid w:val="00B6694C"/>
    <w:rsid w:val="00B66C54"/>
    <w:rsid w:val="00B7021C"/>
    <w:rsid w:val="00B71004"/>
    <w:rsid w:val="00B713EF"/>
    <w:rsid w:val="00B722DF"/>
    <w:rsid w:val="00B75B14"/>
    <w:rsid w:val="00B7646F"/>
    <w:rsid w:val="00B779B9"/>
    <w:rsid w:val="00B8156A"/>
    <w:rsid w:val="00B82D0F"/>
    <w:rsid w:val="00B847C9"/>
    <w:rsid w:val="00B86136"/>
    <w:rsid w:val="00B86366"/>
    <w:rsid w:val="00B91009"/>
    <w:rsid w:val="00B921DF"/>
    <w:rsid w:val="00B937FF"/>
    <w:rsid w:val="00B959DB"/>
    <w:rsid w:val="00B9643C"/>
    <w:rsid w:val="00B96D7C"/>
    <w:rsid w:val="00BA194D"/>
    <w:rsid w:val="00BA2DB3"/>
    <w:rsid w:val="00BA47CA"/>
    <w:rsid w:val="00BA56FB"/>
    <w:rsid w:val="00BA5875"/>
    <w:rsid w:val="00BA620E"/>
    <w:rsid w:val="00BA66BB"/>
    <w:rsid w:val="00BA6BD0"/>
    <w:rsid w:val="00BA6CC3"/>
    <w:rsid w:val="00BA6CEF"/>
    <w:rsid w:val="00BA6D28"/>
    <w:rsid w:val="00BA7E87"/>
    <w:rsid w:val="00BB0BBB"/>
    <w:rsid w:val="00BB15B3"/>
    <w:rsid w:val="00BB1C88"/>
    <w:rsid w:val="00BB25EB"/>
    <w:rsid w:val="00BB3C96"/>
    <w:rsid w:val="00BC20CD"/>
    <w:rsid w:val="00BC290E"/>
    <w:rsid w:val="00BC5479"/>
    <w:rsid w:val="00BC549E"/>
    <w:rsid w:val="00BC58F2"/>
    <w:rsid w:val="00BC6B74"/>
    <w:rsid w:val="00BD055A"/>
    <w:rsid w:val="00BD3371"/>
    <w:rsid w:val="00BD459D"/>
    <w:rsid w:val="00BD56EA"/>
    <w:rsid w:val="00BD6489"/>
    <w:rsid w:val="00BD6BA6"/>
    <w:rsid w:val="00BD7CA4"/>
    <w:rsid w:val="00BE03A0"/>
    <w:rsid w:val="00BE089B"/>
    <w:rsid w:val="00BE1787"/>
    <w:rsid w:val="00BE1DEC"/>
    <w:rsid w:val="00BE2C82"/>
    <w:rsid w:val="00BE2D24"/>
    <w:rsid w:val="00BE4476"/>
    <w:rsid w:val="00BE5F98"/>
    <w:rsid w:val="00BE7217"/>
    <w:rsid w:val="00BF017A"/>
    <w:rsid w:val="00BF0E68"/>
    <w:rsid w:val="00BF7A67"/>
    <w:rsid w:val="00C03ADA"/>
    <w:rsid w:val="00C06A2E"/>
    <w:rsid w:val="00C07301"/>
    <w:rsid w:val="00C128DC"/>
    <w:rsid w:val="00C13133"/>
    <w:rsid w:val="00C14506"/>
    <w:rsid w:val="00C14B8B"/>
    <w:rsid w:val="00C15C5B"/>
    <w:rsid w:val="00C15D5D"/>
    <w:rsid w:val="00C172FA"/>
    <w:rsid w:val="00C17B04"/>
    <w:rsid w:val="00C310E9"/>
    <w:rsid w:val="00C31271"/>
    <w:rsid w:val="00C31758"/>
    <w:rsid w:val="00C320C2"/>
    <w:rsid w:val="00C32384"/>
    <w:rsid w:val="00C34854"/>
    <w:rsid w:val="00C348B2"/>
    <w:rsid w:val="00C3649B"/>
    <w:rsid w:val="00C41301"/>
    <w:rsid w:val="00C416F7"/>
    <w:rsid w:val="00C4182D"/>
    <w:rsid w:val="00C439D4"/>
    <w:rsid w:val="00C43E2B"/>
    <w:rsid w:val="00C442F8"/>
    <w:rsid w:val="00C47A77"/>
    <w:rsid w:val="00C47A8B"/>
    <w:rsid w:val="00C50DFD"/>
    <w:rsid w:val="00C5118C"/>
    <w:rsid w:val="00C520DE"/>
    <w:rsid w:val="00C5343B"/>
    <w:rsid w:val="00C53688"/>
    <w:rsid w:val="00C53D8E"/>
    <w:rsid w:val="00C54F1F"/>
    <w:rsid w:val="00C57A12"/>
    <w:rsid w:val="00C623F5"/>
    <w:rsid w:val="00C666E7"/>
    <w:rsid w:val="00C70199"/>
    <w:rsid w:val="00C71975"/>
    <w:rsid w:val="00C7213D"/>
    <w:rsid w:val="00C72C35"/>
    <w:rsid w:val="00C73A89"/>
    <w:rsid w:val="00C7476C"/>
    <w:rsid w:val="00C748C7"/>
    <w:rsid w:val="00C81483"/>
    <w:rsid w:val="00C84428"/>
    <w:rsid w:val="00C8586F"/>
    <w:rsid w:val="00C86505"/>
    <w:rsid w:val="00C865E7"/>
    <w:rsid w:val="00C86F57"/>
    <w:rsid w:val="00C901EF"/>
    <w:rsid w:val="00C912A3"/>
    <w:rsid w:val="00C91A37"/>
    <w:rsid w:val="00C9386D"/>
    <w:rsid w:val="00C95965"/>
    <w:rsid w:val="00C976B0"/>
    <w:rsid w:val="00CA0F1B"/>
    <w:rsid w:val="00CA18B5"/>
    <w:rsid w:val="00CA43EE"/>
    <w:rsid w:val="00CA485A"/>
    <w:rsid w:val="00CA5F04"/>
    <w:rsid w:val="00CB030D"/>
    <w:rsid w:val="00CB0C74"/>
    <w:rsid w:val="00CB3A8C"/>
    <w:rsid w:val="00CB5B30"/>
    <w:rsid w:val="00CB69D6"/>
    <w:rsid w:val="00CC00B7"/>
    <w:rsid w:val="00CC027D"/>
    <w:rsid w:val="00CC065A"/>
    <w:rsid w:val="00CC1289"/>
    <w:rsid w:val="00CC1786"/>
    <w:rsid w:val="00CC2A52"/>
    <w:rsid w:val="00CC30C9"/>
    <w:rsid w:val="00CC386F"/>
    <w:rsid w:val="00CC456D"/>
    <w:rsid w:val="00CC4EF9"/>
    <w:rsid w:val="00CC5F52"/>
    <w:rsid w:val="00CC6546"/>
    <w:rsid w:val="00CC797F"/>
    <w:rsid w:val="00CD176C"/>
    <w:rsid w:val="00CD2E55"/>
    <w:rsid w:val="00CD49F0"/>
    <w:rsid w:val="00CD53D0"/>
    <w:rsid w:val="00CD6AC5"/>
    <w:rsid w:val="00CD74B4"/>
    <w:rsid w:val="00CD77A4"/>
    <w:rsid w:val="00CE0451"/>
    <w:rsid w:val="00CE0CFF"/>
    <w:rsid w:val="00CE4438"/>
    <w:rsid w:val="00CE6A57"/>
    <w:rsid w:val="00CE7A92"/>
    <w:rsid w:val="00CF0F14"/>
    <w:rsid w:val="00CF1C35"/>
    <w:rsid w:val="00CF3F61"/>
    <w:rsid w:val="00CF45D1"/>
    <w:rsid w:val="00CF4F4B"/>
    <w:rsid w:val="00CF5300"/>
    <w:rsid w:val="00CF5D2A"/>
    <w:rsid w:val="00D0117C"/>
    <w:rsid w:val="00D038EA"/>
    <w:rsid w:val="00D03F33"/>
    <w:rsid w:val="00D05E7E"/>
    <w:rsid w:val="00D1094B"/>
    <w:rsid w:val="00D11AF1"/>
    <w:rsid w:val="00D15E81"/>
    <w:rsid w:val="00D15F51"/>
    <w:rsid w:val="00D169FF"/>
    <w:rsid w:val="00D172E1"/>
    <w:rsid w:val="00D177E1"/>
    <w:rsid w:val="00D206BB"/>
    <w:rsid w:val="00D20A6C"/>
    <w:rsid w:val="00D22108"/>
    <w:rsid w:val="00D2646E"/>
    <w:rsid w:val="00D27307"/>
    <w:rsid w:val="00D304A9"/>
    <w:rsid w:val="00D34806"/>
    <w:rsid w:val="00D34EA7"/>
    <w:rsid w:val="00D35C82"/>
    <w:rsid w:val="00D37004"/>
    <w:rsid w:val="00D37683"/>
    <w:rsid w:val="00D40E37"/>
    <w:rsid w:val="00D40EF1"/>
    <w:rsid w:val="00D45D67"/>
    <w:rsid w:val="00D46DAE"/>
    <w:rsid w:val="00D47211"/>
    <w:rsid w:val="00D510E8"/>
    <w:rsid w:val="00D51404"/>
    <w:rsid w:val="00D51804"/>
    <w:rsid w:val="00D51FC5"/>
    <w:rsid w:val="00D522A4"/>
    <w:rsid w:val="00D52887"/>
    <w:rsid w:val="00D531DA"/>
    <w:rsid w:val="00D54ECC"/>
    <w:rsid w:val="00D550A1"/>
    <w:rsid w:val="00D55988"/>
    <w:rsid w:val="00D55B9B"/>
    <w:rsid w:val="00D56C4C"/>
    <w:rsid w:val="00D5729F"/>
    <w:rsid w:val="00D61AAC"/>
    <w:rsid w:val="00D62296"/>
    <w:rsid w:val="00D63163"/>
    <w:rsid w:val="00D636F1"/>
    <w:rsid w:val="00D63BA6"/>
    <w:rsid w:val="00D7097B"/>
    <w:rsid w:val="00D71EA8"/>
    <w:rsid w:val="00D72648"/>
    <w:rsid w:val="00D72820"/>
    <w:rsid w:val="00D73298"/>
    <w:rsid w:val="00D73B85"/>
    <w:rsid w:val="00D745C1"/>
    <w:rsid w:val="00D75023"/>
    <w:rsid w:val="00D76A33"/>
    <w:rsid w:val="00D77446"/>
    <w:rsid w:val="00D81A57"/>
    <w:rsid w:val="00D82BA0"/>
    <w:rsid w:val="00D84227"/>
    <w:rsid w:val="00D84E06"/>
    <w:rsid w:val="00D851A6"/>
    <w:rsid w:val="00D8552A"/>
    <w:rsid w:val="00D87295"/>
    <w:rsid w:val="00D90A6B"/>
    <w:rsid w:val="00D9164F"/>
    <w:rsid w:val="00D917D9"/>
    <w:rsid w:val="00D92073"/>
    <w:rsid w:val="00D920BE"/>
    <w:rsid w:val="00D922D9"/>
    <w:rsid w:val="00D927EE"/>
    <w:rsid w:val="00D92D58"/>
    <w:rsid w:val="00D94491"/>
    <w:rsid w:val="00D96573"/>
    <w:rsid w:val="00D96ED3"/>
    <w:rsid w:val="00DA1093"/>
    <w:rsid w:val="00DA1B5A"/>
    <w:rsid w:val="00DA1D41"/>
    <w:rsid w:val="00DA2728"/>
    <w:rsid w:val="00DA4BF8"/>
    <w:rsid w:val="00DA60CB"/>
    <w:rsid w:val="00DB10B4"/>
    <w:rsid w:val="00DB2E14"/>
    <w:rsid w:val="00DB3894"/>
    <w:rsid w:val="00DB4436"/>
    <w:rsid w:val="00DC0E41"/>
    <w:rsid w:val="00DC12D4"/>
    <w:rsid w:val="00DC3A20"/>
    <w:rsid w:val="00DC44A1"/>
    <w:rsid w:val="00DC4A1A"/>
    <w:rsid w:val="00DC4CCD"/>
    <w:rsid w:val="00DD0E31"/>
    <w:rsid w:val="00DD1125"/>
    <w:rsid w:val="00DD27DB"/>
    <w:rsid w:val="00DD36FF"/>
    <w:rsid w:val="00DD42CA"/>
    <w:rsid w:val="00DD4D45"/>
    <w:rsid w:val="00DD7416"/>
    <w:rsid w:val="00DD7B33"/>
    <w:rsid w:val="00DE0214"/>
    <w:rsid w:val="00DE039F"/>
    <w:rsid w:val="00DE3B20"/>
    <w:rsid w:val="00DE611E"/>
    <w:rsid w:val="00DF0145"/>
    <w:rsid w:val="00DF1B38"/>
    <w:rsid w:val="00DF2618"/>
    <w:rsid w:val="00DF3DF4"/>
    <w:rsid w:val="00DF4F52"/>
    <w:rsid w:val="00DF5BD2"/>
    <w:rsid w:val="00DF6716"/>
    <w:rsid w:val="00DF7BBB"/>
    <w:rsid w:val="00DF7DAC"/>
    <w:rsid w:val="00E00171"/>
    <w:rsid w:val="00E03572"/>
    <w:rsid w:val="00E0614B"/>
    <w:rsid w:val="00E07DFE"/>
    <w:rsid w:val="00E110E9"/>
    <w:rsid w:val="00E12B50"/>
    <w:rsid w:val="00E15186"/>
    <w:rsid w:val="00E2469A"/>
    <w:rsid w:val="00E26172"/>
    <w:rsid w:val="00E27F1D"/>
    <w:rsid w:val="00E30B4C"/>
    <w:rsid w:val="00E33834"/>
    <w:rsid w:val="00E34DE4"/>
    <w:rsid w:val="00E35756"/>
    <w:rsid w:val="00E357F9"/>
    <w:rsid w:val="00E3648A"/>
    <w:rsid w:val="00E3757E"/>
    <w:rsid w:val="00E41768"/>
    <w:rsid w:val="00E43C62"/>
    <w:rsid w:val="00E45433"/>
    <w:rsid w:val="00E46AA2"/>
    <w:rsid w:val="00E47144"/>
    <w:rsid w:val="00E47149"/>
    <w:rsid w:val="00E50DBF"/>
    <w:rsid w:val="00E5153C"/>
    <w:rsid w:val="00E517AC"/>
    <w:rsid w:val="00E60F77"/>
    <w:rsid w:val="00E6213F"/>
    <w:rsid w:val="00E630B8"/>
    <w:rsid w:val="00E6343A"/>
    <w:rsid w:val="00E66FE4"/>
    <w:rsid w:val="00E71BF8"/>
    <w:rsid w:val="00E74E9B"/>
    <w:rsid w:val="00E7687D"/>
    <w:rsid w:val="00E769DD"/>
    <w:rsid w:val="00E805B0"/>
    <w:rsid w:val="00E80AB1"/>
    <w:rsid w:val="00E821B6"/>
    <w:rsid w:val="00E82C8B"/>
    <w:rsid w:val="00E85EC3"/>
    <w:rsid w:val="00E8609B"/>
    <w:rsid w:val="00E86660"/>
    <w:rsid w:val="00E87403"/>
    <w:rsid w:val="00E94BFC"/>
    <w:rsid w:val="00E94D8F"/>
    <w:rsid w:val="00E9522E"/>
    <w:rsid w:val="00E95661"/>
    <w:rsid w:val="00E95C0A"/>
    <w:rsid w:val="00E979AC"/>
    <w:rsid w:val="00E97D2A"/>
    <w:rsid w:val="00EB0830"/>
    <w:rsid w:val="00EB2078"/>
    <w:rsid w:val="00EB2BAC"/>
    <w:rsid w:val="00EB3FB3"/>
    <w:rsid w:val="00EB5106"/>
    <w:rsid w:val="00EB5291"/>
    <w:rsid w:val="00EB5387"/>
    <w:rsid w:val="00EC07F3"/>
    <w:rsid w:val="00EC0D33"/>
    <w:rsid w:val="00EC15EB"/>
    <w:rsid w:val="00EC182F"/>
    <w:rsid w:val="00EC1DF0"/>
    <w:rsid w:val="00EC2C5C"/>
    <w:rsid w:val="00EC31C4"/>
    <w:rsid w:val="00EC3C9C"/>
    <w:rsid w:val="00EC5352"/>
    <w:rsid w:val="00ED0227"/>
    <w:rsid w:val="00ED0DC6"/>
    <w:rsid w:val="00ED13DD"/>
    <w:rsid w:val="00ED1878"/>
    <w:rsid w:val="00ED28C8"/>
    <w:rsid w:val="00ED360E"/>
    <w:rsid w:val="00ED3B34"/>
    <w:rsid w:val="00ED471C"/>
    <w:rsid w:val="00ED49AE"/>
    <w:rsid w:val="00ED7048"/>
    <w:rsid w:val="00EE0C4C"/>
    <w:rsid w:val="00EE4EF2"/>
    <w:rsid w:val="00EF0D35"/>
    <w:rsid w:val="00EF170D"/>
    <w:rsid w:val="00EF17A8"/>
    <w:rsid w:val="00EF2746"/>
    <w:rsid w:val="00EF2E99"/>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207D"/>
    <w:rsid w:val="00F130AB"/>
    <w:rsid w:val="00F1350E"/>
    <w:rsid w:val="00F139FA"/>
    <w:rsid w:val="00F1433C"/>
    <w:rsid w:val="00F15CE8"/>
    <w:rsid w:val="00F15D6A"/>
    <w:rsid w:val="00F16B0B"/>
    <w:rsid w:val="00F16C44"/>
    <w:rsid w:val="00F17665"/>
    <w:rsid w:val="00F22376"/>
    <w:rsid w:val="00F31650"/>
    <w:rsid w:val="00F31C3D"/>
    <w:rsid w:val="00F33515"/>
    <w:rsid w:val="00F34064"/>
    <w:rsid w:val="00F36192"/>
    <w:rsid w:val="00F36CD2"/>
    <w:rsid w:val="00F37060"/>
    <w:rsid w:val="00F3707E"/>
    <w:rsid w:val="00F3741B"/>
    <w:rsid w:val="00F3749F"/>
    <w:rsid w:val="00F37A9E"/>
    <w:rsid w:val="00F37CFE"/>
    <w:rsid w:val="00F37D85"/>
    <w:rsid w:val="00F404C0"/>
    <w:rsid w:val="00F41025"/>
    <w:rsid w:val="00F41417"/>
    <w:rsid w:val="00F41522"/>
    <w:rsid w:val="00F437C1"/>
    <w:rsid w:val="00F443F0"/>
    <w:rsid w:val="00F4464F"/>
    <w:rsid w:val="00F4473C"/>
    <w:rsid w:val="00F452E2"/>
    <w:rsid w:val="00F45E38"/>
    <w:rsid w:val="00F479E8"/>
    <w:rsid w:val="00F52E21"/>
    <w:rsid w:val="00F53B2E"/>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7028"/>
    <w:rsid w:val="00F805D6"/>
    <w:rsid w:val="00F83594"/>
    <w:rsid w:val="00F84ECE"/>
    <w:rsid w:val="00F85551"/>
    <w:rsid w:val="00F86530"/>
    <w:rsid w:val="00F86E85"/>
    <w:rsid w:val="00F87CEC"/>
    <w:rsid w:val="00F87EE0"/>
    <w:rsid w:val="00F91B28"/>
    <w:rsid w:val="00F92405"/>
    <w:rsid w:val="00F92DED"/>
    <w:rsid w:val="00F93C84"/>
    <w:rsid w:val="00F94E25"/>
    <w:rsid w:val="00F95037"/>
    <w:rsid w:val="00F95ABC"/>
    <w:rsid w:val="00F97BDE"/>
    <w:rsid w:val="00FA40E0"/>
    <w:rsid w:val="00FA53F4"/>
    <w:rsid w:val="00FB4601"/>
    <w:rsid w:val="00FB53EE"/>
    <w:rsid w:val="00FB6641"/>
    <w:rsid w:val="00FC0600"/>
    <w:rsid w:val="00FC0AD1"/>
    <w:rsid w:val="00FC2019"/>
    <w:rsid w:val="00FC34BA"/>
    <w:rsid w:val="00FC3F0F"/>
    <w:rsid w:val="00FC427F"/>
    <w:rsid w:val="00FC7134"/>
    <w:rsid w:val="00FC7452"/>
    <w:rsid w:val="00FC7FDA"/>
    <w:rsid w:val="00FD2004"/>
    <w:rsid w:val="00FD2B98"/>
    <w:rsid w:val="00FD30E6"/>
    <w:rsid w:val="00FD4450"/>
    <w:rsid w:val="00FD45B8"/>
    <w:rsid w:val="00FE1266"/>
    <w:rsid w:val="00FE2EAC"/>
    <w:rsid w:val="00FE3248"/>
    <w:rsid w:val="00FE3862"/>
    <w:rsid w:val="00FE494B"/>
    <w:rsid w:val="00FF2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9AE3D"/>
  <w15:docId w15:val="{5D09DD34-0B1B-431D-9EDF-B5A5739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D76A33"/>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Kowalski@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Worle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5D08-B4B7-4B98-BFD5-C0C1A90D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4461</Words>
  <Characters>27021</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Attachment 1. Decatur, AL, Exposure Investigation:  Supporting Statement A</vt:lpstr>
    </vt:vector>
  </TitlesOfParts>
  <Company>Centers for Disease Control and Prevention</Company>
  <LinksUpToDate>false</LinksUpToDate>
  <CharactersWithSpaces>31420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Decatur, AL, Exposure Investigation:  Supporting Statement A</dc:title>
  <dc:creator>CDC User</dc:creator>
  <cp:lastModifiedBy>Zirger, Jeffrey (CDC/OD/OADS)</cp:lastModifiedBy>
  <cp:revision>3</cp:revision>
  <cp:lastPrinted>2015-07-30T18:40:00Z</cp:lastPrinted>
  <dcterms:created xsi:type="dcterms:W3CDTF">2015-08-06T15:38:00Z</dcterms:created>
  <dcterms:modified xsi:type="dcterms:W3CDTF">2015-08-06T15:40:00Z</dcterms:modified>
</cp:coreProperties>
</file>