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45" w:rsidRPr="000A5D45" w:rsidRDefault="000A5D45" w:rsidP="000A5D45">
      <w:pPr>
        <w:keepNext/>
        <w:keepLines/>
        <w:spacing w:before="20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0" w:name="_Toc389221934"/>
      <w:bookmarkStart w:id="1" w:name="_Toc395174401"/>
      <w:r w:rsidRPr="000A5D45">
        <w:rPr>
          <w:rFonts w:ascii="Times New Roman" w:eastAsiaTheme="majorEastAsia" w:hAnsi="Times New Roman" w:cs="Times New Roman"/>
          <w:b/>
          <w:bCs/>
          <w:sz w:val="24"/>
          <w:szCs w:val="24"/>
        </w:rPr>
        <w:t>Attachment 6</w:t>
      </w:r>
      <w:r w:rsidR="007413A5">
        <w:rPr>
          <w:rFonts w:ascii="Times New Roman" w:eastAsiaTheme="majorEastAsia" w:hAnsi="Times New Roman" w:cs="Times New Roman"/>
          <w:b/>
          <w:bCs/>
          <w:sz w:val="24"/>
          <w:szCs w:val="24"/>
        </w:rPr>
        <w:t>B</w:t>
      </w:r>
      <w:r w:rsidRPr="000A5D4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: Sample Results Letter to the Parent of a Participant </w:t>
      </w:r>
      <w:r w:rsidR="00E5066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aged </w:t>
      </w:r>
      <w:r w:rsidRPr="000A5D45">
        <w:rPr>
          <w:rFonts w:ascii="Times New Roman" w:eastAsiaTheme="majorEastAsia" w:hAnsi="Times New Roman" w:cs="Times New Roman"/>
          <w:b/>
          <w:bCs/>
          <w:sz w:val="24"/>
          <w:szCs w:val="24"/>
        </w:rPr>
        <w:t>6 to &lt;18 Years</w:t>
      </w:r>
      <w:bookmarkStart w:id="2" w:name="_GoBack"/>
      <w:bookmarkEnd w:id="0"/>
      <w:bookmarkEnd w:id="1"/>
      <w:bookmarkEnd w:id="2"/>
    </w:p>
    <w:p w:rsidR="000A5D45" w:rsidRPr="000A5D45" w:rsidRDefault="000A5D45" w:rsidP="000A5D45">
      <w:pPr>
        <w:spacing w:after="0"/>
        <w:contextualSpacing/>
        <w:rPr>
          <w:rFonts w:ascii="Times New Roman" w:hAnsi="Times New Roman" w:cs="Times New Roman"/>
        </w:rPr>
      </w:pPr>
      <w:r w:rsidRPr="000A5D45">
        <w:rPr>
          <w:rFonts w:ascii="Times New Roman" w:hAnsi="Times New Roman" w:cs="Times New Roman"/>
        </w:rPr>
        <w:t xml:space="preserve">Flesch-Kincaid Reading level – 8.6 </w:t>
      </w: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b/>
          <w:sz w:val="24"/>
          <w:szCs w:val="24"/>
        </w:rPr>
        <w:t xml:space="preserve"> (ATSDR Letterhead)</w:t>
      </w: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 xml:space="preserve">DATE ________________ </w:t>
      </w: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>Name XXXXX</w:t>
      </w: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>Address XXXX</w:t>
      </w: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>Dear ____________</w:t>
      </w: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 xml:space="preserve">Thank you for allowing your child, _______________, to take part in the Agency for Toxic Substances and Disease Registry’s (ATSDR) Exposure Investigation (EI) in Hayden and </w:t>
      </w:r>
      <w:proofErr w:type="spellStart"/>
      <w:r w:rsidRPr="000A5D45">
        <w:rPr>
          <w:rFonts w:ascii="Times New Roman" w:eastAsia="Times New Roman" w:hAnsi="Times New Roman" w:cs="Times New Roman"/>
          <w:sz w:val="24"/>
          <w:szCs w:val="24"/>
        </w:rPr>
        <w:t>Winkelman</w:t>
      </w:r>
      <w:proofErr w:type="spellEnd"/>
      <w:r w:rsidRPr="000A5D45">
        <w:rPr>
          <w:rFonts w:ascii="Times New Roman" w:eastAsia="Times New Roman" w:hAnsi="Times New Roman" w:cs="Times New Roman"/>
          <w:sz w:val="24"/>
          <w:szCs w:val="24"/>
        </w:rPr>
        <w:t xml:space="preserve">, AZ. The goal of the EI is to determine whether people living in Hayden and </w:t>
      </w:r>
      <w:proofErr w:type="spellStart"/>
      <w:r w:rsidRPr="000A5D45">
        <w:rPr>
          <w:rFonts w:ascii="Times New Roman" w:eastAsia="Times New Roman" w:hAnsi="Times New Roman" w:cs="Times New Roman"/>
          <w:sz w:val="24"/>
          <w:szCs w:val="24"/>
        </w:rPr>
        <w:t>Winkelman</w:t>
      </w:r>
      <w:proofErr w:type="spellEnd"/>
      <w:r w:rsidRPr="000A5D45">
        <w:rPr>
          <w:rFonts w:ascii="Times New Roman" w:eastAsia="Times New Roman" w:hAnsi="Times New Roman" w:cs="Times New Roman"/>
          <w:sz w:val="24"/>
          <w:szCs w:val="24"/>
        </w:rPr>
        <w:t xml:space="preserve">, AZ, </w:t>
      </w:r>
      <w:proofErr w:type="gramStart"/>
      <w:r w:rsidRPr="000A5D45">
        <w:rPr>
          <w:rFonts w:ascii="Times New Roman" w:eastAsia="Times New Roman" w:hAnsi="Times New Roman" w:cs="Times New Roman"/>
          <w:sz w:val="24"/>
          <w:szCs w:val="24"/>
        </w:rPr>
        <w:t>are being exposed</w:t>
      </w:r>
      <w:proofErr w:type="gramEnd"/>
      <w:r w:rsidRPr="000A5D45">
        <w:rPr>
          <w:rFonts w:ascii="Times New Roman" w:eastAsia="Times New Roman" w:hAnsi="Times New Roman" w:cs="Times New Roman"/>
          <w:sz w:val="24"/>
          <w:szCs w:val="24"/>
        </w:rPr>
        <w:t xml:space="preserve"> to lead and arsenic. </w:t>
      </w: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 xml:space="preserve">ATSDR collected a blood and urine sample from your child on [Month Day, Year]. This letter contains the results of your child’s blood lead and urine arsenic tests. </w:t>
      </w: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 xml:space="preserve">Your child's test results </w:t>
      </w:r>
      <w:proofErr w:type="gramStart"/>
      <w:r w:rsidRPr="000A5D45">
        <w:rPr>
          <w:rFonts w:ascii="Times New Roman" w:eastAsia="Times New Roman" w:hAnsi="Times New Roman" w:cs="Times New Roman"/>
          <w:sz w:val="24"/>
          <w:szCs w:val="24"/>
        </w:rPr>
        <w:t>are shown</w:t>
      </w:r>
      <w:proofErr w:type="gramEnd"/>
      <w:r w:rsidRPr="000A5D45">
        <w:rPr>
          <w:rFonts w:ascii="Times New Roman" w:eastAsia="Times New Roman" w:hAnsi="Times New Roman" w:cs="Times New Roman"/>
          <w:sz w:val="24"/>
          <w:szCs w:val="24"/>
        </w:rPr>
        <w:t xml:space="preserve"> below. </w:t>
      </w: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738" w:type="dxa"/>
        <w:jc w:val="center"/>
        <w:tblLook w:val="04A0" w:firstRow="1" w:lastRow="0" w:firstColumn="1" w:lastColumn="0" w:noHBand="0" w:noVBand="1"/>
      </w:tblPr>
      <w:tblGrid>
        <w:gridCol w:w="3246"/>
        <w:gridCol w:w="3246"/>
        <w:gridCol w:w="3246"/>
      </w:tblGrid>
      <w:tr w:rsidR="000A5D45" w:rsidRPr="000A5D45" w:rsidTr="0039457B">
        <w:trPr>
          <w:jc w:val="center"/>
        </w:trPr>
        <w:tc>
          <w:tcPr>
            <w:tcW w:w="9738" w:type="dxa"/>
            <w:gridSpan w:val="3"/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Blood Lead and Total Urine Arsenic Test Results for </w:t>
            </w:r>
            <w:proofErr w:type="spellStart"/>
            <w:r w:rsidRPr="000A5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Firstname</w:t>
            </w:r>
            <w:proofErr w:type="spellEnd"/>
            <w:r w:rsidRPr="000A5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5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Lastname</w:t>
            </w:r>
            <w:proofErr w:type="spellEnd"/>
          </w:p>
        </w:tc>
      </w:tr>
      <w:tr w:rsidR="000A5D45" w:rsidRPr="000A5D45" w:rsidTr="0039457B">
        <w:trPr>
          <w:jc w:val="center"/>
        </w:trPr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 Result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Investigation Exposure Level                                                               </w:t>
            </w:r>
          </w:p>
        </w:tc>
      </w:tr>
      <w:tr w:rsidR="000A5D45" w:rsidRPr="000A5D45" w:rsidTr="0039457B">
        <w:trPr>
          <w:trHeight w:val="224"/>
          <w:jc w:val="center"/>
        </w:trPr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>Blood Lead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XXX </w:t>
            </w:r>
            <w:r w:rsidRPr="000A5D45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>g/</w:t>
            </w:r>
            <w:proofErr w:type="spellStart"/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0A5D45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>g/dL</w:t>
            </w: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A5D45" w:rsidRPr="000A5D45" w:rsidTr="0039457B">
        <w:trPr>
          <w:trHeight w:val="46"/>
          <w:jc w:val="center"/>
        </w:trPr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>Total Urine Arsenic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XXX </w:t>
            </w:r>
            <w:r w:rsidRPr="000A5D45">
              <w:rPr>
                <w:rFonts w:ascii="Times New Roman" w:hAnsi="Times New Roman" w:cs="Times New Roman"/>
                <w:sz w:val="24"/>
                <w:szCs w:val="24"/>
              </w:rPr>
              <w:t>µg/g of creatinine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28.4 </w:t>
            </w:r>
            <w:r w:rsidRPr="000A5D45">
              <w:rPr>
                <w:rFonts w:ascii="Times New Roman" w:hAnsi="Times New Roman" w:cs="Times New Roman"/>
                <w:sz w:val="24"/>
                <w:szCs w:val="24"/>
              </w:rPr>
              <w:t>µg/g of creatinine</w:t>
            </w:r>
            <w:r w:rsidRPr="000A5D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A5D45" w:rsidRPr="000A5D45" w:rsidTr="0039457B">
        <w:trPr>
          <w:trHeight w:val="46"/>
          <w:jc w:val="center"/>
        </w:trPr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>Inorganic Urine Arsenic*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XXX </w:t>
            </w:r>
            <w:r w:rsidRPr="000A5D45">
              <w:rPr>
                <w:rFonts w:ascii="Times New Roman" w:hAnsi="Times New Roman" w:cs="Times New Roman"/>
                <w:sz w:val="24"/>
                <w:szCs w:val="24"/>
              </w:rPr>
              <w:t>µg/g of creatinine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>See below</w:t>
            </w:r>
            <w:r w:rsidRPr="000A5D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0A5D45" w:rsidRPr="000A5D45" w:rsidTr="0039457B">
        <w:trPr>
          <w:trHeight w:val="179"/>
          <w:jc w:val="center"/>
        </w:trPr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>Organic Urine Arsenic*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XXX </w:t>
            </w:r>
            <w:r w:rsidRPr="000A5D45">
              <w:rPr>
                <w:rFonts w:ascii="Times New Roman" w:hAnsi="Times New Roman" w:cs="Times New Roman"/>
                <w:sz w:val="24"/>
                <w:szCs w:val="24"/>
              </w:rPr>
              <w:t>µg/g of creatinine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sz w:val="24"/>
                <w:szCs w:val="24"/>
              </w:rPr>
              <w:t>See below</w:t>
            </w:r>
            <w:r w:rsidRPr="000A5D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A5D45" w:rsidRPr="000A5D45" w:rsidTr="0039457B">
        <w:trPr>
          <w:jc w:val="center"/>
        </w:trPr>
        <w:tc>
          <w:tcPr>
            <w:tcW w:w="9738" w:type="dxa"/>
            <w:gridSpan w:val="3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 investigation exposure level for blood lead is </w:t>
            </w:r>
            <w:proofErr w:type="gramStart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>5 µg/</w:t>
            </w:r>
            <w:proofErr w:type="spellStart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>dL</w:t>
            </w:r>
            <w:proofErr w:type="spellEnd"/>
            <w:proofErr w:type="gramEnd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This value is </w:t>
            </w:r>
            <w:r w:rsidRPr="000A5D45">
              <w:rPr>
                <w:rFonts w:ascii="Times New Roman" w:hAnsi="Times New Roman" w:cs="Times New Roman"/>
                <w:sz w:val="18"/>
                <w:szCs w:val="18"/>
              </w:rPr>
              <w:t>the upper reference interval value of the 97.5</w:t>
            </w:r>
            <w:r w:rsidRPr="000A5D4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0A5D45">
              <w:rPr>
                <w:rFonts w:ascii="Times New Roman" w:hAnsi="Times New Roman" w:cs="Times New Roman"/>
                <w:sz w:val="18"/>
                <w:szCs w:val="18"/>
              </w:rPr>
              <w:t xml:space="preserve"> percentile of the distribution of the combined 2007-2008 and 2009-2010 cycles of </w:t>
            </w: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>the Centers for Diseases Control and Prevention (</w:t>
            </w:r>
            <w:r w:rsidRPr="000A5D45">
              <w:rPr>
                <w:rFonts w:ascii="Times New Roman" w:hAnsi="Times New Roman" w:cs="Times New Roman"/>
                <w:sz w:val="18"/>
                <w:szCs w:val="18"/>
              </w:rPr>
              <w:t xml:space="preserve">CDC) </w:t>
            </w: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Health and Nutrition Examination Survey (</w:t>
            </w:r>
            <w:r w:rsidRPr="000A5D45">
              <w:rPr>
                <w:rFonts w:ascii="Times New Roman" w:hAnsi="Times New Roman" w:cs="Times New Roman"/>
                <w:sz w:val="18"/>
                <w:szCs w:val="18"/>
              </w:rPr>
              <w:t xml:space="preserve">CDC 2013- </w:t>
            </w:r>
            <w:hyperlink r:id="rId5" w:history="1">
              <w:r w:rsidRPr="000A5D45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http://www.cdc.gov/mmwr/preview/mmwrhtml/mm6213a3.htm</w:t>
              </w:r>
            </w:hyperlink>
            <w:r w:rsidRPr="000A5D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A5D4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 total </w:t>
            </w:r>
            <w:proofErr w:type="gramStart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>urine arsenic exposure level</w:t>
            </w:r>
            <w:proofErr w:type="gramEnd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 the lowest 95</w:t>
            </w: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percentile total urine arsenic value reported for all age groups in the 2009-2010 CDC National Health and Nutrition Examination Survey. 95</w:t>
            </w: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percentile means that </w:t>
            </w:r>
            <w:r w:rsidRPr="000A5D45">
              <w:rPr>
                <w:rFonts w:ascii="Times New Roman" w:hAnsi="Times New Roman" w:cs="Times New Roman"/>
                <w:sz w:val="18"/>
                <w:szCs w:val="18"/>
              </w:rPr>
              <w:t>95 percent of the population will have a value at or below the number indicated as the</w:t>
            </w: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exposure level</w:t>
            </w:r>
            <w:r w:rsidRPr="000A5D4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Results </w:t>
            </w:r>
            <w:proofErr w:type="gramStart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>are reported</w:t>
            </w:r>
            <w:proofErr w:type="gramEnd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micrograms per gram of creatinine (</w:t>
            </w:r>
            <w:r w:rsidRPr="000A5D45">
              <w:rPr>
                <w:rFonts w:ascii="Times New Roman" w:hAnsi="Times New Roman" w:cs="Times New Roman"/>
                <w:sz w:val="18"/>
                <w:szCs w:val="18"/>
              </w:rPr>
              <w:t>µ</w:t>
            </w:r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g/g). </w:t>
            </w:r>
            <w:r w:rsidRPr="000A5D45">
              <w:rPr>
                <w:rFonts w:ascii="Times New Roman" w:hAnsi="Times New Roman" w:cs="Times New Roman"/>
                <w:sz w:val="18"/>
                <w:szCs w:val="18"/>
              </w:rPr>
              <w:t xml:space="preserve">Adjusting for creatinine is a standard method used to report the amount of arsenic present in urine samples. If the total creatinine level was </w:t>
            </w:r>
            <w:proofErr w:type="gramStart"/>
            <w:r w:rsidRPr="000A5D45">
              <w:rPr>
                <w:rFonts w:ascii="Times New Roman" w:hAnsi="Times New Roman" w:cs="Times New Roman"/>
                <w:sz w:val="18"/>
                <w:szCs w:val="18"/>
              </w:rPr>
              <w:t>above 28.4 µg/g,</w:t>
            </w:r>
            <w:proofErr w:type="gramEnd"/>
            <w:r w:rsidRPr="000A5D45">
              <w:rPr>
                <w:rFonts w:ascii="Times New Roman" w:hAnsi="Times New Roman" w:cs="Times New Roman"/>
                <w:sz w:val="18"/>
                <w:szCs w:val="18"/>
              </w:rPr>
              <w:t xml:space="preserve"> further analysis was done to determine the amount of organic and inorganic arsenic in the total.</w:t>
            </w:r>
          </w:p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5D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{*Results </w:t>
            </w:r>
            <w:proofErr w:type="gramStart"/>
            <w:r w:rsidRPr="000A5D45">
              <w:rPr>
                <w:rFonts w:ascii="Times New Roman" w:hAnsi="Times New Roman" w:cs="Times New Roman"/>
                <w:i/>
                <w:sz w:val="24"/>
                <w:szCs w:val="24"/>
              </w:rPr>
              <w:t>will be reported</w:t>
            </w:r>
            <w:proofErr w:type="gramEnd"/>
            <w:r w:rsidRPr="000A5D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if total urinary arsenic is above 28.4; and speciation is conducted. </w:t>
            </w:r>
            <w:proofErr w:type="gramStart"/>
            <w:r w:rsidRPr="000A5D45">
              <w:rPr>
                <w:rFonts w:ascii="Times New Roman" w:hAnsi="Times New Roman" w:cs="Times New Roman"/>
                <w:i/>
                <w:sz w:val="24"/>
                <w:szCs w:val="24"/>
              </w:rPr>
              <w:t>Otherwise</w:t>
            </w:r>
            <w:proofErr w:type="gramEnd"/>
            <w:r w:rsidRPr="000A5D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delete these two rows and two footnotes below.</w:t>
            </w:r>
            <w:r w:rsidRPr="000A5D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}</w:t>
            </w:r>
          </w:p>
          <w:p w:rsidR="000A5D45" w:rsidRPr="000A5D45" w:rsidRDefault="000A5D45" w:rsidP="000A5D45">
            <w:pPr>
              <w:tabs>
                <w:tab w:val="left" w:pos="3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D4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0A5D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5D45">
              <w:rPr>
                <w:rFonts w:ascii="Times New Roman" w:hAnsi="Times New Roman" w:cs="Times New Roman"/>
                <w:sz w:val="20"/>
                <w:szCs w:val="20"/>
              </w:rPr>
              <w:t>Speciated</w:t>
            </w:r>
            <w:proofErr w:type="spellEnd"/>
            <w:r w:rsidRPr="000A5D45">
              <w:rPr>
                <w:rFonts w:ascii="Times New Roman" w:hAnsi="Times New Roman" w:cs="Times New Roman"/>
                <w:sz w:val="20"/>
                <w:szCs w:val="20"/>
              </w:rPr>
              <w:t xml:space="preserve"> Inorganic Arsenic Reference Levels in </w:t>
            </w:r>
            <w:proofErr w:type="spellStart"/>
            <w:r w:rsidRPr="000A5D45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0A5D45">
              <w:rPr>
                <w:rFonts w:ascii="Times New Roman" w:hAnsi="Times New Roman" w:cs="Times New Roman"/>
                <w:sz w:val="20"/>
                <w:szCs w:val="20"/>
              </w:rPr>
              <w:t>/g of creatinine (95 percentile), based on 2009-2010 survey years.</w:t>
            </w:r>
            <w:proofErr w:type="gramEnd"/>
          </w:p>
          <w:p w:rsidR="000A5D45" w:rsidRPr="000A5D45" w:rsidRDefault="000A5D45" w:rsidP="000A5D45">
            <w:pPr>
              <w:tabs>
                <w:tab w:val="left" w:pos="369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86"/>
              <w:gridCol w:w="2342"/>
              <w:gridCol w:w="2342"/>
              <w:gridCol w:w="2342"/>
            </w:tblGrid>
            <w:tr w:rsidR="000A5D45" w:rsidRPr="000A5D45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6-11 years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12-19 years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years and older</w:t>
                  </w:r>
                </w:p>
              </w:tc>
            </w:tr>
            <w:tr w:rsidR="000A5D45" w:rsidRPr="000A5D45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Arsenic (V) Acid 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</w:tr>
            <w:tr w:rsidR="000A5D45" w:rsidRPr="000A5D45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Arsenous</w:t>
                  </w:r>
                  <w:proofErr w:type="spellEnd"/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(III) Acid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1.95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</w:tr>
            <w:tr w:rsidR="000A5D45" w:rsidRPr="000A5D45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Dimethylarsinic</w:t>
                  </w:r>
                  <w:proofErr w:type="spellEnd"/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Acid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16.5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10.0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16.1</w:t>
                  </w:r>
                </w:p>
              </w:tc>
            </w:tr>
            <w:tr w:rsidR="000A5D45" w:rsidRPr="000A5D45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Monomethylarsonic</w:t>
                  </w:r>
                  <w:proofErr w:type="spellEnd"/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Acid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3.16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2.56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2.91</w:t>
                  </w:r>
                </w:p>
              </w:tc>
            </w:tr>
          </w:tbl>
          <w:p w:rsidR="000A5D45" w:rsidRPr="000A5D45" w:rsidRDefault="000A5D45" w:rsidP="000A5D45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A5D4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LOD – Level of Detection</w:t>
            </w:r>
          </w:p>
          <w:p w:rsidR="000A5D45" w:rsidRPr="000A5D45" w:rsidRDefault="000A5D45" w:rsidP="000A5D45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Centers for Disease Control and Prevention.</w:t>
            </w:r>
            <w:proofErr w:type="gramEnd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Fourth Report on Human Exposure to Environmental Chemicals, Updated Tables, (</w:t>
            </w:r>
            <w:proofErr w:type="gramStart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>August,</w:t>
            </w:r>
            <w:proofErr w:type="gramEnd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2014). Atlanta, GA: U.S. Department of Health and Human Services, Centers for Disease Control and Prevention. </w:t>
            </w:r>
            <w:hyperlink r:id="rId6" w:history="1">
              <w:r w:rsidRPr="000A5D45">
                <w:rPr>
                  <w:rFonts w:ascii="Times New Roman" w:eastAsiaTheme="majorEastAsia" w:hAnsi="Times New Roman" w:cs="Times New Roman"/>
                  <w:color w:val="000000"/>
                  <w:sz w:val="18"/>
                  <w:szCs w:val="18"/>
                  <w:u w:val="single"/>
                </w:rPr>
                <w:t>http://www.cdc.gov/exposurereport/</w:t>
              </w:r>
            </w:hyperlink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</w:t>
            </w:r>
            <w:hyperlink r:id="rId7" w:history="1">
              <w:r w:rsidRPr="000A5D45">
                <w:rPr>
                  <w:rFonts w:ascii="Times New Roman" w:eastAsiaTheme="majorEastAsia" w:hAnsi="Times New Roman" w:cs="Times New Roman"/>
                  <w:color w:val="000000"/>
                  <w:sz w:val="18"/>
                  <w:szCs w:val="18"/>
                  <w:u w:val="single"/>
                </w:rPr>
                <w:t>http://www.cdc.gov/exposurereport/pdf/fourthreport_updatedtables_aug2014.pdf</w:t>
              </w:r>
            </w:hyperlink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</w:p>
          <w:p w:rsidR="000A5D45" w:rsidRPr="000A5D45" w:rsidRDefault="000A5D45" w:rsidP="000A5D45">
            <w:pPr>
              <w:tabs>
                <w:tab w:val="left" w:pos="369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D45" w:rsidRPr="000A5D45" w:rsidRDefault="000A5D45" w:rsidP="000A5D45">
            <w:pPr>
              <w:tabs>
                <w:tab w:val="left" w:pos="3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D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0A5D45">
              <w:rPr>
                <w:rFonts w:ascii="Times New Roman" w:hAnsi="Times New Roman" w:cs="Times New Roman"/>
                <w:sz w:val="20"/>
                <w:szCs w:val="20"/>
              </w:rPr>
              <w:t xml:space="preserve">Speciated Organic Arsenic Reference Levels in </w:t>
            </w:r>
            <w:proofErr w:type="spellStart"/>
            <w:r w:rsidRPr="000A5D45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0A5D45">
              <w:rPr>
                <w:rFonts w:ascii="Times New Roman" w:hAnsi="Times New Roman" w:cs="Times New Roman"/>
                <w:sz w:val="20"/>
                <w:szCs w:val="20"/>
              </w:rPr>
              <w:t>/g of creatinine (95 percentile), based on 2009-2010 survey years.</w:t>
            </w:r>
            <w:proofErr w:type="gramEnd"/>
          </w:p>
          <w:p w:rsidR="000A5D45" w:rsidRPr="000A5D45" w:rsidRDefault="000A5D45" w:rsidP="000A5D45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50"/>
              <w:gridCol w:w="2354"/>
              <w:gridCol w:w="2354"/>
              <w:gridCol w:w="2354"/>
            </w:tblGrid>
            <w:tr w:rsidR="000A5D45" w:rsidRPr="000A5D45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6-11 years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12-19 years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years and older</w:t>
                  </w:r>
                </w:p>
              </w:tc>
            </w:tr>
            <w:tr w:rsidR="000A5D45" w:rsidRPr="000A5D45" w:rsidTr="0039457B">
              <w:trPr>
                <w:trHeight w:val="269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Arsenobetaine</w:t>
                  </w:r>
                  <w:proofErr w:type="spellEnd"/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24.9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14.0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57.0</w:t>
                  </w:r>
                </w:p>
              </w:tc>
            </w:tr>
            <w:tr w:rsidR="000A5D45" w:rsidRPr="000A5D45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A5D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Arsenocholine</w:t>
                  </w:r>
                  <w:proofErr w:type="spellEnd"/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</w:tr>
            <w:tr w:rsidR="000A5D45" w:rsidRPr="000A5D45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spellStart"/>
                  <w:r w:rsidRPr="000A5D45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Trimethylarsine</w:t>
                  </w:r>
                  <w:proofErr w:type="spellEnd"/>
                  <w:r w:rsidRPr="000A5D45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oxide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5D45" w:rsidRPr="000A5D45" w:rsidRDefault="000A5D45" w:rsidP="000A5D45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0A5D4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&lt; LOD</w:t>
                  </w:r>
                </w:p>
              </w:tc>
            </w:tr>
          </w:tbl>
          <w:p w:rsidR="000A5D45" w:rsidRPr="000A5D45" w:rsidRDefault="000A5D45" w:rsidP="000A5D45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A5D4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LOD = Level of Detection</w:t>
            </w:r>
          </w:p>
          <w:p w:rsidR="000A5D45" w:rsidRPr="000A5D45" w:rsidRDefault="000A5D45" w:rsidP="000A5D45">
            <w:pPr>
              <w:tabs>
                <w:tab w:val="left" w:pos="3690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>Centers for Disease Control and Prevention.</w:t>
            </w:r>
            <w:proofErr w:type="gramEnd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Fourth Report on Human Exposure to Environmental Chemicals, Updated Tables, (</w:t>
            </w:r>
            <w:proofErr w:type="gramStart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>August,</w:t>
            </w:r>
            <w:proofErr w:type="gramEnd"/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2014). Atlanta, GA: U.S. Department of Health and Human Services, Centers for Disease Control and Prevention. </w:t>
            </w:r>
            <w:hyperlink r:id="rId8" w:history="1">
              <w:r w:rsidRPr="000A5D45">
                <w:rPr>
                  <w:rFonts w:ascii="Times New Roman" w:eastAsiaTheme="majorEastAsia" w:hAnsi="Times New Roman" w:cs="Times New Roman"/>
                  <w:color w:val="000000"/>
                  <w:sz w:val="18"/>
                  <w:szCs w:val="18"/>
                  <w:u w:val="single"/>
                </w:rPr>
                <w:t>http://www.cdc.gov/exposurereport/</w:t>
              </w:r>
            </w:hyperlink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</w:t>
            </w:r>
            <w:hyperlink r:id="rId9" w:history="1">
              <w:r w:rsidRPr="000A5D45">
                <w:rPr>
                  <w:rFonts w:ascii="Times New Roman" w:eastAsiaTheme="majorEastAsia" w:hAnsi="Times New Roman" w:cs="Times New Roman"/>
                  <w:color w:val="000000"/>
                  <w:sz w:val="18"/>
                  <w:szCs w:val="18"/>
                  <w:u w:val="single"/>
                </w:rPr>
                <w:t>http://www.cdc.gov/exposurereport/pdf/fourthreport_updatedtables_aug2014.pdf</w:t>
              </w:r>
            </w:hyperlink>
            <w:r w:rsidRPr="000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</w:p>
        </w:tc>
      </w:tr>
    </w:tbl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A5D45" w:rsidRPr="000A5D45" w:rsidTr="0039457B">
        <w:tc>
          <w:tcPr>
            <w:tcW w:w="10296" w:type="dxa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Reporting child blood lead level:</w:t>
            </w:r>
          </w:p>
        </w:tc>
      </w:tr>
      <w:tr w:rsidR="000A5D45" w:rsidRPr="000A5D45" w:rsidTr="0039457B">
        <w:tc>
          <w:tcPr>
            <w:tcW w:w="10296" w:type="dxa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D45">
              <w:rPr>
                <w:rFonts w:ascii="Times New Roman" w:hAnsi="Times New Roman" w:cs="Times New Roman"/>
                <w:i/>
                <w:sz w:val="24"/>
                <w:szCs w:val="24"/>
              </w:rPr>
              <w:t>Insert A. Blood Lead Level below Investigation Exposure Level (IEL)</w:t>
            </w:r>
          </w:p>
        </w:tc>
      </w:tr>
      <w:tr w:rsidR="000A5D45" w:rsidRPr="000A5D45" w:rsidTr="0039457B">
        <w:tc>
          <w:tcPr>
            <w:tcW w:w="10296" w:type="dxa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D45">
              <w:rPr>
                <w:rFonts w:ascii="Times New Roman" w:hAnsi="Times New Roman" w:cs="Times New Roman"/>
                <w:i/>
                <w:sz w:val="24"/>
                <w:szCs w:val="24"/>
              </w:rPr>
              <w:t>Insert B. Blood Lead Level equal to or above Investigation Exposure Level (IEL)</w:t>
            </w:r>
          </w:p>
        </w:tc>
      </w:tr>
      <w:tr w:rsidR="000A5D45" w:rsidRPr="000A5D45" w:rsidTr="0039457B">
        <w:tc>
          <w:tcPr>
            <w:tcW w:w="10296" w:type="dxa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Reporting child urine arsenic:</w:t>
            </w:r>
          </w:p>
        </w:tc>
      </w:tr>
      <w:tr w:rsidR="000A5D45" w:rsidRPr="000A5D45" w:rsidTr="0039457B">
        <w:tc>
          <w:tcPr>
            <w:tcW w:w="10296" w:type="dxa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Insert C. Total Urine Arsenic Level below the Investigation Exposure Level (IEL)</w:t>
            </w:r>
          </w:p>
        </w:tc>
      </w:tr>
      <w:tr w:rsidR="000A5D45" w:rsidRPr="000A5D45" w:rsidTr="0039457B">
        <w:tc>
          <w:tcPr>
            <w:tcW w:w="10296" w:type="dxa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Insert D. Total Urine Arsenic Level equal to or above the Investigation Exposure Level (IEL), Organic Arsenic elevated, Inorganic Arsenic normal</w:t>
            </w:r>
          </w:p>
        </w:tc>
      </w:tr>
      <w:tr w:rsidR="000A5D45" w:rsidRPr="000A5D45" w:rsidTr="0039457B">
        <w:tc>
          <w:tcPr>
            <w:tcW w:w="10296" w:type="dxa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5D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Insert E. Total Urine Arsenic Level equal to or above the Investigation Exposure Level (IEL), Organic Arsenic normal, Inorganic Arsenic elevated</w:t>
            </w:r>
          </w:p>
        </w:tc>
      </w:tr>
      <w:tr w:rsidR="000A5D45" w:rsidRPr="000A5D45" w:rsidTr="0039457B">
        <w:tc>
          <w:tcPr>
            <w:tcW w:w="10296" w:type="dxa"/>
          </w:tcPr>
          <w:p w:rsidR="000A5D45" w:rsidRPr="000A5D45" w:rsidRDefault="000A5D45" w:rsidP="000A5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5D45">
              <w:rPr>
                <w:rFonts w:ascii="Times New Roman" w:hAnsi="Times New Roman" w:cs="Times New Roman"/>
                <w:i/>
                <w:sz w:val="24"/>
                <w:szCs w:val="24"/>
              </w:rPr>
              <w:t>Insert F. Total Urine Arsenic equal to or above Investigation Exposure Level (IEL)</w:t>
            </w:r>
            <w:proofErr w:type="gramStart"/>
            <w:r w:rsidRPr="000A5D45">
              <w:rPr>
                <w:rFonts w:ascii="Times New Roman" w:hAnsi="Times New Roman" w:cs="Times New Roman"/>
                <w:i/>
                <w:sz w:val="24"/>
                <w:szCs w:val="24"/>
              </w:rPr>
              <w:t>,both</w:t>
            </w:r>
            <w:proofErr w:type="gramEnd"/>
            <w:r w:rsidRPr="000A5D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Organic and Inorganic Arsenic elevated.</w:t>
            </w:r>
          </w:p>
        </w:tc>
      </w:tr>
    </w:tbl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5D45" w:rsidRPr="000A5D45" w:rsidRDefault="000A5D45" w:rsidP="000A5D4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>ATSDR’s recommendations for reducing exposure to lead and arsenic are in the enclosed factsheets.</w:t>
      </w: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 xml:space="preserve">If you have questions concerning this Exposure Investigation or your child’s test results, please contact me at 770-488-0771 or by email at </w:t>
      </w:r>
      <w:hyperlink r:id="rId10" w:history="1">
        <w:r w:rsidRPr="000A5D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BTierney@cdc.gov</w:t>
        </w:r>
      </w:hyperlink>
      <w:r w:rsidRPr="000A5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>Sincerely,</w:t>
      </w:r>
      <w:r w:rsidRPr="000A5D45" w:rsidDel="00871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>Bruce C. Tierney, MD</w:t>
      </w:r>
    </w:p>
    <w:p w:rsidR="000A5D45" w:rsidRPr="000A5D45" w:rsidRDefault="000A5D45" w:rsidP="000A5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>Lead Investigator – Asarco Hayden Smelter Exposure Investigation</w:t>
      </w:r>
    </w:p>
    <w:p w:rsidR="000A5D45" w:rsidRPr="000A5D45" w:rsidRDefault="000A5D45" w:rsidP="000A5D45">
      <w:pPr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>ATSDR Division of Community Health Investigations, Exposure Investigation Team</w:t>
      </w:r>
    </w:p>
    <w:p w:rsidR="000A5D45" w:rsidRPr="000A5D45" w:rsidRDefault="000A5D45" w:rsidP="000A5D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5D45" w:rsidRPr="000A5D45" w:rsidRDefault="000A5D45" w:rsidP="000A5D45">
      <w:pPr>
        <w:rPr>
          <w:rFonts w:ascii="Times New Roman" w:eastAsia="Times New Roman" w:hAnsi="Times New Roman" w:cs="Times New Roman"/>
          <w:sz w:val="24"/>
          <w:szCs w:val="24"/>
        </w:rPr>
      </w:pPr>
      <w:r w:rsidRPr="000A5D45">
        <w:rPr>
          <w:rFonts w:ascii="Times New Roman" w:eastAsia="Times New Roman" w:hAnsi="Times New Roman" w:cs="Times New Roman"/>
          <w:sz w:val="24"/>
          <w:szCs w:val="24"/>
        </w:rPr>
        <w:t>Enclosures {Factsheet A and B}</w:t>
      </w:r>
    </w:p>
    <w:p w:rsidR="000A5D45" w:rsidRPr="000A5D45" w:rsidRDefault="000A5D45" w:rsidP="000A5D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5D45" w:rsidRPr="000A5D45" w:rsidRDefault="000A5D45" w:rsidP="000A5D45"/>
    <w:p w:rsidR="00DF1CEA" w:rsidRDefault="00E5066C"/>
    <w:sectPr w:rsidR="00DF1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45"/>
    <w:rsid w:val="000A5D45"/>
    <w:rsid w:val="00400E82"/>
    <w:rsid w:val="007413A5"/>
    <w:rsid w:val="00B930B3"/>
    <w:rsid w:val="00E5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exposurerepo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/exposurereport/pdf/fourthreport_updatedtables_aug2014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dc.gov/exposurerepor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dc.gov/mmwr/preview/mmwrhtml/mm6213a3.htm" TargetMode="External"/><Relationship Id="rId10" Type="http://schemas.openxmlformats.org/officeDocument/2006/relationships/hyperlink" Target="mailto:BTierney@c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c.gov/exposurereport/pdf/fourthreport_updatedtables_aug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Scruton, Karen M. (ATSDR/DCHI/SSB)</dc:creator>
  <cp:lastModifiedBy>CDC Reviewer</cp:lastModifiedBy>
  <cp:revision>3</cp:revision>
  <dcterms:created xsi:type="dcterms:W3CDTF">2014-10-22T16:34:00Z</dcterms:created>
  <dcterms:modified xsi:type="dcterms:W3CDTF">2014-10-24T01:10:00Z</dcterms:modified>
</cp:coreProperties>
</file>