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61" w:rsidRDefault="000526FB" w:rsidP="009F75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Generic Information Collection (</w:t>
      </w:r>
      <w:proofErr w:type="spellStart"/>
      <w:r>
        <w:rPr>
          <w:b/>
          <w:sz w:val="28"/>
          <w:szCs w:val="28"/>
        </w:rPr>
        <w:t>GenIC</w:t>
      </w:r>
      <w:proofErr w:type="spellEnd"/>
      <w:r>
        <w:rPr>
          <w:b/>
          <w:sz w:val="28"/>
          <w:szCs w:val="28"/>
        </w:rPr>
        <w:t xml:space="preserve">) </w:t>
      </w:r>
      <w:r w:rsidR="00A73148" w:rsidRPr="002268E8">
        <w:rPr>
          <w:b/>
          <w:sz w:val="28"/>
          <w:szCs w:val="28"/>
        </w:rPr>
        <w:t>Submitt</w:t>
      </w:r>
      <w:r w:rsidR="00BB5A4C">
        <w:rPr>
          <w:b/>
          <w:sz w:val="28"/>
          <w:szCs w:val="28"/>
        </w:rPr>
        <w:t>al Form</w:t>
      </w:r>
      <w:r w:rsidR="00A73148" w:rsidRPr="002268E8">
        <w:rPr>
          <w:b/>
          <w:sz w:val="28"/>
          <w:szCs w:val="28"/>
        </w:rPr>
        <w:t xml:space="preserve"> for </w:t>
      </w:r>
    </w:p>
    <w:p w:rsidR="00990609" w:rsidRDefault="00A73148">
      <w:pPr>
        <w:spacing w:after="0" w:line="240" w:lineRule="auto"/>
        <w:jc w:val="center"/>
        <w:rPr>
          <w:b/>
          <w:sz w:val="28"/>
          <w:szCs w:val="28"/>
        </w:rPr>
      </w:pPr>
      <w:r w:rsidRPr="002268E8">
        <w:rPr>
          <w:b/>
          <w:sz w:val="28"/>
          <w:szCs w:val="28"/>
        </w:rPr>
        <w:t>OMB Rev</w:t>
      </w:r>
      <w:r w:rsidR="002268E8" w:rsidRPr="002268E8">
        <w:rPr>
          <w:b/>
          <w:sz w:val="28"/>
          <w:szCs w:val="28"/>
        </w:rPr>
        <w:t xml:space="preserve">iew of </w:t>
      </w:r>
      <w:r w:rsidR="00C8371F">
        <w:rPr>
          <w:b/>
          <w:sz w:val="28"/>
          <w:szCs w:val="28"/>
        </w:rPr>
        <w:t xml:space="preserve">ATSDR </w:t>
      </w:r>
      <w:r w:rsidR="002268E8">
        <w:rPr>
          <w:b/>
          <w:sz w:val="28"/>
          <w:szCs w:val="28"/>
        </w:rPr>
        <w:t>Exposure Investigation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 xml:space="preserve"> (EI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>)</w:t>
      </w:r>
      <w:r w:rsidR="002268E8" w:rsidRPr="002268E8">
        <w:rPr>
          <w:b/>
          <w:sz w:val="28"/>
          <w:szCs w:val="28"/>
        </w:rPr>
        <w:t xml:space="preserve"> </w:t>
      </w:r>
      <w:r w:rsidR="00990609">
        <w:rPr>
          <w:b/>
          <w:sz w:val="28"/>
          <w:szCs w:val="28"/>
        </w:rPr>
        <w:t>(0923-004</w:t>
      </w:r>
      <w:r w:rsidR="00066D15">
        <w:rPr>
          <w:b/>
          <w:sz w:val="28"/>
          <w:szCs w:val="28"/>
        </w:rPr>
        <w:t>8</w:t>
      </w:r>
      <w:r w:rsidR="00990609">
        <w:rPr>
          <w:b/>
          <w:sz w:val="28"/>
          <w:szCs w:val="28"/>
        </w:rPr>
        <w:t>)</w:t>
      </w:r>
    </w:p>
    <w:p w:rsidR="00990609" w:rsidRPr="002268E8" w:rsidRDefault="00990609" w:rsidP="009F7507">
      <w:pPr>
        <w:spacing w:after="0" w:line="240" w:lineRule="auto"/>
        <w:jc w:val="center"/>
        <w:rPr>
          <w:b/>
          <w:sz w:val="28"/>
          <w:szCs w:val="28"/>
        </w:rPr>
      </w:pPr>
    </w:p>
    <w:p w:rsidR="002268E8" w:rsidRDefault="002268E8">
      <w:pPr>
        <w:rPr>
          <w:b/>
          <w:sz w:val="24"/>
          <w:szCs w:val="24"/>
        </w:rPr>
      </w:pPr>
      <w:r w:rsidRPr="008C1299">
        <w:rPr>
          <w:b/>
          <w:sz w:val="24"/>
          <w:szCs w:val="24"/>
        </w:rPr>
        <w:t>PROJECT TITLE</w:t>
      </w:r>
      <w:r w:rsidR="00952433">
        <w:rPr>
          <w:b/>
          <w:sz w:val="24"/>
          <w:szCs w:val="24"/>
        </w:rPr>
        <w:t xml:space="preserve">:  </w:t>
      </w:r>
      <w:r w:rsidR="00D33409">
        <w:rPr>
          <w:b/>
          <w:sz w:val="24"/>
          <w:szCs w:val="24"/>
        </w:rPr>
        <w:t xml:space="preserve">ASARCO </w:t>
      </w:r>
      <w:r w:rsidR="006A1C2A">
        <w:rPr>
          <w:b/>
          <w:sz w:val="24"/>
          <w:szCs w:val="24"/>
        </w:rPr>
        <w:t>Smelter Exposure Investigation</w:t>
      </w:r>
    </w:p>
    <w:p w:rsidR="00146801" w:rsidRPr="008C1299" w:rsidRDefault="0051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</w:t>
      </w:r>
      <w:r w:rsidR="00146801">
        <w:rPr>
          <w:b/>
          <w:sz w:val="24"/>
          <w:szCs w:val="24"/>
        </w:rPr>
        <w:t>LOCATION</w:t>
      </w:r>
      <w:r w:rsidR="00952433">
        <w:rPr>
          <w:b/>
          <w:sz w:val="24"/>
          <w:szCs w:val="24"/>
        </w:rPr>
        <w:t xml:space="preserve">:  </w:t>
      </w:r>
      <w:r w:rsidR="00D33409">
        <w:rPr>
          <w:b/>
          <w:sz w:val="24"/>
          <w:szCs w:val="24"/>
        </w:rPr>
        <w:t>Hayden/Winkelman, Arizona</w:t>
      </w:r>
    </w:p>
    <w:p w:rsidR="002C3309" w:rsidRDefault="002C3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BURDEN HOURS</w:t>
      </w:r>
      <w:r w:rsidR="00245FE8">
        <w:rPr>
          <w:b/>
          <w:sz w:val="24"/>
          <w:szCs w:val="24"/>
        </w:rPr>
        <w:t xml:space="preserve">:    </w:t>
      </w:r>
      <w:r w:rsidR="0011153A">
        <w:rPr>
          <w:b/>
          <w:sz w:val="24"/>
          <w:szCs w:val="24"/>
        </w:rPr>
        <w:t>67</w:t>
      </w:r>
    </w:p>
    <w:p w:rsidR="00977D5F" w:rsidRDefault="00AD12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8C26C6">
        <w:rPr>
          <w:b/>
          <w:sz w:val="24"/>
          <w:szCs w:val="24"/>
        </w:rPr>
        <w:t>SUMMARY</w:t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3168"/>
        <w:gridCol w:w="7128"/>
      </w:tblGrid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Investigator(s):</w:t>
            </w:r>
          </w:p>
        </w:tc>
        <w:tc>
          <w:tcPr>
            <w:tcW w:w="7128" w:type="dxa"/>
            <w:vAlign w:val="center"/>
          </w:tcPr>
          <w:p w:rsidR="00977D5F" w:rsidRDefault="0011153A" w:rsidP="005A3D6B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C. Tierney</w:t>
            </w:r>
            <w:r w:rsidR="00977D5F">
              <w:rPr>
                <w:sz w:val="24"/>
                <w:szCs w:val="24"/>
              </w:rPr>
              <w:t xml:space="preserve"> (ATSDR Headquarters)</w:t>
            </w:r>
          </w:p>
          <w:p w:rsidR="00977D5F" w:rsidRPr="00977D5F" w:rsidRDefault="0011153A" w:rsidP="0011153A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Gerhardstein</w:t>
            </w:r>
            <w:r w:rsidR="00977D5F" w:rsidRPr="00977D5F">
              <w:rPr>
                <w:sz w:val="24"/>
                <w:szCs w:val="24"/>
              </w:rPr>
              <w:t xml:space="preserve"> (ATSDR Region </w:t>
            </w:r>
            <w:r>
              <w:rPr>
                <w:sz w:val="24"/>
                <w:szCs w:val="24"/>
              </w:rPr>
              <w:t>9</w:t>
            </w:r>
            <w:r w:rsidR="00977D5F" w:rsidRPr="00977D5F">
              <w:rPr>
                <w:sz w:val="24"/>
                <w:szCs w:val="24"/>
              </w:rPr>
              <w:t>)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Assistance:</w:t>
            </w:r>
          </w:p>
        </w:tc>
        <w:tc>
          <w:tcPr>
            <w:tcW w:w="7128" w:type="dxa"/>
            <w:vAlign w:val="center"/>
          </w:tcPr>
          <w:p w:rsidR="00977D5F" w:rsidRPr="002B7FAF" w:rsidRDefault="0011153A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sz w:val="24"/>
                <w:szCs w:val="24"/>
              </w:rPr>
              <w:t>Arizona Department of Health Services</w:t>
            </w:r>
            <w:r w:rsidR="00977D5F" w:rsidRPr="002B7FAF">
              <w:rPr>
                <w:sz w:val="24"/>
                <w:szCs w:val="24"/>
              </w:rPr>
              <w:t xml:space="preserve"> (</w:t>
            </w:r>
            <w:r w:rsidRPr="002B7FAF">
              <w:rPr>
                <w:sz w:val="24"/>
                <w:szCs w:val="24"/>
              </w:rPr>
              <w:t>ADHS</w:t>
            </w:r>
            <w:r w:rsidR="00977D5F" w:rsidRPr="002B7FAF">
              <w:rPr>
                <w:sz w:val="24"/>
                <w:szCs w:val="24"/>
              </w:rPr>
              <w:t xml:space="preserve">) </w:t>
            </w:r>
          </w:p>
          <w:p w:rsidR="00241D1E" w:rsidRPr="002B7FAF" w:rsidRDefault="00241D1E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color w:val="000000"/>
                <w:sz w:val="24"/>
                <w:szCs w:val="24"/>
              </w:rPr>
              <w:t>Arizona Department of Environmental Quality (ADEQ)</w:t>
            </w:r>
          </w:p>
          <w:p w:rsidR="00977D5F" w:rsidRPr="00977D5F" w:rsidRDefault="009A4C91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sz w:val="24"/>
                <w:szCs w:val="24"/>
              </w:rPr>
              <w:t>DLS/NCEH/</w:t>
            </w:r>
            <w:r w:rsidR="00977D5F" w:rsidRPr="002B7FAF">
              <w:rPr>
                <w:sz w:val="24"/>
                <w:szCs w:val="24"/>
              </w:rPr>
              <w:t>ATSDR laboratory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 w:rsidRPr="007F0688">
              <w:rPr>
                <w:b/>
                <w:sz w:val="24"/>
                <w:szCs w:val="24"/>
              </w:rPr>
              <w:t>Source of Request (state, petition, etc.):</w:t>
            </w:r>
          </w:p>
        </w:tc>
        <w:tc>
          <w:tcPr>
            <w:tcW w:w="7128" w:type="dxa"/>
            <w:vAlign w:val="center"/>
          </w:tcPr>
          <w:p w:rsidR="00977D5F" w:rsidRPr="00977D5F" w:rsidRDefault="0011153A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Environmental Protection Agency (EPA</w:t>
            </w:r>
            <w:r w:rsidR="00BF1A54">
              <w:rPr>
                <w:sz w:val="24"/>
                <w:szCs w:val="24"/>
              </w:rPr>
              <w:t>)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Goals:</w:t>
            </w:r>
          </w:p>
        </w:tc>
        <w:tc>
          <w:tcPr>
            <w:tcW w:w="7128" w:type="dxa"/>
            <w:vAlign w:val="center"/>
          </w:tcPr>
          <w:p w:rsidR="00977D5F" w:rsidRPr="00977D5F" w:rsidRDefault="00977D5F" w:rsidP="0011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goal of the EI is t</w:t>
            </w:r>
            <w:r w:rsidRPr="00AA7DE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determine whether </w:t>
            </w:r>
            <w:r w:rsidR="00BF1A54">
              <w:rPr>
                <w:sz w:val="24"/>
                <w:szCs w:val="24"/>
              </w:rPr>
              <w:t>soil</w:t>
            </w:r>
            <w:r w:rsidR="003B366F">
              <w:rPr>
                <w:sz w:val="24"/>
                <w:szCs w:val="24"/>
              </w:rPr>
              <w:t xml:space="preserve"> </w:t>
            </w:r>
            <w:r w:rsidR="0011153A">
              <w:rPr>
                <w:sz w:val="24"/>
                <w:szCs w:val="24"/>
              </w:rPr>
              <w:t xml:space="preserve">and air </w:t>
            </w:r>
            <w:r w:rsidR="005F093E">
              <w:rPr>
                <w:sz w:val="24"/>
                <w:szCs w:val="24"/>
              </w:rPr>
              <w:t>contamination</w:t>
            </w:r>
            <w:r>
              <w:rPr>
                <w:sz w:val="24"/>
                <w:szCs w:val="24"/>
              </w:rPr>
              <w:t xml:space="preserve"> </w:t>
            </w:r>
            <w:r w:rsidR="005F093E">
              <w:rPr>
                <w:sz w:val="24"/>
                <w:szCs w:val="24"/>
              </w:rPr>
              <w:t>from historical</w:t>
            </w:r>
            <w:r w:rsidR="0011153A">
              <w:rPr>
                <w:sz w:val="24"/>
                <w:szCs w:val="24"/>
              </w:rPr>
              <w:t xml:space="preserve"> and ongoing </w:t>
            </w:r>
            <w:r w:rsidR="005F093E">
              <w:rPr>
                <w:sz w:val="24"/>
                <w:szCs w:val="24"/>
              </w:rPr>
              <w:t xml:space="preserve">smelting operations </w:t>
            </w:r>
            <w:r w:rsidR="00F95EF6">
              <w:rPr>
                <w:sz w:val="24"/>
                <w:szCs w:val="24"/>
              </w:rPr>
              <w:t>is resulting in community members being exposed to lead and arsenic at levels of health concern</w:t>
            </w:r>
            <w:r w:rsidR="006B5535">
              <w:rPr>
                <w:sz w:val="24"/>
                <w:szCs w:val="24"/>
              </w:rPr>
              <w:t xml:space="preserve">.  If this is the case, ATSDR will make recommendations </w:t>
            </w:r>
            <w:r w:rsidR="005956AA">
              <w:rPr>
                <w:sz w:val="24"/>
                <w:szCs w:val="24"/>
              </w:rPr>
              <w:t xml:space="preserve">for </w:t>
            </w:r>
            <w:r w:rsidR="006B5535">
              <w:rPr>
                <w:sz w:val="24"/>
                <w:szCs w:val="24"/>
              </w:rPr>
              <w:t>people to reduce their exposures</w:t>
            </w:r>
            <w:r w:rsidR="004B252F">
              <w:rPr>
                <w:sz w:val="24"/>
                <w:szCs w:val="24"/>
              </w:rPr>
              <w:t xml:space="preserve"> and will recommend contaminant mitigation to the appropriate government agencies (e.g., the U.S. Environmental Protection Agency (EPA) and their state equivalent).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Objectives:</w:t>
            </w:r>
          </w:p>
        </w:tc>
        <w:tc>
          <w:tcPr>
            <w:tcW w:w="7128" w:type="dxa"/>
            <w:vAlign w:val="center"/>
          </w:tcPr>
          <w:p w:rsidR="002B7FAF" w:rsidRPr="00F931C0" w:rsidRDefault="00771A77" w:rsidP="002B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E04405">
              <w:rPr>
                <w:sz w:val="24"/>
                <w:szCs w:val="24"/>
              </w:rPr>
              <w:t>is exposure investigation will recruit community members</w:t>
            </w:r>
            <w:r w:rsidR="005956AA">
              <w:rPr>
                <w:sz w:val="24"/>
                <w:szCs w:val="24"/>
              </w:rPr>
              <w:t xml:space="preserve"> </w:t>
            </w:r>
            <w:r w:rsidR="00245FE8">
              <w:rPr>
                <w:sz w:val="24"/>
                <w:szCs w:val="24"/>
              </w:rPr>
              <w:t xml:space="preserve">living  </w:t>
            </w:r>
            <w:r w:rsidR="0011153A">
              <w:rPr>
                <w:sz w:val="24"/>
                <w:szCs w:val="24"/>
              </w:rPr>
              <w:t>in the communities of Hayden and Winkelman</w:t>
            </w:r>
            <w:r w:rsidR="0028500F">
              <w:rPr>
                <w:sz w:val="24"/>
                <w:szCs w:val="24"/>
              </w:rPr>
              <w:t>,</w:t>
            </w:r>
            <w:r w:rsidR="0011153A">
              <w:rPr>
                <w:sz w:val="24"/>
                <w:szCs w:val="24"/>
              </w:rPr>
              <w:t xml:space="preserve"> AZ</w:t>
            </w:r>
            <w:r w:rsidR="005A6D67">
              <w:rPr>
                <w:sz w:val="24"/>
                <w:szCs w:val="24"/>
              </w:rPr>
              <w:t>,</w:t>
            </w:r>
            <w:r w:rsidR="0011153A">
              <w:rPr>
                <w:sz w:val="24"/>
                <w:szCs w:val="24"/>
              </w:rPr>
              <w:t xml:space="preserve"> which are in close </w:t>
            </w:r>
            <w:r w:rsidR="0011153A" w:rsidRPr="002B7FAF">
              <w:rPr>
                <w:sz w:val="24"/>
                <w:szCs w:val="24"/>
              </w:rPr>
              <w:t>proximity to the</w:t>
            </w:r>
            <w:r w:rsidR="00245FE8" w:rsidRPr="002B7FAF">
              <w:rPr>
                <w:sz w:val="24"/>
                <w:szCs w:val="24"/>
              </w:rPr>
              <w:t xml:space="preserve"> smelter</w:t>
            </w:r>
            <w:r w:rsidR="0011153A" w:rsidRPr="002B7FAF">
              <w:rPr>
                <w:sz w:val="24"/>
                <w:szCs w:val="24"/>
              </w:rPr>
              <w:t xml:space="preserve"> site</w:t>
            </w:r>
            <w:r w:rsidR="006F4D54" w:rsidRPr="002B7FAF">
              <w:rPr>
                <w:sz w:val="24"/>
                <w:szCs w:val="24"/>
              </w:rPr>
              <w:t xml:space="preserve"> </w:t>
            </w:r>
            <w:r w:rsidR="00245FE8" w:rsidRPr="002B7FAF">
              <w:rPr>
                <w:sz w:val="24"/>
                <w:szCs w:val="24"/>
              </w:rPr>
              <w:t xml:space="preserve">who are </w:t>
            </w:r>
            <w:r w:rsidR="0063667F" w:rsidRPr="002B7FAF">
              <w:rPr>
                <w:sz w:val="24"/>
                <w:szCs w:val="24"/>
              </w:rPr>
              <w:t>at highest risk for exposure.</w:t>
            </w:r>
            <w:r w:rsidR="002B7FAF" w:rsidRPr="002B7FAF">
              <w:rPr>
                <w:sz w:val="24"/>
                <w:szCs w:val="24"/>
              </w:rPr>
              <w:t xml:space="preserve"> The smelter</w:t>
            </w:r>
            <w:r w:rsidR="0063667F" w:rsidRPr="002B7FAF">
              <w:rPr>
                <w:sz w:val="24"/>
                <w:szCs w:val="24"/>
              </w:rPr>
              <w:t xml:space="preserve"> </w:t>
            </w:r>
            <w:r w:rsidR="002B7FAF" w:rsidRPr="002B7FAF">
              <w:rPr>
                <w:sz w:val="24"/>
                <w:szCs w:val="24"/>
              </w:rPr>
              <w:t xml:space="preserve">is a large complex of approximately 200 acres at the eastern end of the town. </w:t>
            </w:r>
            <w:r w:rsidR="002B7FAF" w:rsidRPr="002B7FAF">
              <w:rPr>
                <w:color w:val="000000"/>
                <w:sz w:val="24"/>
                <w:szCs w:val="24"/>
              </w:rPr>
              <w:t>All of Hayden is located next to or within ½ mile of the smelter site. Winkelman is located between ¼ and 1 ½ miles from the smelter site.</w:t>
            </w:r>
            <w:r w:rsidR="002B7FAF" w:rsidRPr="002B7FAF">
              <w:rPr>
                <w:sz w:val="24"/>
                <w:szCs w:val="24"/>
              </w:rPr>
              <w:t xml:space="preserve"> In addition, a </w:t>
            </w:r>
            <w:r w:rsidR="002B7FAF" w:rsidRPr="002B7FAF">
              <w:rPr>
                <w:rFonts w:cs="TimesNewRoman"/>
                <w:sz w:val="24"/>
                <w:szCs w:val="24"/>
              </w:rPr>
              <w:t>mine tailings pile rises approximately 100 feet above the lowest area and extends for approximately ½ mile along the west side of Highway 177</w:t>
            </w:r>
            <w:r w:rsidR="002101B5">
              <w:rPr>
                <w:rFonts w:cs="TimesNewRoman"/>
                <w:sz w:val="24"/>
                <w:szCs w:val="24"/>
              </w:rPr>
              <w:t xml:space="preserve"> which borders the western edge of Hayden</w:t>
            </w:r>
            <w:r w:rsidR="002B7FAF" w:rsidRPr="002B7FAF">
              <w:rPr>
                <w:rFonts w:cs="TimesNewRoman"/>
                <w:sz w:val="24"/>
                <w:szCs w:val="24"/>
              </w:rPr>
              <w:t>.</w:t>
            </w:r>
            <w:r w:rsidR="002B7FAF" w:rsidRPr="002B7FAF">
              <w:rPr>
                <w:sz w:val="24"/>
                <w:szCs w:val="24"/>
              </w:rPr>
              <w:t xml:space="preserve"> </w:t>
            </w:r>
            <w:r w:rsidR="0063667F" w:rsidRPr="002B7FAF">
              <w:rPr>
                <w:sz w:val="24"/>
                <w:szCs w:val="24"/>
              </w:rPr>
              <w:t>We will</w:t>
            </w:r>
            <w:r w:rsidR="00E04405" w:rsidRPr="002B7FAF">
              <w:rPr>
                <w:sz w:val="24"/>
                <w:szCs w:val="24"/>
              </w:rPr>
              <w:t xml:space="preserve"> </w:t>
            </w:r>
            <w:r w:rsidR="00E41AC1">
              <w:rPr>
                <w:sz w:val="24"/>
                <w:szCs w:val="24"/>
              </w:rPr>
              <w:t xml:space="preserve">obtain </w:t>
            </w:r>
            <w:r w:rsidR="00E04405">
              <w:rPr>
                <w:sz w:val="24"/>
                <w:szCs w:val="24"/>
              </w:rPr>
              <w:t>parental permission</w:t>
            </w:r>
            <w:r w:rsidR="00E41AC1">
              <w:rPr>
                <w:sz w:val="24"/>
                <w:szCs w:val="24"/>
              </w:rPr>
              <w:t>/assent</w:t>
            </w:r>
            <w:r w:rsidR="0028500F">
              <w:rPr>
                <w:sz w:val="24"/>
                <w:szCs w:val="24"/>
              </w:rPr>
              <w:t>/consent</w:t>
            </w:r>
            <w:r w:rsidR="002B7FAF">
              <w:rPr>
                <w:sz w:val="24"/>
                <w:szCs w:val="24"/>
              </w:rPr>
              <w:t xml:space="preserve"> for all participants. </w:t>
            </w:r>
            <w:r w:rsidR="002B7FAF" w:rsidRPr="00F931C0">
              <w:rPr>
                <w:sz w:val="24"/>
                <w:szCs w:val="24"/>
              </w:rPr>
              <w:t>Up to 200 participants living in Hayden and Winkelman will be tested. This will include children ages 9</w:t>
            </w:r>
            <w:r w:rsidR="002101B5">
              <w:rPr>
                <w:sz w:val="24"/>
                <w:szCs w:val="24"/>
              </w:rPr>
              <w:t xml:space="preserve"> </w:t>
            </w:r>
            <w:r w:rsidR="002B7FAF" w:rsidRPr="00F931C0">
              <w:rPr>
                <w:sz w:val="24"/>
                <w:szCs w:val="24"/>
              </w:rPr>
              <w:t xml:space="preserve">to </w:t>
            </w:r>
            <w:r w:rsidR="00C23DF8">
              <w:rPr>
                <w:sz w:val="24"/>
                <w:szCs w:val="24"/>
              </w:rPr>
              <w:t>&lt;</w:t>
            </w:r>
            <w:r w:rsidR="002B7FAF" w:rsidRPr="00F931C0">
              <w:rPr>
                <w:sz w:val="24"/>
                <w:szCs w:val="24"/>
              </w:rPr>
              <w:t xml:space="preserve">72 months of age (blood lead testing only) as well as children 6 to </w:t>
            </w:r>
            <w:r w:rsidR="002101B5">
              <w:rPr>
                <w:sz w:val="24"/>
                <w:szCs w:val="24"/>
              </w:rPr>
              <w:t>&lt;</w:t>
            </w:r>
            <w:r w:rsidR="002B7FAF" w:rsidRPr="00F931C0">
              <w:rPr>
                <w:sz w:val="24"/>
                <w:szCs w:val="24"/>
              </w:rPr>
              <w:t>1</w:t>
            </w:r>
            <w:r w:rsidR="002101B5">
              <w:rPr>
                <w:sz w:val="24"/>
                <w:szCs w:val="24"/>
              </w:rPr>
              <w:t>2</w:t>
            </w:r>
            <w:r w:rsidR="002B7FAF" w:rsidRPr="00F931C0">
              <w:rPr>
                <w:sz w:val="24"/>
                <w:szCs w:val="24"/>
              </w:rPr>
              <w:t xml:space="preserve"> years of age and pregnant women (blood lead testing and urine arsenic testing). In addition, if these three participant categories do not fill all 200 availa</w:t>
            </w:r>
            <w:r w:rsidR="002101B5">
              <w:rPr>
                <w:sz w:val="24"/>
                <w:szCs w:val="24"/>
              </w:rPr>
              <w:t xml:space="preserve">ble appointments, </w:t>
            </w:r>
            <w:r w:rsidR="00593097">
              <w:rPr>
                <w:sz w:val="24"/>
                <w:szCs w:val="24"/>
              </w:rPr>
              <w:t xml:space="preserve">adolescents </w:t>
            </w:r>
            <w:r w:rsidR="002101B5">
              <w:rPr>
                <w:sz w:val="24"/>
                <w:szCs w:val="24"/>
              </w:rPr>
              <w:t xml:space="preserve"> 12 to &lt;</w:t>
            </w:r>
            <w:r w:rsidR="002B7FAF" w:rsidRPr="00F931C0">
              <w:rPr>
                <w:sz w:val="24"/>
                <w:szCs w:val="24"/>
              </w:rPr>
              <w:t>1</w:t>
            </w:r>
            <w:r w:rsidR="002101B5">
              <w:rPr>
                <w:sz w:val="24"/>
                <w:szCs w:val="24"/>
              </w:rPr>
              <w:t>8</w:t>
            </w:r>
            <w:r w:rsidR="002B7FAF" w:rsidRPr="00F931C0">
              <w:rPr>
                <w:sz w:val="24"/>
                <w:szCs w:val="24"/>
              </w:rPr>
              <w:t xml:space="preserve"> years of age and women of child bearing age</w:t>
            </w:r>
            <w:r w:rsidR="006A77B4">
              <w:rPr>
                <w:sz w:val="24"/>
                <w:szCs w:val="24"/>
              </w:rPr>
              <w:t xml:space="preserve"> from 1</w:t>
            </w:r>
            <w:r w:rsidR="00372C81">
              <w:rPr>
                <w:sz w:val="24"/>
                <w:szCs w:val="24"/>
              </w:rPr>
              <w:t>5</w:t>
            </w:r>
            <w:r w:rsidR="002101B5">
              <w:rPr>
                <w:sz w:val="24"/>
                <w:szCs w:val="24"/>
              </w:rPr>
              <w:t xml:space="preserve"> to &lt;</w:t>
            </w:r>
            <w:r w:rsidR="002B7FAF" w:rsidRPr="00F931C0">
              <w:rPr>
                <w:sz w:val="24"/>
                <w:szCs w:val="24"/>
              </w:rPr>
              <w:t>4</w:t>
            </w:r>
            <w:r w:rsidR="002101B5">
              <w:rPr>
                <w:sz w:val="24"/>
                <w:szCs w:val="24"/>
              </w:rPr>
              <w:t>5</w:t>
            </w:r>
            <w:r w:rsidR="002B7FAF" w:rsidRPr="00F931C0">
              <w:rPr>
                <w:sz w:val="24"/>
                <w:szCs w:val="24"/>
              </w:rPr>
              <w:t xml:space="preserve"> years</w:t>
            </w:r>
            <w:r w:rsidR="002101B5">
              <w:rPr>
                <w:sz w:val="24"/>
                <w:szCs w:val="24"/>
              </w:rPr>
              <w:t xml:space="preserve"> of age</w:t>
            </w:r>
            <w:r w:rsidR="002B7FAF" w:rsidRPr="00F931C0">
              <w:rPr>
                <w:sz w:val="24"/>
                <w:szCs w:val="24"/>
              </w:rPr>
              <w:t xml:space="preserve"> will be included on a first come, first served basis for blood lead and urine arsenic testing. </w:t>
            </w:r>
          </w:p>
          <w:p w:rsidR="00977D5F" w:rsidRPr="00977D5F" w:rsidRDefault="002B7FAF" w:rsidP="002B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</w:t>
            </w:r>
            <w:r w:rsidR="00E04405">
              <w:rPr>
                <w:sz w:val="24"/>
                <w:szCs w:val="24"/>
              </w:rPr>
              <w:t>compare</w:t>
            </w:r>
            <w:r w:rsidR="006B5535">
              <w:rPr>
                <w:sz w:val="24"/>
                <w:szCs w:val="24"/>
              </w:rPr>
              <w:t xml:space="preserve"> the results with levels of health concern; provide </w:t>
            </w:r>
            <w:r w:rsidR="006B5535">
              <w:rPr>
                <w:sz w:val="24"/>
                <w:szCs w:val="24"/>
              </w:rPr>
              <w:lastRenderedPageBreak/>
              <w:t>participants with their individual results and interpretation/recommendations; and write a summary report</w:t>
            </w:r>
            <w:r w:rsidR="00E36E2D">
              <w:rPr>
                <w:sz w:val="24"/>
                <w:szCs w:val="24"/>
              </w:rPr>
              <w:t xml:space="preserve"> (EI report)</w:t>
            </w:r>
            <w:r w:rsidR="006B5535">
              <w:rPr>
                <w:sz w:val="24"/>
                <w:szCs w:val="24"/>
              </w:rPr>
              <w:t>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Environmental Sampling to be Completed:</w:t>
            </w:r>
          </w:p>
        </w:tc>
        <w:tc>
          <w:tcPr>
            <w:tcW w:w="7128" w:type="dxa"/>
            <w:vAlign w:val="center"/>
          </w:tcPr>
          <w:p w:rsidR="00977D5F" w:rsidRPr="00977D5F" w:rsidRDefault="00F32AA2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Sampling to be Completed:</w:t>
            </w:r>
          </w:p>
        </w:tc>
        <w:tc>
          <w:tcPr>
            <w:tcW w:w="7128" w:type="dxa"/>
            <w:vAlign w:val="center"/>
          </w:tcPr>
          <w:p w:rsidR="00593A63" w:rsidRDefault="00593A63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EB0D65">
              <w:rPr>
                <w:sz w:val="24"/>
                <w:szCs w:val="24"/>
              </w:rPr>
              <w:t xml:space="preserve">p to 200 participants </w:t>
            </w:r>
            <w:r w:rsidR="00ED7345">
              <w:rPr>
                <w:sz w:val="24"/>
                <w:szCs w:val="24"/>
              </w:rPr>
              <w:t xml:space="preserve">living in Hayden and Winkelman </w:t>
            </w:r>
            <w:r>
              <w:rPr>
                <w:sz w:val="24"/>
                <w:szCs w:val="24"/>
              </w:rPr>
              <w:t xml:space="preserve">will be offered testing </w:t>
            </w:r>
            <w:r w:rsidRPr="00EB0D65">
              <w:rPr>
                <w:sz w:val="24"/>
                <w:szCs w:val="24"/>
              </w:rPr>
              <w:t>between the</w:t>
            </w:r>
            <w:r>
              <w:rPr>
                <w:sz w:val="24"/>
                <w:szCs w:val="24"/>
              </w:rPr>
              <w:t xml:space="preserve"> following </w:t>
            </w:r>
            <w:r w:rsidRPr="00EB0D65">
              <w:rPr>
                <w:sz w:val="24"/>
                <w:szCs w:val="24"/>
              </w:rPr>
              <w:t>groups</w:t>
            </w:r>
            <w:r w:rsidR="009B7398">
              <w:rPr>
                <w:sz w:val="24"/>
                <w:szCs w:val="24"/>
              </w:rPr>
              <w:t xml:space="preserve"> (recruitment of children </w:t>
            </w:r>
            <w:r w:rsidR="00EF6B0B">
              <w:rPr>
                <w:sz w:val="24"/>
                <w:szCs w:val="24"/>
              </w:rPr>
              <w:t>9</w:t>
            </w:r>
            <w:r w:rsidR="00D642BE">
              <w:rPr>
                <w:sz w:val="24"/>
                <w:szCs w:val="24"/>
              </w:rPr>
              <w:t xml:space="preserve"> to &lt;72 months of age and pregnant women </w:t>
            </w:r>
            <w:r w:rsidR="009B7398">
              <w:rPr>
                <w:sz w:val="24"/>
                <w:szCs w:val="24"/>
              </w:rPr>
              <w:t xml:space="preserve">will be emphasized </w:t>
            </w:r>
            <w:r w:rsidR="00D642BE">
              <w:rPr>
                <w:sz w:val="24"/>
                <w:szCs w:val="24"/>
              </w:rPr>
              <w:t>before recruiting from the other groups</w:t>
            </w:r>
            <w:r w:rsidR="009B7398">
              <w:rPr>
                <w:sz w:val="24"/>
                <w:szCs w:val="24"/>
              </w:rPr>
              <w:t>):</w:t>
            </w:r>
          </w:p>
          <w:p w:rsidR="00593A63" w:rsidRDefault="00593A63" w:rsidP="005A3D6B">
            <w:pPr>
              <w:rPr>
                <w:sz w:val="24"/>
                <w:szCs w:val="24"/>
              </w:rPr>
            </w:pPr>
          </w:p>
          <w:p w:rsidR="00977D5F" w:rsidRPr="00593A63" w:rsidRDefault="00F32AA2" w:rsidP="005A3D6B">
            <w:pPr>
              <w:rPr>
                <w:sz w:val="24"/>
                <w:szCs w:val="24"/>
              </w:rPr>
            </w:pPr>
            <w:r w:rsidRPr="00854A8B">
              <w:rPr>
                <w:sz w:val="24"/>
                <w:szCs w:val="24"/>
                <w:u w:val="single"/>
              </w:rPr>
              <w:t>Blood lead levels in:</w:t>
            </w:r>
          </w:p>
          <w:p w:rsidR="00F32AA2" w:rsidRPr="00F32AA2" w:rsidRDefault="00F32AA2" w:rsidP="005A3D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</w:t>
            </w:r>
            <w:r w:rsidR="00C2426C">
              <w:rPr>
                <w:sz w:val="24"/>
                <w:szCs w:val="24"/>
              </w:rPr>
              <w:t>9</w:t>
            </w:r>
            <w:r w:rsidR="002101B5">
              <w:rPr>
                <w:sz w:val="24"/>
                <w:szCs w:val="24"/>
              </w:rPr>
              <w:t xml:space="preserve"> </w:t>
            </w:r>
            <w:r w:rsidR="00EB0D65">
              <w:rPr>
                <w:sz w:val="24"/>
                <w:szCs w:val="24"/>
              </w:rPr>
              <w:t xml:space="preserve">to </w:t>
            </w:r>
            <w:r w:rsidR="002101B5">
              <w:rPr>
                <w:sz w:val="24"/>
                <w:szCs w:val="24"/>
              </w:rPr>
              <w:t>&lt;</w:t>
            </w:r>
            <w:r w:rsidR="00EB0D65">
              <w:rPr>
                <w:sz w:val="24"/>
                <w:szCs w:val="24"/>
              </w:rPr>
              <w:t>72 months of age</w:t>
            </w:r>
          </w:p>
          <w:p w:rsidR="002B7FAF" w:rsidRDefault="00F32AA2" w:rsidP="00B50EE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</w:t>
            </w:r>
            <w:r w:rsidR="0007663C">
              <w:rPr>
                <w:sz w:val="24"/>
                <w:szCs w:val="24"/>
              </w:rPr>
              <w:t xml:space="preserve">6 to </w:t>
            </w:r>
            <w:r w:rsidR="002101B5">
              <w:rPr>
                <w:sz w:val="24"/>
                <w:szCs w:val="24"/>
              </w:rPr>
              <w:t>&lt;</w:t>
            </w:r>
            <w:r w:rsidR="0007663C">
              <w:rPr>
                <w:sz w:val="24"/>
                <w:szCs w:val="24"/>
              </w:rPr>
              <w:t>1</w:t>
            </w:r>
            <w:r w:rsidR="002101B5">
              <w:rPr>
                <w:sz w:val="24"/>
                <w:szCs w:val="24"/>
              </w:rPr>
              <w:t>2</w:t>
            </w:r>
            <w:r w:rsidR="0007663C">
              <w:rPr>
                <w:sz w:val="24"/>
                <w:szCs w:val="24"/>
              </w:rPr>
              <w:t xml:space="preserve"> years </w:t>
            </w:r>
            <w:r w:rsidR="004B252F">
              <w:rPr>
                <w:sz w:val="24"/>
                <w:szCs w:val="24"/>
              </w:rPr>
              <w:t>of age</w:t>
            </w:r>
            <w:r w:rsidR="0007663C">
              <w:rPr>
                <w:sz w:val="24"/>
                <w:szCs w:val="24"/>
              </w:rPr>
              <w:t xml:space="preserve"> </w:t>
            </w:r>
          </w:p>
          <w:p w:rsidR="002B7FAF" w:rsidRDefault="002B7FAF" w:rsidP="00B50EE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F656A" w:rsidRPr="000F454D">
              <w:rPr>
                <w:sz w:val="24"/>
                <w:szCs w:val="24"/>
              </w:rPr>
              <w:t>regnant women</w:t>
            </w:r>
          </w:p>
          <w:p w:rsidR="00EF656A" w:rsidRPr="00854A8B" w:rsidRDefault="00DD34BD" w:rsidP="00B50EEF">
            <w:pPr>
              <w:rPr>
                <w:sz w:val="24"/>
                <w:szCs w:val="24"/>
                <w:u w:val="single"/>
              </w:rPr>
            </w:pPr>
            <w:r w:rsidRPr="003A3692">
              <w:rPr>
                <w:sz w:val="24"/>
                <w:szCs w:val="24"/>
                <w:u w:val="single"/>
              </w:rPr>
              <w:t xml:space="preserve">Urine </w:t>
            </w:r>
            <w:r w:rsidR="00EB0D65">
              <w:rPr>
                <w:sz w:val="24"/>
                <w:szCs w:val="24"/>
                <w:u w:val="single"/>
              </w:rPr>
              <w:t>Arsenic in</w:t>
            </w:r>
            <w:r w:rsidR="00EF656A" w:rsidRPr="00854A8B">
              <w:rPr>
                <w:sz w:val="24"/>
                <w:szCs w:val="24"/>
                <w:u w:val="single"/>
              </w:rPr>
              <w:t>:</w:t>
            </w:r>
          </w:p>
          <w:p w:rsidR="002B7FAF" w:rsidRDefault="00EF656A" w:rsidP="002B7FA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</w:t>
            </w:r>
            <w:r w:rsidR="00446811">
              <w:rPr>
                <w:sz w:val="24"/>
                <w:szCs w:val="24"/>
              </w:rPr>
              <w:t xml:space="preserve">6 to </w:t>
            </w:r>
            <w:r w:rsidR="002101B5">
              <w:rPr>
                <w:sz w:val="24"/>
                <w:szCs w:val="24"/>
              </w:rPr>
              <w:t>&lt;</w:t>
            </w:r>
            <w:r w:rsidR="00446811">
              <w:rPr>
                <w:sz w:val="24"/>
                <w:szCs w:val="24"/>
              </w:rPr>
              <w:t>1</w:t>
            </w:r>
            <w:r w:rsidR="002101B5">
              <w:rPr>
                <w:sz w:val="24"/>
                <w:szCs w:val="24"/>
              </w:rPr>
              <w:t>2</w:t>
            </w:r>
            <w:r w:rsidR="00446811">
              <w:rPr>
                <w:sz w:val="24"/>
                <w:szCs w:val="24"/>
              </w:rPr>
              <w:t xml:space="preserve"> years o</w:t>
            </w:r>
            <w:r w:rsidR="002101B5">
              <w:rPr>
                <w:sz w:val="24"/>
                <w:szCs w:val="24"/>
              </w:rPr>
              <w:t>f age</w:t>
            </w:r>
            <w:r w:rsidR="0007663C">
              <w:rPr>
                <w:sz w:val="24"/>
                <w:szCs w:val="24"/>
              </w:rPr>
              <w:t xml:space="preserve"> </w:t>
            </w:r>
            <w:r w:rsidR="0063667F">
              <w:rPr>
                <w:sz w:val="24"/>
                <w:szCs w:val="24"/>
              </w:rPr>
              <w:t xml:space="preserve"> </w:t>
            </w:r>
          </w:p>
          <w:p w:rsidR="00EB0D65" w:rsidRDefault="00EB0D65" w:rsidP="00EB0D6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Pregnant Women</w:t>
            </w:r>
          </w:p>
          <w:p w:rsidR="00EB0D65" w:rsidRDefault="00EB0D65" w:rsidP="00EB0D65">
            <w:pPr>
              <w:rPr>
                <w:sz w:val="24"/>
                <w:szCs w:val="24"/>
              </w:rPr>
            </w:pPr>
          </w:p>
          <w:p w:rsidR="00593A63" w:rsidRDefault="00593A63" w:rsidP="00593A63">
            <w:pPr>
              <w:rPr>
                <w:sz w:val="24"/>
                <w:szCs w:val="24"/>
              </w:rPr>
            </w:pPr>
            <w:r w:rsidRPr="00F931C0">
              <w:rPr>
                <w:sz w:val="24"/>
                <w:szCs w:val="24"/>
              </w:rPr>
              <w:t>In addition, if the</w:t>
            </w:r>
            <w:r>
              <w:rPr>
                <w:sz w:val="24"/>
                <w:szCs w:val="24"/>
              </w:rPr>
              <w:t xml:space="preserve"> participant groups above </w:t>
            </w:r>
            <w:r w:rsidRPr="00F931C0">
              <w:rPr>
                <w:sz w:val="24"/>
                <w:szCs w:val="24"/>
              </w:rPr>
              <w:t>do not fill all 200 available appointments</w:t>
            </w:r>
            <w:r>
              <w:rPr>
                <w:sz w:val="24"/>
                <w:szCs w:val="24"/>
              </w:rPr>
              <w:t xml:space="preserve"> the following groups will be offered testing </w:t>
            </w:r>
            <w:r w:rsidRPr="00F931C0">
              <w:rPr>
                <w:sz w:val="24"/>
                <w:szCs w:val="24"/>
              </w:rPr>
              <w:t>for blood lead and urine arsenic testing on a first come, first served basis</w:t>
            </w:r>
            <w:r>
              <w:rPr>
                <w:sz w:val="24"/>
                <w:szCs w:val="24"/>
              </w:rPr>
              <w:t>:</w:t>
            </w:r>
          </w:p>
          <w:p w:rsidR="00DA45A1" w:rsidRDefault="00DA45A1" w:rsidP="00593A63">
            <w:pPr>
              <w:rPr>
                <w:sz w:val="24"/>
                <w:szCs w:val="24"/>
              </w:rPr>
            </w:pPr>
          </w:p>
          <w:p w:rsidR="00593A63" w:rsidRDefault="00DE1390" w:rsidP="00593A6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Adolescents</w:t>
            </w:r>
            <w:r w:rsidR="00437501">
              <w:rPr>
                <w:sz w:val="24"/>
                <w:szCs w:val="24"/>
              </w:rPr>
              <w:t xml:space="preserve"> </w:t>
            </w:r>
            <w:r w:rsidR="00593A63" w:rsidRPr="00F931C0">
              <w:rPr>
                <w:sz w:val="24"/>
                <w:szCs w:val="24"/>
              </w:rPr>
              <w:t xml:space="preserve"> </w:t>
            </w:r>
            <w:r w:rsidR="002101B5" w:rsidRPr="00F931C0">
              <w:rPr>
                <w:sz w:val="24"/>
                <w:szCs w:val="24"/>
              </w:rPr>
              <w:t xml:space="preserve">12 </w:t>
            </w:r>
            <w:r w:rsidR="002101B5">
              <w:rPr>
                <w:sz w:val="24"/>
                <w:szCs w:val="24"/>
              </w:rPr>
              <w:t>to &lt;</w:t>
            </w:r>
            <w:r w:rsidR="002101B5" w:rsidRPr="00F931C0">
              <w:rPr>
                <w:sz w:val="24"/>
                <w:szCs w:val="24"/>
              </w:rPr>
              <w:t>1</w:t>
            </w:r>
            <w:r w:rsidR="002101B5">
              <w:rPr>
                <w:sz w:val="24"/>
                <w:szCs w:val="24"/>
              </w:rPr>
              <w:t>8</w:t>
            </w:r>
            <w:r w:rsidR="002101B5" w:rsidRPr="00F931C0">
              <w:rPr>
                <w:sz w:val="24"/>
                <w:szCs w:val="24"/>
              </w:rPr>
              <w:t xml:space="preserve"> </w:t>
            </w:r>
            <w:r w:rsidR="00593A63" w:rsidRPr="00F931C0">
              <w:rPr>
                <w:sz w:val="24"/>
                <w:szCs w:val="24"/>
              </w:rPr>
              <w:t>years of age</w:t>
            </w:r>
          </w:p>
          <w:p w:rsidR="00593A63" w:rsidRPr="00EB0D65" w:rsidRDefault="00593A63" w:rsidP="00593A6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F931C0">
              <w:rPr>
                <w:sz w:val="24"/>
                <w:szCs w:val="24"/>
              </w:rPr>
              <w:t xml:space="preserve">omen of child bearing age from </w:t>
            </w:r>
            <w:r w:rsidR="00372C81">
              <w:rPr>
                <w:sz w:val="24"/>
                <w:szCs w:val="24"/>
              </w:rPr>
              <w:t>15</w:t>
            </w:r>
            <w:r w:rsidRPr="00F931C0">
              <w:rPr>
                <w:sz w:val="24"/>
                <w:szCs w:val="24"/>
              </w:rPr>
              <w:t xml:space="preserve"> to </w:t>
            </w:r>
            <w:r w:rsidR="002101B5">
              <w:rPr>
                <w:sz w:val="24"/>
                <w:szCs w:val="24"/>
              </w:rPr>
              <w:t>&lt;</w:t>
            </w:r>
            <w:r w:rsidRPr="00F931C0">
              <w:rPr>
                <w:sz w:val="24"/>
                <w:szCs w:val="24"/>
              </w:rPr>
              <w:t>4</w:t>
            </w:r>
            <w:r w:rsidR="002101B5">
              <w:rPr>
                <w:sz w:val="24"/>
                <w:szCs w:val="24"/>
              </w:rPr>
              <w:t>5</w:t>
            </w:r>
            <w:r w:rsidRPr="00F931C0">
              <w:rPr>
                <w:sz w:val="24"/>
                <w:szCs w:val="24"/>
              </w:rPr>
              <w:t xml:space="preserve"> years</w:t>
            </w:r>
            <w:r>
              <w:rPr>
                <w:sz w:val="24"/>
                <w:szCs w:val="24"/>
              </w:rPr>
              <w:t xml:space="preserve"> of age</w:t>
            </w:r>
          </w:p>
          <w:p w:rsidR="00EB0D65" w:rsidRPr="00593A63" w:rsidRDefault="00EB0D65" w:rsidP="00593A63">
            <w:pPr>
              <w:rPr>
                <w:sz w:val="24"/>
                <w:szCs w:val="24"/>
              </w:rPr>
            </w:pP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Collection and Analysis Procedures:</w:t>
            </w:r>
          </w:p>
        </w:tc>
        <w:tc>
          <w:tcPr>
            <w:tcW w:w="7128" w:type="dxa"/>
            <w:vAlign w:val="center"/>
          </w:tcPr>
          <w:p w:rsidR="004B0DC0" w:rsidRDefault="00B65000" w:rsidP="004B0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Recruitment of Participants:</w:t>
            </w:r>
            <w:r w:rsidR="004B0DC0">
              <w:rPr>
                <w:sz w:val="24"/>
                <w:szCs w:val="24"/>
                <w:u w:val="single"/>
              </w:rPr>
              <w:t xml:space="preserve"> </w:t>
            </w:r>
            <w:r w:rsidR="004B0DC0">
              <w:t>Supporting Statements A and B are provided in Attachments 1 and 2. The Supporting Statements outline the EI data collection and analysis procedures.</w:t>
            </w:r>
            <w:r w:rsidR="004B0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There are two </w:t>
            </w:r>
            <w:r w:rsidR="0011153A">
              <w:rPr>
                <w:sz w:val="24"/>
                <w:szCs w:val="24"/>
              </w:rPr>
              <w:t xml:space="preserve">communities </w:t>
            </w:r>
            <w:r>
              <w:rPr>
                <w:sz w:val="24"/>
                <w:szCs w:val="24"/>
              </w:rPr>
              <w:t>located</w:t>
            </w:r>
            <w:r w:rsidR="00E72879">
              <w:rPr>
                <w:sz w:val="24"/>
                <w:szCs w:val="24"/>
              </w:rPr>
              <w:t xml:space="preserve"> </w:t>
            </w:r>
            <w:r w:rsidR="0011153A">
              <w:rPr>
                <w:sz w:val="24"/>
                <w:szCs w:val="24"/>
              </w:rPr>
              <w:t xml:space="preserve">in close proximity to the current and historical </w:t>
            </w:r>
            <w:r>
              <w:rPr>
                <w:sz w:val="24"/>
                <w:szCs w:val="24"/>
              </w:rPr>
              <w:t xml:space="preserve">smelter location. These </w:t>
            </w:r>
            <w:r w:rsidR="0011153A">
              <w:rPr>
                <w:sz w:val="24"/>
                <w:szCs w:val="24"/>
              </w:rPr>
              <w:t>communities</w:t>
            </w:r>
            <w:r>
              <w:rPr>
                <w:sz w:val="24"/>
                <w:szCs w:val="24"/>
              </w:rPr>
              <w:t xml:space="preserve"> will be canvased and participants will be identified from the</w:t>
            </w:r>
            <w:r w:rsidR="0011153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  <w:p w:rsidR="00593A63" w:rsidRDefault="00593A63" w:rsidP="004B0DC0">
            <w:pPr>
              <w:rPr>
                <w:sz w:val="24"/>
                <w:szCs w:val="24"/>
              </w:rPr>
            </w:pPr>
          </w:p>
          <w:p w:rsidR="0076482D" w:rsidRDefault="00593A63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Collection:</w:t>
            </w:r>
            <w:r w:rsidR="005A6D67">
              <w:rPr>
                <w:sz w:val="24"/>
                <w:szCs w:val="24"/>
              </w:rPr>
              <w:t xml:space="preserve"> </w:t>
            </w:r>
            <w:r w:rsidR="0076482D">
              <w:rPr>
                <w:sz w:val="24"/>
                <w:szCs w:val="24"/>
              </w:rPr>
              <w:t xml:space="preserve">All participants will be provided </w:t>
            </w:r>
            <w:r w:rsidR="00E41AC1">
              <w:rPr>
                <w:sz w:val="24"/>
                <w:szCs w:val="24"/>
              </w:rPr>
              <w:t xml:space="preserve">a </w:t>
            </w:r>
            <w:r w:rsidR="00854A8B">
              <w:rPr>
                <w:sz w:val="24"/>
                <w:szCs w:val="24"/>
              </w:rPr>
              <w:t>parental permission</w:t>
            </w:r>
            <w:r w:rsidR="005C389D">
              <w:rPr>
                <w:sz w:val="24"/>
                <w:szCs w:val="24"/>
              </w:rPr>
              <w:t>/</w:t>
            </w:r>
            <w:r w:rsidR="00E41AC1">
              <w:rPr>
                <w:sz w:val="24"/>
                <w:szCs w:val="24"/>
              </w:rPr>
              <w:t>assent/</w:t>
            </w:r>
            <w:r w:rsidR="005C389D">
              <w:rPr>
                <w:sz w:val="24"/>
                <w:szCs w:val="24"/>
              </w:rPr>
              <w:t>consent</w:t>
            </w:r>
            <w:r w:rsidR="0076482D">
              <w:rPr>
                <w:sz w:val="24"/>
                <w:szCs w:val="24"/>
              </w:rPr>
              <w:t xml:space="preserve"> form to sign (</w:t>
            </w:r>
            <w:r w:rsidR="00E27222">
              <w:rPr>
                <w:sz w:val="24"/>
                <w:szCs w:val="24"/>
              </w:rPr>
              <w:t xml:space="preserve">Attachment </w:t>
            </w:r>
            <w:r w:rsidR="00B348E2">
              <w:rPr>
                <w:sz w:val="24"/>
                <w:szCs w:val="24"/>
              </w:rPr>
              <w:t>3</w:t>
            </w:r>
            <w:r w:rsidR="0076482D">
              <w:rPr>
                <w:sz w:val="24"/>
                <w:szCs w:val="24"/>
              </w:rPr>
              <w:t xml:space="preserve">) and will be asked </w:t>
            </w:r>
            <w:r w:rsidR="00E27222">
              <w:rPr>
                <w:sz w:val="24"/>
                <w:szCs w:val="24"/>
              </w:rPr>
              <w:t>questions to allow a better interpretation of the</w:t>
            </w:r>
            <w:r w:rsidR="00B54838">
              <w:rPr>
                <w:sz w:val="24"/>
                <w:szCs w:val="24"/>
              </w:rPr>
              <w:t xml:space="preserve">ir </w:t>
            </w:r>
            <w:r w:rsidR="0078138E">
              <w:rPr>
                <w:sz w:val="24"/>
                <w:szCs w:val="24"/>
              </w:rPr>
              <w:t xml:space="preserve">blood and urine </w:t>
            </w:r>
            <w:r w:rsidR="00E27222">
              <w:rPr>
                <w:sz w:val="24"/>
                <w:szCs w:val="24"/>
              </w:rPr>
              <w:t xml:space="preserve">results. The questionnaire to be used in the EI is attached (Attachment </w:t>
            </w:r>
            <w:r w:rsidR="00B348E2">
              <w:rPr>
                <w:sz w:val="24"/>
                <w:szCs w:val="24"/>
              </w:rPr>
              <w:t>4</w:t>
            </w:r>
            <w:r w:rsidR="00E27222">
              <w:rPr>
                <w:sz w:val="24"/>
                <w:szCs w:val="24"/>
              </w:rPr>
              <w:t>)</w:t>
            </w:r>
            <w:r w:rsidR="005A6D67">
              <w:rPr>
                <w:sz w:val="24"/>
                <w:szCs w:val="24"/>
              </w:rPr>
              <w:t>, and is estimated to take 20 minutes to complete.</w:t>
            </w:r>
          </w:p>
          <w:p w:rsidR="001C2596" w:rsidRPr="00B348E2" w:rsidRDefault="001C2596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AC57A7">
              <w:rPr>
                <w:sz w:val="24"/>
                <w:szCs w:val="24"/>
              </w:rPr>
              <w:t xml:space="preserve">human </w:t>
            </w:r>
            <w:proofErr w:type="gramStart"/>
            <w:r w:rsidR="00AC57A7">
              <w:rPr>
                <w:sz w:val="24"/>
                <w:szCs w:val="24"/>
              </w:rPr>
              <w:t>subjects</w:t>
            </w:r>
            <w:proofErr w:type="gramEnd"/>
            <w:r>
              <w:rPr>
                <w:sz w:val="24"/>
                <w:szCs w:val="24"/>
              </w:rPr>
              <w:t xml:space="preserve"> documentation is provided in Attachment </w:t>
            </w:r>
            <w:r w:rsidR="00B348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="00245FE8">
              <w:rPr>
                <w:sz w:val="24"/>
                <w:szCs w:val="24"/>
              </w:rPr>
              <w:t>The EI</w:t>
            </w:r>
            <w:r w:rsidRPr="001C2596">
              <w:rPr>
                <w:sz w:val="24"/>
                <w:szCs w:val="24"/>
              </w:rPr>
              <w:t xml:space="preserve"> is not considered a research study</w:t>
            </w:r>
            <w:r w:rsidR="008529CA">
              <w:rPr>
                <w:sz w:val="24"/>
                <w:szCs w:val="24"/>
              </w:rPr>
              <w:t>;</w:t>
            </w:r>
            <w:r w:rsidRPr="001C2596">
              <w:rPr>
                <w:sz w:val="24"/>
                <w:szCs w:val="24"/>
              </w:rPr>
              <w:t xml:space="preserve"> </w:t>
            </w:r>
            <w:r w:rsidR="008529CA">
              <w:rPr>
                <w:sz w:val="24"/>
                <w:szCs w:val="24"/>
              </w:rPr>
              <w:t>i</w:t>
            </w:r>
            <w:r w:rsidRPr="001C2596">
              <w:rPr>
                <w:sz w:val="24"/>
                <w:szCs w:val="24"/>
              </w:rPr>
              <w:t>ts primary intent is public health practice</w:t>
            </w:r>
            <w:r>
              <w:rPr>
                <w:sz w:val="24"/>
                <w:szCs w:val="24"/>
              </w:rPr>
              <w:t>.</w:t>
            </w:r>
          </w:p>
          <w:p w:rsidR="006C2E1C" w:rsidRDefault="00B22001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will be obtained using </w:t>
            </w:r>
            <w:r w:rsidR="0076482D">
              <w:rPr>
                <w:sz w:val="24"/>
                <w:szCs w:val="24"/>
              </w:rPr>
              <w:t>certified phlebotomists</w:t>
            </w:r>
            <w:r w:rsidR="005202A1">
              <w:rPr>
                <w:sz w:val="24"/>
                <w:szCs w:val="24"/>
              </w:rPr>
              <w:t xml:space="preserve"> at a designated location within the community</w:t>
            </w:r>
            <w:r w:rsidR="0076482D">
              <w:rPr>
                <w:sz w:val="24"/>
                <w:szCs w:val="24"/>
              </w:rPr>
              <w:t xml:space="preserve">. ATSDR personnel will pack and ship the samples </w:t>
            </w:r>
            <w:r w:rsidR="00D3577B">
              <w:rPr>
                <w:sz w:val="24"/>
                <w:szCs w:val="24"/>
              </w:rPr>
              <w:t xml:space="preserve">overnight </w:t>
            </w:r>
            <w:r w:rsidR="0076482D">
              <w:rPr>
                <w:sz w:val="24"/>
                <w:szCs w:val="24"/>
              </w:rPr>
              <w:t xml:space="preserve">to the </w:t>
            </w:r>
            <w:r w:rsidR="00D3577B">
              <w:rPr>
                <w:sz w:val="24"/>
                <w:szCs w:val="24"/>
              </w:rPr>
              <w:t xml:space="preserve">NCEH </w:t>
            </w:r>
            <w:r w:rsidR="0076482D">
              <w:rPr>
                <w:sz w:val="24"/>
                <w:szCs w:val="24"/>
              </w:rPr>
              <w:t>laboratory</w:t>
            </w:r>
            <w:r w:rsidR="006C23C0">
              <w:rPr>
                <w:sz w:val="24"/>
                <w:szCs w:val="24"/>
              </w:rPr>
              <w:t xml:space="preserve"> from the blood collection site</w:t>
            </w:r>
            <w:r w:rsidR="0076482D">
              <w:rPr>
                <w:sz w:val="24"/>
                <w:szCs w:val="24"/>
              </w:rPr>
              <w:t>.</w:t>
            </w:r>
            <w:r w:rsidR="008D593A">
              <w:rPr>
                <w:sz w:val="24"/>
                <w:szCs w:val="24"/>
              </w:rPr>
              <w:t xml:space="preserve"> Collection of the blood sample is estimated to take 10 minutes to </w:t>
            </w:r>
            <w:r w:rsidR="008D593A">
              <w:rPr>
                <w:sz w:val="24"/>
                <w:szCs w:val="24"/>
              </w:rPr>
              <w:lastRenderedPageBreak/>
              <w:t>complete.</w:t>
            </w:r>
          </w:p>
          <w:p w:rsidR="00E36E2D" w:rsidRDefault="005202A1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will be given a </w:t>
            </w:r>
            <w:r w:rsidR="00D3577B">
              <w:rPr>
                <w:sz w:val="24"/>
                <w:szCs w:val="24"/>
              </w:rPr>
              <w:t>specimen cup</w:t>
            </w:r>
            <w:r>
              <w:rPr>
                <w:sz w:val="24"/>
                <w:szCs w:val="24"/>
              </w:rPr>
              <w:t xml:space="preserve"> for urine</w:t>
            </w:r>
            <w:r w:rsidR="00D3577B">
              <w:rPr>
                <w:sz w:val="24"/>
                <w:szCs w:val="24"/>
              </w:rPr>
              <w:t xml:space="preserve"> void collection</w:t>
            </w:r>
            <w:r w:rsidR="00E36E2D">
              <w:rPr>
                <w:sz w:val="24"/>
                <w:szCs w:val="24"/>
              </w:rPr>
              <w:t xml:space="preserve"> when they are recruited</w:t>
            </w:r>
            <w:r>
              <w:rPr>
                <w:sz w:val="24"/>
                <w:szCs w:val="24"/>
              </w:rPr>
              <w:t xml:space="preserve">. </w:t>
            </w:r>
            <w:r w:rsidR="007B53F4">
              <w:rPr>
                <w:sz w:val="24"/>
                <w:szCs w:val="24"/>
              </w:rPr>
              <w:t xml:space="preserve">They will be asked to collect a </w:t>
            </w:r>
            <w:r w:rsidR="00E36E2D">
              <w:rPr>
                <w:sz w:val="24"/>
                <w:szCs w:val="24"/>
              </w:rPr>
              <w:t xml:space="preserve">spot </w:t>
            </w:r>
            <w:r w:rsidR="007B53F4">
              <w:rPr>
                <w:sz w:val="24"/>
                <w:szCs w:val="24"/>
              </w:rPr>
              <w:t>sample</w:t>
            </w:r>
            <w:r w:rsidR="006C23C0">
              <w:rPr>
                <w:sz w:val="24"/>
                <w:szCs w:val="24"/>
              </w:rPr>
              <w:t xml:space="preserve"> of urine</w:t>
            </w:r>
            <w:r w:rsidR="007B53F4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>the morning of the</w:t>
            </w:r>
            <w:r w:rsidR="007B53F4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appointment date to collect </w:t>
            </w:r>
            <w:r w:rsidR="006C23C0">
              <w:rPr>
                <w:sz w:val="24"/>
                <w:szCs w:val="24"/>
              </w:rPr>
              <w:t>blood</w:t>
            </w:r>
            <w:r w:rsidR="007B53F4">
              <w:rPr>
                <w:sz w:val="24"/>
                <w:szCs w:val="24"/>
              </w:rPr>
              <w:t>. EI</w:t>
            </w:r>
            <w:r w:rsidR="00EF6EF2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personnel will </w:t>
            </w:r>
            <w:r>
              <w:rPr>
                <w:sz w:val="24"/>
                <w:szCs w:val="24"/>
              </w:rPr>
              <w:t xml:space="preserve">pack </w:t>
            </w:r>
            <w:r w:rsidR="00EF6EF2">
              <w:rPr>
                <w:sz w:val="24"/>
                <w:szCs w:val="24"/>
              </w:rPr>
              <w:t>and ship the</w:t>
            </w:r>
            <w:r w:rsidR="006C23C0">
              <w:rPr>
                <w:sz w:val="24"/>
                <w:szCs w:val="24"/>
              </w:rPr>
              <w:t xml:space="preserve"> samples</w:t>
            </w:r>
            <w:r w:rsidR="00EF6EF2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overnight </w:t>
            </w:r>
            <w:r w:rsidR="006C23C0">
              <w:rPr>
                <w:sz w:val="24"/>
                <w:szCs w:val="24"/>
              </w:rPr>
              <w:t xml:space="preserve">to the NCEH laboratory </w:t>
            </w:r>
            <w:r w:rsidR="00EF6EF2">
              <w:rPr>
                <w:sz w:val="24"/>
                <w:szCs w:val="24"/>
              </w:rPr>
              <w:t>from the blood collection site.</w:t>
            </w:r>
            <w:r w:rsidR="00EF6EF2" w:rsidDel="00EF6EF2">
              <w:rPr>
                <w:sz w:val="24"/>
                <w:szCs w:val="24"/>
              </w:rPr>
              <w:t xml:space="preserve"> </w:t>
            </w:r>
          </w:p>
          <w:p w:rsidR="006C2E1C" w:rsidRPr="000F454D" w:rsidRDefault="006C2E1C" w:rsidP="00B50EEF">
            <w:pPr>
              <w:rPr>
                <w:sz w:val="24"/>
                <w:szCs w:val="24"/>
                <w:u w:val="single"/>
              </w:rPr>
            </w:pPr>
            <w:r w:rsidRPr="000F454D">
              <w:rPr>
                <w:sz w:val="24"/>
                <w:szCs w:val="24"/>
                <w:u w:val="single"/>
              </w:rPr>
              <w:t>Analysis:</w:t>
            </w:r>
          </w:p>
          <w:p w:rsidR="006C2E1C" w:rsidRDefault="006C2E1C" w:rsidP="00B50EE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and urine samples will be </w:t>
            </w:r>
            <w:r w:rsidR="00BA09ED">
              <w:rPr>
                <w:sz w:val="24"/>
                <w:szCs w:val="24"/>
              </w:rPr>
              <w:t>analy</w:t>
            </w:r>
            <w:r w:rsidR="00E36E2D">
              <w:rPr>
                <w:sz w:val="24"/>
                <w:szCs w:val="24"/>
              </w:rPr>
              <w:t>z</w:t>
            </w:r>
            <w:r w:rsidR="00BA09ED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by the NCEH laboratory </w:t>
            </w:r>
            <w:r w:rsidR="00AC47D1">
              <w:rPr>
                <w:sz w:val="24"/>
                <w:szCs w:val="24"/>
              </w:rPr>
              <w:t>using state-of-art laboratory methods</w:t>
            </w:r>
          </w:p>
          <w:p w:rsidR="00AC47D1" w:rsidRPr="006C2E1C" w:rsidRDefault="00AC47D1" w:rsidP="00B50EE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arsenic in urine will be </w:t>
            </w:r>
            <w:proofErr w:type="spellStart"/>
            <w:r>
              <w:rPr>
                <w:sz w:val="24"/>
                <w:szCs w:val="24"/>
              </w:rPr>
              <w:t>speciated</w:t>
            </w:r>
            <w:proofErr w:type="spellEnd"/>
            <w:r w:rsidR="00B22001">
              <w:rPr>
                <w:sz w:val="24"/>
                <w:szCs w:val="24"/>
              </w:rPr>
              <w:t xml:space="preserve"> </w:t>
            </w:r>
            <w:r w:rsidR="00366F48">
              <w:rPr>
                <w:sz w:val="24"/>
                <w:szCs w:val="24"/>
              </w:rPr>
              <w:t xml:space="preserve">to differentiate between organic and inorganic arsenic </w:t>
            </w:r>
            <w:r w:rsidR="00B22001">
              <w:rPr>
                <w:sz w:val="24"/>
                <w:szCs w:val="24"/>
              </w:rPr>
              <w:t>if</w:t>
            </w:r>
            <w:r w:rsidR="00366F48">
              <w:rPr>
                <w:sz w:val="24"/>
                <w:szCs w:val="24"/>
              </w:rPr>
              <w:t xml:space="preserve"> </w:t>
            </w:r>
            <w:r w:rsidR="00B22001">
              <w:rPr>
                <w:sz w:val="24"/>
                <w:szCs w:val="24"/>
              </w:rPr>
              <w:t xml:space="preserve">levels exceed </w:t>
            </w:r>
            <w:r w:rsidR="00366F48">
              <w:rPr>
                <w:sz w:val="24"/>
                <w:szCs w:val="24"/>
              </w:rPr>
              <w:t xml:space="preserve">28.4 </w:t>
            </w:r>
            <w:r w:rsidR="003A3692">
              <w:rPr>
                <w:sz w:val="24"/>
                <w:szCs w:val="24"/>
              </w:rPr>
              <w:t>µ</w:t>
            </w:r>
            <w:r w:rsidR="00366F48">
              <w:rPr>
                <w:sz w:val="24"/>
                <w:szCs w:val="24"/>
              </w:rPr>
              <w:t>g</w:t>
            </w:r>
            <w:r w:rsidR="005A6D67">
              <w:rPr>
                <w:sz w:val="24"/>
                <w:szCs w:val="24"/>
              </w:rPr>
              <w:t xml:space="preserve"> </w:t>
            </w:r>
            <w:proofErr w:type="gramStart"/>
            <w:r w:rsidR="005A6D67">
              <w:rPr>
                <w:sz w:val="24"/>
                <w:szCs w:val="24"/>
              </w:rPr>
              <w:t>As</w:t>
            </w:r>
            <w:r w:rsidR="00366F48">
              <w:rPr>
                <w:sz w:val="24"/>
                <w:szCs w:val="24"/>
              </w:rPr>
              <w:t>/</w:t>
            </w:r>
            <w:proofErr w:type="gramEnd"/>
            <w:r w:rsidR="00366F48">
              <w:rPr>
                <w:sz w:val="24"/>
                <w:szCs w:val="24"/>
              </w:rPr>
              <w:t>g</w:t>
            </w:r>
            <w:r w:rsidR="005A6D67">
              <w:rPr>
                <w:sz w:val="24"/>
                <w:szCs w:val="24"/>
              </w:rPr>
              <w:t xml:space="preserve"> creatinine</w:t>
            </w:r>
            <w:r w:rsidR="00366F48">
              <w:rPr>
                <w:sz w:val="24"/>
                <w:szCs w:val="24"/>
              </w:rPr>
              <w:t>.</w:t>
            </w:r>
          </w:p>
          <w:p w:rsidR="006C2E1C" w:rsidRPr="00977D5F" w:rsidRDefault="006C2E1C" w:rsidP="00B50EEF">
            <w:pPr>
              <w:rPr>
                <w:sz w:val="24"/>
                <w:szCs w:val="24"/>
              </w:rPr>
            </w:pP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Information Collection Mode (in-person or remote):</w:t>
            </w:r>
          </w:p>
        </w:tc>
        <w:tc>
          <w:tcPr>
            <w:tcW w:w="7128" w:type="dxa"/>
            <w:vAlign w:val="center"/>
          </w:tcPr>
          <w:p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Payment to Participant (if applicable):</w:t>
            </w:r>
          </w:p>
        </w:tc>
        <w:tc>
          <w:tcPr>
            <w:tcW w:w="7128" w:type="dxa"/>
            <w:vAlign w:val="center"/>
          </w:tcPr>
          <w:p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DD64AD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Privacy</w:t>
            </w:r>
            <w:r w:rsidR="00977D5F">
              <w:rPr>
                <w:b/>
                <w:sz w:val="24"/>
                <w:szCs w:val="24"/>
              </w:rPr>
              <w:t xml:space="preserve"> Protections:</w:t>
            </w:r>
          </w:p>
        </w:tc>
        <w:tc>
          <w:tcPr>
            <w:tcW w:w="7128" w:type="dxa"/>
            <w:vAlign w:val="center"/>
          </w:tcPr>
          <w:p w:rsidR="00977D5F" w:rsidRPr="00977D5F" w:rsidRDefault="00DD64AD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</w:t>
            </w:r>
            <w:r w:rsidR="00446811">
              <w:rPr>
                <w:sz w:val="24"/>
                <w:szCs w:val="24"/>
              </w:rPr>
              <w:t xml:space="preserve"> will be protected to the fullest extent of the law.  </w:t>
            </w:r>
            <w:r w:rsidR="00797694" w:rsidRPr="000F454D">
              <w:rPr>
                <w:sz w:val="24"/>
                <w:szCs w:val="24"/>
              </w:rPr>
              <w:t xml:space="preserve">The consent forms contain information about </w:t>
            </w:r>
            <w:r>
              <w:rPr>
                <w:sz w:val="24"/>
                <w:szCs w:val="24"/>
              </w:rPr>
              <w:t>privacy</w:t>
            </w:r>
            <w:r w:rsidR="00797694" w:rsidRPr="000F454D">
              <w:rPr>
                <w:sz w:val="24"/>
                <w:szCs w:val="24"/>
              </w:rPr>
              <w:t xml:space="preserve"> expectations.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Ethical Concerns/Issues:</w:t>
            </w:r>
          </w:p>
        </w:tc>
        <w:tc>
          <w:tcPr>
            <w:tcW w:w="7128" w:type="dxa"/>
          </w:tcPr>
          <w:p w:rsidR="00977D5F" w:rsidRPr="00977D5F" w:rsidRDefault="00C2426C" w:rsidP="006C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Blood will be drawn from children </w:t>
            </w:r>
            <w:r w:rsidR="006C23C0">
              <w:rPr>
                <w:sz w:val="24"/>
                <w:szCs w:val="24"/>
              </w:rPr>
              <w:t>and adults, which may</w:t>
            </w:r>
            <w:r>
              <w:rPr>
                <w:sz w:val="24"/>
                <w:szCs w:val="24"/>
              </w:rPr>
              <w:t xml:space="preserve"> cause some fear </w:t>
            </w:r>
            <w:r w:rsidR="006C23C0">
              <w:rPr>
                <w:sz w:val="24"/>
                <w:szCs w:val="24"/>
              </w:rPr>
              <w:t xml:space="preserve">and discomfort </w:t>
            </w:r>
            <w:r w:rsidR="00245FE8">
              <w:rPr>
                <w:sz w:val="24"/>
                <w:szCs w:val="24"/>
              </w:rPr>
              <w:t xml:space="preserve">for </w:t>
            </w:r>
            <w:r w:rsidR="006C23C0">
              <w:rPr>
                <w:sz w:val="24"/>
                <w:szCs w:val="24"/>
              </w:rPr>
              <w:t>the participants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Time Frame:</w:t>
            </w:r>
          </w:p>
        </w:tc>
        <w:tc>
          <w:tcPr>
            <w:tcW w:w="7128" w:type="dxa"/>
          </w:tcPr>
          <w:p w:rsidR="00977D5F" w:rsidRDefault="005202A1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3447F">
              <w:rPr>
                <w:sz w:val="24"/>
                <w:szCs w:val="24"/>
              </w:rPr>
              <w:t xml:space="preserve">The EI will be conducted over a </w:t>
            </w:r>
            <w:r w:rsidR="0053447F" w:rsidRPr="0053447F">
              <w:rPr>
                <w:sz w:val="24"/>
                <w:szCs w:val="24"/>
              </w:rPr>
              <w:t xml:space="preserve">period of </w:t>
            </w:r>
            <w:r w:rsidR="00E36E2D">
              <w:rPr>
                <w:sz w:val="24"/>
                <w:szCs w:val="24"/>
              </w:rPr>
              <w:t>5</w:t>
            </w:r>
            <w:r w:rsidR="00E36E2D" w:rsidRPr="0053447F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>days (</w:t>
            </w:r>
            <w:r w:rsidR="00E36E2D">
              <w:rPr>
                <w:sz w:val="24"/>
                <w:szCs w:val="24"/>
              </w:rPr>
              <w:t>S</w:t>
            </w:r>
            <w:r w:rsidR="00D41F21">
              <w:rPr>
                <w:sz w:val="24"/>
                <w:szCs w:val="24"/>
              </w:rPr>
              <w:t xml:space="preserve">aturday </w:t>
            </w:r>
            <w:r w:rsidR="0053447F" w:rsidRPr="0053447F">
              <w:rPr>
                <w:sz w:val="24"/>
                <w:szCs w:val="24"/>
              </w:rPr>
              <w:t xml:space="preserve">through </w:t>
            </w:r>
            <w:r w:rsidR="00D41F21">
              <w:rPr>
                <w:sz w:val="24"/>
                <w:szCs w:val="24"/>
              </w:rPr>
              <w:t>Wednesday</w:t>
            </w:r>
            <w:r w:rsidR="0053447F" w:rsidRPr="0053447F">
              <w:rPr>
                <w:sz w:val="24"/>
                <w:szCs w:val="24"/>
              </w:rPr>
              <w:t xml:space="preserve">).  Each </w:t>
            </w:r>
            <w:r w:rsidR="0053447F">
              <w:rPr>
                <w:sz w:val="24"/>
                <w:szCs w:val="24"/>
              </w:rPr>
              <w:t>sample</w:t>
            </w:r>
            <w:r w:rsidR="0053447F" w:rsidRPr="0053447F">
              <w:rPr>
                <w:sz w:val="24"/>
                <w:szCs w:val="24"/>
              </w:rPr>
              <w:t xml:space="preserve"> collection will </w:t>
            </w:r>
            <w:r w:rsidR="0053447F">
              <w:rPr>
                <w:sz w:val="24"/>
                <w:szCs w:val="24"/>
              </w:rPr>
              <w:t xml:space="preserve">take approximately </w:t>
            </w:r>
            <w:r w:rsidR="008D593A">
              <w:rPr>
                <w:sz w:val="24"/>
                <w:szCs w:val="24"/>
              </w:rPr>
              <w:t>3</w:t>
            </w:r>
            <w:r w:rsidR="00BF05F8">
              <w:rPr>
                <w:sz w:val="24"/>
                <w:szCs w:val="24"/>
              </w:rPr>
              <w:t>0</w:t>
            </w:r>
            <w:r w:rsidR="00E36E2D">
              <w:rPr>
                <w:sz w:val="24"/>
                <w:szCs w:val="24"/>
              </w:rPr>
              <w:t xml:space="preserve"> </w:t>
            </w:r>
            <w:r w:rsidR="0053447F">
              <w:rPr>
                <w:sz w:val="24"/>
                <w:szCs w:val="24"/>
              </w:rPr>
              <w:t>minutes per participant.</w:t>
            </w:r>
          </w:p>
          <w:p w:rsidR="0053447F" w:rsidRDefault="0053447F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participants will be provided results of the blood and urine sampling within </w:t>
            </w:r>
            <w:r w:rsidR="00B95400">
              <w:rPr>
                <w:sz w:val="24"/>
                <w:szCs w:val="24"/>
              </w:rPr>
              <w:t>12</w:t>
            </w:r>
            <w:r w:rsidR="000F45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weeks </w:t>
            </w:r>
            <w:r w:rsidR="00245F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collection.</w:t>
            </w:r>
          </w:p>
          <w:p w:rsidR="00245FE8" w:rsidRDefault="00245FE8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concentrations in blood and/or urine are found at levels of health concern, participants will be contacted sooner.</w:t>
            </w:r>
          </w:p>
          <w:p w:rsidR="0053447F" w:rsidRPr="0053447F" w:rsidRDefault="0053447F" w:rsidP="000F454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EI </w:t>
            </w:r>
            <w:r w:rsidR="00D41F21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>will be prepared</w:t>
            </w:r>
            <w:r w:rsidR="00E36E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cleared</w:t>
            </w:r>
            <w:r w:rsidR="00956EF2">
              <w:rPr>
                <w:sz w:val="24"/>
                <w:szCs w:val="24"/>
              </w:rPr>
              <w:t>, and released</w:t>
            </w:r>
            <w:r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Publication and Dissemination of Results:</w:t>
            </w:r>
          </w:p>
        </w:tc>
        <w:tc>
          <w:tcPr>
            <w:tcW w:w="7128" w:type="dxa"/>
          </w:tcPr>
          <w:p w:rsidR="000F454D" w:rsidRDefault="00C2426C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426C">
              <w:rPr>
                <w:sz w:val="24"/>
                <w:szCs w:val="24"/>
              </w:rPr>
              <w:t xml:space="preserve">Blood lead and urine arsenic results will be provided to participants within </w:t>
            </w:r>
            <w:r w:rsidR="00B95400">
              <w:rPr>
                <w:sz w:val="24"/>
                <w:szCs w:val="24"/>
              </w:rPr>
              <w:t>12 wee</w:t>
            </w:r>
            <w:r w:rsidRPr="00C2426C">
              <w:rPr>
                <w:sz w:val="24"/>
                <w:szCs w:val="24"/>
              </w:rPr>
              <w:t xml:space="preserve">ks of </w:t>
            </w:r>
            <w:r w:rsidR="007B07B7">
              <w:rPr>
                <w:sz w:val="24"/>
                <w:szCs w:val="24"/>
              </w:rPr>
              <w:t>specimen collection</w:t>
            </w:r>
            <w:r w:rsidRPr="00C2426C">
              <w:rPr>
                <w:sz w:val="24"/>
                <w:szCs w:val="24"/>
              </w:rPr>
              <w:t>.</w:t>
            </w:r>
          </w:p>
          <w:p w:rsidR="00245FE8" w:rsidRPr="00245FE8" w:rsidRDefault="00245FE8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concentrations in blood and/or urine are found at levels of health concern, participants will be contacted sooner.</w:t>
            </w:r>
          </w:p>
          <w:p w:rsidR="00C2426C" w:rsidRPr="00C2426C" w:rsidRDefault="0053447F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C2426C">
              <w:rPr>
                <w:sz w:val="24"/>
                <w:szCs w:val="24"/>
              </w:rPr>
              <w:t xml:space="preserve"> EI report will be prepared</w:t>
            </w:r>
            <w:r w:rsidR="00245FE8">
              <w:rPr>
                <w:sz w:val="24"/>
                <w:szCs w:val="24"/>
              </w:rPr>
              <w:t>,</w:t>
            </w:r>
            <w:r w:rsidR="00C2426C">
              <w:rPr>
                <w:sz w:val="24"/>
                <w:szCs w:val="24"/>
              </w:rPr>
              <w:t xml:space="preserve"> </w:t>
            </w:r>
            <w:r w:rsidR="001A5953">
              <w:rPr>
                <w:sz w:val="24"/>
                <w:szCs w:val="24"/>
              </w:rPr>
              <w:t>cleared</w:t>
            </w:r>
            <w:r w:rsidR="00245FE8">
              <w:rPr>
                <w:sz w:val="24"/>
                <w:szCs w:val="24"/>
              </w:rPr>
              <w:t xml:space="preserve"> and released</w:t>
            </w:r>
            <w:r w:rsidR="001A5953"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:rsidTr="00B50EEF">
        <w:tc>
          <w:tcPr>
            <w:tcW w:w="3168" w:type="dxa"/>
            <w:vAlign w:val="center"/>
          </w:tcPr>
          <w:p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Burden Hours Requested:</w:t>
            </w:r>
          </w:p>
        </w:tc>
        <w:tc>
          <w:tcPr>
            <w:tcW w:w="7128" w:type="dxa"/>
          </w:tcPr>
          <w:p w:rsidR="00977D5F" w:rsidRPr="00977D5F" w:rsidRDefault="008D593A" w:rsidP="008D5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3447F">
              <w:rPr>
                <w:sz w:val="24"/>
                <w:szCs w:val="24"/>
              </w:rPr>
              <w:t xml:space="preserve"> hours (</w:t>
            </w:r>
            <w:r w:rsidR="00D41F21">
              <w:rPr>
                <w:sz w:val="24"/>
                <w:szCs w:val="24"/>
              </w:rPr>
              <w:t>2</w:t>
            </w:r>
            <w:r w:rsidR="0053447F">
              <w:rPr>
                <w:sz w:val="24"/>
                <w:szCs w:val="24"/>
              </w:rPr>
              <w:t xml:space="preserve">00 participants x </w:t>
            </w:r>
            <w:r>
              <w:rPr>
                <w:sz w:val="24"/>
                <w:szCs w:val="24"/>
              </w:rPr>
              <w:t>3</w:t>
            </w:r>
            <w:r w:rsidR="0004565A">
              <w:rPr>
                <w:sz w:val="24"/>
                <w:szCs w:val="24"/>
              </w:rPr>
              <w:t>0</w:t>
            </w:r>
            <w:r w:rsidR="0053447F">
              <w:rPr>
                <w:sz w:val="24"/>
                <w:szCs w:val="24"/>
              </w:rPr>
              <w:t xml:space="preserve"> minutes per participant)</w:t>
            </w:r>
          </w:p>
        </w:tc>
      </w:tr>
    </w:tbl>
    <w:p w:rsidR="00977D5F" w:rsidRPr="008C1299" w:rsidRDefault="00977D5F">
      <w:pPr>
        <w:rPr>
          <w:b/>
          <w:sz w:val="24"/>
          <w:szCs w:val="24"/>
        </w:rPr>
      </w:pPr>
    </w:p>
    <w:p w:rsidR="00CD06AA" w:rsidRPr="00CD06AA" w:rsidRDefault="00CD06AA" w:rsidP="00CD06AA">
      <w:pPr>
        <w:rPr>
          <w:b/>
        </w:rPr>
      </w:pPr>
      <w:r w:rsidRPr="00CD06AA">
        <w:rPr>
          <w:b/>
        </w:rPr>
        <w:t>Attachments: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Supporting Statement A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Supporting Statement B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ASARCO Smelter EI Parental Permission/Assent/Consent Forms</w:t>
      </w:r>
    </w:p>
    <w:p w:rsidR="00CD06AA" w:rsidRPr="00CD06AA" w:rsidRDefault="00CD06AA" w:rsidP="00CD06AA">
      <w:pPr>
        <w:pStyle w:val="ListParagraph"/>
        <w:numPr>
          <w:ilvl w:val="1"/>
          <w:numId w:val="1"/>
        </w:numPr>
        <w:rPr>
          <w:b/>
        </w:rPr>
      </w:pPr>
      <w:r w:rsidRPr="00CD06AA">
        <w:rPr>
          <w:b/>
        </w:rPr>
        <w:lastRenderedPageBreak/>
        <w:t>Parental Permission Form for Blood Lead Testing and Questionnaire: Children aged 9 to &lt;72 Months</w:t>
      </w:r>
    </w:p>
    <w:p w:rsidR="00CD06AA" w:rsidRPr="00CD06AA" w:rsidRDefault="00CD06AA" w:rsidP="00CD06AA">
      <w:pPr>
        <w:pStyle w:val="ListParagraph"/>
        <w:numPr>
          <w:ilvl w:val="1"/>
          <w:numId w:val="1"/>
        </w:numPr>
        <w:rPr>
          <w:b/>
        </w:rPr>
      </w:pPr>
      <w:r w:rsidRPr="00CD06AA">
        <w:rPr>
          <w:b/>
        </w:rPr>
        <w:t>Parental Permission Form for Blood Lead and Urine Arsenic Sampling and Questionnaire: Children and Youth aged 6 to &lt;18 Years</w:t>
      </w:r>
    </w:p>
    <w:p w:rsidR="00CD06AA" w:rsidRPr="00CD06AA" w:rsidRDefault="00CD06AA" w:rsidP="00CD06AA">
      <w:pPr>
        <w:pStyle w:val="ListParagraph"/>
        <w:numPr>
          <w:ilvl w:val="1"/>
          <w:numId w:val="1"/>
        </w:numPr>
        <w:rPr>
          <w:b/>
        </w:rPr>
      </w:pPr>
      <w:r w:rsidRPr="00CD06AA">
        <w:rPr>
          <w:b/>
        </w:rPr>
        <w:t xml:space="preserve">Assent Form for Blood Lead and Urine Arsenic Testing and Questionnaire: Children and Youth aged 7 to &lt;18 Years </w:t>
      </w:r>
    </w:p>
    <w:p w:rsidR="00CD06AA" w:rsidRPr="00CD06AA" w:rsidRDefault="00CD06AA" w:rsidP="00CD06AA">
      <w:pPr>
        <w:pStyle w:val="ListParagraph"/>
        <w:numPr>
          <w:ilvl w:val="1"/>
          <w:numId w:val="1"/>
        </w:numPr>
        <w:rPr>
          <w:b/>
        </w:rPr>
      </w:pPr>
      <w:r w:rsidRPr="00CD06AA">
        <w:rPr>
          <w:b/>
        </w:rPr>
        <w:t>Consent Form for Blood Lead and Urine Arsenic Testing and Questionnaire:  Pregnant Women and Women of Childbearing Age aged 15 to &lt;45 Years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ASARCO Smelter EI Questionnaire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 xml:space="preserve">ASARCO Smelter EI NCEH/ATSDR Human Subjects Research Determination  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ASARCO Smelter EI Sample Results Letters</w:t>
      </w:r>
    </w:p>
    <w:p w:rsidR="00CD06AA" w:rsidRPr="00CD06AA" w:rsidRDefault="00CD06AA" w:rsidP="00CD06AA">
      <w:pPr>
        <w:pStyle w:val="ListParagraph"/>
        <w:numPr>
          <w:ilvl w:val="1"/>
          <w:numId w:val="12"/>
        </w:numPr>
        <w:rPr>
          <w:b/>
        </w:rPr>
      </w:pPr>
      <w:r w:rsidRPr="00CD06AA">
        <w:rPr>
          <w:b/>
        </w:rPr>
        <w:t>Sample Results Letters to the Parent of a Participant aged 9 to &lt;72 Months</w:t>
      </w:r>
    </w:p>
    <w:p w:rsidR="00CD06AA" w:rsidRPr="00CD06AA" w:rsidRDefault="00CD06AA" w:rsidP="00CD06AA">
      <w:pPr>
        <w:pStyle w:val="ListParagraph"/>
        <w:numPr>
          <w:ilvl w:val="1"/>
          <w:numId w:val="12"/>
        </w:numPr>
        <w:rPr>
          <w:b/>
        </w:rPr>
      </w:pPr>
      <w:r w:rsidRPr="00CD06AA">
        <w:rPr>
          <w:b/>
        </w:rPr>
        <w:t>Sample Results Letter to the Parent of a Participant aged 6 to &lt;18 Years</w:t>
      </w:r>
    </w:p>
    <w:p w:rsidR="00CD06AA" w:rsidRPr="00CD06AA" w:rsidRDefault="00CD06AA" w:rsidP="00CD06AA">
      <w:pPr>
        <w:pStyle w:val="ListParagraph"/>
        <w:numPr>
          <w:ilvl w:val="1"/>
          <w:numId w:val="12"/>
        </w:numPr>
        <w:rPr>
          <w:b/>
        </w:rPr>
      </w:pPr>
      <w:r w:rsidRPr="00CD06AA">
        <w:rPr>
          <w:b/>
        </w:rPr>
        <w:t>Sample Results Letter to a Pregnant Woman or Woman of Child Bearing Age aged 15 to &lt;45 Years</w:t>
      </w:r>
    </w:p>
    <w:p w:rsidR="00CD06AA" w:rsidRPr="00CD06AA" w:rsidRDefault="00CD06AA" w:rsidP="00CD06AA">
      <w:pPr>
        <w:pStyle w:val="ListParagraph"/>
        <w:numPr>
          <w:ilvl w:val="1"/>
          <w:numId w:val="12"/>
        </w:numPr>
        <w:rPr>
          <w:b/>
        </w:rPr>
      </w:pPr>
      <w:r w:rsidRPr="00CD06AA">
        <w:rPr>
          <w:b/>
        </w:rPr>
        <w:t>Inserts for Results Letters</w:t>
      </w:r>
    </w:p>
    <w:p w:rsidR="00CD06AA" w:rsidRPr="00CD06AA" w:rsidRDefault="00CD06AA" w:rsidP="00CD06AA">
      <w:pPr>
        <w:pStyle w:val="ListParagraph"/>
        <w:numPr>
          <w:ilvl w:val="1"/>
          <w:numId w:val="12"/>
        </w:numPr>
        <w:rPr>
          <w:b/>
        </w:rPr>
      </w:pPr>
      <w:r w:rsidRPr="00CD06AA">
        <w:rPr>
          <w:b/>
        </w:rPr>
        <w:t>Factsheets for Results Letters</w:t>
      </w:r>
    </w:p>
    <w:p w:rsidR="00CD06AA" w:rsidRPr="00CD06AA" w:rsidRDefault="00CD06AA" w:rsidP="00CD06AA">
      <w:pPr>
        <w:pStyle w:val="ListParagraph"/>
        <w:numPr>
          <w:ilvl w:val="0"/>
          <w:numId w:val="1"/>
        </w:numPr>
        <w:rPr>
          <w:b/>
        </w:rPr>
      </w:pPr>
      <w:r w:rsidRPr="00CD06AA">
        <w:rPr>
          <w:b/>
        </w:rPr>
        <w:t>Example of Prior EI Final Report</w:t>
      </w:r>
    </w:p>
    <w:p w:rsidR="005D2153" w:rsidRDefault="005D2153" w:rsidP="005D2153">
      <w:pPr>
        <w:pStyle w:val="ListParagraph"/>
        <w:rPr>
          <w:b/>
          <w:sz w:val="24"/>
          <w:szCs w:val="24"/>
        </w:rPr>
      </w:pPr>
    </w:p>
    <w:sectPr w:rsidR="005D2153" w:rsidSect="00D809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554"/>
    <w:multiLevelType w:val="hybridMultilevel"/>
    <w:tmpl w:val="1DF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9FB"/>
    <w:multiLevelType w:val="hybridMultilevel"/>
    <w:tmpl w:val="2FD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3CB8"/>
    <w:multiLevelType w:val="hybridMultilevel"/>
    <w:tmpl w:val="60CE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2861"/>
    <w:multiLevelType w:val="hybridMultilevel"/>
    <w:tmpl w:val="8C2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57A5"/>
    <w:multiLevelType w:val="hybridMultilevel"/>
    <w:tmpl w:val="36F2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2D47E9"/>
    <w:multiLevelType w:val="hybridMultilevel"/>
    <w:tmpl w:val="F9F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C436F"/>
    <w:multiLevelType w:val="hybridMultilevel"/>
    <w:tmpl w:val="F678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95B21"/>
    <w:multiLevelType w:val="hybridMultilevel"/>
    <w:tmpl w:val="7D5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02673"/>
    <w:multiLevelType w:val="hybridMultilevel"/>
    <w:tmpl w:val="711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E4350"/>
    <w:multiLevelType w:val="hybridMultilevel"/>
    <w:tmpl w:val="CA56E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8C0E0">
      <w:start w:val="1"/>
      <w:numFmt w:val="upperLetter"/>
      <w:lvlText w:val="6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A7ADF"/>
    <w:multiLevelType w:val="hybridMultilevel"/>
    <w:tmpl w:val="455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5694C"/>
    <w:multiLevelType w:val="hybridMultilevel"/>
    <w:tmpl w:val="88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48"/>
    <w:rsid w:val="000005DE"/>
    <w:rsid w:val="00007543"/>
    <w:rsid w:val="00010464"/>
    <w:rsid w:val="00036452"/>
    <w:rsid w:val="0004565A"/>
    <w:rsid w:val="000457B7"/>
    <w:rsid w:val="000526FB"/>
    <w:rsid w:val="00054688"/>
    <w:rsid w:val="00054D50"/>
    <w:rsid w:val="00066D15"/>
    <w:rsid w:val="0007663C"/>
    <w:rsid w:val="00081384"/>
    <w:rsid w:val="00085879"/>
    <w:rsid w:val="000F454D"/>
    <w:rsid w:val="00105B25"/>
    <w:rsid w:val="0011153A"/>
    <w:rsid w:val="00114DF9"/>
    <w:rsid w:val="00134B62"/>
    <w:rsid w:val="00146801"/>
    <w:rsid w:val="001564CF"/>
    <w:rsid w:val="001A5953"/>
    <w:rsid w:val="001C2596"/>
    <w:rsid w:val="001E5273"/>
    <w:rsid w:val="001E7826"/>
    <w:rsid w:val="002101B5"/>
    <w:rsid w:val="00222880"/>
    <w:rsid w:val="002268E8"/>
    <w:rsid w:val="00241D1E"/>
    <w:rsid w:val="00245FE8"/>
    <w:rsid w:val="00276B88"/>
    <w:rsid w:val="00281057"/>
    <w:rsid w:val="0028500F"/>
    <w:rsid w:val="00293CDF"/>
    <w:rsid w:val="002A5D89"/>
    <w:rsid w:val="002B1BC4"/>
    <w:rsid w:val="002B7FAF"/>
    <w:rsid w:val="002C1792"/>
    <w:rsid w:val="002C3309"/>
    <w:rsid w:val="002C53DE"/>
    <w:rsid w:val="002C5F6F"/>
    <w:rsid w:val="002D2DA8"/>
    <w:rsid w:val="002E0FE9"/>
    <w:rsid w:val="003025C4"/>
    <w:rsid w:val="00314173"/>
    <w:rsid w:val="0032501F"/>
    <w:rsid w:val="003266CE"/>
    <w:rsid w:val="00340746"/>
    <w:rsid w:val="00356B9F"/>
    <w:rsid w:val="00366F48"/>
    <w:rsid w:val="003711F5"/>
    <w:rsid w:val="00372C81"/>
    <w:rsid w:val="003A2015"/>
    <w:rsid w:val="003A3692"/>
    <w:rsid w:val="003A3868"/>
    <w:rsid w:val="003B366F"/>
    <w:rsid w:val="003D408F"/>
    <w:rsid w:val="003F6968"/>
    <w:rsid w:val="00431C36"/>
    <w:rsid w:val="00437501"/>
    <w:rsid w:val="00446811"/>
    <w:rsid w:val="00450BF4"/>
    <w:rsid w:val="00456DD7"/>
    <w:rsid w:val="004579F8"/>
    <w:rsid w:val="00465806"/>
    <w:rsid w:val="00473F86"/>
    <w:rsid w:val="00485305"/>
    <w:rsid w:val="0049518C"/>
    <w:rsid w:val="004B0DC0"/>
    <w:rsid w:val="004B252F"/>
    <w:rsid w:val="004D64A2"/>
    <w:rsid w:val="004F4797"/>
    <w:rsid w:val="005119AF"/>
    <w:rsid w:val="005202A1"/>
    <w:rsid w:val="0053447F"/>
    <w:rsid w:val="00544D0B"/>
    <w:rsid w:val="00593097"/>
    <w:rsid w:val="00593A63"/>
    <w:rsid w:val="00594706"/>
    <w:rsid w:val="005956AA"/>
    <w:rsid w:val="005A3D6B"/>
    <w:rsid w:val="005A6D67"/>
    <w:rsid w:val="005B348D"/>
    <w:rsid w:val="005C389D"/>
    <w:rsid w:val="005D2153"/>
    <w:rsid w:val="005D258E"/>
    <w:rsid w:val="005E1D60"/>
    <w:rsid w:val="005F093E"/>
    <w:rsid w:val="005F62B4"/>
    <w:rsid w:val="0063667F"/>
    <w:rsid w:val="00652BD7"/>
    <w:rsid w:val="006565F3"/>
    <w:rsid w:val="006A1C2A"/>
    <w:rsid w:val="006A77B4"/>
    <w:rsid w:val="006B4CA3"/>
    <w:rsid w:val="006B5535"/>
    <w:rsid w:val="006B74A2"/>
    <w:rsid w:val="006C23C0"/>
    <w:rsid w:val="006C2D55"/>
    <w:rsid w:val="006C2E1C"/>
    <w:rsid w:val="006F4D54"/>
    <w:rsid w:val="006F6D2F"/>
    <w:rsid w:val="00752494"/>
    <w:rsid w:val="00761B07"/>
    <w:rsid w:val="0076482D"/>
    <w:rsid w:val="00771A77"/>
    <w:rsid w:val="0078138E"/>
    <w:rsid w:val="00797694"/>
    <w:rsid w:val="007A07A6"/>
    <w:rsid w:val="007A2157"/>
    <w:rsid w:val="007A595C"/>
    <w:rsid w:val="007B07B7"/>
    <w:rsid w:val="007B53F4"/>
    <w:rsid w:val="007E60F2"/>
    <w:rsid w:val="00804F11"/>
    <w:rsid w:val="0083060B"/>
    <w:rsid w:val="00835250"/>
    <w:rsid w:val="008529CA"/>
    <w:rsid w:val="00854A8B"/>
    <w:rsid w:val="00881AA6"/>
    <w:rsid w:val="00885DD4"/>
    <w:rsid w:val="0089680C"/>
    <w:rsid w:val="008A1595"/>
    <w:rsid w:val="008B54E4"/>
    <w:rsid w:val="008C1299"/>
    <w:rsid w:val="008C26C6"/>
    <w:rsid w:val="008D593A"/>
    <w:rsid w:val="008D5F47"/>
    <w:rsid w:val="008E286E"/>
    <w:rsid w:val="00920DBD"/>
    <w:rsid w:val="00923E3E"/>
    <w:rsid w:val="00933EF0"/>
    <w:rsid w:val="009402B9"/>
    <w:rsid w:val="00944EB4"/>
    <w:rsid w:val="00952433"/>
    <w:rsid w:val="00956EF2"/>
    <w:rsid w:val="0096136C"/>
    <w:rsid w:val="00972778"/>
    <w:rsid w:val="009730FC"/>
    <w:rsid w:val="00977D5F"/>
    <w:rsid w:val="00990609"/>
    <w:rsid w:val="00992967"/>
    <w:rsid w:val="00996E9F"/>
    <w:rsid w:val="009A02AB"/>
    <w:rsid w:val="009A4C91"/>
    <w:rsid w:val="009B7398"/>
    <w:rsid w:val="009C1673"/>
    <w:rsid w:val="009E4287"/>
    <w:rsid w:val="009E491C"/>
    <w:rsid w:val="009F4E67"/>
    <w:rsid w:val="009F7507"/>
    <w:rsid w:val="00A128D9"/>
    <w:rsid w:val="00A3626C"/>
    <w:rsid w:val="00A42E0B"/>
    <w:rsid w:val="00A50513"/>
    <w:rsid w:val="00A56EAC"/>
    <w:rsid w:val="00A60004"/>
    <w:rsid w:val="00A73148"/>
    <w:rsid w:val="00AA7DE7"/>
    <w:rsid w:val="00AC3F36"/>
    <w:rsid w:val="00AC47D1"/>
    <w:rsid w:val="00AC57A7"/>
    <w:rsid w:val="00AD12BA"/>
    <w:rsid w:val="00AD2FF0"/>
    <w:rsid w:val="00B135C2"/>
    <w:rsid w:val="00B22001"/>
    <w:rsid w:val="00B348E2"/>
    <w:rsid w:val="00B50EEF"/>
    <w:rsid w:val="00B512C3"/>
    <w:rsid w:val="00B54838"/>
    <w:rsid w:val="00B65000"/>
    <w:rsid w:val="00B76ACB"/>
    <w:rsid w:val="00B95400"/>
    <w:rsid w:val="00BA09ED"/>
    <w:rsid w:val="00BA4320"/>
    <w:rsid w:val="00BB5A4C"/>
    <w:rsid w:val="00BF05F8"/>
    <w:rsid w:val="00BF1A54"/>
    <w:rsid w:val="00C23DF8"/>
    <w:rsid w:val="00C2426C"/>
    <w:rsid w:val="00C34D01"/>
    <w:rsid w:val="00C55B5E"/>
    <w:rsid w:val="00C8371F"/>
    <w:rsid w:val="00CB69F1"/>
    <w:rsid w:val="00CB72A3"/>
    <w:rsid w:val="00CC6774"/>
    <w:rsid w:val="00CD06AA"/>
    <w:rsid w:val="00D2641F"/>
    <w:rsid w:val="00D30BB2"/>
    <w:rsid w:val="00D312D7"/>
    <w:rsid w:val="00D33409"/>
    <w:rsid w:val="00D3577B"/>
    <w:rsid w:val="00D41F21"/>
    <w:rsid w:val="00D43C37"/>
    <w:rsid w:val="00D56F90"/>
    <w:rsid w:val="00D642BE"/>
    <w:rsid w:val="00D745E2"/>
    <w:rsid w:val="00D7489E"/>
    <w:rsid w:val="00D809E7"/>
    <w:rsid w:val="00DA3458"/>
    <w:rsid w:val="00DA45A1"/>
    <w:rsid w:val="00DB5A15"/>
    <w:rsid w:val="00DD34BD"/>
    <w:rsid w:val="00DD64AD"/>
    <w:rsid w:val="00DE1390"/>
    <w:rsid w:val="00DE13BE"/>
    <w:rsid w:val="00E04405"/>
    <w:rsid w:val="00E27222"/>
    <w:rsid w:val="00E34861"/>
    <w:rsid w:val="00E36E2D"/>
    <w:rsid w:val="00E41AC1"/>
    <w:rsid w:val="00E5214B"/>
    <w:rsid w:val="00E5729B"/>
    <w:rsid w:val="00E60946"/>
    <w:rsid w:val="00E72879"/>
    <w:rsid w:val="00EB0D65"/>
    <w:rsid w:val="00ED7345"/>
    <w:rsid w:val="00EF656A"/>
    <w:rsid w:val="00EF6B0B"/>
    <w:rsid w:val="00EF6EF2"/>
    <w:rsid w:val="00F00F23"/>
    <w:rsid w:val="00F027EC"/>
    <w:rsid w:val="00F040A9"/>
    <w:rsid w:val="00F0550F"/>
    <w:rsid w:val="00F20D02"/>
    <w:rsid w:val="00F2662B"/>
    <w:rsid w:val="00F32AA2"/>
    <w:rsid w:val="00F60B52"/>
    <w:rsid w:val="00F94491"/>
    <w:rsid w:val="00F95EF6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(ATSDR/DHAC/EISAB)</dc:creator>
  <cp:lastModifiedBy>Conner, Catina (CDC/OD/OADS)</cp:lastModifiedBy>
  <cp:revision>2</cp:revision>
  <cp:lastPrinted>2013-08-05T19:18:00Z</cp:lastPrinted>
  <dcterms:created xsi:type="dcterms:W3CDTF">2014-11-03T16:33:00Z</dcterms:created>
  <dcterms:modified xsi:type="dcterms:W3CDTF">2014-11-03T16:33:00Z</dcterms:modified>
</cp:coreProperties>
</file>