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45" w:rsidRPr="007A1BEF" w:rsidRDefault="002D1F45" w:rsidP="002D1F45">
      <w:pPr>
        <w:jc w:val="center"/>
        <w:rPr>
          <w:rFonts w:ascii="Times New Roman" w:hAnsi="Times New Roman"/>
          <w:color w:val="000000"/>
        </w:rPr>
      </w:pPr>
      <w:r w:rsidRPr="007A1BEF">
        <w:rPr>
          <w:rFonts w:ascii="Times New Roman" w:hAnsi="Times New Roman"/>
          <w:color w:val="000000"/>
        </w:rPr>
        <w:t>National Disease Surveillance Program - I. Case Reports</w:t>
      </w:r>
    </w:p>
    <w:p w:rsidR="002D1F45" w:rsidRPr="007A1BEF" w:rsidRDefault="002D1F45" w:rsidP="002D1F45">
      <w:pPr>
        <w:jc w:val="center"/>
        <w:rPr>
          <w:rFonts w:ascii="Times New Roman" w:hAnsi="Times New Roman"/>
          <w:color w:val="000000"/>
        </w:rPr>
      </w:pPr>
    </w:p>
    <w:p w:rsidR="002D1F45" w:rsidRDefault="002D1F45" w:rsidP="002D1F45">
      <w:pPr>
        <w:jc w:val="center"/>
        <w:rPr>
          <w:rFonts w:ascii="Times New Roman" w:hAnsi="Times New Roman"/>
          <w:color w:val="000000"/>
        </w:rPr>
      </w:pPr>
      <w:r w:rsidRPr="007A1BEF">
        <w:rPr>
          <w:rFonts w:ascii="Times New Roman" w:hAnsi="Times New Roman"/>
          <w:color w:val="000000"/>
        </w:rPr>
        <w:t>OMB No. 0920-0009</w:t>
      </w:r>
    </w:p>
    <w:p w:rsidR="009D3A8D" w:rsidRDefault="009D3A8D" w:rsidP="002D1F45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Change Request</w:t>
      </w:r>
    </w:p>
    <w:p w:rsidR="009D3A8D" w:rsidRPr="007A1BEF" w:rsidRDefault="009D3A8D" w:rsidP="002D1F45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January 16, 2014</w:t>
      </w:r>
    </w:p>
    <w:p w:rsidR="002D1F45" w:rsidRPr="007A1BEF" w:rsidRDefault="002D1F45" w:rsidP="002D1F45">
      <w:pPr>
        <w:jc w:val="center"/>
        <w:rPr>
          <w:rFonts w:ascii="Times New Roman" w:hAnsi="Times New Roman"/>
          <w:lang w:val="en-CA"/>
        </w:rPr>
      </w:pPr>
    </w:p>
    <w:p w:rsidR="002D1F45" w:rsidRDefault="002D1F45" w:rsidP="002D1F45">
      <w:pPr>
        <w:rPr>
          <w:rFonts w:ascii="Times New Roman" w:hAnsi="Times New Roman"/>
          <w:color w:val="000000"/>
        </w:rPr>
      </w:pPr>
    </w:p>
    <w:p w:rsidR="002D1F45" w:rsidRDefault="002D1F45" w:rsidP="002D1F45">
      <w:pPr>
        <w:rPr>
          <w:rFonts w:ascii="Times New Roman" w:hAnsi="Times New Roman"/>
          <w:color w:val="000000"/>
        </w:rPr>
      </w:pPr>
    </w:p>
    <w:p w:rsidR="002D1F45" w:rsidRPr="007A1BEF" w:rsidRDefault="002D1F45" w:rsidP="002D1F45">
      <w:pPr>
        <w:rPr>
          <w:rFonts w:ascii="Times New Roman" w:hAnsi="Times New Roman"/>
          <w:color w:val="000000"/>
        </w:rPr>
      </w:pPr>
      <w:r w:rsidRPr="007A1BEF">
        <w:rPr>
          <w:rFonts w:ascii="Times New Roman" w:hAnsi="Times New Roman"/>
          <w:color w:val="000000"/>
        </w:rPr>
        <w:t xml:space="preserve">The following diseases/conditions </w:t>
      </w:r>
      <w:r w:rsidR="00456129">
        <w:rPr>
          <w:rFonts w:ascii="Times New Roman" w:hAnsi="Times New Roman"/>
          <w:color w:val="000000"/>
        </w:rPr>
        <w:t>have been</w:t>
      </w:r>
      <w:r w:rsidRPr="007A1BEF">
        <w:rPr>
          <w:rFonts w:ascii="Times New Roman" w:hAnsi="Times New Roman"/>
          <w:color w:val="000000"/>
        </w:rPr>
        <w:t xml:space="preserve"> included in this program</w:t>
      </w:r>
      <w:r w:rsidR="00456129">
        <w:rPr>
          <w:rFonts w:ascii="Times New Roman" w:hAnsi="Times New Roman"/>
          <w:color w:val="000000"/>
        </w:rPr>
        <w:t xml:space="preserve"> for many years</w:t>
      </w:r>
      <w:r w:rsidRPr="007A1BEF">
        <w:rPr>
          <w:rFonts w:ascii="Times New Roman" w:hAnsi="Times New Roman"/>
          <w:color w:val="000000"/>
        </w:rPr>
        <w:t>:</w:t>
      </w:r>
    </w:p>
    <w:p w:rsidR="002D1F45" w:rsidRPr="007A1BEF" w:rsidRDefault="002D1F45" w:rsidP="002D1F45">
      <w:pPr>
        <w:rPr>
          <w:rFonts w:ascii="Times New Roman" w:hAnsi="Times New Roman"/>
          <w:color w:val="000000"/>
        </w:rPr>
      </w:pPr>
    </w:p>
    <w:p w:rsidR="002D1F45" w:rsidRPr="007A1BEF" w:rsidRDefault="002D1F45" w:rsidP="002D1F45">
      <w:pPr>
        <w:ind w:firstLine="720"/>
        <w:rPr>
          <w:rFonts w:ascii="Times New Roman" w:hAnsi="Times New Roman"/>
          <w:color w:val="000000"/>
        </w:rPr>
      </w:pPr>
      <w:r w:rsidRPr="007A1BEF">
        <w:rPr>
          <w:rFonts w:ascii="Times New Roman" w:hAnsi="Times New Roman"/>
          <w:color w:val="000000"/>
        </w:rPr>
        <w:t xml:space="preserve">                   </w:t>
      </w:r>
    </w:p>
    <w:p w:rsidR="002D1F45" w:rsidRPr="007A1BEF" w:rsidRDefault="002D1F45" w:rsidP="002D1F45">
      <w:pPr>
        <w:ind w:firstLine="720"/>
        <w:rPr>
          <w:rFonts w:ascii="Times New Roman" w:hAnsi="Times New Roman"/>
          <w:color w:val="000000"/>
        </w:rPr>
      </w:pPr>
      <w:proofErr w:type="gramStart"/>
      <w:r w:rsidRPr="007A1BEF">
        <w:rPr>
          <w:rFonts w:ascii="Times New Roman" w:hAnsi="Times New Roman"/>
          <w:color w:val="000000"/>
        </w:rPr>
        <w:t>Creutzfeldt-Jakob Disease</w:t>
      </w:r>
      <w:proofErr w:type="gramEnd"/>
      <w:r w:rsidRPr="007A1BEF">
        <w:rPr>
          <w:rFonts w:ascii="Times New Roman" w:hAnsi="Times New Roman"/>
          <w:color w:val="000000"/>
        </w:rPr>
        <w:t xml:space="preserve"> (CJD) </w:t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  <w:t xml:space="preserve">       </w:t>
      </w:r>
    </w:p>
    <w:p w:rsidR="002D1F45" w:rsidRPr="007A1BEF" w:rsidRDefault="002D1F45" w:rsidP="002D1F45">
      <w:pPr>
        <w:ind w:firstLine="720"/>
        <w:rPr>
          <w:rFonts w:ascii="Times New Roman" w:hAnsi="Times New Roman"/>
          <w:color w:val="000000"/>
        </w:rPr>
      </w:pPr>
      <w:proofErr w:type="spellStart"/>
      <w:r w:rsidRPr="007A1BEF">
        <w:rPr>
          <w:rFonts w:ascii="Times New Roman" w:hAnsi="Times New Roman"/>
          <w:color w:val="000000"/>
        </w:rPr>
        <w:t>Cyclosporiasis</w:t>
      </w:r>
      <w:proofErr w:type="spellEnd"/>
      <w:r w:rsidRPr="007A1BEF">
        <w:rPr>
          <w:rFonts w:ascii="Times New Roman" w:hAnsi="Times New Roman"/>
          <w:color w:val="000000"/>
        </w:rPr>
        <w:t xml:space="preserve"> </w:t>
      </w:r>
      <w:proofErr w:type="spellStart"/>
      <w:r w:rsidRPr="007A1BEF">
        <w:rPr>
          <w:rFonts w:ascii="Times New Roman" w:hAnsi="Times New Roman"/>
          <w:color w:val="000000"/>
        </w:rPr>
        <w:t>cayetanensis</w:t>
      </w:r>
      <w:proofErr w:type="spellEnd"/>
      <w:r w:rsidRPr="007A1BEF">
        <w:rPr>
          <w:rFonts w:ascii="Times New Roman" w:hAnsi="Times New Roman"/>
          <w:color w:val="000000"/>
        </w:rPr>
        <w:t xml:space="preserve"> </w:t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  <w:t xml:space="preserve">       Q </w:t>
      </w:r>
      <w:proofErr w:type="gramStart"/>
      <w:r w:rsidRPr="007A1BEF">
        <w:rPr>
          <w:rFonts w:ascii="Times New Roman" w:hAnsi="Times New Roman"/>
          <w:color w:val="000000"/>
        </w:rPr>
        <w:t>Fever</w:t>
      </w:r>
      <w:proofErr w:type="gramEnd"/>
    </w:p>
    <w:p w:rsidR="002D1F45" w:rsidRPr="007A1BEF" w:rsidRDefault="002D1F45" w:rsidP="002D1F45">
      <w:pPr>
        <w:rPr>
          <w:rFonts w:ascii="Times New Roman" w:hAnsi="Times New Roman"/>
          <w:color w:val="000000"/>
        </w:rPr>
      </w:pPr>
      <w:r w:rsidRPr="007A1BEF">
        <w:rPr>
          <w:rFonts w:ascii="Times New Roman" w:hAnsi="Times New Roman"/>
          <w:color w:val="000000"/>
        </w:rPr>
        <w:tab/>
        <w:t xml:space="preserve">Dengue </w:t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  <w:t xml:space="preserve">        Reye Syndrome</w:t>
      </w:r>
    </w:p>
    <w:p w:rsidR="002D1F45" w:rsidRPr="007A1BEF" w:rsidRDefault="002D1F45" w:rsidP="002D1F45">
      <w:pPr>
        <w:rPr>
          <w:rFonts w:ascii="Times New Roman" w:hAnsi="Times New Roman"/>
          <w:color w:val="000000"/>
        </w:rPr>
      </w:pPr>
      <w:r w:rsidRPr="007A1BEF">
        <w:rPr>
          <w:rFonts w:ascii="Times New Roman" w:hAnsi="Times New Roman"/>
          <w:color w:val="000000"/>
        </w:rPr>
        <w:tab/>
        <w:t xml:space="preserve">Hantavirus pulmonary syndrome (HPS) </w:t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  <w:t xml:space="preserve">        Tick-borne </w:t>
      </w:r>
      <w:proofErr w:type="spellStart"/>
      <w:r w:rsidRPr="007A1BEF">
        <w:rPr>
          <w:rFonts w:ascii="Times New Roman" w:hAnsi="Times New Roman"/>
          <w:color w:val="000000"/>
        </w:rPr>
        <w:t>Rickettsial</w:t>
      </w:r>
      <w:proofErr w:type="spellEnd"/>
      <w:r w:rsidRPr="007A1BEF">
        <w:rPr>
          <w:rFonts w:ascii="Times New Roman" w:hAnsi="Times New Roman"/>
          <w:color w:val="000000"/>
        </w:rPr>
        <w:t xml:space="preserve"> Disease</w:t>
      </w:r>
    </w:p>
    <w:p w:rsidR="002D1F45" w:rsidRPr="007A1BEF" w:rsidRDefault="002D1F45" w:rsidP="002D1F45">
      <w:pPr>
        <w:ind w:firstLine="720"/>
        <w:rPr>
          <w:rFonts w:ascii="Times New Roman" w:hAnsi="Times New Roman"/>
          <w:color w:val="000000"/>
        </w:rPr>
      </w:pPr>
      <w:r w:rsidRPr="007A1BEF">
        <w:rPr>
          <w:rFonts w:ascii="Times New Roman" w:hAnsi="Times New Roman"/>
          <w:color w:val="000000"/>
        </w:rPr>
        <w:t>Kawasaki syndrome</w:t>
      </w:r>
      <w:r w:rsidRPr="007A1BEF">
        <w:rPr>
          <w:rFonts w:ascii="Times New Roman" w:hAnsi="Times New Roman"/>
          <w:color w:val="000000"/>
        </w:rPr>
        <w:tab/>
        <w:t xml:space="preserve">         </w:t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  <w:t xml:space="preserve">        Trichinosis</w:t>
      </w:r>
    </w:p>
    <w:p w:rsidR="002D1F45" w:rsidRPr="007A1BEF" w:rsidRDefault="002D1F45" w:rsidP="002D1F45">
      <w:pPr>
        <w:ind w:firstLine="720"/>
        <w:rPr>
          <w:rFonts w:ascii="Times New Roman" w:hAnsi="Times New Roman"/>
          <w:color w:val="000000"/>
        </w:rPr>
      </w:pPr>
      <w:proofErr w:type="spellStart"/>
      <w:r w:rsidRPr="007A1BEF">
        <w:rPr>
          <w:rFonts w:ascii="Times New Roman" w:hAnsi="Times New Roman"/>
          <w:color w:val="000000"/>
        </w:rPr>
        <w:t>Legionellosis</w:t>
      </w:r>
      <w:proofErr w:type="spellEnd"/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  <w:t xml:space="preserve">        </w:t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  <w:t xml:space="preserve">        Tularemia</w:t>
      </w:r>
      <w:r w:rsidRPr="007A1BEF" w:rsidDel="00D90B3C">
        <w:rPr>
          <w:rFonts w:ascii="Times New Roman" w:hAnsi="Times New Roman"/>
          <w:color w:val="000000"/>
        </w:rPr>
        <w:t xml:space="preserve"> </w:t>
      </w:r>
    </w:p>
    <w:p w:rsidR="002D1F45" w:rsidRPr="007A1BEF" w:rsidRDefault="002D1F45" w:rsidP="002D1F45">
      <w:pPr>
        <w:ind w:firstLine="720"/>
        <w:rPr>
          <w:rFonts w:ascii="Times New Roman" w:hAnsi="Times New Roman"/>
          <w:color w:val="000000"/>
        </w:rPr>
      </w:pPr>
      <w:r w:rsidRPr="007A1BEF">
        <w:rPr>
          <w:rFonts w:ascii="Times New Roman" w:hAnsi="Times New Roman"/>
          <w:color w:val="000000"/>
        </w:rPr>
        <w:t xml:space="preserve">Lyme </w:t>
      </w:r>
      <w:proofErr w:type="gramStart"/>
      <w:r w:rsidRPr="007A1BEF">
        <w:rPr>
          <w:rFonts w:ascii="Times New Roman" w:hAnsi="Times New Roman"/>
          <w:color w:val="000000"/>
        </w:rPr>
        <w:t>Disease</w:t>
      </w:r>
      <w:proofErr w:type="gramEnd"/>
      <w:r w:rsidRPr="007A1BEF">
        <w:rPr>
          <w:rFonts w:ascii="Times New Roman" w:hAnsi="Times New Roman"/>
          <w:color w:val="000000"/>
        </w:rPr>
        <w:t xml:space="preserve"> (LD) </w:t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bookmarkStart w:id="0" w:name="_GoBack"/>
      <w:bookmarkEnd w:id="0"/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  <w:t xml:space="preserve">        Typhoid Fever</w:t>
      </w:r>
    </w:p>
    <w:p w:rsidR="002D1F45" w:rsidRPr="007A1BEF" w:rsidRDefault="002D1F45" w:rsidP="002D1F45">
      <w:pPr>
        <w:ind w:firstLine="720"/>
        <w:rPr>
          <w:rFonts w:ascii="Times New Roman" w:hAnsi="Times New Roman"/>
          <w:color w:val="000000"/>
        </w:rPr>
      </w:pPr>
      <w:r w:rsidRPr="007A1BEF">
        <w:rPr>
          <w:rFonts w:ascii="Times New Roman" w:hAnsi="Times New Roman"/>
          <w:color w:val="000000"/>
        </w:rPr>
        <w:t>Malaria</w:t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  <w:t xml:space="preserve"> </w:t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  <w:t xml:space="preserve">                    Viral Hepatitis</w:t>
      </w:r>
    </w:p>
    <w:p w:rsidR="002D1F45" w:rsidRPr="007A1BEF" w:rsidRDefault="002D1F45" w:rsidP="002D1F45">
      <w:pPr>
        <w:ind w:firstLine="720"/>
        <w:rPr>
          <w:rFonts w:ascii="Times New Roman" w:hAnsi="Times New Roman"/>
          <w:color w:val="000000"/>
        </w:rPr>
      </w:pPr>
      <w:r w:rsidRPr="007A1BEF">
        <w:rPr>
          <w:rFonts w:ascii="Times New Roman" w:hAnsi="Times New Roman"/>
          <w:color w:val="000000"/>
        </w:rPr>
        <w:t>Plague</w:t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</w:p>
    <w:p w:rsidR="002D1F45" w:rsidRDefault="002D1F45" w:rsidP="002D1F45">
      <w:pPr>
        <w:rPr>
          <w:rFonts w:ascii="Times New Roman" w:hAnsi="Times New Roman"/>
          <w:color w:val="000000"/>
        </w:rPr>
      </w:pPr>
      <w:r w:rsidRPr="007A1BEF">
        <w:rPr>
          <w:rFonts w:ascii="Times New Roman" w:hAnsi="Times New Roman"/>
          <w:color w:val="000000"/>
        </w:rPr>
        <w:tab/>
      </w:r>
    </w:p>
    <w:p w:rsidR="00456129" w:rsidRPr="009D3A8D" w:rsidRDefault="00456129" w:rsidP="004561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D3A8D">
        <w:rPr>
          <w:rFonts w:ascii="Times New Roman" w:hAnsi="Times New Roman" w:cs="Times New Roman"/>
          <w:color w:val="000000"/>
          <w:sz w:val="24"/>
          <w:szCs w:val="24"/>
        </w:rPr>
        <w:t xml:space="preserve">With the approval of </w:t>
      </w:r>
      <w:r w:rsidRPr="009D3A8D">
        <w:rPr>
          <w:rFonts w:ascii="Times New Roman" w:hAnsi="Times New Roman" w:cs="Times New Roman"/>
          <w:sz w:val="24"/>
          <w:szCs w:val="24"/>
        </w:rPr>
        <w:t>[0920-0728] - The National Electronic Disease Surveillance System, only the following diseases will remain in this information collection:</w:t>
      </w:r>
    </w:p>
    <w:p w:rsidR="00456129" w:rsidRPr="009D3A8D" w:rsidRDefault="00456129" w:rsidP="004561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56129" w:rsidRDefault="00456129" w:rsidP="002D1F4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gramStart"/>
      <w:r w:rsidRPr="007A1BEF">
        <w:rPr>
          <w:rFonts w:ascii="Times New Roman" w:hAnsi="Times New Roman"/>
          <w:color w:val="000000"/>
        </w:rPr>
        <w:t>Creutzfeldt-Jakob Disease</w:t>
      </w:r>
      <w:proofErr w:type="gramEnd"/>
      <w:r w:rsidRPr="007A1BEF">
        <w:rPr>
          <w:rFonts w:ascii="Times New Roman" w:hAnsi="Times New Roman"/>
          <w:color w:val="000000"/>
        </w:rPr>
        <w:t xml:space="preserve"> (CJD) </w:t>
      </w:r>
    </w:p>
    <w:p w:rsidR="00456129" w:rsidRDefault="00456129" w:rsidP="002D1F4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>Reye Syndrome</w:t>
      </w:r>
      <w:r w:rsidRPr="007A1BEF">
        <w:rPr>
          <w:rFonts w:ascii="Times New Roman" w:hAnsi="Times New Roman"/>
          <w:color w:val="000000"/>
        </w:rPr>
        <w:tab/>
      </w:r>
    </w:p>
    <w:p w:rsidR="00456129" w:rsidRDefault="00456129" w:rsidP="002D1F4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>Kawasaki syndrome</w:t>
      </w:r>
    </w:p>
    <w:p w:rsidR="00456129" w:rsidRDefault="00456129" w:rsidP="002D1F45">
      <w:pPr>
        <w:rPr>
          <w:rFonts w:ascii="Times New Roman" w:hAnsi="Times New Roman"/>
          <w:color w:val="000000"/>
        </w:rPr>
      </w:pPr>
      <w:r w:rsidRPr="007A1BEF">
        <w:rPr>
          <w:rFonts w:ascii="Times New Roman" w:hAnsi="Times New Roman"/>
          <w:color w:val="000000"/>
        </w:rPr>
        <w:tab/>
      </w:r>
    </w:p>
    <w:p w:rsidR="009D3A8D" w:rsidRDefault="009D3A8D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2D1F45" w:rsidRDefault="008202FE" w:rsidP="002D1F4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New proposed burden table:</w:t>
      </w:r>
    </w:p>
    <w:p w:rsidR="002D1F45" w:rsidRPr="004F6D30" w:rsidRDefault="002D1F45" w:rsidP="002D1F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480" w:lineRule="auto"/>
        <w:rPr>
          <w:rFonts w:cs="Courier New"/>
        </w:rPr>
      </w:pPr>
      <w:r w:rsidRPr="004F6D30">
        <w:rPr>
          <w:rFonts w:cs="Courier New"/>
        </w:rPr>
        <w:t xml:space="preserve">                                   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2070"/>
        <w:gridCol w:w="1440"/>
        <w:gridCol w:w="1260"/>
        <w:gridCol w:w="1623"/>
        <w:gridCol w:w="1005"/>
      </w:tblGrid>
      <w:tr w:rsidR="002D1F45" w:rsidRPr="00E32732" w:rsidTr="0071401D">
        <w:tc>
          <w:tcPr>
            <w:tcW w:w="2178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Form</w:t>
            </w:r>
          </w:p>
        </w:tc>
        <w:tc>
          <w:tcPr>
            <w:tcW w:w="207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Type of Respondent</w:t>
            </w:r>
          </w:p>
        </w:tc>
        <w:tc>
          <w:tcPr>
            <w:tcW w:w="144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No. of Respondents</w:t>
            </w:r>
          </w:p>
        </w:tc>
        <w:tc>
          <w:tcPr>
            <w:tcW w:w="126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No. of responses per respondent</w:t>
            </w:r>
          </w:p>
        </w:tc>
        <w:tc>
          <w:tcPr>
            <w:tcW w:w="1623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 xml:space="preserve">Avg. Burden per response (in </w:t>
            </w:r>
            <w:proofErr w:type="spellStart"/>
            <w:r w:rsidRPr="00E32732">
              <w:rPr>
                <w:rFonts w:ascii="Times New Roman" w:hAnsi="Times New Roman"/>
              </w:rPr>
              <w:t>hrs</w:t>
            </w:r>
            <w:proofErr w:type="spellEnd"/>
            <w:r w:rsidRPr="00E32732">
              <w:rPr>
                <w:rFonts w:ascii="Times New Roman" w:hAnsi="Times New Roman"/>
              </w:rPr>
              <w:t>)</w:t>
            </w:r>
          </w:p>
        </w:tc>
        <w:tc>
          <w:tcPr>
            <w:tcW w:w="1005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Total burden hours</w:t>
            </w:r>
          </w:p>
        </w:tc>
      </w:tr>
      <w:tr w:rsidR="002D1F45" w:rsidRPr="00E32732" w:rsidTr="0071401D">
        <w:tc>
          <w:tcPr>
            <w:tcW w:w="2178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CJD</w:t>
            </w:r>
          </w:p>
        </w:tc>
        <w:tc>
          <w:tcPr>
            <w:tcW w:w="207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Epidemiologist</w:t>
            </w:r>
          </w:p>
        </w:tc>
        <w:tc>
          <w:tcPr>
            <w:tcW w:w="144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20</w:t>
            </w:r>
          </w:p>
        </w:tc>
        <w:tc>
          <w:tcPr>
            <w:tcW w:w="126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2</w:t>
            </w:r>
          </w:p>
        </w:tc>
        <w:tc>
          <w:tcPr>
            <w:tcW w:w="1623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20/60</w:t>
            </w:r>
          </w:p>
        </w:tc>
        <w:tc>
          <w:tcPr>
            <w:tcW w:w="1005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13</w:t>
            </w:r>
          </w:p>
        </w:tc>
      </w:tr>
      <w:tr w:rsidR="002D1F45" w:rsidRPr="00E32732" w:rsidTr="0071401D">
        <w:tc>
          <w:tcPr>
            <w:tcW w:w="2178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Kawasaki Syndrome</w:t>
            </w:r>
          </w:p>
        </w:tc>
        <w:tc>
          <w:tcPr>
            <w:tcW w:w="207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Epidemiologist</w:t>
            </w:r>
          </w:p>
        </w:tc>
        <w:tc>
          <w:tcPr>
            <w:tcW w:w="144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55</w:t>
            </w:r>
          </w:p>
        </w:tc>
        <w:tc>
          <w:tcPr>
            <w:tcW w:w="126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8</w:t>
            </w:r>
          </w:p>
        </w:tc>
        <w:tc>
          <w:tcPr>
            <w:tcW w:w="1623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15/60</w:t>
            </w:r>
          </w:p>
        </w:tc>
        <w:tc>
          <w:tcPr>
            <w:tcW w:w="1005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110</w:t>
            </w:r>
          </w:p>
        </w:tc>
      </w:tr>
      <w:tr w:rsidR="002D1F45" w:rsidRPr="00E32732" w:rsidTr="0071401D">
        <w:tc>
          <w:tcPr>
            <w:tcW w:w="2178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Reye Syndrome</w:t>
            </w:r>
          </w:p>
        </w:tc>
        <w:tc>
          <w:tcPr>
            <w:tcW w:w="207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Epidemiologist</w:t>
            </w:r>
          </w:p>
        </w:tc>
        <w:tc>
          <w:tcPr>
            <w:tcW w:w="144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50</w:t>
            </w:r>
          </w:p>
        </w:tc>
        <w:tc>
          <w:tcPr>
            <w:tcW w:w="126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1</w:t>
            </w:r>
          </w:p>
        </w:tc>
        <w:tc>
          <w:tcPr>
            <w:tcW w:w="1623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20/60</w:t>
            </w:r>
          </w:p>
        </w:tc>
        <w:tc>
          <w:tcPr>
            <w:tcW w:w="1005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17</w:t>
            </w:r>
          </w:p>
        </w:tc>
      </w:tr>
      <w:tr w:rsidR="002D1F45" w:rsidRPr="00E32732" w:rsidTr="0071401D">
        <w:tc>
          <w:tcPr>
            <w:tcW w:w="2178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E32732">
              <w:rPr>
                <w:rFonts w:ascii="Times New Roman" w:hAnsi="Times New Roman"/>
              </w:rPr>
              <w:t>Total</w:t>
            </w:r>
          </w:p>
        </w:tc>
        <w:tc>
          <w:tcPr>
            <w:tcW w:w="207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623" w:type="dxa"/>
          </w:tcPr>
          <w:p w:rsidR="002D1F45" w:rsidRPr="00E32732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005" w:type="dxa"/>
          </w:tcPr>
          <w:p w:rsidR="002D1F45" w:rsidRPr="00E32732" w:rsidRDefault="009D3A8D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</w:tr>
    </w:tbl>
    <w:p w:rsidR="002D1F45" w:rsidRDefault="002D1F45" w:rsidP="002D1F45">
      <w:pPr>
        <w:widowControl/>
        <w:tabs>
          <w:tab w:val="left" w:pos="-1440"/>
          <w:tab w:val="left" w:pos="-720"/>
        </w:tabs>
        <w:ind w:left="720"/>
        <w:rPr>
          <w:rFonts w:ascii="Times New Roman" w:hAnsi="Times New Roman"/>
          <w:bCs/>
        </w:rPr>
      </w:pPr>
    </w:p>
    <w:p w:rsidR="009D3A8D" w:rsidRPr="00E32732" w:rsidRDefault="009D3A8D" w:rsidP="002D1F45">
      <w:pPr>
        <w:widowControl/>
        <w:tabs>
          <w:tab w:val="left" w:pos="-1440"/>
          <w:tab w:val="left" w:pos="-720"/>
        </w:tabs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This is a decrease in 11,307 hours.</w:t>
      </w:r>
    </w:p>
    <w:p w:rsidR="002D1F45" w:rsidRDefault="002D1F45" w:rsidP="002D1F45">
      <w:pPr>
        <w:widowControl/>
        <w:tabs>
          <w:tab w:val="left" w:pos="-1440"/>
          <w:tab w:val="left" w:pos="-720"/>
        </w:tabs>
        <w:ind w:left="360"/>
        <w:rPr>
          <w:rFonts w:ascii="Times New Roman" w:hAnsi="Times New Roman"/>
          <w:bCs/>
        </w:rPr>
      </w:pPr>
    </w:p>
    <w:p w:rsidR="009D3A8D" w:rsidRDefault="009D3A8D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2D1F45" w:rsidRDefault="008202FE" w:rsidP="002D1F45">
      <w:pPr>
        <w:widowControl/>
        <w:tabs>
          <w:tab w:val="left" w:pos="-1440"/>
          <w:tab w:val="left" w:pos="-72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New Proposed </w:t>
      </w:r>
      <w:r w:rsidR="002D1F45">
        <w:rPr>
          <w:rFonts w:ascii="Times New Roman" w:hAnsi="Times New Roman"/>
          <w:bCs/>
        </w:rPr>
        <w:t>Es</w:t>
      </w:r>
      <w:r w:rsidR="002D1F45" w:rsidRPr="007A1BEF">
        <w:rPr>
          <w:rFonts w:ascii="Times New Roman" w:hAnsi="Times New Roman"/>
        </w:rPr>
        <w:t xml:space="preserve">timated Annualized Burden Costs </w:t>
      </w:r>
    </w:p>
    <w:p w:rsidR="002D1F45" w:rsidRDefault="002D1F45" w:rsidP="002D1F45">
      <w:pPr>
        <w:widowControl/>
        <w:tabs>
          <w:tab w:val="left" w:pos="-1440"/>
          <w:tab w:val="left" w:pos="-720"/>
        </w:tabs>
        <w:rPr>
          <w:rFonts w:ascii="Times New Roman" w:hAnsi="Times New Roman"/>
        </w:rPr>
      </w:pPr>
    </w:p>
    <w:p w:rsidR="002D1F45" w:rsidRPr="004F6D30" w:rsidRDefault="002D1F45" w:rsidP="002D1F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480" w:lineRule="auto"/>
        <w:rPr>
          <w:rFonts w:cs="Courier New"/>
        </w:rPr>
      </w:pPr>
      <w:r w:rsidRPr="004F6D30">
        <w:rPr>
          <w:rFonts w:cs="Courier New"/>
        </w:rPr>
        <w:t xml:space="preserve">                                      </w:t>
      </w:r>
    </w:p>
    <w:tbl>
      <w:tblPr>
        <w:tblStyle w:val="TableGrid3"/>
        <w:tblW w:w="11586" w:type="dxa"/>
        <w:tblLayout w:type="fixed"/>
        <w:tblLook w:val="04A0" w:firstRow="1" w:lastRow="0" w:firstColumn="1" w:lastColumn="0" w:noHBand="0" w:noVBand="1"/>
      </w:tblPr>
      <w:tblGrid>
        <w:gridCol w:w="1458"/>
        <w:gridCol w:w="1170"/>
        <w:gridCol w:w="1350"/>
        <w:gridCol w:w="1080"/>
        <w:gridCol w:w="1260"/>
        <w:gridCol w:w="1170"/>
        <w:gridCol w:w="900"/>
        <w:gridCol w:w="3198"/>
      </w:tblGrid>
      <w:tr w:rsidR="002D1F45" w:rsidRPr="004F6D30" w:rsidTr="0042705D">
        <w:tc>
          <w:tcPr>
            <w:tcW w:w="1458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Form</w:t>
            </w:r>
          </w:p>
        </w:tc>
        <w:tc>
          <w:tcPr>
            <w:tcW w:w="117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Type of Respondent</w:t>
            </w:r>
          </w:p>
        </w:tc>
        <w:tc>
          <w:tcPr>
            <w:tcW w:w="135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No. of Respondents</w:t>
            </w:r>
          </w:p>
        </w:tc>
        <w:tc>
          <w:tcPr>
            <w:tcW w:w="108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No. of responses per respondent</w:t>
            </w:r>
          </w:p>
        </w:tc>
        <w:tc>
          <w:tcPr>
            <w:tcW w:w="126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 xml:space="preserve">Avg. Burden per response (in </w:t>
            </w:r>
            <w:proofErr w:type="spellStart"/>
            <w:r w:rsidRPr="00D17F45">
              <w:rPr>
                <w:rFonts w:ascii="Times New Roman" w:hAnsi="Times New Roman"/>
              </w:rPr>
              <w:t>hrs</w:t>
            </w:r>
            <w:proofErr w:type="spellEnd"/>
            <w:r w:rsidRPr="00D17F45">
              <w:rPr>
                <w:rFonts w:ascii="Times New Roman" w:hAnsi="Times New Roman"/>
              </w:rPr>
              <w:t>)</w:t>
            </w:r>
          </w:p>
        </w:tc>
        <w:tc>
          <w:tcPr>
            <w:tcW w:w="117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Total burden hours</w:t>
            </w:r>
          </w:p>
        </w:tc>
        <w:tc>
          <w:tcPr>
            <w:tcW w:w="90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Hourly Wage Rate</w:t>
            </w:r>
          </w:p>
        </w:tc>
        <w:tc>
          <w:tcPr>
            <w:tcW w:w="3198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Total Respondent Costs</w:t>
            </w:r>
          </w:p>
        </w:tc>
      </w:tr>
      <w:tr w:rsidR="002D1F45" w:rsidRPr="004F6D30" w:rsidTr="0042705D">
        <w:tc>
          <w:tcPr>
            <w:tcW w:w="1458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CJD</w:t>
            </w:r>
          </w:p>
        </w:tc>
        <w:tc>
          <w:tcPr>
            <w:tcW w:w="117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Epidemiologist</w:t>
            </w:r>
          </w:p>
        </w:tc>
        <w:tc>
          <w:tcPr>
            <w:tcW w:w="135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20</w:t>
            </w:r>
          </w:p>
        </w:tc>
        <w:tc>
          <w:tcPr>
            <w:tcW w:w="108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20/60</w:t>
            </w:r>
          </w:p>
        </w:tc>
        <w:tc>
          <w:tcPr>
            <w:tcW w:w="117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13</w:t>
            </w:r>
          </w:p>
        </w:tc>
        <w:tc>
          <w:tcPr>
            <w:tcW w:w="90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33.49</w:t>
            </w:r>
          </w:p>
        </w:tc>
        <w:tc>
          <w:tcPr>
            <w:tcW w:w="3198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</w:t>
            </w:r>
          </w:p>
        </w:tc>
      </w:tr>
      <w:tr w:rsidR="002D1F45" w:rsidRPr="004F6D30" w:rsidTr="0042705D">
        <w:tc>
          <w:tcPr>
            <w:tcW w:w="1458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Kawasaki Syndrome</w:t>
            </w:r>
          </w:p>
        </w:tc>
        <w:tc>
          <w:tcPr>
            <w:tcW w:w="117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Epidemiologist</w:t>
            </w:r>
          </w:p>
        </w:tc>
        <w:tc>
          <w:tcPr>
            <w:tcW w:w="135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55</w:t>
            </w:r>
          </w:p>
        </w:tc>
        <w:tc>
          <w:tcPr>
            <w:tcW w:w="108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8</w:t>
            </w:r>
          </w:p>
        </w:tc>
        <w:tc>
          <w:tcPr>
            <w:tcW w:w="126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15/60</w:t>
            </w:r>
          </w:p>
        </w:tc>
        <w:tc>
          <w:tcPr>
            <w:tcW w:w="117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110</w:t>
            </w:r>
          </w:p>
        </w:tc>
        <w:tc>
          <w:tcPr>
            <w:tcW w:w="90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33.49</w:t>
            </w:r>
          </w:p>
        </w:tc>
        <w:tc>
          <w:tcPr>
            <w:tcW w:w="3198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3,684</w:t>
            </w:r>
          </w:p>
        </w:tc>
      </w:tr>
      <w:tr w:rsidR="002D1F45" w:rsidRPr="004F6D30" w:rsidTr="0042705D">
        <w:tc>
          <w:tcPr>
            <w:tcW w:w="1458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Reye Syndrome</w:t>
            </w:r>
          </w:p>
        </w:tc>
        <w:tc>
          <w:tcPr>
            <w:tcW w:w="117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Epidemiologist</w:t>
            </w:r>
          </w:p>
        </w:tc>
        <w:tc>
          <w:tcPr>
            <w:tcW w:w="135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50</w:t>
            </w:r>
          </w:p>
        </w:tc>
        <w:tc>
          <w:tcPr>
            <w:tcW w:w="108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20/60</w:t>
            </w:r>
          </w:p>
        </w:tc>
        <w:tc>
          <w:tcPr>
            <w:tcW w:w="117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17</w:t>
            </w:r>
          </w:p>
        </w:tc>
        <w:tc>
          <w:tcPr>
            <w:tcW w:w="90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33.49</w:t>
            </w:r>
          </w:p>
        </w:tc>
        <w:tc>
          <w:tcPr>
            <w:tcW w:w="3198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</w:t>
            </w:r>
          </w:p>
        </w:tc>
      </w:tr>
      <w:tr w:rsidR="002D1F45" w:rsidRPr="004F6D30" w:rsidTr="0042705D">
        <w:tc>
          <w:tcPr>
            <w:tcW w:w="1458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 w:rsidRPr="00D17F45">
              <w:rPr>
                <w:rFonts w:ascii="Times New Roman" w:hAnsi="Times New Roman"/>
              </w:rPr>
              <w:t>Total</w:t>
            </w:r>
          </w:p>
        </w:tc>
        <w:tc>
          <w:tcPr>
            <w:tcW w:w="117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</w:tcPr>
          <w:p w:rsidR="002D1F45" w:rsidRPr="00D17F45" w:rsidRDefault="009D3A8D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900" w:type="dxa"/>
          </w:tcPr>
          <w:p w:rsidR="002D1F45" w:rsidRPr="00D17F45" w:rsidRDefault="002D1F45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198" w:type="dxa"/>
          </w:tcPr>
          <w:p w:rsidR="002D1F45" w:rsidRPr="00D17F45" w:rsidRDefault="009D3A8D" w:rsidP="0071401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$4688</w:t>
            </w:r>
          </w:p>
        </w:tc>
      </w:tr>
    </w:tbl>
    <w:p w:rsidR="002D1F45" w:rsidRPr="004F6D30" w:rsidRDefault="002D1F45" w:rsidP="002D1F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480" w:lineRule="auto"/>
        <w:rPr>
          <w:rFonts w:cs="Courier New"/>
        </w:rPr>
      </w:pPr>
    </w:p>
    <w:p w:rsidR="002D1F45" w:rsidRPr="007A1BEF" w:rsidRDefault="009D3A8D" w:rsidP="002D1F45">
      <w:pPr>
        <w:widowControl/>
        <w:tabs>
          <w:tab w:val="left" w:pos="-1440"/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>This is a decrease in $378,672.</w:t>
      </w:r>
    </w:p>
    <w:p w:rsidR="002D1F45" w:rsidRPr="007A1BEF" w:rsidRDefault="002D1F45" w:rsidP="002D1F45">
      <w:pPr>
        <w:widowControl/>
        <w:tabs>
          <w:tab w:val="left" w:pos="-1440"/>
          <w:tab w:val="left" w:pos="-720"/>
        </w:tabs>
        <w:rPr>
          <w:rFonts w:ascii="Times New Roman" w:hAnsi="Times New Roman"/>
        </w:rPr>
      </w:pPr>
    </w:p>
    <w:p w:rsidR="00314FC2" w:rsidRDefault="002D1F45" w:rsidP="002D1F45"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</w:r>
      <w:r w:rsidRPr="007A1BEF">
        <w:rPr>
          <w:rFonts w:ascii="Times New Roman" w:hAnsi="Times New Roman"/>
          <w:color w:val="000000"/>
        </w:rPr>
        <w:tab/>
        <w:t xml:space="preserve">          </w:t>
      </w:r>
    </w:p>
    <w:sectPr w:rsidR="0031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45"/>
    <w:rsid w:val="002D1F45"/>
    <w:rsid w:val="00314FC2"/>
    <w:rsid w:val="0042705D"/>
    <w:rsid w:val="00456129"/>
    <w:rsid w:val="008202FE"/>
    <w:rsid w:val="009D3A8D"/>
    <w:rsid w:val="00A6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1F45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rsid w:val="002D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2D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5612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12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1F45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rsid w:val="002D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2D1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5612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12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McMillen, Amy (CDC/OID/NCEZID)</dc:creator>
  <cp:lastModifiedBy>CDC User</cp:lastModifiedBy>
  <cp:revision>3</cp:revision>
  <dcterms:created xsi:type="dcterms:W3CDTF">2014-01-15T18:45:00Z</dcterms:created>
  <dcterms:modified xsi:type="dcterms:W3CDTF">2014-01-16T15:09:00Z</dcterms:modified>
</cp:coreProperties>
</file>