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9C" w:rsidRPr="00406570" w:rsidRDefault="0028629C" w:rsidP="0028629C">
      <w:pPr>
        <w:pStyle w:val="Heading1"/>
        <w:tabs>
          <w:tab w:val="right" w:pos="10080"/>
        </w:tabs>
        <w:jc w:val="center"/>
        <w:rPr>
          <w:rFonts w:asciiTheme="minorHAnsi" w:hAnsiTheme="minorHAnsi" w:cstheme="minorHAnsi"/>
          <w:b/>
          <w:bCs/>
          <w:sz w:val="22"/>
          <w:szCs w:val="22"/>
        </w:rPr>
      </w:pPr>
      <w:r w:rsidRPr="00406570">
        <w:rPr>
          <w:rFonts w:asciiTheme="minorHAnsi" w:hAnsiTheme="minorHAnsi" w:cstheme="minorHAnsi"/>
          <w:b/>
          <w:bCs/>
          <w:sz w:val="22"/>
          <w:szCs w:val="22"/>
        </w:rPr>
        <w:t>Change Request</w:t>
      </w:r>
    </w:p>
    <w:p w:rsidR="0028629C" w:rsidRPr="00406570" w:rsidRDefault="00D16291" w:rsidP="0028629C">
      <w:pPr>
        <w:spacing w:after="0" w:line="240" w:lineRule="auto"/>
        <w:jc w:val="center"/>
        <w:rPr>
          <w:rFonts w:cstheme="minorHAnsi"/>
        </w:rPr>
      </w:pPr>
      <w:r>
        <w:rPr>
          <w:rFonts w:cstheme="minorHAnsi"/>
        </w:rPr>
        <w:t>January 2</w:t>
      </w:r>
      <w:r w:rsidR="008969D7">
        <w:rPr>
          <w:rFonts w:cstheme="minorHAnsi"/>
        </w:rPr>
        <w:t>, 201</w:t>
      </w:r>
      <w:r>
        <w:rPr>
          <w:rFonts w:cstheme="minorHAnsi"/>
        </w:rPr>
        <w:t>4</w:t>
      </w:r>
    </w:p>
    <w:p w:rsidR="0028629C" w:rsidRDefault="0028629C" w:rsidP="004D4977">
      <w:pPr>
        <w:pStyle w:val="Heading1"/>
        <w:tabs>
          <w:tab w:val="right" w:pos="10080"/>
        </w:tabs>
        <w:jc w:val="center"/>
        <w:rPr>
          <w:rFonts w:asciiTheme="minorHAnsi" w:hAnsiTheme="minorHAnsi" w:cstheme="minorHAnsi"/>
          <w:b/>
          <w:bCs/>
          <w:sz w:val="22"/>
          <w:szCs w:val="22"/>
        </w:rPr>
      </w:pPr>
    </w:p>
    <w:p w:rsidR="008008BD" w:rsidRPr="00406570" w:rsidRDefault="0003020D" w:rsidP="00CB2F28">
      <w:pPr>
        <w:pStyle w:val="Heading1"/>
        <w:tabs>
          <w:tab w:val="right" w:pos="10080"/>
        </w:tabs>
        <w:jc w:val="center"/>
        <w:rPr>
          <w:rFonts w:asciiTheme="minorHAnsi" w:hAnsiTheme="minorHAnsi" w:cstheme="minorHAnsi"/>
          <w:b/>
          <w:bCs/>
          <w:sz w:val="22"/>
          <w:szCs w:val="22"/>
        </w:rPr>
      </w:pPr>
      <w:r>
        <w:rPr>
          <w:rFonts w:asciiTheme="minorHAnsi" w:hAnsiTheme="minorHAnsi" w:cstheme="minorHAnsi"/>
          <w:b/>
          <w:bCs/>
          <w:sz w:val="22"/>
          <w:szCs w:val="22"/>
        </w:rPr>
        <w:t>“</w:t>
      </w:r>
      <w:r w:rsidR="008969D7">
        <w:rPr>
          <w:rFonts w:asciiTheme="minorHAnsi" w:hAnsiTheme="minorHAnsi" w:cstheme="minorHAnsi"/>
          <w:b/>
          <w:bCs/>
          <w:sz w:val="22"/>
          <w:szCs w:val="22"/>
        </w:rPr>
        <w:t>Salt Sources Study”</w:t>
      </w:r>
    </w:p>
    <w:p w:rsidR="00541707" w:rsidRDefault="00541707" w:rsidP="00CB2F28">
      <w:pPr>
        <w:pStyle w:val="Heading1"/>
        <w:tabs>
          <w:tab w:val="right" w:pos="10080"/>
        </w:tabs>
        <w:jc w:val="center"/>
        <w:rPr>
          <w:rFonts w:asciiTheme="minorHAnsi" w:hAnsiTheme="minorHAnsi" w:cstheme="minorHAnsi"/>
          <w:sz w:val="22"/>
          <w:szCs w:val="22"/>
        </w:rPr>
      </w:pPr>
      <w:r w:rsidRPr="00406570">
        <w:rPr>
          <w:rFonts w:asciiTheme="minorHAnsi" w:hAnsiTheme="minorHAnsi" w:cstheme="minorHAnsi"/>
          <w:sz w:val="22"/>
          <w:szCs w:val="22"/>
        </w:rPr>
        <w:t xml:space="preserve">(OMB no. </w:t>
      </w:r>
      <w:r w:rsidR="008008BD" w:rsidRPr="00406570">
        <w:rPr>
          <w:rFonts w:asciiTheme="minorHAnsi" w:hAnsiTheme="minorHAnsi" w:cstheme="minorHAnsi"/>
          <w:sz w:val="22"/>
          <w:szCs w:val="22"/>
        </w:rPr>
        <w:t>0920-09</w:t>
      </w:r>
      <w:r w:rsidR="008969D7">
        <w:rPr>
          <w:rFonts w:asciiTheme="minorHAnsi" w:hAnsiTheme="minorHAnsi" w:cstheme="minorHAnsi"/>
          <w:sz w:val="22"/>
          <w:szCs w:val="22"/>
        </w:rPr>
        <w:t>82</w:t>
      </w:r>
      <w:r w:rsidR="008008BD" w:rsidRPr="00406570">
        <w:rPr>
          <w:rFonts w:asciiTheme="minorHAnsi" w:hAnsiTheme="minorHAnsi" w:cstheme="minorHAnsi"/>
          <w:sz w:val="22"/>
          <w:szCs w:val="22"/>
        </w:rPr>
        <w:t xml:space="preserve">, exp. date </w:t>
      </w:r>
      <w:r w:rsidR="008969D7">
        <w:rPr>
          <w:rFonts w:asciiTheme="minorHAnsi" w:hAnsiTheme="minorHAnsi" w:cstheme="minorHAnsi"/>
          <w:sz w:val="22"/>
          <w:szCs w:val="22"/>
        </w:rPr>
        <w:t>09</w:t>
      </w:r>
      <w:r w:rsidR="008008BD" w:rsidRPr="00406570">
        <w:rPr>
          <w:rFonts w:asciiTheme="minorHAnsi" w:hAnsiTheme="minorHAnsi" w:cstheme="minorHAnsi"/>
          <w:sz w:val="22"/>
          <w:szCs w:val="22"/>
        </w:rPr>
        <w:t>/3</w:t>
      </w:r>
      <w:r w:rsidR="008969D7">
        <w:rPr>
          <w:rFonts w:asciiTheme="minorHAnsi" w:hAnsiTheme="minorHAnsi" w:cstheme="minorHAnsi"/>
          <w:sz w:val="22"/>
          <w:szCs w:val="22"/>
        </w:rPr>
        <w:t>0</w:t>
      </w:r>
      <w:r w:rsidR="008008BD" w:rsidRPr="00406570">
        <w:rPr>
          <w:rFonts w:asciiTheme="minorHAnsi" w:hAnsiTheme="minorHAnsi" w:cstheme="minorHAnsi"/>
          <w:sz w:val="22"/>
          <w:szCs w:val="22"/>
        </w:rPr>
        <w:t>/2015</w:t>
      </w:r>
      <w:r w:rsidR="00891FA4" w:rsidRPr="00406570">
        <w:rPr>
          <w:rFonts w:asciiTheme="minorHAnsi" w:hAnsiTheme="minorHAnsi" w:cstheme="minorHAnsi"/>
          <w:sz w:val="22"/>
          <w:szCs w:val="22"/>
        </w:rPr>
        <w:t>)</w:t>
      </w:r>
    </w:p>
    <w:p w:rsidR="00891FA4" w:rsidRPr="009E20FD" w:rsidRDefault="0068768F" w:rsidP="00DF2DC7">
      <w:pPr>
        <w:tabs>
          <w:tab w:val="left" w:pos="3240"/>
        </w:tabs>
        <w:spacing w:after="0" w:line="240" w:lineRule="auto"/>
        <w:rPr>
          <w:u w:val="single"/>
        </w:rPr>
      </w:pP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p>
    <w:p w:rsidR="00541707" w:rsidRPr="00406570" w:rsidRDefault="00541707" w:rsidP="004D4977">
      <w:pPr>
        <w:pStyle w:val="Heading1"/>
        <w:tabs>
          <w:tab w:val="right" w:pos="10080"/>
        </w:tabs>
        <w:rPr>
          <w:rFonts w:asciiTheme="minorHAnsi" w:hAnsiTheme="minorHAnsi" w:cstheme="minorHAnsi"/>
          <w:sz w:val="22"/>
          <w:szCs w:val="22"/>
        </w:rPr>
      </w:pPr>
    </w:p>
    <w:p w:rsidR="00541707" w:rsidRPr="00406570" w:rsidRDefault="00541707" w:rsidP="00311951">
      <w:pPr>
        <w:pStyle w:val="Heading1"/>
        <w:tabs>
          <w:tab w:val="right" w:pos="10080"/>
        </w:tabs>
        <w:rPr>
          <w:rFonts w:asciiTheme="minorHAnsi" w:hAnsiTheme="minorHAnsi" w:cstheme="minorHAnsi"/>
          <w:b/>
          <w:sz w:val="22"/>
          <w:szCs w:val="22"/>
        </w:rPr>
      </w:pPr>
      <w:r w:rsidRPr="00406570">
        <w:rPr>
          <w:rFonts w:asciiTheme="minorHAnsi" w:hAnsiTheme="minorHAnsi" w:cstheme="minorHAnsi"/>
          <w:b/>
          <w:sz w:val="22"/>
          <w:szCs w:val="22"/>
        </w:rPr>
        <w:t>Summary</w:t>
      </w:r>
    </w:p>
    <w:p w:rsidR="00184ED5" w:rsidRPr="00406570" w:rsidRDefault="00184ED5" w:rsidP="00311951">
      <w:pPr>
        <w:pStyle w:val="Heading1"/>
        <w:tabs>
          <w:tab w:val="right" w:pos="10080"/>
        </w:tabs>
        <w:rPr>
          <w:rFonts w:asciiTheme="minorHAnsi" w:eastAsiaTheme="minorHAnsi" w:hAnsiTheme="minorHAnsi" w:cstheme="minorHAnsi"/>
          <w:sz w:val="22"/>
          <w:szCs w:val="22"/>
        </w:rPr>
      </w:pPr>
    </w:p>
    <w:p w:rsidR="00B92D97" w:rsidRDefault="00184ED5" w:rsidP="00B92D97">
      <w:pPr>
        <w:pStyle w:val="Heading1"/>
        <w:tabs>
          <w:tab w:val="right" w:pos="10080"/>
        </w:tabs>
        <w:rPr>
          <w:rFonts w:asciiTheme="minorHAnsi" w:hAnsiTheme="minorHAnsi" w:cstheme="minorHAnsi"/>
          <w:sz w:val="22"/>
          <w:szCs w:val="22"/>
        </w:rPr>
      </w:pPr>
      <w:r w:rsidRPr="00406570">
        <w:rPr>
          <w:rFonts w:asciiTheme="minorHAnsi" w:eastAsiaTheme="minorHAnsi" w:hAnsiTheme="minorHAnsi" w:cstheme="minorHAnsi"/>
          <w:sz w:val="22"/>
          <w:szCs w:val="22"/>
        </w:rPr>
        <w:t>CDC i</w:t>
      </w:r>
      <w:r w:rsidR="00BD66A9" w:rsidRPr="00406570">
        <w:rPr>
          <w:rFonts w:asciiTheme="minorHAnsi" w:eastAsiaTheme="minorHAnsi" w:hAnsiTheme="minorHAnsi" w:cstheme="minorHAnsi"/>
          <w:sz w:val="22"/>
          <w:szCs w:val="22"/>
        </w:rPr>
        <w:t>s currently approved to collect</w:t>
      </w:r>
      <w:r w:rsidRPr="00406570">
        <w:rPr>
          <w:rFonts w:asciiTheme="minorHAnsi" w:eastAsiaTheme="minorHAnsi" w:hAnsiTheme="minorHAnsi" w:cstheme="minorHAnsi"/>
          <w:sz w:val="22"/>
          <w:szCs w:val="22"/>
        </w:rPr>
        <w:t xml:space="preserve"> i</w:t>
      </w:r>
      <w:r w:rsidR="00541707" w:rsidRPr="00406570">
        <w:rPr>
          <w:rFonts w:asciiTheme="minorHAnsi" w:hAnsiTheme="minorHAnsi" w:cstheme="minorHAnsi"/>
          <w:sz w:val="22"/>
          <w:szCs w:val="22"/>
        </w:rPr>
        <w:t>nfor</w:t>
      </w:r>
      <w:r w:rsidR="00BD66A9" w:rsidRPr="00406570">
        <w:rPr>
          <w:rFonts w:asciiTheme="minorHAnsi" w:hAnsiTheme="minorHAnsi" w:cstheme="minorHAnsi"/>
          <w:sz w:val="22"/>
          <w:szCs w:val="22"/>
        </w:rPr>
        <w:t xml:space="preserve">mation </w:t>
      </w:r>
      <w:r w:rsidR="008969D7">
        <w:rPr>
          <w:rFonts w:asciiTheme="minorHAnsi" w:hAnsiTheme="minorHAnsi" w:cstheme="minorHAnsi"/>
          <w:sz w:val="22"/>
          <w:szCs w:val="22"/>
        </w:rPr>
        <w:t xml:space="preserve">in an observational study and validation </w:t>
      </w:r>
      <w:r w:rsidR="00A173F5">
        <w:rPr>
          <w:rFonts w:asciiTheme="minorHAnsi" w:hAnsiTheme="minorHAnsi" w:cstheme="minorHAnsi"/>
          <w:sz w:val="22"/>
          <w:szCs w:val="22"/>
        </w:rPr>
        <w:t>s</w:t>
      </w:r>
      <w:r w:rsidR="008969D7">
        <w:rPr>
          <w:rFonts w:asciiTheme="minorHAnsi" w:hAnsiTheme="minorHAnsi" w:cstheme="minorHAnsi"/>
          <w:sz w:val="22"/>
          <w:szCs w:val="22"/>
        </w:rPr>
        <w:t>ub</w:t>
      </w:r>
      <w:r w:rsidR="00A173F5">
        <w:rPr>
          <w:rFonts w:asciiTheme="minorHAnsi" w:hAnsiTheme="minorHAnsi" w:cstheme="minorHAnsi"/>
          <w:sz w:val="22"/>
          <w:szCs w:val="22"/>
        </w:rPr>
        <w:t xml:space="preserve"> s</w:t>
      </w:r>
      <w:r w:rsidR="008969D7">
        <w:rPr>
          <w:rFonts w:asciiTheme="minorHAnsi" w:hAnsiTheme="minorHAnsi" w:cstheme="minorHAnsi"/>
          <w:sz w:val="22"/>
          <w:szCs w:val="22"/>
        </w:rPr>
        <w:t>tu</w:t>
      </w:r>
      <w:r w:rsidR="00313286">
        <w:rPr>
          <w:rFonts w:asciiTheme="minorHAnsi" w:hAnsiTheme="minorHAnsi" w:cstheme="minorHAnsi"/>
          <w:sz w:val="22"/>
          <w:szCs w:val="22"/>
        </w:rPr>
        <w:t>d</w:t>
      </w:r>
      <w:r w:rsidR="008969D7">
        <w:rPr>
          <w:rFonts w:asciiTheme="minorHAnsi" w:hAnsiTheme="minorHAnsi" w:cstheme="minorHAnsi"/>
          <w:sz w:val="22"/>
          <w:szCs w:val="22"/>
        </w:rPr>
        <w:t xml:space="preserve">y known as the </w:t>
      </w:r>
      <w:r w:rsidR="008969D7" w:rsidRPr="008969D7">
        <w:rPr>
          <w:rFonts w:asciiTheme="minorHAnsi" w:hAnsiTheme="minorHAnsi" w:cstheme="minorHAnsi"/>
          <w:b/>
          <w:sz w:val="22"/>
          <w:szCs w:val="22"/>
        </w:rPr>
        <w:t>Salt Sources Study</w:t>
      </w:r>
      <w:r w:rsidR="008969D7" w:rsidRPr="008969D7">
        <w:rPr>
          <w:rFonts w:asciiTheme="minorHAnsi" w:hAnsiTheme="minorHAnsi" w:cstheme="minorHAnsi"/>
          <w:sz w:val="22"/>
          <w:szCs w:val="22"/>
        </w:rPr>
        <w:t>.</w:t>
      </w:r>
      <w:r w:rsidR="008969D7">
        <w:rPr>
          <w:rFonts w:asciiTheme="minorHAnsi" w:hAnsiTheme="minorHAnsi" w:cstheme="minorHAnsi"/>
          <w:i/>
          <w:sz w:val="22"/>
          <w:szCs w:val="22"/>
        </w:rPr>
        <w:t xml:space="preserve">  </w:t>
      </w:r>
      <w:r w:rsidR="009A2B42">
        <w:rPr>
          <w:rFonts w:asciiTheme="minorHAnsi" w:hAnsiTheme="minorHAnsi" w:cstheme="minorHAnsi"/>
          <w:sz w:val="22"/>
          <w:szCs w:val="22"/>
        </w:rPr>
        <w:t xml:space="preserve">After a review of all procedures </w:t>
      </w:r>
      <w:r w:rsidR="006E487D">
        <w:rPr>
          <w:rFonts w:asciiTheme="minorHAnsi" w:hAnsiTheme="minorHAnsi" w:cstheme="minorHAnsi"/>
          <w:sz w:val="22"/>
          <w:szCs w:val="22"/>
        </w:rPr>
        <w:t xml:space="preserve">and questionnaires and </w:t>
      </w:r>
      <w:r w:rsidR="009A2B42">
        <w:rPr>
          <w:rFonts w:asciiTheme="minorHAnsi" w:hAnsiTheme="minorHAnsi" w:cstheme="minorHAnsi"/>
          <w:sz w:val="22"/>
          <w:szCs w:val="22"/>
        </w:rPr>
        <w:t xml:space="preserve">an initial pilot with </w:t>
      </w:r>
      <w:r w:rsidR="008C5C1D">
        <w:rPr>
          <w:rFonts w:asciiTheme="minorHAnsi" w:hAnsiTheme="minorHAnsi" w:cstheme="minorHAnsi"/>
          <w:sz w:val="22"/>
          <w:szCs w:val="22"/>
        </w:rPr>
        <w:t>4</w:t>
      </w:r>
      <w:r w:rsidR="009A2B42">
        <w:rPr>
          <w:rFonts w:asciiTheme="minorHAnsi" w:hAnsiTheme="minorHAnsi" w:cstheme="minorHAnsi"/>
          <w:sz w:val="22"/>
          <w:szCs w:val="22"/>
        </w:rPr>
        <w:t xml:space="preserve"> persons, it was noted that minor changes </w:t>
      </w:r>
      <w:r w:rsidR="006E487D">
        <w:rPr>
          <w:rFonts w:asciiTheme="minorHAnsi" w:hAnsiTheme="minorHAnsi" w:cstheme="minorHAnsi"/>
          <w:sz w:val="22"/>
          <w:szCs w:val="22"/>
        </w:rPr>
        <w:t>are</w:t>
      </w:r>
      <w:r w:rsidR="009A2B42">
        <w:rPr>
          <w:rFonts w:asciiTheme="minorHAnsi" w:hAnsiTheme="minorHAnsi" w:cstheme="minorHAnsi"/>
          <w:sz w:val="22"/>
          <w:szCs w:val="22"/>
        </w:rPr>
        <w:t xml:space="preserve"> required to</w:t>
      </w:r>
      <w:r w:rsidR="00CB0E5C" w:rsidRPr="00406570">
        <w:rPr>
          <w:rFonts w:asciiTheme="minorHAnsi" w:hAnsiTheme="minorHAnsi" w:cstheme="minorHAnsi"/>
          <w:sz w:val="22"/>
          <w:szCs w:val="22"/>
        </w:rPr>
        <w:t xml:space="preserve"> improve </w:t>
      </w:r>
      <w:r w:rsidR="00945EAA">
        <w:rPr>
          <w:rFonts w:asciiTheme="minorHAnsi" w:hAnsiTheme="minorHAnsi" w:cstheme="minorHAnsi"/>
          <w:sz w:val="22"/>
          <w:szCs w:val="22"/>
        </w:rPr>
        <w:t xml:space="preserve">the </w:t>
      </w:r>
      <w:r w:rsidR="00DC15FA">
        <w:rPr>
          <w:rFonts w:asciiTheme="minorHAnsi" w:hAnsiTheme="minorHAnsi" w:cstheme="minorHAnsi"/>
          <w:sz w:val="22"/>
          <w:szCs w:val="22"/>
        </w:rPr>
        <w:t xml:space="preserve">collection and </w:t>
      </w:r>
      <w:r w:rsidR="00945EAA">
        <w:rPr>
          <w:rFonts w:asciiTheme="minorHAnsi" w:hAnsiTheme="minorHAnsi" w:cstheme="minorHAnsi"/>
          <w:sz w:val="22"/>
          <w:szCs w:val="22"/>
        </w:rPr>
        <w:t xml:space="preserve">analysis of home </w:t>
      </w:r>
      <w:r w:rsidR="005D476D">
        <w:rPr>
          <w:rFonts w:asciiTheme="minorHAnsi" w:hAnsiTheme="minorHAnsi" w:cstheme="minorHAnsi"/>
          <w:sz w:val="22"/>
          <w:szCs w:val="22"/>
        </w:rPr>
        <w:t>tap water samples;</w:t>
      </w:r>
      <w:r w:rsidR="00945EAA">
        <w:rPr>
          <w:rFonts w:asciiTheme="minorHAnsi" w:hAnsiTheme="minorHAnsi" w:cstheme="minorHAnsi"/>
          <w:sz w:val="22"/>
          <w:szCs w:val="22"/>
        </w:rPr>
        <w:t xml:space="preserve"> </w:t>
      </w:r>
      <w:r w:rsidR="00B92D97">
        <w:rPr>
          <w:rFonts w:asciiTheme="minorHAnsi" w:hAnsiTheme="minorHAnsi" w:cstheme="minorHAnsi"/>
          <w:sz w:val="22"/>
          <w:szCs w:val="22"/>
        </w:rPr>
        <w:t xml:space="preserve">the </w:t>
      </w:r>
      <w:r w:rsidR="00D16291">
        <w:rPr>
          <w:rFonts w:asciiTheme="minorHAnsi" w:hAnsiTheme="minorHAnsi" w:cstheme="minorHAnsi"/>
          <w:sz w:val="22"/>
          <w:szCs w:val="22"/>
        </w:rPr>
        <w:t>identification</w:t>
      </w:r>
      <w:r w:rsidR="00B92D97">
        <w:rPr>
          <w:rFonts w:asciiTheme="minorHAnsi" w:hAnsiTheme="minorHAnsi" w:cstheme="minorHAnsi"/>
          <w:sz w:val="22"/>
          <w:szCs w:val="22"/>
        </w:rPr>
        <w:t xml:space="preserve"> of salt samples</w:t>
      </w:r>
      <w:r w:rsidR="005D476D">
        <w:rPr>
          <w:rFonts w:asciiTheme="minorHAnsi" w:hAnsiTheme="minorHAnsi" w:cstheme="minorHAnsi"/>
          <w:sz w:val="22"/>
          <w:szCs w:val="22"/>
        </w:rPr>
        <w:t>;</w:t>
      </w:r>
      <w:r w:rsidR="00B92D97">
        <w:rPr>
          <w:rFonts w:asciiTheme="minorHAnsi" w:hAnsiTheme="minorHAnsi" w:cstheme="minorHAnsi"/>
          <w:sz w:val="22"/>
          <w:szCs w:val="22"/>
        </w:rPr>
        <w:t xml:space="preserve"> </w:t>
      </w:r>
      <w:r w:rsidR="00CB0E5C" w:rsidRPr="00406570">
        <w:rPr>
          <w:rFonts w:asciiTheme="minorHAnsi" w:hAnsiTheme="minorHAnsi" w:cstheme="minorHAnsi"/>
          <w:sz w:val="22"/>
          <w:szCs w:val="22"/>
        </w:rPr>
        <w:t xml:space="preserve">respondent </w:t>
      </w:r>
      <w:r w:rsidR="005F55A0">
        <w:rPr>
          <w:rFonts w:asciiTheme="minorHAnsi" w:hAnsiTheme="minorHAnsi" w:cstheme="minorHAnsi"/>
          <w:sz w:val="22"/>
          <w:szCs w:val="22"/>
        </w:rPr>
        <w:t xml:space="preserve">understanding </w:t>
      </w:r>
      <w:r w:rsidR="00B92D97">
        <w:rPr>
          <w:rFonts w:asciiTheme="minorHAnsi" w:hAnsiTheme="minorHAnsi" w:cstheme="minorHAnsi"/>
          <w:sz w:val="22"/>
          <w:szCs w:val="22"/>
        </w:rPr>
        <w:t xml:space="preserve">of instructions </w:t>
      </w:r>
      <w:r w:rsidR="005F55A0">
        <w:rPr>
          <w:rFonts w:asciiTheme="minorHAnsi" w:hAnsiTheme="minorHAnsi" w:cstheme="minorHAnsi"/>
          <w:sz w:val="22"/>
          <w:szCs w:val="22"/>
        </w:rPr>
        <w:t xml:space="preserve">and </w:t>
      </w:r>
      <w:r w:rsidR="00CB0E5C" w:rsidRPr="00406570">
        <w:rPr>
          <w:rFonts w:asciiTheme="minorHAnsi" w:hAnsiTheme="minorHAnsi" w:cstheme="minorHAnsi"/>
          <w:sz w:val="22"/>
          <w:szCs w:val="22"/>
        </w:rPr>
        <w:t xml:space="preserve">satisfaction </w:t>
      </w:r>
      <w:r w:rsidR="00DC15FA">
        <w:rPr>
          <w:rFonts w:asciiTheme="minorHAnsi" w:hAnsiTheme="minorHAnsi" w:cstheme="minorHAnsi"/>
          <w:sz w:val="22"/>
          <w:szCs w:val="22"/>
        </w:rPr>
        <w:t>with participating</w:t>
      </w:r>
      <w:r w:rsidR="00B92D97">
        <w:rPr>
          <w:rFonts w:asciiTheme="minorHAnsi" w:hAnsiTheme="minorHAnsi" w:cstheme="minorHAnsi"/>
          <w:sz w:val="22"/>
          <w:szCs w:val="22"/>
        </w:rPr>
        <w:t xml:space="preserve"> in </w:t>
      </w:r>
      <w:r w:rsidR="00CB0E5C" w:rsidRPr="00406570">
        <w:rPr>
          <w:rFonts w:asciiTheme="minorHAnsi" w:hAnsiTheme="minorHAnsi" w:cstheme="minorHAnsi"/>
          <w:sz w:val="22"/>
          <w:szCs w:val="22"/>
        </w:rPr>
        <w:t xml:space="preserve">the </w:t>
      </w:r>
      <w:r w:rsidR="005F55A0">
        <w:rPr>
          <w:rFonts w:asciiTheme="minorHAnsi" w:hAnsiTheme="minorHAnsi" w:cstheme="minorHAnsi"/>
          <w:sz w:val="22"/>
          <w:szCs w:val="22"/>
        </w:rPr>
        <w:t>study</w:t>
      </w:r>
      <w:r w:rsidR="005D476D">
        <w:rPr>
          <w:rFonts w:asciiTheme="minorHAnsi" w:hAnsiTheme="minorHAnsi" w:cstheme="minorHAnsi"/>
          <w:sz w:val="22"/>
          <w:szCs w:val="22"/>
        </w:rPr>
        <w:t>;</w:t>
      </w:r>
      <w:r w:rsidR="005F55A0">
        <w:rPr>
          <w:rFonts w:asciiTheme="minorHAnsi" w:hAnsiTheme="minorHAnsi" w:cstheme="minorHAnsi"/>
          <w:sz w:val="22"/>
          <w:szCs w:val="22"/>
        </w:rPr>
        <w:t xml:space="preserve"> and</w:t>
      </w:r>
      <w:r w:rsidR="00B92D97">
        <w:rPr>
          <w:rFonts w:asciiTheme="minorHAnsi" w:hAnsiTheme="minorHAnsi" w:cstheme="minorHAnsi"/>
          <w:sz w:val="22"/>
          <w:szCs w:val="22"/>
        </w:rPr>
        <w:t xml:space="preserve"> data qual</w:t>
      </w:r>
      <w:r w:rsidR="004555B6">
        <w:rPr>
          <w:rFonts w:asciiTheme="minorHAnsi" w:hAnsiTheme="minorHAnsi" w:cstheme="minorHAnsi"/>
          <w:sz w:val="22"/>
          <w:szCs w:val="22"/>
        </w:rPr>
        <w:t>i</w:t>
      </w:r>
      <w:r w:rsidR="00B92D97">
        <w:rPr>
          <w:rFonts w:asciiTheme="minorHAnsi" w:hAnsiTheme="minorHAnsi" w:cstheme="minorHAnsi"/>
          <w:sz w:val="22"/>
          <w:szCs w:val="22"/>
        </w:rPr>
        <w:t>ty</w:t>
      </w:r>
      <w:r w:rsidR="009A2B42">
        <w:rPr>
          <w:rFonts w:asciiTheme="minorHAnsi" w:hAnsiTheme="minorHAnsi" w:cstheme="minorHAnsi"/>
          <w:sz w:val="22"/>
          <w:szCs w:val="22"/>
        </w:rPr>
        <w:t xml:space="preserve">.  </w:t>
      </w:r>
    </w:p>
    <w:p w:rsidR="00B92D97" w:rsidRDefault="00B92D97" w:rsidP="00CB2F28"/>
    <w:p w:rsidR="00513DE6" w:rsidRDefault="00513DE6" w:rsidP="00CB2F28">
      <w:pPr>
        <w:rPr>
          <w:b/>
        </w:rPr>
      </w:pPr>
      <w:r>
        <w:rPr>
          <w:b/>
        </w:rPr>
        <w:t xml:space="preserve">Justification </w:t>
      </w:r>
      <w:r w:rsidR="00B64276">
        <w:rPr>
          <w:b/>
        </w:rPr>
        <w:t xml:space="preserve">and </w:t>
      </w:r>
      <w:r w:rsidR="00B64276" w:rsidRPr="00CF35AE">
        <w:rPr>
          <w:b/>
        </w:rPr>
        <w:t xml:space="preserve">Discussion </w:t>
      </w:r>
      <w:r w:rsidRPr="00CB2F28">
        <w:rPr>
          <w:b/>
        </w:rPr>
        <w:t>of Changes</w:t>
      </w:r>
    </w:p>
    <w:p w:rsidR="00513DE6" w:rsidRPr="00CB2F28" w:rsidRDefault="00513DE6" w:rsidP="00CB2F28">
      <w:pPr>
        <w:rPr>
          <w:b/>
        </w:rPr>
      </w:pPr>
      <w:r>
        <w:rPr>
          <w:rFonts w:cstheme="minorHAnsi"/>
        </w:rPr>
        <w:t xml:space="preserve">CDC requests modification of </w:t>
      </w:r>
      <w:r w:rsidR="002566E2">
        <w:rPr>
          <w:rFonts w:cstheme="minorHAnsi"/>
        </w:rPr>
        <w:t xml:space="preserve">procedures, data </w:t>
      </w:r>
      <w:r>
        <w:rPr>
          <w:rFonts w:cstheme="minorHAnsi"/>
        </w:rPr>
        <w:t>collection instruments and supporting documents as follows:</w:t>
      </w:r>
    </w:p>
    <w:p w:rsidR="00B92D97" w:rsidRDefault="00B92D97" w:rsidP="00B92D97">
      <w:pPr>
        <w:pStyle w:val="ListParagraph"/>
        <w:numPr>
          <w:ilvl w:val="0"/>
          <w:numId w:val="28"/>
        </w:numPr>
        <w:spacing w:line="240" w:lineRule="auto"/>
        <w:rPr>
          <w:rFonts w:cstheme="minorHAnsi"/>
        </w:rPr>
      </w:pPr>
      <w:r>
        <w:rPr>
          <w:rFonts w:cstheme="minorHAnsi"/>
        </w:rPr>
        <w:t>W</w:t>
      </w:r>
      <w:r w:rsidRPr="00B05A9A">
        <w:rPr>
          <w:rFonts w:cstheme="minorHAnsi"/>
        </w:rPr>
        <w:t>e will collect a larger amount of home tap water.  The amount of water required for analysis is 1/2 cup (about 120 ml) which is</w:t>
      </w:r>
      <w:r w:rsidRPr="00634C11">
        <w:rPr>
          <w:rFonts w:cstheme="minorHAnsi"/>
        </w:rPr>
        <w:t xml:space="preserve"> much greater than previously expected (10 ml).</w:t>
      </w:r>
    </w:p>
    <w:p w:rsidR="00B64276" w:rsidRDefault="00B64276" w:rsidP="00CB2F28">
      <w:pPr>
        <w:pStyle w:val="ListParagraph"/>
        <w:spacing w:line="240" w:lineRule="auto"/>
        <w:rPr>
          <w:rFonts w:cstheme="minorHAnsi"/>
        </w:rPr>
      </w:pPr>
    </w:p>
    <w:p w:rsidR="00DB0B61" w:rsidRDefault="00B92D97" w:rsidP="00CB2F28">
      <w:pPr>
        <w:pStyle w:val="ListParagraph"/>
        <w:numPr>
          <w:ilvl w:val="0"/>
          <w:numId w:val="28"/>
        </w:numPr>
        <w:spacing w:after="0" w:line="240" w:lineRule="auto"/>
        <w:rPr>
          <w:rFonts w:cstheme="minorHAnsi"/>
        </w:rPr>
      </w:pPr>
      <w:r>
        <w:rPr>
          <w:rFonts w:cstheme="minorHAnsi"/>
        </w:rPr>
        <w:t>The Home Tap Water Q</w:t>
      </w:r>
      <w:r w:rsidRPr="00D407B9">
        <w:rPr>
          <w:rFonts w:cstheme="minorHAnsi"/>
        </w:rPr>
        <w:t xml:space="preserve">uestionnaire will be asked at the end of telephone recruitment rather </w:t>
      </w:r>
      <w:r>
        <w:rPr>
          <w:rFonts w:cstheme="minorHAnsi"/>
        </w:rPr>
        <w:t xml:space="preserve">than at the initial study visit.   </w:t>
      </w:r>
      <w:r w:rsidR="005D476D">
        <w:rPr>
          <w:rFonts w:cstheme="minorHAnsi"/>
        </w:rPr>
        <w:t>P</w:t>
      </w:r>
      <w:r w:rsidR="00EF430A">
        <w:rPr>
          <w:rFonts w:cstheme="minorHAnsi"/>
        </w:rPr>
        <w:t xml:space="preserve">articipants </w:t>
      </w:r>
      <w:r w:rsidR="005D476D">
        <w:rPr>
          <w:rFonts w:cstheme="minorHAnsi"/>
        </w:rPr>
        <w:t xml:space="preserve">who </w:t>
      </w:r>
      <w:r w:rsidR="001B13FF">
        <w:rPr>
          <w:rFonts w:cstheme="minorHAnsi"/>
        </w:rPr>
        <w:t>are recruited</w:t>
      </w:r>
      <w:r w:rsidR="005D476D">
        <w:rPr>
          <w:rFonts w:cstheme="minorHAnsi"/>
        </w:rPr>
        <w:t xml:space="preserve"> for the home tap water collection </w:t>
      </w:r>
      <w:r w:rsidR="00EF430A">
        <w:rPr>
          <w:rFonts w:cstheme="minorHAnsi"/>
        </w:rPr>
        <w:t xml:space="preserve">will be asked to bring the water sample with them to the initial study visit.  </w:t>
      </w:r>
      <w:r w:rsidR="002228E5">
        <w:rPr>
          <w:rFonts w:cstheme="minorHAnsi"/>
        </w:rPr>
        <w:t>The proposed procedural change does not change burden</w:t>
      </w:r>
      <w:r w:rsidR="005D476D">
        <w:rPr>
          <w:rFonts w:cstheme="minorHAnsi"/>
        </w:rPr>
        <w:t xml:space="preserve"> for these participants</w:t>
      </w:r>
      <w:r w:rsidR="002228E5">
        <w:rPr>
          <w:rFonts w:cstheme="minorHAnsi"/>
        </w:rPr>
        <w:t xml:space="preserve">, but will reduce costs of study implementation.  In the original plan, participants who qualified </w:t>
      </w:r>
      <w:r w:rsidR="00AC7807">
        <w:rPr>
          <w:rFonts w:cstheme="minorHAnsi"/>
        </w:rPr>
        <w:t>for the home tap water sample collection</w:t>
      </w:r>
      <w:r w:rsidR="002228E5">
        <w:rPr>
          <w:rFonts w:cstheme="minorHAnsi"/>
        </w:rPr>
        <w:t xml:space="preserve"> were not identified until the initial study visit, and they had to follow up </w:t>
      </w:r>
      <w:r w:rsidR="00AC7807">
        <w:rPr>
          <w:rFonts w:cstheme="minorHAnsi"/>
        </w:rPr>
        <w:t>by mailing the water sample</w:t>
      </w:r>
      <w:r w:rsidR="002228E5">
        <w:rPr>
          <w:rFonts w:cstheme="minorHAnsi"/>
        </w:rPr>
        <w:t xml:space="preserve"> to study staff. The proposed change will eliminate the </w:t>
      </w:r>
      <w:r w:rsidRPr="00D407B9">
        <w:rPr>
          <w:rFonts w:cstheme="minorHAnsi"/>
        </w:rPr>
        <w:t>cost</w:t>
      </w:r>
      <w:r w:rsidR="002228E5">
        <w:rPr>
          <w:rFonts w:cstheme="minorHAnsi"/>
        </w:rPr>
        <w:t xml:space="preserve"> of</w:t>
      </w:r>
      <w:r>
        <w:rPr>
          <w:rFonts w:cstheme="minorHAnsi"/>
        </w:rPr>
        <w:t xml:space="preserve"> mailing </w:t>
      </w:r>
      <w:r w:rsidR="002228E5">
        <w:rPr>
          <w:rFonts w:cstheme="minorHAnsi"/>
        </w:rPr>
        <w:t xml:space="preserve">the </w:t>
      </w:r>
      <w:r>
        <w:rPr>
          <w:rFonts w:cstheme="minorHAnsi"/>
        </w:rPr>
        <w:t>water specimens.</w:t>
      </w:r>
      <w:r w:rsidR="00EF430A" w:rsidRPr="00EF430A">
        <w:rPr>
          <w:rFonts w:cstheme="minorHAnsi"/>
        </w:rPr>
        <w:t xml:space="preserve"> </w:t>
      </w:r>
      <w:r w:rsidR="002228E5">
        <w:rPr>
          <w:rFonts w:cstheme="minorHAnsi"/>
        </w:rPr>
        <w:t xml:space="preserve"> </w:t>
      </w:r>
      <w:r w:rsidR="00513DE6">
        <w:rPr>
          <w:rFonts w:cstheme="minorHAnsi"/>
        </w:rPr>
        <w:t>It will entail changes to the Telephone Recruitment and Screening Script (</w:t>
      </w:r>
      <w:r w:rsidR="00513DE6" w:rsidRPr="00CB2F28">
        <w:rPr>
          <w:rFonts w:cstheme="minorHAnsi"/>
          <w:b/>
        </w:rPr>
        <w:t>Attachment 4A</w:t>
      </w:r>
      <w:r w:rsidR="00513DE6">
        <w:rPr>
          <w:rFonts w:cstheme="minorHAnsi"/>
        </w:rPr>
        <w:t>) and the Home Tap Water Questionnaire (</w:t>
      </w:r>
      <w:r w:rsidR="00513DE6" w:rsidRPr="00CB2F28">
        <w:rPr>
          <w:rFonts w:cstheme="minorHAnsi"/>
          <w:b/>
        </w:rPr>
        <w:t>Attachment 10A1</w:t>
      </w:r>
      <w:r w:rsidR="00513DE6">
        <w:rPr>
          <w:rFonts w:cstheme="minorHAnsi"/>
        </w:rPr>
        <w:t>).</w:t>
      </w:r>
    </w:p>
    <w:p w:rsidR="005D476D" w:rsidRDefault="005D476D" w:rsidP="00CB2F28">
      <w:pPr>
        <w:spacing w:after="0" w:line="240" w:lineRule="auto"/>
        <w:ind w:left="720"/>
        <w:rPr>
          <w:rFonts w:cstheme="minorHAnsi"/>
        </w:rPr>
      </w:pPr>
    </w:p>
    <w:p w:rsidR="005D476D" w:rsidRDefault="005D476D" w:rsidP="00CB2F28">
      <w:pPr>
        <w:spacing w:after="0" w:line="240" w:lineRule="auto"/>
        <w:ind w:left="720"/>
        <w:rPr>
          <w:rFonts w:cstheme="minorHAnsi"/>
        </w:rPr>
      </w:pPr>
      <w:r>
        <w:rPr>
          <w:rFonts w:cstheme="minorHAnsi"/>
        </w:rPr>
        <w:t xml:space="preserve">In addition, Question #2 on the </w:t>
      </w:r>
      <w:r>
        <w:t>Home Tap Water Questionnaire (</w:t>
      </w:r>
      <w:r w:rsidRPr="00CB2F28">
        <w:rPr>
          <w:b/>
        </w:rPr>
        <w:t>Attachment 10A1</w:t>
      </w:r>
      <w:r>
        <w:t>) will be split into two questions, each with one subpart.</w:t>
      </w:r>
      <w:r w:rsidR="005D613C">
        <w:t xml:space="preserve">  In pilot testing, this change did not alter the average burden per response, as most participants do not use water softeners or filtration</w:t>
      </w:r>
      <w:r w:rsidR="001B13FF">
        <w:t xml:space="preserve"> </w:t>
      </w:r>
      <w:r w:rsidR="005D613C">
        <w:t>systems.</w:t>
      </w:r>
    </w:p>
    <w:p w:rsidR="00DD0244" w:rsidRPr="005D476D" w:rsidRDefault="00DB0B61" w:rsidP="00CB2F28">
      <w:pPr>
        <w:spacing w:after="0" w:line="240" w:lineRule="auto"/>
        <w:ind w:left="720" w:hanging="720"/>
        <w:rPr>
          <w:rFonts w:cstheme="minorHAnsi"/>
        </w:rPr>
      </w:pPr>
      <w:r>
        <w:t xml:space="preserve"> </w:t>
      </w:r>
    </w:p>
    <w:p w:rsidR="00DB0B61" w:rsidRDefault="00DB0B61" w:rsidP="00B92D97">
      <w:pPr>
        <w:pStyle w:val="ListParagraph"/>
        <w:numPr>
          <w:ilvl w:val="0"/>
          <w:numId w:val="28"/>
        </w:numPr>
        <w:spacing w:line="240" w:lineRule="auto"/>
        <w:rPr>
          <w:rFonts w:cstheme="minorHAnsi"/>
        </w:rPr>
      </w:pPr>
      <w:r w:rsidRPr="00CB2F28">
        <w:rPr>
          <w:b/>
        </w:rPr>
        <w:t>Attachment 13A, The Duplicate Salt Sample Collection Form (Non Sub Study Participants)</w:t>
      </w:r>
      <w:r>
        <w:t xml:space="preserve"> will be discontinued.  </w:t>
      </w:r>
    </w:p>
    <w:p w:rsidR="00DB0B61" w:rsidRPr="00DB0B61" w:rsidRDefault="00B10AFA" w:rsidP="00034AEE">
      <w:pPr>
        <w:pStyle w:val="ListParagraph"/>
        <w:numPr>
          <w:ilvl w:val="1"/>
          <w:numId w:val="28"/>
        </w:numPr>
        <w:spacing w:line="240" w:lineRule="auto"/>
        <w:rPr>
          <w:rFonts w:cstheme="minorHAnsi"/>
        </w:rPr>
      </w:pPr>
      <w:r>
        <w:t>Instead, the information</w:t>
      </w:r>
      <w:r w:rsidR="00DB0B61">
        <w:t xml:space="preserve"> needed to identify the samples will be collected on labels for the baggies used to collect and transport the duplicate salt samples (new </w:t>
      </w:r>
      <w:r w:rsidR="00DB0B61" w:rsidRPr="00C111FB">
        <w:rPr>
          <w:b/>
        </w:rPr>
        <w:t>Att 13A1_Bag Label Salt Added at the Table</w:t>
      </w:r>
      <w:r w:rsidR="00DB0B61">
        <w:rPr>
          <w:b/>
        </w:rPr>
        <w:t xml:space="preserve"> and Att 14A1_Bag Label Salt Added in Food Preparation</w:t>
      </w:r>
      <w:r w:rsidR="00DB0B61">
        <w:t>).</w:t>
      </w:r>
    </w:p>
    <w:p w:rsidR="00DB0B61" w:rsidRPr="00DB0B61" w:rsidRDefault="00DB0B61" w:rsidP="00034AEE">
      <w:pPr>
        <w:pStyle w:val="ListParagraph"/>
        <w:numPr>
          <w:ilvl w:val="1"/>
          <w:numId w:val="28"/>
        </w:numPr>
        <w:spacing w:line="240" w:lineRule="auto"/>
        <w:rPr>
          <w:rFonts w:cstheme="minorHAnsi"/>
        </w:rPr>
      </w:pPr>
      <w:r>
        <w:t>Key questions about what meals and food(s) the participant added salt to during home cooking will be moved (added) to the</w:t>
      </w:r>
      <w:r w:rsidRPr="006519FB">
        <w:t xml:space="preserve"> </w:t>
      </w:r>
      <w:r w:rsidRPr="00CB2F28">
        <w:rPr>
          <w:b/>
        </w:rPr>
        <w:t xml:space="preserve">24-Hour Dietary Recall (Attachment 11A) </w:t>
      </w:r>
      <w:r>
        <w:t>as part of the food details.</w:t>
      </w:r>
    </w:p>
    <w:p w:rsidR="00DB0B61" w:rsidRPr="00DB0B61" w:rsidRDefault="00DB0B61" w:rsidP="00034AEE">
      <w:pPr>
        <w:pStyle w:val="ListParagraph"/>
        <w:numPr>
          <w:ilvl w:val="1"/>
          <w:numId w:val="28"/>
        </w:numPr>
        <w:spacing w:line="240" w:lineRule="auto"/>
        <w:rPr>
          <w:rFonts w:cstheme="minorHAnsi"/>
        </w:rPr>
      </w:pPr>
      <w:r>
        <w:t xml:space="preserve">The questions about what meal and food(s) the participant added salt to at the table will </w:t>
      </w:r>
      <w:r w:rsidR="00B10AFA">
        <w:t>be discontinue</w:t>
      </w:r>
      <w:r>
        <w:t>d.  This information is not required to address the study questions.</w:t>
      </w:r>
    </w:p>
    <w:p w:rsidR="00DD0244" w:rsidRDefault="00930E7B" w:rsidP="00034AEE">
      <w:pPr>
        <w:pStyle w:val="ListParagraph"/>
        <w:numPr>
          <w:ilvl w:val="1"/>
          <w:numId w:val="28"/>
        </w:numPr>
        <w:spacing w:line="240" w:lineRule="auto"/>
        <w:rPr>
          <w:rFonts w:cstheme="minorHAnsi"/>
        </w:rPr>
      </w:pPr>
      <w:r>
        <w:lastRenderedPageBreak/>
        <w:t xml:space="preserve">The proposed changes </w:t>
      </w:r>
      <w:r w:rsidR="00B92D97">
        <w:rPr>
          <w:rFonts w:cstheme="minorHAnsi"/>
        </w:rPr>
        <w:t xml:space="preserve">will </w:t>
      </w:r>
      <w:r>
        <w:rPr>
          <w:rFonts w:cstheme="minorHAnsi"/>
        </w:rPr>
        <w:t>improve</w:t>
      </w:r>
      <w:r w:rsidR="00B92D97">
        <w:rPr>
          <w:rFonts w:cstheme="minorHAnsi"/>
        </w:rPr>
        <w:t xml:space="preserve"> data quality </w:t>
      </w:r>
      <w:r w:rsidR="0025598B">
        <w:rPr>
          <w:rFonts w:cstheme="minorHAnsi"/>
        </w:rPr>
        <w:t>and</w:t>
      </w:r>
      <w:r w:rsidR="00D9592B">
        <w:rPr>
          <w:rFonts w:cstheme="minorHAnsi"/>
        </w:rPr>
        <w:t xml:space="preserve"> respondent satisfaction</w:t>
      </w:r>
      <w:r w:rsidR="00B92D97">
        <w:rPr>
          <w:rFonts w:cstheme="minorHAnsi"/>
        </w:rPr>
        <w:t>.</w:t>
      </w:r>
    </w:p>
    <w:p w:rsidR="00B92D97" w:rsidRPr="00922E23" w:rsidRDefault="00B92D97" w:rsidP="00CB2F28">
      <w:pPr>
        <w:pStyle w:val="ListParagraph"/>
        <w:spacing w:after="0" w:line="240" w:lineRule="auto"/>
        <w:rPr>
          <w:rFonts w:cstheme="minorHAnsi"/>
        </w:rPr>
      </w:pPr>
    </w:p>
    <w:p w:rsidR="00034AEE" w:rsidRDefault="00034AEE" w:rsidP="00CB2F28">
      <w:pPr>
        <w:pStyle w:val="ListParagraph"/>
        <w:numPr>
          <w:ilvl w:val="0"/>
          <w:numId w:val="28"/>
        </w:numPr>
        <w:spacing w:after="0" w:line="240" w:lineRule="auto"/>
      </w:pPr>
      <w:r>
        <w:t xml:space="preserve">Similar changes will be made for duplicate salt sample collection in the sub study.  </w:t>
      </w:r>
      <w:r w:rsidRPr="00CB2F28">
        <w:rPr>
          <w:b/>
        </w:rPr>
        <w:t xml:space="preserve">Attachment 14A, The Duplicate Salt Sample Collection Form (Sub Study Participants) </w:t>
      </w:r>
      <w:r w:rsidRPr="00C111FB">
        <w:t xml:space="preserve">will be </w:t>
      </w:r>
      <w:r>
        <w:t xml:space="preserve">discontinued.  </w:t>
      </w:r>
    </w:p>
    <w:p w:rsidR="00034AEE" w:rsidRDefault="005D613C" w:rsidP="00CB2F28">
      <w:pPr>
        <w:pStyle w:val="ListParagraph"/>
        <w:numPr>
          <w:ilvl w:val="1"/>
          <w:numId w:val="28"/>
        </w:numPr>
        <w:spacing w:after="0" w:line="240" w:lineRule="auto"/>
      </w:pPr>
      <w:r>
        <w:t>The</w:t>
      </w:r>
      <w:r w:rsidR="00034AEE">
        <w:t xml:space="preserve"> information needed to identify the samples will be collected on </w:t>
      </w:r>
      <w:r w:rsidR="00034AEE" w:rsidRPr="006519FB">
        <w:t xml:space="preserve">the baggies used to collect and transport the duplicate salt samples (new </w:t>
      </w:r>
      <w:r w:rsidR="00034AEE" w:rsidRPr="006519FB">
        <w:rPr>
          <w:b/>
        </w:rPr>
        <w:t>Att 13A1_Bag Label Salt Added at the Table and Att 14A1_Bag Label Salt Added in Food Preparation</w:t>
      </w:r>
      <w:r w:rsidR="00034AEE">
        <w:t>).</w:t>
      </w:r>
    </w:p>
    <w:p w:rsidR="00034AEE" w:rsidRPr="00034AEE" w:rsidRDefault="00034AEE" w:rsidP="00CB2F28">
      <w:pPr>
        <w:pStyle w:val="ListParagraph"/>
        <w:numPr>
          <w:ilvl w:val="1"/>
          <w:numId w:val="28"/>
        </w:numPr>
        <w:spacing w:after="0" w:line="240" w:lineRule="auto"/>
        <w:rPr>
          <w:rFonts w:cstheme="minorHAnsi"/>
        </w:rPr>
      </w:pPr>
      <w:r>
        <w:t>Key questions about what meals and food(s) the participant added salt to during home cooking will be moved (added) to the</w:t>
      </w:r>
      <w:r w:rsidRPr="006519FB">
        <w:t xml:space="preserve"> </w:t>
      </w:r>
      <w:r w:rsidRPr="00CB2F28">
        <w:rPr>
          <w:b/>
        </w:rPr>
        <w:t>24-Hour Dietary Recall (Attachment 11A)</w:t>
      </w:r>
      <w:r>
        <w:t xml:space="preserve"> as part of the food details.</w:t>
      </w:r>
    </w:p>
    <w:p w:rsidR="003B4754" w:rsidRPr="003B4754" w:rsidRDefault="00034AEE" w:rsidP="00CB2F28">
      <w:pPr>
        <w:pStyle w:val="ListParagraph"/>
        <w:numPr>
          <w:ilvl w:val="1"/>
          <w:numId w:val="28"/>
        </w:numPr>
        <w:spacing w:after="0" w:line="240" w:lineRule="auto"/>
        <w:rPr>
          <w:rFonts w:cstheme="minorHAnsi"/>
        </w:rPr>
      </w:pPr>
      <w:r>
        <w:t>The questions about what meal and food(s) the participant added salt to at the table will be discontinued.  This information is not required to address the study questions.</w:t>
      </w:r>
    </w:p>
    <w:p w:rsidR="003B4754" w:rsidRPr="003B4754" w:rsidRDefault="003B4754" w:rsidP="00CB2F28">
      <w:pPr>
        <w:pStyle w:val="ListParagraph"/>
        <w:spacing w:after="0" w:line="240" w:lineRule="auto"/>
        <w:ind w:left="1440"/>
        <w:rPr>
          <w:rFonts w:cstheme="minorHAnsi"/>
        </w:rPr>
      </w:pPr>
    </w:p>
    <w:p w:rsidR="005D613C" w:rsidRPr="00CB2F28" w:rsidRDefault="005D613C" w:rsidP="00CB2F28">
      <w:pPr>
        <w:pStyle w:val="ListParagraph"/>
        <w:numPr>
          <w:ilvl w:val="0"/>
          <w:numId w:val="28"/>
        </w:numPr>
        <w:spacing w:after="0" w:line="240" w:lineRule="auto"/>
      </w:pPr>
      <w:r>
        <w:t xml:space="preserve">The </w:t>
      </w:r>
      <w:r w:rsidRPr="00CB2F28">
        <w:rPr>
          <w:b/>
        </w:rPr>
        <w:t>Study Orientation instructions (Attachment 9)</w:t>
      </w:r>
      <w:r w:rsidR="00D9592B">
        <w:t xml:space="preserve"> will be</w:t>
      </w:r>
      <w:r>
        <w:t xml:space="preserve"> modified as appropriate for all study participants and the Dietary</w:t>
      </w:r>
      <w:r w:rsidR="00D9592B">
        <w:t xml:space="preserve"> Recall Scheduling component will be</w:t>
      </w:r>
      <w:r>
        <w:t xml:space="preserve"> separated into its own form (new </w:t>
      </w:r>
      <w:r w:rsidRPr="00977953">
        <w:rPr>
          <w:b/>
        </w:rPr>
        <w:t>Att</w:t>
      </w:r>
      <w:r>
        <w:rPr>
          <w:b/>
        </w:rPr>
        <w:t xml:space="preserve">achment </w:t>
      </w:r>
      <w:r w:rsidRPr="00977953">
        <w:rPr>
          <w:b/>
        </w:rPr>
        <w:t>8</w:t>
      </w:r>
      <w:r>
        <w:rPr>
          <w:b/>
        </w:rPr>
        <w:t>A,</w:t>
      </w:r>
      <w:r w:rsidRPr="00977953">
        <w:rPr>
          <w:b/>
        </w:rPr>
        <w:t xml:space="preserve"> Dietary Recall Scheduling Form</w:t>
      </w:r>
      <w:r>
        <w:rPr>
          <w:b/>
        </w:rPr>
        <w:t>)</w:t>
      </w:r>
      <w:r w:rsidRPr="00977953">
        <w:rPr>
          <w:b/>
        </w:rPr>
        <w:t>.</w:t>
      </w:r>
      <w:r w:rsidR="00D9592B">
        <w:rPr>
          <w:b/>
        </w:rPr>
        <w:t xml:space="preserve">  </w:t>
      </w:r>
      <w:r w:rsidR="00D9592B" w:rsidRPr="00CB2F28">
        <w:t>Note:</w:t>
      </w:r>
      <w:r w:rsidR="00D9592B">
        <w:t xml:space="preserve"> Attachment 8A is completed by study staff and does not entail burden to study participants.</w:t>
      </w:r>
    </w:p>
    <w:p w:rsidR="005D613C" w:rsidRPr="00056243" w:rsidRDefault="005D613C" w:rsidP="00CB2F28">
      <w:pPr>
        <w:pStyle w:val="ListParagraph"/>
        <w:spacing w:after="0" w:line="240" w:lineRule="auto"/>
      </w:pPr>
    </w:p>
    <w:p w:rsidR="005D613C" w:rsidRDefault="005D613C" w:rsidP="00CB2F28">
      <w:pPr>
        <w:pStyle w:val="ListParagraph"/>
        <w:numPr>
          <w:ilvl w:val="0"/>
          <w:numId w:val="28"/>
        </w:numPr>
        <w:spacing w:after="0" w:line="240" w:lineRule="auto"/>
      </w:pPr>
      <w:r>
        <w:t>The detail that three 24-hour dietary recalls must be weekdays a</w:t>
      </w:r>
      <w:r w:rsidR="00D9592B">
        <w:t>nd one must be a weekend day will be</w:t>
      </w:r>
      <w:r>
        <w:t xml:space="preserve"> added to the Study Orientation instructions (</w:t>
      </w:r>
      <w:r w:rsidRPr="00CB2F28">
        <w:rPr>
          <w:b/>
        </w:rPr>
        <w:t>Attachments 8 and 9</w:t>
      </w:r>
      <w:r>
        <w:t>).</w:t>
      </w:r>
    </w:p>
    <w:p w:rsidR="005D613C" w:rsidRDefault="005D613C" w:rsidP="00CB2F28">
      <w:pPr>
        <w:pStyle w:val="ListParagraph"/>
        <w:spacing w:after="0" w:line="240" w:lineRule="auto"/>
      </w:pPr>
    </w:p>
    <w:p w:rsidR="00D9592B" w:rsidRDefault="00B92D97" w:rsidP="00CB2F28">
      <w:pPr>
        <w:pStyle w:val="ListParagraph"/>
        <w:numPr>
          <w:ilvl w:val="0"/>
          <w:numId w:val="28"/>
        </w:numPr>
        <w:spacing w:after="0" w:line="240" w:lineRule="auto"/>
      </w:pPr>
      <w:r w:rsidRPr="00D9592B">
        <w:rPr>
          <w:rFonts w:cstheme="minorHAnsi"/>
        </w:rPr>
        <w:t xml:space="preserve">Other minor changes to forms and instructions will improve participant understanding. Revised forms are attached along with the </w:t>
      </w:r>
      <w:r w:rsidRPr="00CB2F28">
        <w:rPr>
          <w:rFonts w:cstheme="minorHAnsi"/>
          <w:i/>
        </w:rPr>
        <w:t xml:space="preserve">Itemized List of Changes. </w:t>
      </w:r>
      <w:r w:rsidR="00D9592B">
        <w:t xml:space="preserve">Below is a list of revised and new forms. </w:t>
      </w:r>
    </w:p>
    <w:p w:rsidR="00B92D97" w:rsidRPr="005D613C" w:rsidRDefault="00B92D97" w:rsidP="00CB2F28">
      <w:pPr>
        <w:pStyle w:val="ListParagraph"/>
        <w:spacing w:after="0" w:line="240" w:lineRule="auto"/>
      </w:pPr>
    </w:p>
    <w:p w:rsidR="00056243" w:rsidRDefault="00056243" w:rsidP="00CB2F28">
      <w:pPr>
        <w:pStyle w:val="ListParagraph"/>
        <w:spacing w:after="0" w:line="240" w:lineRule="auto"/>
      </w:pPr>
      <w:bookmarkStart w:id="0" w:name="_GoBack"/>
      <w:bookmarkEnd w:id="0"/>
    </w:p>
    <w:p w:rsidR="00D9592B" w:rsidRDefault="00D9592B" w:rsidP="00CB2F28">
      <w:pPr>
        <w:spacing w:after="0" w:line="240" w:lineRule="auto"/>
      </w:pPr>
    </w:p>
    <w:tbl>
      <w:tblPr>
        <w:tblStyle w:val="TableGrid"/>
        <w:tblW w:w="0" w:type="auto"/>
        <w:tblLook w:val="04A0" w:firstRow="1" w:lastRow="0" w:firstColumn="1" w:lastColumn="0" w:noHBand="0" w:noVBand="1"/>
      </w:tblPr>
      <w:tblGrid>
        <w:gridCol w:w="7578"/>
      </w:tblGrid>
      <w:tr w:rsidR="00977B34" w:rsidTr="00977B34">
        <w:tc>
          <w:tcPr>
            <w:tcW w:w="7578" w:type="dxa"/>
          </w:tcPr>
          <w:p w:rsidR="00977B34" w:rsidRPr="001A0A27" w:rsidRDefault="00977B34" w:rsidP="0077435D">
            <w:pPr>
              <w:rPr>
                <w:b/>
              </w:rPr>
            </w:pPr>
            <w:r>
              <w:rPr>
                <w:b/>
              </w:rPr>
              <w:t>Attachments</w:t>
            </w:r>
          </w:p>
        </w:tc>
      </w:tr>
      <w:tr w:rsidR="00977B34" w:rsidTr="00977B34">
        <w:tc>
          <w:tcPr>
            <w:tcW w:w="7578" w:type="dxa"/>
          </w:tcPr>
          <w:p w:rsidR="00977B34" w:rsidRPr="001A0A27" w:rsidRDefault="00977B34" w:rsidP="0077435D">
            <w:pPr>
              <w:ind w:left="360"/>
              <w:rPr>
                <w:rFonts w:cs="Arial"/>
                <w:b/>
                <w:bCs/>
                <w:color w:val="000000" w:themeColor="text1"/>
              </w:rPr>
            </w:pPr>
            <w:r w:rsidRPr="001A0A27">
              <w:rPr>
                <w:rFonts w:cs="Arial"/>
                <w:bCs/>
                <w:color w:val="000000" w:themeColor="text1"/>
              </w:rPr>
              <w:t xml:space="preserve">Att 4A_Telephone Recruitment and Screening </w:t>
            </w:r>
          </w:p>
        </w:tc>
      </w:tr>
      <w:tr w:rsidR="00977B34" w:rsidTr="00977B34">
        <w:tc>
          <w:tcPr>
            <w:tcW w:w="7578" w:type="dxa"/>
          </w:tcPr>
          <w:p w:rsidR="00977B34" w:rsidRPr="001A0A27" w:rsidRDefault="00977B34" w:rsidP="0077435D">
            <w:pPr>
              <w:ind w:left="360"/>
              <w:rPr>
                <w:rFonts w:cs="Arial"/>
                <w:b/>
                <w:bCs/>
                <w:color w:val="000000" w:themeColor="text1"/>
              </w:rPr>
            </w:pPr>
            <w:r w:rsidRPr="001A0A27">
              <w:rPr>
                <w:rFonts w:cs="Arial"/>
                <w:bCs/>
                <w:color w:val="000000" w:themeColor="text1"/>
              </w:rPr>
              <w:t>Att 4B_Cover letter for those who could not be reached by phone</w:t>
            </w:r>
          </w:p>
        </w:tc>
      </w:tr>
      <w:tr w:rsidR="00977B34" w:rsidTr="00977B34">
        <w:tc>
          <w:tcPr>
            <w:tcW w:w="7578" w:type="dxa"/>
          </w:tcPr>
          <w:p w:rsidR="00977B34" w:rsidRPr="001A0A27" w:rsidRDefault="00977B34" w:rsidP="0077435D">
            <w:pPr>
              <w:ind w:left="360"/>
              <w:rPr>
                <w:rFonts w:cs="Arial"/>
                <w:b/>
                <w:bCs/>
                <w:color w:val="000000" w:themeColor="text1"/>
              </w:rPr>
            </w:pPr>
            <w:r w:rsidRPr="001A0A27">
              <w:rPr>
                <w:rFonts w:cs="Arial"/>
                <w:bCs/>
                <w:color w:val="000000" w:themeColor="text1"/>
              </w:rPr>
              <w:t>Att 4C_Cover letter for phone recruits</w:t>
            </w:r>
          </w:p>
        </w:tc>
      </w:tr>
      <w:tr w:rsidR="00977B34" w:rsidTr="00977B34">
        <w:tc>
          <w:tcPr>
            <w:tcW w:w="7578" w:type="dxa"/>
          </w:tcPr>
          <w:p w:rsidR="00977B34" w:rsidRPr="001A0A27" w:rsidRDefault="00977B34" w:rsidP="0077435D">
            <w:pPr>
              <w:ind w:left="360"/>
              <w:rPr>
                <w:rFonts w:cs="Arial"/>
                <w:b/>
                <w:bCs/>
                <w:color w:val="000000" w:themeColor="text1"/>
              </w:rPr>
            </w:pPr>
            <w:r w:rsidRPr="001A0A27">
              <w:rPr>
                <w:rFonts w:cs="Arial"/>
                <w:bCs/>
                <w:color w:val="000000" w:themeColor="text1"/>
              </w:rPr>
              <w:t>Att 4D_Fact sheet</w:t>
            </w:r>
          </w:p>
        </w:tc>
      </w:tr>
      <w:tr w:rsidR="00977B34" w:rsidTr="00977B34">
        <w:tc>
          <w:tcPr>
            <w:tcW w:w="7578" w:type="dxa"/>
          </w:tcPr>
          <w:p w:rsidR="00977B34" w:rsidRPr="001A0A27" w:rsidRDefault="00977B34" w:rsidP="0077435D">
            <w:pPr>
              <w:ind w:left="360"/>
              <w:rPr>
                <w:rFonts w:cs="Arial"/>
                <w:b/>
                <w:bCs/>
                <w:color w:val="000000" w:themeColor="text1"/>
              </w:rPr>
            </w:pPr>
            <w:r w:rsidRPr="001A0A27">
              <w:rPr>
                <w:rFonts w:cs="Arial"/>
                <w:bCs/>
                <w:color w:val="000000" w:themeColor="text1"/>
              </w:rPr>
              <w:t xml:space="preserve">Att 8_Study orientation for Non Sub Study </w:t>
            </w:r>
          </w:p>
        </w:tc>
      </w:tr>
      <w:tr w:rsidR="00977B34" w:rsidTr="00977B34">
        <w:tc>
          <w:tcPr>
            <w:tcW w:w="7578" w:type="dxa"/>
          </w:tcPr>
          <w:p w:rsidR="00977B34" w:rsidRPr="001A0A27" w:rsidRDefault="00977B34" w:rsidP="00F46D76">
            <w:pPr>
              <w:ind w:left="360"/>
              <w:rPr>
                <w:rFonts w:cs="Arial"/>
                <w:bCs/>
                <w:color w:val="000000" w:themeColor="text1"/>
              </w:rPr>
            </w:pPr>
            <w:r>
              <w:rPr>
                <w:rFonts w:cs="Arial"/>
                <w:bCs/>
                <w:color w:val="000000" w:themeColor="text1"/>
              </w:rPr>
              <w:t>Att 8A_ Dietary Recall Scheduling Form</w:t>
            </w:r>
            <w:r w:rsidR="00A44D2F">
              <w:rPr>
                <w:rFonts w:cs="Arial"/>
                <w:bCs/>
                <w:color w:val="000000" w:themeColor="text1"/>
              </w:rPr>
              <w:t xml:space="preserve"> (</w:t>
            </w:r>
            <w:r w:rsidR="00A44D2F" w:rsidRPr="00F46D76">
              <w:rPr>
                <w:rFonts w:cs="Arial"/>
                <w:b/>
                <w:bCs/>
                <w:i/>
                <w:color w:val="000000" w:themeColor="text1"/>
              </w:rPr>
              <w:t>new</w:t>
            </w:r>
            <w:r w:rsidR="002A440F">
              <w:rPr>
                <w:rFonts w:cs="Arial"/>
                <w:bCs/>
                <w:i/>
                <w:color w:val="000000" w:themeColor="text1"/>
              </w:rPr>
              <w:t xml:space="preserve"> – </w:t>
            </w:r>
            <w:r w:rsidR="00F46D76">
              <w:rPr>
                <w:rFonts w:cs="Arial"/>
                <w:bCs/>
                <w:color w:val="000000" w:themeColor="text1"/>
              </w:rPr>
              <w:t xml:space="preserve">separates scheduling information from </w:t>
            </w:r>
            <w:r w:rsidR="002A440F" w:rsidRPr="002A440F">
              <w:rPr>
                <w:rFonts w:cs="Arial"/>
                <w:bCs/>
                <w:color w:val="000000" w:themeColor="text1"/>
              </w:rPr>
              <w:t xml:space="preserve"> Att 8</w:t>
            </w:r>
            <w:r w:rsidR="00A44D2F" w:rsidRPr="002A440F">
              <w:rPr>
                <w:rFonts w:cs="Arial"/>
                <w:bCs/>
                <w:i/>
                <w:color w:val="000000" w:themeColor="text1"/>
              </w:rPr>
              <w:t>)</w:t>
            </w:r>
          </w:p>
        </w:tc>
      </w:tr>
      <w:tr w:rsidR="00977B34" w:rsidTr="00977B34">
        <w:tc>
          <w:tcPr>
            <w:tcW w:w="7578" w:type="dxa"/>
          </w:tcPr>
          <w:p w:rsidR="00977B34" w:rsidRPr="001A0A27" w:rsidRDefault="00977B34" w:rsidP="0077435D">
            <w:pPr>
              <w:ind w:left="360"/>
              <w:rPr>
                <w:rFonts w:cs="Arial"/>
                <w:b/>
                <w:bCs/>
                <w:color w:val="000000" w:themeColor="text1"/>
              </w:rPr>
            </w:pPr>
            <w:r w:rsidRPr="001A0A27">
              <w:rPr>
                <w:rFonts w:cs="Arial"/>
                <w:bCs/>
                <w:color w:val="000000" w:themeColor="text1"/>
              </w:rPr>
              <w:t>Att 9_Study orientation for Sub Study</w:t>
            </w:r>
            <w:r w:rsidR="00766CCE">
              <w:rPr>
                <w:rFonts w:cs="Arial"/>
                <w:bCs/>
                <w:color w:val="000000" w:themeColor="text1"/>
              </w:rPr>
              <w:t xml:space="preserve"> Participants</w:t>
            </w:r>
          </w:p>
        </w:tc>
      </w:tr>
      <w:tr w:rsidR="00977B34" w:rsidTr="00977B34">
        <w:tc>
          <w:tcPr>
            <w:tcW w:w="7578" w:type="dxa"/>
          </w:tcPr>
          <w:p w:rsidR="00977B34" w:rsidRPr="001A0A27" w:rsidRDefault="00977B34" w:rsidP="0077435D">
            <w:pPr>
              <w:ind w:left="360"/>
              <w:rPr>
                <w:rFonts w:cs="Arial"/>
                <w:b/>
                <w:bCs/>
                <w:color w:val="000000" w:themeColor="text1"/>
              </w:rPr>
            </w:pPr>
            <w:r w:rsidRPr="001A0A27">
              <w:rPr>
                <w:rFonts w:cs="Arial"/>
                <w:bCs/>
                <w:color w:val="000000" w:themeColor="text1"/>
              </w:rPr>
              <w:t>Att 10A1_Home Tap Water Questionnaire</w:t>
            </w:r>
          </w:p>
        </w:tc>
      </w:tr>
      <w:tr w:rsidR="00977B34" w:rsidTr="00977B34">
        <w:tc>
          <w:tcPr>
            <w:tcW w:w="7578" w:type="dxa"/>
          </w:tcPr>
          <w:p w:rsidR="00977B34" w:rsidRPr="001A0A27" w:rsidRDefault="00977B34" w:rsidP="0077435D">
            <w:pPr>
              <w:ind w:left="360"/>
              <w:rPr>
                <w:rFonts w:cs="Arial"/>
                <w:b/>
                <w:bCs/>
                <w:color w:val="000000" w:themeColor="text1"/>
              </w:rPr>
            </w:pPr>
            <w:r w:rsidRPr="001A0A27">
              <w:rPr>
                <w:rFonts w:cs="Arial"/>
                <w:bCs/>
                <w:color w:val="000000" w:themeColor="text1"/>
              </w:rPr>
              <w:t>Att 12A_Food Record Form</w:t>
            </w:r>
          </w:p>
        </w:tc>
      </w:tr>
      <w:tr w:rsidR="00F46D76" w:rsidTr="00977B34">
        <w:tc>
          <w:tcPr>
            <w:tcW w:w="7578" w:type="dxa"/>
          </w:tcPr>
          <w:p w:rsidR="00F46D76" w:rsidRPr="001A0A27" w:rsidRDefault="00F46D76" w:rsidP="0077435D">
            <w:pPr>
              <w:ind w:left="360"/>
              <w:rPr>
                <w:rFonts w:cs="Arial"/>
                <w:bCs/>
                <w:color w:val="000000" w:themeColor="text1"/>
              </w:rPr>
            </w:pPr>
            <w:r w:rsidRPr="00F46D76">
              <w:rPr>
                <w:rFonts w:cs="Arial"/>
                <w:bCs/>
                <w:color w:val="000000" w:themeColor="text1"/>
              </w:rPr>
              <w:t>Att 12B_Food Record Instructions</w:t>
            </w:r>
          </w:p>
        </w:tc>
      </w:tr>
      <w:tr w:rsidR="00B4034E" w:rsidTr="00977B34">
        <w:tc>
          <w:tcPr>
            <w:tcW w:w="7578" w:type="dxa"/>
          </w:tcPr>
          <w:p w:rsidR="00B4034E" w:rsidRPr="001A0A27" w:rsidRDefault="00B4034E" w:rsidP="0077435D">
            <w:pPr>
              <w:ind w:left="360"/>
              <w:rPr>
                <w:rFonts w:cs="Arial"/>
                <w:bCs/>
                <w:color w:val="000000" w:themeColor="text1"/>
              </w:rPr>
            </w:pPr>
            <w:r w:rsidRPr="00B4034E">
              <w:rPr>
                <w:rFonts w:cs="Arial"/>
                <w:bCs/>
                <w:color w:val="000000" w:themeColor="text1"/>
              </w:rPr>
              <w:t>Att 13A1_Bag Label Salt Added at the Table (</w:t>
            </w:r>
            <w:r w:rsidRPr="00F46D76">
              <w:rPr>
                <w:rFonts w:cs="Arial"/>
                <w:b/>
                <w:bCs/>
                <w:i/>
                <w:color w:val="000000" w:themeColor="text1"/>
              </w:rPr>
              <w:t>new</w:t>
            </w:r>
            <w:r w:rsidRPr="00B4034E">
              <w:rPr>
                <w:rFonts w:cs="Arial"/>
                <w:bCs/>
                <w:i/>
                <w:color w:val="000000" w:themeColor="text1"/>
              </w:rPr>
              <w:t xml:space="preserve"> – </w:t>
            </w:r>
            <w:r w:rsidRPr="00B4034E">
              <w:rPr>
                <w:rFonts w:cs="Arial"/>
                <w:bCs/>
                <w:color w:val="000000" w:themeColor="text1"/>
              </w:rPr>
              <w:t>Replace</w:t>
            </w:r>
            <w:r w:rsidR="00375F6C">
              <w:rPr>
                <w:rFonts w:cs="Arial"/>
                <w:bCs/>
                <w:color w:val="000000" w:themeColor="text1"/>
              </w:rPr>
              <w:t>s</w:t>
            </w:r>
            <w:r w:rsidRPr="00B4034E">
              <w:rPr>
                <w:rFonts w:cs="Arial"/>
                <w:bCs/>
                <w:color w:val="000000" w:themeColor="text1"/>
              </w:rPr>
              <w:t xml:space="preserve"> 13A and 14A</w:t>
            </w:r>
            <w:r w:rsidRPr="00B4034E">
              <w:rPr>
                <w:rFonts w:cs="Arial"/>
                <w:bCs/>
                <w:i/>
                <w:color w:val="000000" w:themeColor="text1"/>
              </w:rPr>
              <w:t>)</w:t>
            </w:r>
          </w:p>
        </w:tc>
      </w:tr>
      <w:tr w:rsidR="00977B34" w:rsidTr="00977B34">
        <w:tc>
          <w:tcPr>
            <w:tcW w:w="7578" w:type="dxa"/>
          </w:tcPr>
          <w:p w:rsidR="00977B34" w:rsidRPr="001A0A27" w:rsidRDefault="00977B34" w:rsidP="00766CCE">
            <w:pPr>
              <w:ind w:left="360"/>
              <w:rPr>
                <w:rFonts w:cs="Arial"/>
                <w:b/>
                <w:bCs/>
                <w:color w:val="000000" w:themeColor="text1"/>
              </w:rPr>
            </w:pPr>
            <w:r w:rsidRPr="001A0A27">
              <w:rPr>
                <w:rFonts w:cs="Arial"/>
                <w:bCs/>
                <w:color w:val="000000" w:themeColor="text1"/>
              </w:rPr>
              <w:t>Att 13B_Duplicate salt sample instructions (</w:t>
            </w:r>
            <w:r w:rsidR="002A440F">
              <w:rPr>
                <w:rFonts w:cs="Arial"/>
                <w:bCs/>
                <w:color w:val="000000" w:themeColor="text1"/>
              </w:rPr>
              <w:t>N</w:t>
            </w:r>
            <w:r w:rsidRPr="001A0A27">
              <w:rPr>
                <w:rFonts w:cs="Arial"/>
                <w:bCs/>
                <w:color w:val="000000" w:themeColor="text1"/>
              </w:rPr>
              <w:t xml:space="preserve">on </w:t>
            </w:r>
            <w:r w:rsidR="002A440F">
              <w:rPr>
                <w:rFonts w:cs="Arial"/>
                <w:bCs/>
                <w:color w:val="000000" w:themeColor="text1"/>
              </w:rPr>
              <w:t>S</w:t>
            </w:r>
            <w:r w:rsidRPr="001A0A27">
              <w:rPr>
                <w:rFonts w:cs="Arial"/>
                <w:bCs/>
                <w:color w:val="000000" w:themeColor="text1"/>
              </w:rPr>
              <w:t>ub</w:t>
            </w:r>
            <w:r w:rsidR="002A440F">
              <w:rPr>
                <w:rFonts w:cs="Arial"/>
                <w:bCs/>
                <w:color w:val="000000" w:themeColor="text1"/>
              </w:rPr>
              <w:t xml:space="preserve"> S</w:t>
            </w:r>
            <w:r w:rsidRPr="001A0A27">
              <w:rPr>
                <w:rFonts w:cs="Arial"/>
                <w:bCs/>
                <w:color w:val="000000" w:themeColor="text1"/>
              </w:rPr>
              <w:t>tudy)</w:t>
            </w:r>
          </w:p>
        </w:tc>
      </w:tr>
      <w:tr w:rsidR="00B4034E" w:rsidTr="00977B34">
        <w:tc>
          <w:tcPr>
            <w:tcW w:w="7578" w:type="dxa"/>
          </w:tcPr>
          <w:p w:rsidR="00B4034E" w:rsidRPr="00B4034E" w:rsidRDefault="00B4034E" w:rsidP="00B4034E">
            <w:pPr>
              <w:ind w:left="360"/>
              <w:rPr>
                <w:rFonts w:cs="Arial"/>
                <w:bCs/>
                <w:i/>
                <w:color w:val="000000" w:themeColor="text1"/>
              </w:rPr>
            </w:pPr>
            <w:r>
              <w:rPr>
                <w:rFonts w:cs="Arial"/>
                <w:bCs/>
                <w:color w:val="000000" w:themeColor="text1"/>
              </w:rPr>
              <w:t>Att 13C_Duplicate salt sample instructions for participants (Non Sub Study)  (</w:t>
            </w:r>
            <w:r w:rsidRPr="00F46D76">
              <w:rPr>
                <w:rFonts w:cs="Arial"/>
                <w:b/>
                <w:bCs/>
                <w:i/>
                <w:color w:val="000000" w:themeColor="text1"/>
              </w:rPr>
              <w:t>new</w:t>
            </w:r>
            <w:r w:rsidR="00F46D76">
              <w:rPr>
                <w:rFonts w:cs="Arial"/>
                <w:b/>
                <w:bCs/>
                <w:i/>
                <w:color w:val="000000" w:themeColor="text1"/>
              </w:rPr>
              <w:t xml:space="preserve"> </w:t>
            </w:r>
            <w:r w:rsidR="00F46D76">
              <w:rPr>
                <w:rFonts w:cs="Arial"/>
                <w:bCs/>
                <w:color w:val="000000" w:themeColor="text1"/>
              </w:rPr>
              <w:t>written instruction sheet provided to participants</w:t>
            </w:r>
            <w:r>
              <w:rPr>
                <w:rFonts w:cs="Arial"/>
                <w:bCs/>
                <w:i/>
                <w:color w:val="000000" w:themeColor="text1"/>
              </w:rPr>
              <w:t>)</w:t>
            </w:r>
          </w:p>
        </w:tc>
      </w:tr>
      <w:tr w:rsidR="00B4034E" w:rsidTr="00977B34">
        <w:tc>
          <w:tcPr>
            <w:tcW w:w="7578" w:type="dxa"/>
          </w:tcPr>
          <w:p w:rsidR="00B4034E" w:rsidRPr="001A0A27" w:rsidRDefault="00B4034E" w:rsidP="002A440F">
            <w:pPr>
              <w:ind w:left="360"/>
              <w:rPr>
                <w:rFonts w:cs="Arial"/>
                <w:bCs/>
                <w:color w:val="000000" w:themeColor="text1"/>
              </w:rPr>
            </w:pPr>
            <w:r w:rsidRPr="00B4034E">
              <w:rPr>
                <w:rFonts w:cs="Arial"/>
                <w:bCs/>
                <w:color w:val="000000" w:themeColor="text1"/>
              </w:rPr>
              <w:t>Att 14A1_Bag Label Salt Added in Food Preparation (</w:t>
            </w:r>
            <w:r w:rsidRPr="00F46D76">
              <w:rPr>
                <w:rFonts w:cs="Arial"/>
                <w:b/>
                <w:bCs/>
                <w:i/>
                <w:color w:val="000000" w:themeColor="text1"/>
              </w:rPr>
              <w:t>new</w:t>
            </w:r>
            <w:r w:rsidRPr="00B4034E">
              <w:rPr>
                <w:rFonts w:cs="Arial"/>
                <w:bCs/>
                <w:i/>
                <w:color w:val="000000" w:themeColor="text1"/>
              </w:rPr>
              <w:t xml:space="preserve"> –</w:t>
            </w:r>
            <w:r w:rsidRPr="00B4034E">
              <w:rPr>
                <w:rFonts w:cs="Arial"/>
                <w:bCs/>
                <w:color w:val="000000" w:themeColor="text1"/>
              </w:rPr>
              <w:t>Replace</w:t>
            </w:r>
            <w:r w:rsidR="00375F6C">
              <w:rPr>
                <w:rFonts w:cs="Arial"/>
                <w:bCs/>
                <w:color w:val="000000" w:themeColor="text1"/>
              </w:rPr>
              <w:t>s</w:t>
            </w:r>
            <w:r w:rsidRPr="00B4034E">
              <w:rPr>
                <w:rFonts w:cs="Arial"/>
                <w:bCs/>
                <w:color w:val="000000" w:themeColor="text1"/>
              </w:rPr>
              <w:t xml:space="preserve"> 13A and 14A</w:t>
            </w:r>
            <w:r w:rsidRPr="00B4034E">
              <w:rPr>
                <w:rFonts w:cs="Arial"/>
                <w:bCs/>
                <w:i/>
                <w:color w:val="000000" w:themeColor="text1"/>
              </w:rPr>
              <w:t>)</w:t>
            </w:r>
          </w:p>
        </w:tc>
      </w:tr>
      <w:tr w:rsidR="00977B34" w:rsidTr="00977B34">
        <w:tc>
          <w:tcPr>
            <w:tcW w:w="7578" w:type="dxa"/>
          </w:tcPr>
          <w:p w:rsidR="00977B34" w:rsidRPr="001A0A27" w:rsidRDefault="00977B34" w:rsidP="002A440F">
            <w:pPr>
              <w:ind w:left="360"/>
              <w:rPr>
                <w:rFonts w:cs="Arial"/>
                <w:b/>
                <w:bCs/>
                <w:color w:val="000000" w:themeColor="text1"/>
              </w:rPr>
            </w:pPr>
            <w:r w:rsidRPr="001A0A27">
              <w:rPr>
                <w:rFonts w:cs="Arial"/>
                <w:bCs/>
                <w:color w:val="000000" w:themeColor="text1"/>
              </w:rPr>
              <w:t>Att 14B_ Duplicate salt sample instructions (Sub</w:t>
            </w:r>
            <w:r w:rsidR="002A440F">
              <w:rPr>
                <w:rFonts w:cs="Arial"/>
                <w:bCs/>
                <w:color w:val="000000" w:themeColor="text1"/>
              </w:rPr>
              <w:t xml:space="preserve"> S</w:t>
            </w:r>
            <w:r w:rsidRPr="001A0A27">
              <w:rPr>
                <w:rFonts w:cs="Arial"/>
                <w:bCs/>
                <w:color w:val="000000" w:themeColor="text1"/>
              </w:rPr>
              <w:t xml:space="preserve">tudy </w:t>
            </w:r>
            <w:r w:rsidR="002A440F">
              <w:rPr>
                <w:rFonts w:cs="Arial"/>
                <w:bCs/>
                <w:color w:val="000000" w:themeColor="text1"/>
              </w:rPr>
              <w:t>P</w:t>
            </w:r>
            <w:r w:rsidRPr="001A0A27">
              <w:rPr>
                <w:rFonts w:cs="Arial"/>
                <w:bCs/>
                <w:color w:val="000000" w:themeColor="text1"/>
              </w:rPr>
              <w:t>articipants)</w:t>
            </w:r>
          </w:p>
        </w:tc>
      </w:tr>
      <w:tr w:rsidR="00977B34" w:rsidTr="00977B34">
        <w:tc>
          <w:tcPr>
            <w:tcW w:w="7578" w:type="dxa"/>
          </w:tcPr>
          <w:p w:rsidR="00977B34" w:rsidRPr="001A0A27" w:rsidRDefault="00977B34" w:rsidP="0077435D">
            <w:pPr>
              <w:ind w:left="360"/>
              <w:rPr>
                <w:rFonts w:cs="Arial"/>
                <w:b/>
                <w:bCs/>
                <w:color w:val="000000" w:themeColor="text1"/>
              </w:rPr>
            </w:pPr>
            <w:r w:rsidRPr="001A0A27">
              <w:rPr>
                <w:rFonts w:cs="Arial"/>
                <w:bCs/>
                <w:color w:val="000000" w:themeColor="text1"/>
              </w:rPr>
              <w:t>Att 15A_24-hour urine collection form</w:t>
            </w:r>
          </w:p>
        </w:tc>
      </w:tr>
      <w:tr w:rsidR="00977B34" w:rsidTr="00977B34">
        <w:tc>
          <w:tcPr>
            <w:tcW w:w="7578" w:type="dxa"/>
          </w:tcPr>
          <w:p w:rsidR="00977B34" w:rsidRPr="001A0A27" w:rsidRDefault="00977B34" w:rsidP="0077435D">
            <w:pPr>
              <w:ind w:left="360"/>
              <w:rPr>
                <w:rFonts w:cs="Arial"/>
                <w:b/>
                <w:bCs/>
                <w:color w:val="000000" w:themeColor="text1"/>
              </w:rPr>
            </w:pPr>
            <w:r w:rsidRPr="001A0A27">
              <w:rPr>
                <w:rFonts w:cs="Arial"/>
                <w:bCs/>
                <w:color w:val="000000" w:themeColor="text1"/>
              </w:rPr>
              <w:lastRenderedPageBreak/>
              <w:t>Att 15B_How to collect urine instructions</w:t>
            </w:r>
          </w:p>
        </w:tc>
      </w:tr>
      <w:tr w:rsidR="00977B34" w:rsidTr="00977B34">
        <w:tc>
          <w:tcPr>
            <w:tcW w:w="7578" w:type="dxa"/>
          </w:tcPr>
          <w:p w:rsidR="00977B34" w:rsidRPr="001A0A27" w:rsidRDefault="00977B34" w:rsidP="0077435D">
            <w:pPr>
              <w:ind w:left="360"/>
              <w:rPr>
                <w:rFonts w:cs="Arial"/>
                <w:b/>
                <w:bCs/>
                <w:color w:val="000000" w:themeColor="text1"/>
              </w:rPr>
            </w:pPr>
            <w:r w:rsidRPr="001A0A27">
              <w:rPr>
                <w:rFonts w:cs="Arial"/>
                <w:bCs/>
                <w:color w:val="000000" w:themeColor="text1"/>
              </w:rPr>
              <w:t>Att 17A_Study salt questionnaire</w:t>
            </w:r>
          </w:p>
        </w:tc>
      </w:tr>
      <w:tr w:rsidR="00977B34" w:rsidTr="00977B34">
        <w:tc>
          <w:tcPr>
            <w:tcW w:w="7578" w:type="dxa"/>
          </w:tcPr>
          <w:p w:rsidR="00977B34" w:rsidRPr="001A0A27" w:rsidRDefault="00977B34" w:rsidP="0077435D">
            <w:pPr>
              <w:ind w:left="360"/>
              <w:rPr>
                <w:rFonts w:cs="Arial"/>
                <w:b/>
                <w:bCs/>
                <w:color w:val="000000" w:themeColor="text1"/>
              </w:rPr>
            </w:pPr>
            <w:r w:rsidRPr="001A0A27">
              <w:rPr>
                <w:rFonts w:cs="Arial"/>
                <w:bCs/>
                <w:color w:val="000000" w:themeColor="text1"/>
              </w:rPr>
              <w:t>Att 17B_Study salt instructions for participants</w:t>
            </w:r>
          </w:p>
        </w:tc>
      </w:tr>
      <w:tr w:rsidR="00766CCE" w:rsidTr="00977B34">
        <w:tc>
          <w:tcPr>
            <w:tcW w:w="7578" w:type="dxa"/>
          </w:tcPr>
          <w:p w:rsidR="00766CCE" w:rsidRPr="001A0A27" w:rsidRDefault="00766CCE" w:rsidP="0077435D">
            <w:pPr>
              <w:ind w:left="360"/>
              <w:rPr>
                <w:rFonts w:cs="Arial"/>
                <w:bCs/>
                <w:color w:val="000000" w:themeColor="text1"/>
              </w:rPr>
            </w:pPr>
            <w:r>
              <w:rPr>
                <w:rFonts w:cs="Arial"/>
                <w:bCs/>
                <w:color w:val="000000" w:themeColor="text1"/>
              </w:rPr>
              <w:t>Att 17C_Study salt record (to be completed by clinic staff)</w:t>
            </w:r>
          </w:p>
        </w:tc>
      </w:tr>
      <w:tr w:rsidR="00766CCE" w:rsidTr="00977B34">
        <w:tc>
          <w:tcPr>
            <w:tcW w:w="7578" w:type="dxa"/>
          </w:tcPr>
          <w:p w:rsidR="00766CCE" w:rsidRPr="001A0A27" w:rsidRDefault="00766CCE" w:rsidP="0077435D">
            <w:pPr>
              <w:ind w:left="360"/>
              <w:rPr>
                <w:rFonts w:cs="Arial"/>
                <w:bCs/>
                <w:color w:val="000000" w:themeColor="text1"/>
              </w:rPr>
            </w:pPr>
            <w:r>
              <w:rPr>
                <w:rFonts w:cs="Arial"/>
                <w:bCs/>
                <w:color w:val="000000" w:themeColor="text1"/>
              </w:rPr>
              <w:t>Att 17D_Study salt procedures for study staff</w:t>
            </w:r>
          </w:p>
        </w:tc>
      </w:tr>
    </w:tbl>
    <w:p w:rsidR="00984117" w:rsidRDefault="00984117" w:rsidP="00984117"/>
    <w:p w:rsidR="00237B31" w:rsidRDefault="00237B31" w:rsidP="009E20FD">
      <w:pPr>
        <w:spacing w:after="0" w:line="240" w:lineRule="auto"/>
        <w:rPr>
          <w:rFonts w:cstheme="minorHAnsi"/>
          <w:b/>
        </w:rPr>
      </w:pPr>
      <w:r>
        <w:rPr>
          <w:rFonts w:cstheme="minorHAnsi"/>
          <w:b/>
        </w:rPr>
        <w:t>Effect of Proposed Changes on the Estimated Burden per Response and Data Collection Instruments</w:t>
      </w:r>
    </w:p>
    <w:p w:rsidR="000C06E0" w:rsidRPr="00237B31" w:rsidRDefault="000C06E0" w:rsidP="009E20FD">
      <w:pPr>
        <w:spacing w:after="0" w:line="240" w:lineRule="auto"/>
        <w:rPr>
          <w:rFonts w:cstheme="minorHAnsi"/>
          <w:b/>
        </w:rPr>
      </w:pPr>
    </w:p>
    <w:p w:rsidR="003E51D9" w:rsidRPr="003E51D9" w:rsidRDefault="002A440F" w:rsidP="00A44D2F">
      <w:pPr>
        <w:spacing w:after="0" w:line="240" w:lineRule="auto"/>
      </w:pPr>
      <w:r w:rsidRPr="002A440F">
        <w:rPr>
          <w:rFonts w:cstheme="minorHAnsi"/>
        </w:rPr>
        <w:t xml:space="preserve">There are no changes to the number of respondents or the estimated </w:t>
      </w:r>
      <w:r w:rsidR="00922E23">
        <w:rPr>
          <w:rFonts w:cstheme="minorHAnsi"/>
        </w:rPr>
        <w:t xml:space="preserve">average </w:t>
      </w:r>
      <w:r w:rsidRPr="002A440F">
        <w:rPr>
          <w:rFonts w:cstheme="minorHAnsi"/>
        </w:rPr>
        <w:t>burden per response</w:t>
      </w:r>
      <w:r>
        <w:rPr>
          <w:rFonts w:cstheme="minorHAnsi"/>
        </w:rPr>
        <w:t xml:space="preserve">. </w:t>
      </w:r>
      <w:r w:rsidR="001E1C70">
        <w:rPr>
          <w:rFonts w:cstheme="minorHAnsi"/>
        </w:rPr>
        <w:t>The total number of questions on the Home Tap Water Questionnaire has increased and two related questionnaires have been eliminated (the Duplicate Salt Sample Collection Forms for Non Sub Study Participants and Sub Study Participants)</w:t>
      </w:r>
      <w:r>
        <w:rPr>
          <w:rFonts w:cstheme="minorHAnsi"/>
        </w:rPr>
        <w:t>.</w:t>
      </w:r>
      <w:r w:rsidR="00B4034E">
        <w:rPr>
          <w:rFonts w:cstheme="minorHAnsi"/>
        </w:rPr>
        <w:t xml:space="preserve">  </w:t>
      </w:r>
      <w:r w:rsidR="001E1C70">
        <w:rPr>
          <w:rFonts w:cstheme="minorHAnsi"/>
        </w:rPr>
        <w:t>Estimation of the burden of data collection related to the duplicate salt sample collection was 10 minutes per collection day and on pilot testing, eliminating the Duplicate Salt Sample questionnaires</w:t>
      </w:r>
      <w:r w:rsidR="00B4034E">
        <w:rPr>
          <w:rFonts w:cstheme="minorHAnsi"/>
        </w:rPr>
        <w:t xml:space="preserve"> keeps the duplicate salt collection within</w:t>
      </w:r>
      <w:r w:rsidR="001E1C70">
        <w:rPr>
          <w:rFonts w:cstheme="minorHAnsi"/>
        </w:rPr>
        <w:t xml:space="preserve"> this estimate. </w:t>
      </w:r>
      <w:r w:rsidR="00977953">
        <w:rPr>
          <w:rFonts w:cstheme="minorHAnsi"/>
        </w:rPr>
        <w:t xml:space="preserve">  </w:t>
      </w:r>
      <w:r>
        <w:rPr>
          <w:rFonts w:cstheme="minorHAnsi"/>
        </w:rPr>
        <w:t>On pilot testing, o</w:t>
      </w:r>
      <w:r w:rsidR="00977953">
        <w:rPr>
          <w:rFonts w:cstheme="minorHAnsi"/>
        </w:rPr>
        <w:t>ther changes in instructions and formats of data collection instruments and supporting documents did not change burden estimates</w:t>
      </w:r>
      <w:r>
        <w:rPr>
          <w:rFonts w:cstheme="minorHAnsi"/>
        </w:rPr>
        <w:t>.</w:t>
      </w:r>
      <w:r w:rsidR="00977953">
        <w:rPr>
          <w:rFonts w:cstheme="minorHAnsi"/>
        </w:rPr>
        <w:t xml:space="preserve"> </w:t>
      </w:r>
      <w:r w:rsidR="001E1C70">
        <w:rPr>
          <w:rFonts w:cstheme="minorHAnsi"/>
        </w:rPr>
        <w:t xml:space="preserve"> </w:t>
      </w:r>
    </w:p>
    <w:p w:rsidR="00A31A4F" w:rsidRDefault="00A31A4F" w:rsidP="00A44D2F">
      <w:pPr>
        <w:pStyle w:val="BodyText21"/>
        <w:rPr>
          <w:rFonts w:cstheme="minorHAnsi"/>
          <w:b/>
        </w:rPr>
      </w:pPr>
    </w:p>
    <w:p w:rsidR="00A44D2F" w:rsidRDefault="00A44D2F" w:rsidP="00537312">
      <w:pPr>
        <w:spacing w:line="240" w:lineRule="auto"/>
        <w:rPr>
          <w:rFonts w:cstheme="minorHAnsi"/>
        </w:rPr>
      </w:pPr>
      <w:r w:rsidRPr="00A44D2F">
        <w:rPr>
          <w:rFonts w:cstheme="minorHAnsi"/>
        </w:rPr>
        <w:t>CDC plans to begin administering the revised instruments in 201</w:t>
      </w:r>
      <w:r w:rsidR="000C06E0">
        <w:rPr>
          <w:rFonts w:cstheme="minorHAnsi"/>
        </w:rPr>
        <w:t>4</w:t>
      </w:r>
      <w:r w:rsidRPr="00A44D2F">
        <w:rPr>
          <w:rFonts w:cstheme="minorHAnsi"/>
        </w:rPr>
        <w:t xml:space="preserve">.  OMB approval is requested, effective immediately.  </w:t>
      </w:r>
    </w:p>
    <w:p w:rsidR="00D37D12" w:rsidRDefault="00D37D12" w:rsidP="00537312">
      <w:pPr>
        <w:spacing w:line="240" w:lineRule="auto"/>
        <w:rPr>
          <w:rFonts w:cstheme="minorHAnsi"/>
        </w:rPr>
      </w:pPr>
    </w:p>
    <w:tbl>
      <w:tblPr>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351"/>
        <w:gridCol w:w="2252"/>
        <w:gridCol w:w="1351"/>
        <w:gridCol w:w="1351"/>
        <w:gridCol w:w="1081"/>
      </w:tblGrid>
      <w:tr w:rsidR="00D37D12" w:rsidTr="00D37D12">
        <w:tc>
          <w:tcPr>
            <w:tcW w:w="1278" w:type="dxa"/>
            <w:tcBorders>
              <w:top w:val="single" w:sz="4" w:space="0" w:color="auto"/>
              <w:left w:val="single" w:sz="4" w:space="0" w:color="auto"/>
              <w:bottom w:val="single" w:sz="4" w:space="0" w:color="auto"/>
              <w:right w:val="single" w:sz="4" w:space="0" w:color="auto"/>
            </w:tcBorders>
            <w:vAlign w:val="center"/>
            <w:hideMark/>
          </w:tcPr>
          <w:p w:rsidR="00D37D12" w:rsidRDefault="00D37D12">
            <w:pPr>
              <w:jc w:val="center"/>
              <w:rPr>
                <w:rFonts w:ascii="Calibri" w:eastAsia="Calibri" w:hAnsi="Calibri" w:cs="Courier New"/>
                <w:sz w:val="20"/>
                <w:szCs w:val="20"/>
              </w:rPr>
            </w:pPr>
            <w:r>
              <w:rPr>
                <w:rFonts w:ascii="Calibri" w:eastAsia="Calibri" w:hAnsi="Calibri" w:cs="Courier New"/>
                <w:sz w:val="20"/>
                <w:szCs w:val="20"/>
              </w:rPr>
              <w:t>Type of  Respondents</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jc w:val="center"/>
              <w:rPr>
                <w:rFonts w:ascii="Calibri" w:eastAsia="Calibri" w:hAnsi="Calibri" w:cs="Courier New"/>
                <w:sz w:val="20"/>
                <w:szCs w:val="20"/>
              </w:rPr>
            </w:pPr>
            <w:r>
              <w:rPr>
                <w:rFonts w:ascii="Calibri" w:eastAsia="Calibri" w:hAnsi="Calibri" w:cs="Courier New"/>
                <w:sz w:val="20"/>
                <w:szCs w:val="20"/>
              </w:rPr>
              <w:t>Number of Respondents</w:t>
            </w:r>
          </w:p>
        </w:tc>
        <w:tc>
          <w:tcPr>
            <w:tcW w:w="22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jc w:val="center"/>
              <w:rPr>
                <w:rFonts w:ascii="Calibri" w:eastAsia="Calibri" w:hAnsi="Calibri" w:cs="Courier New"/>
                <w:sz w:val="20"/>
                <w:szCs w:val="20"/>
              </w:rPr>
            </w:pPr>
            <w:r>
              <w:rPr>
                <w:rFonts w:ascii="Calibri" w:eastAsia="Calibri" w:hAnsi="Calibri" w:cs="Courier New"/>
                <w:sz w:val="20"/>
                <w:szCs w:val="20"/>
              </w:rPr>
              <w:t>Form Name</w:t>
            </w:r>
          </w:p>
        </w:tc>
        <w:tc>
          <w:tcPr>
            <w:tcW w:w="1350" w:type="dxa"/>
            <w:tcBorders>
              <w:top w:val="single" w:sz="4" w:space="0" w:color="auto"/>
              <w:left w:val="single" w:sz="4" w:space="0" w:color="auto"/>
              <w:bottom w:val="single" w:sz="4" w:space="0" w:color="auto"/>
              <w:right w:val="single" w:sz="4" w:space="0" w:color="auto"/>
            </w:tcBorders>
            <w:hideMark/>
          </w:tcPr>
          <w:p w:rsidR="00D37D12" w:rsidRDefault="00D37D12">
            <w:pPr>
              <w:jc w:val="center"/>
              <w:rPr>
                <w:rFonts w:ascii="Calibri" w:eastAsia="Calibri" w:hAnsi="Calibri" w:cs="Courier New"/>
                <w:sz w:val="20"/>
                <w:szCs w:val="20"/>
              </w:rPr>
            </w:pPr>
            <w:r>
              <w:rPr>
                <w:rFonts w:ascii="Calibri" w:eastAsia="Calibri" w:hAnsi="Calibri" w:cs="Courier New"/>
                <w:sz w:val="20"/>
                <w:szCs w:val="20"/>
              </w:rPr>
              <w:t>No. of responses per participant</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jc w:val="center"/>
              <w:rPr>
                <w:rFonts w:ascii="Calibri" w:eastAsia="Calibri" w:hAnsi="Calibri" w:cs="Courier New"/>
                <w:sz w:val="20"/>
                <w:szCs w:val="20"/>
              </w:rPr>
            </w:pPr>
            <w:r>
              <w:rPr>
                <w:rFonts w:ascii="Calibri" w:eastAsia="Calibri" w:hAnsi="Calibri" w:cs="Courier New"/>
                <w:sz w:val="20"/>
                <w:szCs w:val="20"/>
              </w:rPr>
              <w:t>Average Burden per Response</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jc w:val="center"/>
              <w:rPr>
                <w:rFonts w:eastAsia="Calibri" w:cstheme="minorHAnsi"/>
                <w:sz w:val="20"/>
                <w:szCs w:val="20"/>
              </w:rPr>
            </w:pPr>
            <w:r>
              <w:rPr>
                <w:rFonts w:eastAsia="Calibri" w:cstheme="minorHAnsi"/>
                <w:sz w:val="20"/>
                <w:szCs w:val="20"/>
              </w:rPr>
              <w:t>Total Burden (in hours)</w:t>
            </w:r>
          </w:p>
        </w:tc>
      </w:tr>
      <w:tr w:rsidR="00D37D12" w:rsidTr="00D37D12">
        <w:tc>
          <w:tcPr>
            <w:tcW w:w="1278" w:type="dxa"/>
            <w:vMerge w:val="restart"/>
            <w:tcBorders>
              <w:top w:val="single" w:sz="4" w:space="0" w:color="auto"/>
              <w:left w:val="single" w:sz="4" w:space="0" w:color="auto"/>
              <w:bottom w:val="single" w:sz="4" w:space="0" w:color="auto"/>
              <w:right w:val="single" w:sz="4" w:space="0" w:color="auto"/>
            </w:tcBorders>
            <w:vAlign w:val="center"/>
          </w:tcPr>
          <w:p w:rsidR="00D37D12" w:rsidRDefault="00D37D12">
            <w:pPr>
              <w:jc w:val="center"/>
              <w:rPr>
                <w:rFonts w:ascii="Calibri" w:eastAsia="Calibri" w:hAnsi="Calibri" w:cs="Courier New"/>
                <w:sz w:val="20"/>
                <w:szCs w:val="20"/>
              </w:rPr>
            </w:pPr>
            <w:r>
              <w:rPr>
                <w:rFonts w:ascii="Calibri" w:eastAsia="Calibri" w:hAnsi="Calibri" w:cs="Courier New"/>
                <w:sz w:val="20"/>
                <w:szCs w:val="20"/>
              </w:rPr>
              <w:t>Adults aged 18-74 years</w:t>
            </w:r>
          </w:p>
          <w:p w:rsidR="00D37D12" w:rsidRDefault="00D37D12">
            <w:pPr>
              <w:jc w:val="center"/>
              <w:rPr>
                <w:rFonts w:ascii="Calibri" w:eastAsia="Calibri" w:hAnsi="Calibri" w:cs="Courier New"/>
                <w:sz w:val="20"/>
                <w:szCs w:val="20"/>
              </w:rPr>
            </w:pP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D37D12" w:rsidRDefault="00D37D12">
            <w:pPr>
              <w:jc w:val="center"/>
              <w:rPr>
                <w:rFonts w:eastAsia="Calibri" w:cstheme="minorHAnsi"/>
                <w:sz w:val="20"/>
                <w:szCs w:val="20"/>
              </w:rPr>
            </w:pPr>
            <w:r>
              <w:rPr>
                <w:rFonts w:cstheme="minorHAnsi"/>
                <w:sz w:val="20"/>
                <w:szCs w:val="20"/>
              </w:rPr>
              <w:t>225</w:t>
            </w:r>
          </w:p>
        </w:tc>
        <w:tc>
          <w:tcPr>
            <w:tcW w:w="22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Telephone Recruitment and Screening</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10/60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eastAsia="Calibri" w:cstheme="minorHAnsi"/>
                <w:sz w:val="20"/>
                <w:szCs w:val="20"/>
              </w:rPr>
            </w:pPr>
            <w:r>
              <w:rPr>
                <w:rFonts w:cstheme="minorHAnsi"/>
                <w:sz w:val="20"/>
                <w:szCs w:val="20"/>
              </w:rPr>
              <w:t>38</w:t>
            </w:r>
          </w:p>
        </w:tc>
      </w:tr>
      <w:tr w:rsidR="00D37D12" w:rsidTr="00D37D12">
        <w:tc>
          <w:tcPr>
            <w:tcW w:w="1278"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ascii="Calibri" w:eastAsia="Calibri" w:hAnsi="Calibri" w:cs="Courier New"/>
                <w:sz w:val="20"/>
                <w:szCs w:val="20"/>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eastAsia="Calibri" w:cstheme="minorHAns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Participant Questionnaire</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10/60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cstheme="minorHAnsi"/>
                <w:sz w:val="20"/>
                <w:szCs w:val="20"/>
                <w:lang w:val="en-CA"/>
              </w:rPr>
            </w:pPr>
            <w:r>
              <w:rPr>
                <w:rFonts w:cstheme="minorHAnsi"/>
                <w:sz w:val="20"/>
                <w:szCs w:val="20"/>
              </w:rPr>
              <w:t>38</w:t>
            </w:r>
          </w:p>
        </w:tc>
      </w:tr>
      <w:tr w:rsidR="00D37D12" w:rsidTr="00D37D12">
        <w:tc>
          <w:tcPr>
            <w:tcW w:w="1278"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ascii="Calibri" w:eastAsia="Calibri" w:hAnsi="Calibri" w:cs="Courier New"/>
                <w:sz w:val="20"/>
                <w:szCs w:val="20"/>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eastAsia="Calibri" w:cstheme="minorHAns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Discretionary Salt Use Questions from NHANES 2009</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5/60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cstheme="minorHAnsi"/>
                <w:sz w:val="20"/>
                <w:szCs w:val="20"/>
                <w:lang w:val="en-CA"/>
              </w:rPr>
            </w:pPr>
            <w:r>
              <w:rPr>
                <w:rFonts w:cstheme="minorHAnsi"/>
                <w:sz w:val="20"/>
                <w:szCs w:val="20"/>
              </w:rPr>
              <w:t>19</w:t>
            </w:r>
          </w:p>
        </w:tc>
      </w:tr>
      <w:tr w:rsidR="00D37D12" w:rsidTr="00D37D12">
        <w:tc>
          <w:tcPr>
            <w:tcW w:w="1278"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ascii="Calibri" w:eastAsia="Calibri" w:hAnsi="Calibri" w:cs="Courier New"/>
                <w:sz w:val="20"/>
                <w:szCs w:val="20"/>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eastAsia="Calibri" w:cstheme="minorHAns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Height and Weight</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10/60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cstheme="minorHAnsi"/>
                <w:sz w:val="20"/>
                <w:szCs w:val="20"/>
                <w:lang w:val="en-CA"/>
              </w:rPr>
            </w:pPr>
            <w:r>
              <w:rPr>
                <w:rFonts w:cstheme="minorHAnsi"/>
                <w:sz w:val="20"/>
                <w:szCs w:val="20"/>
              </w:rPr>
              <w:t>38</w:t>
            </w:r>
          </w:p>
        </w:tc>
      </w:tr>
      <w:tr w:rsidR="00D37D12" w:rsidTr="00D37D12">
        <w:tc>
          <w:tcPr>
            <w:tcW w:w="1278"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ascii="Calibri" w:eastAsia="Calibri" w:hAnsi="Calibri" w:cs="Courier New"/>
                <w:sz w:val="20"/>
                <w:szCs w:val="20"/>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eastAsia="Calibri" w:cstheme="minorHAns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Study Orientation (for non-Sub-study and Sub-study participants)</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20/60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cstheme="minorHAnsi"/>
                <w:sz w:val="20"/>
                <w:szCs w:val="20"/>
                <w:lang w:val="en-CA"/>
              </w:rPr>
            </w:pPr>
            <w:r>
              <w:rPr>
                <w:rFonts w:cstheme="minorHAnsi"/>
                <w:sz w:val="20"/>
                <w:szCs w:val="20"/>
              </w:rPr>
              <w:t>75</w:t>
            </w:r>
          </w:p>
        </w:tc>
      </w:tr>
      <w:tr w:rsidR="00D37D12" w:rsidTr="00D37D12">
        <w:tc>
          <w:tcPr>
            <w:tcW w:w="1278"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ascii="Calibri" w:eastAsia="Calibri" w:hAnsi="Calibri" w:cs="Courier New"/>
                <w:sz w:val="20"/>
                <w:szCs w:val="20"/>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eastAsia="Calibri" w:cstheme="minorHAns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D37D12" w:rsidRDefault="00D37D12">
            <w:pPr>
              <w:spacing w:line="240" w:lineRule="auto"/>
              <w:jc w:val="center"/>
              <w:rPr>
                <w:rFonts w:ascii="Calibri" w:eastAsia="Calibri" w:hAnsi="Calibri" w:cs="Courier New"/>
                <w:sz w:val="20"/>
                <w:szCs w:val="20"/>
              </w:rPr>
            </w:pPr>
          </w:p>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Home Tap Water Questionnaire</w:t>
            </w:r>
          </w:p>
        </w:tc>
        <w:tc>
          <w:tcPr>
            <w:tcW w:w="1350" w:type="dxa"/>
            <w:tcBorders>
              <w:top w:val="single" w:sz="4" w:space="0" w:color="auto"/>
              <w:left w:val="single" w:sz="4" w:space="0" w:color="auto"/>
              <w:bottom w:val="single" w:sz="4" w:space="0" w:color="auto"/>
              <w:right w:val="single" w:sz="4" w:space="0" w:color="auto"/>
            </w:tcBorders>
            <w:vAlign w:val="center"/>
          </w:tcPr>
          <w:p w:rsidR="00D37D12" w:rsidRDefault="00D37D12">
            <w:pPr>
              <w:spacing w:line="240" w:lineRule="auto"/>
              <w:jc w:val="center"/>
              <w:rPr>
                <w:rFonts w:ascii="Calibri" w:eastAsia="Calibri" w:hAnsi="Calibri" w:cs="Courier New"/>
                <w:sz w:val="20"/>
                <w:szCs w:val="20"/>
              </w:rPr>
            </w:pPr>
          </w:p>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5/60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eastAsia="Calibri" w:cstheme="minorHAnsi"/>
                <w:sz w:val="20"/>
                <w:szCs w:val="20"/>
              </w:rPr>
            </w:pPr>
            <w:r>
              <w:rPr>
                <w:rFonts w:cstheme="minorHAnsi"/>
                <w:sz w:val="20"/>
                <w:szCs w:val="20"/>
              </w:rPr>
              <w:t>19</w:t>
            </w:r>
          </w:p>
        </w:tc>
      </w:tr>
      <w:tr w:rsidR="00D37D12" w:rsidTr="00D37D12">
        <w:tc>
          <w:tcPr>
            <w:tcW w:w="1278"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ascii="Calibri" w:eastAsia="Calibri" w:hAnsi="Calibri" w:cs="Courier New"/>
                <w:sz w:val="20"/>
                <w:szCs w:val="20"/>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eastAsia="Calibri" w:cstheme="minorHAns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24-Hour Dietary Recall</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30/60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eastAsia="Calibri" w:cstheme="minorHAnsi"/>
                <w:sz w:val="20"/>
                <w:szCs w:val="20"/>
              </w:rPr>
            </w:pPr>
            <w:r>
              <w:rPr>
                <w:rFonts w:cstheme="minorHAnsi"/>
                <w:sz w:val="20"/>
                <w:szCs w:val="20"/>
              </w:rPr>
              <w:t>450</w:t>
            </w:r>
          </w:p>
        </w:tc>
      </w:tr>
      <w:tr w:rsidR="00D37D12" w:rsidTr="00D37D12">
        <w:tc>
          <w:tcPr>
            <w:tcW w:w="1278"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ascii="Calibri" w:eastAsia="Calibri" w:hAnsi="Calibri" w:cs="Courier New"/>
                <w:sz w:val="20"/>
                <w:szCs w:val="20"/>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eastAsia="Calibri" w:cstheme="minorHAns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Food Record Form</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15/60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eastAsia="Calibri" w:cstheme="minorHAnsi"/>
                <w:sz w:val="20"/>
                <w:szCs w:val="20"/>
              </w:rPr>
            </w:pPr>
            <w:r>
              <w:rPr>
                <w:rFonts w:cstheme="minorHAnsi"/>
                <w:sz w:val="20"/>
                <w:szCs w:val="20"/>
              </w:rPr>
              <w:t>225</w:t>
            </w:r>
          </w:p>
        </w:tc>
      </w:tr>
      <w:tr w:rsidR="00D37D12" w:rsidTr="00D37D12">
        <w:tc>
          <w:tcPr>
            <w:tcW w:w="1278"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ascii="Calibri" w:eastAsia="Calibri" w:hAnsi="Calibri" w:cs="Courier New"/>
                <w:sz w:val="20"/>
                <w:szCs w:val="20"/>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eastAsia="Calibri" w:cstheme="minorHAns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Duplicate Salt Sample Collection (for non-Sub-study and Sub-Study participants)</w:t>
            </w:r>
          </w:p>
        </w:tc>
        <w:tc>
          <w:tcPr>
            <w:tcW w:w="1350" w:type="dxa"/>
            <w:tcBorders>
              <w:top w:val="single" w:sz="4" w:space="0" w:color="auto"/>
              <w:left w:val="single" w:sz="4" w:space="0" w:color="auto"/>
              <w:bottom w:val="single" w:sz="4" w:space="0" w:color="auto"/>
              <w:right w:val="single" w:sz="4" w:space="0" w:color="auto"/>
            </w:tcBorders>
            <w:vAlign w:val="center"/>
          </w:tcPr>
          <w:p w:rsidR="00D37D12" w:rsidRDefault="00D37D12">
            <w:pPr>
              <w:spacing w:line="240" w:lineRule="auto"/>
              <w:jc w:val="center"/>
              <w:rPr>
                <w:rFonts w:ascii="Calibri" w:eastAsia="Calibri" w:hAnsi="Calibri" w:cs="Courier New"/>
                <w:sz w:val="20"/>
                <w:szCs w:val="20"/>
              </w:rPr>
            </w:pPr>
          </w:p>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10/60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cstheme="minorHAnsi"/>
                <w:sz w:val="20"/>
                <w:szCs w:val="20"/>
                <w:lang w:val="en-CA"/>
              </w:rPr>
            </w:pPr>
            <w:r>
              <w:rPr>
                <w:rFonts w:cstheme="minorHAnsi"/>
                <w:sz w:val="20"/>
                <w:szCs w:val="20"/>
              </w:rPr>
              <w:t>150</w:t>
            </w:r>
          </w:p>
        </w:tc>
      </w:tr>
      <w:tr w:rsidR="00D37D12" w:rsidTr="00D37D12">
        <w:tc>
          <w:tcPr>
            <w:tcW w:w="1278"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ascii="Calibri" w:eastAsia="Calibri" w:hAnsi="Calibri" w:cs="Courier New"/>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jc w:val="center"/>
              <w:rPr>
                <w:rFonts w:eastAsia="Calibri" w:cstheme="minorHAnsi"/>
                <w:sz w:val="20"/>
                <w:szCs w:val="20"/>
              </w:rPr>
            </w:pPr>
            <w:r>
              <w:rPr>
                <w:rFonts w:cstheme="minorHAnsi"/>
                <w:sz w:val="20"/>
                <w:szCs w:val="20"/>
              </w:rPr>
              <w:t>15</w:t>
            </w:r>
          </w:p>
        </w:tc>
        <w:tc>
          <w:tcPr>
            <w:tcW w:w="22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Water collection form and instructions</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5/60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eastAsia="Calibri" w:cstheme="minorHAnsi"/>
                <w:sz w:val="20"/>
                <w:szCs w:val="20"/>
              </w:rPr>
            </w:pPr>
            <w:r>
              <w:rPr>
                <w:rFonts w:cstheme="minorHAnsi"/>
                <w:sz w:val="20"/>
                <w:szCs w:val="20"/>
              </w:rPr>
              <w:t>1.25</w:t>
            </w:r>
          </w:p>
        </w:tc>
      </w:tr>
      <w:tr w:rsidR="00D37D12" w:rsidTr="00D37D12">
        <w:tc>
          <w:tcPr>
            <w:tcW w:w="1278"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ascii="Calibri" w:eastAsia="Calibri" w:hAnsi="Calibri" w:cs="Courier New"/>
                <w:sz w:val="20"/>
                <w:szCs w:val="20"/>
              </w:rPr>
            </w:pP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D37D12" w:rsidRDefault="00D37D12">
            <w:pPr>
              <w:jc w:val="center"/>
              <w:rPr>
                <w:rFonts w:eastAsia="Calibri" w:cstheme="minorHAnsi"/>
                <w:sz w:val="20"/>
                <w:szCs w:val="20"/>
              </w:rPr>
            </w:pPr>
            <w:r>
              <w:rPr>
                <w:rFonts w:cstheme="minorHAnsi"/>
                <w:sz w:val="20"/>
                <w:szCs w:val="20"/>
              </w:rPr>
              <w:t>75</w:t>
            </w:r>
          </w:p>
        </w:tc>
        <w:tc>
          <w:tcPr>
            <w:tcW w:w="22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24-hour urine collection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50/60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eastAsia="Calibri" w:cstheme="minorHAnsi"/>
                <w:sz w:val="20"/>
                <w:szCs w:val="20"/>
              </w:rPr>
            </w:pPr>
            <w:r>
              <w:rPr>
                <w:rFonts w:cstheme="minorHAnsi"/>
                <w:sz w:val="20"/>
                <w:szCs w:val="20"/>
              </w:rPr>
              <w:t>250</w:t>
            </w:r>
          </w:p>
        </w:tc>
      </w:tr>
      <w:tr w:rsidR="00D37D12" w:rsidTr="00D37D12">
        <w:tc>
          <w:tcPr>
            <w:tcW w:w="1278"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ascii="Calibri" w:eastAsia="Calibri" w:hAnsi="Calibri" w:cs="Courier New"/>
                <w:sz w:val="20"/>
                <w:szCs w:val="20"/>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eastAsia="Calibri" w:cstheme="minorHAns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Follow-up Urine Collection Questionnaire</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10/60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eastAsia="Calibri" w:cstheme="minorHAnsi"/>
                <w:sz w:val="20"/>
                <w:szCs w:val="20"/>
              </w:rPr>
            </w:pPr>
            <w:r>
              <w:rPr>
                <w:rFonts w:cstheme="minorHAnsi"/>
                <w:sz w:val="20"/>
                <w:szCs w:val="20"/>
              </w:rPr>
              <w:t>50</w:t>
            </w:r>
          </w:p>
        </w:tc>
      </w:tr>
      <w:tr w:rsidR="00D37D12" w:rsidTr="00D37D12">
        <w:tc>
          <w:tcPr>
            <w:tcW w:w="1278"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ascii="Calibri" w:eastAsia="Calibri" w:hAnsi="Calibri" w:cs="Courier New"/>
                <w:sz w:val="20"/>
                <w:szCs w:val="20"/>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rPr>
                <w:rFonts w:eastAsia="Calibri" w:cstheme="minorHAns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Study Salt Supplement Questionnaire</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5/60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eastAsia="Calibri" w:cstheme="minorHAnsi"/>
                <w:sz w:val="20"/>
                <w:szCs w:val="20"/>
              </w:rPr>
            </w:pPr>
            <w:r>
              <w:rPr>
                <w:rFonts w:cstheme="minorHAnsi"/>
                <w:sz w:val="20"/>
                <w:szCs w:val="20"/>
              </w:rPr>
              <w:t>19</w:t>
            </w:r>
          </w:p>
        </w:tc>
      </w:tr>
      <w:tr w:rsidR="00D37D12" w:rsidTr="00D37D12">
        <w:tc>
          <w:tcPr>
            <w:tcW w:w="1278" w:type="dxa"/>
            <w:tcBorders>
              <w:top w:val="single" w:sz="4" w:space="0" w:color="auto"/>
              <w:left w:val="single" w:sz="4" w:space="0" w:color="auto"/>
              <w:bottom w:val="single" w:sz="4" w:space="0" w:color="auto"/>
              <w:right w:val="single" w:sz="4" w:space="0" w:color="auto"/>
            </w:tcBorders>
            <w:vAlign w:val="center"/>
          </w:tcPr>
          <w:p w:rsidR="00D37D12" w:rsidRDefault="00D37D12">
            <w:pPr>
              <w:jc w:val="center"/>
              <w:rPr>
                <w:rFonts w:ascii="Calibri" w:eastAsia="Calibri" w:hAnsi="Calibri" w:cs="Courier New"/>
                <w:sz w:val="20"/>
                <w:szCs w:val="20"/>
              </w:rPr>
            </w:pPr>
          </w:p>
        </w:tc>
        <w:tc>
          <w:tcPr>
            <w:tcW w:w="4950" w:type="dxa"/>
            <w:gridSpan w:val="3"/>
            <w:tcBorders>
              <w:top w:val="single" w:sz="4" w:space="0" w:color="auto"/>
              <w:left w:val="single" w:sz="4" w:space="0" w:color="auto"/>
              <w:bottom w:val="single" w:sz="4" w:space="0" w:color="auto"/>
              <w:right w:val="single" w:sz="4" w:space="0" w:color="auto"/>
            </w:tcBorders>
            <w:vAlign w:val="center"/>
          </w:tcPr>
          <w:p w:rsidR="00D37D12" w:rsidRDefault="00D37D12">
            <w:pPr>
              <w:spacing w:line="240" w:lineRule="auto"/>
              <w:jc w:val="center"/>
              <w:rPr>
                <w:rFonts w:ascii="Calibri" w:eastAsia="Calibri" w:hAnsi="Calibri" w:cs="Courier New"/>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ascii="Calibri" w:eastAsia="Calibri" w:hAnsi="Calibri" w:cs="Courier New"/>
                <w:sz w:val="20"/>
                <w:szCs w:val="20"/>
              </w:rPr>
            </w:pPr>
            <w:r>
              <w:rPr>
                <w:rFonts w:ascii="Calibri" w:eastAsia="Calibri" w:hAnsi="Calibri" w:cs="Courier New"/>
                <w:sz w:val="20"/>
                <w:szCs w:val="20"/>
              </w:rPr>
              <w:t>Total</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7D12" w:rsidRDefault="00D37D12">
            <w:pPr>
              <w:spacing w:line="240" w:lineRule="auto"/>
              <w:jc w:val="center"/>
              <w:rPr>
                <w:rFonts w:cstheme="minorHAnsi"/>
                <w:sz w:val="20"/>
                <w:szCs w:val="20"/>
                <w:lang w:val="en-CA"/>
              </w:rPr>
            </w:pPr>
            <w:r>
              <w:rPr>
                <w:rFonts w:cstheme="minorHAnsi"/>
                <w:sz w:val="20"/>
                <w:szCs w:val="20"/>
              </w:rPr>
              <w:t>1,372</w:t>
            </w:r>
          </w:p>
        </w:tc>
      </w:tr>
    </w:tbl>
    <w:p w:rsidR="00D37D12" w:rsidRPr="00A44D2F" w:rsidRDefault="00D37D12" w:rsidP="00537312">
      <w:pPr>
        <w:spacing w:line="240" w:lineRule="auto"/>
        <w:rPr>
          <w:rFonts w:cstheme="minorHAnsi"/>
        </w:rPr>
      </w:pPr>
    </w:p>
    <w:sectPr w:rsidR="00D37D12" w:rsidRPr="00A44D2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C1D" w:rsidRDefault="008C5C1D" w:rsidP="00F01D11">
      <w:pPr>
        <w:spacing w:after="0" w:line="240" w:lineRule="auto"/>
      </w:pPr>
      <w:r>
        <w:separator/>
      </w:r>
    </w:p>
  </w:endnote>
  <w:endnote w:type="continuationSeparator" w:id="0">
    <w:p w:rsidR="008C5C1D" w:rsidRDefault="008C5C1D" w:rsidP="00F0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106817"/>
      <w:docPartObj>
        <w:docPartGallery w:val="Page Numbers (Bottom of Page)"/>
        <w:docPartUnique/>
      </w:docPartObj>
    </w:sdtPr>
    <w:sdtEndPr>
      <w:rPr>
        <w:noProof/>
      </w:rPr>
    </w:sdtEndPr>
    <w:sdtContent>
      <w:p w:rsidR="008C5C1D" w:rsidRDefault="008C5C1D">
        <w:pPr>
          <w:pStyle w:val="Footer"/>
          <w:jc w:val="center"/>
        </w:pPr>
        <w:r>
          <w:fldChar w:fldCharType="begin"/>
        </w:r>
        <w:r>
          <w:instrText xml:space="preserve"> PAGE   \* MERGEFORMAT </w:instrText>
        </w:r>
        <w:r>
          <w:fldChar w:fldCharType="separate"/>
        </w:r>
        <w:r w:rsidR="00CB2F28">
          <w:rPr>
            <w:noProof/>
          </w:rPr>
          <w:t>4</w:t>
        </w:r>
        <w:r>
          <w:rPr>
            <w:noProof/>
          </w:rPr>
          <w:fldChar w:fldCharType="end"/>
        </w:r>
      </w:p>
    </w:sdtContent>
  </w:sdt>
  <w:p w:rsidR="008C5C1D" w:rsidRDefault="008C5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C1D" w:rsidRDefault="008C5C1D" w:rsidP="00F01D11">
      <w:pPr>
        <w:spacing w:after="0" w:line="240" w:lineRule="auto"/>
      </w:pPr>
      <w:r>
        <w:separator/>
      </w:r>
    </w:p>
  </w:footnote>
  <w:footnote w:type="continuationSeparator" w:id="0">
    <w:p w:rsidR="008C5C1D" w:rsidRDefault="008C5C1D" w:rsidP="00F01D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064A0"/>
    <w:multiLevelType w:val="hybridMultilevel"/>
    <w:tmpl w:val="5C2805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DA3B9C"/>
    <w:multiLevelType w:val="hybridMultilevel"/>
    <w:tmpl w:val="2ACA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7069CE"/>
    <w:multiLevelType w:val="hybridMultilevel"/>
    <w:tmpl w:val="A2FC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F0742C"/>
    <w:multiLevelType w:val="hybridMultilevel"/>
    <w:tmpl w:val="5E2AD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464671"/>
    <w:multiLevelType w:val="hybridMultilevel"/>
    <w:tmpl w:val="04E41374"/>
    <w:lvl w:ilvl="0" w:tplc="FC6072F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4B3A98"/>
    <w:multiLevelType w:val="hybridMultilevel"/>
    <w:tmpl w:val="36D6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
  </w:num>
  <w:num w:numId="4">
    <w:abstractNumId w:val="6"/>
  </w:num>
  <w:num w:numId="5">
    <w:abstractNumId w:val="8"/>
  </w:num>
  <w:num w:numId="6">
    <w:abstractNumId w:val="2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13"/>
  </w:num>
  <w:num w:numId="12">
    <w:abstractNumId w:val="3"/>
  </w:num>
  <w:num w:numId="13">
    <w:abstractNumId w:val="5"/>
  </w:num>
  <w:num w:numId="14">
    <w:abstractNumId w:val="18"/>
  </w:num>
  <w:num w:numId="15">
    <w:abstractNumId w:val="19"/>
  </w:num>
  <w:num w:numId="16">
    <w:abstractNumId w:val="25"/>
  </w:num>
  <w:num w:numId="17">
    <w:abstractNumId w:val="10"/>
  </w:num>
  <w:num w:numId="18">
    <w:abstractNumId w:val="23"/>
  </w:num>
  <w:num w:numId="19">
    <w:abstractNumId w:val="12"/>
  </w:num>
  <w:num w:numId="20">
    <w:abstractNumId w:val="24"/>
  </w:num>
  <w:num w:numId="21">
    <w:abstractNumId w:val="22"/>
  </w:num>
  <w:num w:numId="22">
    <w:abstractNumId w:val="0"/>
  </w:num>
  <w:num w:numId="23">
    <w:abstractNumId w:val="15"/>
  </w:num>
  <w:num w:numId="24">
    <w:abstractNumId w:val="16"/>
  </w:num>
  <w:num w:numId="25">
    <w:abstractNumId w:val="21"/>
  </w:num>
  <w:num w:numId="26">
    <w:abstractNumId w:val="26"/>
  </w:num>
  <w:num w:numId="27">
    <w:abstractNumId w:val="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CF"/>
    <w:rsid w:val="00003231"/>
    <w:rsid w:val="0003020D"/>
    <w:rsid w:val="00030928"/>
    <w:rsid w:val="0003227B"/>
    <w:rsid w:val="00034AEE"/>
    <w:rsid w:val="00035F14"/>
    <w:rsid w:val="00052773"/>
    <w:rsid w:val="00056243"/>
    <w:rsid w:val="000C06E0"/>
    <w:rsid w:val="000C350B"/>
    <w:rsid w:val="000E70C9"/>
    <w:rsid w:val="000F1AAC"/>
    <w:rsid w:val="001118B2"/>
    <w:rsid w:val="0011494C"/>
    <w:rsid w:val="00125EE7"/>
    <w:rsid w:val="00131968"/>
    <w:rsid w:val="00136B5B"/>
    <w:rsid w:val="00152342"/>
    <w:rsid w:val="0016029A"/>
    <w:rsid w:val="00162956"/>
    <w:rsid w:val="00167C3E"/>
    <w:rsid w:val="00184ED5"/>
    <w:rsid w:val="001A0A27"/>
    <w:rsid w:val="001B13FF"/>
    <w:rsid w:val="001C1D38"/>
    <w:rsid w:val="001E05DD"/>
    <w:rsid w:val="001E1C70"/>
    <w:rsid w:val="001F2D6A"/>
    <w:rsid w:val="0020292A"/>
    <w:rsid w:val="00217E21"/>
    <w:rsid w:val="0022008E"/>
    <w:rsid w:val="002228E5"/>
    <w:rsid w:val="00234C53"/>
    <w:rsid w:val="00234E0C"/>
    <w:rsid w:val="00237B31"/>
    <w:rsid w:val="0025598B"/>
    <w:rsid w:val="002566E2"/>
    <w:rsid w:val="002607AB"/>
    <w:rsid w:val="00266109"/>
    <w:rsid w:val="0028287F"/>
    <w:rsid w:val="0028629C"/>
    <w:rsid w:val="002A278B"/>
    <w:rsid w:val="002A440F"/>
    <w:rsid w:val="002D104E"/>
    <w:rsid w:val="002D6B81"/>
    <w:rsid w:val="00311951"/>
    <w:rsid w:val="00313286"/>
    <w:rsid w:val="00322FE1"/>
    <w:rsid w:val="00331029"/>
    <w:rsid w:val="00333EE2"/>
    <w:rsid w:val="00336339"/>
    <w:rsid w:val="00340AA7"/>
    <w:rsid w:val="0034373F"/>
    <w:rsid w:val="00343A8E"/>
    <w:rsid w:val="00345280"/>
    <w:rsid w:val="00354A87"/>
    <w:rsid w:val="00363B41"/>
    <w:rsid w:val="00363E3A"/>
    <w:rsid w:val="00375F6C"/>
    <w:rsid w:val="00381701"/>
    <w:rsid w:val="0039790C"/>
    <w:rsid w:val="003B4754"/>
    <w:rsid w:val="003B6051"/>
    <w:rsid w:val="003D36D3"/>
    <w:rsid w:val="003E51D9"/>
    <w:rsid w:val="003F2168"/>
    <w:rsid w:val="00406570"/>
    <w:rsid w:val="0041714D"/>
    <w:rsid w:val="0041741E"/>
    <w:rsid w:val="00454637"/>
    <w:rsid w:val="004555B6"/>
    <w:rsid w:val="00456509"/>
    <w:rsid w:val="004668B6"/>
    <w:rsid w:val="00472734"/>
    <w:rsid w:val="00477FAE"/>
    <w:rsid w:val="00492939"/>
    <w:rsid w:val="004A5897"/>
    <w:rsid w:val="004B2786"/>
    <w:rsid w:val="004C1976"/>
    <w:rsid w:val="004C3A3E"/>
    <w:rsid w:val="004C6952"/>
    <w:rsid w:val="004D1F88"/>
    <w:rsid w:val="004D4977"/>
    <w:rsid w:val="004E4B8A"/>
    <w:rsid w:val="004E63A5"/>
    <w:rsid w:val="004F7473"/>
    <w:rsid w:val="00513DE6"/>
    <w:rsid w:val="00532310"/>
    <w:rsid w:val="00537312"/>
    <w:rsid w:val="00541707"/>
    <w:rsid w:val="00556AE5"/>
    <w:rsid w:val="00566765"/>
    <w:rsid w:val="0059441B"/>
    <w:rsid w:val="005A0CD6"/>
    <w:rsid w:val="005C1365"/>
    <w:rsid w:val="005D0DE1"/>
    <w:rsid w:val="005D476D"/>
    <w:rsid w:val="005D613C"/>
    <w:rsid w:val="005D7895"/>
    <w:rsid w:val="005F55A0"/>
    <w:rsid w:val="005F59A1"/>
    <w:rsid w:val="005F5EAB"/>
    <w:rsid w:val="00602316"/>
    <w:rsid w:val="00620194"/>
    <w:rsid w:val="006237C0"/>
    <w:rsid w:val="00626927"/>
    <w:rsid w:val="00634C11"/>
    <w:rsid w:val="006519FB"/>
    <w:rsid w:val="00666FFF"/>
    <w:rsid w:val="006718B6"/>
    <w:rsid w:val="00677509"/>
    <w:rsid w:val="00677C5F"/>
    <w:rsid w:val="00681534"/>
    <w:rsid w:val="00685ACF"/>
    <w:rsid w:val="0068768F"/>
    <w:rsid w:val="00694446"/>
    <w:rsid w:val="006A14F0"/>
    <w:rsid w:val="006A3EBE"/>
    <w:rsid w:val="006B2389"/>
    <w:rsid w:val="006B7AAE"/>
    <w:rsid w:val="006D0834"/>
    <w:rsid w:val="006E487D"/>
    <w:rsid w:val="006E66F3"/>
    <w:rsid w:val="006F4F00"/>
    <w:rsid w:val="00703EFF"/>
    <w:rsid w:val="00714466"/>
    <w:rsid w:val="00750630"/>
    <w:rsid w:val="00760E84"/>
    <w:rsid w:val="00762F32"/>
    <w:rsid w:val="00766CCE"/>
    <w:rsid w:val="00772EE2"/>
    <w:rsid w:val="00776E4D"/>
    <w:rsid w:val="007A6744"/>
    <w:rsid w:val="007B20F3"/>
    <w:rsid w:val="007E2DCD"/>
    <w:rsid w:val="008008BD"/>
    <w:rsid w:val="00807490"/>
    <w:rsid w:val="0082037D"/>
    <w:rsid w:val="0082244D"/>
    <w:rsid w:val="008445D5"/>
    <w:rsid w:val="008552A2"/>
    <w:rsid w:val="008615BA"/>
    <w:rsid w:val="00891FA4"/>
    <w:rsid w:val="0089313B"/>
    <w:rsid w:val="008969D7"/>
    <w:rsid w:val="008977F6"/>
    <w:rsid w:val="008A1FC4"/>
    <w:rsid w:val="008A3107"/>
    <w:rsid w:val="008A4679"/>
    <w:rsid w:val="008A7D61"/>
    <w:rsid w:val="008B5913"/>
    <w:rsid w:val="008C0E67"/>
    <w:rsid w:val="008C5C1D"/>
    <w:rsid w:val="008D5E62"/>
    <w:rsid w:val="008F73CB"/>
    <w:rsid w:val="009030D4"/>
    <w:rsid w:val="00904A41"/>
    <w:rsid w:val="00922150"/>
    <w:rsid w:val="00922E23"/>
    <w:rsid w:val="00930E7B"/>
    <w:rsid w:val="009314AE"/>
    <w:rsid w:val="00936E08"/>
    <w:rsid w:val="00945EAA"/>
    <w:rsid w:val="00946C7A"/>
    <w:rsid w:val="00956235"/>
    <w:rsid w:val="00962E3A"/>
    <w:rsid w:val="00977953"/>
    <w:rsid w:val="00977B34"/>
    <w:rsid w:val="00984117"/>
    <w:rsid w:val="00984F42"/>
    <w:rsid w:val="009A2B42"/>
    <w:rsid w:val="009B294F"/>
    <w:rsid w:val="009C0C1A"/>
    <w:rsid w:val="009C402C"/>
    <w:rsid w:val="009C7B96"/>
    <w:rsid w:val="009D2FFB"/>
    <w:rsid w:val="009D3805"/>
    <w:rsid w:val="009E1091"/>
    <w:rsid w:val="009E20FD"/>
    <w:rsid w:val="00A00185"/>
    <w:rsid w:val="00A02480"/>
    <w:rsid w:val="00A173F5"/>
    <w:rsid w:val="00A208CC"/>
    <w:rsid w:val="00A30202"/>
    <w:rsid w:val="00A31A4F"/>
    <w:rsid w:val="00A44D2F"/>
    <w:rsid w:val="00A741BD"/>
    <w:rsid w:val="00A83445"/>
    <w:rsid w:val="00A83DD0"/>
    <w:rsid w:val="00AA4186"/>
    <w:rsid w:val="00AA791B"/>
    <w:rsid w:val="00AB3B11"/>
    <w:rsid w:val="00AB4750"/>
    <w:rsid w:val="00AB4E84"/>
    <w:rsid w:val="00AC7807"/>
    <w:rsid w:val="00AD2A51"/>
    <w:rsid w:val="00B05A9A"/>
    <w:rsid w:val="00B10AFA"/>
    <w:rsid w:val="00B16AC5"/>
    <w:rsid w:val="00B4034E"/>
    <w:rsid w:val="00B558E3"/>
    <w:rsid w:val="00B60840"/>
    <w:rsid w:val="00B63195"/>
    <w:rsid w:val="00B64276"/>
    <w:rsid w:val="00B64484"/>
    <w:rsid w:val="00B705B2"/>
    <w:rsid w:val="00B7355A"/>
    <w:rsid w:val="00B83FBB"/>
    <w:rsid w:val="00B92D97"/>
    <w:rsid w:val="00B95159"/>
    <w:rsid w:val="00BD66A9"/>
    <w:rsid w:val="00BE63F9"/>
    <w:rsid w:val="00C111FB"/>
    <w:rsid w:val="00C23995"/>
    <w:rsid w:val="00C32846"/>
    <w:rsid w:val="00C57598"/>
    <w:rsid w:val="00C80E17"/>
    <w:rsid w:val="00C83EAC"/>
    <w:rsid w:val="00CB0E5C"/>
    <w:rsid w:val="00CB2F28"/>
    <w:rsid w:val="00CC1ABE"/>
    <w:rsid w:val="00CD740B"/>
    <w:rsid w:val="00CF7334"/>
    <w:rsid w:val="00D020E6"/>
    <w:rsid w:val="00D134B1"/>
    <w:rsid w:val="00D16291"/>
    <w:rsid w:val="00D249BF"/>
    <w:rsid w:val="00D273B6"/>
    <w:rsid w:val="00D37D12"/>
    <w:rsid w:val="00D407B9"/>
    <w:rsid w:val="00D47419"/>
    <w:rsid w:val="00D55A3E"/>
    <w:rsid w:val="00D61DC8"/>
    <w:rsid w:val="00D63A0A"/>
    <w:rsid w:val="00D706A8"/>
    <w:rsid w:val="00D71F1B"/>
    <w:rsid w:val="00D9592B"/>
    <w:rsid w:val="00DA7F3F"/>
    <w:rsid w:val="00DB0B61"/>
    <w:rsid w:val="00DB51A1"/>
    <w:rsid w:val="00DC1175"/>
    <w:rsid w:val="00DC15FA"/>
    <w:rsid w:val="00DD0244"/>
    <w:rsid w:val="00DF2581"/>
    <w:rsid w:val="00DF2940"/>
    <w:rsid w:val="00DF2DC7"/>
    <w:rsid w:val="00E341F0"/>
    <w:rsid w:val="00E533E9"/>
    <w:rsid w:val="00E604B0"/>
    <w:rsid w:val="00E61A20"/>
    <w:rsid w:val="00E71236"/>
    <w:rsid w:val="00E72926"/>
    <w:rsid w:val="00E85A62"/>
    <w:rsid w:val="00E956D4"/>
    <w:rsid w:val="00ED0EA5"/>
    <w:rsid w:val="00ED57EB"/>
    <w:rsid w:val="00ED5CAD"/>
    <w:rsid w:val="00EF430A"/>
    <w:rsid w:val="00F01D11"/>
    <w:rsid w:val="00F14E13"/>
    <w:rsid w:val="00F32C7F"/>
    <w:rsid w:val="00F34A98"/>
    <w:rsid w:val="00F46D76"/>
    <w:rsid w:val="00F5415B"/>
    <w:rsid w:val="00F93352"/>
    <w:rsid w:val="00FD4C3E"/>
    <w:rsid w:val="00FE3650"/>
    <w:rsid w:val="00F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uiPriority w:val="99"/>
    <w:semiHidden/>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 w:type="paragraph" w:styleId="HTMLPreformatted">
    <w:name w:val="HTML Preformatted"/>
    <w:basedOn w:val="Normal"/>
    <w:link w:val="HTMLPreformattedChar"/>
    <w:uiPriority w:val="99"/>
    <w:semiHidden/>
    <w:unhideWhenUsed/>
    <w:rsid w:val="00D407B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407B9"/>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uiPriority w:val="99"/>
    <w:semiHidden/>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 w:type="paragraph" w:styleId="HTMLPreformatted">
    <w:name w:val="HTML Preformatted"/>
    <w:basedOn w:val="Normal"/>
    <w:link w:val="HTMLPreformattedChar"/>
    <w:uiPriority w:val="99"/>
    <w:semiHidden/>
    <w:unhideWhenUsed/>
    <w:rsid w:val="00D407B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407B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292833388">
      <w:bodyDiv w:val="1"/>
      <w:marLeft w:val="0"/>
      <w:marRight w:val="0"/>
      <w:marTop w:val="0"/>
      <w:marBottom w:val="0"/>
      <w:divBdr>
        <w:top w:val="none" w:sz="0" w:space="0" w:color="auto"/>
        <w:left w:val="none" w:sz="0" w:space="0" w:color="auto"/>
        <w:bottom w:val="none" w:sz="0" w:space="0" w:color="auto"/>
        <w:right w:val="none" w:sz="0" w:space="0" w:color="auto"/>
      </w:divBdr>
    </w:div>
    <w:div w:id="461271698">
      <w:bodyDiv w:val="1"/>
      <w:marLeft w:val="0"/>
      <w:marRight w:val="0"/>
      <w:marTop w:val="0"/>
      <w:marBottom w:val="0"/>
      <w:divBdr>
        <w:top w:val="none" w:sz="0" w:space="0" w:color="auto"/>
        <w:left w:val="none" w:sz="0" w:space="0" w:color="auto"/>
        <w:bottom w:val="none" w:sz="0" w:space="0" w:color="auto"/>
        <w:right w:val="none" w:sz="0" w:space="0" w:color="auto"/>
      </w:divBdr>
    </w:div>
    <w:div w:id="741565029">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C260E-8D79-4610-A7C7-178E95E7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DeBruyn, Lemyra (CDC/ONDIEH/NCCDPHP)</dc:creator>
  <cp:lastModifiedBy>CDC User</cp:lastModifiedBy>
  <cp:revision>3</cp:revision>
  <cp:lastPrinted>2014-01-02T18:56:00Z</cp:lastPrinted>
  <dcterms:created xsi:type="dcterms:W3CDTF">2014-01-02T22:20:00Z</dcterms:created>
  <dcterms:modified xsi:type="dcterms:W3CDTF">2014-01-02T22:20:00Z</dcterms:modified>
</cp:coreProperties>
</file>